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1EE58" w14:textId="6C19E1CE" w:rsidR="00E4314C" w:rsidRPr="00EE29B9" w:rsidRDefault="00E4314C" w:rsidP="00E4314C">
      <w:pPr>
        <w:pStyle w:val="Titre1"/>
      </w:pPr>
      <w:r w:rsidRPr="00D84ADC">
        <w:rPr>
          <w:rFonts w:ascii="Times New Roman" w:hAnsi="Times New Roman"/>
          <w:color w:val="000000"/>
          <w:szCs w:val="24"/>
        </w:rPr>
        <w:t>IDNES a CEA proje</w:t>
      </w:r>
      <w:r w:rsidR="00420774">
        <w:rPr>
          <w:rFonts w:ascii="Times New Roman" w:hAnsi="Times New Roman"/>
          <w:color w:val="000000"/>
          <w:szCs w:val="24"/>
        </w:rPr>
        <w:t>c</w:t>
      </w:r>
      <w:r w:rsidRPr="00D84ADC">
        <w:rPr>
          <w:rFonts w:ascii="Times New Roman" w:hAnsi="Times New Roman"/>
          <w:color w:val="000000"/>
          <w:szCs w:val="24"/>
        </w:rPr>
        <w:t>t dedicated to SMR concept for decarbonization beyond pure power generation</w:t>
      </w:r>
    </w:p>
    <w:p w14:paraId="4D1B799F" w14:textId="327A6D5A" w:rsidR="00802381" w:rsidRDefault="00802381" w:rsidP="00537496">
      <w:pPr>
        <w:pStyle w:val="Authornameandaffiliation"/>
      </w:pPr>
    </w:p>
    <w:p w14:paraId="3AD10EF0" w14:textId="63572A9C" w:rsidR="004542BE" w:rsidRPr="00E4314C" w:rsidRDefault="004542BE" w:rsidP="004542BE">
      <w:pPr>
        <w:pStyle w:val="Authornameandaffiliation"/>
        <w:rPr>
          <w:lang w:val="fr-FR"/>
        </w:rPr>
      </w:pPr>
      <w:r w:rsidRPr="00E4314C">
        <w:rPr>
          <w:lang w:val="fr-FR"/>
        </w:rPr>
        <w:t>Philippe AMPHOUX</w:t>
      </w:r>
    </w:p>
    <w:p w14:paraId="0136D725" w14:textId="0B2AFE1F" w:rsidR="004542BE" w:rsidRPr="00E4314C" w:rsidRDefault="004542BE" w:rsidP="004542BE">
      <w:pPr>
        <w:pStyle w:val="Authornameandaffiliation"/>
        <w:rPr>
          <w:lang w:val="fr-FR"/>
        </w:rPr>
      </w:pPr>
      <w:r>
        <w:rPr>
          <w:lang w:val="fr-FR"/>
        </w:rPr>
        <w:t>CEA IRESNE-DER/SESI</w:t>
      </w:r>
    </w:p>
    <w:p w14:paraId="4E7045BB" w14:textId="7D456937" w:rsidR="00533FA1" w:rsidRDefault="004542BE" w:rsidP="004542BE">
      <w:pPr>
        <w:pStyle w:val="Authornameandaffiliation"/>
        <w:rPr>
          <w:lang w:val="fr-FR"/>
        </w:rPr>
      </w:pPr>
      <w:r w:rsidRPr="006C3863">
        <w:rPr>
          <w:lang w:val="fr-FR"/>
        </w:rPr>
        <w:t xml:space="preserve">13108 Saint-Paul-lez-Durance, </w:t>
      </w:r>
      <w:r w:rsidR="00533FA1">
        <w:rPr>
          <w:lang w:val="fr-FR"/>
        </w:rPr>
        <w:t>France</w:t>
      </w:r>
    </w:p>
    <w:p w14:paraId="01696B8E" w14:textId="77777777" w:rsidR="004542BE" w:rsidRPr="00E4314C" w:rsidRDefault="004542BE" w:rsidP="004542BE">
      <w:pPr>
        <w:pStyle w:val="Authornameandaffiliation"/>
        <w:rPr>
          <w:lang w:val="fr-FR"/>
        </w:rPr>
      </w:pPr>
      <w:r>
        <w:rPr>
          <w:lang w:val="fr-FR"/>
        </w:rPr>
        <w:t>Philippe.amphoux@cea.fr</w:t>
      </w:r>
    </w:p>
    <w:p w14:paraId="444FD740" w14:textId="77777777" w:rsidR="004542BE" w:rsidRPr="00E4314C" w:rsidRDefault="004542BE" w:rsidP="004542BE">
      <w:pPr>
        <w:pStyle w:val="Authornameandaffiliation"/>
        <w:rPr>
          <w:lang w:val="fr-FR"/>
        </w:rPr>
      </w:pPr>
    </w:p>
    <w:p w14:paraId="46019E56" w14:textId="014A703F" w:rsidR="004542BE" w:rsidRDefault="00533FA1" w:rsidP="004542BE">
      <w:pPr>
        <w:pStyle w:val="Authornameandaffiliation"/>
        <w:rPr>
          <w:lang w:val="fr-FR"/>
        </w:rPr>
      </w:pPr>
      <w:r w:rsidRPr="00E4314C">
        <w:rPr>
          <w:lang w:val="fr-FR"/>
        </w:rPr>
        <w:t>Jean-Michel RUGGIERI,</w:t>
      </w:r>
      <w:r>
        <w:rPr>
          <w:lang w:val="fr-FR"/>
        </w:rPr>
        <w:t xml:space="preserve"> </w:t>
      </w:r>
      <w:r w:rsidR="004542BE" w:rsidRPr="00E4314C">
        <w:rPr>
          <w:lang w:val="fr-FR"/>
        </w:rPr>
        <w:t>Eric HANUS</w:t>
      </w:r>
      <w:r>
        <w:rPr>
          <w:lang w:val="fr-FR"/>
        </w:rPr>
        <w:t>,</w:t>
      </w:r>
      <w:r w:rsidRPr="00533FA1">
        <w:rPr>
          <w:lang w:val="fr-FR"/>
        </w:rPr>
        <w:t xml:space="preserve"> </w:t>
      </w:r>
      <w:r w:rsidRPr="00E4314C">
        <w:rPr>
          <w:lang w:val="fr-FR"/>
        </w:rPr>
        <w:t>Claire VAGLIO-GAUDARD</w:t>
      </w:r>
      <w:r>
        <w:rPr>
          <w:lang w:val="fr-FR"/>
        </w:rPr>
        <w:t>,</w:t>
      </w:r>
      <w:r w:rsidRPr="00E4314C">
        <w:rPr>
          <w:lang w:val="fr-FR"/>
        </w:rPr>
        <w:t xml:space="preserve"> David HAUBENSACK, Nicolas ALPY</w:t>
      </w:r>
      <w:r>
        <w:rPr>
          <w:lang w:val="fr-FR"/>
        </w:rPr>
        <w:t>,</w:t>
      </w:r>
      <w:r w:rsidRPr="00533FA1">
        <w:rPr>
          <w:lang w:val="fr-FR"/>
        </w:rPr>
        <w:t xml:space="preserve"> </w:t>
      </w:r>
      <w:r w:rsidRPr="00E4314C">
        <w:rPr>
          <w:lang w:val="fr-FR"/>
        </w:rPr>
        <w:t>Clément LIEGEARD, Franck MORIN</w:t>
      </w:r>
      <w:r>
        <w:rPr>
          <w:lang w:val="fr-FR"/>
        </w:rPr>
        <w:t>,</w:t>
      </w:r>
      <w:r w:rsidRPr="00533FA1">
        <w:rPr>
          <w:lang w:val="fr-FR"/>
        </w:rPr>
        <w:t xml:space="preserve"> </w:t>
      </w:r>
      <w:r w:rsidRPr="00E4314C">
        <w:rPr>
          <w:lang w:val="fr-FR"/>
        </w:rPr>
        <w:t>Jean-Baptiste DROIN, Charly BOUDOT</w:t>
      </w:r>
    </w:p>
    <w:p w14:paraId="47241C0A" w14:textId="47B4998D" w:rsidR="004542BE" w:rsidRDefault="004542BE" w:rsidP="004542BE">
      <w:pPr>
        <w:pStyle w:val="Authornameandaffiliation"/>
        <w:rPr>
          <w:lang w:val="fr-FR"/>
        </w:rPr>
      </w:pPr>
      <w:r>
        <w:rPr>
          <w:lang w:val="fr-FR"/>
        </w:rPr>
        <w:t>CEA</w:t>
      </w:r>
      <w:r w:rsidR="00533FA1">
        <w:rPr>
          <w:lang w:val="fr-FR"/>
        </w:rPr>
        <w:t xml:space="preserve"> IRESNE</w:t>
      </w:r>
    </w:p>
    <w:p w14:paraId="4F547A75" w14:textId="1428893E" w:rsidR="004542BE" w:rsidRDefault="004542BE" w:rsidP="004542BE">
      <w:pPr>
        <w:pStyle w:val="Authornameandaffiliation"/>
        <w:rPr>
          <w:lang w:val="fr-FR"/>
        </w:rPr>
      </w:pPr>
      <w:r w:rsidRPr="00E4314C">
        <w:rPr>
          <w:lang w:val="fr-FR"/>
        </w:rPr>
        <w:t xml:space="preserve">13108 Saint-Paul-lez-Durance, </w:t>
      </w:r>
      <w:r>
        <w:rPr>
          <w:lang w:val="fr-FR"/>
        </w:rPr>
        <w:t>France</w:t>
      </w:r>
    </w:p>
    <w:p w14:paraId="32EC97FD" w14:textId="21C3E4DB" w:rsidR="00533FA1" w:rsidRDefault="00533FA1" w:rsidP="004542BE">
      <w:pPr>
        <w:pStyle w:val="Authornameandaffiliation"/>
        <w:rPr>
          <w:lang w:val="fr-FR"/>
        </w:rPr>
      </w:pPr>
    </w:p>
    <w:p w14:paraId="732F6CD0" w14:textId="42C3DE59" w:rsidR="00533FA1" w:rsidRDefault="00533FA1" w:rsidP="004542BE">
      <w:pPr>
        <w:pStyle w:val="Authornameandaffiliation"/>
        <w:rPr>
          <w:lang w:val="fr-FR"/>
        </w:rPr>
      </w:pPr>
      <w:r w:rsidRPr="00E4314C">
        <w:rPr>
          <w:lang w:val="fr-FR"/>
        </w:rPr>
        <w:t>Pierre GAVOILLE</w:t>
      </w:r>
    </w:p>
    <w:p w14:paraId="3B89E382" w14:textId="77777777" w:rsidR="00533FA1" w:rsidRDefault="00533FA1" w:rsidP="004542BE">
      <w:pPr>
        <w:pStyle w:val="Authornameandaffiliation"/>
        <w:rPr>
          <w:lang w:val="fr-FR"/>
        </w:rPr>
      </w:pPr>
      <w:r>
        <w:rPr>
          <w:lang w:val="fr-FR"/>
        </w:rPr>
        <w:t>CEA DES/DPE</w:t>
      </w:r>
      <w:r w:rsidRPr="00E4314C">
        <w:rPr>
          <w:lang w:val="fr-FR"/>
        </w:rPr>
        <w:t xml:space="preserve"> </w:t>
      </w:r>
    </w:p>
    <w:p w14:paraId="66DC6B1C" w14:textId="64A8FD0B" w:rsidR="00533FA1" w:rsidRDefault="00533FA1" w:rsidP="004542BE">
      <w:pPr>
        <w:pStyle w:val="Authornameandaffiliation"/>
        <w:rPr>
          <w:lang w:val="fr-FR"/>
        </w:rPr>
      </w:pPr>
      <w:r w:rsidRPr="00E4314C">
        <w:rPr>
          <w:lang w:val="fr-FR"/>
        </w:rPr>
        <w:t>91190 Gif-sur-Yvette</w:t>
      </w:r>
      <w:r w:rsidR="0099130B">
        <w:rPr>
          <w:lang w:val="fr-FR"/>
        </w:rPr>
        <w:t>, France</w:t>
      </w:r>
    </w:p>
    <w:p w14:paraId="3B6F18ED" w14:textId="77777777" w:rsidR="00533FA1" w:rsidRDefault="00533FA1" w:rsidP="004542BE">
      <w:pPr>
        <w:pStyle w:val="Authornameandaffiliation"/>
        <w:rPr>
          <w:lang w:val="fr-FR"/>
        </w:rPr>
      </w:pPr>
    </w:p>
    <w:p w14:paraId="1C32FE8B" w14:textId="23F24985" w:rsidR="00093AB3" w:rsidRDefault="00533FA1" w:rsidP="00533FA1">
      <w:pPr>
        <w:pStyle w:val="Authornameandaffiliation"/>
        <w:rPr>
          <w:lang w:val="fr-FR"/>
        </w:rPr>
      </w:pPr>
      <w:r w:rsidRPr="00E4314C">
        <w:rPr>
          <w:lang w:val="fr-FR"/>
        </w:rPr>
        <w:t>Nicolas TAUVERON</w:t>
      </w:r>
      <w:r w:rsidR="00093AB3" w:rsidRPr="00E4314C">
        <w:rPr>
          <w:lang w:val="fr-FR"/>
        </w:rPr>
        <w:t>, Fabrice BENTIVOGLIO</w:t>
      </w:r>
      <w:r>
        <w:rPr>
          <w:lang w:val="fr-FR"/>
        </w:rPr>
        <w:t xml:space="preserve">, </w:t>
      </w:r>
      <w:r w:rsidR="00093AB3" w:rsidRPr="00E4314C">
        <w:rPr>
          <w:lang w:val="fr-FR"/>
        </w:rPr>
        <w:t>Frédéric DUCROS, Luc BERTIER</w:t>
      </w:r>
      <w:r w:rsidR="00093AB3">
        <w:rPr>
          <w:lang w:val="fr-FR"/>
        </w:rPr>
        <w:t>, Coralie QUADRI</w:t>
      </w:r>
    </w:p>
    <w:p w14:paraId="4D2ABF2A" w14:textId="7F0B9222" w:rsidR="00093AB3" w:rsidRDefault="00093AB3" w:rsidP="004542BE">
      <w:pPr>
        <w:pStyle w:val="Authornameandaffiliation"/>
        <w:rPr>
          <w:lang w:val="fr-FR"/>
        </w:rPr>
      </w:pPr>
      <w:r w:rsidRPr="00387BE5">
        <w:rPr>
          <w:lang w:val="fr-FR"/>
        </w:rPr>
        <w:t>CEA D</w:t>
      </w:r>
      <w:r w:rsidR="006A7AA3">
        <w:rPr>
          <w:lang w:val="fr-FR"/>
        </w:rPr>
        <w:t>ES</w:t>
      </w:r>
      <w:r w:rsidRPr="00387BE5">
        <w:rPr>
          <w:lang w:val="fr-FR"/>
        </w:rPr>
        <w:t>/DTCH/SSETI</w:t>
      </w:r>
    </w:p>
    <w:p w14:paraId="2593DFF4" w14:textId="68F9E20E" w:rsidR="004542BE" w:rsidRPr="00E4314C" w:rsidRDefault="00093AB3" w:rsidP="004542BE">
      <w:pPr>
        <w:pStyle w:val="Authornameandaffiliation"/>
        <w:rPr>
          <w:lang w:val="fr-FR"/>
        </w:rPr>
      </w:pPr>
      <w:r w:rsidRPr="00387BE5">
        <w:rPr>
          <w:lang w:val="fr-FR"/>
        </w:rPr>
        <w:t>38054 Grenoble, France</w:t>
      </w:r>
    </w:p>
    <w:p w14:paraId="6BECFD13" w14:textId="77777777" w:rsidR="00533FA1" w:rsidRDefault="00533FA1" w:rsidP="00537496">
      <w:pPr>
        <w:pStyle w:val="Authornameandaffiliation"/>
        <w:rPr>
          <w:lang w:val="fr-FR"/>
        </w:rPr>
      </w:pPr>
    </w:p>
    <w:p w14:paraId="230D4575" w14:textId="47FA6477" w:rsidR="00647F33" w:rsidRPr="00112F19" w:rsidRDefault="00647F33" w:rsidP="00537496">
      <w:pPr>
        <w:pStyle w:val="Authornameandaffiliation"/>
        <w:rPr>
          <w:b/>
        </w:rPr>
      </w:pPr>
      <w:r w:rsidRPr="00112F19">
        <w:rPr>
          <w:b/>
        </w:rPr>
        <w:t>Abstract</w:t>
      </w:r>
    </w:p>
    <w:p w14:paraId="65DD8AB2" w14:textId="2C43681B" w:rsidR="002D6A40" w:rsidRPr="002D6A40" w:rsidRDefault="002D6A40" w:rsidP="00112F19">
      <w:pPr>
        <w:pStyle w:val="Abstracttext"/>
        <w:jc w:val="both"/>
      </w:pPr>
      <w:r w:rsidRPr="00112F19">
        <w:t xml:space="preserve">Launched in </w:t>
      </w:r>
      <w:r w:rsidRPr="002D6A40">
        <w:t>202</w:t>
      </w:r>
      <w:r w:rsidR="00387BE5">
        <w:t>1</w:t>
      </w:r>
      <w:r w:rsidRPr="002D6A40">
        <w:t xml:space="preserve"> within the French Alternatives energies and Atomic Energy Commission (CEA), the </w:t>
      </w:r>
      <w:r w:rsidR="00112F19" w:rsidRPr="002D6A40">
        <w:t xml:space="preserve">Innovative Decarbonized Nuclear Energy Systems project </w:t>
      </w:r>
      <w:r w:rsidR="00112F19">
        <w:t>(</w:t>
      </w:r>
      <w:r w:rsidRPr="002D6A40">
        <w:t>IDNES</w:t>
      </w:r>
      <w:r w:rsidR="00112F19">
        <w:t>)</w:t>
      </w:r>
      <w:r w:rsidRPr="002D6A40">
        <w:t xml:space="preserve"> aims to take a new approach to the use of civil nuclear power generation, expanding its role beyond power production to provide other energy carriers by developing energy system concepts that include Small Modula Reactor (SMR) technology. </w:t>
      </w:r>
      <w:r w:rsidR="00920DD2" w:rsidRPr="002D6A40">
        <w:t>The work program was initially designed with a 15-year vision aligned with the carbon-neutrality objective by 2050. It has focused primarily on energy markets where decarbonization is a major challenge. This work has identified two markets to be potentially addressed by SMR technology: heat and hydrogen that can be produced by cogeneration.</w:t>
      </w:r>
      <w:r w:rsidR="00920DD2">
        <w:t xml:space="preserve"> Beyond hydrogen production, </w:t>
      </w:r>
      <w:r w:rsidR="00920DD2" w:rsidRPr="00920DD2">
        <w:t xml:space="preserve">this work has led to the emergence of integrated concepts that make </w:t>
      </w:r>
      <w:r w:rsidR="00920DD2">
        <w:t>it possible to envisage the mass</w:t>
      </w:r>
      <w:r w:rsidR="00920DD2" w:rsidRPr="00920DD2">
        <w:t xml:space="preserve"> production of syn</w:t>
      </w:r>
      <w:r w:rsidR="00920DD2">
        <w:t xml:space="preserve">thetic molecules such as e-fuels. </w:t>
      </w:r>
      <w:r w:rsidR="00920DD2" w:rsidRPr="00920DD2">
        <w:t xml:space="preserve">The paper presents the main results and proposes a vision of the architecture of an energy system based on SMR technology for </w:t>
      </w:r>
      <w:r w:rsidR="00461BB9" w:rsidRPr="00920DD2">
        <w:t>decarbonization</w:t>
      </w:r>
      <w:r w:rsidR="00920DD2" w:rsidRPr="00920DD2">
        <w:t>.</w:t>
      </w:r>
    </w:p>
    <w:p w14:paraId="03C6D75B" w14:textId="77777777" w:rsidR="00647F33" w:rsidRDefault="00F523CA" w:rsidP="00537496">
      <w:pPr>
        <w:pStyle w:val="Titre2"/>
        <w:numPr>
          <w:ilvl w:val="1"/>
          <w:numId w:val="10"/>
        </w:numPr>
      </w:pPr>
      <w:r>
        <w:t>INTRODUCTION</w:t>
      </w:r>
    </w:p>
    <w:p w14:paraId="1CCB6B72" w14:textId="252B8C3E" w:rsidR="00124C46" w:rsidRDefault="00124C46" w:rsidP="00CC0F32">
      <w:pPr>
        <w:pStyle w:val="Corpsdetexte"/>
      </w:pPr>
      <w:r>
        <w:t xml:space="preserve">As a low-carbon energy source, nuclear power has its rightful place in energy system, </w:t>
      </w:r>
      <w:r w:rsidR="002E12B9">
        <w:t xml:space="preserve">and required to be considered as a large potential to decarbonize and to reach </w:t>
      </w:r>
      <w:r w:rsidR="00F10D61">
        <w:t>net zero</w:t>
      </w:r>
      <w:r w:rsidR="002E12B9">
        <w:t xml:space="preserve"> </w:t>
      </w:r>
      <w:r w:rsidR="00F10D61">
        <w:t>target</w:t>
      </w:r>
      <w:r w:rsidR="002E12B9">
        <w:t xml:space="preserve"> in 2050</w:t>
      </w:r>
      <w:r>
        <w:t xml:space="preserve">. However, nuclear power will need to be adapted and integrated into new, more diversified energy systems, with a </w:t>
      </w:r>
      <w:r w:rsidR="00CC0F32">
        <w:t>significant part</w:t>
      </w:r>
      <w:r>
        <w:t xml:space="preserve"> of </w:t>
      </w:r>
      <w:r w:rsidR="00CC0F32">
        <w:t>Intermittent Renewable E</w:t>
      </w:r>
      <w:r>
        <w:t>nergies (IRE)</w:t>
      </w:r>
      <w:r w:rsidR="00CC0F32">
        <w:t xml:space="preserve"> and regarding </w:t>
      </w:r>
      <w:r>
        <w:t>the different forms of use</w:t>
      </w:r>
      <w:r w:rsidR="007E5A4F">
        <w:t xml:space="preserve"> of energy to be decarbonized.</w:t>
      </w:r>
    </w:p>
    <w:p w14:paraId="42E5B381" w14:textId="5D938892" w:rsidR="00124C46" w:rsidRDefault="00124C46" w:rsidP="0010323D">
      <w:pPr>
        <w:pStyle w:val="Corpsdetexte"/>
      </w:pPr>
      <w:r>
        <w:t xml:space="preserve">The aim of the </w:t>
      </w:r>
      <w:r w:rsidR="00ED57DE">
        <w:t>Innovative Decarbonized Nuclear Energy Systems project (</w:t>
      </w:r>
      <w:r>
        <w:t>IDNES)</w:t>
      </w:r>
      <w:r w:rsidR="00ED57DE">
        <w:t xml:space="preserve"> </w:t>
      </w:r>
      <w:r w:rsidR="00CC0F32">
        <w:t xml:space="preserve">launched in 2021 </w:t>
      </w:r>
      <w:r>
        <w:t xml:space="preserve">is to look at the use of civil nuclear power generation in </w:t>
      </w:r>
      <w:r w:rsidR="0010323D">
        <w:t>a different way from the past</w:t>
      </w:r>
      <w:r w:rsidR="000A6640">
        <w:t xml:space="preserve"> using the SMR technology</w:t>
      </w:r>
      <w:r w:rsidR="0010323D">
        <w:t>. B</w:t>
      </w:r>
      <w:r>
        <w:t xml:space="preserve">y extending its role beyond </w:t>
      </w:r>
      <w:r w:rsidR="0010323D">
        <w:t xml:space="preserve">pure power </w:t>
      </w:r>
      <w:r>
        <w:t>generation</w:t>
      </w:r>
      <w:r w:rsidR="00053813">
        <w:t>. In this context,</w:t>
      </w:r>
      <w:r w:rsidR="0010323D">
        <w:t xml:space="preserve"> two major routes were </w:t>
      </w:r>
      <w:r w:rsidR="00053813">
        <w:t xml:space="preserve">initially </w:t>
      </w:r>
      <w:r w:rsidR="0010323D">
        <w:t>explored:</w:t>
      </w:r>
    </w:p>
    <w:p w14:paraId="5C43089B" w14:textId="44A0ED1C" w:rsidR="00920DD2" w:rsidRDefault="00124C46" w:rsidP="0010323D">
      <w:pPr>
        <w:pStyle w:val="Corpsdetexte"/>
        <w:numPr>
          <w:ilvl w:val="0"/>
          <w:numId w:val="20"/>
        </w:numPr>
        <w:ind w:left="709"/>
      </w:pPr>
      <w:r>
        <w:t>The prod</w:t>
      </w:r>
      <w:r w:rsidR="00CC0F32">
        <w:t xml:space="preserve">uction of heat </w:t>
      </w:r>
      <w:r>
        <w:t xml:space="preserve">in cogeneration with electricity </w:t>
      </w:r>
      <w:r w:rsidR="0010323D">
        <w:t>with a first use case dedicated to</w:t>
      </w:r>
      <w:r>
        <w:t xml:space="preserve"> the production of hydrogen using the High Temperature </w:t>
      </w:r>
      <w:r w:rsidR="00FA06A7">
        <w:t xml:space="preserve">Steam </w:t>
      </w:r>
      <w:r>
        <w:t>Electrolysis (HT</w:t>
      </w:r>
      <w:r w:rsidR="00FA06A7">
        <w:t>S</w:t>
      </w:r>
      <w:r>
        <w:t>E);</w:t>
      </w:r>
    </w:p>
    <w:p w14:paraId="48AA2490" w14:textId="2F0C7A01" w:rsidR="00124C46" w:rsidRDefault="00124C46" w:rsidP="0010323D">
      <w:pPr>
        <w:pStyle w:val="Corpsdetexte"/>
        <w:numPr>
          <w:ilvl w:val="0"/>
          <w:numId w:val="20"/>
        </w:numPr>
        <w:ind w:left="709"/>
      </w:pPr>
      <w:r>
        <w:t xml:space="preserve">The production of hot water </w:t>
      </w:r>
      <w:r w:rsidR="00CC0F32">
        <w:t xml:space="preserve">or steam </w:t>
      </w:r>
      <w:r>
        <w:t xml:space="preserve">at low temperature (150°C), for </w:t>
      </w:r>
      <w:r w:rsidR="00CC0F32">
        <w:t xml:space="preserve">industrial, </w:t>
      </w:r>
      <w:r>
        <w:t xml:space="preserve">domestic use </w:t>
      </w:r>
      <w:r w:rsidR="00CC0F32">
        <w:t>and emerging needs</w:t>
      </w:r>
      <w:r w:rsidR="0010323D">
        <w:t xml:space="preserve"> </w:t>
      </w:r>
      <w:r>
        <w:t xml:space="preserve">using a nuclear reactor of the </w:t>
      </w:r>
      <w:r w:rsidR="001B5FBE">
        <w:t>Light Water Reactor (</w:t>
      </w:r>
      <w:r>
        <w:t>LWR</w:t>
      </w:r>
      <w:r w:rsidR="001B5FBE">
        <w:t>)</w:t>
      </w:r>
      <w:r>
        <w:t xml:space="preserve"> type.</w:t>
      </w:r>
    </w:p>
    <w:p w14:paraId="776587C0" w14:textId="77777777" w:rsidR="00053813" w:rsidRDefault="00124C46" w:rsidP="00872DC8">
      <w:pPr>
        <w:pStyle w:val="Corpsdetexte"/>
      </w:pPr>
      <w:r>
        <w:t xml:space="preserve">For these so-called local applications, because of the difficulty of transporting the heat in particular, the </w:t>
      </w:r>
      <w:r w:rsidR="00CC0F32">
        <w:t xml:space="preserve">range of power of SMR technology appears relevant regarding </w:t>
      </w:r>
      <w:r w:rsidR="00053813">
        <w:t>local</w:t>
      </w:r>
      <w:r w:rsidR="000A6640">
        <w:t xml:space="preserve"> </w:t>
      </w:r>
      <w:r w:rsidR="00053813">
        <w:t>energy on the scale of industrial zones</w:t>
      </w:r>
      <w:r w:rsidR="0010323D">
        <w:t>.</w:t>
      </w:r>
      <w:r w:rsidR="002732AD">
        <w:t xml:space="preserve"> And as heat can be easily stored and the characteristics of SMR is adapted to </w:t>
      </w:r>
      <w:r w:rsidR="00C81732">
        <w:t>storage in terms of power and temperature, studies were performed to introduce storage systems in order to increase flexibility, safety and profitability.</w:t>
      </w:r>
    </w:p>
    <w:p w14:paraId="04FE0A3A" w14:textId="6AB0FD84" w:rsidR="00C05857" w:rsidRDefault="002732AD" w:rsidP="00872DC8">
      <w:pPr>
        <w:pStyle w:val="Corpsdetexte"/>
      </w:pPr>
      <w:r w:rsidRPr="006C3863">
        <w:t xml:space="preserve">The development </w:t>
      </w:r>
      <w:r>
        <w:t>process</w:t>
      </w:r>
      <w:r w:rsidRPr="006C3863">
        <w:t xml:space="preserve"> adopted is</w:t>
      </w:r>
      <w:r>
        <w:t xml:space="preserve"> based on a market driven approach</w:t>
      </w:r>
      <w:r w:rsidR="007E5A4F">
        <w:t xml:space="preserve"> with</w:t>
      </w:r>
      <w:r w:rsidRPr="006C3863">
        <w:t xml:space="preserve"> </w:t>
      </w:r>
      <w:r w:rsidR="00053813">
        <w:t xml:space="preserve">a </w:t>
      </w:r>
      <w:r w:rsidRPr="006C3863">
        <w:t>systematic analysis of generic markets meeting decarbonised energy needs that must be met by 2050 to achieve carbon neutrality.</w:t>
      </w:r>
      <w:r>
        <w:t xml:space="preserve"> </w:t>
      </w:r>
    </w:p>
    <w:p w14:paraId="6BD3D283" w14:textId="7A8615C4" w:rsidR="000B6D91" w:rsidRDefault="002732AD" w:rsidP="00872DC8">
      <w:pPr>
        <w:pStyle w:val="Corpsdetexte"/>
      </w:pPr>
      <w:r>
        <w:t xml:space="preserve">After a 3 years phase of the project a global view </w:t>
      </w:r>
      <w:r w:rsidR="00C81732">
        <w:t xml:space="preserve">of the role of </w:t>
      </w:r>
      <w:r w:rsidR="00872DC8">
        <w:t>SMR for decarbonization is shown in Fig. 1.</w:t>
      </w:r>
      <w:r w:rsidR="00415B41">
        <w:t xml:space="preserve"> Each application reach to perform studies to evaluate the relevance of using the SMR technology and to develop both specific configuration for the reactor and technological bricks for coupling the systems.</w:t>
      </w:r>
    </w:p>
    <w:p w14:paraId="35F442F5" w14:textId="1DC50402" w:rsidR="0013794C" w:rsidRDefault="00C81732" w:rsidP="00872DC8">
      <w:pPr>
        <w:pStyle w:val="Paragraphedeliste"/>
        <w:autoSpaceDE w:val="0"/>
        <w:autoSpaceDN w:val="0"/>
        <w:adjustRightInd w:val="0"/>
        <w:ind w:left="0"/>
        <w:jc w:val="center"/>
        <w:rPr>
          <w:rFonts w:ascii="Times New Roman" w:eastAsia="Times New Roman" w:hAnsi="Times New Roman" w:cs="Times New Roman"/>
          <w:sz w:val="20"/>
          <w:szCs w:val="20"/>
          <w:lang w:val="en-GB"/>
        </w:rPr>
      </w:pPr>
      <w:r>
        <w:rPr>
          <w:rFonts w:ascii="Times New Roman" w:eastAsia="Times New Roman" w:hAnsi="Times New Roman" w:cs="Times New Roman"/>
          <w:noProof/>
          <w:sz w:val="20"/>
          <w:szCs w:val="20"/>
          <w:lang w:eastAsia="fr-FR"/>
        </w:rPr>
        <w:lastRenderedPageBreak/>
        <w:drawing>
          <wp:inline distT="0" distB="0" distL="0" distR="0" wp14:anchorId="67B70EB2" wp14:editId="056F7AB1">
            <wp:extent cx="5894094" cy="2912156"/>
            <wp:effectExtent l="0" t="0" r="0" b="2540"/>
            <wp:docPr id="287" name="Imag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0440" cy="3014108"/>
                    </a:xfrm>
                    <a:prstGeom prst="rect">
                      <a:avLst/>
                    </a:prstGeom>
                    <a:noFill/>
                  </pic:spPr>
                </pic:pic>
              </a:graphicData>
            </a:graphic>
          </wp:inline>
        </w:drawing>
      </w:r>
    </w:p>
    <w:p w14:paraId="73C39439" w14:textId="2E95E3AE" w:rsidR="009956F8" w:rsidRPr="00891B3B" w:rsidRDefault="009956F8" w:rsidP="009956F8">
      <w:pPr>
        <w:spacing w:after="60"/>
        <w:jc w:val="center"/>
        <w:rPr>
          <w:i/>
          <w:noProof/>
          <w:sz w:val="18"/>
          <w:szCs w:val="18"/>
          <w:lang w:val="en-US" w:eastAsia="fr-FR"/>
        </w:rPr>
      </w:pPr>
      <w:r w:rsidRPr="00891B3B">
        <w:rPr>
          <w:i/>
          <w:noProof/>
          <w:sz w:val="18"/>
          <w:szCs w:val="18"/>
          <w:lang w:val="en-US" w:eastAsia="fr-FR"/>
        </w:rPr>
        <w:t>FIG. 1:</w:t>
      </w:r>
      <w:r>
        <w:rPr>
          <w:i/>
          <w:noProof/>
          <w:sz w:val="18"/>
          <w:szCs w:val="18"/>
          <w:lang w:val="en-US" w:eastAsia="fr-FR"/>
        </w:rPr>
        <w:t>Potential application using SMR technology for decarbonization</w:t>
      </w:r>
      <w:r w:rsidRPr="00891B3B">
        <w:rPr>
          <w:i/>
          <w:noProof/>
          <w:sz w:val="18"/>
          <w:szCs w:val="18"/>
          <w:lang w:val="en-US" w:eastAsia="fr-FR"/>
        </w:rPr>
        <w:t>.</w:t>
      </w:r>
    </w:p>
    <w:p w14:paraId="744521AA" w14:textId="3D27A237" w:rsidR="0026525A" w:rsidRPr="00724293" w:rsidRDefault="004542BE" w:rsidP="00724293">
      <w:pPr>
        <w:pStyle w:val="Corpsdetexte"/>
        <w:rPr>
          <w:lang w:val="en-US"/>
        </w:rPr>
      </w:pPr>
      <w:r>
        <w:t>The objective of this paper is to share the progress status of the</w:t>
      </w:r>
      <w:r w:rsidRPr="004542BE">
        <w:t xml:space="preserve"> different configurations studied in relation to</w:t>
      </w:r>
      <w:r>
        <w:t xml:space="preserve"> the main applications selected,</w:t>
      </w:r>
      <w:r w:rsidR="00B6756D">
        <w:t xml:space="preserve"> with a focus on</w:t>
      </w:r>
      <w:r w:rsidR="00724293">
        <w:t xml:space="preserve"> p</w:t>
      </w:r>
      <w:r w:rsidR="00461BB9" w:rsidRPr="00415B41">
        <w:t>u</w:t>
      </w:r>
      <w:r w:rsidR="00D412E5" w:rsidRPr="00415B41">
        <w:t xml:space="preserve">re heating SMR </w:t>
      </w:r>
      <w:r w:rsidR="00415B41">
        <w:t xml:space="preserve">called </w:t>
      </w:r>
      <w:r w:rsidR="00D412E5" w:rsidRPr="00415B41">
        <w:t>ARCHEOS concept,</w:t>
      </w:r>
      <w:r w:rsidR="00724293">
        <w:rPr>
          <w:lang w:val="en-US"/>
        </w:rPr>
        <w:t xml:space="preserve"> c</w:t>
      </w:r>
      <w:proofErr w:type="spellStart"/>
      <w:r w:rsidR="00657ECB" w:rsidRPr="00415B41">
        <w:t>oupled</w:t>
      </w:r>
      <w:proofErr w:type="spellEnd"/>
      <w:r w:rsidR="00461BB9" w:rsidRPr="00415B41">
        <w:t xml:space="preserve"> system </w:t>
      </w:r>
      <w:r w:rsidR="00D412E5" w:rsidRPr="00415B41">
        <w:t xml:space="preserve">in cogeneration </w:t>
      </w:r>
      <w:r w:rsidR="00461BB9" w:rsidRPr="00415B41">
        <w:t>between SMRs and HTSE for hydrogen production and kerosene synthesis</w:t>
      </w:r>
      <w:r w:rsidR="00D8167A">
        <w:t xml:space="preserve"> for aviation</w:t>
      </w:r>
      <w:r w:rsidR="00724293">
        <w:t xml:space="preserve"> and </w:t>
      </w:r>
      <w:r w:rsidR="00461BB9" w:rsidRPr="00415B41">
        <w:t>SMR coupled with massive h</w:t>
      </w:r>
      <w:r w:rsidR="00A1757C" w:rsidRPr="00415B41">
        <w:t>eat storage for flexibility.</w:t>
      </w:r>
      <w:r w:rsidR="00657ECB">
        <w:t xml:space="preserve"> </w:t>
      </w:r>
      <w:r w:rsidR="00920DD2" w:rsidRPr="00053813">
        <w:t xml:space="preserve">Lastly, </w:t>
      </w:r>
      <w:r w:rsidR="00124C46" w:rsidRPr="00053813">
        <w:t>European cooperation through E</w:t>
      </w:r>
      <w:r w:rsidR="00E92016">
        <w:t>URATOM</w:t>
      </w:r>
      <w:r w:rsidR="00124C46" w:rsidRPr="00053813">
        <w:t xml:space="preserve"> projet </w:t>
      </w:r>
      <w:r w:rsidR="00920DD2" w:rsidRPr="00053813">
        <w:t>industrial prospects will be presented.</w:t>
      </w:r>
    </w:p>
    <w:p w14:paraId="1B297C48" w14:textId="1B669235" w:rsidR="00EE0041" w:rsidRDefault="00053813" w:rsidP="0026525A">
      <w:pPr>
        <w:pStyle w:val="Titre2"/>
        <w:numPr>
          <w:ilvl w:val="1"/>
          <w:numId w:val="10"/>
        </w:numPr>
      </w:pPr>
      <w:r>
        <w:t xml:space="preserve">FIRST </w:t>
      </w:r>
      <w:r w:rsidR="00A1757C">
        <w:t>SMR</w:t>
      </w:r>
      <w:r>
        <w:t xml:space="preserve"> </w:t>
      </w:r>
      <w:r w:rsidR="00C75F67">
        <w:t xml:space="preserve">use cases </w:t>
      </w:r>
      <w:r w:rsidR="00A1757C">
        <w:t>for decarbonization</w:t>
      </w:r>
      <w:r w:rsidR="005B7C75">
        <w:t xml:space="preserve"> and flexibility</w:t>
      </w:r>
    </w:p>
    <w:p w14:paraId="3F245AD8" w14:textId="2ABE2878" w:rsidR="00FF58C0" w:rsidRPr="001E1EB8" w:rsidRDefault="00FF58C0" w:rsidP="00FF58C0">
      <w:pPr>
        <w:pStyle w:val="Titre3"/>
      </w:pPr>
      <w:r>
        <w:t>2.1.</w:t>
      </w:r>
      <w:r>
        <w:tab/>
        <w:t>Pure heating SMR: ARCHEOS concept</w:t>
      </w:r>
    </w:p>
    <w:p w14:paraId="341B3523" w14:textId="6B87A2CA" w:rsidR="00266D37" w:rsidRPr="00152D75" w:rsidRDefault="00266D37" w:rsidP="00266D37">
      <w:pPr>
        <w:spacing w:line="260" w:lineRule="atLeast"/>
        <w:ind w:firstLine="567"/>
        <w:jc w:val="both"/>
        <w:rPr>
          <w:sz w:val="20"/>
        </w:rPr>
      </w:pPr>
      <w:r w:rsidRPr="00152D75">
        <w:rPr>
          <w:sz w:val="20"/>
        </w:rPr>
        <w:t xml:space="preserve">Heat is the first use of primary energy in the world and is </w:t>
      </w:r>
      <w:r>
        <w:rPr>
          <w:sz w:val="20"/>
        </w:rPr>
        <w:t>massively carbon-based</w:t>
      </w:r>
      <w:r w:rsidRPr="00152D75">
        <w:rPr>
          <w:sz w:val="20"/>
        </w:rPr>
        <w:t>. To accompany the decarbonization of this market the CEA has been developing Smaller Modular Reactors dedicated to heat production. This market requires two specificities, heat production unit need to be located next to the consumption sites as heat cannot be transported on long distances and the heat uses vary with the temperature provided.</w:t>
      </w:r>
    </w:p>
    <w:p w14:paraId="12D24D58" w14:textId="77777777" w:rsidR="00266D37" w:rsidRPr="00152D75" w:rsidRDefault="00266D37" w:rsidP="00266D37">
      <w:pPr>
        <w:spacing w:line="260" w:lineRule="atLeast"/>
        <w:ind w:firstLine="567"/>
        <w:jc w:val="both"/>
        <w:rPr>
          <w:sz w:val="20"/>
        </w:rPr>
      </w:pPr>
      <w:r w:rsidRPr="00152D75">
        <w:rPr>
          <w:sz w:val="20"/>
        </w:rPr>
        <w:t>Our choice was to design a SMR able to answer the heat needs as soon as possible. By mixing nuclear regulation rules and the specificities of the heat market, we designed ARCHEOS as a true compromise between a large enough reachable m</w:t>
      </w:r>
      <w:r>
        <w:rPr>
          <w:sz w:val="20"/>
        </w:rPr>
        <w:t>arket and a very simplified SMR</w:t>
      </w:r>
      <w:r w:rsidRPr="00152D75">
        <w:rPr>
          <w:sz w:val="20"/>
        </w:rPr>
        <w:t>: we limited by design the temperature of the heat produced to be used offsite at 150°C. This compromise allows ARCHEOS to operate at low pressure and to reach high safety objectives associated to low energy costs.</w:t>
      </w:r>
      <w:r>
        <w:rPr>
          <w:sz w:val="20"/>
        </w:rPr>
        <w:t xml:space="preserve"> By reusing proven technologies, we limit technical and regulatory risks so that ARCHEOS could reach the market at the beginning of the 2030s with a high confidence.</w:t>
      </w:r>
    </w:p>
    <w:p w14:paraId="68B2DA52" w14:textId="5545F9C9" w:rsidR="00266D37" w:rsidRPr="00DE0D95" w:rsidRDefault="00266D37" w:rsidP="00DE0D95">
      <w:pPr>
        <w:spacing w:line="260" w:lineRule="atLeast"/>
        <w:jc w:val="both"/>
        <w:rPr>
          <w:sz w:val="20"/>
        </w:rPr>
      </w:pPr>
      <w:r w:rsidRPr="00152D75">
        <w:rPr>
          <w:sz w:val="20"/>
        </w:rPr>
        <w:t xml:space="preserve">The 100-150°C market </w:t>
      </w:r>
      <w:r>
        <w:rPr>
          <w:sz w:val="20"/>
        </w:rPr>
        <w:t xml:space="preserve">targeted by ARCHEOS </w:t>
      </w:r>
      <w:r w:rsidR="007E5A4F">
        <w:rPr>
          <w:sz w:val="20"/>
        </w:rPr>
        <w:t xml:space="preserve">is </w:t>
      </w:r>
      <w:r w:rsidR="00DE0D95">
        <w:rPr>
          <w:sz w:val="20"/>
        </w:rPr>
        <w:t xml:space="preserve">mainly </w:t>
      </w:r>
      <w:r w:rsidR="007E5A4F">
        <w:rPr>
          <w:sz w:val="20"/>
        </w:rPr>
        <w:t>dedicated to</w:t>
      </w:r>
      <w:r w:rsidR="00DE0D95">
        <w:rPr>
          <w:sz w:val="20"/>
        </w:rPr>
        <w:t xml:space="preserve"> f</w:t>
      </w:r>
      <w:r w:rsidRPr="00152D75">
        <w:t>ood industry</w:t>
      </w:r>
      <w:r>
        <w:t xml:space="preserve"> </w:t>
      </w:r>
      <w:r w:rsidR="00DE0D95">
        <w:t xml:space="preserve">for </w:t>
      </w:r>
      <w:r>
        <w:t>drying and sterilization operations</w:t>
      </w:r>
      <w:r w:rsidR="00DE0D95">
        <w:t xml:space="preserve"> and i</w:t>
      </w:r>
      <w:r>
        <w:t>ndustries that require lo</w:t>
      </w:r>
      <w:r w:rsidR="00DE0D95">
        <w:t>w temperature steam such as wood industry and</w:t>
      </w:r>
      <w:r>
        <w:t xml:space="preserve"> r</w:t>
      </w:r>
      <w:r w:rsidR="00DE0D95">
        <w:t>ubber.</w:t>
      </w:r>
    </w:p>
    <w:p w14:paraId="17448BB8" w14:textId="123CB050" w:rsidR="00266D37" w:rsidRDefault="00266D37" w:rsidP="00266D37">
      <w:pPr>
        <w:spacing w:line="260" w:lineRule="atLeast"/>
        <w:ind w:firstLine="567"/>
        <w:jc w:val="both"/>
        <w:rPr>
          <w:sz w:val="20"/>
        </w:rPr>
      </w:pPr>
      <w:r w:rsidRPr="00152D75">
        <w:rPr>
          <w:sz w:val="20"/>
        </w:rPr>
        <w:t>ARCHEOS is a 50MW</w:t>
      </w:r>
      <w:r w:rsidR="00A524DA">
        <w:rPr>
          <w:sz w:val="20"/>
        </w:rPr>
        <w:t>th</w:t>
      </w:r>
      <w:r w:rsidRPr="00152D75">
        <w:rPr>
          <w:sz w:val="20"/>
        </w:rPr>
        <w:t xml:space="preserve"> </w:t>
      </w:r>
      <w:r w:rsidR="001B0CA9">
        <w:rPr>
          <w:sz w:val="20"/>
        </w:rPr>
        <w:t>LWR operated</w:t>
      </w:r>
      <w:r w:rsidRPr="00152D75">
        <w:rPr>
          <w:sz w:val="20"/>
        </w:rPr>
        <w:t xml:space="preserve"> at 14 bar. The primary </w:t>
      </w:r>
      <w:r w:rsidR="00A524DA">
        <w:rPr>
          <w:sz w:val="20"/>
        </w:rPr>
        <w:t>circuit operates between 125°C to175°C</w:t>
      </w:r>
      <w:r w:rsidRPr="00152D75">
        <w:rPr>
          <w:sz w:val="20"/>
        </w:rPr>
        <w:t>: it includes the core made of 45 LWR assemblies, control rods and its drive mechanism, an integrated pressurizer and heat exchangers. The secondary circuit is, by design, at a higher pressure (14.5 bar) and remains liquid. The secondary is mainly made of one volume around the primary vessel, separated by a thermocline between a hot zone at the top and a cold zone at the bottom. This innovative design creates a high inertia for the circuits and an important inherent safety for all operating conditions.</w:t>
      </w:r>
    </w:p>
    <w:p w14:paraId="3BB0CDF0" w14:textId="40D66B3A" w:rsidR="00266D37" w:rsidRPr="00152D75" w:rsidRDefault="00266D37" w:rsidP="00266D37">
      <w:pPr>
        <w:spacing w:line="260" w:lineRule="atLeast"/>
        <w:ind w:firstLine="567"/>
        <w:jc w:val="both"/>
        <w:rPr>
          <w:sz w:val="20"/>
        </w:rPr>
      </w:pPr>
      <w:r>
        <w:rPr>
          <w:sz w:val="20"/>
        </w:rPr>
        <w:t xml:space="preserve">The core operates for 10 years before a batch refuelling. This feature enables to have a very low residual heat after the reactor shutdown and a fast transport to an external storage or to retreatment. Therefore there is no spent fuel pool </w:t>
      </w:r>
      <w:r w:rsidR="00B33695">
        <w:rPr>
          <w:sz w:val="20"/>
        </w:rPr>
        <w:t xml:space="preserve">dedicated building </w:t>
      </w:r>
      <w:r>
        <w:rPr>
          <w:sz w:val="20"/>
        </w:rPr>
        <w:t>on a</w:t>
      </w:r>
      <w:r w:rsidR="00B33695">
        <w:rPr>
          <w:sz w:val="20"/>
        </w:rPr>
        <w:t>n</w:t>
      </w:r>
      <w:r>
        <w:rPr>
          <w:sz w:val="20"/>
        </w:rPr>
        <w:t xml:space="preserve"> ARCHEOS </w:t>
      </w:r>
      <w:r w:rsidR="002B7BAB">
        <w:rPr>
          <w:sz w:val="20"/>
        </w:rPr>
        <w:t xml:space="preserve">facility </w:t>
      </w:r>
      <w:r>
        <w:rPr>
          <w:sz w:val="20"/>
        </w:rPr>
        <w:t>and that allows to reach the economic goals.</w:t>
      </w:r>
    </w:p>
    <w:p w14:paraId="6C0F808D" w14:textId="04E23557" w:rsidR="002B7BAB" w:rsidRDefault="00266D37" w:rsidP="00266D37">
      <w:pPr>
        <w:spacing w:line="260" w:lineRule="atLeast"/>
        <w:ind w:firstLine="567"/>
        <w:jc w:val="both"/>
        <w:rPr>
          <w:sz w:val="20"/>
        </w:rPr>
      </w:pPr>
      <w:r w:rsidRPr="00152D75">
        <w:rPr>
          <w:sz w:val="20"/>
        </w:rPr>
        <w:t>To be appropriate</w:t>
      </w:r>
      <w:r>
        <w:rPr>
          <w:sz w:val="20"/>
        </w:rPr>
        <w:t xml:space="preserve"> for the targeted market, ARCHEOS has a high inherent safety to eliminate all the offsite radioactive releases to facilitate public acceptance. Also</w:t>
      </w:r>
      <w:r w:rsidR="002B7BAB">
        <w:rPr>
          <w:sz w:val="20"/>
        </w:rPr>
        <w:t>,</w:t>
      </w:r>
      <w:r>
        <w:rPr>
          <w:sz w:val="20"/>
        </w:rPr>
        <w:t xml:space="preserve"> </w:t>
      </w:r>
      <w:r w:rsidR="002B7BAB">
        <w:rPr>
          <w:sz w:val="20"/>
        </w:rPr>
        <w:t>it</w:t>
      </w:r>
      <w:r>
        <w:rPr>
          <w:sz w:val="20"/>
        </w:rPr>
        <w:t xml:space="preserve"> does not use external water as heat sink so that it can be located anywhere next to the end-users.</w:t>
      </w:r>
      <w:r w:rsidR="002B7BAB">
        <w:rPr>
          <w:sz w:val="20"/>
        </w:rPr>
        <w:t xml:space="preserve"> </w:t>
      </w:r>
    </w:p>
    <w:p w14:paraId="37677FBA" w14:textId="407A3B93" w:rsidR="00266D37" w:rsidRPr="00857AC5" w:rsidRDefault="004330B6" w:rsidP="00857AC5">
      <w:pPr>
        <w:spacing w:line="260" w:lineRule="atLeast"/>
        <w:ind w:firstLine="567"/>
        <w:jc w:val="both"/>
        <w:rPr>
          <w:sz w:val="20"/>
        </w:rPr>
      </w:pPr>
      <w:r w:rsidRPr="004330B6">
        <w:rPr>
          <w:sz w:val="20"/>
        </w:rPr>
        <w:lastRenderedPageBreak/>
        <w:t>A preliminary sketch of ARCHEOS concept is shown in Fig. 2 and illustrate a</w:t>
      </w:r>
      <w:r>
        <w:rPr>
          <w:sz w:val="20"/>
        </w:rPr>
        <w:t>n</w:t>
      </w:r>
      <w:r w:rsidRPr="004330B6">
        <w:rPr>
          <w:sz w:val="20"/>
        </w:rPr>
        <w:t xml:space="preserve"> optimized footprint limited to less than one hectare.</w:t>
      </w:r>
      <w:r w:rsidR="00857AC5">
        <w:rPr>
          <w:sz w:val="20"/>
        </w:rPr>
        <w:t xml:space="preserve"> </w:t>
      </w:r>
      <w:r>
        <w:rPr>
          <w:sz w:val="20"/>
        </w:rPr>
        <w:t xml:space="preserve">The project is currently under its pre-conceptual design phase in the CEA and may be developed by an external structure gathering the CEA and industrial partners until 2029 when the building of the </w:t>
      </w:r>
      <w:r w:rsidR="00FA06A7">
        <w:rPr>
          <w:sz w:val="20"/>
        </w:rPr>
        <w:t>F</w:t>
      </w:r>
      <w:r>
        <w:rPr>
          <w:sz w:val="20"/>
        </w:rPr>
        <w:t xml:space="preserve">irst-Of-A-Kind </w:t>
      </w:r>
      <w:r w:rsidR="00FA06A7">
        <w:rPr>
          <w:sz w:val="20"/>
        </w:rPr>
        <w:t xml:space="preserve">(FOAK) </w:t>
      </w:r>
      <w:r>
        <w:rPr>
          <w:sz w:val="20"/>
        </w:rPr>
        <w:t>is planned</w:t>
      </w:r>
      <w:r w:rsidR="00FA06A7">
        <w:rPr>
          <w:sz w:val="20"/>
        </w:rPr>
        <w:t>.</w:t>
      </w:r>
    </w:p>
    <w:p w14:paraId="4986BF46" w14:textId="67119BC0" w:rsidR="004330B6" w:rsidRDefault="00857AC5" w:rsidP="00857AC5">
      <w:pPr>
        <w:spacing w:after="60"/>
        <w:jc w:val="center"/>
        <w:rPr>
          <w:i/>
          <w:noProof/>
          <w:sz w:val="18"/>
          <w:szCs w:val="18"/>
          <w:lang w:val="en-US" w:eastAsia="fr-FR"/>
        </w:rPr>
      </w:pPr>
      <w:r w:rsidRPr="004330B6">
        <w:rPr>
          <w:noProof/>
          <w:sz w:val="20"/>
          <w:lang w:val="fr-FR" w:eastAsia="fr-FR"/>
        </w:rPr>
        <w:drawing>
          <wp:inline distT="0" distB="0" distL="0" distR="0" wp14:anchorId="07C33038" wp14:editId="31F2168E">
            <wp:extent cx="2674114" cy="1427968"/>
            <wp:effectExtent l="0" t="0" r="0" b="127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t="9081" r="4246"/>
                    <a:stretch/>
                  </pic:blipFill>
                  <pic:spPr>
                    <a:xfrm>
                      <a:off x="0" y="0"/>
                      <a:ext cx="2743925" cy="1465247"/>
                    </a:xfrm>
                    <a:prstGeom prst="rect">
                      <a:avLst/>
                    </a:prstGeom>
                  </pic:spPr>
                </pic:pic>
              </a:graphicData>
            </a:graphic>
          </wp:inline>
        </w:drawing>
      </w:r>
    </w:p>
    <w:p w14:paraId="189BC57C" w14:textId="6322CFB2" w:rsidR="00266D37" w:rsidRPr="00E22FB7" w:rsidRDefault="00266D37" w:rsidP="00857AC5">
      <w:pPr>
        <w:spacing w:after="60"/>
        <w:jc w:val="center"/>
        <w:rPr>
          <w:i/>
          <w:noProof/>
          <w:sz w:val="18"/>
          <w:szCs w:val="18"/>
          <w:lang w:val="en-US" w:eastAsia="fr-FR"/>
        </w:rPr>
      </w:pPr>
      <w:r w:rsidRPr="00E22FB7">
        <w:rPr>
          <w:i/>
          <w:noProof/>
          <w:sz w:val="18"/>
          <w:szCs w:val="18"/>
          <w:lang w:val="en-US" w:eastAsia="fr-FR"/>
        </w:rPr>
        <w:t xml:space="preserve">FIG. </w:t>
      </w:r>
      <w:r>
        <w:rPr>
          <w:i/>
          <w:noProof/>
          <w:sz w:val="18"/>
          <w:szCs w:val="18"/>
          <w:lang w:val="en-US" w:eastAsia="fr-FR"/>
        </w:rPr>
        <w:t>2</w:t>
      </w:r>
      <w:r w:rsidRPr="00E22FB7">
        <w:rPr>
          <w:i/>
          <w:noProof/>
          <w:sz w:val="18"/>
          <w:szCs w:val="18"/>
          <w:lang w:val="en-US" w:eastAsia="fr-FR"/>
        </w:rPr>
        <w:t>: typical ARCHEOS site with the reactor bulding at the back</w:t>
      </w:r>
    </w:p>
    <w:p w14:paraId="0F3FB359" w14:textId="1A108FA0" w:rsidR="001A64F3" w:rsidRPr="001E1EB8" w:rsidRDefault="001E1EB8" w:rsidP="001E1EB8">
      <w:pPr>
        <w:pStyle w:val="Titre3"/>
      </w:pPr>
      <w:r>
        <w:t>2.</w:t>
      </w:r>
      <w:r w:rsidR="00FF58C0">
        <w:t>2</w:t>
      </w:r>
      <w:r>
        <w:t>.</w:t>
      </w:r>
      <w:r>
        <w:tab/>
      </w:r>
      <w:r w:rsidR="00266D37" w:rsidRPr="001E1EB8">
        <w:t xml:space="preserve">SMR in cogeneration for </w:t>
      </w:r>
      <w:r w:rsidR="00FF58C0">
        <w:t>hydrogen production</w:t>
      </w:r>
    </w:p>
    <w:p w14:paraId="45883B20" w14:textId="293396EE" w:rsidR="00A8442C" w:rsidRDefault="00A8442C" w:rsidP="00A8442C">
      <w:pPr>
        <w:pStyle w:val="Authornameandaffiliation"/>
        <w:ind w:left="0" w:firstLine="567"/>
        <w:jc w:val="both"/>
        <w:rPr>
          <w:lang w:val="en-GB"/>
        </w:rPr>
      </w:pPr>
      <w:r w:rsidRPr="003D2162">
        <w:rPr>
          <w:lang w:val="en-GB"/>
        </w:rPr>
        <w:t xml:space="preserve">This </w:t>
      </w:r>
      <w:r>
        <w:rPr>
          <w:lang w:val="en-GB"/>
        </w:rPr>
        <w:t>subsection</w:t>
      </w:r>
      <w:r w:rsidRPr="003D2162">
        <w:rPr>
          <w:lang w:val="en-GB"/>
        </w:rPr>
        <w:t xml:space="preserve"> addresses the clean and massive hydrogen production through the coupling of a SMR nuclear unit to a hydrogen production process using HTSE. </w:t>
      </w:r>
      <w:r>
        <w:rPr>
          <w:lang w:val="en-GB"/>
        </w:rPr>
        <w:t xml:space="preserve">As HTSE requires </w:t>
      </w:r>
      <w:r w:rsidR="009549F8">
        <w:rPr>
          <w:lang w:val="en-GB"/>
        </w:rPr>
        <w:t>power</w:t>
      </w:r>
      <w:r>
        <w:rPr>
          <w:lang w:val="en-GB"/>
        </w:rPr>
        <w:t xml:space="preserve"> and thermal energy as inputs, this technology is an attractive solution to produce clean hydrogen as it is connected to clean energy source. </w:t>
      </w:r>
      <w:r>
        <w:t xml:space="preserve">Temperatures of </w:t>
      </w:r>
      <w:r>
        <w:rPr>
          <w:lang w:val="en-GB"/>
        </w:rPr>
        <w:t>thermal coupling</w:t>
      </w:r>
      <w:r>
        <w:t xml:space="preserve"> circuits are moderate and the distance between LWR and HTSE is supposed to be short: for example, the distance </w:t>
      </w:r>
      <w:r w:rsidRPr="00B4134A">
        <w:t>from the nuclear reacto</w:t>
      </w:r>
      <w:r>
        <w:t>r to the HTSE plant is</w:t>
      </w:r>
      <w:r w:rsidRPr="00B4134A">
        <w:t xml:space="preserve"> of 1000 m</w:t>
      </w:r>
      <w:r>
        <w:t xml:space="preserve"> in [</w:t>
      </w:r>
      <w:r>
        <w:rPr>
          <w:rFonts w:eastAsia="MS Mincho"/>
          <w:bCs/>
        </w:rPr>
        <w:t>1]</w:t>
      </w:r>
      <w:r w:rsidRPr="00B4134A">
        <w:t>.</w:t>
      </w:r>
      <w:r>
        <w:t xml:space="preserve"> </w:t>
      </w:r>
      <w:r>
        <w:rPr>
          <w:lang w:val="en-GB"/>
        </w:rPr>
        <w:t xml:space="preserve">In details we investigated various architectures of </w:t>
      </w:r>
      <w:r w:rsidR="0005589E">
        <w:rPr>
          <w:lang w:val="en-GB"/>
        </w:rPr>
        <w:t xml:space="preserve">optimized </w:t>
      </w:r>
      <w:r>
        <w:rPr>
          <w:lang w:val="en-GB"/>
        </w:rPr>
        <w:t>thermal coupling</w:t>
      </w:r>
      <w:r w:rsidR="0005589E">
        <w:rPr>
          <w:lang w:val="en-GB"/>
        </w:rPr>
        <w:t xml:space="preserve"> to increase the global energetic efficiency</w:t>
      </w:r>
      <w:r>
        <w:rPr>
          <w:lang w:val="en-GB"/>
        </w:rPr>
        <w:t xml:space="preserve">, but all rely </w:t>
      </w:r>
      <w:r w:rsidR="00F55DD3">
        <w:rPr>
          <w:lang w:val="en-GB"/>
        </w:rPr>
        <w:t>on two distinct circuits (Fig. 3</w:t>
      </w:r>
      <w:r>
        <w:rPr>
          <w:lang w:val="en-GB"/>
        </w:rPr>
        <w:t>):</w:t>
      </w:r>
    </w:p>
    <w:p w14:paraId="500A7736" w14:textId="15608D13" w:rsidR="001E0A8A" w:rsidRDefault="00A8442C" w:rsidP="003564AF">
      <w:pPr>
        <w:pStyle w:val="ListEmdash"/>
        <w:suppressAutoHyphens/>
        <w:overflowPunct w:val="0"/>
        <w:autoSpaceDE w:val="0"/>
        <w:autoSpaceDN w:val="0"/>
        <w:adjustRightInd w:val="0"/>
        <w:spacing w:line="240" w:lineRule="auto"/>
        <w:ind w:left="709"/>
        <w:contextualSpacing w:val="0"/>
        <w:textAlignment w:val="baseline"/>
      </w:pPr>
      <w:r w:rsidRPr="00E4689E">
        <w:t xml:space="preserve">Heat from SMR to HTSE unit: this system consists of </w:t>
      </w:r>
      <w:proofErr w:type="gramStart"/>
      <w:r w:rsidRPr="00E4689E">
        <w:t>an</w:t>
      </w:r>
      <w:proofErr w:type="gramEnd"/>
      <w:r w:rsidRPr="00E4689E">
        <w:t xml:space="preserve"> heat exchanger added to the Rankine cycle (HX1). In main cases, this exchanger is located parallel to the </w:t>
      </w:r>
      <w:r w:rsidR="00A62371">
        <w:t>high pressure</w:t>
      </w:r>
      <w:r w:rsidRPr="00E4689E">
        <w:t xml:space="preserve"> preheater extracti</w:t>
      </w:r>
      <w:r w:rsidR="00A62371">
        <w:t>on (PHH) at the exhaust of the high pressure t</w:t>
      </w:r>
      <w:r w:rsidRPr="00E4689E">
        <w:t xml:space="preserve">urbine. In some variant cases, it can be located at the outlet of the steam generator, or connected to an extraction line inside the </w:t>
      </w:r>
      <w:r w:rsidR="00A62371">
        <w:t>low pressure</w:t>
      </w:r>
      <w:r w:rsidRPr="00E4689E">
        <w:t xml:space="preserve"> turbine. This exchanger transfers its heat to an intermediate pressurized water loop</w:t>
      </w:r>
      <w:r>
        <w:t xml:space="preserve"> (HT-COCIR circuit)</w:t>
      </w:r>
      <w:r w:rsidRPr="00E4689E">
        <w:t xml:space="preserve"> that transports the extracted heat to the HTSE site, where one steam generator (HX2) responds to the HTSE demand, in conjunction with a steam generator (S1 circuit) exploiting some waste heat coming back from the HTSE system. This system has as an objective to produce superheated steam needed at th</w:t>
      </w:r>
      <w:r>
        <w:t>e inlet of the HTSE.</w:t>
      </w:r>
      <w:r w:rsidRPr="00E4689E">
        <w:t xml:space="preserve"> Preliminary technical studies have concluded that su</w:t>
      </w:r>
      <w:r w:rsidR="00C350CA">
        <w:t>ch circuit will work between 25</w:t>
      </w:r>
      <w:r w:rsidR="0005589E" w:rsidRPr="00C350CA">
        <w:t>°</w:t>
      </w:r>
      <w:r w:rsidRPr="00C350CA">
        <w:t>C</w:t>
      </w:r>
      <w:r w:rsidR="00C350CA">
        <w:t xml:space="preserve"> and 115-150</w:t>
      </w:r>
      <w:r w:rsidR="00C350CA" w:rsidRPr="00C350CA">
        <w:t>°C</w:t>
      </w:r>
      <w:r w:rsidRPr="00E4689E">
        <w:t xml:space="preserve"> depending on the configuration.</w:t>
      </w:r>
    </w:p>
    <w:p w14:paraId="421A4D6B" w14:textId="24242258" w:rsidR="00A8442C" w:rsidRDefault="00A8442C" w:rsidP="003564AF">
      <w:pPr>
        <w:pStyle w:val="ListEmdash"/>
        <w:suppressAutoHyphens/>
        <w:overflowPunct w:val="0"/>
        <w:autoSpaceDE w:val="0"/>
        <w:autoSpaceDN w:val="0"/>
        <w:adjustRightInd w:val="0"/>
        <w:spacing w:line="240" w:lineRule="auto"/>
        <w:ind w:left="709"/>
        <w:contextualSpacing w:val="0"/>
        <w:textAlignment w:val="baseline"/>
      </w:pPr>
      <w:r w:rsidRPr="00E4689E">
        <w:t>Heat from HTSE unit back to SMR: this system consists of several heat exchangers (S2) returning waste heat to the SMR, using a pressurised water intermediate loop</w:t>
      </w:r>
      <w:r>
        <w:t xml:space="preserve"> (LT-COCIR circuit)</w:t>
      </w:r>
      <w:r w:rsidRPr="00E4689E">
        <w:t xml:space="preserve">. This loop transfers its heat to the SMR through an </w:t>
      </w:r>
      <w:proofErr w:type="spellStart"/>
      <w:r w:rsidRPr="00E4689E">
        <w:t>exchanger</w:t>
      </w:r>
      <w:proofErr w:type="spellEnd"/>
      <w:r w:rsidRPr="00E4689E">
        <w:t xml:space="preserve"> (HX3) mounted in parallel to the first preheater (PHL). For sake of simplicity, a unique recovery loop is used. Preliminary optimization studies have concluded that such circuit will work between 40</w:t>
      </w:r>
      <w:r w:rsidR="00C350CA" w:rsidRPr="00C350CA">
        <w:t>°C</w:t>
      </w:r>
      <w:r w:rsidR="00C350CA">
        <w:t xml:space="preserve"> and 90-110</w:t>
      </w:r>
      <w:r w:rsidR="00C350CA" w:rsidRPr="00C350CA">
        <w:t>°C</w:t>
      </w:r>
      <w:r w:rsidRPr="00E4689E">
        <w:t xml:space="preserve"> depending on the configuration. </w:t>
      </w:r>
    </w:p>
    <w:p w14:paraId="1CCFB0AF" w14:textId="0336C817" w:rsidR="005855F4" w:rsidRDefault="005855F4" w:rsidP="000E3692">
      <w:pPr>
        <w:pStyle w:val="Retraitcorpsdetexte"/>
        <w:suppressAutoHyphens/>
        <w:overflowPunct w:val="0"/>
        <w:autoSpaceDE w:val="0"/>
        <w:autoSpaceDN w:val="0"/>
        <w:adjustRightInd w:val="0"/>
        <w:spacing w:line="240" w:lineRule="auto"/>
        <w:ind w:left="0" w:firstLine="360"/>
        <w:contextualSpacing w:val="0"/>
        <w:textAlignment w:val="baseline"/>
      </w:pPr>
    </w:p>
    <w:tbl>
      <w:tblPr>
        <w:tblStyle w:val="Grilledutableau"/>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098"/>
      </w:tblGrid>
      <w:tr w:rsidR="00A8442C" w14:paraId="61C35DD3" w14:textId="77777777" w:rsidTr="00125F3E">
        <w:tc>
          <w:tcPr>
            <w:tcW w:w="4820" w:type="dxa"/>
          </w:tcPr>
          <w:p w14:paraId="2C68E1EB" w14:textId="77777777" w:rsidR="00A8442C" w:rsidRDefault="00A8442C" w:rsidP="00001F2A">
            <w:pPr>
              <w:pStyle w:val="Corpsdetexte"/>
              <w:ind w:firstLine="0"/>
              <w:jc w:val="left"/>
            </w:pPr>
            <w:r>
              <w:rPr>
                <w:noProof/>
                <w:lang w:val="fr-FR" w:eastAsia="fr-FR"/>
              </w:rPr>
              <w:drawing>
                <wp:inline distT="0" distB="0" distL="0" distR="0" wp14:anchorId="11AB1612" wp14:editId="2D9B9589">
                  <wp:extent cx="2867025" cy="264810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4266" cy="2719445"/>
                          </a:xfrm>
                          <a:prstGeom prst="rect">
                            <a:avLst/>
                          </a:prstGeom>
                          <a:noFill/>
                        </pic:spPr>
                      </pic:pic>
                    </a:graphicData>
                  </a:graphic>
                </wp:inline>
              </w:drawing>
            </w:r>
          </w:p>
        </w:tc>
        <w:tc>
          <w:tcPr>
            <w:tcW w:w="5098" w:type="dxa"/>
          </w:tcPr>
          <w:p w14:paraId="4EAFBAF4" w14:textId="77777777" w:rsidR="00A8442C" w:rsidRPr="00BB0601" w:rsidRDefault="00A8442C" w:rsidP="00001F2A">
            <w:pPr>
              <w:pStyle w:val="Retraitcorpsdetexte"/>
              <w:ind w:left="360" w:firstLine="0"/>
              <w:rPr>
                <w:sz w:val="18"/>
                <w:szCs w:val="18"/>
              </w:rPr>
            </w:pPr>
            <w:r w:rsidRPr="00BB0601">
              <w:rPr>
                <w:sz w:val="18"/>
                <w:szCs w:val="18"/>
              </w:rPr>
              <w:t xml:space="preserve">CD </w:t>
            </w:r>
            <w:r w:rsidRPr="00BB0601">
              <w:rPr>
                <w:sz w:val="18"/>
                <w:szCs w:val="18"/>
              </w:rPr>
              <w:tab/>
            </w:r>
            <w:r w:rsidRPr="00BB0601">
              <w:rPr>
                <w:sz w:val="18"/>
                <w:szCs w:val="18"/>
              </w:rPr>
              <w:tab/>
              <w:t>Condenser</w:t>
            </w:r>
          </w:p>
          <w:p w14:paraId="46A40087" w14:textId="77777777" w:rsidR="00A8442C" w:rsidRDefault="00A8442C" w:rsidP="00001F2A">
            <w:pPr>
              <w:pStyle w:val="Retraitcorpsdetexte"/>
              <w:ind w:left="360" w:firstLine="0"/>
              <w:rPr>
                <w:sz w:val="18"/>
                <w:szCs w:val="18"/>
              </w:rPr>
            </w:pPr>
            <w:r w:rsidRPr="00BB0601">
              <w:rPr>
                <w:sz w:val="18"/>
                <w:szCs w:val="18"/>
              </w:rPr>
              <w:t xml:space="preserve">FWT </w:t>
            </w:r>
            <w:r w:rsidRPr="00BB0601">
              <w:rPr>
                <w:sz w:val="18"/>
                <w:szCs w:val="18"/>
              </w:rPr>
              <w:tab/>
            </w:r>
            <w:r>
              <w:rPr>
                <w:sz w:val="18"/>
                <w:szCs w:val="18"/>
              </w:rPr>
              <w:t xml:space="preserve">             </w:t>
            </w:r>
            <w:proofErr w:type="spellStart"/>
            <w:r w:rsidRPr="00BB0601">
              <w:rPr>
                <w:sz w:val="18"/>
                <w:szCs w:val="18"/>
              </w:rPr>
              <w:t>FeedWater</w:t>
            </w:r>
            <w:proofErr w:type="spellEnd"/>
            <w:r w:rsidRPr="00BB0601">
              <w:rPr>
                <w:sz w:val="18"/>
                <w:szCs w:val="18"/>
              </w:rPr>
              <w:t xml:space="preserve"> Tank</w:t>
            </w:r>
          </w:p>
          <w:p w14:paraId="1CB50560" w14:textId="77777777" w:rsidR="00A8442C" w:rsidRPr="00BB0601" w:rsidRDefault="00A8442C" w:rsidP="00001F2A">
            <w:pPr>
              <w:pStyle w:val="Retraitcorpsdetexte"/>
              <w:ind w:left="360" w:firstLine="0"/>
              <w:rPr>
                <w:sz w:val="18"/>
                <w:szCs w:val="18"/>
              </w:rPr>
            </w:pPr>
            <w:r>
              <w:rPr>
                <w:sz w:val="18"/>
                <w:szCs w:val="18"/>
              </w:rPr>
              <w:t>HP</w:t>
            </w:r>
            <w:r w:rsidRPr="00BB0601">
              <w:rPr>
                <w:sz w:val="18"/>
                <w:szCs w:val="18"/>
              </w:rPr>
              <w:t>P</w:t>
            </w:r>
            <w:r>
              <w:rPr>
                <w:sz w:val="18"/>
                <w:szCs w:val="18"/>
              </w:rPr>
              <w:tab/>
            </w:r>
            <w:r w:rsidRPr="00BB0601">
              <w:rPr>
                <w:sz w:val="18"/>
                <w:szCs w:val="18"/>
              </w:rPr>
              <w:tab/>
              <w:t>High Pressure Pump</w:t>
            </w:r>
          </w:p>
          <w:p w14:paraId="679BEE8B" w14:textId="77777777" w:rsidR="00A8442C" w:rsidRPr="00BB0601" w:rsidRDefault="00A8442C" w:rsidP="00001F2A">
            <w:pPr>
              <w:pStyle w:val="Retraitcorpsdetexte"/>
              <w:ind w:left="360" w:firstLine="0"/>
              <w:rPr>
                <w:sz w:val="18"/>
                <w:szCs w:val="18"/>
              </w:rPr>
            </w:pPr>
            <w:r w:rsidRPr="00BB0601">
              <w:rPr>
                <w:sz w:val="18"/>
                <w:szCs w:val="18"/>
              </w:rPr>
              <w:t>HPT</w:t>
            </w:r>
            <w:r w:rsidRPr="00BB0601">
              <w:rPr>
                <w:sz w:val="18"/>
                <w:szCs w:val="18"/>
              </w:rPr>
              <w:tab/>
            </w:r>
            <w:r w:rsidRPr="00BB0601">
              <w:rPr>
                <w:sz w:val="18"/>
                <w:szCs w:val="18"/>
              </w:rPr>
              <w:tab/>
              <w:t>High Pressure Turbine</w:t>
            </w:r>
          </w:p>
          <w:p w14:paraId="5781EED6" w14:textId="77777777" w:rsidR="00A34D52" w:rsidRDefault="00A8442C" w:rsidP="00001F2A">
            <w:pPr>
              <w:pStyle w:val="Retraitcorpsdetexte"/>
              <w:ind w:left="360" w:firstLine="0"/>
              <w:rPr>
                <w:sz w:val="18"/>
                <w:szCs w:val="18"/>
              </w:rPr>
            </w:pPr>
            <w:r>
              <w:rPr>
                <w:sz w:val="18"/>
                <w:szCs w:val="18"/>
              </w:rPr>
              <w:t>HT-COCIR</w:t>
            </w:r>
            <w:r>
              <w:rPr>
                <w:sz w:val="18"/>
                <w:szCs w:val="18"/>
              </w:rPr>
              <w:tab/>
              <w:t>High Temperature</w:t>
            </w:r>
          </w:p>
          <w:p w14:paraId="641B2CF3" w14:textId="593EC114" w:rsidR="00A8442C" w:rsidRDefault="00A8442C" w:rsidP="00001F2A">
            <w:pPr>
              <w:pStyle w:val="Retraitcorpsdetexte"/>
              <w:ind w:left="360" w:firstLine="0"/>
              <w:rPr>
                <w:sz w:val="18"/>
                <w:szCs w:val="18"/>
              </w:rPr>
            </w:pPr>
            <w:r>
              <w:rPr>
                <w:sz w:val="18"/>
                <w:szCs w:val="18"/>
              </w:rPr>
              <w:t xml:space="preserve"> </w:t>
            </w:r>
            <w:proofErr w:type="spellStart"/>
            <w:r>
              <w:rPr>
                <w:sz w:val="18"/>
                <w:szCs w:val="18"/>
              </w:rPr>
              <w:t>COupling</w:t>
            </w:r>
            <w:proofErr w:type="spellEnd"/>
            <w:r>
              <w:rPr>
                <w:sz w:val="18"/>
                <w:szCs w:val="18"/>
              </w:rPr>
              <w:t xml:space="preserve">              </w:t>
            </w:r>
            <w:proofErr w:type="spellStart"/>
            <w:r>
              <w:rPr>
                <w:sz w:val="18"/>
                <w:szCs w:val="18"/>
              </w:rPr>
              <w:t>CIRcuit</w:t>
            </w:r>
            <w:proofErr w:type="spellEnd"/>
          </w:p>
          <w:p w14:paraId="01985A0C" w14:textId="5389F472" w:rsidR="00A8442C" w:rsidRPr="00BB0601" w:rsidRDefault="00A8442C" w:rsidP="00001F2A">
            <w:pPr>
              <w:pStyle w:val="Retraitcorpsdetexte"/>
              <w:ind w:left="360" w:firstLine="0"/>
              <w:rPr>
                <w:sz w:val="18"/>
                <w:szCs w:val="18"/>
              </w:rPr>
            </w:pPr>
            <w:r w:rsidRPr="00BB0601">
              <w:rPr>
                <w:sz w:val="18"/>
                <w:szCs w:val="18"/>
              </w:rPr>
              <w:t xml:space="preserve">HTSE </w:t>
            </w:r>
            <w:r w:rsidRPr="00BB0601">
              <w:rPr>
                <w:sz w:val="18"/>
                <w:szCs w:val="18"/>
              </w:rPr>
              <w:tab/>
            </w:r>
            <w:r>
              <w:rPr>
                <w:sz w:val="18"/>
                <w:szCs w:val="18"/>
              </w:rPr>
              <w:t xml:space="preserve">            </w:t>
            </w:r>
            <w:r w:rsidRPr="00BB0601">
              <w:rPr>
                <w:sz w:val="18"/>
                <w:szCs w:val="18"/>
              </w:rPr>
              <w:t>High Temperature Steam Electrolysis</w:t>
            </w:r>
          </w:p>
          <w:p w14:paraId="4CC323D3" w14:textId="77777777" w:rsidR="00A8442C" w:rsidRPr="00BB0601" w:rsidRDefault="00A8442C" w:rsidP="00001F2A">
            <w:pPr>
              <w:pStyle w:val="Retraitcorpsdetexte"/>
              <w:ind w:left="360" w:firstLine="0"/>
              <w:rPr>
                <w:sz w:val="18"/>
                <w:szCs w:val="18"/>
              </w:rPr>
            </w:pPr>
            <w:r w:rsidRPr="00BB0601">
              <w:rPr>
                <w:sz w:val="18"/>
                <w:szCs w:val="18"/>
              </w:rPr>
              <w:t>LPT</w:t>
            </w:r>
            <w:r w:rsidRPr="00BB0601">
              <w:rPr>
                <w:sz w:val="18"/>
                <w:szCs w:val="18"/>
              </w:rPr>
              <w:tab/>
            </w:r>
            <w:r w:rsidRPr="00BB0601">
              <w:rPr>
                <w:sz w:val="18"/>
                <w:szCs w:val="18"/>
              </w:rPr>
              <w:tab/>
              <w:t>Low Pressure Turbine</w:t>
            </w:r>
          </w:p>
          <w:p w14:paraId="75422899" w14:textId="77777777" w:rsidR="00A8442C" w:rsidRDefault="00A8442C" w:rsidP="00001F2A">
            <w:pPr>
              <w:pStyle w:val="Retraitcorpsdetexte"/>
              <w:ind w:left="360" w:firstLine="0"/>
              <w:rPr>
                <w:sz w:val="18"/>
                <w:szCs w:val="18"/>
              </w:rPr>
            </w:pPr>
            <w:r w:rsidRPr="00BB0601">
              <w:rPr>
                <w:sz w:val="18"/>
                <w:szCs w:val="18"/>
              </w:rPr>
              <w:t>LPP</w:t>
            </w:r>
            <w:r w:rsidRPr="00BB0601">
              <w:rPr>
                <w:sz w:val="18"/>
                <w:szCs w:val="18"/>
              </w:rPr>
              <w:tab/>
            </w:r>
            <w:r w:rsidRPr="00BB0601">
              <w:rPr>
                <w:sz w:val="18"/>
                <w:szCs w:val="18"/>
              </w:rPr>
              <w:tab/>
              <w:t>Low Pressure Pump</w:t>
            </w:r>
          </w:p>
          <w:p w14:paraId="061C5DD0" w14:textId="19D3AB16" w:rsidR="00A8442C" w:rsidRDefault="00A8442C" w:rsidP="00001F2A">
            <w:pPr>
              <w:pStyle w:val="Retraitcorpsdetexte"/>
              <w:ind w:left="360" w:firstLine="0"/>
              <w:rPr>
                <w:sz w:val="18"/>
                <w:szCs w:val="18"/>
              </w:rPr>
            </w:pPr>
            <w:r>
              <w:rPr>
                <w:sz w:val="18"/>
                <w:szCs w:val="18"/>
              </w:rPr>
              <w:t>LT-COCIR</w:t>
            </w:r>
            <w:r>
              <w:rPr>
                <w:sz w:val="18"/>
                <w:szCs w:val="18"/>
              </w:rPr>
              <w:tab/>
              <w:t xml:space="preserve">Low Temperature </w:t>
            </w:r>
            <w:proofErr w:type="spellStart"/>
            <w:r>
              <w:rPr>
                <w:sz w:val="18"/>
                <w:szCs w:val="18"/>
              </w:rPr>
              <w:t>COupling</w:t>
            </w:r>
            <w:proofErr w:type="spellEnd"/>
            <w:r>
              <w:rPr>
                <w:sz w:val="18"/>
                <w:szCs w:val="18"/>
              </w:rPr>
              <w:t xml:space="preserve"> </w:t>
            </w:r>
            <w:proofErr w:type="spellStart"/>
            <w:r>
              <w:rPr>
                <w:sz w:val="18"/>
                <w:szCs w:val="18"/>
              </w:rPr>
              <w:t>CIRcuit</w:t>
            </w:r>
            <w:proofErr w:type="spellEnd"/>
          </w:p>
          <w:p w14:paraId="09479B27" w14:textId="77777777" w:rsidR="00A8442C" w:rsidRPr="00BB0601" w:rsidRDefault="00A8442C" w:rsidP="00001F2A">
            <w:pPr>
              <w:pStyle w:val="Retraitcorpsdetexte"/>
              <w:ind w:left="360" w:firstLine="0"/>
              <w:rPr>
                <w:sz w:val="18"/>
                <w:szCs w:val="18"/>
              </w:rPr>
            </w:pPr>
            <w:r w:rsidRPr="00BB0601">
              <w:rPr>
                <w:sz w:val="18"/>
                <w:szCs w:val="18"/>
              </w:rPr>
              <w:t>PHH</w:t>
            </w:r>
            <w:r w:rsidRPr="00BB0601">
              <w:rPr>
                <w:sz w:val="18"/>
                <w:szCs w:val="18"/>
              </w:rPr>
              <w:tab/>
            </w:r>
            <w:r>
              <w:rPr>
                <w:sz w:val="18"/>
                <w:szCs w:val="18"/>
              </w:rPr>
              <w:t xml:space="preserve">            </w:t>
            </w:r>
            <w:r w:rsidRPr="00BB0601">
              <w:rPr>
                <w:sz w:val="18"/>
                <w:szCs w:val="18"/>
              </w:rPr>
              <w:t xml:space="preserve">High Pressure </w:t>
            </w:r>
            <w:proofErr w:type="spellStart"/>
            <w:r>
              <w:rPr>
                <w:sz w:val="18"/>
                <w:szCs w:val="18"/>
              </w:rPr>
              <w:t>p</w:t>
            </w:r>
            <w:r w:rsidRPr="00BB0601">
              <w:rPr>
                <w:sz w:val="18"/>
                <w:szCs w:val="18"/>
              </w:rPr>
              <w:t>re</w:t>
            </w:r>
            <w:r>
              <w:rPr>
                <w:sz w:val="18"/>
                <w:szCs w:val="18"/>
              </w:rPr>
              <w:t>H</w:t>
            </w:r>
            <w:r w:rsidRPr="00BB0601">
              <w:rPr>
                <w:sz w:val="18"/>
                <w:szCs w:val="18"/>
              </w:rPr>
              <w:t>eater</w:t>
            </w:r>
            <w:proofErr w:type="spellEnd"/>
            <w:r w:rsidRPr="00BB0601">
              <w:rPr>
                <w:sz w:val="18"/>
                <w:szCs w:val="18"/>
              </w:rPr>
              <w:t xml:space="preserve"> </w:t>
            </w:r>
          </w:p>
          <w:p w14:paraId="1B17EF8D" w14:textId="77777777" w:rsidR="00A8442C" w:rsidRDefault="00A8442C" w:rsidP="00001F2A">
            <w:pPr>
              <w:pStyle w:val="Retraitcorpsdetexte"/>
              <w:ind w:left="360" w:firstLine="0"/>
              <w:rPr>
                <w:sz w:val="18"/>
                <w:szCs w:val="18"/>
              </w:rPr>
            </w:pPr>
            <w:r w:rsidRPr="00B95B74">
              <w:rPr>
                <w:sz w:val="18"/>
                <w:szCs w:val="18"/>
              </w:rPr>
              <w:t xml:space="preserve">PHL </w:t>
            </w:r>
            <w:r w:rsidRPr="00B95B74">
              <w:rPr>
                <w:sz w:val="18"/>
                <w:szCs w:val="18"/>
              </w:rPr>
              <w:tab/>
            </w:r>
            <w:r>
              <w:rPr>
                <w:sz w:val="18"/>
                <w:szCs w:val="18"/>
              </w:rPr>
              <w:t xml:space="preserve">            </w:t>
            </w:r>
            <w:r w:rsidRPr="00B95B74">
              <w:rPr>
                <w:sz w:val="18"/>
                <w:szCs w:val="18"/>
              </w:rPr>
              <w:t xml:space="preserve">Low Pressure </w:t>
            </w:r>
            <w:proofErr w:type="spellStart"/>
            <w:r>
              <w:rPr>
                <w:sz w:val="18"/>
                <w:szCs w:val="18"/>
              </w:rPr>
              <w:t>p</w:t>
            </w:r>
            <w:r w:rsidRPr="00B95B74">
              <w:rPr>
                <w:sz w:val="18"/>
                <w:szCs w:val="18"/>
              </w:rPr>
              <w:t>re</w:t>
            </w:r>
            <w:r>
              <w:rPr>
                <w:sz w:val="18"/>
                <w:szCs w:val="18"/>
              </w:rPr>
              <w:t>H</w:t>
            </w:r>
            <w:r w:rsidRPr="00B95B74">
              <w:rPr>
                <w:sz w:val="18"/>
                <w:szCs w:val="18"/>
              </w:rPr>
              <w:t>eater</w:t>
            </w:r>
            <w:proofErr w:type="spellEnd"/>
          </w:p>
          <w:p w14:paraId="004DB989" w14:textId="77777777" w:rsidR="00A8442C" w:rsidRPr="00B95B74" w:rsidRDefault="00A8442C" w:rsidP="00001F2A">
            <w:pPr>
              <w:pStyle w:val="Retraitcorpsdetexte"/>
              <w:ind w:left="360" w:firstLine="0"/>
              <w:rPr>
                <w:sz w:val="18"/>
                <w:szCs w:val="18"/>
              </w:rPr>
            </w:pPr>
            <w:r>
              <w:rPr>
                <w:sz w:val="18"/>
                <w:szCs w:val="18"/>
              </w:rPr>
              <w:t>PU</w:t>
            </w:r>
            <w:r>
              <w:rPr>
                <w:sz w:val="18"/>
                <w:szCs w:val="18"/>
              </w:rPr>
              <w:tab/>
            </w:r>
            <w:r>
              <w:rPr>
                <w:sz w:val="18"/>
                <w:szCs w:val="18"/>
              </w:rPr>
              <w:tab/>
              <w:t>Pumping Unit</w:t>
            </w:r>
          </w:p>
          <w:p w14:paraId="40D370EB" w14:textId="77777777" w:rsidR="00A8442C" w:rsidRDefault="00A8442C" w:rsidP="00001F2A">
            <w:pPr>
              <w:pStyle w:val="Retraitcorpsdetexte"/>
              <w:ind w:left="360" w:firstLine="0"/>
              <w:rPr>
                <w:sz w:val="18"/>
                <w:szCs w:val="18"/>
              </w:rPr>
            </w:pPr>
            <w:r w:rsidRPr="00B95B74">
              <w:rPr>
                <w:sz w:val="18"/>
                <w:szCs w:val="18"/>
              </w:rPr>
              <w:t xml:space="preserve">RH </w:t>
            </w:r>
            <w:r w:rsidRPr="00B95B74">
              <w:rPr>
                <w:sz w:val="18"/>
                <w:szCs w:val="18"/>
              </w:rPr>
              <w:tab/>
            </w:r>
            <w:r w:rsidRPr="00B95B74">
              <w:rPr>
                <w:sz w:val="18"/>
                <w:szCs w:val="18"/>
              </w:rPr>
              <w:tab/>
            </w:r>
            <w:proofErr w:type="spellStart"/>
            <w:r w:rsidRPr="00B95B74">
              <w:rPr>
                <w:sz w:val="18"/>
                <w:szCs w:val="18"/>
              </w:rPr>
              <w:t>Re</w:t>
            </w:r>
            <w:r>
              <w:rPr>
                <w:sz w:val="18"/>
                <w:szCs w:val="18"/>
              </w:rPr>
              <w:t>H</w:t>
            </w:r>
            <w:r w:rsidRPr="00B95B74">
              <w:rPr>
                <w:sz w:val="18"/>
                <w:szCs w:val="18"/>
              </w:rPr>
              <w:t>eater</w:t>
            </w:r>
            <w:proofErr w:type="spellEnd"/>
          </w:p>
          <w:p w14:paraId="0A9FD166" w14:textId="77777777" w:rsidR="00A8442C" w:rsidRPr="00B95B74" w:rsidRDefault="00A8442C" w:rsidP="00001F2A">
            <w:pPr>
              <w:pStyle w:val="Retraitcorpsdetexte"/>
              <w:ind w:left="360" w:firstLine="0"/>
              <w:rPr>
                <w:sz w:val="18"/>
                <w:szCs w:val="18"/>
              </w:rPr>
            </w:pPr>
            <w:r w:rsidRPr="00B95B74">
              <w:rPr>
                <w:sz w:val="18"/>
                <w:szCs w:val="18"/>
              </w:rPr>
              <w:t xml:space="preserve">SEP </w:t>
            </w:r>
            <w:r w:rsidRPr="00B95B74">
              <w:rPr>
                <w:sz w:val="18"/>
                <w:szCs w:val="18"/>
              </w:rPr>
              <w:tab/>
            </w:r>
            <w:r w:rsidRPr="00B95B74">
              <w:rPr>
                <w:sz w:val="18"/>
                <w:szCs w:val="18"/>
              </w:rPr>
              <w:tab/>
            </w:r>
            <w:r>
              <w:rPr>
                <w:sz w:val="18"/>
                <w:szCs w:val="18"/>
              </w:rPr>
              <w:t>l</w:t>
            </w:r>
            <w:r w:rsidRPr="00B95B74">
              <w:rPr>
                <w:sz w:val="18"/>
                <w:szCs w:val="18"/>
              </w:rPr>
              <w:t xml:space="preserve">iquid-steam </w:t>
            </w:r>
            <w:proofErr w:type="spellStart"/>
            <w:r w:rsidRPr="00B95B74">
              <w:rPr>
                <w:sz w:val="18"/>
                <w:szCs w:val="18"/>
              </w:rPr>
              <w:t>S</w:t>
            </w:r>
            <w:r>
              <w:rPr>
                <w:sz w:val="18"/>
                <w:szCs w:val="18"/>
              </w:rPr>
              <w:t>EP</w:t>
            </w:r>
            <w:r w:rsidRPr="00B95B74">
              <w:rPr>
                <w:sz w:val="18"/>
                <w:szCs w:val="18"/>
              </w:rPr>
              <w:t>arator</w:t>
            </w:r>
            <w:proofErr w:type="spellEnd"/>
          </w:p>
          <w:p w14:paraId="3030F8BE" w14:textId="77777777" w:rsidR="00A8442C" w:rsidRPr="00783BA0" w:rsidRDefault="00A8442C" w:rsidP="00001F2A">
            <w:pPr>
              <w:pStyle w:val="Retraitcorpsdetexte"/>
              <w:ind w:left="360" w:firstLine="0"/>
              <w:rPr>
                <w:sz w:val="18"/>
                <w:szCs w:val="18"/>
              </w:rPr>
            </w:pPr>
            <w:r w:rsidRPr="00BB0601">
              <w:rPr>
                <w:sz w:val="18"/>
                <w:szCs w:val="18"/>
              </w:rPr>
              <w:t xml:space="preserve">SG </w:t>
            </w:r>
            <w:r w:rsidRPr="00BB0601">
              <w:rPr>
                <w:sz w:val="18"/>
                <w:szCs w:val="18"/>
              </w:rPr>
              <w:tab/>
            </w:r>
            <w:r w:rsidRPr="00BB0601">
              <w:rPr>
                <w:sz w:val="18"/>
                <w:szCs w:val="18"/>
              </w:rPr>
              <w:tab/>
              <w:t>Steam Generator</w:t>
            </w:r>
          </w:p>
        </w:tc>
      </w:tr>
    </w:tbl>
    <w:p w14:paraId="196EDE73" w14:textId="27268428" w:rsidR="001E0A8A" w:rsidRDefault="001E0A8A" w:rsidP="001E0A8A">
      <w:pPr>
        <w:spacing w:after="60"/>
        <w:jc w:val="center"/>
        <w:rPr>
          <w:i/>
          <w:noProof/>
          <w:sz w:val="18"/>
          <w:szCs w:val="18"/>
          <w:lang w:val="en-US" w:eastAsia="fr-FR"/>
        </w:rPr>
      </w:pPr>
      <w:r w:rsidRPr="00891B3B">
        <w:rPr>
          <w:i/>
          <w:noProof/>
          <w:sz w:val="18"/>
          <w:szCs w:val="18"/>
          <w:lang w:val="en-US" w:eastAsia="fr-FR"/>
        </w:rPr>
        <w:t xml:space="preserve">FIG. </w:t>
      </w:r>
      <w:r w:rsidR="00BE1C83">
        <w:rPr>
          <w:i/>
          <w:noProof/>
          <w:sz w:val="18"/>
          <w:szCs w:val="18"/>
          <w:lang w:val="en-US" w:eastAsia="fr-FR"/>
        </w:rPr>
        <w:t>3</w:t>
      </w:r>
      <w:r w:rsidRPr="00891B3B">
        <w:rPr>
          <w:i/>
          <w:noProof/>
          <w:sz w:val="18"/>
          <w:szCs w:val="18"/>
          <w:lang w:val="en-US" w:eastAsia="fr-FR"/>
        </w:rPr>
        <w:t xml:space="preserve">: </w:t>
      </w:r>
      <w:r>
        <w:rPr>
          <w:i/>
          <w:noProof/>
          <w:sz w:val="18"/>
          <w:szCs w:val="18"/>
          <w:lang w:val="en-US" w:eastAsia="fr-FR"/>
        </w:rPr>
        <w:t>SMR-HTSE reference simulation coupling architecture</w:t>
      </w:r>
      <w:r w:rsidRPr="00891B3B">
        <w:rPr>
          <w:i/>
          <w:noProof/>
          <w:sz w:val="18"/>
          <w:szCs w:val="18"/>
          <w:lang w:val="en-US" w:eastAsia="fr-FR"/>
        </w:rPr>
        <w:t>.</w:t>
      </w:r>
    </w:p>
    <w:p w14:paraId="11E16726" w14:textId="77777777" w:rsidR="00125F3E" w:rsidRPr="00D704F3" w:rsidRDefault="00125F3E" w:rsidP="00125F3E">
      <w:pPr>
        <w:spacing w:after="60"/>
        <w:ind w:firstLine="567"/>
        <w:jc w:val="both"/>
        <w:rPr>
          <w:sz w:val="20"/>
        </w:rPr>
      </w:pPr>
      <w:r w:rsidRPr="00D704F3">
        <w:rPr>
          <w:sz w:val="20"/>
        </w:rPr>
        <w:lastRenderedPageBreak/>
        <w:t>The different possible coupling architectures and their energetic performance were investigated through numerical simulations (CYCLOP, internal tool developed in CEA was used to model SMR Rankine cycle; EES was used to model HTSE [2]). The results obtained on the reference simulation configuration show that it is possible to obtain a gain of over 13% compared with the solution involving no thermal coupling between SMR and HTSE (i.e. when HTSE heat is provided through electrical heaters). We underline that all simulations were performed with a set of hypotheses which can be debatable due to the level of technological development and complexity of the system; results must be taken with caution. A validation and verification program is in progress.</w:t>
      </w:r>
    </w:p>
    <w:p w14:paraId="0BA8B42C" w14:textId="2FFFB1ED" w:rsidR="00125F3E" w:rsidRPr="00D704F3" w:rsidRDefault="00125F3E" w:rsidP="00125F3E">
      <w:pPr>
        <w:spacing w:after="60"/>
        <w:ind w:firstLine="567"/>
        <w:jc w:val="both"/>
        <w:rPr>
          <w:noProof/>
          <w:sz w:val="18"/>
          <w:szCs w:val="18"/>
          <w:lang w:val="en-US" w:eastAsia="fr-FR"/>
        </w:rPr>
      </w:pPr>
      <w:r w:rsidRPr="00D704F3">
        <w:rPr>
          <w:sz w:val="20"/>
        </w:rPr>
        <w:t xml:space="preserve">These encouraging energy results were supplemented by other technical criteria, such as those relating to safety, technological maturity, control and flexibility (the last two points were supported by preliminary </w:t>
      </w:r>
      <w:proofErr w:type="spellStart"/>
      <w:r w:rsidRPr="00D704F3">
        <w:rPr>
          <w:sz w:val="20"/>
        </w:rPr>
        <w:t>Dymola</w:t>
      </w:r>
      <w:proofErr w:type="spellEnd"/>
      <w:r w:rsidRPr="00D704F3">
        <w:rPr>
          <w:sz w:val="20"/>
        </w:rPr>
        <w:t xml:space="preserve"> simulations of the Rankine cycle, calculating the switchover between a pure electricity production mode and a cogeneration mode.). An initial methodology for developing a grid of qualitative and quantitative criteria has been deployed. This methodology is intended to be enriched over the coming years. Economic considerations are also under consideration.</w:t>
      </w:r>
    </w:p>
    <w:p w14:paraId="219BDBC9" w14:textId="6B637C49" w:rsidR="00FF58C0" w:rsidRPr="001E1EB8" w:rsidRDefault="00FF58C0" w:rsidP="00FF58C0">
      <w:pPr>
        <w:pStyle w:val="Titre3"/>
      </w:pPr>
      <w:r>
        <w:t>2.3.</w:t>
      </w:r>
      <w:r>
        <w:tab/>
      </w:r>
      <w:r w:rsidRPr="001E1EB8">
        <w:t xml:space="preserve">SMR in cogeneration for </w:t>
      </w:r>
      <w:r>
        <w:t>kerosene production for aviation</w:t>
      </w:r>
    </w:p>
    <w:p w14:paraId="3E0BF088" w14:textId="1CC40818" w:rsidR="00BB6488" w:rsidRPr="00700441" w:rsidRDefault="00BB6488" w:rsidP="00BB6488">
      <w:pPr>
        <w:pStyle w:val="Authornameandaffiliation"/>
        <w:ind w:left="0" w:firstLine="567"/>
        <w:jc w:val="both"/>
      </w:pPr>
      <w:r w:rsidRPr="003D2162">
        <w:rPr>
          <w:lang w:val="en-GB"/>
        </w:rPr>
        <w:t xml:space="preserve">This </w:t>
      </w:r>
      <w:r>
        <w:rPr>
          <w:lang w:val="en-GB"/>
        </w:rPr>
        <w:t>subsection</w:t>
      </w:r>
      <w:r w:rsidRPr="003D2162">
        <w:rPr>
          <w:lang w:val="en-GB"/>
        </w:rPr>
        <w:t xml:space="preserve"> addresses </w:t>
      </w:r>
      <w:r>
        <w:rPr>
          <w:lang w:val="en-GB"/>
        </w:rPr>
        <w:t>a full-chain integrated production of e-fuel from nuclear energy, with a particular focus on the energy integration. The project has initially focused on the production of kerosene for aviation</w:t>
      </w:r>
      <w:r w:rsidR="00510194">
        <w:rPr>
          <w:lang w:val="en-GB"/>
        </w:rPr>
        <w:t xml:space="preserve"> regarding the European roadmap</w:t>
      </w:r>
      <w:r w:rsidR="00510194">
        <w:rPr>
          <w:rStyle w:val="Marquedecommentaire"/>
          <w:lang w:val="en-GB"/>
        </w:rPr>
        <w:t xml:space="preserve"> </w:t>
      </w:r>
      <w:r w:rsidR="00510194">
        <w:rPr>
          <w:lang w:val="en-GB"/>
        </w:rPr>
        <w:t xml:space="preserve">for Sustainable Aviation Fuel (SAF) </w:t>
      </w:r>
      <w:r>
        <w:rPr>
          <w:lang w:val="en-GB"/>
        </w:rPr>
        <w:t>but alternative molec</w:t>
      </w:r>
      <w:r w:rsidR="0005589E">
        <w:rPr>
          <w:lang w:val="en-GB"/>
        </w:rPr>
        <w:t xml:space="preserve">ules can be further considered such as </w:t>
      </w:r>
      <w:r>
        <w:rPr>
          <w:lang w:val="en-GB"/>
        </w:rPr>
        <w:t xml:space="preserve">methanol. </w:t>
      </w:r>
      <w:r w:rsidR="00700441" w:rsidRPr="00700441">
        <w:t>The main challenge of the studies was to carry out a parallel assessment of mass balances, taking into account the stoichiometry of th</w:t>
      </w:r>
      <w:r w:rsidR="0005589E">
        <w:t>e reactions, and energy balances</w:t>
      </w:r>
      <w:r w:rsidR="00700441" w:rsidRPr="00700441">
        <w:t xml:space="preserve"> on </w:t>
      </w:r>
      <w:r w:rsidR="0005589E">
        <w:t>heat and electricity</w:t>
      </w:r>
      <w:r w:rsidR="00700441" w:rsidRPr="00700441">
        <w:t>, with the aim of maximi</w:t>
      </w:r>
      <w:r w:rsidR="00700441">
        <w:t>z</w:t>
      </w:r>
      <w:r w:rsidR="00700441" w:rsidRPr="00700441">
        <w:t>ing paraffin production.</w:t>
      </w:r>
    </w:p>
    <w:p w14:paraId="53E4D014" w14:textId="5E1AD9F9" w:rsidR="00BB6488" w:rsidRDefault="00BB6488" w:rsidP="00BB6488">
      <w:pPr>
        <w:pStyle w:val="Authornameandaffiliation"/>
        <w:jc w:val="both"/>
        <w:rPr>
          <w:lang w:val="en-GB"/>
        </w:rPr>
      </w:pPr>
      <w:r>
        <w:rPr>
          <w:lang w:val="en-GB"/>
        </w:rPr>
        <w:t xml:space="preserve">The studied system </w:t>
      </w:r>
      <w:r w:rsidR="0005589E">
        <w:rPr>
          <w:lang w:val="en-GB"/>
        </w:rPr>
        <w:t xml:space="preserve">(Fig. 4) </w:t>
      </w:r>
      <w:r>
        <w:rPr>
          <w:lang w:val="en-GB"/>
        </w:rPr>
        <w:t>includes:</w:t>
      </w:r>
    </w:p>
    <w:p w14:paraId="0C0F6330" w14:textId="68FCE8DA" w:rsidR="00BB6488" w:rsidRDefault="00BB6488" w:rsidP="00BE1C83">
      <w:pPr>
        <w:pStyle w:val="Corpsdetexte"/>
        <w:numPr>
          <w:ilvl w:val="0"/>
          <w:numId w:val="20"/>
        </w:numPr>
        <w:ind w:left="709"/>
      </w:pPr>
      <w:r>
        <w:t xml:space="preserve">A SMR nuclear reactor with a </w:t>
      </w:r>
      <w:r w:rsidR="00D57E8C">
        <w:t>L</w:t>
      </w:r>
      <w:r>
        <w:t xml:space="preserve">WR reference and a variation with </w:t>
      </w:r>
      <w:r w:rsidR="00D57E8C">
        <w:t>Advanced Modular Reactor (</w:t>
      </w:r>
      <w:r w:rsidR="00FF181A">
        <w:t>AMR</w:t>
      </w:r>
      <w:r w:rsidR="00D57E8C">
        <w:t>)</w:t>
      </w:r>
      <w:r w:rsidR="00FF181A">
        <w:t>;</w:t>
      </w:r>
    </w:p>
    <w:p w14:paraId="455CECB2" w14:textId="1E8CBAFB" w:rsidR="00BB6488" w:rsidRDefault="00BB6488" w:rsidP="00BE1C83">
      <w:pPr>
        <w:pStyle w:val="Corpsdetexte"/>
        <w:numPr>
          <w:ilvl w:val="0"/>
          <w:numId w:val="20"/>
        </w:numPr>
        <w:ind w:left="709"/>
      </w:pPr>
      <w:r>
        <w:t xml:space="preserve">A </w:t>
      </w:r>
      <w:r w:rsidR="00D57E8C">
        <w:t>Energy Conversion System (</w:t>
      </w:r>
      <w:r>
        <w:t>ECS</w:t>
      </w:r>
      <w:r w:rsidR="00D57E8C">
        <w:t xml:space="preserve">) to transform </w:t>
      </w:r>
      <w:r>
        <w:t>heat to electricity with the R</w:t>
      </w:r>
      <w:r w:rsidR="00FF181A">
        <w:t>ankine cycle reference;</w:t>
      </w:r>
    </w:p>
    <w:p w14:paraId="18F154B7" w14:textId="730C6DDB" w:rsidR="00BB6488" w:rsidRDefault="00D57E8C" w:rsidP="00BE1C83">
      <w:pPr>
        <w:pStyle w:val="Corpsdetexte"/>
        <w:numPr>
          <w:ilvl w:val="0"/>
          <w:numId w:val="20"/>
        </w:numPr>
        <w:ind w:left="709"/>
      </w:pPr>
      <w:r>
        <w:t>A HSTE</w:t>
      </w:r>
      <w:r w:rsidR="00FF181A">
        <w:t>;</w:t>
      </w:r>
    </w:p>
    <w:p w14:paraId="7D4BA11B" w14:textId="290BBA61" w:rsidR="00BB6488" w:rsidRDefault="00BB6488" w:rsidP="00BE1C83">
      <w:pPr>
        <w:pStyle w:val="Corpsdetexte"/>
        <w:numPr>
          <w:ilvl w:val="0"/>
          <w:numId w:val="20"/>
        </w:numPr>
        <w:ind w:left="709"/>
      </w:pPr>
      <w:r>
        <w:t>A D</w:t>
      </w:r>
      <w:r w:rsidR="00D57E8C">
        <w:t xml:space="preserve">irect </w:t>
      </w:r>
      <w:r>
        <w:t>A</w:t>
      </w:r>
      <w:r w:rsidR="00D57E8C">
        <w:t>ir Capture (DAC) source unit to supply CO</w:t>
      </w:r>
      <w:r w:rsidR="00D57E8C" w:rsidRPr="00D57E8C">
        <w:rPr>
          <w:vertAlign w:val="subscript"/>
        </w:rPr>
        <w:t>2</w:t>
      </w:r>
      <w:r w:rsidR="00D57E8C">
        <w:t xml:space="preserve"> from atmosphere</w:t>
      </w:r>
      <w:r>
        <w:t xml:space="preserve"> Despite the current development, the high cost and energy requirement, DAC technology was selected as it allows the production of carbon neutral fuels </w:t>
      </w:r>
      <w:r w:rsidRPr="008C1EE5">
        <w:t>and its share should gradually</w:t>
      </w:r>
      <w:r>
        <w:t xml:space="preserve"> be </w:t>
      </w:r>
      <w:proofErr w:type="gramStart"/>
      <w:r>
        <w:t>increased</w:t>
      </w:r>
      <w:r w:rsidR="0005589E">
        <w:t xml:space="preserve"> </w:t>
      </w:r>
      <w:r>
        <w:t>.</w:t>
      </w:r>
      <w:proofErr w:type="gramEnd"/>
      <w:r w:rsidR="0005589E">
        <w:rPr>
          <w:noProof/>
        </w:rPr>
        <w:t xml:space="preserve"> [3] [4]</w:t>
      </w:r>
      <w:r w:rsidR="00FF181A">
        <w:t>;</w:t>
      </w:r>
    </w:p>
    <w:p w14:paraId="59708497" w14:textId="0EB3A3BC" w:rsidR="00BB6488" w:rsidRDefault="00BB6488" w:rsidP="00BE1C83">
      <w:pPr>
        <w:pStyle w:val="Corpsdetexte"/>
        <w:numPr>
          <w:ilvl w:val="0"/>
          <w:numId w:val="20"/>
        </w:numPr>
        <w:ind w:left="709"/>
      </w:pPr>
      <w:r>
        <w:t>The chemical conversion system bricks. The Fischer-</w:t>
      </w:r>
      <w:proofErr w:type="spellStart"/>
      <w:r>
        <w:t>Tropsch</w:t>
      </w:r>
      <w:proofErr w:type="spellEnd"/>
      <w:r>
        <w:t xml:space="preserve"> (FT) pathway was selected as it is the most mature and studied route.</w:t>
      </w:r>
      <w:r w:rsidR="0005589E">
        <w:rPr>
          <w:noProof/>
        </w:rPr>
        <w:t xml:space="preserve"> [5] [6]</w:t>
      </w:r>
      <w:r>
        <w:t xml:space="preserve"> It typically includes catalytic RWGS (Reverse Water Gas Shift) and FT reactions and potential reforming of by-products</w:t>
      </w:r>
      <w:r w:rsidR="00BE1C83">
        <w:t>;</w:t>
      </w:r>
    </w:p>
    <w:p w14:paraId="4C9B7164" w14:textId="72FC25A7" w:rsidR="00BB6488" w:rsidRPr="0018261A" w:rsidRDefault="00BB6488" w:rsidP="00BE1C83">
      <w:pPr>
        <w:pStyle w:val="Corpsdetexte"/>
        <w:numPr>
          <w:ilvl w:val="0"/>
          <w:numId w:val="20"/>
        </w:numPr>
        <w:ind w:left="709"/>
      </w:pPr>
      <w:r>
        <w:t>The fuel refining unit (product separation)</w:t>
      </w:r>
      <w:r w:rsidR="00BE1C83">
        <w:t>.</w:t>
      </w:r>
    </w:p>
    <w:p w14:paraId="0259EFAF" w14:textId="77777777" w:rsidR="00BB6488" w:rsidRDefault="00BB6488" w:rsidP="00BB6488">
      <w:pPr>
        <w:pStyle w:val="Authornameandaffiliation"/>
        <w:keepNext/>
        <w:ind w:left="0"/>
        <w:jc w:val="center"/>
      </w:pPr>
      <w:r>
        <w:rPr>
          <w:noProof/>
          <w:lang w:val="fr-FR" w:eastAsia="fr-FR"/>
        </w:rPr>
        <w:drawing>
          <wp:inline distT="0" distB="0" distL="0" distR="0" wp14:anchorId="4044B097" wp14:editId="7F0B122A">
            <wp:extent cx="5791338" cy="1923393"/>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84869" cy="2020879"/>
                    </a:xfrm>
                    <a:prstGeom prst="rect">
                      <a:avLst/>
                    </a:prstGeom>
                  </pic:spPr>
                </pic:pic>
              </a:graphicData>
            </a:graphic>
          </wp:inline>
        </w:drawing>
      </w:r>
    </w:p>
    <w:p w14:paraId="4F4CC4B2" w14:textId="505A79E1" w:rsidR="00BB6488" w:rsidRPr="00BE1C83" w:rsidRDefault="00BE1C83" w:rsidP="00BE1C83">
      <w:pPr>
        <w:spacing w:after="60"/>
        <w:jc w:val="center"/>
        <w:rPr>
          <w:i/>
          <w:noProof/>
          <w:sz w:val="18"/>
          <w:szCs w:val="18"/>
          <w:lang w:val="en-US" w:eastAsia="fr-FR"/>
        </w:rPr>
      </w:pPr>
      <w:bookmarkStart w:id="0" w:name="_Ref166508554"/>
      <w:bookmarkStart w:id="1" w:name="_Ref166508540"/>
      <w:r>
        <w:rPr>
          <w:i/>
          <w:noProof/>
          <w:sz w:val="18"/>
          <w:szCs w:val="18"/>
          <w:lang w:val="en-US" w:eastAsia="fr-FR"/>
        </w:rPr>
        <w:t>F</w:t>
      </w:r>
      <w:r w:rsidR="00700441">
        <w:rPr>
          <w:i/>
          <w:noProof/>
          <w:sz w:val="18"/>
          <w:szCs w:val="18"/>
          <w:lang w:val="en-US" w:eastAsia="fr-FR"/>
        </w:rPr>
        <w:t>I</w:t>
      </w:r>
      <w:r>
        <w:rPr>
          <w:i/>
          <w:noProof/>
          <w:sz w:val="18"/>
          <w:szCs w:val="18"/>
          <w:lang w:val="en-US" w:eastAsia="fr-FR"/>
        </w:rPr>
        <w:t>G.</w:t>
      </w:r>
      <w:r w:rsidR="00BB6488" w:rsidRPr="00BE1C83">
        <w:rPr>
          <w:i/>
          <w:noProof/>
          <w:sz w:val="18"/>
          <w:szCs w:val="18"/>
          <w:lang w:val="en-US" w:eastAsia="fr-FR"/>
        </w:rPr>
        <w:t xml:space="preserve"> </w:t>
      </w:r>
      <w:bookmarkEnd w:id="0"/>
      <w:r>
        <w:rPr>
          <w:i/>
          <w:noProof/>
          <w:sz w:val="18"/>
          <w:szCs w:val="18"/>
          <w:lang w:val="en-US" w:eastAsia="fr-FR"/>
        </w:rPr>
        <w:t>4</w:t>
      </w:r>
      <w:r w:rsidR="00BB6488" w:rsidRPr="00BE1C83">
        <w:rPr>
          <w:i/>
          <w:noProof/>
          <w:sz w:val="18"/>
          <w:szCs w:val="18"/>
          <w:lang w:val="en-US" w:eastAsia="fr-FR"/>
        </w:rPr>
        <w:t>: Generic full-chain integrated production of e-fuel from nuclear energy</w:t>
      </w:r>
      <w:bookmarkEnd w:id="1"/>
    </w:p>
    <w:p w14:paraId="4F22BC61" w14:textId="384B09EA" w:rsidR="00BB6488" w:rsidRDefault="0040594B" w:rsidP="00700441">
      <w:pPr>
        <w:pStyle w:val="Authornameandaffiliation"/>
        <w:ind w:left="0" w:firstLine="349"/>
        <w:jc w:val="both"/>
        <w:rPr>
          <w:lang w:val="en-GB"/>
        </w:rPr>
      </w:pPr>
      <w:r>
        <w:rPr>
          <w:lang w:val="en-GB"/>
        </w:rPr>
        <w:t>T</w:t>
      </w:r>
      <w:r w:rsidR="00BB6488">
        <w:rPr>
          <w:lang w:val="en-GB"/>
        </w:rPr>
        <w:t>he chemical pathway is alternatively composed of exothermal (FT) and endothermal (electrolysis, RWGS, refining…) components operating at different temperatures. The major interest of the integration is to valorise a large amount of heat between units. The most energetically efficient heat integration is obtained when:</w:t>
      </w:r>
    </w:p>
    <w:p w14:paraId="02A1AC4F" w14:textId="64CE4CE8" w:rsidR="00BB6488" w:rsidRDefault="00BB6488" w:rsidP="00BE1C83">
      <w:pPr>
        <w:pStyle w:val="Corpsdetexte"/>
        <w:numPr>
          <w:ilvl w:val="0"/>
          <w:numId w:val="20"/>
        </w:numPr>
        <w:ind w:left="709"/>
      </w:pPr>
      <w:r>
        <w:t>Heat from exothermic reaction is valorised through steam generation</w:t>
      </w:r>
      <w:r w:rsidR="00BE1C83">
        <w:t>;</w:t>
      </w:r>
    </w:p>
    <w:p w14:paraId="0F5C08BA" w14:textId="0E5A3AC9" w:rsidR="00BB6488" w:rsidRDefault="00BB6488" w:rsidP="00BE1C83">
      <w:pPr>
        <w:pStyle w:val="Corpsdetexte"/>
        <w:numPr>
          <w:ilvl w:val="0"/>
          <w:numId w:val="20"/>
        </w:numPr>
        <w:ind w:left="709"/>
      </w:pPr>
      <w:r>
        <w:t>Heat from gas cooling is valorised in DAC or refining operations</w:t>
      </w:r>
      <w:r w:rsidR="00BE1C83">
        <w:t>;</w:t>
      </w:r>
    </w:p>
    <w:p w14:paraId="58C779A0" w14:textId="70F57123" w:rsidR="00BB6488" w:rsidRDefault="00BB6488" w:rsidP="00BE1C83">
      <w:pPr>
        <w:pStyle w:val="Corpsdetexte"/>
        <w:numPr>
          <w:ilvl w:val="0"/>
          <w:numId w:val="20"/>
        </w:numPr>
        <w:ind w:left="709"/>
      </w:pPr>
      <w:r>
        <w:t>Heat is extracted from ECS to complete steam generation and DAC needs at the adapted temperature</w:t>
      </w:r>
      <w:r w:rsidR="00BE1C83">
        <w:t>;</w:t>
      </w:r>
    </w:p>
    <w:p w14:paraId="7791C67D" w14:textId="2E9A44E9" w:rsidR="00BB6488" w:rsidRDefault="00BB6488" w:rsidP="00BE1C83">
      <w:pPr>
        <w:pStyle w:val="Corpsdetexte"/>
        <w:numPr>
          <w:ilvl w:val="0"/>
          <w:numId w:val="20"/>
        </w:numPr>
        <w:ind w:left="709"/>
      </w:pPr>
      <w:r>
        <w:t>Low temperature (&lt;100°C) from product cooling and condensation is valorised in the ECS at low temperature for water heating</w:t>
      </w:r>
      <w:r w:rsidR="00BE1C83">
        <w:t>;</w:t>
      </w:r>
    </w:p>
    <w:p w14:paraId="2E78A1AC" w14:textId="07ACB312" w:rsidR="00BB6488" w:rsidRDefault="00BB6488" w:rsidP="00700441">
      <w:pPr>
        <w:pStyle w:val="Corpsdetexte"/>
      </w:pPr>
      <w:r>
        <w:lastRenderedPageBreak/>
        <w:t>Coupling and process architectures h</w:t>
      </w:r>
      <w:r w:rsidR="000E3692">
        <w:t>ave been simulated with CYCLOP for the</w:t>
      </w:r>
      <w:r>
        <w:t xml:space="preserve"> ECS and </w:t>
      </w:r>
      <w:proofErr w:type="spellStart"/>
      <w:r>
        <w:t>ProSimPlus</w:t>
      </w:r>
      <w:proofErr w:type="spellEnd"/>
      <w:r>
        <w:t xml:space="preserve"> for the chemical processes. The simulation results of an integrated system (configuration 3) are compared with the two following scenarios</w:t>
      </w:r>
      <w:r w:rsidR="000E3692">
        <w:t xml:space="preserve"> and shown on Fig. 5</w:t>
      </w:r>
      <w:r>
        <w:t xml:space="preserve">: </w:t>
      </w:r>
    </w:p>
    <w:p w14:paraId="64DF0B7D" w14:textId="77777777" w:rsidR="00BB6488" w:rsidRDefault="00BB6488" w:rsidP="00700441">
      <w:pPr>
        <w:pStyle w:val="Corpsdetexte"/>
        <w:numPr>
          <w:ilvl w:val="0"/>
          <w:numId w:val="20"/>
        </w:numPr>
        <w:ind w:left="709"/>
      </w:pPr>
      <w:r>
        <w:t>Configuration 1 (reference): the SMR has a standard design and only provide electricity to the system. Electricity is used for both heat and power electrolysis needs</w:t>
      </w:r>
    </w:p>
    <w:p w14:paraId="5BC8A99A" w14:textId="7FCD184C" w:rsidR="00BB6488" w:rsidRDefault="00BB6488" w:rsidP="00700441">
      <w:pPr>
        <w:pStyle w:val="Corpsdetexte"/>
        <w:numPr>
          <w:ilvl w:val="0"/>
          <w:numId w:val="20"/>
        </w:numPr>
        <w:ind w:left="709"/>
      </w:pPr>
      <w:r>
        <w:t xml:space="preserve">Configuration 2 (ideal): the SMR has a standard design and only provide electricity to the system. A supposed heat source provide “free” heat to the </w:t>
      </w:r>
      <w:r w:rsidR="00700441">
        <w:t xml:space="preserve">supply all the different requirements of the </w:t>
      </w:r>
      <w:r>
        <w:t>system.</w:t>
      </w:r>
    </w:p>
    <w:p w14:paraId="3C1F6811" w14:textId="602A0FE9" w:rsidR="00BB6488" w:rsidRDefault="00BB6488" w:rsidP="00BB6488">
      <w:pPr>
        <w:pStyle w:val="Authornameandaffiliation"/>
        <w:keepNext/>
        <w:ind w:left="0"/>
        <w:jc w:val="center"/>
      </w:pPr>
    </w:p>
    <w:p w14:paraId="48B143C6" w14:textId="7DE5046A" w:rsidR="00D110F4" w:rsidRDefault="00D110F4" w:rsidP="00BB6488">
      <w:pPr>
        <w:pStyle w:val="Authornameandaffiliation"/>
        <w:keepNext/>
        <w:ind w:left="0"/>
        <w:jc w:val="center"/>
      </w:pPr>
      <w:r>
        <w:rPr>
          <w:noProof/>
          <w:lang w:val="fr-FR" w:eastAsia="fr-FR"/>
        </w:rPr>
        <w:drawing>
          <wp:inline distT="0" distB="0" distL="0" distR="0" wp14:anchorId="2178F518" wp14:editId="3BC97286">
            <wp:extent cx="3186274" cy="1904046"/>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0985" cy="1918812"/>
                    </a:xfrm>
                    <a:prstGeom prst="rect">
                      <a:avLst/>
                    </a:prstGeom>
                    <a:noFill/>
                  </pic:spPr>
                </pic:pic>
              </a:graphicData>
            </a:graphic>
          </wp:inline>
        </w:drawing>
      </w:r>
    </w:p>
    <w:p w14:paraId="1BE815F7" w14:textId="54AF572B" w:rsidR="00BB6488" w:rsidRPr="00700441" w:rsidRDefault="00BB6488" w:rsidP="00D110F4">
      <w:pPr>
        <w:spacing w:after="60"/>
        <w:jc w:val="center"/>
        <w:rPr>
          <w:i/>
          <w:noProof/>
          <w:sz w:val="18"/>
          <w:szCs w:val="18"/>
          <w:lang w:val="en-US" w:eastAsia="fr-FR"/>
        </w:rPr>
      </w:pPr>
      <w:bookmarkStart w:id="2" w:name="_Ref166509455"/>
      <w:r w:rsidRPr="00700441">
        <w:rPr>
          <w:i/>
          <w:noProof/>
          <w:sz w:val="18"/>
          <w:szCs w:val="18"/>
          <w:lang w:val="en-US" w:eastAsia="fr-FR"/>
        </w:rPr>
        <w:t>F</w:t>
      </w:r>
      <w:r w:rsidR="00700441">
        <w:rPr>
          <w:i/>
          <w:noProof/>
          <w:sz w:val="18"/>
          <w:szCs w:val="18"/>
          <w:lang w:val="en-US" w:eastAsia="fr-FR"/>
        </w:rPr>
        <w:t>IG</w:t>
      </w:r>
      <w:r w:rsidRPr="00700441">
        <w:rPr>
          <w:i/>
          <w:noProof/>
          <w:sz w:val="18"/>
          <w:szCs w:val="18"/>
          <w:lang w:val="en-US" w:eastAsia="fr-FR"/>
        </w:rPr>
        <w:t xml:space="preserve"> </w:t>
      </w:r>
      <w:bookmarkStart w:id="3" w:name="_GoBack"/>
      <w:bookmarkEnd w:id="2"/>
      <w:bookmarkEnd w:id="3"/>
      <w:r w:rsidR="00F55DD3">
        <w:rPr>
          <w:i/>
          <w:noProof/>
          <w:sz w:val="18"/>
          <w:szCs w:val="18"/>
          <w:lang w:val="en-US" w:eastAsia="fr-FR"/>
        </w:rPr>
        <w:t>5</w:t>
      </w:r>
      <w:r w:rsidRPr="00700441">
        <w:rPr>
          <w:i/>
          <w:noProof/>
          <w:sz w:val="18"/>
          <w:szCs w:val="18"/>
          <w:lang w:val="en-US" w:eastAsia="fr-FR"/>
        </w:rPr>
        <w:t>: Comparison between an example of unintegrated SMR (conf. 1), unintegrated SMR with “free” heat available (conf. 2) and integrated system (conf. 3). LHV: Lower Heating Value</w:t>
      </w:r>
    </w:p>
    <w:p w14:paraId="319F6AA4" w14:textId="191020B5" w:rsidR="00BB6488" w:rsidRDefault="005512F9" w:rsidP="00700441">
      <w:pPr>
        <w:pStyle w:val="Authornameandaffiliation"/>
        <w:ind w:left="0" w:firstLine="567"/>
        <w:jc w:val="both"/>
        <w:rPr>
          <w:lang w:val="en-GB"/>
        </w:rPr>
      </w:pPr>
      <w:r>
        <w:rPr>
          <w:lang w:val="en-GB"/>
        </w:rPr>
        <w:t>This comparison</w:t>
      </w:r>
      <w:r w:rsidR="00BB6488">
        <w:rPr>
          <w:lang w:val="en-GB"/>
        </w:rPr>
        <w:t xml:space="preserve"> illustrates the increase of the production of liquid hydrocarbon from 15.8 MW to 18.9 MW (+20%) with the integrated system compared to the unintegrated system reference for a SMR of 100 MW. Interestingly, the heat extraction from the ECS has a low impact on electricity production, from 33.7 MW to 33.3 MW (–1%), allowing the integrated system to reach a fuel production close to the ideal case (+20% against +21%). </w:t>
      </w:r>
    </w:p>
    <w:p w14:paraId="38A7C4E4" w14:textId="4BCADB1C" w:rsidR="00A8442C" w:rsidRDefault="00BB6488" w:rsidP="00700441">
      <w:pPr>
        <w:pStyle w:val="Authornameandaffiliation"/>
        <w:ind w:left="0"/>
        <w:jc w:val="both"/>
        <w:rPr>
          <w:lang w:val="en-GB"/>
        </w:rPr>
      </w:pPr>
      <w:r>
        <w:rPr>
          <w:lang w:val="en-GB"/>
        </w:rPr>
        <w:t>Simulations of the integrated SMR-to-kerosene system have shown promising results, demonstrating the potential of the coupling of the nuclear reactor with the process to produce e-fuels. The methodology will be further applied for others process configurations (chemical pathways, refining configurations) in order to identify the most promising system in an energetic point of view but also regarding economic and environmental criteria.</w:t>
      </w:r>
    </w:p>
    <w:p w14:paraId="3F405C1E" w14:textId="5C8A3527" w:rsidR="00A8442C" w:rsidRPr="00EE0041" w:rsidRDefault="00FF58C0" w:rsidP="00FF58C0">
      <w:pPr>
        <w:pStyle w:val="Titre3"/>
      </w:pPr>
      <w:r>
        <w:t>2.4.</w:t>
      </w:r>
      <w:r>
        <w:tab/>
      </w:r>
      <w:r w:rsidR="00A8442C">
        <w:t>Thermal storage for flexibility and industry</w:t>
      </w:r>
      <w:r w:rsidR="00266D37">
        <w:t xml:space="preserve"> heat supply</w:t>
      </w:r>
    </w:p>
    <w:p w14:paraId="17B0E621" w14:textId="2F494CF3" w:rsidR="007E5A4F" w:rsidRPr="007E5A4F" w:rsidRDefault="007E5A4F" w:rsidP="007E5A4F">
      <w:pPr>
        <w:pStyle w:val="Authornameandaffiliation"/>
        <w:ind w:left="0" w:firstLine="567"/>
        <w:jc w:val="both"/>
        <w:rPr>
          <w:lang w:val="en-GB"/>
        </w:rPr>
      </w:pPr>
      <w:r w:rsidRPr="007E5A4F">
        <w:rPr>
          <w:lang w:val="en-GB"/>
        </w:rPr>
        <w:t>Due to the increasing part of renewables and intermittent power sources on the grid, the need for more flexible nuclear plants lead CEA to propose new design options. In particular, the coupling between nuclear reactors and heat storage devices is studied since 2018, first in the frame of Gen-IV reactor designs [</w:t>
      </w:r>
      <w:r w:rsidR="005855F4">
        <w:rPr>
          <w:lang w:val="en-GB"/>
        </w:rPr>
        <w:t>7</w:t>
      </w:r>
      <w:r w:rsidRPr="007E5A4F">
        <w:rPr>
          <w:lang w:val="en-GB"/>
        </w:rPr>
        <w:t xml:space="preserve">], and then for PWR technologies. These studies demonstrated that such a coupling results in many benefits for nuclear reactors in terms of potential flexibility, economy and safety issues. </w:t>
      </w:r>
    </w:p>
    <w:p w14:paraId="78794EE2" w14:textId="223D0656" w:rsidR="007E5A4F" w:rsidRPr="007E5A4F" w:rsidRDefault="007E5A4F" w:rsidP="007E5A4F">
      <w:pPr>
        <w:pStyle w:val="Authornameandaffiliation"/>
        <w:ind w:left="0" w:firstLine="567"/>
        <w:jc w:val="both"/>
        <w:rPr>
          <w:lang w:val="en-GB"/>
        </w:rPr>
      </w:pPr>
      <w:r w:rsidRPr="007E5A4F">
        <w:rPr>
          <w:lang w:val="en-GB"/>
        </w:rPr>
        <w:t xml:space="preserve">The energy storage is based on a </w:t>
      </w:r>
      <w:proofErr w:type="gramStart"/>
      <w:r w:rsidRPr="007E5A4F">
        <w:rPr>
          <w:lang w:val="en-GB"/>
        </w:rPr>
        <w:t>two-tanks</w:t>
      </w:r>
      <w:proofErr w:type="gramEnd"/>
      <w:r w:rsidRPr="007E5A4F">
        <w:rPr>
          <w:lang w:val="en-GB"/>
        </w:rPr>
        <w:t xml:space="preserve"> installation, filled with molten salt. This storage loop is implemented between the primary circuit and the power conversion system. During storage periods (night</w:t>
      </w:r>
      <w:r w:rsidR="006A7AA3">
        <w:rPr>
          <w:lang w:val="en-GB"/>
        </w:rPr>
        <w:t>-</w:t>
      </w:r>
      <w:r w:rsidRPr="007E5A4F">
        <w:rPr>
          <w:lang w:val="en-GB"/>
        </w:rPr>
        <w:t xml:space="preserve">time, when the price for electricity is low), the mass flow rate in the steam generator is lower </w:t>
      </w:r>
      <w:proofErr w:type="spellStart"/>
      <w:r w:rsidRPr="007E5A4F">
        <w:rPr>
          <w:lang w:val="en-GB"/>
        </w:rPr>
        <w:t>that</w:t>
      </w:r>
      <w:proofErr w:type="spellEnd"/>
      <w:r w:rsidRPr="007E5A4F">
        <w:rPr>
          <w:lang w:val="en-GB"/>
        </w:rPr>
        <w:t xml:space="preserve"> the one in the primary heat exchanger. The salt inventory in the hot tank increases: energy is stored. Conversely, when the price for electricity is high (daytime), the mass flow rate in the steam generator is higher than the one in the primary heat exchanger: the electricity production is instantaneously increased without any impact on the primary circuit. This is illustrated in </w:t>
      </w:r>
      <w:r w:rsidR="00905A5C">
        <w:rPr>
          <w:lang w:val="en-GB"/>
        </w:rPr>
        <w:t>Fig. 6</w:t>
      </w:r>
      <w:r w:rsidRPr="007E5A4F">
        <w:rPr>
          <w:lang w:val="en-GB"/>
        </w:rPr>
        <w:t>.</w:t>
      </w:r>
    </w:p>
    <w:p w14:paraId="60D43E91" w14:textId="77777777" w:rsidR="007E5A4F" w:rsidRPr="007E5A4F" w:rsidRDefault="007E5A4F" w:rsidP="007E5A4F">
      <w:pPr>
        <w:pStyle w:val="Authornameandaffiliation"/>
        <w:ind w:left="0" w:firstLine="567"/>
        <w:rPr>
          <w:lang w:val="en-GB"/>
        </w:rPr>
      </w:pPr>
      <w:r w:rsidRPr="007E5A4F">
        <w:rPr>
          <w:noProof/>
          <w:lang w:val="fr-FR" w:eastAsia="fr-FR"/>
        </w:rPr>
        <w:drawing>
          <wp:inline distT="0" distB="0" distL="0" distR="0" wp14:anchorId="7E207FBD" wp14:editId="72D0A687">
            <wp:extent cx="5286531" cy="1725105"/>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4330" cy="1750493"/>
                    </a:xfrm>
                    <a:prstGeom prst="rect">
                      <a:avLst/>
                    </a:prstGeom>
                    <a:noFill/>
                    <a:ln>
                      <a:noFill/>
                    </a:ln>
                  </pic:spPr>
                </pic:pic>
              </a:graphicData>
            </a:graphic>
          </wp:inline>
        </w:drawing>
      </w:r>
    </w:p>
    <w:p w14:paraId="4971344A" w14:textId="5CBA4505" w:rsidR="007E5A4F" w:rsidRPr="00F55DD3" w:rsidRDefault="007E5A4F" w:rsidP="00D110F4">
      <w:pPr>
        <w:pStyle w:val="Authornameandaffiliation"/>
        <w:ind w:left="0" w:firstLine="567"/>
        <w:jc w:val="center"/>
        <w:rPr>
          <w:i/>
          <w:noProof/>
          <w:sz w:val="18"/>
          <w:szCs w:val="18"/>
          <w:lang w:eastAsia="fr-FR"/>
        </w:rPr>
      </w:pPr>
      <w:bookmarkStart w:id="4" w:name="_Ref43372070"/>
      <w:bookmarkStart w:id="5" w:name="_Toc120857394"/>
      <w:r w:rsidRPr="00F55DD3">
        <w:rPr>
          <w:i/>
          <w:noProof/>
          <w:sz w:val="18"/>
          <w:szCs w:val="18"/>
          <w:lang w:eastAsia="fr-FR"/>
        </w:rPr>
        <w:t>F</w:t>
      </w:r>
      <w:bookmarkEnd w:id="4"/>
      <w:r w:rsidR="00905A5C">
        <w:rPr>
          <w:i/>
          <w:noProof/>
          <w:sz w:val="18"/>
          <w:szCs w:val="18"/>
          <w:lang w:eastAsia="fr-FR"/>
        </w:rPr>
        <w:t>IG.</w:t>
      </w:r>
      <w:r w:rsidRPr="00F55DD3">
        <w:rPr>
          <w:i/>
          <w:noProof/>
          <w:sz w:val="18"/>
          <w:szCs w:val="18"/>
          <w:lang w:eastAsia="fr-FR"/>
        </w:rPr>
        <w:t xml:space="preserve"> </w:t>
      </w:r>
      <w:r w:rsidR="00F55DD3">
        <w:rPr>
          <w:i/>
          <w:noProof/>
          <w:sz w:val="18"/>
          <w:szCs w:val="18"/>
          <w:lang w:eastAsia="fr-FR"/>
        </w:rPr>
        <w:t>6</w:t>
      </w:r>
      <w:r w:rsidRPr="00F55DD3">
        <w:rPr>
          <w:i/>
          <w:noProof/>
          <w:sz w:val="18"/>
          <w:szCs w:val="18"/>
          <w:lang w:eastAsia="fr-FR"/>
        </w:rPr>
        <w:t xml:space="preserve">: </w:t>
      </w:r>
      <w:bookmarkEnd w:id="5"/>
      <w:r w:rsidR="00905A5C">
        <w:rPr>
          <w:i/>
          <w:noProof/>
          <w:sz w:val="18"/>
          <w:szCs w:val="18"/>
          <w:lang w:eastAsia="fr-FR"/>
        </w:rPr>
        <w:t>S</w:t>
      </w:r>
      <w:r w:rsidRPr="00F55DD3">
        <w:rPr>
          <w:i/>
          <w:noProof/>
          <w:sz w:val="18"/>
          <w:szCs w:val="18"/>
          <w:lang w:eastAsia="fr-FR"/>
        </w:rPr>
        <w:t xml:space="preserve">chematic layout of the considered coupling between a </w:t>
      </w:r>
      <w:r w:rsidR="00212E7E">
        <w:rPr>
          <w:i/>
          <w:noProof/>
          <w:sz w:val="18"/>
          <w:szCs w:val="18"/>
          <w:lang w:eastAsia="fr-FR"/>
        </w:rPr>
        <w:t>SMR</w:t>
      </w:r>
      <w:r w:rsidRPr="00F55DD3">
        <w:rPr>
          <w:i/>
          <w:noProof/>
          <w:sz w:val="18"/>
          <w:szCs w:val="18"/>
          <w:lang w:eastAsia="fr-FR"/>
        </w:rPr>
        <w:t xml:space="preserve"> and a two tanks heat storage</w:t>
      </w:r>
    </w:p>
    <w:p w14:paraId="0A7ED57C" w14:textId="77777777" w:rsidR="006A7AA3" w:rsidRDefault="006A7AA3" w:rsidP="007E5A4F">
      <w:pPr>
        <w:pStyle w:val="Authornameandaffiliation"/>
        <w:ind w:left="0" w:firstLine="567"/>
        <w:jc w:val="both"/>
        <w:rPr>
          <w:lang w:val="en-GB"/>
        </w:rPr>
      </w:pPr>
    </w:p>
    <w:p w14:paraId="16EFDF24" w14:textId="31079228" w:rsidR="007E5A4F" w:rsidRPr="007E5A4F" w:rsidRDefault="007E5A4F" w:rsidP="007E5A4F">
      <w:pPr>
        <w:pStyle w:val="Authornameandaffiliation"/>
        <w:ind w:left="0" w:firstLine="567"/>
        <w:jc w:val="both"/>
        <w:rPr>
          <w:lang w:val="en-GB"/>
        </w:rPr>
      </w:pPr>
      <w:r w:rsidRPr="007E5A4F">
        <w:rPr>
          <w:lang w:val="en-GB"/>
        </w:rPr>
        <w:t>The technical specifications aimed at satisfying a daily load following transient (low power delivery during the night: 40% of nominal power</w:t>
      </w:r>
      <w:r w:rsidR="00F55DD3">
        <w:rPr>
          <w:lang w:val="en-GB"/>
        </w:rPr>
        <w:t xml:space="preserve"> during 8h</w:t>
      </w:r>
      <w:r w:rsidRPr="007E5A4F">
        <w:rPr>
          <w:lang w:val="en-GB"/>
        </w:rPr>
        <w:t xml:space="preserve">; and high power delivery during the day: 130% of nominal power during 16h). This lead to an energy storage objective close to 2600 </w:t>
      </w:r>
      <w:proofErr w:type="spellStart"/>
      <w:r w:rsidRPr="007E5A4F">
        <w:rPr>
          <w:lang w:val="en-GB"/>
        </w:rPr>
        <w:t>MW</w:t>
      </w:r>
      <w:r w:rsidR="00905A5C">
        <w:rPr>
          <w:lang w:val="en-GB"/>
        </w:rPr>
        <w:t>th</w:t>
      </w:r>
      <w:r w:rsidRPr="007E5A4F">
        <w:rPr>
          <w:lang w:val="en-GB"/>
        </w:rPr>
        <w:t>.h</w:t>
      </w:r>
      <w:proofErr w:type="spellEnd"/>
      <w:r w:rsidRPr="007E5A4F">
        <w:rPr>
          <w:lang w:val="en-GB"/>
        </w:rPr>
        <w:t>. The Rankine cycle optimization studies enabled to maximize the temperature difference in the storage loop up to 65°C (310°C in the hot tank versus 245°C in the cold one).</w:t>
      </w:r>
    </w:p>
    <w:p w14:paraId="0B501CE8" w14:textId="17242B92" w:rsidR="007E5A4F" w:rsidRPr="007E5A4F" w:rsidRDefault="007E5A4F" w:rsidP="007E5A4F">
      <w:pPr>
        <w:pStyle w:val="Authornameandaffiliation"/>
        <w:ind w:left="0" w:firstLine="567"/>
        <w:jc w:val="both"/>
        <w:rPr>
          <w:lang w:val="en-GB"/>
        </w:rPr>
      </w:pPr>
      <w:r w:rsidRPr="007E5A4F">
        <w:rPr>
          <w:lang w:val="en-GB"/>
        </w:rPr>
        <w:t xml:space="preserve">Considering the storage capacity needed and as described earlier, the storage temperatures expected and the maturity level projected, the two tanks technology with melted salts as storage media has been chosen. This technology has proven its efficiency and maturity in different Concentrated Solar Plants (CSP) currently under operation, as presented in </w:t>
      </w:r>
      <w:r w:rsidRPr="007E5A4F">
        <w:rPr>
          <w:lang w:val="en-GB"/>
        </w:rPr>
        <w:fldChar w:fldCharType="begin"/>
      </w:r>
      <w:r w:rsidRPr="007E5A4F">
        <w:rPr>
          <w:lang w:val="en-GB"/>
        </w:rPr>
        <w:instrText xml:space="preserve"> REF _Ref105081315 \r \h </w:instrText>
      </w:r>
      <w:r>
        <w:rPr>
          <w:lang w:val="en-GB"/>
        </w:rPr>
        <w:instrText xml:space="preserve"> \* MERGEFORMAT </w:instrText>
      </w:r>
      <w:r w:rsidRPr="007E5A4F">
        <w:rPr>
          <w:lang w:val="en-GB"/>
        </w:rPr>
      </w:r>
      <w:r w:rsidRPr="007E5A4F">
        <w:rPr>
          <w:lang w:val="en-GB"/>
        </w:rPr>
        <w:fldChar w:fldCharType="separate"/>
      </w:r>
      <w:r w:rsidR="009D08D7">
        <w:rPr>
          <w:lang w:val="en-GB"/>
        </w:rPr>
        <w:t>[8]</w:t>
      </w:r>
      <w:r w:rsidRPr="007E5A4F">
        <w:rPr>
          <w:lang w:val="en-GB"/>
        </w:rPr>
        <w:fldChar w:fldCharType="end"/>
      </w:r>
      <w:r w:rsidR="00905A5C">
        <w:rPr>
          <w:lang w:val="en-GB"/>
        </w:rPr>
        <w:t>.</w:t>
      </w:r>
    </w:p>
    <w:p w14:paraId="1B71A5EF" w14:textId="70B3C15E" w:rsidR="007E5A4F" w:rsidRDefault="007E5A4F" w:rsidP="007E5A4F">
      <w:pPr>
        <w:pStyle w:val="Authornameandaffiliation"/>
        <w:ind w:left="0" w:firstLine="567"/>
        <w:jc w:val="both"/>
        <w:rPr>
          <w:lang w:val="en-GB"/>
        </w:rPr>
      </w:pPr>
      <w:r w:rsidRPr="007E5A4F">
        <w:rPr>
          <w:lang w:val="en-GB"/>
        </w:rPr>
        <w:t xml:space="preserve">The Solar Salt (60%NaNO3-40%KNO3 </w:t>
      </w:r>
      <w:r w:rsidRPr="007E5A4F">
        <w:rPr>
          <w:lang w:val="en-GB"/>
        </w:rPr>
        <w:fldChar w:fldCharType="begin"/>
      </w:r>
      <w:r w:rsidRPr="007E5A4F">
        <w:rPr>
          <w:lang w:val="en-GB"/>
        </w:rPr>
        <w:instrText xml:space="preserve"> REF _Ref105743457 \r \h  \* MERGEFORMAT </w:instrText>
      </w:r>
      <w:r w:rsidRPr="007E5A4F">
        <w:rPr>
          <w:lang w:val="en-GB"/>
        </w:rPr>
      </w:r>
      <w:r w:rsidRPr="007E5A4F">
        <w:rPr>
          <w:lang w:val="en-GB"/>
        </w:rPr>
        <w:fldChar w:fldCharType="separate"/>
      </w:r>
      <w:r w:rsidR="009D08D7">
        <w:rPr>
          <w:lang w:val="en-GB"/>
        </w:rPr>
        <w:t>[9]</w:t>
      </w:r>
      <w:r w:rsidRPr="007E5A4F">
        <w:rPr>
          <w:lang w:val="en-GB"/>
        </w:rPr>
        <w:fldChar w:fldCharType="end"/>
      </w:r>
      <w:r w:rsidRPr="007E5A4F">
        <w:rPr>
          <w:lang w:val="en-GB"/>
        </w:rPr>
        <w:t>), generally used in the CSP technology, has a too high melting temperature (</w:t>
      </w:r>
      <w:proofErr w:type="spellStart"/>
      <w:r w:rsidRPr="007E5A4F">
        <w:rPr>
          <w:lang w:val="en-GB"/>
        </w:rPr>
        <w:t>Tmelting</w:t>
      </w:r>
      <w:proofErr w:type="spellEnd"/>
      <w:r w:rsidRPr="007E5A4F">
        <w:rPr>
          <w:lang w:val="en-GB"/>
        </w:rPr>
        <w:t xml:space="preserve"> = 220°C </w:t>
      </w:r>
      <w:r w:rsidRPr="007E5A4F">
        <w:rPr>
          <w:lang w:val="en-GB"/>
        </w:rPr>
        <w:fldChar w:fldCharType="begin"/>
      </w:r>
      <w:r w:rsidRPr="007E5A4F">
        <w:rPr>
          <w:lang w:val="en-GB"/>
        </w:rPr>
        <w:instrText xml:space="preserve"> REF _Ref105081315 \r \h </w:instrText>
      </w:r>
      <w:r>
        <w:rPr>
          <w:lang w:val="en-GB"/>
        </w:rPr>
        <w:instrText xml:space="preserve"> \* MERGEFORMAT </w:instrText>
      </w:r>
      <w:r w:rsidRPr="007E5A4F">
        <w:rPr>
          <w:lang w:val="en-GB"/>
        </w:rPr>
      </w:r>
      <w:r w:rsidRPr="007E5A4F">
        <w:rPr>
          <w:lang w:val="en-GB"/>
        </w:rPr>
        <w:fldChar w:fldCharType="separate"/>
      </w:r>
      <w:r w:rsidR="009D08D7">
        <w:rPr>
          <w:lang w:val="en-GB"/>
        </w:rPr>
        <w:t>[8</w:t>
      </w:r>
      <w:proofErr w:type="gramStart"/>
      <w:r w:rsidR="009D08D7">
        <w:rPr>
          <w:lang w:val="en-GB"/>
        </w:rPr>
        <w:t>]</w:t>
      </w:r>
      <w:proofErr w:type="gramEnd"/>
      <w:r w:rsidRPr="007E5A4F">
        <w:rPr>
          <w:lang w:val="en-GB"/>
        </w:rPr>
        <w:fldChar w:fldCharType="end"/>
      </w:r>
      <w:r w:rsidRPr="007E5A4F">
        <w:rPr>
          <w:lang w:val="en-GB"/>
        </w:rPr>
        <w:fldChar w:fldCharType="begin"/>
      </w:r>
      <w:r w:rsidRPr="007E5A4F">
        <w:rPr>
          <w:lang w:val="en-GB"/>
        </w:rPr>
        <w:instrText xml:space="preserve"> REF _Ref105747173 \r \h </w:instrText>
      </w:r>
      <w:r>
        <w:rPr>
          <w:lang w:val="en-GB"/>
        </w:rPr>
        <w:instrText xml:space="preserve"> \* MERGEFORMAT </w:instrText>
      </w:r>
      <w:r w:rsidRPr="007E5A4F">
        <w:rPr>
          <w:lang w:val="en-GB"/>
        </w:rPr>
      </w:r>
      <w:r w:rsidRPr="007E5A4F">
        <w:rPr>
          <w:lang w:val="en-GB"/>
        </w:rPr>
        <w:fldChar w:fldCharType="separate"/>
      </w:r>
      <w:r w:rsidR="009D08D7">
        <w:rPr>
          <w:lang w:val="en-GB"/>
        </w:rPr>
        <w:t>[10]</w:t>
      </w:r>
      <w:r w:rsidRPr="007E5A4F">
        <w:rPr>
          <w:lang w:val="en-GB"/>
        </w:rPr>
        <w:fldChar w:fldCharType="end"/>
      </w:r>
      <w:r w:rsidRPr="007E5A4F">
        <w:rPr>
          <w:lang w:val="en-GB"/>
        </w:rPr>
        <w:t xml:space="preserve"> to 240°C </w:t>
      </w:r>
      <w:r w:rsidRPr="007E5A4F">
        <w:rPr>
          <w:lang w:val="en-GB"/>
        </w:rPr>
        <w:fldChar w:fldCharType="begin"/>
      </w:r>
      <w:r w:rsidRPr="007E5A4F">
        <w:rPr>
          <w:lang w:val="en-GB"/>
        </w:rPr>
        <w:instrText xml:space="preserve"> REF _Ref105743457 \r \h </w:instrText>
      </w:r>
      <w:r>
        <w:rPr>
          <w:lang w:val="en-GB"/>
        </w:rPr>
        <w:instrText xml:space="preserve"> \* MERGEFORMAT </w:instrText>
      </w:r>
      <w:r w:rsidRPr="007E5A4F">
        <w:rPr>
          <w:lang w:val="en-GB"/>
        </w:rPr>
      </w:r>
      <w:r w:rsidRPr="007E5A4F">
        <w:rPr>
          <w:lang w:val="en-GB"/>
        </w:rPr>
        <w:fldChar w:fldCharType="separate"/>
      </w:r>
      <w:r w:rsidR="009D08D7">
        <w:rPr>
          <w:lang w:val="en-GB"/>
        </w:rPr>
        <w:t>[9]</w:t>
      </w:r>
      <w:r w:rsidRPr="007E5A4F">
        <w:rPr>
          <w:lang w:val="en-GB"/>
        </w:rPr>
        <w:fldChar w:fldCharType="end"/>
      </w:r>
      <w:r w:rsidRPr="007E5A4F">
        <w:rPr>
          <w:lang w:val="en-GB"/>
        </w:rPr>
        <w:fldChar w:fldCharType="begin"/>
      </w:r>
      <w:r w:rsidRPr="007E5A4F">
        <w:rPr>
          <w:lang w:val="en-GB"/>
        </w:rPr>
        <w:instrText xml:space="preserve"> REF _Ref105772291 \r \h </w:instrText>
      </w:r>
      <w:r>
        <w:rPr>
          <w:lang w:val="en-GB"/>
        </w:rPr>
        <w:instrText xml:space="preserve"> \* MERGEFORMAT </w:instrText>
      </w:r>
      <w:r w:rsidRPr="007E5A4F">
        <w:rPr>
          <w:lang w:val="en-GB"/>
        </w:rPr>
      </w:r>
      <w:r w:rsidRPr="007E5A4F">
        <w:rPr>
          <w:lang w:val="en-GB"/>
        </w:rPr>
        <w:fldChar w:fldCharType="separate"/>
      </w:r>
      <w:r w:rsidR="009D08D7">
        <w:rPr>
          <w:lang w:val="en-GB"/>
        </w:rPr>
        <w:t>[11]</w:t>
      </w:r>
      <w:r w:rsidRPr="007E5A4F">
        <w:rPr>
          <w:lang w:val="en-GB"/>
        </w:rPr>
        <w:fldChar w:fldCharType="end"/>
      </w:r>
      <w:r w:rsidRPr="007E5A4F">
        <w:rPr>
          <w:lang w:val="en-GB"/>
        </w:rPr>
        <w:t xml:space="preserve">) considering the cold storage temperature of this project (245°C). The margin between cold temperature and melting temperature would be too low considering freezing issues in pipes, vessels and heat exchangers. The HITEC salt (7%NaNO3-53%KNO3-40%NaNO2 </w:t>
      </w:r>
      <w:r w:rsidRPr="007E5A4F">
        <w:rPr>
          <w:lang w:val="en-GB"/>
        </w:rPr>
        <w:fldChar w:fldCharType="begin"/>
      </w:r>
      <w:r w:rsidRPr="007E5A4F">
        <w:rPr>
          <w:lang w:val="en-GB"/>
        </w:rPr>
        <w:instrText xml:space="preserve"> REF _Ref105743457 \r \h  \* MERGEFORMAT </w:instrText>
      </w:r>
      <w:r w:rsidRPr="007E5A4F">
        <w:rPr>
          <w:lang w:val="en-GB"/>
        </w:rPr>
      </w:r>
      <w:r w:rsidRPr="007E5A4F">
        <w:rPr>
          <w:lang w:val="en-GB"/>
        </w:rPr>
        <w:fldChar w:fldCharType="separate"/>
      </w:r>
      <w:r w:rsidR="009D08D7">
        <w:rPr>
          <w:lang w:val="en-GB"/>
        </w:rPr>
        <w:t>[9]</w:t>
      </w:r>
      <w:r w:rsidRPr="007E5A4F">
        <w:rPr>
          <w:lang w:val="en-GB"/>
        </w:rPr>
        <w:fldChar w:fldCharType="end"/>
      </w:r>
      <w:r w:rsidRPr="007E5A4F">
        <w:rPr>
          <w:lang w:val="en-GB"/>
        </w:rPr>
        <w:t>), presented in the</w:t>
      </w:r>
      <w:r w:rsidR="00025F6F">
        <w:rPr>
          <w:lang w:val="en-GB"/>
        </w:rPr>
        <w:t xml:space="preserve"> TABLE 1</w:t>
      </w:r>
      <w:r w:rsidR="00245F48" w:rsidRPr="007F2405">
        <w:rPr>
          <w:lang w:val="en-GB"/>
        </w:rPr>
        <w:t>,</w:t>
      </w:r>
      <w:r w:rsidR="00245F48">
        <w:rPr>
          <w:lang w:val="en-GB"/>
        </w:rPr>
        <w:t xml:space="preserve"> is more appropriate.</w:t>
      </w:r>
    </w:p>
    <w:p w14:paraId="3D0808B1" w14:textId="77777777" w:rsidR="007F2405" w:rsidRDefault="007F2405" w:rsidP="007F2405">
      <w:pPr>
        <w:pStyle w:val="Corpsdetexte"/>
      </w:pPr>
    </w:p>
    <w:p w14:paraId="78424597" w14:textId="0C5EB8A1" w:rsidR="007F2405" w:rsidRDefault="007F2405" w:rsidP="007F2405">
      <w:pPr>
        <w:pStyle w:val="Corpsdetexte"/>
        <w:ind w:firstLine="0"/>
      </w:pPr>
      <w:r>
        <w:t>TABLE 1.</w:t>
      </w:r>
      <w:r>
        <w:tab/>
      </w:r>
      <w:r w:rsidRPr="007E5A4F">
        <w:t>Thermal characteristics of HITEC salt</w:t>
      </w:r>
    </w:p>
    <w:tbl>
      <w:tblPr>
        <w:tblStyle w:val="Grilledutablea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8"/>
        <w:gridCol w:w="1276"/>
        <w:gridCol w:w="2003"/>
        <w:gridCol w:w="1742"/>
      </w:tblGrid>
      <w:tr w:rsidR="007F2405" w14:paraId="6E964B83" w14:textId="77777777" w:rsidTr="007F2405">
        <w:trPr>
          <w:jc w:val="center"/>
        </w:trPr>
        <w:tc>
          <w:tcPr>
            <w:tcW w:w="2268" w:type="dxa"/>
            <w:tcBorders>
              <w:top w:val="single" w:sz="4" w:space="0" w:color="auto"/>
              <w:bottom w:val="single" w:sz="4" w:space="0" w:color="auto"/>
            </w:tcBorders>
          </w:tcPr>
          <w:p w14:paraId="13F18E02" w14:textId="63726A73" w:rsidR="007F2405" w:rsidRDefault="007F2405" w:rsidP="007F2405">
            <w:pPr>
              <w:pStyle w:val="Corpsdetexte"/>
              <w:ind w:firstLine="0"/>
              <w:jc w:val="center"/>
            </w:pPr>
            <w:r>
              <w:t>HITEC</w:t>
            </w:r>
          </w:p>
        </w:tc>
        <w:tc>
          <w:tcPr>
            <w:tcW w:w="1418" w:type="dxa"/>
            <w:tcBorders>
              <w:top w:val="single" w:sz="4" w:space="0" w:color="auto"/>
              <w:bottom w:val="single" w:sz="4" w:space="0" w:color="auto"/>
            </w:tcBorders>
          </w:tcPr>
          <w:p w14:paraId="12A3B4DC" w14:textId="75807284" w:rsidR="007F2405" w:rsidRDefault="007F2405" w:rsidP="007F2405">
            <w:pPr>
              <w:pStyle w:val="Corpsdetexte"/>
              <w:ind w:firstLine="0"/>
              <w:jc w:val="center"/>
            </w:pPr>
            <w:r w:rsidRPr="007E5A4F">
              <w:t>T</w:t>
            </w:r>
            <w:r>
              <w:t xml:space="preserve"> </w:t>
            </w:r>
            <w:r w:rsidRPr="007E5A4F">
              <w:t>melting (°C)</w:t>
            </w:r>
          </w:p>
        </w:tc>
        <w:tc>
          <w:tcPr>
            <w:tcW w:w="1276" w:type="dxa"/>
            <w:tcBorders>
              <w:top w:val="single" w:sz="4" w:space="0" w:color="auto"/>
              <w:bottom w:val="single" w:sz="4" w:space="0" w:color="auto"/>
            </w:tcBorders>
          </w:tcPr>
          <w:p w14:paraId="2D5E1D69" w14:textId="1E1F65DE" w:rsidR="007F2405" w:rsidRDefault="007F2405" w:rsidP="003D401D">
            <w:pPr>
              <w:pStyle w:val="Corpsdetexte"/>
              <w:ind w:firstLine="0"/>
              <w:jc w:val="center"/>
            </w:pPr>
            <w:proofErr w:type="spellStart"/>
            <w:r>
              <w:t>Tmax</w:t>
            </w:r>
            <w:proofErr w:type="spellEnd"/>
            <w:r>
              <w:t xml:space="preserve"> (°C)</w:t>
            </w:r>
          </w:p>
        </w:tc>
        <w:tc>
          <w:tcPr>
            <w:tcW w:w="2003" w:type="dxa"/>
            <w:tcBorders>
              <w:top w:val="single" w:sz="4" w:space="0" w:color="auto"/>
              <w:bottom w:val="single" w:sz="4" w:space="0" w:color="auto"/>
            </w:tcBorders>
          </w:tcPr>
          <w:p w14:paraId="3A6ADF7B" w14:textId="3CFBC7CF" w:rsidR="007F2405" w:rsidRDefault="007F2405" w:rsidP="003D401D">
            <w:pPr>
              <w:pStyle w:val="Corpsdetexte"/>
              <w:ind w:firstLine="0"/>
              <w:jc w:val="center"/>
            </w:pPr>
            <w:proofErr w:type="spellStart"/>
            <w:r w:rsidRPr="007E5A4F">
              <w:t>Cp</w:t>
            </w:r>
            <w:proofErr w:type="spellEnd"/>
            <w:r w:rsidRPr="007E5A4F">
              <w:t xml:space="preserve"> - 300°C (J/Kg/K)</w:t>
            </w:r>
          </w:p>
        </w:tc>
        <w:tc>
          <w:tcPr>
            <w:tcW w:w="1742" w:type="dxa"/>
            <w:tcBorders>
              <w:top w:val="single" w:sz="4" w:space="0" w:color="auto"/>
              <w:bottom w:val="single" w:sz="4" w:space="0" w:color="auto"/>
            </w:tcBorders>
          </w:tcPr>
          <w:p w14:paraId="0E9B158C" w14:textId="20FFFA33" w:rsidR="007F2405" w:rsidRDefault="007F2405" w:rsidP="003D401D">
            <w:pPr>
              <w:pStyle w:val="Corpsdetexte"/>
              <w:ind w:firstLine="0"/>
              <w:jc w:val="center"/>
            </w:pPr>
            <w:r w:rsidRPr="007E5A4F">
              <w:t>ρ  - 300°C (kg/m3)</w:t>
            </w:r>
          </w:p>
        </w:tc>
      </w:tr>
      <w:tr w:rsidR="007F2405" w14:paraId="24F22FFC" w14:textId="77777777" w:rsidTr="007F2405">
        <w:trPr>
          <w:jc w:val="center"/>
        </w:trPr>
        <w:tc>
          <w:tcPr>
            <w:tcW w:w="2268" w:type="dxa"/>
            <w:tcBorders>
              <w:top w:val="single" w:sz="4" w:space="0" w:color="auto"/>
            </w:tcBorders>
          </w:tcPr>
          <w:p w14:paraId="4DB955A6" w14:textId="4BA9BE4E" w:rsidR="007F2405" w:rsidRPr="00883848" w:rsidRDefault="007F2405" w:rsidP="007F2405">
            <w:pPr>
              <w:pStyle w:val="Corpsdetexte"/>
              <w:ind w:firstLine="0"/>
              <w:rPr>
                <w:rStyle w:val="TabletextChar"/>
              </w:rPr>
            </w:pPr>
            <w:r w:rsidRPr="007E5A4F">
              <w:t xml:space="preserve">Gonzalez </w:t>
            </w:r>
            <w:proofErr w:type="spellStart"/>
            <w:r w:rsidRPr="007E5A4F">
              <w:t>Roubaud</w:t>
            </w:r>
            <w:proofErr w:type="spellEnd"/>
            <w:r w:rsidRPr="007E5A4F">
              <w:t xml:space="preserve"> </w:t>
            </w:r>
            <w:r w:rsidRPr="007E5A4F">
              <w:fldChar w:fldCharType="begin"/>
            </w:r>
            <w:r w:rsidRPr="007E5A4F">
              <w:instrText xml:space="preserve"> REF _Ref105081315 \r \h </w:instrText>
            </w:r>
            <w:r>
              <w:instrText xml:space="preserve"> \* MERGEFORMAT </w:instrText>
            </w:r>
            <w:r w:rsidRPr="007E5A4F">
              <w:fldChar w:fldCharType="separate"/>
            </w:r>
            <w:r w:rsidR="009D08D7">
              <w:t>[8]</w:t>
            </w:r>
            <w:r w:rsidRPr="007E5A4F">
              <w:fldChar w:fldCharType="end"/>
            </w:r>
            <w:r>
              <w:t xml:space="preserve"> </w:t>
            </w:r>
          </w:p>
        </w:tc>
        <w:tc>
          <w:tcPr>
            <w:tcW w:w="1418" w:type="dxa"/>
            <w:tcBorders>
              <w:top w:val="single" w:sz="4" w:space="0" w:color="auto"/>
            </w:tcBorders>
          </w:tcPr>
          <w:p w14:paraId="16DBCE83" w14:textId="28943C70" w:rsidR="007F2405" w:rsidRDefault="007F2405" w:rsidP="007F2405">
            <w:pPr>
              <w:pStyle w:val="Corpsdetexte"/>
              <w:ind w:firstLine="0"/>
              <w:jc w:val="center"/>
            </w:pPr>
            <w:r>
              <w:t>142</w:t>
            </w:r>
          </w:p>
        </w:tc>
        <w:tc>
          <w:tcPr>
            <w:tcW w:w="1276" w:type="dxa"/>
            <w:tcBorders>
              <w:top w:val="single" w:sz="4" w:space="0" w:color="auto"/>
            </w:tcBorders>
          </w:tcPr>
          <w:p w14:paraId="098E3D0D" w14:textId="6586803A" w:rsidR="007F2405" w:rsidRDefault="007F2405" w:rsidP="007F2405">
            <w:pPr>
              <w:pStyle w:val="Corpsdetexte"/>
              <w:ind w:firstLine="0"/>
              <w:jc w:val="center"/>
            </w:pPr>
            <w:r w:rsidRPr="007E5A4F">
              <w:t>450-538</w:t>
            </w:r>
          </w:p>
        </w:tc>
        <w:tc>
          <w:tcPr>
            <w:tcW w:w="2003" w:type="dxa"/>
            <w:tcBorders>
              <w:top w:val="single" w:sz="4" w:space="0" w:color="auto"/>
            </w:tcBorders>
          </w:tcPr>
          <w:p w14:paraId="3FF3A2C4" w14:textId="2B9BF075" w:rsidR="007F2405" w:rsidRDefault="007F2405" w:rsidP="007F2405">
            <w:pPr>
              <w:pStyle w:val="Corpsdetexte"/>
              <w:ind w:firstLine="0"/>
              <w:jc w:val="center"/>
            </w:pPr>
            <w:r w:rsidRPr="007E5A4F">
              <w:t>1560</w:t>
            </w:r>
          </w:p>
        </w:tc>
        <w:tc>
          <w:tcPr>
            <w:tcW w:w="1742" w:type="dxa"/>
            <w:tcBorders>
              <w:top w:val="single" w:sz="4" w:space="0" w:color="auto"/>
            </w:tcBorders>
          </w:tcPr>
          <w:p w14:paraId="30C8DDD0" w14:textId="2584F459" w:rsidR="007F2405" w:rsidRDefault="007F2405" w:rsidP="007F2405">
            <w:pPr>
              <w:pStyle w:val="Corpsdetexte"/>
              <w:ind w:firstLine="0"/>
              <w:jc w:val="center"/>
            </w:pPr>
            <w:r w:rsidRPr="007E5A4F">
              <w:t>1860</w:t>
            </w:r>
          </w:p>
        </w:tc>
      </w:tr>
      <w:tr w:rsidR="007F2405" w14:paraId="6CFF11D8" w14:textId="77777777" w:rsidTr="007F2405">
        <w:trPr>
          <w:jc w:val="center"/>
        </w:trPr>
        <w:tc>
          <w:tcPr>
            <w:tcW w:w="2268" w:type="dxa"/>
          </w:tcPr>
          <w:p w14:paraId="561DB252" w14:textId="112015E1" w:rsidR="007F2405" w:rsidRDefault="007F2405" w:rsidP="007F2405">
            <w:pPr>
              <w:pStyle w:val="Corpsdetexte"/>
              <w:ind w:firstLine="0"/>
            </w:pPr>
            <w:r w:rsidRPr="007E5A4F">
              <w:t xml:space="preserve">Fernandez </w:t>
            </w:r>
            <w:r w:rsidRPr="007E5A4F">
              <w:fldChar w:fldCharType="begin"/>
            </w:r>
            <w:r w:rsidRPr="007E5A4F">
              <w:instrText xml:space="preserve"> REF _Ref105747173 \r \h  \* MERGEFORMAT </w:instrText>
            </w:r>
            <w:r w:rsidRPr="007E5A4F">
              <w:fldChar w:fldCharType="separate"/>
            </w:r>
            <w:r w:rsidR="009D08D7">
              <w:t>[10]</w:t>
            </w:r>
            <w:r w:rsidRPr="007E5A4F">
              <w:fldChar w:fldCharType="end"/>
            </w:r>
          </w:p>
        </w:tc>
        <w:tc>
          <w:tcPr>
            <w:tcW w:w="1418" w:type="dxa"/>
          </w:tcPr>
          <w:p w14:paraId="7A278B98" w14:textId="28BD5FA4" w:rsidR="007F2405" w:rsidRDefault="007F2405" w:rsidP="007F2405">
            <w:pPr>
              <w:pStyle w:val="Corpsdetexte"/>
              <w:ind w:firstLine="0"/>
              <w:jc w:val="center"/>
            </w:pPr>
            <w:r>
              <w:t>142</w:t>
            </w:r>
          </w:p>
        </w:tc>
        <w:tc>
          <w:tcPr>
            <w:tcW w:w="1276" w:type="dxa"/>
          </w:tcPr>
          <w:p w14:paraId="5A233722" w14:textId="2984E834" w:rsidR="007F2405" w:rsidRDefault="007F2405" w:rsidP="007F2405">
            <w:pPr>
              <w:pStyle w:val="Corpsdetexte"/>
              <w:ind w:firstLine="0"/>
              <w:jc w:val="center"/>
            </w:pPr>
            <w:r w:rsidRPr="007E5A4F">
              <w:t>535-600</w:t>
            </w:r>
          </w:p>
        </w:tc>
        <w:tc>
          <w:tcPr>
            <w:tcW w:w="2003" w:type="dxa"/>
          </w:tcPr>
          <w:p w14:paraId="2FD3A946" w14:textId="18647D84" w:rsidR="007F2405" w:rsidRDefault="007F2405" w:rsidP="007F2405">
            <w:pPr>
              <w:pStyle w:val="Corpsdetexte"/>
              <w:ind w:firstLine="0"/>
              <w:jc w:val="center"/>
            </w:pPr>
            <w:r w:rsidRPr="007E5A4F">
              <w:t>1560</w:t>
            </w:r>
          </w:p>
        </w:tc>
        <w:tc>
          <w:tcPr>
            <w:tcW w:w="1742" w:type="dxa"/>
          </w:tcPr>
          <w:p w14:paraId="1407095E" w14:textId="7E3BE4CD" w:rsidR="007F2405" w:rsidRDefault="007F2405" w:rsidP="007F2405">
            <w:pPr>
              <w:pStyle w:val="Corpsdetexte"/>
              <w:ind w:firstLine="0"/>
              <w:jc w:val="center"/>
            </w:pPr>
            <w:r w:rsidRPr="007E5A4F">
              <w:t>1700</w:t>
            </w:r>
          </w:p>
        </w:tc>
      </w:tr>
      <w:tr w:rsidR="007F2405" w14:paraId="772011F1" w14:textId="77777777" w:rsidTr="007F2405">
        <w:trPr>
          <w:jc w:val="center"/>
        </w:trPr>
        <w:tc>
          <w:tcPr>
            <w:tcW w:w="2268" w:type="dxa"/>
          </w:tcPr>
          <w:p w14:paraId="52A5DF25" w14:textId="2C574237" w:rsidR="007F2405" w:rsidRDefault="007F2405" w:rsidP="007F2405">
            <w:pPr>
              <w:pStyle w:val="Corpsdetexte"/>
              <w:ind w:firstLine="0"/>
            </w:pPr>
            <w:r w:rsidRPr="007E5A4F">
              <w:t xml:space="preserve">Caraballo </w:t>
            </w:r>
            <w:r w:rsidRPr="007E5A4F">
              <w:fldChar w:fldCharType="begin"/>
            </w:r>
            <w:r w:rsidRPr="007E5A4F">
              <w:instrText xml:space="preserve"> REF _Ref105743457 \r \h  \* MERGEFORMAT </w:instrText>
            </w:r>
            <w:r w:rsidRPr="007E5A4F">
              <w:fldChar w:fldCharType="separate"/>
            </w:r>
            <w:r w:rsidR="009D08D7">
              <w:t>[9]</w:t>
            </w:r>
            <w:r w:rsidRPr="007E5A4F">
              <w:fldChar w:fldCharType="end"/>
            </w:r>
          </w:p>
        </w:tc>
        <w:tc>
          <w:tcPr>
            <w:tcW w:w="1418" w:type="dxa"/>
          </w:tcPr>
          <w:p w14:paraId="406E613D" w14:textId="5EDFF721" w:rsidR="007F2405" w:rsidRDefault="007F2405" w:rsidP="007F2405">
            <w:pPr>
              <w:pStyle w:val="Corpsdetexte"/>
              <w:ind w:firstLine="0"/>
              <w:jc w:val="center"/>
            </w:pPr>
            <w:r>
              <w:t>142</w:t>
            </w:r>
          </w:p>
        </w:tc>
        <w:tc>
          <w:tcPr>
            <w:tcW w:w="1276" w:type="dxa"/>
          </w:tcPr>
          <w:p w14:paraId="65952FFC" w14:textId="6ACCDE31" w:rsidR="007F2405" w:rsidRDefault="007F2405" w:rsidP="007F2405">
            <w:pPr>
              <w:pStyle w:val="Corpsdetexte"/>
              <w:ind w:firstLine="0"/>
              <w:jc w:val="center"/>
            </w:pPr>
            <w:r w:rsidRPr="007E5A4F">
              <w:t>450</w:t>
            </w:r>
          </w:p>
        </w:tc>
        <w:tc>
          <w:tcPr>
            <w:tcW w:w="2003" w:type="dxa"/>
          </w:tcPr>
          <w:p w14:paraId="50458DB0" w14:textId="622FEF97" w:rsidR="007F2405" w:rsidRDefault="007F2405" w:rsidP="007F2405">
            <w:pPr>
              <w:pStyle w:val="Corpsdetexte"/>
              <w:ind w:firstLine="0"/>
              <w:jc w:val="center"/>
            </w:pPr>
            <w:r w:rsidRPr="007E5A4F">
              <w:t>1559,7</w:t>
            </w:r>
          </w:p>
        </w:tc>
        <w:tc>
          <w:tcPr>
            <w:tcW w:w="1742" w:type="dxa"/>
          </w:tcPr>
          <w:p w14:paraId="275EB3AF" w14:textId="5AC59511" w:rsidR="007F2405" w:rsidRDefault="007F2405" w:rsidP="007F2405">
            <w:pPr>
              <w:pStyle w:val="Corpsdetexte"/>
              <w:ind w:firstLine="0"/>
              <w:jc w:val="center"/>
            </w:pPr>
            <w:r w:rsidRPr="007E5A4F">
              <w:t>1718,4</w:t>
            </w:r>
          </w:p>
        </w:tc>
      </w:tr>
      <w:tr w:rsidR="007F2405" w14:paraId="2C90D850" w14:textId="77777777" w:rsidTr="007F2405">
        <w:trPr>
          <w:jc w:val="center"/>
        </w:trPr>
        <w:tc>
          <w:tcPr>
            <w:tcW w:w="2268" w:type="dxa"/>
          </w:tcPr>
          <w:p w14:paraId="24F6DD1D" w14:textId="08944F7B" w:rsidR="007F2405" w:rsidRDefault="007F2405" w:rsidP="007F2405">
            <w:pPr>
              <w:pStyle w:val="Corpsdetexte"/>
              <w:ind w:firstLine="0"/>
            </w:pPr>
            <w:r w:rsidRPr="007E5A4F">
              <w:t xml:space="preserve">Bauer </w:t>
            </w:r>
            <w:r w:rsidRPr="007E5A4F">
              <w:fldChar w:fldCharType="begin"/>
            </w:r>
            <w:r w:rsidRPr="007E5A4F">
              <w:instrText xml:space="preserve"> REF _Ref105772291 \r \h  \* MERGEFORMAT </w:instrText>
            </w:r>
            <w:r w:rsidRPr="007E5A4F">
              <w:fldChar w:fldCharType="separate"/>
            </w:r>
            <w:r w:rsidR="009D08D7">
              <w:t>[11]</w:t>
            </w:r>
            <w:r w:rsidRPr="007E5A4F">
              <w:fldChar w:fldCharType="end"/>
            </w:r>
          </w:p>
        </w:tc>
        <w:tc>
          <w:tcPr>
            <w:tcW w:w="1418" w:type="dxa"/>
          </w:tcPr>
          <w:p w14:paraId="2D8D76E1" w14:textId="05AE5482" w:rsidR="007F2405" w:rsidRDefault="007F2405" w:rsidP="007F2405">
            <w:pPr>
              <w:pStyle w:val="Corpsdetexte"/>
              <w:ind w:firstLine="0"/>
              <w:jc w:val="center"/>
            </w:pPr>
            <w:r>
              <w:t>142</w:t>
            </w:r>
          </w:p>
        </w:tc>
        <w:tc>
          <w:tcPr>
            <w:tcW w:w="1276" w:type="dxa"/>
          </w:tcPr>
          <w:p w14:paraId="27166B4F" w14:textId="5074ECB2" w:rsidR="007F2405" w:rsidRDefault="007F2405" w:rsidP="007F2405">
            <w:pPr>
              <w:pStyle w:val="Corpsdetexte"/>
              <w:ind w:firstLine="0"/>
              <w:jc w:val="center"/>
            </w:pPr>
            <w:r w:rsidRPr="007E5A4F">
              <w:t>450</w:t>
            </w:r>
          </w:p>
        </w:tc>
        <w:tc>
          <w:tcPr>
            <w:tcW w:w="2003" w:type="dxa"/>
          </w:tcPr>
          <w:p w14:paraId="60B14A24" w14:textId="64076E5D" w:rsidR="007F2405" w:rsidRDefault="007F2405" w:rsidP="007F2405">
            <w:pPr>
              <w:pStyle w:val="Corpsdetexte"/>
              <w:ind w:firstLine="0"/>
              <w:jc w:val="center"/>
            </w:pPr>
            <w:r w:rsidRPr="007E5A4F">
              <w:t>1540</w:t>
            </w:r>
          </w:p>
        </w:tc>
        <w:tc>
          <w:tcPr>
            <w:tcW w:w="1742" w:type="dxa"/>
          </w:tcPr>
          <w:p w14:paraId="221F79D0" w14:textId="68F48C1C" w:rsidR="007F2405" w:rsidRDefault="007F2405" w:rsidP="007F2405">
            <w:pPr>
              <w:pStyle w:val="Corpsdetexte"/>
              <w:ind w:firstLine="0"/>
              <w:jc w:val="center"/>
            </w:pPr>
            <w:r w:rsidRPr="007E5A4F">
              <w:t>1790</w:t>
            </w:r>
          </w:p>
        </w:tc>
      </w:tr>
    </w:tbl>
    <w:p w14:paraId="087A2FEE" w14:textId="77777777" w:rsidR="007F2405" w:rsidRDefault="007F2405" w:rsidP="007E5A4F">
      <w:pPr>
        <w:pStyle w:val="Authornameandaffiliation"/>
        <w:ind w:left="0" w:firstLine="567"/>
        <w:jc w:val="both"/>
        <w:rPr>
          <w:lang w:val="en-GB"/>
        </w:rPr>
      </w:pPr>
    </w:p>
    <w:p w14:paraId="0CEC9743" w14:textId="77CBE852" w:rsidR="007E5A4F" w:rsidRDefault="007E5A4F" w:rsidP="007E5A4F">
      <w:pPr>
        <w:pStyle w:val="Authornameandaffiliation"/>
        <w:ind w:left="0" w:firstLine="567"/>
        <w:jc w:val="both"/>
        <w:rPr>
          <w:lang w:val="en-GB"/>
        </w:rPr>
      </w:pPr>
      <w:r w:rsidRPr="007E5A4F">
        <w:rPr>
          <w:lang w:val="en-GB"/>
        </w:rPr>
        <w:t xml:space="preserve">A preliminary design using HITEC salt is proposed, considering a maximum size of 40m for the diameter and 14m for the height of the tanks (derived from </w:t>
      </w:r>
      <w:r w:rsidRPr="007E5A4F">
        <w:rPr>
          <w:lang w:val="en-GB"/>
        </w:rPr>
        <w:fldChar w:fldCharType="begin"/>
      </w:r>
      <w:r w:rsidRPr="007E5A4F">
        <w:rPr>
          <w:lang w:val="en-GB"/>
        </w:rPr>
        <w:instrText xml:space="preserve"> REF _Ref105081315 \r \h </w:instrText>
      </w:r>
      <w:r>
        <w:rPr>
          <w:lang w:val="en-GB"/>
        </w:rPr>
        <w:instrText xml:space="preserve"> \* MERGEFORMAT </w:instrText>
      </w:r>
      <w:r w:rsidRPr="007E5A4F">
        <w:rPr>
          <w:lang w:val="en-GB"/>
        </w:rPr>
      </w:r>
      <w:r w:rsidRPr="007E5A4F">
        <w:rPr>
          <w:lang w:val="en-GB"/>
        </w:rPr>
        <w:fldChar w:fldCharType="separate"/>
      </w:r>
      <w:r w:rsidR="009D08D7">
        <w:rPr>
          <w:lang w:val="en-GB"/>
        </w:rPr>
        <w:t>[8]</w:t>
      </w:r>
      <w:r w:rsidRPr="007E5A4F">
        <w:rPr>
          <w:lang w:val="en-GB"/>
        </w:rPr>
        <w:fldChar w:fldCharType="end"/>
      </w:r>
      <w:r w:rsidR="00AD77E4">
        <w:rPr>
          <w:lang w:val="en-GB"/>
        </w:rPr>
        <w:t xml:space="preserve">). </w:t>
      </w:r>
      <w:r w:rsidRPr="007E5A4F">
        <w:rPr>
          <w:lang w:val="en-GB"/>
        </w:rPr>
        <w:t xml:space="preserve">This </w:t>
      </w:r>
      <w:r w:rsidR="00A84FFA">
        <w:rPr>
          <w:lang w:val="en-GB"/>
        </w:rPr>
        <w:t xml:space="preserve">preliminary </w:t>
      </w:r>
      <w:r w:rsidRPr="007E5A4F">
        <w:rPr>
          <w:lang w:val="en-GB"/>
        </w:rPr>
        <w:t xml:space="preserve">design leads to a storage system composed of 3 cold tanks and 3 hot tanks, as presented in the </w:t>
      </w:r>
      <w:r w:rsidR="00A431FC">
        <w:rPr>
          <w:lang w:val="en-GB"/>
        </w:rPr>
        <w:t>TABLE 2</w:t>
      </w:r>
      <w:r w:rsidR="007F2405">
        <w:rPr>
          <w:lang w:val="en-GB"/>
        </w:rPr>
        <w:t>.</w:t>
      </w:r>
    </w:p>
    <w:p w14:paraId="4CF6BDDB" w14:textId="77777777" w:rsidR="007F2405" w:rsidRPr="007E5A4F" w:rsidRDefault="007F2405" w:rsidP="007E5A4F">
      <w:pPr>
        <w:pStyle w:val="Authornameandaffiliation"/>
        <w:ind w:left="0" w:firstLine="567"/>
        <w:jc w:val="both"/>
        <w:rPr>
          <w:lang w:val="en-GB"/>
        </w:rPr>
      </w:pPr>
    </w:p>
    <w:p w14:paraId="6B7391D9" w14:textId="4C45643D" w:rsidR="007E5A4F" w:rsidRDefault="007E5A4F" w:rsidP="007F2405">
      <w:pPr>
        <w:pStyle w:val="Authornameandaffiliation"/>
        <w:ind w:left="0"/>
        <w:jc w:val="both"/>
        <w:rPr>
          <w:lang w:val="en-GB"/>
        </w:rPr>
      </w:pPr>
      <w:bookmarkStart w:id="6" w:name="_Ref166579647"/>
      <w:r w:rsidRPr="007E5A4F">
        <w:rPr>
          <w:lang w:val="en-GB"/>
        </w:rPr>
        <w:t>T</w:t>
      </w:r>
      <w:r w:rsidR="007F2405">
        <w:rPr>
          <w:lang w:val="en-GB"/>
        </w:rPr>
        <w:t>ABLE</w:t>
      </w:r>
      <w:r w:rsidRPr="007E5A4F">
        <w:rPr>
          <w:lang w:val="en-GB"/>
        </w:rPr>
        <w:t xml:space="preserve"> </w:t>
      </w:r>
      <w:r w:rsidR="00A431FC">
        <w:rPr>
          <w:lang w:val="en-GB"/>
        </w:rPr>
        <w:t>2</w:t>
      </w:r>
      <w:bookmarkEnd w:id="6"/>
      <w:r w:rsidR="007F2405">
        <w:rPr>
          <w:lang w:val="en-GB"/>
        </w:rPr>
        <w:t>.</w:t>
      </w:r>
      <w:r w:rsidR="007F2405">
        <w:rPr>
          <w:lang w:val="en-GB"/>
        </w:rPr>
        <w:tab/>
      </w:r>
      <w:r w:rsidRPr="007E5A4F">
        <w:rPr>
          <w:lang w:val="en-GB"/>
        </w:rPr>
        <w:t xml:space="preserve">Heat storage characteristics </w:t>
      </w:r>
    </w:p>
    <w:tbl>
      <w:tblPr>
        <w:tblStyle w:val="Grilledutablea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8"/>
        <w:gridCol w:w="1275"/>
        <w:gridCol w:w="2254"/>
        <w:gridCol w:w="827"/>
        <w:gridCol w:w="1739"/>
      </w:tblGrid>
      <w:tr w:rsidR="007F2405" w14:paraId="4AD81C6C" w14:textId="77777777" w:rsidTr="007F2405">
        <w:trPr>
          <w:jc w:val="center"/>
        </w:trPr>
        <w:tc>
          <w:tcPr>
            <w:tcW w:w="1276" w:type="dxa"/>
            <w:tcBorders>
              <w:top w:val="single" w:sz="4" w:space="0" w:color="auto"/>
              <w:bottom w:val="single" w:sz="4" w:space="0" w:color="auto"/>
            </w:tcBorders>
          </w:tcPr>
          <w:p w14:paraId="1504F781" w14:textId="320949DD" w:rsidR="007F2405" w:rsidRDefault="007F2405" w:rsidP="00A84FFA">
            <w:pPr>
              <w:pStyle w:val="Corpsdetexte"/>
              <w:ind w:firstLine="0"/>
              <w:jc w:val="center"/>
            </w:pPr>
            <w:r w:rsidRPr="007E5A4F">
              <w:t>Energy</w:t>
            </w:r>
          </w:p>
        </w:tc>
        <w:tc>
          <w:tcPr>
            <w:tcW w:w="1418" w:type="dxa"/>
            <w:tcBorders>
              <w:top w:val="single" w:sz="4" w:space="0" w:color="auto"/>
              <w:bottom w:val="single" w:sz="4" w:space="0" w:color="auto"/>
            </w:tcBorders>
          </w:tcPr>
          <w:p w14:paraId="7A97DA0A" w14:textId="296360A7" w:rsidR="007F2405" w:rsidRDefault="007F2405" w:rsidP="00A84FFA">
            <w:pPr>
              <w:pStyle w:val="Corpsdetexte"/>
              <w:ind w:firstLine="0"/>
              <w:jc w:val="center"/>
            </w:pPr>
            <w:r w:rsidRPr="007E5A4F">
              <w:t>Storage Media</w:t>
            </w:r>
          </w:p>
        </w:tc>
        <w:tc>
          <w:tcPr>
            <w:tcW w:w="1275" w:type="dxa"/>
            <w:tcBorders>
              <w:top w:val="single" w:sz="4" w:space="0" w:color="auto"/>
              <w:bottom w:val="single" w:sz="4" w:space="0" w:color="auto"/>
            </w:tcBorders>
          </w:tcPr>
          <w:p w14:paraId="2E94AB18" w14:textId="647FB770" w:rsidR="007F2405" w:rsidRDefault="007F2405" w:rsidP="00A84FFA">
            <w:pPr>
              <w:pStyle w:val="Corpsdetexte"/>
              <w:ind w:firstLine="0"/>
              <w:jc w:val="center"/>
            </w:pPr>
            <w:r w:rsidRPr="007E5A4F">
              <w:t>Total mass of salt</w:t>
            </w:r>
          </w:p>
        </w:tc>
        <w:tc>
          <w:tcPr>
            <w:tcW w:w="2254" w:type="dxa"/>
            <w:tcBorders>
              <w:top w:val="single" w:sz="4" w:space="0" w:color="auto"/>
              <w:bottom w:val="single" w:sz="4" w:space="0" w:color="auto"/>
            </w:tcBorders>
          </w:tcPr>
          <w:p w14:paraId="5A68FB36" w14:textId="77777777" w:rsidR="00A84FFA" w:rsidRDefault="007F2405" w:rsidP="00A84FFA">
            <w:pPr>
              <w:pStyle w:val="Authornameandaffiliation"/>
              <w:ind w:left="0"/>
              <w:jc w:val="center"/>
              <w:rPr>
                <w:lang w:val="en-GB"/>
              </w:rPr>
            </w:pPr>
            <w:r w:rsidRPr="007E5A4F">
              <w:rPr>
                <w:lang w:val="en-GB"/>
              </w:rPr>
              <w:t>Volume of a tank</w:t>
            </w:r>
          </w:p>
          <w:p w14:paraId="18747C22" w14:textId="25C45515" w:rsidR="007F2405" w:rsidRDefault="00A84FFA" w:rsidP="00A84FFA">
            <w:pPr>
              <w:pStyle w:val="Authornameandaffiliation"/>
              <w:ind w:left="0"/>
              <w:jc w:val="center"/>
            </w:pPr>
            <w:r>
              <w:rPr>
                <w:lang w:val="en-GB"/>
              </w:rPr>
              <w:t xml:space="preserve">(h =14m - </w:t>
            </w:r>
            <w:r w:rsidR="007F2405" w:rsidRPr="007E5A4F">
              <w:rPr>
                <w:lang w:val="en-GB"/>
              </w:rPr>
              <w:t>ϕ = 39m)</w:t>
            </w:r>
          </w:p>
        </w:tc>
        <w:tc>
          <w:tcPr>
            <w:tcW w:w="826" w:type="dxa"/>
            <w:tcBorders>
              <w:top w:val="single" w:sz="4" w:space="0" w:color="auto"/>
              <w:bottom w:val="single" w:sz="4" w:space="0" w:color="auto"/>
            </w:tcBorders>
          </w:tcPr>
          <w:p w14:paraId="4D19D0D6" w14:textId="03CFE285" w:rsidR="007F2405" w:rsidRDefault="007F2405" w:rsidP="00A84FFA">
            <w:pPr>
              <w:pStyle w:val="Corpsdetexte"/>
              <w:ind w:firstLine="0"/>
              <w:jc w:val="center"/>
            </w:pPr>
            <w:r w:rsidRPr="007E5A4F">
              <w:t>Tanks number</w:t>
            </w:r>
          </w:p>
        </w:tc>
        <w:tc>
          <w:tcPr>
            <w:tcW w:w="1739" w:type="dxa"/>
            <w:tcBorders>
              <w:top w:val="single" w:sz="4" w:space="0" w:color="auto"/>
              <w:bottom w:val="single" w:sz="4" w:space="0" w:color="auto"/>
            </w:tcBorders>
          </w:tcPr>
          <w:p w14:paraId="47CAD19C" w14:textId="5931B1AD" w:rsidR="007F2405" w:rsidRDefault="007F2405" w:rsidP="00A84FFA">
            <w:pPr>
              <w:pStyle w:val="Corpsdetexte"/>
              <w:ind w:firstLine="0"/>
              <w:jc w:val="center"/>
            </w:pPr>
            <w:r w:rsidRPr="007E5A4F">
              <w:t>Heat Exchangers power</w:t>
            </w:r>
          </w:p>
        </w:tc>
      </w:tr>
      <w:tr w:rsidR="007F2405" w14:paraId="5E1C1D0C" w14:textId="77777777" w:rsidTr="007F2405">
        <w:trPr>
          <w:jc w:val="center"/>
        </w:trPr>
        <w:tc>
          <w:tcPr>
            <w:tcW w:w="1276" w:type="dxa"/>
            <w:tcBorders>
              <w:top w:val="single" w:sz="4" w:space="0" w:color="auto"/>
            </w:tcBorders>
          </w:tcPr>
          <w:p w14:paraId="5FC73166" w14:textId="4F25A59B" w:rsidR="007F2405" w:rsidRPr="00883848" w:rsidRDefault="007F2405" w:rsidP="00A84FFA">
            <w:pPr>
              <w:pStyle w:val="Corpsdetexte"/>
              <w:ind w:firstLine="0"/>
              <w:jc w:val="center"/>
              <w:rPr>
                <w:rStyle w:val="TabletextChar"/>
              </w:rPr>
            </w:pPr>
            <w:r w:rsidRPr="007E5A4F">
              <w:t>2592 MWth</w:t>
            </w:r>
          </w:p>
        </w:tc>
        <w:tc>
          <w:tcPr>
            <w:tcW w:w="1418" w:type="dxa"/>
            <w:tcBorders>
              <w:top w:val="single" w:sz="4" w:space="0" w:color="auto"/>
            </w:tcBorders>
          </w:tcPr>
          <w:p w14:paraId="77BF11E8" w14:textId="724EFB2E" w:rsidR="007F2405" w:rsidRDefault="007F2405" w:rsidP="00A84FFA">
            <w:pPr>
              <w:pStyle w:val="Corpsdetexte"/>
              <w:ind w:firstLine="0"/>
              <w:jc w:val="center"/>
            </w:pPr>
            <w:r w:rsidRPr="007E5A4F">
              <w:t>HITEC</w:t>
            </w:r>
          </w:p>
        </w:tc>
        <w:tc>
          <w:tcPr>
            <w:tcW w:w="1275" w:type="dxa"/>
            <w:tcBorders>
              <w:top w:val="single" w:sz="4" w:space="0" w:color="auto"/>
            </w:tcBorders>
          </w:tcPr>
          <w:p w14:paraId="781EFB25" w14:textId="5B0705AD" w:rsidR="007F2405" w:rsidRDefault="007F2405" w:rsidP="00A84FFA">
            <w:pPr>
              <w:pStyle w:val="Corpsdetexte"/>
              <w:ind w:firstLine="0"/>
              <w:jc w:val="center"/>
            </w:pPr>
            <w:r w:rsidRPr="007E5A4F">
              <w:t>104774 tons</w:t>
            </w:r>
          </w:p>
        </w:tc>
        <w:tc>
          <w:tcPr>
            <w:tcW w:w="2254" w:type="dxa"/>
            <w:tcBorders>
              <w:top w:val="single" w:sz="4" w:space="0" w:color="auto"/>
            </w:tcBorders>
          </w:tcPr>
          <w:p w14:paraId="5795C309" w14:textId="3771A254" w:rsidR="007F2405" w:rsidRDefault="007F2405" w:rsidP="00A84FFA">
            <w:pPr>
              <w:pStyle w:val="Corpsdetexte"/>
              <w:ind w:firstLine="0"/>
              <w:jc w:val="center"/>
            </w:pPr>
            <w:r w:rsidRPr="007E5A4F">
              <w:t>16410 m</w:t>
            </w:r>
            <w:r w:rsidRPr="006A7AA3">
              <w:rPr>
                <w:vertAlign w:val="superscript"/>
              </w:rPr>
              <w:t>3</w:t>
            </w:r>
          </w:p>
        </w:tc>
        <w:tc>
          <w:tcPr>
            <w:tcW w:w="826" w:type="dxa"/>
            <w:tcBorders>
              <w:top w:val="single" w:sz="4" w:space="0" w:color="auto"/>
            </w:tcBorders>
          </w:tcPr>
          <w:p w14:paraId="6D393427" w14:textId="627A1DE0" w:rsidR="007F2405" w:rsidRDefault="007F2405" w:rsidP="00A84FFA">
            <w:pPr>
              <w:pStyle w:val="Corpsdetexte"/>
              <w:ind w:firstLine="0"/>
              <w:jc w:val="center"/>
            </w:pPr>
            <w:r w:rsidRPr="007E5A4F">
              <w:t>6</w:t>
            </w:r>
          </w:p>
        </w:tc>
        <w:tc>
          <w:tcPr>
            <w:tcW w:w="1739" w:type="dxa"/>
            <w:tcBorders>
              <w:top w:val="single" w:sz="4" w:space="0" w:color="auto"/>
            </w:tcBorders>
          </w:tcPr>
          <w:p w14:paraId="27680F35" w14:textId="01D90706" w:rsidR="007F2405" w:rsidRDefault="007F2405" w:rsidP="00A84FFA">
            <w:pPr>
              <w:pStyle w:val="Corpsdetexte"/>
              <w:ind w:firstLine="0"/>
              <w:jc w:val="center"/>
            </w:pPr>
            <w:r w:rsidRPr="007E5A4F">
              <w:t>324MWth</w:t>
            </w:r>
          </w:p>
        </w:tc>
      </w:tr>
    </w:tbl>
    <w:p w14:paraId="7B29C0F0" w14:textId="3F1372EE" w:rsidR="00F004EE" w:rsidRDefault="00891B3B" w:rsidP="00802266">
      <w:pPr>
        <w:pStyle w:val="Titre2"/>
        <w:numPr>
          <w:ilvl w:val="1"/>
          <w:numId w:val="10"/>
        </w:numPr>
      </w:pPr>
      <w:r>
        <w:t>Support for european intiatives</w:t>
      </w:r>
    </w:p>
    <w:p w14:paraId="3FA2C383" w14:textId="7A7B023B" w:rsidR="00891B3B" w:rsidRDefault="00891B3B" w:rsidP="00891B3B">
      <w:pPr>
        <w:pStyle w:val="Corpsdetexte"/>
      </w:pPr>
      <w:r>
        <w:t xml:space="preserve">Beyond the management of technical activities in the French national framework, the IDNES project also supports international collaborative initiatives, such as the TANDEM (Small Modular </w:t>
      </w:r>
      <w:proofErr w:type="spellStart"/>
      <w:r w:rsidRPr="00827491">
        <w:t>Reac</w:t>
      </w:r>
      <w:r w:rsidRPr="00827491">
        <w:rPr>
          <w:u w:val="single"/>
        </w:rPr>
        <w:t>T</w:t>
      </w:r>
      <w:r w:rsidRPr="00827491">
        <w:t>or</w:t>
      </w:r>
      <w:proofErr w:type="spellEnd"/>
      <w:r w:rsidRPr="00827491">
        <w:t xml:space="preserve"> for a European </w:t>
      </w:r>
      <w:proofErr w:type="spellStart"/>
      <w:r w:rsidRPr="00827491">
        <w:t>s</w:t>
      </w:r>
      <w:r w:rsidRPr="00827491">
        <w:rPr>
          <w:u w:val="single"/>
        </w:rPr>
        <w:t>A</w:t>
      </w:r>
      <w:r w:rsidRPr="00827491">
        <w:t>fe</w:t>
      </w:r>
      <w:proofErr w:type="spellEnd"/>
      <w:r w:rsidRPr="00827491">
        <w:t xml:space="preserve"> </w:t>
      </w:r>
      <w:proofErr w:type="spellStart"/>
      <w:r w:rsidRPr="00827491">
        <w:t>a</w:t>
      </w:r>
      <w:r w:rsidRPr="00827491">
        <w:rPr>
          <w:u w:val="single"/>
        </w:rPr>
        <w:t>N</w:t>
      </w:r>
      <w:r w:rsidRPr="00827491">
        <w:t>d</w:t>
      </w:r>
      <w:proofErr w:type="spellEnd"/>
      <w:r w:rsidRPr="00827491">
        <w:t xml:space="preserve"> </w:t>
      </w:r>
      <w:r w:rsidRPr="00827491">
        <w:rPr>
          <w:u w:val="single"/>
        </w:rPr>
        <w:t>D</w:t>
      </w:r>
      <w:r w:rsidRPr="00827491">
        <w:t xml:space="preserve">ecarbonised </w:t>
      </w:r>
      <w:r w:rsidRPr="00827491">
        <w:rPr>
          <w:u w:val="single"/>
        </w:rPr>
        <w:t>E</w:t>
      </w:r>
      <w:r w:rsidRPr="00827491">
        <w:t xml:space="preserve">nergy </w:t>
      </w:r>
      <w:r w:rsidRPr="00827491">
        <w:rPr>
          <w:u w:val="single"/>
        </w:rPr>
        <w:t>M</w:t>
      </w:r>
      <w:r w:rsidRPr="00827491">
        <w:t>ix) [</w:t>
      </w:r>
      <w:r w:rsidR="00927B0C" w:rsidRPr="00827491">
        <w:t>13</w:t>
      </w:r>
      <w:r w:rsidRPr="00827491">
        <w:t xml:space="preserve">] project, to develop an integrated vision of the </w:t>
      </w:r>
      <w:r>
        <w:t xml:space="preserve">energy systems within the European technical and scientific community. </w:t>
      </w:r>
      <w:r w:rsidRPr="005E737C">
        <w:t xml:space="preserve">TANDEM </w:t>
      </w:r>
      <w:r>
        <w:t xml:space="preserve">(2022-2025) </w:t>
      </w:r>
      <w:r w:rsidRPr="005E737C">
        <w:t xml:space="preserve">is a Horizon-Europe project funded under the </w:t>
      </w:r>
      <w:proofErr w:type="spellStart"/>
      <w:proofErr w:type="gramStart"/>
      <w:r w:rsidRPr="005E737C">
        <w:t>Euratom</w:t>
      </w:r>
      <w:proofErr w:type="spellEnd"/>
      <w:proofErr w:type="gramEnd"/>
      <w:r w:rsidRPr="005E737C">
        <w:t xml:space="preserve"> program</w:t>
      </w:r>
      <w:r>
        <w:t xml:space="preserve"> and coordinated by CEA. It gathers 18 partners from 8 European countries. It </w:t>
      </w:r>
      <w:r w:rsidRPr="000C4316">
        <w:t>aims to develop methodologies an</w:t>
      </w:r>
      <w:r w:rsidRPr="00025333">
        <w:t xml:space="preserve">d tools to facilitate the safe </w:t>
      </w:r>
      <w:r w:rsidRPr="000C4316">
        <w:t xml:space="preserve">and efficient integration of </w:t>
      </w:r>
      <w:r>
        <w:t xml:space="preserve">light-water </w:t>
      </w:r>
      <w:r w:rsidRPr="000C4316">
        <w:t>SMRs into smart low-carbon hybrid energy systems</w:t>
      </w:r>
      <w:r>
        <w:t>, and to provide i</w:t>
      </w:r>
      <w:r w:rsidRPr="00844654">
        <w:t xml:space="preserve">llustrative results from the </w:t>
      </w:r>
      <w:r>
        <w:t xml:space="preserve">assessment of hybrid energy systems from various standpoints: nuclear safety, techno-economics, environmental impact, system operability and citizen engagement. All the TANDEM activities contribute to support the near-term deployment of multipurpose SMRs in Europe for the energy transition, by highlighting the benefit of integrating SMRs in the future European low-carbon energy mix. </w:t>
      </w:r>
      <w:r w:rsidRPr="002252F9">
        <w:rPr>
          <w:lang w:val="en-US"/>
        </w:rPr>
        <w:t>The increasing importance of the TANDEM objectives</w:t>
      </w:r>
      <w:r>
        <w:rPr>
          <w:lang w:val="en-US"/>
        </w:rPr>
        <w:t xml:space="preserve"> is recognized by the </w:t>
      </w:r>
      <w:r w:rsidRPr="0032421C">
        <w:rPr>
          <w:i/>
          <w:lang w:val="en-US"/>
        </w:rPr>
        <w:t>Sustainable Nuclear Energy Technological Platform</w:t>
      </w:r>
      <w:r>
        <w:rPr>
          <w:rStyle w:val="Appelnotedebasdep"/>
          <w:i/>
          <w:lang w:val="en-US"/>
        </w:rPr>
        <w:footnoteReference w:id="2"/>
      </w:r>
      <w:r>
        <w:rPr>
          <w:lang w:val="en-US"/>
        </w:rPr>
        <w:t xml:space="preserve"> (</w:t>
      </w:r>
      <w:r>
        <w:rPr>
          <w:i/>
          <w:lang w:val="en-US"/>
        </w:rPr>
        <w:t>SNETP)</w:t>
      </w:r>
      <w:r w:rsidRPr="16C62614">
        <w:rPr>
          <w:i/>
          <w:lang w:val="en-US"/>
        </w:rPr>
        <w:t xml:space="preserve"> label</w:t>
      </w:r>
      <w:r w:rsidRPr="16C62614">
        <w:rPr>
          <w:lang w:val="en-US"/>
        </w:rPr>
        <w:t xml:space="preserve"> </w:t>
      </w:r>
      <w:r>
        <w:rPr>
          <w:lang w:val="en-US"/>
        </w:rPr>
        <w:t>that was awarded to the TANDEM project by the governance of the SNETP Association.</w:t>
      </w:r>
    </w:p>
    <w:p w14:paraId="6233434B" w14:textId="300ECB11" w:rsidR="00891B3B" w:rsidRDefault="00891B3B" w:rsidP="00891B3B">
      <w:pPr>
        <w:spacing w:line="260" w:lineRule="atLeast"/>
        <w:ind w:firstLine="567"/>
        <w:jc w:val="both"/>
        <w:rPr>
          <w:sz w:val="20"/>
          <w:lang w:val="en-US"/>
        </w:rPr>
      </w:pPr>
      <w:r w:rsidRPr="00942C40">
        <w:rPr>
          <w:sz w:val="20"/>
        </w:rPr>
        <w:t xml:space="preserve">In parallel with the technical studies carried out </w:t>
      </w:r>
      <w:r>
        <w:rPr>
          <w:sz w:val="20"/>
        </w:rPr>
        <w:t>throughout</w:t>
      </w:r>
      <w:r w:rsidRPr="00942C40">
        <w:rPr>
          <w:sz w:val="20"/>
        </w:rPr>
        <w:t xml:space="preserve"> the project </w:t>
      </w:r>
      <w:r w:rsidRPr="00927B0C">
        <w:rPr>
          <w:sz w:val="20"/>
        </w:rPr>
        <w:t>[</w:t>
      </w:r>
      <w:r w:rsidR="00927B0C">
        <w:rPr>
          <w:sz w:val="20"/>
        </w:rPr>
        <w:t>14</w:t>
      </w:r>
      <w:r w:rsidRPr="00942C40">
        <w:rPr>
          <w:sz w:val="20"/>
        </w:rPr>
        <w:t xml:space="preserve">], TANDEM </w:t>
      </w:r>
      <w:r>
        <w:rPr>
          <w:sz w:val="20"/>
        </w:rPr>
        <w:t>encourages</w:t>
      </w:r>
      <w:r w:rsidRPr="00942C40">
        <w:rPr>
          <w:sz w:val="20"/>
        </w:rPr>
        <w:t xml:space="preserve"> stakeholder engagement: an end-user group, which involves a dozen of members</w:t>
      </w:r>
      <w:r w:rsidRPr="00942C40">
        <w:rPr>
          <w:rStyle w:val="Appelnotedebasdep"/>
          <w:sz w:val="20"/>
        </w:rPr>
        <w:footnoteReference w:id="3"/>
      </w:r>
      <w:r w:rsidRPr="00942C40">
        <w:rPr>
          <w:sz w:val="20"/>
        </w:rPr>
        <w:t xml:space="preserve"> today has been set up since the beginning of the project. The objective is to engage in a constructive dialogue between the project and the end-user group about </w:t>
      </w:r>
      <w:proofErr w:type="spellStart"/>
      <w:r>
        <w:rPr>
          <w:sz w:val="20"/>
        </w:rPr>
        <w:t>i</w:t>
      </w:r>
      <w:proofErr w:type="spellEnd"/>
      <w:r>
        <w:rPr>
          <w:sz w:val="20"/>
        </w:rPr>
        <w:t xml:space="preserve">) </w:t>
      </w:r>
      <w:r w:rsidRPr="00942C40">
        <w:rPr>
          <w:sz w:val="20"/>
        </w:rPr>
        <w:t xml:space="preserve">the technological feasibility of the hybrid systems incorporating SMRs, </w:t>
      </w:r>
      <w:r>
        <w:rPr>
          <w:sz w:val="20"/>
        </w:rPr>
        <w:t xml:space="preserve">ii) </w:t>
      </w:r>
      <w:r w:rsidRPr="00942C40">
        <w:rPr>
          <w:sz w:val="20"/>
        </w:rPr>
        <w:t xml:space="preserve">the different energy </w:t>
      </w:r>
      <w:r w:rsidRPr="00942C40">
        <w:rPr>
          <w:sz w:val="20"/>
        </w:rPr>
        <w:lastRenderedPageBreak/>
        <w:t xml:space="preserve">markets and their particularities, and </w:t>
      </w:r>
      <w:r>
        <w:rPr>
          <w:sz w:val="20"/>
        </w:rPr>
        <w:t xml:space="preserve">iii) </w:t>
      </w:r>
      <w:r w:rsidRPr="00942C40">
        <w:rPr>
          <w:sz w:val="20"/>
        </w:rPr>
        <w:t xml:space="preserve">regulatory, societal and economic issues related to implementation of such systems. TANDEM is also organizing Education &amp; Training events (one international summer school in 2024, two technical workshops in 2024 and 2025, </w:t>
      </w:r>
      <w:r>
        <w:rPr>
          <w:sz w:val="20"/>
        </w:rPr>
        <w:t xml:space="preserve">several </w:t>
      </w:r>
      <w:r w:rsidRPr="00942C40">
        <w:rPr>
          <w:sz w:val="20"/>
        </w:rPr>
        <w:t>webinars)</w:t>
      </w:r>
      <w:r>
        <w:rPr>
          <w:sz w:val="20"/>
        </w:rPr>
        <w:t xml:space="preserve"> for</w:t>
      </w:r>
      <w:r w:rsidRPr="00942C40">
        <w:rPr>
          <w:sz w:val="20"/>
        </w:rPr>
        <w:t xml:space="preserve"> the development of </w:t>
      </w:r>
      <w:r w:rsidRPr="00942C40">
        <w:rPr>
          <w:sz w:val="20"/>
          <w:lang w:val="en-US"/>
        </w:rPr>
        <w:t>skills and competences identified as necessary in the domain of SMR safety and SMR integration in hybrid energy systems</w:t>
      </w:r>
      <w:r>
        <w:rPr>
          <w:sz w:val="20"/>
          <w:lang w:val="en-US"/>
        </w:rPr>
        <w:t>,</w:t>
      </w:r>
      <w:r w:rsidRPr="00942C40">
        <w:rPr>
          <w:sz w:val="20"/>
          <w:lang w:val="en-US"/>
        </w:rPr>
        <w:t xml:space="preserve"> and </w:t>
      </w:r>
      <w:r>
        <w:rPr>
          <w:sz w:val="20"/>
          <w:lang w:val="en-US"/>
        </w:rPr>
        <w:t>for the dissemination of</w:t>
      </w:r>
      <w:r w:rsidRPr="00942C40">
        <w:rPr>
          <w:sz w:val="20"/>
          <w:lang w:val="en-US"/>
        </w:rPr>
        <w:t xml:space="preserve"> TANDEM </w:t>
      </w:r>
      <w:r w:rsidR="00A20884">
        <w:rPr>
          <w:sz w:val="20"/>
          <w:lang w:val="en-US"/>
        </w:rPr>
        <w:t xml:space="preserve">all the </w:t>
      </w:r>
      <w:r w:rsidRPr="00942C40">
        <w:rPr>
          <w:sz w:val="20"/>
          <w:lang w:val="en-US"/>
        </w:rPr>
        <w:t>results</w:t>
      </w:r>
      <w:r w:rsidR="00A20884">
        <w:rPr>
          <w:sz w:val="20"/>
          <w:lang w:val="en-US"/>
        </w:rPr>
        <w:t xml:space="preserve"> </w:t>
      </w:r>
      <w:r w:rsidRPr="00942C40">
        <w:rPr>
          <w:sz w:val="20"/>
          <w:lang w:val="en-US"/>
        </w:rPr>
        <w:t>is available on the TANDEM website (</w:t>
      </w:r>
      <w:hyperlink r:id="rId14" w:history="1">
        <w:r w:rsidRPr="00942C40">
          <w:rPr>
            <w:rStyle w:val="Lienhypertexte"/>
            <w:sz w:val="20"/>
            <w:lang w:val="en-US"/>
          </w:rPr>
          <w:t>https://</w:t>
        </w:r>
      </w:hyperlink>
      <w:hyperlink r:id="rId15" w:history="1">
        <w:r w:rsidRPr="00942C40">
          <w:rPr>
            <w:rStyle w:val="Lienhypertexte"/>
            <w:sz w:val="20"/>
            <w:lang w:val="en-US"/>
          </w:rPr>
          <w:t>tandemproject.eu</w:t>
        </w:r>
      </w:hyperlink>
      <w:hyperlink r:id="rId16" w:history="1">
        <w:r w:rsidRPr="00942C40">
          <w:rPr>
            <w:rStyle w:val="Lienhypertexte"/>
            <w:sz w:val="20"/>
            <w:lang w:val="en-US"/>
          </w:rPr>
          <w:t>/</w:t>
        </w:r>
      </w:hyperlink>
      <w:r w:rsidRPr="00942C40">
        <w:rPr>
          <w:sz w:val="20"/>
          <w:lang w:val="en-US"/>
        </w:rPr>
        <w:t xml:space="preserve">). </w:t>
      </w:r>
    </w:p>
    <w:p w14:paraId="63A971C1" w14:textId="421E841A" w:rsidR="00891B3B" w:rsidRPr="00942C40" w:rsidRDefault="00891B3B" w:rsidP="00891B3B">
      <w:pPr>
        <w:spacing w:line="260" w:lineRule="atLeast"/>
        <w:ind w:firstLine="567"/>
        <w:jc w:val="both"/>
        <w:rPr>
          <w:sz w:val="20"/>
          <w:lang w:val="en-US"/>
        </w:rPr>
      </w:pPr>
      <w:r w:rsidRPr="00B26507">
        <w:rPr>
          <w:sz w:val="20"/>
          <w:lang w:val="en-US"/>
        </w:rPr>
        <w:t xml:space="preserve">As part of the </w:t>
      </w:r>
      <w:r>
        <w:t xml:space="preserve">international </w:t>
      </w:r>
      <w:r w:rsidRPr="00B26507">
        <w:rPr>
          <w:sz w:val="20"/>
          <w:lang w:val="en-US"/>
        </w:rPr>
        <w:t xml:space="preserve">collaborative activities of the IDNES project, CEA </w:t>
      </w:r>
      <w:r>
        <w:rPr>
          <w:sz w:val="20"/>
          <w:lang w:val="en-US"/>
        </w:rPr>
        <w:t>will be</w:t>
      </w:r>
      <w:r w:rsidRPr="00B26507">
        <w:rPr>
          <w:sz w:val="20"/>
          <w:lang w:val="en-US"/>
        </w:rPr>
        <w:t xml:space="preserve"> involved in another </w:t>
      </w:r>
      <w:proofErr w:type="spellStart"/>
      <w:proofErr w:type="gramStart"/>
      <w:r w:rsidRPr="00B26507">
        <w:rPr>
          <w:sz w:val="20"/>
          <w:lang w:val="en-US"/>
        </w:rPr>
        <w:t>Euratom</w:t>
      </w:r>
      <w:proofErr w:type="spellEnd"/>
      <w:proofErr w:type="gramEnd"/>
      <w:r w:rsidRPr="00B26507">
        <w:rPr>
          <w:sz w:val="20"/>
          <w:lang w:val="en-US"/>
        </w:rPr>
        <w:t xml:space="preserve"> project, </w:t>
      </w:r>
      <w:r w:rsidRPr="001D0BC5">
        <w:rPr>
          <w:sz w:val="20"/>
          <w:lang w:val="en-US"/>
        </w:rPr>
        <w:t>SANE (</w:t>
      </w:r>
      <w:r w:rsidRPr="001D0BC5">
        <w:rPr>
          <w:b/>
          <w:sz w:val="20"/>
          <w:u w:val="single"/>
          <w:lang w:val="en-US"/>
        </w:rPr>
        <w:t>S</w:t>
      </w:r>
      <w:r w:rsidRPr="001D0BC5">
        <w:rPr>
          <w:sz w:val="20"/>
          <w:lang w:val="en-US"/>
        </w:rPr>
        <w:t xml:space="preserve">afety </w:t>
      </w:r>
      <w:r w:rsidRPr="001D0BC5">
        <w:rPr>
          <w:b/>
          <w:sz w:val="20"/>
          <w:u w:val="single"/>
          <w:lang w:val="en-US"/>
        </w:rPr>
        <w:t>A</w:t>
      </w:r>
      <w:r w:rsidRPr="001D0BC5">
        <w:rPr>
          <w:sz w:val="20"/>
          <w:lang w:val="en-US"/>
        </w:rPr>
        <w:t xml:space="preserve">ssessment of </w:t>
      </w:r>
      <w:r w:rsidRPr="001D0BC5">
        <w:rPr>
          <w:b/>
          <w:sz w:val="20"/>
          <w:u w:val="single"/>
          <w:lang w:val="en-US"/>
        </w:rPr>
        <w:t>N</w:t>
      </w:r>
      <w:r w:rsidRPr="001D0BC5">
        <w:rPr>
          <w:sz w:val="20"/>
          <w:lang w:val="en-US"/>
        </w:rPr>
        <w:t>on-</w:t>
      </w:r>
      <w:r w:rsidRPr="001D0BC5">
        <w:rPr>
          <w:b/>
          <w:sz w:val="20"/>
          <w:u w:val="single"/>
          <w:lang w:val="en-US"/>
        </w:rPr>
        <w:t>E</w:t>
      </w:r>
      <w:r w:rsidRPr="001D0BC5">
        <w:rPr>
          <w:sz w:val="20"/>
          <w:lang w:val="en-US"/>
        </w:rPr>
        <w:t>lectric uses of nuclear energy), coordinated by VTT (Finland). The project will start in September 202</w:t>
      </w:r>
      <w:r w:rsidR="00C24D48">
        <w:rPr>
          <w:sz w:val="20"/>
          <w:lang w:val="en-US"/>
        </w:rPr>
        <w:t>4</w:t>
      </w:r>
      <w:r w:rsidRPr="001D0BC5">
        <w:rPr>
          <w:sz w:val="20"/>
          <w:lang w:val="en-US"/>
        </w:rPr>
        <w:t>, for a 3-year period.</w:t>
      </w:r>
    </w:p>
    <w:p w14:paraId="1FA5568B" w14:textId="748DCEF0" w:rsidR="00802266" w:rsidRDefault="00802266" w:rsidP="00802266">
      <w:pPr>
        <w:pStyle w:val="Titre2"/>
        <w:numPr>
          <w:ilvl w:val="1"/>
          <w:numId w:val="10"/>
        </w:numPr>
      </w:pPr>
      <w:r>
        <w:t>CONCLUSION</w:t>
      </w:r>
    </w:p>
    <w:p w14:paraId="232491A0" w14:textId="61AFFBF1" w:rsidR="00802266" w:rsidRPr="00802266" w:rsidRDefault="004D1418" w:rsidP="004D1418">
      <w:pPr>
        <w:pStyle w:val="Corpsdetexte"/>
      </w:pPr>
      <w:r>
        <w:t>The aim of the IDNES project is to develop concepts for using SMRs to produce more than pure power. All the explored use cases have demonstrated the relevance of using SMRs technology. With different levels of maturity, some are in the industrial consolidation phase, such as the ARCHOES concept, while others will require experimental qualification, such as cogeneration coupling for hydrogen production. But the search for new applications is not over yet, and reflexions are already underway to produce other synthetic molecules and to open up to new industrial needs in the service of decarbonisation and energy sovereignty.</w:t>
      </w:r>
    </w:p>
    <w:p w14:paraId="32B76F9D" w14:textId="62243941" w:rsidR="00D26ADA" w:rsidRPr="00285755" w:rsidRDefault="00D26ADA" w:rsidP="00537496">
      <w:pPr>
        <w:pStyle w:val="Otherunnumberedheadings"/>
      </w:pPr>
      <w:r>
        <w:t>References</w:t>
      </w:r>
    </w:p>
    <w:p w14:paraId="7076D5C3" w14:textId="77777777" w:rsidR="00A8442C" w:rsidRDefault="00A8442C" w:rsidP="00A8442C">
      <w:pPr>
        <w:pStyle w:val="Referencelist"/>
        <w:rPr>
          <w:rFonts w:eastAsia="MS Mincho"/>
        </w:rPr>
      </w:pPr>
      <w:r>
        <w:rPr>
          <w:rFonts w:eastAsia="MS Mincho"/>
        </w:rPr>
        <w:t>Boardman, R.,</w:t>
      </w:r>
      <w:r w:rsidRPr="00B4134A">
        <w:rPr>
          <w:rFonts w:eastAsia="MS Mincho"/>
        </w:rPr>
        <w:t xml:space="preserve"> Kim, Jong</w:t>
      </w:r>
      <w:r w:rsidRPr="00EC0DFF">
        <w:rPr>
          <w:rFonts w:eastAsia="MS Mincho"/>
        </w:rPr>
        <w:t xml:space="preserve"> </w:t>
      </w:r>
      <w:r>
        <w:rPr>
          <w:rFonts w:eastAsia="MS Mincho"/>
        </w:rPr>
        <w:t>S., Hancock, S.,</w:t>
      </w:r>
      <w:r w:rsidRPr="00B4134A">
        <w:rPr>
          <w:rFonts w:eastAsia="MS Mincho"/>
        </w:rPr>
        <w:t xml:space="preserve"> Hu, </w:t>
      </w:r>
      <w:proofErr w:type="spellStart"/>
      <w:r w:rsidRPr="00B4134A">
        <w:rPr>
          <w:rFonts w:eastAsia="MS Mincho"/>
        </w:rPr>
        <w:t>Hongqiang</w:t>
      </w:r>
      <w:proofErr w:type="spellEnd"/>
      <w:r>
        <w:rPr>
          <w:rFonts w:eastAsia="MS Mincho"/>
        </w:rPr>
        <w:t>, F.</w:t>
      </w:r>
      <w:r w:rsidRPr="00B4134A">
        <w:rPr>
          <w:rFonts w:eastAsia="MS Mincho"/>
        </w:rPr>
        <w:t>,</w:t>
      </w:r>
      <w:r>
        <w:rPr>
          <w:rFonts w:eastAsia="MS Mincho"/>
        </w:rPr>
        <w:t xml:space="preserve"> </w:t>
      </w:r>
      <w:proofErr w:type="spellStart"/>
      <w:r w:rsidRPr="00B4134A">
        <w:rPr>
          <w:rFonts w:eastAsia="MS Mincho"/>
        </w:rPr>
        <w:t>Konor</w:t>
      </w:r>
      <w:proofErr w:type="spellEnd"/>
      <w:r>
        <w:rPr>
          <w:rFonts w:eastAsia="MS Mincho"/>
        </w:rPr>
        <w:t xml:space="preserve">, W., D., </w:t>
      </w:r>
      <w:proofErr w:type="spellStart"/>
      <w:r>
        <w:rPr>
          <w:rFonts w:eastAsia="MS Mincho"/>
        </w:rPr>
        <w:t>Rabiti</w:t>
      </w:r>
      <w:proofErr w:type="spellEnd"/>
      <w:r>
        <w:rPr>
          <w:rFonts w:eastAsia="MS Mincho"/>
        </w:rPr>
        <w:t>, C.,</w:t>
      </w:r>
      <w:r w:rsidRPr="00B4134A">
        <w:rPr>
          <w:rFonts w:eastAsia="MS Mincho"/>
        </w:rPr>
        <w:t xml:space="preserve"> Bragg-</w:t>
      </w:r>
      <w:proofErr w:type="spellStart"/>
      <w:r w:rsidRPr="00B4134A">
        <w:rPr>
          <w:rFonts w:eastAsia="MS Mincho"/>
        </w:rPr>
        <w:t>Sitton</w:t>
      </w:r>
      <w:proofErr w:type="spellEnd"/>
      <w:r w:rsidRPr="00B4134A">
        <w:rPr>
          <w:rFonts w:eastAsia="MS Mincho"/>
        </w:rPr>
        <w:t xml:space="preserve">, </w:t>
      </w:r>
      <w:r>
        <w:rPr>
          <w:rFonts w:eastAsia="MS Mincho"/>
        </w:rPr>
        <w:t xml:space="preserve">S., </w:t>
      </w:r>
      <w:proofErr w:type="spellStart"/>
      <w:r>
        <w:rPr>
          <w:rFonts w:eastAsia="MS Mincho"/>
        </w:rPr>
        <w:t>Elgowainy</w:t>
      </w:r>
      <w:proofErr w:type="spellEnd"/>
      <w:r>
        <w:rPr>
          <w:rFonts w:eastAsia="MS Mincho"/>
        </w:rPr>
        <w:t>, A.,</w:t>
      </w:r>
      <w:r w:rsidRPr="00B4134A">
        <w:rPr>
          <w:rFonts w:eastAsia="MS Mincho"/>
        </w:rPr>
        <w:t xml:space="preserve"> Weber, Robert</w:t>
      </w:r>
      <w:r>
        <w:rPr>
          <w:rFonts w:eastAsia="MS Mincho"/>
        </w:rPr>
        <w:t xml:space="preserve"> and</w:t>
      </w:r>
      <w:r w:rsidRPr="00B4134A">
        <w:rPr>
          <w:rFonts w:eastAsia="MS Mincho"/>
        </w:rPr>
        <w:t xml:space="preserve"> Holladay</w:t>
      </w:r>
      <w:r>
        <w:rPr>
          <w:rFonts w:eastAsia="MS Mincho"/>
        </w:rPr>
        <w:t>, J.</w:t>
      </w:r>
      <w:r w:rsidRPr="00B4134A">
        <w:rPr>
          <w:rFonts w:eastAsia="MS Mincho"/>
        </w:rPr>
        <w:t xml:space="preserve"> </w:t>
      </w:r>
      <w:r>
        <w:rPr>
          <w:rFonts w:eastAsia="MS Mincho"/>
        </w:rPr>
        <w:t>“</w:t>
      </w:r>
      <w:r w:rsidRPr="00B4134A">
        <w:rPr>
          <w:rFonts w:eastAsia="MS Mincho"/>
        </w:rPr>
        <w:t xml:space="preserve">Evaluation of Non-electric Market Options for a </w:t>
      </w:r>
      <w:proofErr w:type="spellStart"/>
      <w:r w:rsidRPr="00B4134A">
        <w:rPr>
          <w:rFonts w:eastAsia="MS Mincho"/>
        </w:rPr>
        <w:t>Lightwater</w:t>
      </w:r>
      <w:proofErr w:type="spellEnd"/>
      <w:r w:rsidRPr="00B4134A">
        <w:rPr>
          <w:rFonts w:eastAsia="MS Mincho"/>
        </w:rPr>
        <w:t xml:space="preserve"> Reactor in the Midwest</w:t>
      </w:r>
      <w:r>
        <w:rPr>
          <w:rFonts w:eastAsia="MS Mincho"/>
        </w:rPr>
        <w:t xml:space="preserve">”, </w:t>
      </w:r>
      <w:r w:rsidRPr="0000563E">
        <w:rPr>
          <w:rFonts w:eastAsia="MS Mincho"/>
        </w:rPr>
        <w:t>Technical Report No.</w:t>
      </w:r>
      <w:r>
        <w:rPr>
          <w:rFonts w:eastAsia="MS Mincho"/>
        </w:rPr>
        <w:t xml:space="preserve"> INL/LTD-19-55090. 2019.</w:t>
      </w:r>
      <w:r w:rsidRPr="00901E72">
        <w:rPr>
          <w:rFonts w:eastAsia="MS Mincho"/>
        </w:rPr>
        <w:t xml:space="preserve"> </w:t>
      </w:r>
    </w:p>
    <w:p w14:paraId="19F37ABA" w14:textId="77F5C7FC" w:rsidR="00A8442C" w:rsidRDefault="00A8442C" w:rsidP="00A8442C">
      <w:pPr>
        <w:pStyle w:val="Referencelist"/>
      </w:pPr>
      <w:proofErr w:type="spellStart"/>
      <w:r w:rsidRPr="00416C5F">
        <w:t>Tauveron</w:t>
      </w:r>
      <w:proofErr w:type="spellEnd"/>
      <w:r w:rsidRPr="00416C5F">
        <w:t xml:space="preserve">, N., </w:t>
      </w:r>
      <w:proofErr w:type="spellStart"/>
      <w:r w:rsidRPr="00416C5F">
        <w:t>Haubensack</w:t>
      </w:r>
      <w:proofErr w:type="spellEnd"/>
      <w:r w:rsidRPr="00416C5F">
        <w:t xml:space="preserve">, D., </w:t>
      </w:r>
      <w:proofErr w:type="spellStart"/>
      <w:r w:rsidRPr="00416C5F">
        <w:t>Dumoulin</w:t>
      </w:r>
      <w:proofErr w:type="spellEnd"/>
      <w:r w:rsidRPr="00416C5F">
        <w:t xml:space="preserve">, P., </w:t>
      </w:r>
      <w:proofErr w:type="spellStart"/>
      <w:r w:rsidRPr="00416C5F">
        <w:t>Alpy</w:t>
      </w:r>
      <w:proofErr w:type="spellEnd"/>
      <w:r w:rsidRPr="00416C5F">
        <w:t xml:space="preserve">, </w:t>
      </w:r>
      <w:proofErr w:type="spellStart"/>
      <w:r w:rsidRPr="00416C5F">
        <w:t>N.</w:t>
      </w:r>
      <w:proofErr w:type="gramStart"/>
      <w:r>
        <w:t>,</w:t>
      </w:r>
      <w:r>
        <w:rPr>
          <w:rFonts w:eastAsia="MS Mincho"/>
        </w:rPr>
        <w:t>“</w:t>
      </w:r>
      <w:proofErr w:type="gramEnd"/>
      <w:r>
        <w:t>H</w:t>
      </w:r>
      <w:r w:rsidRPr="00A454C1">
        <w:t>ydrogen</w:t>
      </w:r>
      <w:proofErr w:type="spellEnd"/>
      <w:r w:rsidRPr="00A454C1">
        <w:t xml:space="preserve"> production by high temperature steam electrolysis coupled with a small modular reactor: cross-comparison between various thermal architectures</w:t>
      </w:r>
      <w:r>
        <w:t>”, ICONE-31</w:t>
      </w:r>
      <w:r w:rsidRPr="00D14F86">
        <w:t xml:space="preserve"> (Proc</w:t>
      </w:r>
      <w:r>
        <w:t>. Int. Conf. Prague, 2024), ASME (2024</w:t>
      </w:r>
      <w:r w:rsidRPr="00D14F86">
        <w:t>).</w:t>
      </w:r>
    </w:p>
    <w:p w14:paraId="2B05F427" w14:textId="04DC3326" w:rsidR="00BB6488" w:rsidRDefault="00BB6488" w:rsidP="00A8442C">
      <w:pPr>
        <w:pStyle w:val="Referencelist"/>
      </w:pPr>
      <w:r w:rsidRPr="00BB6488">
        <w:t>Role of DAC in e-fuels for aviation report. E4tech (UK) Ltd for T&amp;E. 2021</w:t>
      </w:r>
    </w:p>
    <w:p w14:paraId="0EA2EE62" w14:textId="5654103B" w:rsidR="00BB6488" w:rsidRPr="00BB6488" w:rsidRDefault="00BB6488" w:rsidP="00A8442C">
      <w:pPr>
        <w:pStyle w:val="Referencelist"/>
      </w:pPr>
      <w:r w:rsidRPr="00BB6488">
        <w:t>Direct Air Capture. IEA. 2022</w:t>
      </w:r>
    </w:p>
    <w:p w14:paraId="71FF8E75" w14:textId="6F401F6D" w:rsidR="00BB6488" w:rsidRDefault="00BB6488" w:rsidP="00A8442C">
      <w:pPr>
        <w:pStyle w:val="Referencelist"/>
      </w:pPr>
      <w:r w:rsidRPr="00BB6488">
        <w:t>A Techno-Economic Assessment of Fischer–</w:t>
      </w:r>
      <w:proofErr w:type="spellStart"/>
      <w:r w:rsidRPr="00BB6488">
        <w:t>Tropsch</w:t>
      </w:r>
      <w:proofErr w:type="spellEnd"/>
      <w:r w:rsidRPr="00BB6488">
        <w:t xml:space="preserve"> Fuels Based on Syngas from Co-Electrolysis. Peters, R. 2022, </w:t>
      </w:r>
      <w:proofErr w:type="spellStart"/>
      <w:r w:rsidRPr="00BB6488">
        <w:t>Processe</w:t>
      </w:r>
      <w:proofErr w:type="spellEnd"/>
    </w:p>
    <w:p w14:paraId="0A028433" w14:textId="23F60C6C" w:rsidR="00BB6488" w:rsidRDefault="00BB6488" w:rsidP="00A8442C">
      <w:pPr>
        <w:pStyle w:val="Referencelist"/>
      </w:pPr>
      <w:r w:rsidRPr="00BB6488">
        <w:t>Fischer–</w:t>
      </w:r>
      <w:proofErr w:type="spellStart"/>
      <w:r w:rsidRPr="00BB6488">
        <w:t>Tropsch</w:t>
      </w:r>
      <w:proofErr w:type="spellEnd"/>
      <w:r w:rsidRPr="00BB6488">
        <w:t xml:space="preserve"> Synthesis as the Key for Decentralized Sustainable Kerosene Production. </w:t>
      </w:r>
      <w:proofErr w:type="spellStart"/>
      <w:r w:rsidRPr="00BB6488">
        <w:t>Meurer</w:t>
      </w:r>
      <w:proofErr w:type="spellEnd"/>
      <w:r w:rsidRPr="00BB6488">
        <w:t>, A. 2021, Energies</w:t>
      </w:r>
    </w:p>
    <w:p w14:paraId="31475B1C" w14:textId="02D5F3CA" w:rsidR="007E5A4F" w:rsidRPr="00A454C1" w:rsidRDefault="007E5A4F" w:rsidP="00A8442C">
      <w:pPr>
        <w:pStyle w:val="Referencelist"/>
      </w:pPr>
      <w:r w:rsidRPr="00531F72">
        <w:rPr>
          <w:lang w:val="en-US"/>
        </w:rPr>
        <w:t xml:space="preserve">J.B. Droin, D. </w:t>
      </w:r>
      <w:proofErr w:type="spellStart"/>
      <w:r w:rsidRPr="00531F72">
        <w:rPr>
          <w:lang w:val="en-US"/>
        </w:rPr>
        <w:t>Haubensack</w:t>
      </w:r>
      <w:proofErr w:type="spellEnd"/>
      <w:r w:rsidRPr="00531F72">
        <w:rPr>
          <w:lang w:val="en-US"/>
        </w:rPr>
        <w:t xml:space="preserve">, D. </w:t>
      </w:r>
      <w:proofErr w:type="spellStart"/>
      <w:r w:rsidRPr="00531F72">
        <w:rPr>
          <w:lang w:val="en-US"/>
        </w:rPr>
        <w:t>Barbier</w:t>
      </w:r>
      <w:proofErr w:type="spellEnd"/>
      <w:r w:rsidRPr="00531F72">
        <w:rPr>
          <w:lang w:val="en-US"/>
        </w:rPr>
        <w:t xml:space="preserve">, L. </w:t>
      </w:r>
      <w:proofErr w:type="spellStart"/>
      <w:r w:rsidRPr="00531F72">
        <w:rPr>
          <w:lang w:val="en-US"/>
        </w:rPr>
        <w:t>Brissonneau</w:t>
      </w:r>
      <w:proofErr w:type="spellEnd"/>
      <w:r w:rsidRPr="00531F72">
        <w:rPr>
          <w:lang w:val="en-US"/>
        </w:rPr>
        <w:t xml:space="preserve">, P. </w:t>
      </w:r>
      <w:proofErr w:type="spellStart"/>
      <w:r w:rsidRPr="00531F72">
        <w:rPr>
          <w:lang w:val="en-US"/>
        </w:rPr>
        <w:t>Dienot</w:t>
      </w:r>
      <w:proofErr w:type="spellEnd"/>
      <w:r w:rsidRPr="00531F72">
        <w:rPr>
          <w:lang w:val="en-US"/>
        </w:rPr>
        <w:t xml:space="preserve">, P. </w:t>
      </w:r>
      <w:proofErr w:type="spellStart"/>
      <w:r w:rsidRPr="00531F72">
        <w:rPr>
          <w:lang w:val="en-US"/>
        </w:rPr>
        <w:t>Gauthe</w:t>
      </w:r>
      <w:proofErr w:type="spellEnd"/>
      <w:r>
        <w:rPr>
          <w:lang w:val="en-US"/>
        </w:rPr>
        <w:t>,</w:t>
      </w:r>
      <w:r w:rsidRPr="00531F72">
        <w:rPr>
          <w:lang w:val="en-US"/>
        </w:rPr>
        <w:t xml:space="preserve"> </w:t>
      </w:r>
      <w:r w:rsidRPr="002E0966">
        <w:rPr>
          <w:i/>
          <w:iCs/>
          <w:lang w:val="en-US"/>
        </w:rPr>
        <w:t xml:space="preserve">« </w:t>
      </w:r>
      <w:r w:rsidRPr="00531F72">
        <w:rPr>
          <w:lang w:val="en-US"/>
        </w:rPr>
        <w:t>Two-tanks heat storage for variable electricity production in SFR: preliminary architecture and transient results</w:t>
      </w:r>
      <w:r>
        <w:rPr>
          <w:lang w:val="en-US"/>
        </w:rPr>
        <w:t xml:space="preserve"> </w:t>
      </w:r>
      <w:r w:rsidRPr="002E0966">
        <w:rPr>
          <w:lang w:val="en-US"/>
        </w:rPr>
        <w:t>»</w:t>
      </w:r>
      <w:r w:rsidRPr="00531F72">
        <w:rPr>
          <w:lang w:val="en-US"/>
        </w:rPr>
        <w:t>, ICAPP 2019 – International Congress on Advances in Nuclear Power Plants, Juan-les-pins</w:t>
      </w:r>
      <w:r>
        <w:rPr>
          <w:lang w:val="en-US"/>
        </w:rPr>
        <w:t xml:space="preserve">, France, </w:t>
      </w:r>
      <w:r w:rsidRPr="00531F72">
        <w:rPr>
          <w:lang w:val="en-US"/>
        </w:rPr>
        <w:t>2019</w:t>
      </w:r>
    </w:p>
    <w:p w14:paraId="4B72F623" w14:textId="77777777" w:rsidR="007E5A4F" w:rsidRDefault="007E5A4F" w:rsidP="007E5A4F">
      <w:pPr>
        <w:pStyle w:val="Referencelist"/>
        <w:rPr>
          <w:lang w:val="en-US"/>
        </w:rPr>
      </w:pPr>
      <w:bookmarkStart w:id="7" w:name="_Ref105081315"/>
      <w:proofErr w:type="spellStart"/>
      <w:r w:rsidRPr="005A6D25">
        <w:rPr>
          <w:lang w:val="en-US"/>
        </w:rPr>
        <w:t>E.Gonzalez-Roubaud</w:t>
      </w:r>
      <w:proofErr w:type="spellEnd"/>
      <w:r w:rsidRPr="005A6D25">
        <w:rPr>
          <w:lang w:val="en-US"/>
        </w:rPr>
        <w:t xml:space="preserve"> &amp; al., “Review of commercial thermal energy storage in concentrated solar power plants: Steam vs molten salts”. Renewable and Sustainable Energy Reviews 80 (2017) 133-148.</w:t>
      </w:r>
      <w:bookmarkEnd w:id="7"/>
      <w:r w:rsidRPr="005A6D25">
        <w:rPr>
          <w:lang w:val="en-US"/>
        </w:rPr>
        <w:t xml:space="preserve"> </w:t>
      </w:r>
    </w:p>
    <w:p w14:paraId="14596FF7" w14:textId="77777777" w:rsidR="007E5A4F" w:rsidRPr="005A6D25" w:rsidRDefault="007E5A4F" w:rsidP="007E5A4F">
      <w:pPr>
        <w:pStyle w:val="Referencelist"/>
        <w:rPr>
          <w:lang w:val="en-US"/>
        </w:rPr>
      </w:pPr>
      <w:bookmarkStart w:id="8" w:name="_Ref105743457"/>
      <w:proofErr w:type="spellStart"/>
      <w:r w:rsidRPr="005A6D25">
        <w:rPr>
          <w:lang w:val="en-US"/>
        </w:rPr>
        <w:t>A.Caraballo</w:t>
      </w:r>
      <w:proofErr w:type="spellEnd"/>
      <w:r w:rsidRPr="005A6D25">
        <w:rPr>
          <w:lang w:val="en-US"/>
        </w:rPr>
        <w:t xml:space="preserve"> &amp; </w:t>
      </w:r>
      <w:proofErr w:type="spellStart"/>
      <w:r w:rsidRPr="005A6D25">
        <w:rPr>
          <w:lang w:val="en-US"/>
        </w:rPr>
        <w:t>al.,”Molten</w:t>
      </w:r>
      <w:proofErr w:type="spellEnd"/>
      <w:r w:rsidRPr="005A6D25">
        <w:rPr>
          <w:lang w:val="en-US"/>
        </w:rPr>
        <w:t xml:space="preserve"> </w:t>
      </w:r>
      <w:proofErr w:type="gramStart"/>
      <w:r w:rsidRPr="005A6D25">
        <w:rPr>
          <w:lang w:val="en-US"/>
        </w:rPr>
        <w:t>Salts</w:t>
      </w:r>
      <w:proofErr w:type="gramEnd"/>
      <w:r w:rsidRPr="005A6D25">
        <w:rPr>
          <w:lang w:val="en-US"/>
        </w:rPr>
        <w:t xml:space="preserve"> for sensible thermal energy storage: a review and an energy performance analysis.” Energies 2021, 14, 1197.</w:t>
      </w:r>
      <w:bookmarkEnd w:id="8"/>
      <w:r w:rsidRPr="005A6D25">
        <w:rPr>
          <w:lang w:val="en-US"/>
        </w:rPr>
        <w:t xml:space="preserve"> </w:t>
      </w:r>
    </w:p>
    <w:p w14:paraId="462902A3" w14:textId="77777777" w:rsidR="007E5A4F" w:rsidRPr="005A6D25" w:rsidRDefault="007E5A4F" w:rsidP="007E5A4F">
      <w:pPr>
        <w:pStyle w:val="Referencelist"/>
        <w:rPr>
          <w:lang w:val="en-US"/>
        </w:rPr>
      </w:pPr>
      <w:bookmarkStart w:id="9" w:name="_Ref105747173"/>
      <w:proofErr w:type="spellStart"/>
      <w:r w:rsidRPr="005A6D25">
        <w:rPr>
          <w:lang w:val="en-US"/>
        </w:rPr>
        <w:t>A.G.Fernandez</w:t>
      </w:r>
      <w:proofErr w:type="spellEnd"/>
      <w:r w:rsidRPr="005A6D25">
        <w:rPr>
          <w:lang w:val="en-US"/>
        </w:rPr>
        <w:t xml:space="preserve"> &amp; al. “Mainstream commercial CSP systems: A technology review ». Renewable Energy 140 (2019) 152-176.</w:t>
      </w:r>
      <w:bookmarkEnd w:id="9"/>
      <w:r w:rsidRPr="005A6D25">
        <w:rPr>
          <w:lang w:val="en-US"/>
        </w:rPr>
        <w:t xml:space="preserve"> </w:t>
      </w:r>
    </w:p>
    <w:p w14:paraId="2E5711FD" w14:textId="24037913" w:rsidR="007E5A4F" w:rsidRDefault="007E5A4F" w:rsidP="007E5A4F">
      <w:pPr>
        <w:pStyle w:val="Referencelist"/>
        <w:rPr>
          <w:lang w:val="en-US"/>
        </w:rPr>
      </w:pPr>
      <w:bookmarkStart w:id="10" w:name="_Ref105772291"/>
      <w:proofErr w:type="spellStart"/>
      <w:r w:rsidRPr="00D908F2">
        <w:rPr>
          <w:lang w:val="en-US"/>
        </w:rPr>
        <w:t>T.Bauer</w:t>
      </w:r>
      <w:proofErr w:type="spellEnd"/>
      <w:r w:rsidRPr="00D908F2">
        <w:rPr>
          <w:lang w:val="en-US"/>
        </w:rPr>
        <w:t xml:space="preserve"> &amp; al. “Molten Salts chemistry: from lab to application”, Book edited by </w:t>
      </w:r>
      <w:proofErr w:type="spellStart"/>
      <w:r w:rsidRPr="00D908F2">
        <w:rPr>
          <w:lang w:val="en-US"/>
        </w:rPr>
        <w:t>Lantelme</w:t>
      </w:r>
      <w:proofErr w:type="spellEnd"/>
      <w:r w:rsidRPr="00D908F2">
        <w:rPr>
          <w:lang w:val="en-US"/>
        </w:rPr>
        <w:t xml:space="preserve">, </w:t>
      </w:r>
      <w:proofErr w:type="spellStart"/>
      <w:r w:rsidRPr="00D908F2">
        <w:rPr>
          <w:lang w:val="en-US"/>
        </w:rPr>
        <w:t>F.and</w:t>
      </w:r>
      <w:proofErr w:type="spellEnd"/>
      <w:r w:rsidRPr="00D908F2">
        <w:rPr>
          <w:lang w:val="en-US"/>
        </w:rPr>
        <w:t xml:space="preserve"> </w:t>
      </w:r>
      <w:proofErr w:type="spellStart"/>
      <w:r w:rsidRPr="00D908F2">
        <w:rPr>
          <w:lang w:val="en-US"/>
        </w:rPr>
        <w:t>Groult</w:t>
      </w:r>
      <w:proofErr w:type="spellEnd"/>
      <w:r w:rsidRPr="00D908F2">
        <w:rPr>
          <w:lang w:val="en-US"/>
        </w:rPr>
        <w:t>, H., Elsevier, 2013, Chapter 20.</w:t>
      </w:r>
      <w:bookmarkEnd w:id="10"/>
      <w:r w:rsidRPr="00D908F2">
        <w:rPr>
          <w:lang w:val="en-US"/>
        </w:rPr>
        <w:t xml:space="preserve"> </w:t>
      </w:r>
    </w:p>
    <w:p w14:paraId="5D59EA87" w14:textId="77777777" w:rsidR="007E5A4F" w:rsidRDefault="007E5A4F" w:rsidP="007E5A4F">
      <w:pPr>
        <w:pStyle w:val="Referencelist"/>
        <w:rPr>
          <w:lang w:val="en-US"/>
        </w:rPr>
      </w:pPr>
      <w:bookmarkStart w:id="11" w:name="_Ref105774455"/>
      <w:proofErr w:type="spellStart"/>
      <w:r w:rsidRPr="005A6D25">
        <w:rPr>
          <w:lang w:val="en-US"/>
        </w:rPr>
        <w:t>N.Boerema</w:t>
      </w:r>
      <w:proofErr w:type="spellEnd"/>
      <w:r w:rsidRPr="005A6D25">
        <w:rPr>
          <w:lang w:val="en-US"/>
        </w:rPr>
        <w:t xml:space="preserve"> &amp; al., “Liquid sodium versus </w:t>
      </w:r>
      <w:proofErr w:type="spellStart"/>
      <w:r w:rsidRPr="005A6D25">
        <w:rPr>
          <w:lang w:val="en-US"/>
        </w:rPr>
        <w:t>Hitec</w:t>
      </w:r>
      <w:proofErr w:type="spellEnd"/>
      <w:r w:rsidRPr="005A6D25">
        <w:rPr>
          <w:lang w:val="en-US"/>
        </w:rPr>
        <w:t xml:space="preserve"> as a heat transfer fluid in solar thermal central receiver systems”. Solar Energy 86 (2012) 2293-2305.</w:t>
      </w:r>
      <w:bookmarkEnd w:id="11"/>
      <w:r w:rsidRPr="005A6D25">
        <w:rPr>
          <w:lang w:val="en-US"/>
        </w:rPr>
        <w:t xml:space="preserve"> </w:t>
      </w:r>
    </w:p>
    <w:p w14:paraId="319910D1" w14:textId="4535E0AE" w:rsidR="00891B3B" w:rsidRDefault="00891B3B" w:rsidP="007E5A4F">
      <w:pPr>
        <w:pStyle w:val="Referencelist"/>
      </w:pPr>
      <w:r>
        <w:t xml:space="preserve">VAGLIO-GAUDARD, C., et al, </w:t>
      </w:r>
      <w:proofErr w:type="gramStart"/>
      <w:r>
        <w:t>The</w:t>
      </w:r>
      <w:proofErr w:type="gramEnd"/>
      <w:r>
        <w:t xml:space="preserve"> TANDEM </w:t>
      </w:r>
      <w:proofErr w:type="spellStart"/>
      <w:r>
        <w:t>Euratom</w:t>
      </w:r>
      <w:proofErr w:type="spellEnd"/>
      <w:r>
        <w:t xml:space="preserve"> project: Context, objectives and </w:t>
      </w:r>
      <w:proofErr w:type="spellStart"/>
      <w:r>
        <w:t>workplan</w:t>
      </w:r>
      <w:proofErr w:type="spellEnd"/>
      <w:r>
        <w:t xml:space="preserve">, Nuclear Engineering and Technology, </w:t>
      </w:r>
      <w:r w:rsidRPr="000321C0">
        <w:rPr>
          <w:b/>
        </w:rPr>
        <w:t>56</w:t>
      </w:r>
      <w:r>
        <w:t>, 3, 993-1001, 2024</w:t>
      </w:r>
      <w:r w:rsidRPr="00D26ADA">
        <w:t>.</w:t>
      </w:r>
    </w:p>
    <w:p w14:paraId="582702A8" w14:textId="77777777" w:rsidR="00891B3B" w:rsidRPr="009E0D5B" w:rsidRDefault="00891B3B" w:rsidP="00891B3B">
      <w:pPr>
        <w:pStyle w:val="Referencelist"/>
      </w:pPr>
      <w:r>
        <w:t xml:space="preserve">VAGLIO-GAUDARD, C., et al, The TANDEM </w:t>
      </w:r>
      <w:proofErr w:type="spellStart"/>
      <w:proofErr w:type="gramStart"/>
      <w:r>
        <w:t>Euratom</w:t>
      </w:r>
      <w:proofErr w:type="spellEnd"/>
      <w:proofErr w:type="gramEnd"/>
      <w:r>
        <w:t xml:space="preserve"> project to study the integration of SMRs into low-carbon hybrid energy systems: progress status at mid-term, </w:t>
      </w:r>
      <w:r>
        <w:rPr>
          <w:lang w:val="en-US"/>
        </w:rPr>
        <w:t>Proc. Int. Conf. on Small Modular Reactors and their applications, IAEA, Vienna, Austria, 2024.</w:t>
      </w:r>
    </w:p>
    <w:sectPr w:rsidR="00891B3B" w:rsidRPr="009E0D5B" w:rsidSect="0026525A">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EB0E7" w14:textId="77777777" w:rsidR="007A5CFC" w:rsidRDefault="007A5CFC">
      <w:r>
        <w:separator/>
      </w:r>
    </w:p>
  </w:endnote>
  <w:endnote w:type="continuationSeparator" w:id="0">
    <w:p w14:paraId="7237EFE8" w14:textId="77777777" w:rsidR="007A5CFC" w:rsidRDefault="007A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893F4B5" w:rsidR="00E20E70" w:rsidRDefault="00E20E70">
    <w:pPr>
      <w:pStyle w:val="zyxClassification1"/>
    </w:pPr>
    <w:r>
      <w:fldChar w:fldCharType="begin"/>
    </w:r>
    <w:r>
      <w:instrText xml:space="preserve"> DOCPROPERTY "IaeaClassification"  \* MERGEFORMAT </w:instrText>
    </w:r>
    <w:r>
      <w:fldChar w:fldCharType="end"/>
    </w:r>
  </w:p>
  <w:p w14:paraId="1FDEB1B7" w14:textId="5F5FEEC0"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AC2C" w14:textId="0D68ABB9"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D110F4">
      <w:rPr>
        <w:rFonts w:ascii="Times New Roman" w:hAnsi="Times New Roman" w:cs="Times New Roman"/>
        <w:noProof/>
        <w:sz w:val="20"/>
      </w:rPr>
      <w:t>5</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7040D862"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39E0C3A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3" w:name="DOC_bkmClassification2"/>
      <w:tc>
        <w:tcPr>
          <w:tcW w:w="5670" w:type="dxa"/>
          <w:tcMar>
            <w:right w:w="249" w:type="dxa"/>
          </w:tcMar>
        </w:tcPr>
        <w:p w14:paraId="6BE850AD" w14:textId="79EB4CD9"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3"/>
        <w:p w14:paraId="4A6BF5C8" w14:textId="39A5E33E"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14" w:name="DOC_bkmFileName"/>
  <w:p w14:paraId="437B756E" w14:textId="52826568" w:rsidR="00E20E70" w:rsidRDefault="00E20E70">
    <w:r>
      <w:rPr>
        <w:sz w:val="16"/>
      </w:rPr>
      <w:fldChar w:fldCharType="begin"/>
    </w:r>
    <w:r>
      <w:rPr>
        <w:sz w:val="16"/>
      </w:rPr>
      <w:instrText xml:space="preserve"> FILENAME \* MERGEFORMAT </w:instrText>
    </w:r>
    <w:r>
      <w:rPr>
        <w:sz w:val="16"/>
      </w:rPr>
      <w:fldChar w:fldCharType="separate"/>
    </w:r>
    <w:r w:rsidR="009D08D7">
      <w:rPr>
        <w:noProof/>
        <w:sz w:val="16"/>
      </w:rPr>
      <w:t>20240523 IDNES Paper AIEA Conference</w:t>
    </w:r>
    <w:r>
      <w:rPr>
        <w:sz w:val="16"/>
      </w:rPr>
      <w:fldChar w:fldCharType="end"/>
    </w:r>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43CEC" w14:textId="77777777" w:rsidR="007A5CFC" w:rsidRDefault="007A5CFC">
      <w:r>
        <w:t>___________________________________________________________________________</w:t>
      </w:r>
    </w:p>
  </w:footnote>
  <w:footnote w:type="continuationSeparator" w:id="0">
    <w:p w14:paraId="7736ACE6" w14:textId="77777777" w:rsidR="007A5CFC" w:rsidRDefault="007A5CFC">
      <w:r>
        <w:t>___________________________________________________________________________</w:t>
      </w:r>
    </w:p>
  </w:footnote>
  <w:footnote w:type="continuationNotice" w:id="1">
    <w:p w14:paraId="4E0758BF" w14:textId="77777777" w:rsidR="007A5CFC" w:rsidRDefault="007A5CFC"/>
  </w:footnote>
  <w:footnote w:id="2">
    <w:p w14:paraId="5FD0105E" w14:textId="77777777" w:rsidR="00891B3B" w:rsidRPr="00891B3B" w:rsidRDefault="00891B3B" w:rsidP="00891B3B">
      <w:pPr>
        <w:pStyle w:val="Notedebasdepage"/>
        <w:rPr>
          <w:lang w:val="en-US"/>
        </w:rPr>
      </w:pPr>
      <w:r>
        <w:rPr>
          <w:rStyle w:val="Appelnotedebasdep"/>
        </w:rPr>
        <w:footnoteRef/>
      </w:r>
      <w:r>
        <w:t xml:space="preserve"> </w:t>
      </w:r>
      <w:hyperlink r:id="rId1" w:history="1">
        <w:r w:rsidRPr="001C0BCF">
          <w:rPr>
            <w:rStyle w:val="Lienhypertexte"/>
          </w:rPr>
          <w:t>https://snetp.eu/</w:t>
        </w:r>
      </w:hyperlink>
    </w:p>
  </w:footnote>
  <w:footnote w:id="3">
    <w:p w14:paraId="4C10C72E" w14:textId="77777777" w:rsidR="00891B3B" w:rsidRPr="00891B3B" w:rsidRDefault="00891B3B" w:rsidP="00891B3B">
      <w:pPr>
        <w:pStyle w:val="Notedebasdepage"/>
        <w:rPr>
          <w:lang w:val="en-US"/>
        </w:rPr>
      </w:pPr>
      <w:r>
        <w:rPr>
          <w:rStyle w:val="Appelnotedebasdep"/>
        </w:rPr>
        <w:footnoteRef/>
      </w:r>
      <w:r>
        <w:t xml:space="preserve"> </w:t>
      </w:r>
      <w:r w:rsidRPr="00891B3B">
        <w:rPr>
          <w:lang w:val="en-US"/>
        </w:rPr>
        <w:t>Including SMR designers, non-nuclear technology developers, technical organization for industrial security and energy-intensive industry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4EE12A5B"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64B45BB2"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234F" w14:textId="30B861E7" w:rsidR="00E4314C" w:rsidRDefault="00E4314C" w:rsidP="00E4314C">
    <w:pPr>
      <w:pStyle w:val="Runninghead"/>
    </w:pPr>
    <w:r>
      <w:t>Philippe</w:t>
    </w:r>
    <w:r w:rsidR="00AC5A3A">
      <w:t xml:space="preserve"> </w:t>
    </w:r>
    <w:r>
      <w:t>AMPHOUX</w:t>
    </w:r>
    <w:r w:rsidR="00355C97">
      <w:t xml:space="preserve"> </w:t>
    </w:r>
    <w:r w:rsidR="00AC5A3A">
      <w:t xml:space="preserve">and </w:t>
    </w:r>
    <w:r>
      <w:t>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2" w:name="DOC_bkmClassification1"/>
      <w:tc>
        <w:tcPr>
          <w:tcW w:w="5702" w:type="dxa"/>
          <w:vMerge w:val="restart"/>
          <w:tcMar>
            <w:right w:w="193" w:type="dxa"/>
          </w:tcMar>
        </w:tcPr>
        <w:p w14:paraId="48D5842E" w14:textId="5F7FB0FD"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2"/>
        <w:p w14:paraId="423CAA9C" w14:textId="73B75A79"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itre9"/>
            <w:spacing w:before="0" w:after="10"/>
          </w:pPr>
        </w:p>
      </w:tc>
      <w:tc>
        <w:tcPr>
          <w:tcW w:w="5702" w:type="dxa"/>
          <w:vMerge/>
          <w:vAlign w:val="bottom"/>
        </w:tcPr>
        <w:p w14:paraId="313FA1D9" w14:textId="77777777" w:rsidR="00E20E70" w:rsidRDefault="00E20E70">
          <w:pPr>
            <w:pStyle w:val="Titre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103"/>
    <w:multiLevelType w:val="hybridMultilevel"/>
    <w:tmpl w:val="479CBEA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D13025"/>
    <w:multiLevelType w:val="hybridMultilevel"/>
    <w:tmpl w:val="AF4A4CEA"/>
    <w:lvl w:ilvl="0" w:tplc="76CE207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6836B7"/>
    <w:multiLevelType w:val="hybridMultilevel"/>
    <w:tmpl w:val="71E24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5"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85C2E81"/>
    <w:multiLevelType w:val="multilevel"/>
    <w:tmpl w:val="932CAD0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BF45EF"/>
    <w:multiLevelType w:val="hybridMultilevel"/>
    <w:tmpl w:val="4CE2CBB4"/>
    <w:lvl w:ilvl="0" w:tplc="2600202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F1916"/>
    <w:multiLevelType w:val="hybridMultilevel"/>
    <w:tmpl w:val="208A944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2" w15:restartNumberingAfterBreak="0">
    <w:nsid w:val="31F53D2F"/>
    <w:multiLevelType w:val="multilevel"/>
    <w:tmpl w:val="6E8EC0B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3983"/>
        </w:tabs>
        <w:ind w:left="3983" w:hanging="86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4B1239D"/>
    <w:multiLevelType w:val="hybridMultilevel"/>
    <w:tmpl w:val="22243436"/>
    <w:lvl w:ilvl="0" w:tplc="87B0F08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53D8B"/>
    <w:multiLevelType w:val="hybridMultilevel"/>
    <w:tmpl w:val="75221E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15:restartNumberingAfterBreak="0">
    <w:nsid w:val="561534C7"/>
    <w:multiLevelType w:val="hybridMultilevel"/>
    <w:tmpl w:val="D55CAE6E"/>
    <w:lvl w:ilvl="0" w:tplc="70F4C622">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FC3542"/>
    <w:multiLevelType w:val="hybridMultilevel"/>
    <w:tmpl w:val="A008F682"/>
    <w:lvl w:ilvl="0" w:tplc="040C000F">
      <w:start w:val="1"/>
      <w:numFmt w:val="decimal"/>
      <w:lvlText w:val="%1."/>
      <w:lvlJc w:val="left"/>
      <w:pPr>
        <w:ind w:left="644"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22" w15:restartNumberingAfterBreak="0">
    <w:nsid w:val="712C6B63"/>
    <w:multiLevelType w:val="multilevel"/>
    <w:tmpl w:val="F606F798"/>
    <w:lvl w:ilvl="0">
      <w:start w:val="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lang w:val="en-G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72B0F71"/>
    <w:multiLevelType w:val="multilevel"/>
    <w:tmpl w:val="429E3A4A"/>
    <w:lvl w:ilvl="0">
      <w:start w:val="2"/>
      <w:numFmt w:val="decimal"/>
      <w:lvlText w:val="%1."/>
      <w:lvlJc w:val="left"/>
      <w:pPr>
        <w:ind w:left="528" w:hanging="528"/>
      </w:pPr>
      <w:rPr>
        <w:rFonts w:hint="default"/>
      </w:rPr>
    </w:lvl>
    <w:lvl w:ilvl="1">
      <w:start w:val="1"/>
      <w:numFmt w:val="decimal"/>
      <w:lvlText w:val="%1.%2."/>
      <w:lvlJc w:val="left"/>
      <w:pPr>
        <w:ind w:left="2229" w:hanging="528"/>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num w:numId="1">
    <w:abstractNumId w:val="16"/>
  </w:num>
  <w:num w:numId="2">
    <w:abstractNumId w:val="9"/>
  </w:num>
  <w:num w:numId="3">
    <w:abstractNumId w:val="21"/>
  </w:num>
  <w:num w:numId="4">
    <w:abstractNumId w:val="21"/>
  </w:num>
  <w:num w:numId="5">
    <w:abstractNumId w:val="21"/>
  </w:num>
  <w:num w:numId="6">
    <w:abstractNumId w:val="11"/>
  </w:num>
  <w:num w:numId="7">
    <w:abstractNumId w:val="18"/>
  </w:num>
  <w:num w:numId="8">
    <w:abstractNumId w:val="23"/>
  </w:num>
  <w:num w:numId="9">
    <w:abstractNumId w:val="4"/>
  </w:num>
  <w:num w:numId="10">
    <w:abstractNumId w:val="2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lvlText w:val="%1%2.%3."/>
        <w:lvlJc w:val="left"/>
        <w:pPr>
          <w:ind w:left="0" w:firstLine="0"/>
        </w:pPr>
        <w:rPr>
          <w:rFonts w:hint="default"/>
        </w:rPr>
      </w:lvl>
    </w:lvlOverride>
    <w:lvlOverride w:ilvl="3">
      <w:lvl w:ilvl="3">
        <w:start w:val="1"/>
        <w:numFmt w:val="none"/>
        <w:lvlRestart w:val="0"/>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21"/>
  </w:num>
  <w:num w:numId="12">
    <w:abstractNumId w:val="21"/>
  </w:num>
  <w:num w:numId="13">
    <w:abstractNumId w:val="21"/>
  </w:num>
  <w:num w:numId="14">
    <w:abstractNumId w:val="2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suff w:val="space"/>
        <w:lvlText w:val="%1%2.%3."/>
        <w:lvlJc w:val="left"/>
        <w:pPr>
          <w:ind w:left="0" w:firstLine="0"/>
        </w:pPr>
        <w:rPr>
          <w:rFonts w:hint="default"/>
        </w:rPr>
      </w:lvl>
    </w:lvlOverride>
    <w:lvlOverride w:ilvl="3">
      <w:lvl w:ilvl="3">
        <w:start w:val="1"/>
        <w:numFmt w:val="decimal"/>
        <w:lvlRestart w:val="0"/>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21"/>
  </w:num>
  <w:num w:numId="16">
    <w:abstractNumId w:val="21"/>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5"/>
  </w:num>
  <w:num w:numId="21">
    <w:abstractNumId w:val="21"/>
  </w:num>
  <w:num w:numId="22">
    <w:abstractNumId w:val="8"/>
  </w:num>
  <w:num w:numId="23">
    <w:abstractNumId w:val="1"/>
  </w:num>
  <w:num w:numId="24">
    <w:abstractNumId w:val="20"/>
  </w:num>
  <w:num w:numId="25">
    <w:abstractNumId w:val="21"/>
  </w:num>
  <w:num w:numId="26">
    <w:abstractNumId w:val="21"/>
  </w:num>
  <w:num w:numId="27">
    <w:abstractNumId w:val="21"/>
  </w:num>
  <w:num w:numId="28">
    <w:abstractNumId w:val="21"/>
  </w:num>
  <w:num w:numId="29">
    <w:abstractNumId w:val="21"/>
  </w:num>
  <w:num w:numId="30">
    <w:abstractNumId w:val="14"/>
  </w:num>
  <w:num w:numId="31">
    <w:abstractNumId w:val="14"/>
  </w:num>
  <w:num w:numId="32">
    <w:abstractNumId w:val="21"/>
  </w:num>
  <w:num w:numId="33">
    <w:abstractNumId w:val="7"/>
  </w:num>
  <w:num w:numId="34">
    <w:abstractNumId w:val="3"/>
  </w:num>
  <w:num w:numId="35">
    <w:abstractNumId w:val="5"/>
  </w:num>
  <w:num w:numId="36">
    <w:abstractNumId w:val="5"/>
  </w:num>
  <w:num w:numId="37">
    <w:abstractNumId w:val="5"/>
  </w:num>
  <w:num w:numId="38">
    <w:abstractNumId w:val="2"/>
  </w:num>
  <w:num w:numId="39">
    <w:abstractNumId w:val="19"/>
  </w:num>
  <w:num w:numId="40">
    <w:abstractNumId w:val="10"/>
  </w:num>
  <w:num w:numId="41">
    <w:abstractNumId w:val="15"/>
  </w:num>
  <w:num w:numId="42">
    <w:abstractNumId w:val="0"/>
  </w:num>
  <w:num w:numId="43">
    <w:abstractNumId w:val="5"/>
  </w:num>
  <w:num w:numId="44">
    <w:abstractNumId w:val="5"/>
  </w:num>
  <w:num w:numId="45">
    <w:abstractNumId w:val="13"/>
  </w:num>
  <w:num w:numId="46">
    <w:abstractNumId w:val="17"/>
  </w:num>
  <w:num w:numId="47">
    <w:abstractNumId w:val="12"/>
  </w:num>
  <w:num w:numId="48">
    <w:abstractNumId w:val="24"/>
  </w:num>
  <w:num w:numId="49">
    <w:abstractNumId w:val="2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25F6F"/>
    <w:rsid w:val="00037321"/>
    <w:rsid w:val="00041C52"/>
    <w:rsid w:val="00053813"/>
    <w:rsid w:val="0005589E"/>
    <w:rsid w:val="000712B2"/>
    <w:rsid w:val="00093AB3"/>
    <w:rsid w:val="000A0299"/>
    <w:rsid w:val="000A6640"/>
    <w:rsid w:val="000B3329"/>
    <w:rsid w:val="000B39A9"/>
    <w:rsid w:val="000B6D91"/>
    <w:rsid w:val="000C67E2"/>
    <w:rsid w:val="000C6F25"/>
    <w:rsid w:val="000E3692"/>
    <w:rsid w:val="000F497B"/>
    <w:rsid w:val="000F7E94"/>
    <w:rsid w:val="0010323D"/>
    <w:rsid w:val="001119D6"/>
    <w:rsid w:val="00112F19"/>
    <w:rsid w:val="00124C46"/>
    <w:rsid w:val="001251EE"/>
    <w:rsid w:val="00125F3E"/>
    <w:rsid w:val="00127CF9"/>
    <w:rsid w:val="001308F2"/>
    <w:rsid w:val="001313E8"/>
    <w:rsid w:val="0013794C"/>
    <w:rsid w:val="001A64F3"/>
    <w:rsid w:val="001B0CA9"/>
    <w:rsid w:val="001B5FBE"/>
    <w:rsid w:val="001C58F5"/>
    <w:rsid w:val="001C612B"/>
    <w:rsid w:val="001D5CEE"/>
    <w:rsid w:val="001E0A8A"/>
    <w:rsid w:val="001E1EB8"/>
    <w:rsid w:val="002071D9"/>
    <w:rsid w:val="00212E7E"/>
    <w:rsid w:val="00245F48"/>
    <w:rsid w:val="00256822"/>
    <w:rsid w:val="002579C2"/>
    <w:rsid w:val="0026525A"/>
    <w:rsid w:val="00266D37"/>
    <w:rsid w:val="0027295E"/>
    <w:rsid w:val="002732AD"/>
    <w:rsid w:val="00273DA2"/>
    <w:rsid w:val="00274790"/>
    <w:rsid w:val="00285755"/>
    <w:rsid w:val="002A1F9C"/>
    <w:rsid w:val="002B29C2"/>
    <w:rsid w:val="002B7BAB"/>
    <w:rsid w:val="002C4208"/>
    <w:rsid w:val="002D6A40"/>
    <w:rsid w:val="002E12B9"/>
    <w:rsid w:val="002F743C"/>
    <w:rsid w:val="0030430C"/>
    <w:rsid w:val="003132A2"/>
    <w:rsid w:val="0035138C"/>
    <w:rsid w:val="00352DE1"/>
    <w:rsid w:val="00355C97"/>
    <w:rsid w:val="003728E6"/>
    <w:rsid w:val="00387BE5"/>
    <w:rsid w:val="003A2273"/>
    <w:rsid w:val="003B5E0E"/>
    <w:rsid w:val="003D255A"/>
    <w:rsid w:val="003F6E46"/>
    <w:rsid w:val="00402EE5"/>
    <w:rsid w:val="0040594B"/>
    <w:rsid w:val="00415B41"/>
    <w:rsid w:val="00416949"/>
    <w:rsid w:val="00420774"/>
    <w:rsid w:val="004252D5"/>
    <w:rsid w:val="004330B6"/>
    <w:rsid w:val="004370D8"/>
    <w:rsid w:val="004542BE"/>
    <w:rsid w:val="00461BB9"/>
    <w:rsid w:val="00472C43"/>
    <w:rsid w:val="004C726A"/>
    <w:rsid w:val="004D1418"/>
    <w:rsid w:val="004D363E"/>
    <w:rsid w:val="004E62D6"/>
    <w:rsid w:val="004F3DCA"/>
    <w:rsid w:val="00510194"/>
    <w:rsid w:val="00533FA1"/>
    <w:rsid w:val="00537496"/>
    <w:rsid w:val="00541D75"/>
    <w:rsid w:val="00544ED3"/>
    <w:rsid w:val="005512F9"/>
    <w:rsid w:val="0057202F"/>
    <w:rsid w:val="0058477B"/>
    <w:rsid w:val="005855F4"/>
    <w:rsid w:val="0058654F"/>
    <w:rsid w:val="00596ACA"/>
    <w:rsid w:val="005B7C75"/>
    <w:rsid w:val="005E39BC"/>
    <w:rsid w:val="005F00A0"/>
    <w:rsid w:val="00647F33"/>
    <w:rsid w:val="00650E3E"/>
    <w:rsid w:val="00657ECB"/>
    <w:rsid w:val="00662532"/>
    <w:rsid w:val="006A7AA3"/>
    <w:rsid w:val="006B2274"/>
    <w:rsid w:val="006C3863"/>
    <w:rsid w:val="006D16BD"/>
    <w:rsid w:val="006F049F"/>
    <w:rsid w:val="00700441"/>
    <w:rsid w:val="00717C6F"/>
    <w:rsid w:val="007224CA"/>
    <w:rsid w:val="00724293"/>
    <w:rsid w:val="007445DA"/>
    <w:rsid w:val="00754204"/>
    <w:rsid w:val="007922DF"/>
    <w:rsid w:val="007A5CFC"/>
    <w:rsid w:val="007B4FD1"/>
    <w:rsid w:val="007E5A4F"/>
    <w:rsid w:val="007F2405"/>
    <w:rsid w:val="00802266"/>
    <w:rsid w:val="00802381"/>
    <w:rsid w:val="00827491"/>
    <w:rsid w:val="008431F5"/>
    <w:rsid w:val="0084613B"/>
    <w:rsid w:val="0085260F"/>
    <w:rsid w:val="00857AC5"/>
    <w:rsid w:val="00872DC8"/>
    <w:rsid w:val="00883848"/>
    <w:rsid w:val="00891B3B"/>
    <w:rsid w:val="00897ED5"/>
    <w:rsid w:val="008B6BB9"/>
    <w:rsid w:val="008C12F5"/>
    <w:rsid w:val="008D560D"/>
    <w:rsid w:val="008F2015"/>
    <w:rsid w:val="00905A5C"/>
    <w:rsid w:val="00911543"/>
    <w:rsid w:val="00920DD2"/>
    <w:rsid w:val="00927B0C"/>
    <w:rsid w:val="009463BB"/>
    <w:rsid w:val="009519C9"/>
    <w:rsid w:val="009549F8"/>
    <w:rsid w:val="0099130B"/>
    <w:rsid w:val="009956F8"/>
    <w:rsid w:val="009B79D8"/>
    <w:rsid w:val="009D08D7"/>
    <w:rsid w:val="009D0B86"/>
    <w:rsid w:val="009E0D5B"/>
    <w:rsid w:val="009E1558"/>
    <w:rsid w:val="00A1757C"/>
    <w:rsid w:val="00A20884"/>
    <w:rsid w:val="00A34D52"/>
    <w:rsid w:val="00A42898"/>
    <w:rsid w:val="00A431FC"/>
    <w:rsid w:val="00A524DA"/>
    <w:rsid w:val="00A62371"/>
    <w:rsid w:val="00A809BF"/>
    <w:rsid w:val="00A8442C"/>
    <w:rsid w:val="00A84FFA"/>
    <w:rsid w:val="00A86A64"/>
    <w:rsid w:val="00AB6ACE"/>
    <w:rsid w:val="00AC5A3A"/>
    <w:rsid w:val="00AD2D3D"/>
    <w:rsid w:val="00AD77E4"/>
    <w:rsid w:val="00B172DA"/>
    <w:rsid w:val="00B247AA"/>
    <w:rsid w:val="00B33695"/>
    <w:rsid w:val="00B50952"/>
    <w:rsid w:val="00B6756D"/>
    <w:rsid w:val="00B82FA5"/>
    <w:rsid w:val="00BB6488"/>
    <w:rsid w:val="00BC7B07"/>
    <w:rsid w:val="00BD1400"/>
    <w:rsid w:val="00BD605C"/>
    <w:rsid w:val="00BE1C83"/>
    <w:rsid w:val="00BE2A76"/>
    <w:rsid w:val="00C040C9"/>
    <w:rsid w:val="00C05857"/>
    <w:rsid w:val="00C24D48"/>
    <w:rsid w:val="00C350CA"/>
    <w:rsid w:val="00C62C87"/>
    <w:rsid w:val="00C65E60"/>
    <w:rsid w:val="00C75F67"/>
    <w:rsid w:val="00C81732"/>
    <w:rsid w:val="00CC0F32"/>
    <w:rsid w:val="00CE5A52"/>
    <w:rsid w:val="00CF7AF3"/>
    <w:rsid w:val="00D038F9"/>
    <w:rsid w:val="00D110F4"/>
    <w:rsid w:val="00D21A70"/>
    <w:rsid w:val="00D26ADA"/>
    <w:rsid w:val="00D35A78"/>
    <w:rsid w:val="00D412E5"/>
    <w:rsid w:val="00D555A1"/>
    <w:rsid w:val="00D57E8C"/>
    <w:rsid w:val="00D64DC2"/>
    <w:rsid w:val="00D704F3"/>
    <w:rsid w:val="00D7471B"/>
    <w:rsid w:val="00D8167A"/>
    <w:rsid w:val="00DA46CA"/>
    <w:rsid w:val="00DE0D95"/>
    <w:rsid w:val="00DE5025"/>
    <w:rsid w:val="00DE6486"/>
    <w:rsid w:val="00DF21EB"/>
    <w:rsid w:val="00E167AD"/>
    <w:rsid w:val="00E20E70"/>
    <w:rsid w:val="00E2282A"/>
    <w:rsid w:val="00E25B68"/>
    <w:rsid w:val="00E32435"/>
    <w:rsid w:val="00E32D82"/>
    <w:rsid w:val="00E4314C"/>
    <w:rsid w:val="00E84003"/>
    <w:rsid w:val="00E92016"/>
    <w:rsid w:val="00E95B2E"/>
    <w:rsid w:val="00EC10FC"/>
    <w:rsid w:val="00ED57DE"/>
    <w:rsid w:val="00EE0041"/>
    <w:rsid w:val="00EE29B9"/>
    <w:rsid w:val="00F004EE"/>
    <w:rsid w:val="00F10D61"/>
    <w:rsid w:val="00F42E23"/>
    <w:rsid w:val="00F45EEE"/>
    <w:rsid w:val="00F51E9C"/>
    <w:rsid w:val="00F523CA"/>
    <w:rsid w:val="00F55DD3"/>
    <w:rsid w:val="00F563D6"/>
    <w:rsid w:val="00F74A9D"/>
    <w:rsid w:val="00F93C51"/>
    <w:rsid w:val="00FA06A7"/>
    <w:rsid w:val="00FB3CA6"/>
    <w:rsid w:val="00FF181A"/>
    <w:rsid w:val="00FF386F"/>
    <w:rsid w:val="00FF58C0"/>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4"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footnote text" w:locked="0" w:uiPriority="0"/>
    <w:lsdException w:name="header" w:locked="0" w:uiPriority="0"/>
    <w:lsdException w:name="footer" w:locked="0" w:uiPriority="99"/>
    <w:lsdException w:name="caption" w:locked="0" w:uiPriority="35" w:qFormat="1"/>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HTML Preformatted" w:uiPriority="9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uiPriority w:val="4"/>
    <w:qFormat/>
    <w:rsid w:val="00897ED5"/>
    <w:pPr>
      <w:widowControl w:val="0"/>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897ED5"/>
    <w:pPr>
      <w:widowControl w:val="0"/>
      <w:spacing w:before="100" w:beforeAutospacing="1" w:after="100" w:afterAutospacing="1" w:line="240" w:lineRule="atLeast"/>
      <w:outlineLvl w:val="3"/>
    </w:pPr>
    <w:rPr>
      <w:i/>
      <w:sz w:val="20"/>
      <w:lang w:val="en-US"/>
    </w:rPr>
  </w:style>
  <w:style w:type="paragraph" w:styleId="Titre5">
    <w:name w:val="heading 5"/>
    <w:basedOn w:val="Normal"/>
    <w:next w:val="Normal"/>
    <w:qFormat/>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qFormat/>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qFormat/>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qFormat/>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qFormat/>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35"/>
    <w:qFormat/>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numPr>
        <w:numId w:val="20"/>
      </w:numPr>
    </w:pPr>
  </w:style>
  <w:style w:type="paragraph" w:customStyle="1" w:styleId="ListNumbered">
    <w:name w:val="List Numbered"/>
    <w:basedOn w:val="Corpsdetexte"/>
    <w:uiPriority w:val="5"/>
    <w:qFormat/>
    <w:locked/>
    <w:rsid w:val="00717C6F"/>
    <w:pPr>
      <w:numPr>
        <w:numId w:val="22"/>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 w:type="paragraph" w:customStyle="1" w:styleId="Els-Affiliation">
    <w:name w:val="Els-Affiliation"/>
    <w:rsid w:val="00E4314C"/>
    <w:pPr>
      <w:suppressAutoHyphens/>
      <w:spacing w:line="240" w:lineRule="exact"/>
    </w:pPr>
    <w:rPr>
      <w:i/>
      <w:noProof/>
      <w:lang w:eastAsia="en-US"/>
    </w:rPr>
  </w:style>
  <w:style w:type="paragraph" w:styleId="Paragraphedeliste">
    <w:name w:val="List Paragraph"/>
    <w:basedOn w:val="Normal"/>
    <w:uiPriority w:val="34"/>
    <w:qFormat/>
    <w:locked/>
    <w:rsid w:val="00920DD2"/>
    <w:pPr>
      <w:overflowPunct/>
      <w:autoSpaceDE/>
      <w:autoSpaceDN/>
      <w:adjustRightInd/>
      <w:spacing w:after="160" w:line="256" w:lineRule="auto"/>
      <w:ind w:left="720"/>
      <w:contextualSpacing/>
      <w:textAlignment w:val="auto"/>
    </w:pPr>
    <w:rPr>
      <w:rFonts w:asciiTheme="minorHAnsi" w:eastAsiaTheme="minorHAnsi" w:hAnsiTheme="minorHAnsi" w:cstheme="minorBidi"/>
      <w:szCs w:val="22"/>
      <w:lang w:val="fr-FR"/>
    </w:rPr>
  </w:style>
  <w:style w:type="character" w:styleId="Lienhypertexte">
    <w:name w:val="Hyperlink"/>
    <w:basedOn w:val="Policepardfaut"/>
    <w:uiPriority w:val="99"/>
    <w:locked/>
    <w:rsid w:val="00891B3B"/>
    <w:rPr>
      <w:color w:val="0000FF" w:themeColor="hyperlink"/>
      <w:u w:val="single"/>
    </w:rPr>
  </w:style>
  <w:style w:type="paragraph" w:customStyle="1" w:styleId="Default">
    <w:name w:val="Default"/>
    <w:rsid w:val="000B6D91"/>
    <w:pPr>
      <w:autoSpaceDE w:val="0"/>
      <w:autoSpaceDN w:val="0"/>
      <w:adjustRightInd w:val="0"/>
    </w:pPr>
    <w:rPr>
      <w:rFonts w:ascii="Arial" w:hAnsi="Arial" w:cs="Arial"/>
      <w:color w:val="000000"/>
      <w:sz w:val="24"/>
      <w:szCs w:val="24"/>
      <w:lang w:val="fr-FR" w:eastAsia="en-US"/>
    </w:rPr>
  </w:style>
  <w:style w:type="character" w:styleId="Marquedecommentaire">
    <w:name w:val="annotation reference"/>
    <w:basedOn w:val="Policepardfaut"/>
    <w:uiPriority w:val="49"/>
    <w:locked/>
    <w:rsid w:val="00BE1C83"/>
    <w:rPr>
      <w:sz w:val="16"/>
      <w:szCs w:val="16"/>
    </w:rPr>
  </w:style>
  <w:style w:type="paragraph" w:styleId="Commentaire">
    <w:name w:val="annotation text"/>
    <w:basedOn w:val="Normal"/>
    <w:link w:val="CommentaireCar"/>
    <w:uiPriority w:val="49"/>
    <w:locked/>
    <w:rsid w:val="00BE1C83"/>
    <w:rPr>
      <w:sz w:val="20"/>
    </w:rPr>
  </w:style>
  <w:style w:type="character" w:customStyle="1" w:styleId="CommentaireCar">
    <w:name w:val="Commentaire Car"/>
    <w:basedOn w:val="Policepardfaut"/>
    <w:link w:val="Commentaire"/>
    <w:uiPriority w:val="49"/>
    <w:rsid w:val="00BE1C83"/>
    <w:rPr>
      <w:lang w:eastAsia="en-US"/>
    </w:rPr>
  </w:style>
  <w:style w:type="paragraph" w:styleId="Objetducommentaire">
    <w:name w:val="annotation subject"/>
    <w:basedOn w:val="Commentaire"/>
    <w:next w:val="Commentaire"/>
    <w:link w:val="ObjetducommentaireCar"/>
    <w:uiPriority w:val="49"/>
    <w:locked/>
    <w:rsid w:val="00BE1C83"/>
    <w:rPr>
      <w:b/>
      <w:bCs/>
    </w:rPr>
  </w:style>
  <w:style w:type="character" w:customStyle="1" w:styleId="ObjetducommentaireCar">
    <w:name w:val="Objet du commentaire Car"/>
    <w:basedOn w:val="CommentaireCar"/>
    <w:link w:val="Objetducommentaire"/>
    <w:uiPriority w:val="49"/>
    <w:rsid w:val="00BE1C83"/>
    <w:rPr>
      <w:b/>
      <w:bCs/>
      <w:lang w:eastAsia="en-US"/>
    </w:rPr>
  </w:style>
  <w:style w:type="paragraph" w:customStyle="1" w:styleId="EHlgende">
    <w:name w:val="EH légende"/>
    <w:basedOn w:val="Lgende"/>
    <w:link w:val="EHlgendeCar"/>
    <w:qFormat/>
    <w:rsid w:val="007E5A4F"/>
    <w:pPr>
      <w:spacing w:after="200"/>
      <w:jc w:val="center"/>
    </w:pPr>
    <w:rPr>
      <w:rFonts w:ascii="Arial" w:hAnsi="Arial"/>
      <w:bCs w:val="0"/>
      <w:i/>
      <w:iCs/>
      <w:sz w:val="22"/>
      <w:szCs w:val="18"/>
      <w:lang w:val="fr-FR"/>
    </w:rPr>
  </w:style>
  <w:style w:type="character" w:customStyle="1" w:styleId="EHlgendeCar">
    <w:name w:val="EH légende Car"/>
    <w:basedOn w:val="Policepardfaut"/>
    <w:link w:val="EHlgende"/>
    <w:rsid w:val="007E5A4F"/>
    <w:rPr>
      <w:rFonts w:ascii="Arial" w:hAnsi="Arial"/>
      <w:i/>
      <w:iCs/>
      <w:sz w:val="22"/>
      <w:szCs w:val="18"/>
      <w:lang w:val="fr-FR" w:eastAsia="en-US"/>
    </w:rPr>
  </w:style>
  <w:style w:type="paragraph" w:styleId="PrformatHTML">
    <w:name w:val="HTML Preformatted"/>
    <w:basedOn w:val="Normal"/>
    <w:link w:val="PrformatHTMLCar"/>
    <w:uiPriority w:val="99"/>
    <w:unhideWhenUsed/>
    <w:locked/>
    <w:rsid w:val="007E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fr-FR" w:eastAsia="fr-FR"/>
    </w:rPr>
  </w:style>
  <w:style w:type="character" w:customStyle="1" w:styleId="PrformatHTMLCar">
    <w:name w:val="Préformaté HTML Car"/>
    <w:basedOn w:val="Policepardfaut"/>
    <w:link w:val="PrformatHTML"/>
    <w:uiPriority w:val="99"/>
    <w:rsid w:val="007E5A4F"/>
    <w:rPr>
      <w:rFonts w:ascii="Courier New"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981">
      <w:bodyDiv w:val="1"/>
      <w:marLeft w:val="0"/>
      <w:marRight w:val="0"/>
      <w:marTop w:val="0"/>
      <w:marBottom w:val="0"/>
      <w:divBdr>
        <w:top w:val="none" w:sz="0" w:space="0" w:color="auto"/>
        <w:left w:val="none" w:sz="0" w:space="0" w:color="auto"/>
        <w:bottom w:val="none" w:sz="0" w:space="0" w:color="auto"/>
        <w:right w:val="none" w:sz="0" w:space="0" w:color="auto"/>
      </w:divBdr>
    </w:div>
    <w:div w:id="62261617">
      <w:bodyDiv w:val="1"/>
      <w:marLeft w:val="0"/>
      <w:marRight w:val="0"/>
      <w:marTop w:val="0"/>
      <w:marBottom w:val="0"/>
      <w:divBdr>
        <w:top w:val="none" w:sz="0" w:space="0" w:color="auto"/>
        <w:left w:val="none" w:sz="0" w:space="0" w:color="auto"/>
        <w:bottom w:val="none" w:sz="0" w:space="0" w:color="auto"/>
        <w:right w:val="none" w:sz="0" w:space="0" w:color="auto"/>
      </w:divBdr>
    </w:div>
    <w:div w:id="220143849">
      <w:bodyDiv w:val="1"/>
      <w:marLeft w:val="0"/>
      <w:marRight w:val="0"/>
      <w:marTop w:val="0"/>
      <w:marBottom w:val="0"/>
      <w:divBdr>
        <w:top w:val="none" w:sz="0" w:space="0" w:color="auto"/>
        <w:left w:val="none" w:sz="0" w:space="0" w:color="auto"/>
        <w:bottom w:val="none" w:sz="0" w:space="0" w:color="auto"/>
        <w:right w:val="none" w:sz="0" w:space="0" w:color="auto"/>
      </w:divBdr>
    </w:div>
    <w:div w:id="232857198">
      <w:bodyDiv w:val="1"/>
      <w:marLeft w:val="0"/>
      <w:marRight w:val="0"/>
      <w:marTop w:val="0"/>
      <w:marBottom w:val="0"/>
      <w:divBdr>
        <w:top w:val="none" w:sz="0" w:space="0" w:color="auto"/>
        <w:left w:val="none" w:sz="0" w:space="0" w:color="auto"/>
        <w:bottom w:val="none" w:sz="0" w:space="0" w:color="auto"/>
        <w:right w:val="none" w:sz="0" w:space="0" w:color="auto"/>
      </w:divBdr>
    </w:div>
    <w:div w:id="506332022">
      <w:bodyDiv w:val="1"/>
      <w:marLeft w:val="0"/>
      <w:marRight w:val="0"/>
      <w:marTop w:val="0"/>
      <w:marBottom w:val="0"/>
      <w:divBdr>
        <w:top w:val="none" w:sz="0" w:space="0" w:color="auto"/>
        <w:left w:val="none" w:sz="0" w:space="0" w:color="auto"/>
        <w:bottom w:val="none" w:sz="0" w:space="0" w:color="auto"/>
        <w:right w:val="none" w:sz="0" w:space="0" w:color="auto"/>
      </w:divBdr>
    </w:div>
    <w:div w:id="595670508">
      <w:bodyDiv w:val="1"/>
      <w:marLeft w:val="0"/>
      <w:marRight w:val="0"/>
      <w:marTop w:val="0"/>
      <w:marBottom w:val="0"/>
      <w:divBdr>
        <w:top w:val="none" w:sz="0" w:space="0" w:color="auto"/>
        <w:left w:val="none" w:sz="0" w:space="0" w:color="auto"/>
        <w:bottom w:val="none" w:sz="0" w:space="0" w:color="auto"/>
        <w:right w:val="none" w:sz="0" w:space="0" w:color="auto"/>
      </w:divBdr>
    </w:div>
    <w:div w:id="602302768">
      <w:bodyDiv w:val="1"/>
      <w:marLeft w:val="0"/>
      <w:marRight w:val="0"/>
      <w:marTop w:val="0"/>
      <w:marBottom w:val="0"/>
      <w:divBdr>
        <w:top w:val="none" w:sz="0" w:space="0" w:color="auto"/>
        <w:left w:val="none" w:sz="0" w:space="0" w:color="auto"/>
        <w:bottom w:val="none" w:sz="0" w:space="0" w:color="auto"/>
        <w:right w:val="none" w:sz="0" w:space="0" w:color="auto"/>
      </w:divBdr>
    </w:div>
    <w:div w:id="918248832">
      <w:bodyDiv w:val="1"/>
      <w:marLeft w:val="0"/>
      <w:marRight w:val="0"/>
      <w:marTop w:val="0"/>
      <w:marBottom w:val="0"/>
      <w:divBdr>
        <w:top w:val="none" w:sz="0" w:space="0" w:color="auto"/>
        <w:left w:val="none" w:sz="0" w:space="0" w:color="auto"/>
        <w:bottom w:val="none" w:sz="0" w:space="0" w:color="auto"/>
        <w:right w:val="none" w:sz="0" w:space="0" w:color="auto"/>
      </w:divBdr>
    </w:div>
    <w:div w:id="1072118767">
      <w:bodyDiv w:val="1"/>
      <w:marLeft w:val="0"/>
      <w:marRight w:val="0"/>
      <w:marTop w:val="0"/>
      <w:marBottom w:val="0"/>
      <w:divBdr>
        <w:top w:val="none" w:sz="0" w:space="0" w:color="auto"/>
        <w:left w:val="none" w:sz="0" w:space="0" w:color="auto"/>
        <w:bottom w:val="none" w:sz="0" w:space="0" w:color="auto"/>
        <w:right w:val="none" w:sz="0" w:space="0" w:color="auto"/>
      </w:divBdr>
    </w:div>
    <w:div w:id="1501503436">
      <w:bodyDiv w:val="1"/>
      <w:marLeft w:val="0"/>
      <w:marRight w:val="0"/>
      <w:marTop w:val="0"/>
      <w:marBottom w:val="0"/>
      <w:divBdr>
        <w:top w:val="none" w:sz="0" w:space="0" w:color="auto"/>
        <w:left w:val="none" w:sz="0" w:space="0" w:color="auto"/>
        <w:bottom w:val="none" w:sz="0" w:space="0" w:color="auto"/>
        <w:right w:val="none" w:sz="0" w:space="0" w:color="auto"/>
      </w:divBdr>
    </w:div>
    <w:div w:id="163086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andemproject.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ndemproject.eu/"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andemproject.eu/"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snetp.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TEE21</b:Tag>
    <b:SourceType>Report</b:SourceType>
    <b:Guid>{94386EA0-811A-4C12-BCB6-788235DB9D16}</b:Guid>
    <b:Title>Role of DAC in e-fuels for aviation report</b:Title>
    <b:Year>2021</b:Year>
    <b:Institution>E4tech (UK) Ltd for T&amp;E</b:Institution>
    <b:RefOrder>1</b:RefOrder>
  </b:Source>
  <b:Source>
    <b:Tag>Dir22</b:Tag>
    <b:SourceType>Report</b:SourceType>
    <b:Guid>{2D1BBB45-9BBD-4FB2-8FD5-2802293EE986}</b:Guid>
    <b:Title>Direct Air Capture</b:Title>
    <b:Year>2022</b:Year>
    <b:Institution>IEA</b:Institution>
    <b:RefOrder>2</b:RefOrder>
  </b:Source>
  <b:Source>
    <b:Tag>RPe22</b:Tag>
    <b:SourceType>JournalArticle</b:SourceType>
    <b:Guid>{1D884EE5-4455-46A2-A7AD-DFD977EEC1B5}</b:Guid>
    <b:Title>A Techno-Economic Assessment of Fischer–Tropsch Fuels Based on Syngas from Co-Electrolysis</b:Title>
    <b:Year>2022</b:Year>
    <b:Author>
      <b:Author>
        <b:NameList>
          <b:Person>
            <b:Last>Peters</b:Last>
            <b:First>R.</b:First>
          </b:Person>
        </b:NameList>
      </b:Author>
    </b:Author>
    <b:JournalName>Processes</b:JournalName>
    <b:RefOrder>3</b:RefOrder>
  </b:Source>
  <b:Source>
    <b:Tag>AMe21</b:Tag>
    <b:SourceType>JournalArticle</b:SourceType>
    <b:Guid>{0C104F80-EC87-4480-A2DA-6300FC563C95}</b:Guid>
    <b:Author>
      <b:Author>
        <b:NameList>
          <b:Person>
            <b:Last>Meurer</b:Last>
            <b:First>A.</b:First>
          </b:Person>
        </b:NameList>
      </b:Author>
    </b:Author>
    <b:Title>Fischer–Tropsch Synthesis as the Key for Decentralized Sustainable Kerosene Production</b:Title>
    <b:JournalName>Energies</b:JournalName>
    <b:Year>2021</b:Year>
    <b:RefOrder>4</b:RefOrder>
  </b:Source>
</b:Sources>
</file>

<file path=customXml/itemProps1.xml><?xml version="1.0" encoding="utf-8"?>
<ds:datastoreItem xmlns:ds="http://schemas.openxmlformats.org/officeDocument/2006/customXml" ds:itemID="{22295819-98E0-45C4-860B-3800303E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274</TotalTime>
  <Pages>7</Pages>
  <Words>3829</Words>
  <Characters>21064</Characters>
  <Application>Microsoft Office Word</Application>
  <DocSecurity>0</DocSecurity>
  <Lines>175</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AMPHOUX Philippe 169044</cp:lastModifiedBy>
  <cp:revision>128</cp:revision>
  <cp:lastPrinted>2024-05-23T05:37:00Z</cp:lastPrinted>
  <dcterms:created xsi:type="dcterms:W3CDTF">2024-05-14T08:31:00Z</dcterms:created>
  <dcterms:modified xsi:type="dcterms:W3CDTF">2024-08-02T05:53:00Z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