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501F0" w14:textId="64DD7BF2" w:rsidR="00E20E70" w:rsidRPr="00EE29B9" w:rsidRDefault="008675C7" w:rsidP="008675C7">
      <w:pPr>
        <w:pStyle w:val="Heading1"/>
      </w:pPr>
      <w:r>
        <w:t xml:space="preserve">release-category-based emergency planning zone calculation applied to a light-water small modular reactor design </w:t>
      </w:r>
    </w:p>
    <w:p w14:paraId="4D1B799F" w14:textId="77777777" w:rsidR="00802381" w:rsidRDefault="00802381" w:rsidP="00537496">
      <w:pPr>
        <w:pStyle w:val="Authornameandaffiliation"/>
      </w:pPr>
    </w:p>
    <w:p w14:paraId="32159D0F" w14:textId="1B1AD93C" w:rsidR="003B5E0E" w:rsidRPr="00913E2B" w:rsidRDefault="008675C7" w:rsidP="00537496">
      <w:pPr>
        <w:pStyle w:val="Authornameandaffiliation"/>
        <w:rPr>
          <w:lang w:val="es-ES"/>
        </w:rPr>
      </w:pPr>
      <w:r w:rsidRPr="00913E2B">
        <w:rPr>
          <w:lang w:val="es-ES"/>
        </w:rPr>
        <w:t xml:space="preserve">J. C. DE LA ROSA BLUL </w:t>
      </w:r>
    </w:p>
    <w:p w14:paraId="02370931" w14:textId="79E39357" w:rsidR="00FF386F" w:rsidRDefault="008675C7" w:rsidP="00537496">
      <w:pPr>
        <w:pStyle w:val="Authornameandaffiliation"/>
      </w:pPr>
      <w:r>
        <w:t>Joint Research Centre</w:t>
      </w:r>
    </w:p>
    <w:p w14:paraId="14684DE2" w14:textId="017880B7" w:rsidR="00FF386F" w:rsidRDefault="008675C7" w:rsidP="00537496">
      <w:pPr>
        <w:pStyle w:val="Authornameandaffiliation"/>
      </w:pPr>
      <w:r>
        <w:t>Petten</w:t>
      </w:r>
      <w:r w:rsidR="00FF386F">
        <w:t xml:space="preserve">, </w:t>
      </w:r>
      <w:r>
        <w:t xml:space="preserve">The Netherlands </w:t>
      </w:r>
    </w:p>
    <w:p w14:paraId="0080899C" w14:textId="435DBEDF" w:rsidR="00FF386F" w:rsidRPr="00C71DD4" w:rsidRDefault="00FF386F" w:rsidP="00537496">
      <w:pPr>
        <w:pStyle w:val="Authornameandaffiliation"/>
        <w:rPr>
          <w:lang w:val="it-IT"/>
        </w:rPr>
      </w:pPr>
      <w:r w:rsidRPr="00C71DD4">
        <w:rPr>
          <w:lang w:val="it-IT"/>
        </w:rPr>
        <w:t xml:space="preserve">Email: </w:t>
      </w:r>
      <w:r w:rsidR="008675C7" w:rsidRPr="00C71DD4">
        <w:rPr>
          <w:lang w:val="it-IT"/>
        </w:rPr>
        <w:t>Juan-Carlos.DE-LA-ROSA-BLUL@ec.europa.eu</w:t>
      </w:r>
    </w:p>
    <w:p w14:paraId="5E2BDA1F" w14:textId="77777777" w:rsidR="00FF386F" w:rsidRPr="00C71DD4" w:rsidRDefault="00FF386F" w:rsidP="00537496">
      <w:pPr>
        <w:pStyle w:val="Authornameandaffiliation"/>
        <w:rPr>
          <w:lang w:val="it-IT"/>
        </w:rPr>
      </w:pPr>
    </w:p>
    <w:p w14:paraId="535BB6CC" w14:textId="60C02F82" w:rsidR="00FF386F" w:rsidRPr="00C71DD4" w:rsidRDefault="008675C7" w:rsidP="00537496">
      <w:pPr>
        <w:pStyle w:val="Authornameandaffiliation"/>
        <w:rPr>
          <w:lang w:val="it-IT"/>
        </w:rPr>
      </w:pPr>
      <w:r w:rsidRPr="00C71DD4">
        <w:rPr>
          <w:lang w:val="it-IT"/>
        </w:rPr>
        <w:t xml:space="preserve">A. GUGLIELMELLI </w:t>
      </w:r>
    </w:p>
    <w:p w14:paraId="008085C2" w14:textId="78DF9D73" w:rsidR="00FF386F" w:rsidRPr="00FF386F" w:rsidRDefault="008675C7" w:rsidP="00537496">
      <w:pPr>
        <w:pStyle w:val="Authornameandaffiliation"/>
      </w:pPr>
      <w:r>
        <w:t>Joint Research Centre</w:t>
      </w:r>
    </w:p>
    <w:p w14:paraId="5D980831" w14:textId="6B5A9227" w:rsidR="00FF386F" w:rsidRPr="00FF386F" w:rsidRDefault="008675C7" w:rsidP="00537496">
      <w:pPr>
        <w:pStyle w:val="Authornameandaffiliation"/>
      </w:pPr>
      <w:r>
        <w:t>Ispra, Italy</w:t>
      </w:r>
    </w:p>
    <w:p w14:paraId="2E9C02DF" w14:textId="287C7FFD" w:rsidR="003B0117" w:rsidRDefault="003B0117" w:rsidP="003B0117">
      <w:pPr>
        <w:pStyle w:val="Authornameandaffiliation"/>
      </w:pPr>
      <w:r>
        <w:t>Email: Antonio.GUGLIELMELLI</w:t>
      </w:r>
      <w:r w:rsidRPr="008675C7">
        <w:t>@ec.europa.eu</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0C6075C9" w14:textId="41E8D66C" w:rsidR="00B4070E" w:rsidRDefault="00B4070E" w:rsidP="00B4070E">
      <w:pPr>
        <w:pStyle w:val="NormalWeb"/>
        <w:spacing w:before="0" w:beforeAutospacing="0" w:after="0" w:afterAutospacing="0" w:line="240" w:lineRule="atLeast"/>
        <w:contextualSpacing/>
        <w:jc w:val="both"/>
        <w:rPr>
          <w:sz w:val="18"/>
          <w:szCs w:val="20"/>
          <w:lang w:val="en-US" w:eastAsia="en-US"/>
        </w:rPr>
      </w:pPr>
    </w:p>
    <w:p w14:paraId="266BE87A" w14:textId="14DB7B31" w:rsidR="00B4070E" w:rsidRDefault="00B4070E" w:rsidP="00B4070E">
      <w:pPr>
        <w:pStyle w:val="NormalWeb"/>
        <w:spacing w:before="0" w:beforeAutospacing="0" w:after="0" w:afterAutospacing="0" w:line="240" w:lineRule="atLeast"/>
        <w:ind w:firstLine="567"/>
        <w:contextualSpacing/>
        <w:jc w:val="both"/>
      </w:pPr>
      <w:r>
        <w:rPr>
          <w:sz w:val="18"/>
          <w:szCs w:val="20"/>
          <w:lang w:val="en-US" w:eastAsia="en-US"/>
        </w:rPr>
        <w:t xml:space="preserve">Emergency planning zones are areas around a nuclear or radiological facility where arrangements are made to protect the public in the event of a nuclear emergency. The paper presents and discusses a new method for identifying and classifying the source term for accidents with total or partial fuel damage in order to </w:t>
      </w:r>
      <w:r w:rsidR="00A461AE">
        <w:rPr>
          <w:sz w:val="18"/>
          <w:szCs w:val="20"/>
          <w:lang w:val="en-US" w:eastAsia="en-US"/>
        </w:rPr>
        <w:t>pinpoint</w:t>
      </w:r>
      <w:r>
        <w:rPr>
          <w:sz w:val="18"/>
          <w:szCs w:val="20"/>
          <w:lang w:val="en-US" w:eastAsia="en-US"/>
        </w:rPr>
        <w:t xml:space="preserve"> a series of release </w:t>
      </w:r>
      <w:r w:rsidR="00913E2B">
        <w:rPr>
          <w:sz w:val="18"/>
          <w:szCs w:val="20"/>
          <w:lang w:val="en-US" w:eastAsia="en-US"/>
        </w:rPr>
        <w:t xml:space="preserve">categories </w:t>
      </w:r>
      <w:r>
        <w:rPr>
          <w:sz w:val="18"/>
          <w:szCs w:val="20"/>
          <w:lang w:val="en-US" w:eastAsia="en-US"/>
        </w:rPr>
        <w:t xml:space="preserve">useful to </w:t>
      </w:r>
      <w:r w:rsidR="00A461AE">
        <w:rPr>
          <w:sz w:val="18"/>
          <w:szCs w:val="20"/>
          <w:lang w:val="en-US" w:eastAsia="en-US"/>
        </w:rPr>
        <w:t>find</w:t>
      </w:r>
      <w:r>
        <w:rPr>
          <w:sz w:val="18"/>
          <w:szCs w:val="20"/>
          <w:lang w:val="en-US" w:eastAsia="en-US"/>
        </w:rPr>
        <w:t xml:space="preserve"> the extension of an Emergency Planning Zone. This approach is deterministic as far as it starts with the postulation of a set of Plant Damage States (PDSs), rather than frequency-based. It is complemented by a methodological application for the analysis of the accident progression based on the facility response assessment, similar to the logic behind Containment Event Trees. This extension of the deterministic postulation of PDSs stems from the recognition that deterministic approaches may lead to incompleteness in the selection of accident scenarios due to strongly relying on expert judgement.</w:t>
      </w:r>
      <w:r w:rsidR="00A461AE">
        <w:rPr>
          <w:sz w:val="18"/>
          <w:szCs w:val="20"/>
          <w:lang w:val="en-US" w:eastAsia="en-US"/>
        </w:rPr>
        <w:t> The case study applies to a 1000 MWth</w:t>
      </w:r>
      <w:r>
        <w:rPr>
          <w:sz w:val="18"/>
          <w:szCs w:val="20"/>
          <w:lang w:val="en-US" w:eastAsia="en-US"/>
        </w:rPr>
        <w:t xml:space="preserve"> integral Pressurized Water Reactor SMR</w:t>
      </w:r>
      <w:r w:rsidR="00A461AE">
        <w:rPr>
          <w:sz w:val="18"/>
          <w:szCs w:val="20"/>
          <w:lang w:val="en-US" w:eastAsia="en-US"/>
        </w:rPr>
        <w:t>.</w:t>
      </w:r>
    </w:p>
    <w:p w14:paraId="1A0A8920" w14:textId="77777777" w:rsidR="00460990" w:rsidRDefault="00460990" w:rsidP="00460990">
      <w:pPr>
        <w:pStyle w:val="Heading2"/>
        <w:numPr>
          <w:ilvl w:val="1"/>
          <w:numId w:val="10"/>
        </w:numPr>
      </w:pPr>
      <w:r>
        <w:t>INTRODUCTION</w:t>
      </w:r>
    </w:p>
    <w:p w14:paraId="7C9DC75B" w14:textId="1C93ABBD" w:rsidR="00333C92" w:rsidRDefault="000032D8" w:rsidP="00E02A10">
      <w:pPr>
        <w:pStyle w:val="BodyText"/>
      </w:pPr>
      <w:r w:rsidRPr="000032D8">
        <w:t xml:space="preserve">Nuclear safety applied to nuclear installations is informed by the Defence in Depth (DID) approach, </w:t>
      </w:r>
      <w:r w:rsidR="00333C92">
        <w:t xml:space="preserve">which </w:t>
      </w:r>
      <w:r w:rsidRPr="000032D8">
        <w:t>consist</w:t>
      </w:r>
      <w:r w:rsidR="00333C92">
        <w:t>s</w:t>
      </w:r>
      <w:r w:rsidRPr="000032D8">
        <w:t xml:space="preserve"> of a set of measures</w:t>
      </w:r>
      <w:r w:rsidRPr="00333C92">
        <w:t xml:space="preserve"> and barriers to prevent, detect, correct and mitigate the evolution and consequences of accident scenarios.</w:t>
      </w:r>
      <w:r>
        <w:t xml:space="preserve"> </w:t>
      </w:r>
      <w:r w:rsidRPr="000032D8">
        <w:t xml:space="preserve">DID Level 5 </w:t>
      </w:r>
      <w:r w:rsidR="00333C92">
        <w:t xml:space="preserve">focuses on offsite </w:t>
      </w:r>
      <w:r>
        <w:t>Emergency Preparedness and Response (EPR)</w:t>
      </w:r>
      <w:r w:rsidR="00333C92">
        <w:t>, namely on</w:t>
      </w:r>
      <w:r w:rsidRPr="000032D8">
        <w:t xml:space="preserve"> the protection of the outside population against radiation exposure, especially when all the previous onsite DID levels have failed.</w:t>
      </w:r>
    </w:p>
    <w:p w14:paraId="67A2FE0B" w14:textId="39E21D4A" w:rsidR="00333C92" w:rsidRDefault="000032D8" w:rsidP="00E02A10">
      <w:pPr>
        <w:pStyle w:val="BodyText"/>
      </w:pPr>
      <w:r w:rsidRPr="00333C92">
        <w:t>The extension of offsite protective arrangements and provisions to be implemented in case of nuclear emergency is driven by the calculation of so-called Emergency Planning Zone (EPZ) distances.</w:t>
      </w:r>
      <w:r w:rsidR="00333C92">
        <w:t xml:space="preserve"> </w:t>
      </w:r>
      <w:r w:rsidR="00333C92" w:rsidRPr="00333C92">
        <w:t xml:space="preserve">EPZ determination for existing NPPs relies on generic methodologies imposing </w:t>
      </w:r>
      <w:r w:rsidR="00333C92">
        <w:t>similar</w:t>
      </w:r>
      <w:r w:rsidR="00333C92" w:rsidRPr="00333C92">
        <w:t xml:space="preserve"> EPZ distances and areas, assuming that different nuclear facilities share similar accident evolutions and source terms. </w:t>
      </w:r>
      <w:r w:rsidR="00333C92">
        <w:t>Such generic approach is acceptable since</w:t>
      </w:r>
      <w:r w:rsidR="00333C92" w:rsidRPr="00333C92">
        <w:t xml:space="preserve"> </w:t>
      </w:r>
      <w:r w:rsidR="00333C92">
        <w:t xml:space="preserve">existing </w:t>
      </w:r>
      <w:r w:rsidR="00333C92" w:rsidRPr="00333C92">
        <w:t>nuclear facilities hav</w:t>
      </w:r>
      <w:r w:rsidR="00333C92">
        <w:t>e many common</w:t>
      </w:r>
      <w:r w:rsidR="00333C92" w:rsidRPr="00333C92">
        <w:t xml:space="preserve"> safety and plant features</w:t>
      </w:r>
      <w:r w:rsidR="00333C92">
        <w:t>, which is not the case of</w:t>
      </w:r>
      <w:r w:rsidR="00333C92" w:rsidRPr="00333C92">
        <w:t xml:space="preserve"> SMR desig</w:t>
      </w:r>
      <w:r w:rsidR="00333C92">
        <w:t>ns give</w:t>
      </w:r>
      <w:r w:rsidR="00333C92" w:rsidRPr="00333C92">
        <w:t xml:space="preserve"> the </w:t>
      </w:r>
      <w:r w:rsidR="00333C92">
        <w:t>strong</w:t>
      </w:r>
      <w:r w:rsidR="00333C92" w:rsidRPr="00333C92">
        <w:t xml:space="preserve"> differences in SMR technologies (e.g., plant design, reactor safety margin, engineer safety system, core inventory, and power level) [1</w:t>
      </w:r>
      <w:r w:rsidR="00084136">
        <w:t>,2</w:t>
      </w:r>
      <w:r w:rsidR="00333C92" w:rsidRPr="00333C92">
        <w:t>].</w:t>
      </w:r>
    </w:p>
    <w:p w14:paraId="358A2F55" w14:textId="0D24D16C" w:rsidR="005E217C" w:rsidRDefault="00333C92" w:rsidP="00E02A10">
      <w:pPr>
        <w:pStyle w:val="BodyText"/>
      </w:pPr>
      <w:r w:rsidRPr="00544366">
        <w:t xml:space="preserve">The </w:t>
      </w:r>
      <w:r w:rsidR="005E217C">
        <w:t>most relevant, debatable and</w:t>
      </w:r>
      <w:r>
        <w:t xml:space="preserve"> sensitive step</w:t>
      </w:r>
      <w:r w:rsidRPr="00544366">
        <w:t xml:space="preserve"> </w:t>
      </w:r>
      <w:r>
        <w:t xml:space="preserve">informing any EPZ methodology </w:t>
      </w:r>
      <w:r w:rsidRPr="00544366">
        <w:t xml:space="preserve">is </w:t>
      </w:r>
      <w:r>
        <w:t>the quantification of the source term</w:t>
      </w:r>
      <w:r w:rsidR="005E217C">
        <w:t xml:space="preserve"> via the</w:t>
      </w:r>
      <w:r>
        <w:t xml:space="preserve"> </w:t>
      </w:r>
      <w:r w:rsidRPr="00E02A10">
        <w:rPr>
          <w:b/>
        </w:rPr>
        <w:t>identification of accident scenarios for the computation of the radionuclide releases to the environment</w:t>
      </w:r>
      <w:r>
        <w:t>.</w:t>
      </w:r>
      <w:r w:rsidR="005E217C">
        <w:t xml:space="preserve"> DID applications so far sharply distinguish between onsite and offsite approaches to nuclear safety in their hypothesis, methods and tools. Such distinction grounds on multiple reasons such as an increasing level of uncertainty once the accident progresses through the DID Levels, different emergency and nuclear safety standpoints, different staff in charge of onsite and offsite safety provisions, etc.</w:t>
      </w:r>
      <w:r w:rsidR="00621D6B">
        <w:t xml:space="preserve"> The key consequence of implementing an independent onsite and offsite DID approach in dealing with EPZ distance calculation is that the representative list of challenging scenarios informing onsite safety, e.g. </w:t>
      </w:r>
      <w:r w:rsidR="00621D6B" w:rsidRPr="00544366">
        <w:t xml:space="preserve">Design Basis Accident (DBA) and Design Extended Condition (DEC) </w:t>
      </w:r>
      <w:r w:rsidR="00621D6B">
        <w:t>scenarios, has not been taken to inform offsite arrangements and provisions. Such an approach has been accepted so far mainly because of the limited number of nuclear installations and in recognizing that current nuclear installations feature major nuclear hazards needing large areas around them where planning of provisions is highly advisable.</w:t>
      </w:r>
    </w:p>
    <w:p w14:paraId="51D29EF8" w14:textId="508E1394" w:rsidR="00544366" w:rsidRDefault="00621D6B" w:rsidP="00387616">
      <w:pPr>
        <w:pStyle w:val="BodyText"/>
      </w:pPr>
      <w:r>
        <w:lastRenderedPageBreak/>
        <w:t>The latter condition is yet currently questioned by m</w:t>
      </w:r>
      <w:r w:rsidR="005E217C">
        <w:t>any SMR and advanced design</w:t>
      </w:r>
      <w:r>
        <w:t xml:space="preserve"> vendors who</w:t>
      </w:r>
      <w:r w:rsidR="005E217C">
        <w:t xml:space="preserve"> claim </w:t>
      </w:r>
      <w:r>
        <w:t>that the much higher levels of nuclear safety make</w:t>
      </w:r>
      <w:r w:rsidR="005E217C">
        <w:t xml:space="preserve"> </w:t>
      </w:r>
      <w:r>
        <w:t>DID Level 5 unnecessary and hence no EPZ should apply to their designs.</w:t>
      </w:r>
      <w:r w:rsidR="00746537">
        <w:t xml:space="preserve"> The validity of such a strong statement greatly relies on the methods and hypothesis used for the identification of accident scenarios leading to radionuclide releases. Such statement implicitly assumes that the previous distinction between onsite and offsite DID approach is not applicable to SMRs and advanced reactors, so that those accidents informing safety measures onsite should also be valid offsite. Such an implicit consideration may in turn be questionable due to the intrinsic limitations of the methods for onside accident identification, e.g. via expert judgement or cut-off frequencies, leading to discarding events that might lead to significant radionuclide releases, such as the accident in Fukushima. </w:t>
      </w:r>
      <w:r w:rsidR="00746537" w:rsidRPr="00544366">
        <w:t>The Fukushima accident revealed weakness in the current implementation of DiD primarily by exposing the sensitivity of different levels of defence to the same hazard (i.e., the lack of independence, the inadequate design basis and the insufficient safety margins), result</w:t>
      </w:r>
      <w:r w:rsidR="00746537">
        <w:t>ing</w:t>
      </w:r>
      <w:r w:rsidR="00746537" w:rsidRPr="00544366">
        <w:t xml:space="preserve"> in a common</w:t>
      </w:r>
      <w:r w:rsidR="00746537">
        <w:t>-</w:t>
      </w:r>
      <w:r w:rsidR="00084136">
        <w:t>mode failure [3</w:t>
      </w:r>
      <w:r w:rsidR="00746537" w:rsidRPr="00544366">
        <w:t>].</w:t>
      </w:r>
      <w:r w:rsidR="00746537">
        <w:t xml:space="preserve">  </w:t>
      </w:r>
      <w:r w:rsidR="004E5E45">
        <w:t>A</w:t>
      </w:r>
      <w:r w:rsidR="00746537">
        <w:t xml:space="preserve"> more conservative approach for the determination of EPZ areas and distances, where the screening out of accidents</w:t>
      </w:r>
      <w:r w:rsidR="004E5E45">
        <w:t>, necessary for a balanced, graded-approach application onsite, is not applicable offsite, is discussed in this paper</w:t>
      </w:r>
      <w:r w:rsidR="00746537">
        <w:t xml:space="preserve">. Such </w:t>
      </w:r>
      <w:r w:rsidR="004E5E45">
        <w:t>approach</w:t>
      </w:r>
      <w:r w:rsidR="00746537">
        <w:t xml:space="preserve"> goes in line with the concept of</w:t>
      </w:r>
      <w:r w:rsidR="00544366" w:rsidRPr="00544366">
        <w:t xml:space="preserve"> “practically eliminated</w:t>
      </w:r>
      <w:r w:rsidR="00746537">
        <w:t xml:space="preserve"> conditions</w:t>
      </w:r>
      <w:r w:rsidR="00544366" w:rsidRPr="00544366">
        <w:t>”</w:t>
      </w:r>
      <w:r w:rsidR="004E5E45">
        <w:t xml:space="preserve">, where screening-out criterion is limited to </w:t>
      </w:r>
      <w:r w:rsidR="00544366" w:rsidRPr="00544366">
        <w:t>the physical impossibility to occur, or that the condition can be considered with a high degree of confidence to be extremely unlikely to arise, or that the best-estimate analysis can demonstrate the efficacy of the design features established through pr</w:t>
      </w:r>
      <w:r w:rsidR="000B4BEB">
        <w:t>actical elimination assessment</w:t>
      </w:r>
      <w:r w:rsidR="000628A7">
        <w:t xml:space="preserve"> </w:t>
      </w:r>
      <w:r w:rsidR="00084136">
        <w:t>[4</w:t>
      </w:r>
      <w:r w:rsidR="00387616">
        <w:t>]</w:t>
      </w:r>
      <w:r w:rsidR="000B4BEB">
        <w:t xml:space="preserve">. </w:t>
      </w:r>
      <w:r w:rsidR="003D715D">
        <w:t>Such an approach goes also in line with the perspective of including all plausible accident scenarios when it comes to DID Level 5</w:t>
      </w:r>
      <w:r w:rsidR="00084136">
        <w:t xml:space="preserve"> [5, 6</w:t>
      </w:r>
      <w:r w:rsidR="000628A7">
        <w:t>]</w:t>
      </w:r>
      <w:r w:rsidR="003D715D">
        <w:t>.</w:t>
      </w:r>
    </w:p>
    <w:p w14:paraId="274123E2" w14:textId="20CA121C" w:rsidR="00544366" w:rsidRPr="000B4BEB" w:rsidRDefault="00544366" w:rsidP="00387616">
      <w:pPr>
        <w:pStyle w:val="BodyText"/>
      </w:pPr>
      <w:r w:rsidRPr="00544366">
        <w:t>T</w:t>
      </w:r>
      <w:r w:rsidR="00900B3A">
        <w:t>he</w:t>
      </w:r>
      <w:r w:rsidRPr="00544366">
        <w:t xml:space="preserve"> paper presents a novel approach for the analytical identification of the </w:t>
      </w:r>
      <w:r w:rsidR="004E5E45">
        <w:t>source term</w:t>
      </w:r>
      <w:r w:rsidR="004E5E45" w:rsidRPr="00544366">
        <w:t xml:space="preserve"> </w:t>
      </w:r>
      <w:r w:rsidRPr="00544366">
        <w:t>from severe accidents with total or partial fuel damage (i.e., DEC-B) that allows considering a wide range of severe accidents events including all conservative scenarios that would be excluded using a purely deterministic or probabilistic approach. This approach would also provide a more comprehensive, logical, and conservative EPZ evaluation that is suitable for its application in SMRs design.</w:t>
      </w:r>
      <w:r>
        <w:t xml:space="preserve"> </w:t>
      </w:r>
    </w:p>
    <w:p w14:paraId="0AA626E9" w14:textId="429A6324" w:rsidR="00544366" w:rsidRPr="000B4BEB" w:rsidRDefault="00544366" w:rsidP="00387616">
      <w:pPr>
        <w:pStyle w:val="BodyText"/>
      </w:pPr>
      <w:r w:rsidRPr="00544366">
        <w:t xml:space="preserve">An application of the proposed methodology to </w:t>
      </w:r>
      <w:r w:rsidR="00A461AE">
        <w:t>five</w:t>
      </w:r>
      <w:r w:rsidRPr="00544366">
        <w:t xml:space="preserve"> case studies was also </w:t>
      </w:r>
      <w:r w:rsidR="00D46AD3" w:rsidRPr="00544366">
        <w:t>implemented</w:t>
      </w:r>
      <w:r w:rsidRPr="00544366">
        <w:t xml:space="preserve"> to demonstrate the</w:t>
      </w:r>
      <w:r w:rsidR="000B4BEB">
        <w:t>ir</w:t>
      </w:r>
      <w:r w:rsidRPr="00544366">
        <w:t xml:space="preserve"> capability o</w:t>
      </w:r>
      <w:r w:rsidR="000B4BEB">
        <w:t xml:space="preserve">n </w:t>
      </w:r>
      <w:r w:rsidRPr="00544366">
        <w:t xml:space="preserve">evaluating parameters useful for the </w:t>
      </w:r>
      <w:r w:rsidR="004E5E45">
        <w:t>quantification</w:t>
      </w:r>
      <w:r w:rsidR="004E5E45" w:rsidRPr="00544366">
        <w:t xml:space="preserve"> </w:t>
      </w:r>
      <w:r w:rsidRPr="00544366">
        <w:t xml:space="preserve">of EPZ </w:t>
      </w:r>
      <w:r w:rsidR="004E5E45">
        <w:t>distances</w:t>
      </w:r>
      <w:r w:rsidRPr="00544366">
        <w:t>.</w:t>
      </w:r>
    </w:p>
    <w:p w14:paraId="55B8D266" w14:textId="77777777" w:rsidR="00544366" w:rsidRPr="00544366" w:rsidRDefault="00544366" w:rsidP="000B4BEB">
      <w:pPr>
        <w:pStyle w:val="ListParagraph"/>
        <w:numPr>
          <w:ilvl w:val="0"/>
          <w:numId w:val="10"/>
        </w:numPr>
        <w:spacing w:line="260" w:lineRule="atLeast"/>
        <w:ind w:firstLine="426"/>
        <w:jc w:val="both"/>
        <w:rPr>
          <w:sz w:val="20"/>
        </w:rPr>
      </w:pPr>
    </w:p>
    <w:p w14:paraId="74CD1556" w14:textId="52570E40" w:rsidR="00E25B68" w:rsidRDefault="009D348A" w:rsidP="00544366">
      <w:pPr>
        <w:pStyle w:val="Heading2"/>
        <w:numPr>
          <w:ilvl w:val="1"/>
          <w:numId w:val="10"/>
        </w:numPr>
      </w:pPr>
      <w:r>
        <w:t>METHODOLOGY</w:t>
      </w:r>
    </w:p>
    <w:p w14:paraId="5C30BEF0" w14:textId="65A79BDD" w:rsidR="000B4BEB" w:rsidRDefault="00FD53C7" w:rsidP="00362414">
      <w:pPr>
        <w:pStyle w:val="BodyText"/>
      </w:pPr>
      <w:r>
        <w:t>The</w:t>
      </w:r>
      <w:r w:rsidR="009576DD">
        <w:t xml:space="preserve"> proposed</w:t>
      </w:r>
      <w:r w:rsidR="000B4BEB">
        <w:t xml:space="preserve"> </w:t>
      </w:r>
      <w:r w:rsidR="00FA6F02">
        <w:t>release-category-based</w:t>
      </w:r>
      <w:r w:rsidR="004E5E45">
        <w:t xml:space="preserve"> </w:t>
      </w:r>
      <w:r w:rsidR="000B4BEB">
        <w:t>methodology</w:t>
      </w:r>
      <w:r w:rsidR="00FA6F02">
        <w:t xml:space="preserve"> (RCBM)</w:t>
      </w:r>
      <w:r w:rsidR="000B4BEB">
        <w:t xml:space="preserve"> for </w:t>
      </w:r>
      <w:r w:rsidR="004E5E45">
        <w:t>source term</w:t>
      </w:r>
      <w:r w:rsidR="009576DD">
        <w:t xml:space="preserve"> quantification</w:t>
      </w:r>
      <w:r w:rsidR="004E5E45">
        <w:t xml:space="preserve"> </w:t>
      </w:r>
      <w:r w:rsidR="000B4BEB">
        <w:t xml:space="preserve">combines deterministic and probabilistic </w:t>
      </w:r>
      <w:r w:rsidR="009576DD">
        <w:t>techniques in order to identify the plausible bounding sequence.</w:t>
      </w:r>
      <w:r w:rsidR="000B4BEB">
        <w:t xml:space="preserve"> </w:t>
      </w:r>
      <w:r w:rsidR="009576DD">
        <w:t>T</w:t>
      </w:r>
      <w:r w:rsidR="000B4BEB">
        <w:t xml:space="preserve">he </w:t>
      </w:r>
      <w:r w:rsidR="009576DD">
        <w:t xml:space="preserve">RCBM </w:t>
      </w:r>
      <w:r w:rsidR="000B4BEB">
        <w:t xml:space="preserve">starts </w:t>
      </w:r>
      <w:r w:rsidR="009576DD">
        <w:t>by taking the</w:t>
      </w:r>
      <w:r w:rsidR="000B4BEB">
        <w:t xml:space="preserve"> Plant Damage States (PDS) </w:t>
      </w:r>
      <w:r w:rsidR="004E5E45">
        <w:t xml:space="preserve">drawn </w:t>
      </w:r>
      <w:r w:rsidR="000B4BEB">
        <w:t>from Level 1</w:t>
      </w:r>
      <w:r w:rsidR="00E66E5B">
        <w:t xml:space="preserve"> </w:t>
      </w:r>
      <w:r w:rsidR="00362414">
        <w:t>Probabilistic Assessment Analysis</w:t>
      </w:r>
      <w:r w:rsidR="000B4BEB">
        <w:t xml:space="preserve"> </w:t>
      </w:r>
      <w:r w:rsidR="00362414">
        <w:t>(</w:t>
      </w:r>
      <w:r w:rsidR="000B4BEB">
        <w:t>PRA</w:t>
      </w:r>
      <w:r w:rsidR="00362414">
        <w:t>)</w:t>
      </w:r>
      <w:r w:rsidR="009576DD">
        <w:t xml:space="preserve"> and develop them further through</w:t>
      </w:r>
      <w:r w:rsidR="000B4BEB">
        <w:t xml:space="preserve"> </w:t>
      </w:r>
      <w:r w:rsidR="009576DD">
        <w:t>C</w:t>
      </w:r>
      <w:r w:rsidR="000B4BEB">
        <w:t xml:space="preserve">ontainment </w:t>
      </w:r>
      <w:r w:rsidR="009576DD">
        <w:t>Event Tree (CET) application</w:t>
      </w:r>
      <w:r w:rsidR="004E5E45">
        <w:t xml:space="preserve"> yet with</w:t>
      </w:r>
      <w:r w:rsidR="009576DD">
        <w:t xml:space="preserve"> no</w:t>
      </w:r>
      <w:r w:rsidR="004E5E45">
        <w:t xml:space="preserve"> consideration to the numerical risk assigned to each outcome sequence</w:t>
      </w:r>
      <w:r w:rsidR="009576DD">
        <w:t xml:space="preserve"> as means for sequence elimination</w:t>
      </w:r>
      <w:r w:rsidR="000B4BEB">
        <w:t xml:space="preserve">. </w:t>
      </w:r>
      <w:r w:rsidR="009576DD">
        <w:t>In other words</w:t>
      </w:r>
      <w:r w:rsidR="000B4BEB">
        <w:t xml:space="preserve">, </w:t>
      </w:r>
      <w:r w:rsidR="009576DD">
        <w:t>each plausible sequence is taken into consideration for EPZ distance quantification provided it is plausible and</w:t>
      </w:r>
      <w:r w:rsidR="000B4BEB">
        <w:t xml:space="preserve"> regardless of the potential associated frequency of occurrence. </w:t>
      </w:r>
      <w:r w:rsidR="009576DD">
        <w:t xml:space="preserve">The resulting source term is then further coupled with an atmospheric dispersion calculation for the </w:t>
      </w:r>
      <w:r w:rsidR="000B4BEB">
        <w:t>radiological consequence analysis</w:t>
      </w:r>
      <w:r w:rsidR="009576DD">
        <w:t xml:space="preserve"> against which acceptance criteria for the EPZ will eventually lead to the determination of EPZ distances and areas</w:t>
      </w:r>
      <w:r w:rsidR="000B4BEB">
        <w:t>.</w:t>
      </w:r>
      <w:r w:rsidR="00362414">
        <w:t xml:space="preserve"> Figure 1 reports a </w:t>
      </w:r>
      <w:r w:rsidR="00703DD1">
        <w:t>synthetic</w:t>
      </w:r>
      <w:r w:rsidR="00362414">
        <w:t xml:space="preserve"> flow chart that </w:t>
      </w:r>
      <w:r w:rsidR="00703DD1">
        <w:t>includes</w:t>
      </w:r>
      <w:r w:rsidR="00362414">
        <w:t xml:space="preserve"> each step of the novelty methodology (i.e., from the PDS to the EPZ sizing) </w:t>
      </w:r>
    </w:p>
    <w:p w14:paraId="5E06A864" w14:textId="77777777" w:rsidR="00D77003" w:rsidRDefault="00D77003" w:rsidP="00362414">
      <w:pPr>
        <w:pStyle w:val="BodyText"/>
      </w:pPr>
    </w:p>
    <w:p w14:paraId="0595C93A" w14:textId="72E38237" w:rsidR="00FD53C7" w:rsidRDefault="00703DD1" w:rsidP="00703DD1">
      <w:pPr>
        <w:pStyle w:val="Caption"/>
        <w:jc w:val="center"/>
        <w:rPr>
          <w:i/>
        </w:rPr>
      </w:pPr>
      <w:r>
        <w:rPr>
          <w:noProof/>
          <w:lang w:val="en-GB" w:eastAsia="en-GB"/>
        </w:rPr>
        <w:drawing>
          <wp:inline distT="0" distB="0" distL="0" distR="0" wp14:anchorId="6466A124" wp14:editId="5048B583">
            <wp:extent cx="5732145" cy="487680"/>
            <wp:effectExtent l="0" t="0" r="190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chart-novelty-methodology.png"/>
                    <pic:cNvPicPr/>
                  </pic:nvPicPr>
                  <pic:blipFill>
                    <a:blip r:embed="rId8">
                      <a:extLst>
                        <a:ext uri="{28A0092B-C50C-407E-A947-70E740481C1C}">
                          <a14:useLocalDpi xmlns:a14="http://schemas.microsoft.com/office/drawing/2010/main" val="0"/>
                        </a:ext>
                      </a:extLst>
                    </a:blip>
                    <a:stretch>
                      <a:fillRect/>
                    </a:stretch>
                  </pic:blipFill>
                  <pic:spPr>
                    <a:xfrm>
                      <a:off x="0" y="0"/>
                      <a:ext cx="5732145" cy="487680"/>
                    </a:xfrm>
                    <a:prstGeom prst="rect">
                      <a:avLst/>
                    </a:prstGeom>
                  </pic:spPr>
                </pic:pic>
              </a:graphicData>
            </a:graphic>
          </wp:inline>
        </w:drawing>
      </w:r>
      <w:r w:rsidR="003F1DF1">
        <w:rPr>
          <w:i/>
        </w:rPr>
        <w:t>FIG</w:t>
      </w:r>
      <w:r w:rsidR="00D90543">
        <w:rPr>
          <w:i/>
        </w:rPr>
        <w:t>.</w:t>
      </w:r>
      <w:r w:rsidR="009D348A" w:rsidRPr="009D348A">
        <w:rPr>
          <w:i/>
        </w:rPr>
        <w:t xml:space="preserve"> </w:t>
      </w:r>
      <w:r w:rsidR="009D348A" w:rsidRPr="009D348A">
        <w:rPr>
          <w:i/>
        </w:rPr>
        <w:fldChar w:fldCharType="begin"/>
      </w:r>
      <w:r w:rsidR="009D348A" w:rsidRPr="009D348A">
        <w:rPr>
          <w:i/>
        </w:rPr>
        <w:instrText xml:space="preserve"> SEQ Figure \* ARABIC </w:instrText>
      </w:r>
      <w:r w:rsidR="009D348A" w:rsidRPr="009D348A">
        <w:rPr>
          <w:i/>
        </w:rPr>
        <w:fldChar w:fldCharType="separate"/>
      </w:r>
      <w:r w:rsidR="006553EF">
        <w:rPr>
          <w:i/>
          <w:noProof/>
        </w:rPr>
        <w:t>1</w:t>
      </w:r>
      <w:r w:rsidR="009D348A" w:rsidRPr="009D348A">
        <w:rPr>
          <w:i/>
        </w:rPr>
        <w:fldChar w:fldCharType="end"/>
      </w:r>
      <w:r w:rsidR="006553EF">
        <w:rPr>
          <w:i/>
        </w:rPr>
        <w:t>.</w:t>
      </w:r>
      <w:r w:rsidR="009D348A" w:rsidRPr="009D348A">
        <w:rPr>
          <w:i/>
        </w:rPr>
        <w:t xml:space="preserve"> Syn</w:t>
      </w:r>
      <w:r w:rsidR="000628A7">
        <w:rPr>
          <w:i/>
        </w:rPr>
        <w:t>thetic flow chart of the proposed</w:t>
      </w:r>
      <w:r w:rsidR="009D348A" w:rsidRPr="009D348A">
        <w:rPr>
          <w:i/>
        </w:rPr>
        <w:t xml:space="preserve"> </w:t>
      </w:r>
      <w:r w:rsidR="006553EF">
        <w:rPr>
          <w:i/>
        </w:rPr>
        <w:t>R</w:t>
      </w:r>
      <w:r w:rsidR="00362414">
        <w:rPr>
          <w:i/>
        </w:rPr>
        <w:t>elease-</w:t>
      </w:r>
      <w:r w:rsidR="006553EF">
        <w:rPr>
          <w:i/>
        </w:rPr>
        <w:t>C</w:t>
      </w:r>
      <w:r w:rsidR="00362414">
        <w:rPr>
          <w:i/>
        </w:rPr>
        <w:t>ategory-</w:t>
      </w:r>
      <w:r w:rsidR="006553EF">
        <w:rPr>
          <w:i/>
        </w:rPr>
        <w:t>B</w:t>
      </w:r>
      <w:r w:rsidR="00362414">
        <w:rPr>
          <w:i/>
        </w:rPr>
        <w:t>ased</w:t>
      </w:r>
      <w:r w:rsidR="009D348A" w:rsidRPr="009D348A">
        <w:rPr>
          <w:i/>
        </w:rPr>
        <w:t xml:space="preserve"> </w:t>
      </w:r>
      <w:r w:rsidR="006553EF">
        <w:rPr>
          <w:i/>
        </w:rPr>
        <w:t>M</w:t>
      </w:r>
      <w:r w:rsidR="009D348A" w:rsidRPr="009D348A">
        <w:rPr>
          <w:i/>
        </w:rPr>
        <w:t>ethodology</w:t>
      </w:r>
    </w:p>
    <w:p w14:paraId="6F96B73F" w14:textId="77777777" w:rsidR="00FD53C7" w:rsidRPr="00FD53C7" w:rsidRDefault="00FD53C7" w:rsidP="00FD53C7">
      <w:pPr>
        <w:rPr>
          <w:lang w:val="en-US"/>
        </w:rPr>
      </w:pPr>
    </w:p>
    <w:p w14:paraId="2E84C7D2" w14:textId="73E2E1FA" w:rsidR="00FD53C7" w:rsidRPr="00FD53C7" w:rsidRDefault="009576DD" w:rsidP="00BB4D9D">
      <w:pPr>
        <w:spacing w:line="260" w:lineRule="atLeast"/>
        <w:ind w:firstLine="567"/>
        <w:jc w:val="both"/>
      </w:pPr>
      <w:r>
        <w:rPr>
          <w:sz w:val="20"/>
        </w:rPr>
        <w:t>The plausibility criterion implemented in</w:t>
      </w:r>
      <w:r w:rsidR="003D715D">
        <w:rPr>
          <w:sz w:val="20"/>
        </w:rPr>
        <w:t xml:space="preserve"> </w:t>
      </w:r>
      <w:r>
        <w:rPr>
          <w:sz w:val="20"/>
        </w:rPr>
        <w:t>RCBM</w:t>
      </w:r>
      <w:r w:rsidR="003D715D">
        <w:rPr>
          <w:sz w:val="20"/>
        </w:rPr>
        <w:t xml:space="preserve"> </w:t>
      </w:r>
      <w:r>
        <w:rPr>
          <w:sz w:val="20"/>
        </w:rPr>
        <w:t xml:space="preserve">consists of crediting all possible </w:t>
      </w:r>
      <w:r w:rsidR="00FD53C7">
        <w:rPr>
          <w:sz w:val="20"/>
        </w:rPr>
        <w:t xml:space="preserve">accidental sequences </w:t>
      </w:r>
      <w:r w:rsidR="00BB4D9D">
        <w:rPr>
          <w:sz w:val="20"/>
        </w:rPr>
        <w:t>with the potential of</w:t>
      </w:r>
      <w:r w:rsidR="00FD53C7">
        <w:rPr>
          <w:sz w:val="20"/>
        </w:rPr>
        <w:t xml:space="preserve"> offsite release</w:t>
      </w:r>
      <w:r w:rsidR="003D715D">
        <w:rPr>
          <w:sz w:val="20"/>
        </w:rPr>
        <w:t>s</w:t>
      </w:r>
      <w:r w:rsidR="00FD53C7">
        <w:rPr>
          <w:sz w:val="20"/>
        </w:rPr>
        <w:t xml:space="preserve"> </w:t>
      </w:r>
      <w:r w:rsidR="003D715D">
        <w:rPr>
          <w:sz w:val="20"/>
        </w:rPr>
        <w:t>as long as they cannot be practically eliminated</w:t>
      </w:r>
      <w:r w:rsidR="00EB6B72">
        <w:rPr>
          <w:sz w:val="20"/>
        </w:rPr>
        <w:t xml:space="preserve"> [7, 8]</w:t>
      </w:r>
      <w:r w:rsidR="003D715D">
        <w:rPr>
          <w:sz w:val="20"/>
        </w:rPr>
        <w:t xml:space="preserve">. </w:t>
      </w:r>
      <w:r w:rsidR="00BB4D9D">
        <w:rPr>
          <w:sz w:val="20"/>
        </w:rPr>
        <w:t xml:space="preserve">The accident analysis starts from postulating core damage and it progresses according to a </w:t>
      </w:r>
      <w:r w:rsidR="003D715D">
        <w:rPr>
          <w:sz w:val="20"/>
        </w:rPr>
        <w:t xml:space="preserve">design-specific </w:t>
      </w:r>
      <w:r w:rsidR="00FD53C7">
        <w:rPr>
          <w:sz w:val="20"/>
        </w:rPr>
        <w:t xml:space="preserve">Containment Event Tree (CET) </w:t>
      </w:r>
      <w:r w:rsidR="003F1DF1">
        <w:rPr>
          <w:sz w:val="20"/>
        </w:rPr>
        <w:t>[9</w:t>
      </w:r>
      <w:r w:rsidR="00FD53C7">
        <w:rPr>
          <w:sz w:val="20"/>
        </w:rPr>
        <w:t xml:space="preserve">, </w:t>
      </w:r>
      <w:r w:rsidR="003F1DF1">
        <w:rPr>
          <w:sz w:val="20"/>
        </w:rPr>
        <w:t>10</w:t>
      </w:r>
      <w:r w:rsidR="00FD53C7">
        <w:rPr>
          <w:sz w:val="20"/>
        </w:rPr>
        <w:t xml:space="preserve">]. CET </w:t>
      </w:r>
      <w:r w:rsidR="00BB4D9D">
        <w:rPr>
          <w:sz w:val="20"/>
        </w:rPr>
        <w:t>is characterised by the</w:t>
      </w:r>
      <w:r w:rsidR="00FD53C7">
        <w:rPr>
          <w:sz w:val="20"/>
        </w:rPr>
        <w:t xml:space="preserve"> main physic</w:t>
      </w:r>
      <w:r w:rsidR="00BB4D9D">
        <w:rPr>
          <w:sz w:val="20"/>
        </w:rPr>
        <w:t>o</w:t>
      </w:r>
      <w:r w:rsidR="00FD53C7">
        <w:rPr>
          <w:sz w:val="20"/>
        </w:rPr>
        <w:t xml:space="preserve">chemical </w:t>
      </w:r>
      <w:r w:rsidR="00BB4D9D">
        <w:rPr>
          <w:sz w:val="20"/>
        </w:rPr>
        <w:t xml:space="preserve">phenomena including the potential for </w:t>
      </w:r>
      <w:r w:rsidR="00FD53C7">
        <w:rPr>
          <w:sz w:val="20"/>
        </w:rPr>
        <w:t xml:space="preserve">containment failure. Figure 2 illustrates the CET </w:t>
      </w:r>
      <w:r w:rsidR="00BB4D9D">
        <w:rPr>
          <w:sz w:val="20"/>
        </w:rPr>
        <w:t xml:space="preserve">implemented </w:t>
      </w:r>
      <w:r w:rsidR="00FD53C7">
        <w:rPr>
          <w:sz w:val="20"/>
        </w:rPr>
        <w:t xml:space="preserve">in </w:t>
      </w:r>
      <w:r w:rsidR="00BB4D9D">
        <w:rPr>
          <w:sz w:val="20"/>
        </w:rPr>
        <w:t xml:space="preserve">the case </w:t>
      </w:r>
      <w:r w:rsidR="00FD53C7">
        <w:rPr>
          <w:sz w:val="20"/>
        </w:rPr>
        <w:t>study.</w:t>
      </w:r>
    </w:p>
    <w:p w14:paraId="6E36CF44" w14:textId="6532D16D" w:rsidR="00BF7F80" w:rsidRDefault="00BF7F80" w:rsidP="009D348A">
      <w:pPr>
        <w:pStyle w:val="Caption"/>
        <w:jc w:val="center"/>
        <w:rPr>
          <w:i/>
        </w:rPr>
      </w:pPr>
      <w:r>
        <w:rPr>
          <w:i/>
          <w:noProof/>
          <w:lang w:val="en-GB" w:eastAsia="en-GB"/>
        </w:rPr>
        <w:lastRenderedPageBreak/>
        <w:drawing>
          <wp:inline distT="0" distB="0" distL="0" distR="0" wp14:anchorId="24460AD8" wp14:editId="33086C63">
            <wp:extent cx="5726430" cy="31324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6430" cy="3132455"/>
                    </a:xfrm>
                    <a:prstGeom prst="rect">
                      <a:avLst/>
                    </a:prstGeom>
                    <a:noFill/>
                    <a:ln>
                      <a:noFill/>
                    </a:ln>
                  </pic:spPr>
                </pic:pic>
              </a:graphicData>
            </a:graphic>
          </wp:inline>
        </w:drawing>
      </w:r>
    </w:p>
    <w:p w14:paraId="4C555282" w14:textId="1EAE7F63" w:rsidR="009D348A" w:rsidRDefault="003F1DF1" w:rsidP="009D348A">
      <w:pPr>
        <w:pStyle w:val="Caption"/>
        <w:jc w:val="center"/>
        <w:rPr>
          <w:i/>
        </w:rPr>
      </w:pPr>
      <w:r>
        <w:rPr>
          <w:i/>
        </w:rPr>
        <w:t>FIG</w:t>
      </w:r>
      <w:r w:rsidR="00D90543">
        <w:rPr>
          <w:i/>
        </w:rPr>
        <w:t>.</w:t>
      </w:r>
      <w:r w:rsidR="009D348A" w:rsidRPr="00E83E83">
        <w:rPr>
          <w:i/>
        </w:rPr>
        <w:t xml:space="preserve"> </w:t>
      </w:r>
      <w:r w:rsidR="009D348A" w:rsidRPr="00E83E83">
        <w:rPr>
          <w:i/>
        </w:rPr>
        <w:fldChar w:fldCharType="begin"/>
      </w:r>
      <w:r w:rsidR="009D348A" w:rsidRPr="00E83E83">
        <w:rPr>
          <w:i/>
        </w:rPr>
        <w:instrText xml:space="preserve"> SEQ Figure \* ARABIC </w:instrText>
      </w:r>
      <w:r w:rsidR="009D348A" w:rsidRPr="00E83E83">
        <w:rPr>
          <w:i/>
        </w:rPr>
        <w:fldChar w:fldCharType="separate"/>
      </w:r>
      <w:r w:rsidR="006553EF">
        <w:rPr>
          <w:i/>
          <w:noProof/>
        </w:rPr>
        <w:t>2</w:t>
      </w:r>
      <w:r w:rsidR="009D348A" w:rsidRPr="00E83E83">
        <w:rPr>
          <w:i/>
        </w:rPr>
        <w:fldChar w:fldCharType="end"/>
      </w:r>
      <w:r w:rsidR="006553EF">
        <w:rPr>
          <w:i/>
        </w:rPr>
        <w:t>.</w:t>
      </w:r>
      <w:r w:rsidR="009D348A" w:rsidRPr="00E83E83">
        <w:rPr>
          <w:i/>
        </w:rPr>
        <w:t xml:space="preserve"> General Containment Event Tree </w:t>
      </w:r>
    </w:p>
    <w:p w14:paraId="2759B55C" w14:textId="77777777" w:rsidR="00BF7F80" w:rsidRPr="00BF7F80" w:rsidRDefault="00BF7F80" w:rsidP="00BF7F80">
      <w:pPr>
        <w:rPr>
          <w:lang w:val="en-US"/>
        </w:rPr>
      </w:pPr>
    </w:p>
    <w:p w14:paraId="4173ACA8" w14:textId="5F5AEEEF" w:rsidR="003C55DA" w:rsidRDefault="003C55DA" w:rsidP="003C55DA">
      <w:pPr>
        <w:overflowPunct/>
        <w:autoSpaceDE/>
        <w:autoSpaceDN/>
        <w:adjustRightInd/>
        <w:ind w:firstLine="567"/>
        <w:jc w:val="both"/>
        <w:textAlignment w:val="auto"/>
        <w:rPr>
          <w:sz w:val="20"/>
        </w:rPr>
      </w:pPr>
      <w:r w:rsidRPr="003C55DA">
        <w:rPr>
          <w:sz w:val="20"/>
        </w:rPr>
        <w:t>Figure 3 illustrates the Design Event Tree (DET) used to analyse the occurrence or non-occurrence of the events that define the success or failure of the three driving complex phenomena and the two boundary conditions contained in the CET.</w:t>
      </w:r>
    </w:p>
    <w:p w14:paraId="3E8D3B0A" w14:textId="77777777" w:rsidR="00BF7F80" w:rsidRPr="003C55DA" w:rsidRDefault="00BF7F80" w:rsidP="003C55DA">
      <w:pPr>
        <w:overflowPunct/>
        <w:autoSpaceDE/>
        <w:autoSpaceDN/>
        <w:adjustRightInd/>
        <w:ind w:firstLine="567"/>
        <w:jc w:val="both"/>
        <w:textAlignment w:val="auto"/>
        <w:rPr>
          <w:sz w:val="20"/>
        </w:rPr>
      </w:pPr>
    </w:p>
    <w:p w14:paraId="6538933D" w14:textId="77777777" w:rsidR="003B0117" w:rsidRPr="009D348A" w:rsidRDefault="003B0117" w:rsidP="009D348A">
      <w:pPr>
        <w:spacing w:line="260" w:lineRule="atLeast"/>
        <w:contextualSpacing/>
        <w:jc w:val="both"/>
        <w:rPr>
          <w:sz w:val="20"/>
        </w:rPr>
      </w:pPr>
    </w:p>
    <w:p w14:paraId="6EE82966" w14:textId="77777777" w:rsidR="009D348A" w:rsidRDefault="009D348A" w:rsidP="009D348A">
      <w:pPr>
        <w:keepNext/>
        <w:jc w:val="center"/>
      </w:pPr>
      <w:r>
        <w:rPr>
          <w:noProof/>
          <w:lang w:eastAsia="en-GB"/>
        </w:rPr>
        <w:drawing>
          <wp:inline distT="0" distB="0" distL="0" distR="0" wp14:anchorId="26D0291A" wp14:editId="16AEF97D">
            <wp:extent cx="5223656" cy="3420000"/>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ET_FINAL.png"/>
                    <pic:cNvPicPr/>
                  </pic:nvPicPr>
                  <pic:blipFill rotWithShape="1">
                    <a:blip r:embed="rId10" cstate="print">
                      <a:extLst>
                        <a:ext uri="{28A0092B-C50C-407E-A947-70E740481C1C}">
                          <a14:useLocalDpi xmlns:a14="http://schemas.microsoft.com/office/drawing/2010/main" val="0"/>
                        </a:ext>
                      </a:extLst>
                    </a:blip>
                    <a:srcRect t="-3276"/>
                    <a:stretch/>
                  </pic:blipFill>
                  <pic:spPr bwMode="auto">
                    <a:xfrm>
                      <a:off x="0" y="0"/>
                      <a:ext cx="5223656" cy="3420000"/>
                    </a:xfrm>
                    <a:prstGeom prst="rect">
                      <a:avLst/>
                    </a:prstGeom>
                    <a:ln>
                      <a:noFill/>
                    </a:ln>
                    <a:extLst>
                      <a:ext uri="{53640926-AAD7-44D8-BBD7-CCE9431645EC}">
                        <a14:shadowObscured xmlns:a14="http://schemas.microsoft.com/office/drawing/2010/main"/>
                      </a:ext>
                    </a:extLst>
                  </pic:spPr>
                </pic:pic>
              </a:graphicData>
            </a:graphic>
          </wp:inline>
        </w:drawing>
      </w:r>
    </w:p>
    <w:p w14:paraId="0B9E006A" w14:textId="796C738F" w:rsidR="00927BEC" w:rsidRDefault="003F1DF1" w:rsidP="007B47D1">
      <w:pPr>
        <w:pStyle w:val="Caption"/>
        <w:jc w:val="center"/>
        <w:rPr>
          <w:i/>
        </w:rPr>
      </w:pPr>
      <w:r>
        <w:rPr>
          <w:i/>
        </w:rPr>
        <w:t>FIG</w:t>
      </w:r>
      <w:r w:rsidR="00D90543">
        <w:rPr>
          <w:i/>
        </w:rPr>
        <w:t>.</w:t>
      </w:r>
      <w:r w:rsidR="009D348A" w:rsidRPr="00E83E83">
        <w:rPr>
          <w:i/>
        </w:rPr>
        <w:t xml:space="preserve"> </w:t>
      </w:r>
      <w:r w:rsidR="009D348A" w:rsidRPr="00E83E83">
        <w:rPr>
          <w:i/>
        </w:rPr>
        <w:fldChar w:fldCharType="begin"/>
      </w:r>
      <w:r w:rsidR="009D348A" w:rsidRPr="00E83E83">
        <w:rPr>
          <w:i/>
        </w:rPr>
        <w:instrText xml:space="preserve"> SEQ Figure \* ARABIC </w:instrText>
      </w:r>
      <w:r w:rsidR="009D348A" w:rsidRPr="00E83E83">
        <w:rPr>
          <w:i/>
        </w:rPr>
        <w:fldChar w:fldCharType="separate"/>
      </w:r>
      <w:r w:rsidR="006553EF">
        <w:rPr>
          <w:i/>
          <w:noProof/>
        </w:rPr>
        <w:t>3</w:t>
      </w:r>
      <w:r w:rsidR="009D348A" w:rsidRPr="00E83E83">
        <w:rPr>
          <w:i/>
        </w:rPr>
        <w:fldChar w:fldCharType="end"/>
      </w:r>
      <w:r w:rsidR="006553EF">
        <w:rPr>
          <w:i/>
        </w:rPr>
        <w:t>.</w:t>
      </w:r>
      <w:r w:rsidR="009D348A" w:rsidRPr="00E83E83">
        <w:rPr>
          <w:i/>
        </w:rPr>
        <w:t xml:space="preserve"> General Design Event Tree</w:t>
      </w:r>
    </w:p>
    <w:p w14:paraId="509A3633" w14:textId="6829593F" w:rsidR="007B47D1" w:rsidRDefault="007B47D1" w:rsidP="007B47D1">
      <w:pPr>
        <w:rPr>
          <w:lang w:val="en-US"/>
        </w:rPr>
      </w:pPr>
    </w:p>
    <w:p w14:paraId="1551BCE1" w14:textId="5C903D25" w:rsidR="007B47D1" w:rsidRDefault="007B47D1" w:rsidP="007B47D1">
      <w:pPr>
        <w:rPr>
          <w:lang w:val="en-US"/>
        </w:rPr>
      </w:pPr>
    </w:p>
    <w:p w14:paraId="24868ECF" w14:textId="562D9DD6" w:rsidR="007B47D1" w:rsidRDefault="007B47D1" w:rsidP="007B47D1">
      <w:pPr>
        <w:rPr>
          <w:lang w:val="en-US"/>
        </w:rPr>
      </w:pPr>
    </w:p>
    <w:p w14:paraId="2F0CF542" w14:textId="172D044F" w:rsidR="007B47D1" w:rsidRDefault="007B47D1" w:rsidP="007B47D1">
      <w:pPr>
        <w:rPr>
          <w:lang w:val="en-US"/>
        </w:rPr>
      </w:pPr>
    </w:p>
    <w:p w14:paraId="5E58A4E7" w14:textId="5E0731B9" w:rsidR="00FD53C7" w:rsidRPr="00FD53C7" w:rsidRDefault="009D348A" w:rsidP="007B47D1">
      <w:pPr>
        <w:pStyle w:val="Heading2"/>
        <w:numPr>
          <w:ilvl w:val="1"/>
          <w:numId w:val="10"/>
        </w:numPr>
      </w:pPr>
      <w:r>
        <w:t>CASE study</w:t>
      </w:r>
    </w:p>
    <w:p w14:paraId="0FDED5CE" w14:textId="56F9D7A3" w:rsidR="001B2759" w:rsidRDefault="001B2759" w:rsidP="00E66E5B">
      <w:pPr>
        <w:pStyle w:val="BodyText"/>
        <w:contextualSpacing/>
      </w:pPr>
      <w:r>
        <w:t>For illustration purposes, t</w:t>
      </w:r>
      <w:r w:rsidR="00FD53C7">
        <w:t xml:space="preserve">he methodology </w:t>
      </w:r>
      <w:r>
        <w:t xml:space="preserve">is here </w:t>
      </w:r>
      <w:r w:rsidR="00FD53C7">
        <w:t xml:space="preserve">applied to </w:t>
      </w:r>
      <w:r w:rsidR="00995C3F">
        <w:t>five</w:t>
      </w:r>
      <w:r w:rsidR="00FD53C7">
        <w:t xml:space="preserve"> different </w:t>
      </w:r>
      <w:r w:rsidR="006C1FE2">
        <w:t>sequences, all of them connected to the same PDS</w:t>
      </w:r>
      <w:r w:rsidR="00995C3F">
        <w:t>:</w:t>
      </w:r>
      <w:r w:rsidR="006C1FE2">
        <w:t xml:space="preserve"> LOCA in the Direct Vessel Injection line</w:t>
      </w:r>
      <w:r w:rsidR="00630D28">
        <w:t xml:space="preserve"> with failure of primary depressurization</w:t>
      </w:r>
      <w:r w:rsidR="00355000">
        <w:t xml:space="preserve"> and unavailability of the Emergency Heat Removal System (EHRS)</w:t>
      </w:r>
      <w:r w:rsidR="00FD53C7">
        <w:t>.</w:t>
      </w:r>
    </w:p>
    <w:p w14:paraId="4537C810" w14:textId="29E31781" w:rsidR="00FD53C7" w:rsidRDefault="00FD53C7" w:rsidP="00977BD4">
      <w:pPr>
        <w:pStyle w:val="BodyText"/>
        <w:contextualSpacing/>
      </w:pPr>
      <w:r>
        <w:t xml:space="preserve">The first case </w:t>
      </w:r>
      <w:r w:rsidR="001B2759">
        <w:t>postulates the failure to prevent vessel lower head failure both by In-Vessel Core Cooling (IVCC) and In-Vessel Melt Rejection (IVMR), with further postulation of Induced Containment Failure (ICF) driven by high temperature.</w:t>
      </w:r>
      <w:r>
        <w:t xml:space="preserve"> </w:t>
      </w:r>
    </w:p>
    <w:p w14:paraId="1CA56DF2" w14:textId="3C6A779B" w:rsidR="00FD53C7" w:rsidRDefault="004805F9" w:rsidP="00E66E5B">
      <w:pPr>
        <w:pStyle w:val="BodyText"/>
        <w:contextualSpacing/>
      </w:pPr>
      <w:r>
        <w:t xml:space="preserve">The second case postulates the failure to prevent vessel lower head failure both by </w:t>
      </w:r>
      <w:r w:rsidR="007B47D1">
        <w:t xml:space="preserve">IVCC </w:t>
      </w:r>
      <w:r>
        <w:t xml:space="preserve">and </w:t>
      </w:r>
      <w:r w:rsidR="007B47D1">
        <w:t xml:space="preserve">IVMR, </w:t>
      </w:r>
      <w:r w:rsidR="001B2759">
        <w:t>with the Filtered Containment Venting System stuck open after a certain number of venting cycles is reached (even if the stuck-open probability is low, e.g. 5%, the probability of failure is already of 40% after 10 cycles)</w:t>
      </w:r>
      <w:r w:rsidR="00FD53C7">
        <w:t>.</w:t>
      </w:r>
      <w:r>
        <w:t xml:space="preserve"> In this case the Containment is successfully isolated.</w:t>
      </w:r>
    </w:p>
    <w:p w14:paraId="748FB8C5" w14:textId="1954A710" w:rsidR="00B220BC" w:rsidRPr="00C71DD4" w:rsidRDefault="00B220BC" w:rsidP="00E66E5B">
      <w:pPr>
        <w:pStyle w:val="BodyText"/>
        <w:spacing w:before="0" w:after="0"/>
        <w:contextualSpacing/>
      </w:pPr>
      <w:r w:rsidRPr="00C71DD4">
        <w:t xml:space="preserve">The third case postulates the success to prevent vessel lower head failure </w:t>
      </w:r>
      <w:r w:rsidR="00C71DD4" w:rsidRPr="00C71DD4">
        <w:t>via</w:t>
      </w:r>
      <w:r w:rsidRPr="00C71DD4">
        <w:t xml:space="preserve"> </w:t>
      </w:r>
      <w:r w:rsidR="00B27F29" w:rsidRPr="00C71DD4">
        <w:t>IVMR</w:t>
      </w:r>
      <w:r w:rsidR="00790502" w:rsidRPr="00C71DD4">
        <w:t xml:space="preserve"> </w:t>
      </w:r>
      <w:r w:rsidR="00C71DD4" w:rsidRPr="00C71DD4">
        <w:t>(</w:t>
      </w:r>
      <w:r w:rsidR="00790502" w:rsidRPr="00C71DD4">
        <w:t>thanks to the cavity flooding</w:t>
      </w:r>
      <w:r w:rsidR="00C71DD4" w:rsidRPr="00C71DD4">
        <w:t xml:space="preserve"> activation) together with</w:t>
      </w:r>
      <w:r w:rsidRPr="00C71DD4">
        <w:t xml:space="preserve"> the success of the Containment isolation</w:t>
      </w:r>
      <w:r w:rsidR="00C71DD4" w:rsidRPr="00C71DD4">
        <w:t>,</w:t>
      </w:r>
      <w:r w:rsidR="00A13439" w:rsidRPr="00C71DD4">
        <w:t xml:space="preserve"> no induced isolation containment failure and </w:t>
      </w:r>
      <w:r w:rsidR="00C71DD4" w:rsidRPr="00C71DD4">
        <w:t>availability of the</w:t>
      </w:r>
      <w:r w:rsidR="00A13439" w:rsidRPr="00C71DD4">
        <w:t xml:space="preserve"> Filter Containment Venting System</w:t>
      </w:r>
      <w:r w:rsidRPr="00C71DD4">
        <w:t>.</w:t>
      </w:r>
    </w:p>
    <w:p w14:paraId="4CDBE248" w14:textId="11E53A95" w:rsidR="00B220BC" w:rsidRDefault="00B220BC" w:rsidP="00E66E5B">
      <w:pPr>
        <w:pStyle w:val="BodyText"/>
        <w:spacing w:before="0" w:after="0"/>
        <w:contextualSpacing/>
      </w:pPr>
      <w:bookmarkStart w:id="0" w:name="_GoBack"/>
      <w:bookmarkEnd w:id="0"/>
      <w:r>
        <w:t xml:space="preserve">The fourth case postulates the failure to prevent vessel lower head failure by the failure of the </w:t>
      </w:r>
      <w:r w:rsidR="00B27F29">
        <w:t xml:space="preserve">IVCC </w:t>
      </w:r>
      <w:r>
        <w:t xml:space="preserve">and the </w:t>
      </w:r>
      <w:r w:rsidR="00B27F29">
        <w:t>IVMR</w:t>
      </w:r>
      <w:r>
        <w:t xml:space="preserve">, and the success of the Containment isolation with a Late Reactor Cavity Flooding. </w:t>
      </w:r>
    </w:p>
    <w:p w14:paraId="6E5CF411" w14:textId="37788B86" w:rsidR="00B220BC" w:rsidRDefault="00B220BC" w:rsidP="00B220BC">
      <w:pPr>
        <w:pStyle w:val="BodyText"/>
        <w:contextualSpacing/>
      </w:pPr>
      <w:r>
        <w:t xml:space="preserve"> The five case postulates the failure to prevent vessel lower head failure both by </w:t>
      </w:r>
      <w:r w:rsidR="00B27F29">
        <w:t xml:space="preserve">the IVCC </w:t>
      </w:r>
      <w:r>
        <w:t xml:space="preserve">and </w:t>
      </w:r>
      <w:r w:rsidR="00B27F29">
        <w:t>IVMR</w:t>
      </w:r>
      <w:r>
        <w:t xml:space="preserve"> failure, with the success of Containment Isolation. </w:t>
      </w:r>
    </w:p>
    <w:p w14:paraId="32A90435" w14:textId="6E6A598D" w:rsidR="009D348A" w:rsidRDefault="007B47D1" w:rsidP="00927BEC">
      <w:pPr>
        <w:pStyle w:val="BodyText"/>
      </w:pPr>
      <w:r>
        <w:t>T</w:t>
      </w:r>
      <w:r w:rsidR="00B27F29">
        <w:t>able 1 show</w:t>
      </w:r>
      <w:r>
        <w:t xml:space="preserve"> t</w:t>
      </w:r>
      <w:r w:rsidR="001B2759">
        <w:t>he</w:t>
      </w:r>
      <w:r w:rsidR="00FD53C7">
        <w:t xml:space="preserve"> Boolean logical </w:t>
      </w:r>
      <w:r w:rsidR="001B2759">
        <w:t>equation</w:t>
      </w:r>
      <w:r w:rsidR="00B27F29">
        <w:t>s</w:t>
      </w:r>
      <w:r w:rsidR="001B2759">
        <w:t xml:space="preserve"> </w:t>
      </w:r>
      <w:r>
        <w:t xml:space="preserve">that model the five cases </w:t>
      </w:r>
      <w:r w:rsidR="00FD53C7">
        <w:t>both for CET and for DET.</w:t>
      </w:r>
    </w:p>
    <w:p w14:paraId="1BF3343B" w14:textId="2351CB68" w:rsidR="001D0DD6" w:rsidRDefault="001D0DD6" w:rsidP="007B47D1">
      <w:pPr>
        <w:pStyle w:val="BodyText"/>
        <w:spacing w:before="240"/>
        <w:ind w:firstLine="0"/>
      </w:pPr>
      <w:r>
        <w:t>TABLE 1.</w:t>
      </w:r>
      <w:r>
        <w:tab/>
      </w:r>
      <w:r w:rsidR="003223B2">
        <w:t>DEPICTION OF CET AND DET IN BOOLEAN LOGIC</w:t>
      </w:r>
    </w:p>
    <w:p w14:paraId="13F51440" w14:textId="77777777" w:rsidR="007B47D1" w:rsidRDefault="007B47D1" w:rsidP="00B27F29">
      <w:pPr>
        <w:pStyle w:val="BodyText"/>
        <w:spacing w:before="0" w:after="0"/>
        <w:ind w:firstLine="0"/>
        <w:contextualSpacing/>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66"/>
        <w:gridCol w:w="1846"/>
        <w:gridCol w:w="3581"/>
      </w:tblGrid>
      <w:tr w:rsidR="009D348A" w:rsidRPr="000D2B3C" w14:paraId="32574322" w14:textId="77777777" w:rsidTr="00E26D99">
        <w:trPr>
          <w:jc w:val="center"/>
        </w:trPr>
        <w:tc>
          <w:tcPr>
            <w:tcW w:w="0" w:type="auto"/>
            <w:noWrap/>
            <w:vAlign w:val="center"/>
          </w:tcPr>
          <w:p w14:paraId="1C8AD51A" w14:textId="57462D89" w:rsidR="009D348A" w:rsidRPr="000D2B3C" w:rsidRDefault="009D348A" w:rsidP="002E5400">
            <w:pPr>
              <w:pStyle w:val="BodyText"/>
              <w:ind w:firstLine="0"/>
              <w:rPr>
                <w:sz w:val="18"/>
                <w:szCs w:val="18"/>
              </w:rPr>
            </w:pPr>
            <w:r w:rsidRPr="000D2B3C">
              <w:rPr>
                <w:sz w:val="18"/>
                <w:szCs w:val="18"/>
              </w:rPr>
              <w:t>Case</w:t>
            </w:r>
          </w:p>
        </w:tc>
        <w:tc>
          <w:tcPr>
            <w:tcW w:w="0" w:type="auto"/>
            <w:noWrap/>
            <w:vAlign w:val="center"/>
          </w:tcPr>
          <w:p w14:paraId="733A185B" w14:textId="77777777" w:rsidR="000D2B3C" w:rsidRPr="000D2B3C" w:rsidRDefault="009D348A" w:rsidP="00C1074B">
            <w:pPr>
              <w:pStyle w:val="BodyText"/>
              <w:spacing w:before="0" w:after="0"/>
              <w:ind w:firstLine="0"/>
              <w:contextualSpacing/>
              <w:jc w:val="center"/>
              <w:rPr>
                <w:sz w:val="18"/>
                <w:szCs w:val="18"/>
              </w:rPr>
            </w:pPr>
            <w:r w:rsidRPr="000D2B3C">
              <w:rPr>
                <w:sz w:val="18"/>
                <w:szCs w:val="18"/>
              </w:rPr>
              <w:t xml:space="preserve">Containment </w:t>
            </w:r>
          </w:p>
          <w:p w14:paraId="151E064A" w14:textId="4C083DDD" w:rsidR="009D348A" w:rsidRPr="000D2B3C" w:rsidRDefault="009D348A" w:rsidP="00C1074B">
            <w:pPr>
              <w:pStyle w:val="BodyText"/>
              <w:spacing w:before="0" w:after="0"/>
              <w:ind w:firstLine="0"/>
              <w:contextualSpacing/>
              <w:jc w:val="center"/>
              <w:rPr>
                <w:sz w:val="18"/>
                <w:szCs w:val="18"/>
              </w:rPr>
            </w:pPr>
            <w:r w:rsidRPr="000D2B3C">
              <w:rPr>
                <w:sz w:val="18"/>
                <w:szCs w:val="18"/>
              </w:rPr>
              <w:t>Event Tree</w:t>
            </w:r>
          </w:p>
        </w:tc>
        <w:tc>
          <w:tcPr>
            <w:tcW w:w="0" w:type="auto"/>
            <w:noWrap/>
            <w:vAlign w:val="center"/>
          </w:tcPr>
          <w:p w14:paraId="11DF0C89" w14:textId="77777777" w:rsidR="000D2B3C" w:rsidRPr="000D2B3C" w:rsidRDefault="009D348A" w:rsidP="00C1074B">
            <w:pPr>
              <w:pStyle w:val="BodyText"/>
              <w:spacing w:before="0" w:after="0"/>
              <w:ind w:firstLine="0"/>
              <w:contextualSpacing/>
              <w:jc w:val="center"/>
              <w:rPr>
                <w:sz w:val="18"/>
                <w:szCs w:val="18"/>
              </w:rPr>
            </w:pPr>
            <w:r w:rsidRPr="000D2B3C">
              <w:rPr>
                <w:sz w:val="18"/>
                <w:szCs w:val="18"/>
              </w:rPr>
              <w:t xml:space="preserve">Design </w:t>
            </w:r>
          </w:p>
          <w:p w14:paraId="3BE3EF11" w14:textId="501D5F54" w:rsidR="009D348A" w:rsidRPr="000D2B3C" w:rsidRDefault="009D348A" w:rsidP="00C1074B">
            <w:pPr>
              <w:pStyle w:val="BodyText"/>
              <w:spacing w:before="0" w:after="0"/>
              <w:ind w:firstLine="0"/>
              <w:contextualSpacing/>
              <w:jc w:val="center"/>
              <w:rPr>
                <w:sz w:val="18"/>
                <w:szCs w:val="18"/>
              </w:rPr>
            </w:pPr>
            <w:r w:rsidRPr="000D2B3C">
              <w:rPr>
                <w:sz w:val="18"/>
                <w:szCs w:val="18"/>
              </w:rPr>
              <w:t>Event Tree</w:t>
            </w:r>
          </w:p>
        </w:tc>
      </w:tr>
      <w:tr w:rsidR="009D348A" w:rsidRPr="000D2B3C" w14:paraId="52CC09C7" w14:textId="77777777" w:rsidTr="00E26D99">
        <w:trPr>
          <w:jc w:val="center"/>
        </w:trPr>
        <w:tc>
          <w:tcPr>
            <w:tcW w:w="0" w:type="auto"/>
            <w:noWrap/>
            <w:vAlign w:val="center"/>
          </w:tcPr>
          <w:p w14:paraId="58B72EAA" w14:textId="1F0E3BE7" w:rsidR="009D348A" w:rsidRPr="000D2B3C" w:rsidRDefault="009D348A" w:rsidP="002E5400">
            <w:pPr>
              <w:pStyle w:val="BodyText"/>
              <w:ind w:firstLine="0"/>
              <w:rPr>
                <w:sz w:val="18"/>
                <w:szCs w:val="18"/>
              </w:rPr>
            </w:pPr>
            <w:r w:rsidRPr="000D2B3C">
              <w:rPr>
                <w:rStyle w:val="TabletextChar"/>
                <w:sz w:val="18"/>
                <w:szCs w:val="18"/>
              </w:rPr>
              <w:t>1</w:t>
            </w:r>
          </w:p>
        </w:tc>
        <w:tc>
          <w:tcPr>
            <w:tcW w:w="0" w:type="auto"/>
            <w:noWrap/>
            <w:vAlign w:val="center"/>
          </w:tcPr>
          <w:p w14:paraId="06861C42" w14:textId="4537C297" w:rsidR="009D348A" w:rsidRPr="00BD313B" w:rsidRDefault="00C71DD4" w:rsidP="00BD313B">
            <w:pPr>
              <w:pStyle w:val="BodyText"/>
              <w:spacing w:before="0" w:after="0"/>
              <w:ind w:firstLine="0"/>
              <w:rPr>
                <w:rFonts w:ascii="Cambria Math" w:hAnsi="Cambria Math"/>
                <w:sz w:val="18"/>
                <w:szCs w:val="18"/>
              </w:rPr>
            </w:pPr>
            <m:oMathPara>
              <m:oMath>
                <m:acc>
                  <m:accPr>
                    <m:chr m:val="̅"/>
                    <m:ctrlPr>
                      <w:rPr>
                        <w:rFonts w:ascii="Cambria Math" w:hAnsi="Cambria Math"/>
                        <w:sz w:val="18"/>
                        <w:szCs w:val="18"/>
                      </w:rPr>
                    </m:ctrlPr>
                  </m:accPr>
                  <m:e>
                    <m:r>
                      <m:rPr>
                        <m:sty m:val="p"/>
                      </m:rPr>
                      <w:rPr>
                        <w:rFonts w:ascii="Cambria Math" w:hAnsi="Cambria Math"/>
                        <w:sz w:val="18"/>
                        <w:szCs w:val="18"/>
                      </w:rPr>
                      <m:t>IVCC</m:t>
                    </m:r>
                  </m:e>
                </m:acc>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IVMR</m:t>
                    </m:r>
                  </m:e>
                </m:acc>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ECF</m:t>
                    </m:r>
                  </m:e>
                </m:acc>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IC</m:t>
                    </m:r>
                  </m:e>
                </m:acc>
              </m:oMath>
            </m:oMathPara>
          </w:p>
        </w:tc>
        <w:tc>
          <w:tcPr>
            <w:tcW w:w="0" w:type="auto"/>
            <w:noWrap/>
            <w:vAlign w:val="center"/>
          </w:tcPr>
          <w:p w14:paraId="31296A55" w14:textId="786E7C29" w:rsidR="000D2B3C" w:rsidRPr="00BD313B" w:rsidRDefault="000D2B3C" w:rsidP="00BD313B">
            <w:pPr>
              <w:pStyle w:val="BodyText"/>
              <w:spacing w:before="0" w:after="0"/>
              <w:ind w:firstLine="0"/>
              <w:rPr>
                <w:rFonts w:ascii="Cambria Math" w:hAnsi="Cambria Math"/>
                <w:sz w:val="18"/>
                <w:szCs w:val="18"/>
              </w:rPr>
            </w:pPr>
            <m:oMathPara>
              <m:oMathParaPr>
                <m:jc m:val="center"/>
              </m:oMathParaPr>
              <m:oMath>
                <m:r>
                  <m:rPr>
                    <m:sty m:val="p"/>
                  </m:rPr>
                  <w:rPr>
                    <w:rFonts w:ascii="Cambria Math" w:hAnsi="Cambria Math"/>
                    <w:sz w:val="18"/>
                    <w:szCs w:val="18"/>
                  </w:rPr>
                  <m:t>IVCC:P</m:t>
                </m:r>
                <m:d>
                  <m:dPr>
                    <m:ctrlPr>
                      <w:rPr>
                        <w:rFonts w:ascii="Cambria Math" w:hAnsi="Cambria Math"/>
                        <w:sz w:val="18"/>
                        <w:szCs w:val="18"/>
                      </w:rPr>
                    </m:ctrlPr>
                  </m:dPr>
                  <m:e>
                    <m:r>
                      <m:rPr>
                        <m:sty m:val="p"/>
                      </m:rPr>
                      <w:rPr>
                        <w:rFonts w:ascii="Cambria Math" w:hAnsi="Cambria Math"/>
                        <w:sz w:val="18"/>
                        <w:szCs w:val="18"/>
                      </w:rPr>
                      <m:t>RCS</m:t>
                    </m:r>
                  </m:e>
                </m:d>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PRIM.DEP</m:t>
                    </m:r>
                  </m:e>
                </m:acc>
                <m:r>
                  <m:rPr>
                    <m:sty m:val="p"/>
                  </m:rPr>
                  <w:rPr>
                    <w:rFonts w:ascii="Cambria Math" w:hAnsi="Cambria Math"/>
                    <w:sz w:val="18"/>
                    <w:szCs w:val="18"/>
                  </w:rPr>
                  <m:t xml:space="preserve"> ∙</m:t>
                </m:r>
                <m:acc>
                  <m:accPr>
                    <m:chr m:val="̅"/>
                    <m:ctrlPr>
                      <w:rPr>
                        <w:rFonts w:ascii="Cambria Math" w:hAnsi="Cambria Math"/>
                        <w:sz w:val="18"/>
                        <w:szCs w:val="18"/>
                      </w:rPr>
                    </m:ctrlPr>
                  </m:accPr>
                  <m:e>
                    <m:r>
                      <m:rPr>
                        <m:sty m:val="p"/>
                      </m:rPr>
                      <w:rPr>
                        <w:rFonts w:ascii="Cambria Math" w:hAnsi="Cambria Math"/>
                        <w:sz w:val="18"/>
                        <w:szCs w:val="18"/>
                      </w:rPr>
                      <m:t>SUCCESS</m:t>
                    </m:r>
                  </m:e>
                </m:acc>
              </m:oMath>
            </m:oMathPara>
          </w:p>
          <w:p w14:paraId="1CE11A25" w14:textId="39D30BC3" w:rsidR="000D2B3C" w:rsidRPr="00BD313B" w:rsidRDefault="000D2B3C" w:rsidP="00BD313B">
            <w:pPr>
              <w:pStyle w:val="BodyText"/>
              <w:spacing w:before="0" w:after="0"/>
              <w:ind w:firstLine="0"/>
              <w:rPr>
                <w:rFonts w:ascii="Cambria Math" w:hAnsi="Cambria Math"/>
                <w:sz w:val="18"/>
                <w:szCs w:val="18"/>
              </w:rPr>
            </w:pPr>
            <m:oMathPara>
              <m:oMathParaPr>
                <m:jc m:val="center"/>
              </m:oMathParaPr>
              <m:oMath>
                <m:r>
                  <m:rPr>
                    <m:sty m:val="p"/>
                  </m:rPr>
                  <w:rPr>
                    <w:rFonts w:ascii="Cambria Math" w:hAnsi="Cambria Math"/>
                    <w:sz w:val="18"/>
                    <w:szCs w:val="18"/>
                  </w:rPr>
                  <m:t>IVMR:FC∙</m:t>
                </m:r>
                <m:acc>
                  <m:accPr>
                    <m:chr m:val="̅"/>
                    <m:ctrlPr>
                      <w:rPr>
                        <w:rFonts w:ascii="Cambria Math" w:hAnsi="Cambria Math"/>
                        <w:sz w:val="18"/>
                        <w:szCs w:val="18"/>
                      </w:rPr>
                    </m:ctrlPr>
                  </m:accPr>
                  <m:e>
                    <m:r>
                      <m:rPr>
                        <m:sty m:val="p"/>
                      </m:rPr>
                      <w:rPr>
                        <w:rFonts w:ascii="Cambria Math" w:hAnsi="Cambria Math"/>
                        <w:sz w:val="18"/>
                        <w:szCs w:val="18"/>
                      </w:rPr>
                      <m:t>SUCCESS</m:t>
                    </m:r>
                  </m:e>
                </m:acc>
              </m:oMath>
            </m:oMathPara>
          </w:p>
          <w:p w14:paraId="412E3183" w14:textId="77777777" w:rsidR="009D348A" w:rsidRPr="00BD313B" w:rsidRDefault="000D2B3C" w:rsidP="00BD313B">
            <w:pPr>
              <w:pStyle w:val="BodyText"/>
              <w:spacing w:before="0" w:after="0"/>
              <w:ind w:firstLine="0"/>
              <w:rPr>
                <w:rFonts w:ascii="Cambria Math" w:hAnsi="Cambria Math"/>
                <w:sz w:val="18"/>
                <w:szCs w:val="18"/>
              </w:rPr>
            </w:pPr>
            <m:oMathPara>
              <m:oMathParaPr>
                <m:jc m:val="center"/>
              </m:oMathParaPr>
              <m:oMath>
                <m:r>
                  <m:rPr>
                    <m:sty m:val="p"/>
                  </m:rPr>
                  <w:rPr>
                    <w:rFonts w:ascii="Cambria Math" w:hAnsi="Cambria Math"/>
                    <w:sz w:val="18"/>
                    <w:szCs w:val="18"/>
                  </w:rPr>
                  <m:t>ECF:FC/2∙</m:t>
                </m:r>
                <m:acc>
                  <m:accPr>
                    <m:chr m:val="̅"/>
                    <m:ctrlPr>
                      <w:rPr>
                        <w:rFonts w:ascii="Cambria Math" w:hAnsi="Cambria Math"/>
                        <w:sz w:val="18"/>
                        <w:szCs w:val="18"/>
                      </w:rPr>
                    </m:ctrlPr>
                  </m:accPr>
                  <m:e>
                    <m:r>
                      <m:rPr>
                        <m:sty m:val="p"/>
                      </m:rPr>
                      <w:rPr>
                        <w:rFonts w:ascii="Cambria Math" w:hAnsi="Cambria Math"/>
                        <w:sz w:val="18"/>
                        <w:szCs w:val="18"/>
                      </w:rPr>
                      <m:t xml:space="preserve">ECF </m:t>
                    </m:r>
                  </m:e>
                </m:acc>
              </m:oMath>
            </m:oMathPara>
          </w:p>
          <w:p w14:paraId="4527C916" w14:textId="641A4776" w:rsidR="001136A2" w:rsidRPr="00BD313B" w:rsidRDefault="001136A2" w:rsidP="00BD313B">
            <w:pPr>
              <w:pStyle w:val="BodyText"/>
              <w:spacing w:before="0" w:after="0"/>
              <w:ind w:firstLine="0"/>
              <w:rPr>
                <w:rFonts w:ascii="Cambria Math" w:hAnsi="Cambria Math"/>
                <w:sz w:val="18"/>
                <w:szCs w:val="18"/>
              </w:rPr>
            </w:pPr>
            <m:oMathPara>
              <m:oMath>
                <m:r>
                  <m:rPr>
                    <m:sty m:val="p"/>
                  </m:rPr>
                  <w:rPr>
                    <w:rFonts w:ascii="Cambria Math" w:hAnsi="Cambria Math"/>
                    <w:sz w:val="18"/>
                    <w:szCs w:val="18"/>
                  </w:rPr>
                  <m:t xml:space="preserve">IF:IIC∙ICIF </m:t>
                </m:r>
              </m:oMath>
            </m:oMathPara>
          </w:p>
          <w:p w14:paraId="61F6C40D" w14:textId="18DF7131" w:rsidR="001136A2" w:rsidRPr="00BD313B" w:rsidRDefault="001136A2" w:rsidP="00BD313B">
            <w:pPr>
              <w:pStyle w:val="BodyText"/>
              <w:spacing w:before="0" w:after="0"/>
              <w:ind w:firstLine="0"/>
              <w:contextualSpacing/>
              <w:rPr>
                <w:rFonts w:ascii="Cambria Math" w:hAnsi="Cambria Math"/>
                <w:sz w:val="18"/>
                <w:szCs w:val="18"/>
              </w:rPr>
            </w:pPr>
            <m:oMathPara>
              <m:oMath>
                <m:r>
                  <m:rPr>
                    <m:sty m:val="p"/>
                  </m:rPr>
                  <w:rPr>
                    <w:rFonts w:ascii="Cambria Math" w:hAnsi="Cambria Math"/>
                    <w:sz w:val="18"/>
                    <w:szCs w:val="18"/>
                  </w:rPr>
                  <m:t>CCF:</m:t>
                </m:r>
                <m:acc>
                  <m:accPr>
                    <m:chr m:val="̅"/>
                    <m:ctrlPr>
                      <w:rPr>
                        <w:rFonts w:ascii="Cambria Math" w:hAnsi="Cambria Math"/>
                        <w:sz w:val="18"/>
                        <w:szCs w:val="18"/>
                      </w:rPr>
                    </m:ctrlPr>
                  </m:accPr>
                  <m:e>
                    <m:r>
                      <m:rPr>
                        <m:sty m:val="p"/>
                      </m:rPr>
                      <w:rPr>
                        <w:rFonts w:ascii="Cambria Math" w:hAnsi="Cambria Math"/>
                        <w:sz w:val="18"/>
                        <w:szCs w:val="18"/>
                      </w:rPr>
                      <m:t>IVCC</m:t>
                    </m:r>
                  </m:e>
                </m:acc>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IVMR</m:t>
                    </m:r>
                  </m:e>
                </m:acc>
                <m:r>
                  <m:rPr>
                    <m:sty m:val="p"/>
                  </m:rPr>
                  <w:rPr>
                    <w:rFonts w:ascii="Cambria Math" w:hAnsi="Cambria Math"/>
                    <w:sz w:val="18"/>
                    <w:szCs w:val="18"/>
                  </w:rPr>
                  <m:t xml:space="preserve"> ∙</m:t>
                </m:r>
                <m:acc>
                  <m:accPr>
                    <m:chr m:val="̅"/>
                    <m:ctrlPr>
                      <w:rPr>
                        <w:rFonts w:ascii="Cambria Math" w:hAnsi="Cambria Math"/>
                        <w:sz w:val="18"/>
                        <w:szCs w:val="18"/>
                      </w:rPr>
                    </m:ctrlPr>
                  </m:accPr>
                  <m:e>
                    <m:r>
                      <m:rPr>
                        <m:sty m:val="p"/>
                      </m:rPr>
                      <w:rPr>
                        <w:rFonts w:ascii="Cambria Math" w:hAnsi="Cambria Math"/>
                        <w:sz w:val="18"/>
                        <w:szCs w:val="18"/>
                      </w:rPr>
                      <m:t>ECF</m:t>
                    </m:r>
                  </m:e>
                </m:acc>
                <m:r>
                  <m:rPr>
                    <m:sty m:val="p"/>
                  </m:rPr>
                  <w:rPr>
                    <w:rFonts w:ascii="Cambria Math" w:hAnsi="Cambria Math"/>
                    <w:sz w:val="18"/>
                    <w:szCs w:val="18"/>
                  </w:rPr>
                  <m:t xml:space="preserve"> ∙</m:t>
                </m:r>
                <m:acc>
                  <m:accPr>
                    <m:chr m:val="̅"/>
                    <m:ctrlPr>
                      <w:rPr>
                        <w:rFonts w:ascii="Cambria Math" w:hAnsi="Cambria Math"/>
                        <w:sz w:val="18"/>
                        <w:szCs w:val="18"/>
                      </w:rPr>
                    </m:ctrlPr>
                  </m:accPr>
                  <m:e>
                    <m:r>
                      <m:rPr>
                        <m:sty m:val="p"/>
                      </m:rPr>
                      <w:rPr>
                        <w:rFonts w:ascii="Cambria Math" w:hAnsi="Cambria Math"/>
                        <w:sz w:val="18"/>
                        <w:szCs w:val="18"/>
                      </w:rPr>
                      <m:t>NCF</m:t>
                    </m:r>
                  </m:e>
                </m:acc>
              </m:oMath>
            </m:oMathPara>
          </w:p>
        </w:tc>
      </w:tr>
      <w:tr w:rsidR="009D348A" w:rsidRPr="000D2B3C" w14:paraId="56622EA5" w14:textId="77777777" w:rsidTr="00E26D99">
        <w:trPr>
          <w:jc w:val="center"/>
        </w:trPr>
        <w:tc>
          <w:tcPr>
            <w:tcW w:w="0" w:type="auto"/>
            <w:noWrap/>
            <w:vAlign w:val="center"/>
          </w:tcPr>
          <w:p w14:paraId="789FF613" w14:textId="57C149A6" w:rsidR="009D348A" w:rsidRPr="000D2B3C" w:rsidRDefault="009D348A" w:rsidP="002E5400">
            <w:pPr>
              <w:pStyle w:val="BodyText"/>
              <w:ind w:firstLine="0"/>
              <w:rPr>
                <w:sz w:val="18"/>
                <w:szCs w:val="18"/>
              </w:rPr>
            </w:pPr>
            <w:r w:rsidRPr="000D2B3C">
              <w:rPr>
                <w:sz w:val="18"/>
                <w:szCs w:val="18"/>
              </w:rPr>
              <w:t>2</w:t>
            </w:r>
          </w:p>
        </w:tc>
        <w:tc>
          <w:tcPr>
            <w:tcW w:w="0" w:type="auto"/>
            <w:noWrap/>
            <w:vAlign w:val="center"/>
          </w:tcPr>
          <w:p w14:paraId="2BB02E7D" w14:textId="475A172E" w:rsidR="009D348A" w:rsidRPr="00BD313B" w:rsidRDefault="00C71DD4" w:rsidP="00BD313B">
            <w:pPr>
              <w:pStyle w:val="BodyText"/>
              <w:spacing w:before="0" w:after="0"/>
              <w:ind w:firstLine="0"/>
              <w:rPr>
                <w:rFonts w:ascii="Cambria Math" w:hAnsi="Cambria Math"/>
                <w:sz w:val="18"/>
                <w:szCs w:val="18"/>
              </w:rPr>
            </w:pPr>
            <m:oMathPara>
              <m:oMath>
                <m:acc>
                  <m:accPr>
                    <m:chr m:val="̅"/>
                    <m:ctrlPr>
                      <w:rPr>
                        <w:rFonts w:ascii="Cambria Math" w:hAnsi="Cambria Math"/>
                        <w:sz w:val="18"/>
                        <w:szCs w:val="18"/>
                      </w:rPr>
                    </m:ctrlPr>
                  </m:accPr>
                  <m:e>
                    <m:r>
                      <m:rPr>
                        <m:sty m:val="p"/>
                      </m:rPr>
                      <w:rPr>
                        <w:rFonts w:ascii="Cambria Math" w:hAnsi="Cambria Math"/>
                        <w:sz w:val="18"/>
                        <w:szCs w:val="18"/>
                      </w:rPr>
                      <m:t>IVCC</m:t>
                    </m:r>
                  </m:e>
                </m:acc>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IVMR</m:t>
                    </m:r>
                  </m:e>
                </m:acc>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ECF</m:t>
                    </m:r>
                  </m:e>
                </m:acc>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IC</m:t>
                    </m:r>
                  </m:e>
                </m:acc>
              </m:oMath>
            </m:oMathPara>
          </w:p>
        </w:tc>
        <w:tc>
          <w:tcPr>
            <w:tcW w:w="0" w:type="auto"/>
            <w:noWrap/>
            <w:vAlign w:val="center"/>
          </w:tcPr>
          <w:p w14:paraId="694EA57D" w14:textId="45225E33" w:rsidR="000D2B3C" w:rsidRPr="00BD313B" w:rsidRDefault="000D2B3C" w:rsidP="00BD313B">
            <w:pPr>
              <w:pStyle w:val="BodyText"/>
              <w:spacing w:before="0" w:after="0"/>
              <w:ind w:firstLine="0"/>
              <w:contextualSpacing/>
              <w:rPr>
                <w:rFonts w:ascii="Cambria Math" w:hAnsi="Cambria Math"/>
                <w:sz w:val="18"/>
                <w:szCs w:val="18"/>
              </w:rPr>
            </w:pPr>
            <m:oMathPara>
              <m:oMathParaPr>
                <m:jc m:val="center"/>
              </m:oMathParaPr>
              <m:oMath>
                <m:r>
                  <m:rPr>
                    <m:sty m:val="p"/>
                  </m:rPr>
                  <w:rPr>
                    <w:rFonts w:ascii="Cambria Math" w:hAnsi="Cambria Math"/>
                    <w:sz w:val="18"/>
                    <w:szCs w:val="18"/>
                  </w:rPr>
                  <m:t>IVCC:P</m:t>
                </m:r>
                <m:d>
                  <m:dPr>
                    <m:ctrlPr>
                      <w:rPr>
                        <w:rFonts w:ascii="Cambria Math" w:hAnsi="Cambria Math"/>
                        <w:sz w:val="18"/>
                        <w:szCs w:val="18"/>
                      </w:rPr>
                    </m:ctrlPr>
                  </m:dPr>
                  <m:e>
                    <m:r>
                      <m:rPr>
                        <m:sty m:val="p"/>
                      </m:rPr>
                      <w:rPr>
                        <w:rFonts w:ascii="Cambria Math" w:hAnsi="Cambria Math"/>
                        <w:sz w:val="18"/>
                        <w:szCs w:val="18"/>
                      </w:rPr>
                      <m:t>RCS</m:t>
                    </m:r>
                  </m:e>
                </m:d>
                <m:r>
                  <m:rPr>
                    <m:sty m:val="p"/>
                  </m:rPr>
                  <w:rPr>
                    <w:rFonts w:ascii="Cambria Math" w:hAnsi="Cambria Math"/>
                    <w:sz w:val="18"/>
                    <w:szCs w:val="18"/>
                  </w:rPr>
                  <m:t>∙PRIM. DEP ∙</m:t>
                </m:r>
                <m:acc>
                  <m:accPr>
                    <m:chr m:val="̅"/>
                    <m:ctrlPr>
                      <w:rPr>
                        <w:rFonts w:ascii="Cambria Math" w:hAnsi="Cambria Math"/>
                        <w:sz w:val="18"/>
                        <w:szCs w:val="18"/>
                      </w:rPr>
                    </m:ctrlPr>
                  </m:accPr>
                  <m:e>
                    <m:r>
                      <m:rPr>
                        <m:sty m:val="p"/>
                      </m:rPr>
                      <w:rPr>
                        <w:rFonts w:ascii="Cambria Math" w:hAnsi="Cambria Math"/>
                        <w:sz w:val="18"/>
                        <w:szCs w:val="18"/>
                      </w:rPr>
                      <m:t>E–IVI</m:t>
                    </m:r>
                  </m:e>
                </m:acc>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SUCCESS</m:t>
                    </m:r>
                  </m:e>
                </m:acc>
              </m:oMath>
            </m:oMathPara>
          </w:p>
          <w:p w14:paraId="3948CC0C" w14:textId="5E16AABD" w:rsidR="003A15E8" w:rsidRPr="00BD313B" w:rsidRDefault="003A15E8" w:rsidP="00BD313B">
            <w:pPr>
              <w:pStyle w:val="BodyText"/>
              <w:spacing w:before="0" w:after="0"/>
              <w:ind w:firstLine="0"/>
              <w:contextualSpacing/>
              <w:rPr>
                <w:rFonts w:ascii="Cambria Math" w:hAnsi="Cambria Math"/>
                <w:sz w:val="18"/>
                <w:szCs w:val="18"/>
              </w:rPr>
            </w:pPr>
            <m:oMathPara>
              <m:oMathParaPr>
                <m:jc m:val="center"/>
              </m:oMathParaPr>
              <m:oMath>
                <m:r>
                  <m:rPr>
                    <m:sty m:val="p"/>
                  </m:rPr>
                  <w:rPr>
                    <w:rFonts w:ascii="Cambria Math" w:hAnsi="Cambria Math"/>
                    <w:sz w:val="18"/>
                    <w:szCs w:val="18"/>
                  </w:rPr>
                  <m:t>IVMR:FC∙</m:t>
                </m:r>
                <m:acc>
                  <m:accPr>
                    <m:chr m:val="̅"/>
                    <m:ctrlPr>
                      <w:rPr>
                        <w:rFonts w:ascii="Cambria Math" w:hAnsi="Cambria Math"/>
                        <w:sz w:val="18"/>
                        <w:szCs w:val="18"/>
                      </w:rPr>
                    </m:ctrlPr>
                  </m:accPr>
                  <m:e>
                    <m:r>
                      <m:rPr>
                        <m:sty m:val="p"/>
                      </m:rPr>
                      <w:rPr>
                        <w:rFonts w:ascii="Cambria Math" w:hAnsi="Cambria Math"/>
                        <w:sz w:val="18"/>
                        <w:szCs w:val="18"/>
                      </w:rPr>
                      <m:t>SUCCESS</m:t>
                    </m:r>
                  </m:e>
                </m:acc>
              </m:oMath>
            </m:oMathPara>
          </w:p>
          <w:p w14:paraId="4CF1F69B" w14:textId="7E957117" w:rsidR="003A15E8" w:rsidRPr="00BD313B" w:rsidRDefault="003A15E8" w:rsidP="00BD313B">
            <w:pPr>
              <w:pStyle w:val="BodyText"/>
              <w:spacing w:before="0" w:after="0"/>
              <w:ind w:firstLine="0"/>
              <w:contextualSpacing/>
              <w:rPr>
                <w:rFonts w:ascii="Cambria Math" w:hAnsi="Cambria Math"/>
                <w:sz w:val="18"/>
                <w:szCs w:val="18"/>
              </w:rPr>
            </w:pPr>
            <m:oMathPara>
              <m:oMathParaPr>
                <m:jc m:val="center"/>
              </m:oMathParaPr>
              <m:oMath>
                <m:r>
                  <m:rPr>
                    <m:sty m:val="p"/>
                  </m:rPr>
                  <w:rPr>
                    <w:rFonts w:ascii="Cambria Math" w:hAnsi="Cambria Math"/>
                    <w:sz w:val="18"/>
                    <w:szCs w:val="18"/>
                  </w:rPr>
                  <m:t>ECF:</m:t>
                </m:r>
                <m:acc>
                  <m:accPr>
                    <m:chr m:val="̅"/>
                    <m:ctrlPr>
                      <w:rPr>
                        <w:rFonts w:ascii="Cambria Math" w:hAnsi="Cambria Math"/>
                        <w:sz w:val="18"/>
                        <w:szCs w:val="18"/>
                      </w:rPr>
                    </m:ctrlPr>
                  </m:accPr>
                  <m:e>
                    <m:r>
                      <m:rPr>
                        <m:sty m:val="p"/>
                      </m:rPr>
                      <w:rPr>
                        <w:rFonts w:ascii="Cambria Math" w:hAnsi="Cambria Math"/>
                        <w:sz w:val="18"/>
                        <w:szCs w:val="18"/>
                      </w:rPr>
                      <m:t>FC/2</m:t>
                    </m:r>
                  </m:e>
                </m:acc>
                <m:r>
                  <m:rPr>
                    <m:sty m:val="p"/>
                  </m:rPr>
                  <w:rPr>
                    <w:rFonts w:ascii="Cambria Math" w:hAnsi="Cambria Math"/>
                    <w:sz w:val="18"/>
                    <w:szCs w:val="18"/>
                  </w:rPr>
                  <m:t>∙P</m:t>
                </m:r>
                <m:d>
                  <m:dPr>
                    <m:ctrlPr>
                      <w:rPr>
                        <w:rFonts w:ascii="Cambria Math" w:hAnsi="Cambria Math"/>
                        <w:sz w:val="18"/>
                        <w:szCs w:val="18"/>
                      </w:rPr>
                    </m:ctrlPr>
                  </m:dPr>
                  <m:e>
                    <m:r>
                      <m:rPr>
                        <m:sty m:val="p"/>
                      </m:rPr>
                      <w:rPr>
                        <w:rFonts w:ascii="Cambria Math" w:hAnsi="Cambria Math"/>
                        <w:sz w:val="18"/>
                        <w:szCs w:val="18"/>
                      </w:rPr>
                      <m:t>RCS</m:t>
                    </m:r>
                  </m:e>
                </m:d>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 xml:space="preserve">ECF </m:t>
                    </m:r>
                  </m:e>
                </m:acc>
              </m:oMath>
            </m:oMathPara>
          </w:p>
          <w:p w14:paraId="092FAD4A" w14:textId="2BB1784C" w:rsidR="000D2B3C" w:rsidRPr="00BD313B" w:rsidRDefault="000D2B3C" w:rsidP="00BD313B">
            <w:pPr>
              <w:pStyle w:val="BodyText"/>
              <w:spacing w:before="0" w:after="0"/>
              <w:ind w:firstLine="0"/>
              <w:contextualSpacing/>
              <w:rPr>
                <w:rFonts w:ascii="Cambria Math" w:hAnsi="Cambria Math"/>
                <w:sz w:val="18"/>
                <w:szCs w:val="18"/>
              </w:rPr>
            </w:pPr>
            <m:oMathPara>
              <m:oMathParaPr>
                <m:jc m:val="center"/>
              </m:oMathParaPr>
              <m:oMath>
                <m:r>
                  <m:rPr>
                    <m:sty m:val="p"/>
                  </m:rPr>
                  <w:rPr>
                    <w:rFonts w:ascii="Cambria Math" w:hAnsi="Cambria Math"/>
                    <w:sz w:val="18"/>
                    <w:szCs w:val="18"/>
                  </w:rPr>
                  <m:t>IF:IIC ∙</m:t>
                </m:r>
                <m:acc>
                  <m:accPr>
                    <m:chr m:val="̅"/>
                    <m:ctrlPr>
                      <w:rPr>
                        <w:rFonts w:ascii="Cambria Math" w:hAnsi="Cambria Math"/>
                        <w:sz w:val="18"/>
                        <w:szCs w:val="18"/>
                      </w:rPr>
                    </m:ctrlPr>
                  </m:accPr>
                  <m:e>
                    <m:r>
                      <m:rPr>
                        <m:sty m:val="p"/>
                      </m:rPr>
                      <w:rPr>
                        <w:rFonts w:ascii="Cambria Math" w:hAnsi="Cambria Math"/>
                        <w:sz w:val="18"/>
                        <w:szCs w:val="18"/>
                      </w:rPr>
                      <m:t>ICIF</m:t>
                    </m:r>
                  </m:e>
                </m:acc>
                <m:r>
                  <m:rPr>
                    <m:sty m:val="p"/>
                  </m:rPr>
                  <w:rPr>
                    <w:rFonts w:ascii="Cambria Math" w:hAnsi="Cambria Math"/>
                    <w:sz w:val="18"/>
                    <w:szCs w:val="18"/>
                  </w:rPr>
                  <m:t>∙FCVS_SO</m:t>
                </m:r>
              </m:oMath>
            </m:oMathPara>
          </w:p>
          <w:p w14:paraId="20F4475B" w14:textId="57700D11" w:rsidR="009D348A" w:rsidRPr="00BD313B" w:rsidRDefault="003819CB" w:rsidP="00BD313B">
            <w:pPr>
              <w:pStyle w:val="BodyText"/>
              <w:spacing w:before="0" w:after="0"/>
              <w:ind w:firstLine="0"/>
              <w:contextualSpacing/>
              <w:rPr>
                <w:rFonts w:ascii="Cambria Math" w:hAnsi="Cambria Math"/>
                <w:sz w:val="18"/>
                <w:szCs w:val="18"/>
              </w:rPr>
            </w:pPr>
            <m:oMathPara>
              <m:oMath>
                <m:r>
                  <m:rPr>
                    <m:sty m:val="p"/>
                  </m:rPr>
                  <w:rPr>
                    <w:rFonts w:ascii="Cambria Math" w:hAnsi="Cambria Math"/>
                    <w:sz w:val="18"/>
                    <w:szCs w:val="18"/>
                  </w:rPr>
                  <m:t>CCF:</m:t>
                </m:r>
                <m:acc>
                  <m:accPr>
                    <m:chr m:val="̅"/>
                    <m:ctrlPr>
                      <w:rPr>
                        <w:rFonts w:ascii="Cambria Math" w:hAnsi="Cambria Math"/>
                        <w:sz w:val="18"/>
                        <w:szCs w:val="18"/>
                      </w:rPr>
                    </m:ctrlPr>
                  </m:accPr>
                  <m:e>
                    <m:r>
                      <m:rPr>
                        <m:sty m:val="p"/>
                      </m:rPr>
                      <w:rPr>
                        <w:rFonts w:ascii="Cambria Math" w:hAnsi="Cambria Math"/>
                        <w:sz w:val="18"/>
                        <w:szCs w:val="18"/>
                      </w:rPr>
                      <m:t>IVCC</m:t>
                    </m:r>
                  </m:e>
                </m:acc>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IVMR</m:t>
                    </m:r>
                  </m:e>
                </m:acc>
                <m:r>
                  <m:rPr>
                    <m:sty m:val="p"/>
                  </m:rPr>
                  <w:rPr>
                    <w:rFonts w:ascii="Cambria Math" w:hAnsi="Cambria Math"/>
                    <w:sz w:val="18"/>
                    <w:szCs w:val="18"/>
                  </w:rPr>
                  <m:t xml:space="preserve"> ∙</m:t>
                </m:r>
                <m:acc>
                  <m:accPr>
                    <m:chr m:val="̅"/>
                    <m:ctrlPr>
                      <w:rPr>
                        <w:rFonts w:ascii="Cambria Math" w:hAnsi="Cambria Math"/>
                        <w:sz w:val="18"/>
                        <w:szCs w:val="18"/>
                      </w:rPr>
                    </m:ctrlPr>
                  </m:accPr>
                  <m:e>
                    <m:r>
                      <m:rPr>
                        <m:sty m:val="p"/>
                      </m:rPr>
                      <w:rPr>
                        <w:rFonts w:ascii="Cambria Math" w:hAnsi="Cambria Math"/>
                        <w:sz w:val="18"/>
                        <w:szCs w:val="18"/>
                      </w:rPr>
                      <m:t>ECF</m:t>
                    </m:r>
                  </m:e>
                </m:acc>
                <m:r>
                  <m:rPr>
                    <m:sty m:val="p"/>
                  </m:rPr>
                  <w:rPr>
                    <w:rFonts w:ascii="Cambria Math" w:hAnsi="Cambria Math"/>
                    <w:sz w:val="18"/>
                    <w:szCs w:val="18"/>
                  </w:rPr>
                  <m:t xml:space="preserve"> ∙</m:t>
                </m:r>
                <m:acc>
                  <m:accPr>
                    <m:chr m:val="̅"/>
                    <m:ctrlPr>
                      <w:rPr>
                        <w:rFonts w:ascii="Cambria Math" w:hAnsi="Cambria Math"/>
                        <w:sz w:val="18"/>
                        <w:szCs w:val="18"/>
                      </w:rPr>
                    </m:ctrlPr>
                  </m:accPr>
                  <m:e>
                    <m:r>
                      <m:rPr>
                        <m:sty m:val="p"/>
                      </m:rPr>
                      <w:rPr>
                        <w:rFonts w:ascii="Cambria Math" w:hAnsi="Cambria Math"/>
                        <w:sz w:val="18"/>
                        <w:szCs w:val="18"/>
                      </w:rPr>
                      <m:t>NCF</m:t>
                    </m:r>
                  </m:e>
                </m:acc>
              </m:oMath>
            </m:oMathPara>
          </w:p>
        </w:tc>
      </w:tr>
      <w:tr w:rsidR="009D348A" w:rsidRPr="000D2B3C" w14:paraId="1F617B35" w14:textId="77777777" w:rsidTr="00E26D99">
        <w:trPr>
          <w:jc w:val="center"/>
        </w:trPr>
        <w:tc>
          <w:tcPr>
            <w:tcW w:w="0" w:type="auto"/>
            <w:noWrap/>
            <w:vAlign w:val="center"/>
          </w:tcPr>
          <w:p w14:paraId="0A05E2C7" w14:textId="049F0FB5" w:rsidR="009D348A" w:rsidRPr="000D2B3C" w:rsidRDefault="009D348A" w:rsidP="002E5400">
            <w:pPr>
              <w:pStyle w:val="BodyText"/>
              <w:ind w:firstLine="0"/>
              <w:rPr>
                <w:sz w:val="18"/>
                <w:szCs w:val="18"/>
              </w:rPr>
            </w:pPr>
            <w:r w:rsidRPr="000D2B3C">
              <w:rPr>
                <w:sz w:val="18"/>
                <w:szCs w:val="18"/>
              </w:rPr>
              <w:t>3</w:t>
            </w:r>
          </w:p>
        </w:tc>
        <w:tc>
          <w:tcPr>
            <w:tcW w:w="0" w:type="auto"/>
            <w:noWrap/>
            <w:vAlign w:val="center"/>
          </w:tcPr>
          <w:p w14:paraId="1ED99A87" w14:textId="7EA2B16F" w:rsidR="009D348A" w:rsidRPr="00BD313B" w:rsidRDefault="00C71DD4" w:rsidP="00BD313B">
            <w:pPr>
              <w:pStyle w:val="BodyText"/>
              <w:spacing w:before="0" w:after="0"/>
              <w:ind w:firstLine="0"/>
              <w:rPr>
                <w:rFonts w:ascii="Cambria Math" w:hAnsi="Cambria Math"/>
                <w:sz w:val="18"/>
                <w:szCs w:val="18"/>
              </w:rPr>
            </w:pPr>
            <m:oMathPara>
              <m:oMath>
                <m:acc>
                  <m:accPr>
                    <m:chr m:val="̅"/>
                    <m:ctrlPr>
                      <w:rPr>
                        <w:rFonts w:ascii="Cambria Math" w:hAnsi="Cambria Math"/>
                        <w:sz w:val="18"/>
                        <w:szCs w:val="18"/>
                      </w:rPr>
                    </m:ctrlPr>
                  </m:accPr>
                  <m:e>
                    <m:r>
                      <m:rPr>
                        <m:sty m:val="p"/>
                      </m:rPr>
                      <w:rPr>
                        <w:rFonts w:ascii="Cambria Math" w:hAnsi="Cambria Math"/>
                        <w:sz w:val="18"/>
                        <w:szCs w:val="18"/>
                      </w:rPr>
                      <m:t>IVCC</m:t>
                    </m:r>
                  </m:e>
                </m:acc>
                <m:r>
                  <m:rPr>
                    <m:sty m:val="p"/>
                  </m:rPr>
                  <w:rPr>
                    <w:rFonts w:ascii="Cambria Math" w:hAnsi="Cambria Math"/>
                    <w:sz w:val="18"/>
                    <w:szCs w:val="18"/>
                  </w:rPr>
                  <m:t>∙IVMR∙</m:t>
                </m:r>
                <m:acc>
                  <m:accPr>
                    <m:chr m:val="̅"/>
                    <m:ctrlPr>
                      <w:rPr>
                        <w:rFonts w:ascii="Cambria Math" w:hAnsi="Cambria Math"/>
                        <w:sz w:val="18"/>
                        <w:szCs w:val="18"/>
                      </w:rPr>
                    </m:ctrlPr>
                  </m:accPr>
                  <m:e>
                    <m:r>
                      <m:rPr>
                        <m:sty m:val="p"/>
                      </m:rPr>
                      <w:rPr>
                        <w:rFonts w:ascii="Cambria Math" w:hAnsi="Cambria Math"/>
                        <w:sz w:val="18"/>
                        <w:szCs w:val="18"/>
                      </w:rPr>
                      <m:t>ECF</m:t>
                    </m:r>
                  </m:e>
                </m:acc>
                <m:r>
                  <m:rPr>
                    <m:sty m:val="p"/>
                  </m:rPr>
                  <w:rPr>
                    <w:rFonts w:ascii="Cambria Math" w:hAnsi="Cambria Math"/>
                    <w:sz w:val="18"/>
                    <w:szCs w:val="18"/>
                  </w:rPr>
                  <m:t>∙IC</m:t>
                </m:r>
              </m:oMath>
            </m:oMathPara>
          </w:p>
        </w:tc>
        <w:tc>
          <w:tcPr>
            <w:tcW w:w="0" w:type="auto"/>
            <w:noWrap/>
            <w:vAlign w:val="center"/>
          </w:tcPr>
          <w:p w14:paraId="3B2812CA" w14:textId="05526443" w:rsidR="000D2B3C" w:rsidRPr="00BD313B" w:rsidRDefault="000D2B3C" w:rsidP="00BD313B">
            <w:pPr>
              <w:pStyle w:val="BodyText"/>
              <w:spacing w:before="0" w:after="0"/>
              <w:ind w:firstLine="0"/>
              <w:contextualSpacing/>
              <w:rPr>
                <w:rFonts w:ascii="Cambria Math" w:hAnsi="Cambria Math"/>
                <w:sz w:val="18"/>
                <w:szCs w:val="18"/>
              </w:rPr>
            </w:pPr>
            <m:oMathPara>
              <m:oMathParaPr>
                <m:jc m:val="center"/>
              </m:oMathParaPr>
              <m:oMath>
                <m:r>
                  <m:rPr>
                    <m:sty m:val="p"/>
                  </m:rPr>
                  <w:rPr>
                    <w:rFonts w:ascii="Cambria Math" w:hAnsi="Cambria Math"/>
                    <w:sz w:val="18"/>
                    <w:szCs w:val="18"/>
                  </w:rPr>
                  <m:t>IVCC:P</m:t>
                </m:r>
                <m:d>
                  <m:dPr>
                    <m:ctrlPr>
                      <w:rPr>
                        <w:rFonts w:ascii="Cambria Math" w:hAnsi="Cambria Math"/>
                        <w:sz w:val="18"/>
                        <w:szCs w:val="18"/>
                      </w:rPr>
                    </m:ctrlPr>
                  </m:dPr>
                  <m:e>
                    <m:r>
                      <m:rPr>
                        <m:sty m:val="p"/>
                      </m:rPr>
                      <w:rPr>
                        <w:rFonts w:ascii="Cambria Math" w:hAnsi="Cambria Math"/>
                        <w:sz w:val="18"/>
                        <w:szCs w:val="18"/>
                      </w:rPr>
                      <m:t>RCS</m:t>
                    </m:r>
                  </m:e>
                </m:d>
                <m:r>
                  <m:rPr>
                    <m:sty m:val="p"/>
                  </m:rPr>
                  <w:rPr>
                    <w:rFonts w:ascii="Cambria Math" w:hAnsi="Cambria Math"/>
                    <w:sz w:val="18"/>
                    <w:szCs w:val="18"/>
                  </w:rPr>
                  <m:t>∙PRIM. DEP ∙</m:t>
                </m:r>
                <m:acc>
                  <m:accPr>
                    <m:chr m:val="̅"/>
                    <m:ctrlPr>
                      <w:rPr>
                        <w:rFonts w:ascii="Cambria Math" w:hAnsi="Cambria Math"/>
                        <w:sz w:val="18"/>
                        <w:szCs w:val="18"/>
                      </w:rPr>
                    </m:ctrlPr>
                  </m:accPr>
                  <m:e>
                    <m:r>
                      <m:rPr>
                        <m:sty m:val="p"/>
                      </m:rPr>
                      <w:rPr>
                        <w:rFonts w:ascii="Cambria Math" w:hAnsi="Cambria Math"/>
                        <w:sz w:val="18"/>
                        <w:szCs w:val="18"/>
                      </w:rPr>
                      <m:t>E–IVI</m:t>
                    </m:r>
                  </m:e>
                </m:acc>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SUCCESS</m:t>
                    </m:r>
                  </m:e>
                </m:acc>
              </m:oMath>
            </m:oMathPara>
          </w:p>
          <w:p w14:paraId="0B659871" w14:textId="17BCC054" w:rsidR="000D2B3C" w:rsidRPr="00BD313B" w:rsidRDefault="000D2B3C" w:rsidP="00BD313B">
            <w:pPr>
              <w:pStyle w:val="BodyText"/>
              <w:spacing w:before="0" w:after="0"/>
              <w:ind w:firstLine="0"/>
              <w:contextualSpacing/>
              <w:rPr>
                <w:rFonts w:ascii="Cambria Math" w:hAnsi="Cambria Math"/>
                <w:sz w:val="18"/>
                <w:szCs w:val="18"/>
              </w:rPr>
            </w:pPr>
            <m:oMathPara>
              <m:oMathParaPr>
                <m:jc m:val="center"/>
              </m:oMathParaPr>
              <m:oMath>
                <m:r>
                  <m:rPr>
                    <m:sty m:val="p"/>
                  </m:rPr>
                  <w:rPr>
                    <w:rFonts w:ascii="Cambria Math" w:hAnsi="Cambria Math"/>
                    <w:sz w:val="18"/>
                    <w:szCs w:val="18"/>
                  </w:rPr>
                  <m:t>IVMR:FC∙SUCCESS</m:t>
                </m:r>
              </m:oMath>
            </m:oMathPara>
          </w:p>
          <w:p w14:paraId="3F2B1F92" w14:textId="11625A90" w:rsidR="00C1074B" w:rsidRPr="00BD313B" w:rsidRDefault="00C1074B" w:rsidP="00BD313B">
            <w:pPr>
              <w:pStyle w:val="BodyText"/>
              <w:spacing w:before="0" w:after="0"/>
              <w:ind w:firstLine="0"/>
              <w:contextualSpacing/>
              <w:rPr>
                <w:rFonts w:ascii="Cambria Math" w:hAnsi="Cambria Math"/>
                <w:sz w:val="18"/>
                <w:szCs w:val="18"/>
              </w:rPr>
            </w:pPr>
            <m:oMathPara>
              <m:oMath>
                <m:r>
                  <m:rPr>
                    <m:sty m:val="p"/>
                  </m:rPr>
                  <w:rPr>
                    <w:rFonts w:ascii="Cambria Math" w:hAnsi="Cambria Math"/>
                    <w:sz w:val="18"/>
                    <w:szCs w:val="18"/>
                  </w:rPr>
                  <m:t>ECF:</m:t>
                </m:r>
                <m:acc>
                  <m:accPr>
                    <m:chr m:val="̅"/>
                    <m:ctrlPr>
                      <w:rPr>
                        <w:rFonts w:ascii="Cambria Math" w:hAnsi="Cambria Math"/>
                        <w:sz w:val="18"/>
                        <w:szCs w:val="18"/>
                      </w:rPr>
                    </m:ctrlPr>
                  </m:accPr>
                  <m:e>
                    <m:r>
                      <m:rPr>
                        <m:sty m:val="p"/>
                      </m:rPr>
                      <w:rPr>
                        <w:rFonts w:ascii="Cambria Math" w:hAnsi="Cambria Math"/>
                        <w:sz w:val="18"/>
                        <w:szCs w:val="18"/>
                      </w:rPr>
                      <m:t>FC/2</m:t>
                    </m:r>
                  </m:e>
                </m:acc>
                <m:r>
                  <m:rPr>
                    <m:sty m:val="p"/>
                  </m:rPr>
                  <w:rPr>
                    <w:rFonts w:ascii="Cambria Math" w:hAnsi="Cambria Math"/>
                    <w:sz w:val="18"/>
                    <w:szCs w:val="18"/>
                  </w:rPr>
                  <m:t>∙P</m:t>
                </m:r>
                <m:d>
                  <m:dPr>
                    <m:ctrlPr>
                      <w:rPr>
                        <w:rFonts w:ascii="Cambria Math" w:hAnsi="Cambria Math"/>
                        <w:sz w:val="18"/>
                        <w:szCs w:val="18"/>
                      </w:rPr>
                    </m:ctrlPr>
                  </m:dPr>
                  <m:e>
                    <m:r>
                      <m:rPr>
                        <m:sty m:val="p"/>
                      </m:rPr>
                      <w:rPr>
                        <w:rFonts w:ascii="Cambria Math" w:hAnsi="Cambria Math"/>
                        <w:sz w:val="18"/>
                        <w:szCs w:val="18"/>
                      </w:rPr>
                      <m:t>RCS</m:t>
                    </m:r>
                  </m:e>
                </m:d>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 xml:space="preserve">ECF </m:t>
                    </m:r>
                  </m:e>
                </m:acc>
              </m:oMath>
            </m:oMathPara>
          </w:p>
          <w:p w14:paraId="2C3D826C" w14:textId="77777777" w:rsidR="003819CB" w:rsidRPr="00BD313B" w:rsidRDefault="003819CB" w:rsidP="00BD313B">
            <w:pPr>
              <w:pStyle w:val="BodyText"/>
              <w:spacing w:before="0" w:after="0"/>
              <w:ind w:firstLine="0"/>
              <w:contextualSpacing/>
              <w:rPr>
                <w:rFonts w:ascii="Cambria Math" w:hAnsi="Cambria Math"/>
                <w:sz w:val="18"/>
                <w:szCs w:val="18"/>
              </w:rPr>
            </w:pPr>
            <m:oMathPara>
              <m:oMath>
                <m:r>
                  <m:rPr>
                    <m:sty m:val="p"/>
                  </m:rPr>
                  <w:rPr>
                    <w:rFonts w:ascii="Cambria Math" w:hAnsi="Cambria Math"/>
                    <w:sz w:val="18"/>
                    <w:szCs w:val="18"/>
                  </w:rPr>
                  <m:t xml:space="preserve">IF:IIC∙ICIF </m:t>
                </m:r>
              </m:oMath>
            </m:oMathPara>
          </w:p>
          <w:p w14:paraId="1D09E34B" w14:textId="406458F4" w:rsidR="003819CB" w:rsidRPr="00BD313B" w:rsidRDefault="003819CB" w:rsidP="00BD313B">
            <w:pPr>
              <w:pStyle w:val="BodyText"/>
              <w:spacing w:before="0" w:after="0"/>
              <w:ind w:firstLine="0"/>
              <w:contextualSpacing/>
              <w:rPr>
                <w:rFonts w:ascii="Cambria Math" w:hAnsi="Cambria Math"/>
                <w:sz w:val="18"/>
                <w:szCs w:val="18"/>
              </w:rPr>
            </w:pPr>
            <m:oMathPara>
              <m:oMath>
                <m:r>
                  <m:rPr>
                    <m:sty m:val="p"/>
                  </m:rPr>
                  <w:rPr>
                    <w:rFonts w:ascii="Cambria Math" w:hAnsi="Cambria Math"/>
                    <w:sz w:val="18"/>
                    <w:szCs w:val="18"/>
                  </w:rPr>
                  <m:t>CCF:</m:t>
                </m:r>
                <m:acc>
                  <m:accPr>
                    <m:chr m:val="̅"/>
                    <m:ctrlPr>
                      <w:rPr>
                        <w:rFonts w:ascii="Cambria Math" w:hAnsi="Cambria Math"/>
                        <w:sz w:val="18"/>
                        <w:szCs w:val="18"/>
                      </w:rPr>
                    </m:ctrlPr>
                  </m:accPr>
                  <m:e>
                    <m:r>
                      <m:rPr>
                        <m:sty m:val="p"/>
                      </m:rPr>
                      <w:rPr>
                        <w:rFonts w:ascii="Cambria Math" w:hAnsi="Cambria Math"/>
                        <w:sz w:val="18"/>
                        <w:szCs w:val="18"/>
                      </w:rPr>
                      <m:t>IVCC</m:t>
                    </m:r>
                  </m:e>
                </m:acc>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IVMR</m:t>
                    </m:r>
                  </m:e>
                </m:acc>
                <m:r>
                  <m:rPr>
                    <m:sty m:val="p"/>
                  </m:rPr>
                  <w:rPr>
                    <w:rFonts w:ascii="Cambria Math" w:hAnsi="Cambria Math"/>
                    <w:sz w:val="18"/>
                    <w:szCs w:val="18"/>
                  </w:rPr>
                  <m:t xml:space="preserve"> ∙</m:t>
                </m:r>
                <m:acc>
                  <m:accPr>
                    <m:chr m:val="̅"/>
                    <m:ctrlPr>
                      <w:rPr>
                        <w:rFonts w:ascii="Cambria Math" w:hAnsi="Cambria Math"/>
                        <w:sz w:val="18"/>
                        <w:szCs w:val="18"/>
                      </w:rPr>
                    </m:ctrlPr>
                  </m:accPr>
                  <m:e>
                    <m:r>
                      <m:rPr>
                        <m:sty m:val="p"/>
                      </m:rPr>
                      <w:rPr>
                        <w:rFonts w:ascii="Cambria Math" w:hAnsi="Cambria Math"/>
                        <w:sz w:val="18"/>
                        <w:szCs w:val="18"/>
                      </w:rPr>
                      <m:t>ECF</m:t>
                    </m:r>
                  </m:e>
                </m:acc>
                <m:r>
                  <m:rPr>
                    <m:sty m:val="p"/>
                  </m:rPr>
                  <w:rPr>
                    <w:rFonts w:ascii="Cambria Math" w:hAnsi="Cambria Math"/>
                    <w:sz w:val="18"/>
                    <w:szCs w:val="18"/>
                  </w:rPr>
                  <m:t xml:space="preserve"> ∙</m:t>
                </m:r>
                <m:acc>
                  <m:accPr>
                    <m:chr m:val="̅"/>
                    <m:ctrlPr>
                      <w:rPr>
                        <w:rFonts w:ascii="Cambria Math" w:hAnsi="Cambria Math"/>
                        <w:sz w:val="18"/>
                        <w:szCs w:val="18"/>
                      </w:rPr>
                    </m:ctrlPr>
                  </m:accPr>
                  <m:e>
                    <m:r>
                      <m:rPr>
                        <m:sty m:val="p"/>
                      </m:rPr>
                      <w:rPr>
                        <w:rFonts w:ascii="Cambria Math" w:hAnsi="Cambria Math"/>
                        <w:sz w:val="18"/>
                        <w:szCs w:val="18"/>
                      </w:rPr>
                      <m:t>NCF</m:t>
                    </m:r>
                  </m:e>
                </m:acc>
              </m:oMath>
            </m:oMathPara>
          </w:p>
        </w:tc>
      </w:tr>
      <w:tr w:rsidR="003819CB" w:rsidRPr="000D2B3C" w14:paraId="78BC5916" w14:textId="77777777" w:rsidTr="00E26D99">
        <w:trPr>
          <w:jc w:val="center"/>
        </w:trPr>
        <w:tc>
          <w:tcPr>
            <w:tcW w:w="0" w:type="auto"/>
            <w:noWrap/>
            <w:vAlign w:val="center"/>
          </w:tcPr>
          <w:p w14:paraId="6DA2E0B0" w14:textId="65B21417" w:rsidR="003819CB" w:rsidRPr="000D2B3C" w:rsidRDefault="003819CB" w:rsidP="003819CB">
            <w:pPr>
              <w:pStyle w:val="BodyText"/>
              <w:ind w:firstLine="0"/>
              <w:rPr>
                <w:sz w:val="18"/>
                <w:szCs w:val="18"/>
              </w:rPr>
            </w:pPr>
            <w:r>
              <w:rPr>
                <w:sz w:val="18"/>
                <w:szCs w:val="18"/>
              </w:rPr>
              <w:t>4</w:t>
            </w:r>
          </w:p>
        </w:tc>
        <w:tc>
          <w:tcPr>
            <w:tcW w:w="0" w:type="auto"/>
            <w:noWrap/>
            <w:vAlign w:val="center"/>
          </w:tcPr>
          <w:p w14:paraId="1C92B953" w14:textId="2A1F6448" w:rsidR="003819CB" w:rsidRPr="00BD313B" w:rsidRDefault="00C71DD4" w:rsidP="00A13439">
            <w:pPr>
              <w:pStyle w:val="BodyText"/>
              <w:spacing w:before="0" w:after="0"/>
              <w:ind w:firstLine="0"/>
              <w:rPr>
                <w:rFonts w:ascii="Cambria Math" w:hAnsi="Cambria Math"/>
                <w:sz w:val="18"/>
                <w:szCs w:val="18"/>
              </w:rPr>
            </w:pPr>
            <m:oMathPara>
              <m:oMath>
                <m:acc>
                  <m:accPr>
                    <m:chr m:val="̅"/>
                    <m:ctrlPr>
                      <w:rPr>
                        <w:rFonts w:ascii="Cambria Math" w:hAnsi="Cambria Math"/>
                        <w:sz w:val="18"/>
                        <w:szCs w:val="18"/>
                      </w:rPr>
                    </m:ctrlPr>
                  </m:accPr>
                  <m:e>
                    <m:r>
                      <m:rPr>
                        <m:sty m:val="p"/>
                      </m:rPr>
                      <w:rPr>
                        <w:rFonts w:ascii="Cambria Math" w:hAnsi="Cambria Math"/>
                        <w:sz w:val="18"/>
                        <w:szCs w:val="18"/>
                      </w:rPr>
                      <m:t>IVCC</m:t>
                    </m:r>
                  </m:e>
                </m:acc>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IVMR</m:t>
                    </m:r>
                  </m:e>
                </m:acc>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ECF</m:t>
                    </m:r>
                  </m:e>
                </m:acc>
                <m:r>
                  <m:rPr>
                    <m:sty m:val="p"/>
                  </m:rPr>
                  <w:rPr>
                    <w:rFonts w:ascii="Cambria Math" w:hAnsi="Cambria Math"/>
                    <w:sz w:val="18"/>
                    <w:szCs w:val="18"/>
                  </w:rPr>
                  <m:t>∙IC</m:t>
                </m:r>
              </m:oMath>
            </m:oMathPara>
          </w:p>
        </w:tc>
        <w:tc>
          <w:tcPr>
            <w:tcW w:w="0" w:type="auto"/>
            <w:noWrap/>
            <w:vAlign w:val="center"/>
          </w:tcPr>
          <w:p w14:paraId="0310DBCB" w14:textId="4E85910E" w:rsidR="00A57D61" w:rsidRPr="00BD313B" w:rsidRDefault="003819CB" w:rsidP="00BD313B">
            <w:pPr>
              <w:pStyle w:val="BodyText"/>
              <w:spacing w:before="0" w:after="0"/>
              <w:ind w:firstLine="0"/>
              <w:contextualSpacing/>
              <w:rPr>
                <w:rFonts w:ascii="Cambria Math" w:hAnsi="Cambria Math"/>
                <w:sz w:val="18"/>
                <w:szCs w:val="18"/>
              </w:rPr>
            </w:pPr>
            <m:oMathPara>
              <m:oMathParaPr>
                <m:jc m:val="center"/>
              </m:oMathParaPr>
              <m:oMath>
                <m:r>
                  <m:rPr>
                    <m:sty m:val="p"/>
                  </m:rPr>
                  <w:rPr>
                    <w:rFonts w:ascii="Cambria Math" w:hAnsi="Cambria Math"/>
                    <w:sz w:val="18"/>
                    <w:szCs w:val="18"/>
                  </w:rPr>
                  <m:t>IVCC:P</m:t>
                </m:r>
                <m:d>
                  <m:dPr>
                    <m:ctrlPr>
                      <w:rPr>
                        <w:rFonts w:ascii="Cambria Math" w:hAnsi="Cambria Math"/>
                        <w:sz w:val="18"/>
                        <w:szCs w:val="18"/>
                      </w:rPr>
                    </m:ctrlPr>
                  </m:dPr>
                  <m:e>
                    <m:r>
                      <m:rPr>
                        <m:sty m:val="p"/>
                      </m:rPr>
                      <w:rPr>
                        <w:rFonts w:ascii="Cambria Math" w:hAnsi="Cambria Math"/>
                        <w:sz w:val="18"/>
                        <w:szCs w:val="18"/>
                      </w:rPr>
                      <m:t>RCS</m:t>
                    </m:r>
                  </m:e>
                </m:d>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PRIM. DEP</m:t>
                    </m:r>
                  </m:e>
                </m:acc>
                <m:r>
                  <m:rPr>
                    <m:sty m:val="p"/>
                  </m:rPr>
                  <w:rPr>
                    <w:rFonts w:ascii="Cambria Math" w:hAnsi="Cambria Math"/>
                    <w:sz w:val="18"/>
                    <w:szCs w:val="18"/>
                  </w:rPr>
                  <m:t xml:space="preserve"> ∙</m:t>
                </m:r>
                <m:acc>
                  <m:accPr>
                    <m:chr m:val="̅"/>
                    <m:ctrlPr>
                      <w:rPr>
                        <w:rFonts w:ascii="Cambria Math" w:hAnsi="Cambria Math"/>
                        <w:sz w:val="18"/>
                        <w:szCs w:val="18"/>
                      </w:rPr>
                    </m:ctrlPr>
                  </m:accPr>
                  <m:e>
                    <m:r>
                      <m:rPr>
                        <m:sty m:val="p"/>
                      </m:rPr>
                      <w:rPr>
                        <w:rFonts w:ascii="Cambria Math" w:hAnsi="Cambria Math"/>
                        <w:sz w:val="18"/>
                        <w:szCs w:val="18"/>
                      </w:rPr>
                      <m:t>SUCCESS</m:t>
                    </m:r>
                  </m:e>
                </m:acc>
              </m:oMath>
            </m:oMathPara>
          </w:p>
          <w:p w14:paraId="178794CD" w14:textId="563F2ED5" w:rsidR="003819CB" w:rsidRPr="00BD313B" w:rsidRDefault="003819CB" w:rsidP="00BD313B">
            <w:pPr>
              <w:pStyle w:val="BodyText"/>
              <w:spacing w:before="0" w:after="0"/>
              <w:ind w:firstLine="0"/>
              <w:contextualSpacing/>
              <w:rPr>
                <w:rFonts w:ascii="Cambria Math" w:hAnsi="Cambria Math"/>
                <w:sz w:val="18"/>
                <w:szCs w:val="18"/>
              </w:rPr>
            </w:pPr>
            <m:oMathPara>
              <m:oMathParaPr>
                <m:jc m:val="center"/>
              </m:oMathParaPr>
              <m:oMath>
                <m:r>
                  <m:rPr>
                    <m:sty m:val="p"/>
                  </m:rPr>
                  <w:rPr>
                    <w:rFonts w:ascii="Cambria Math" w:hAnsi="Cambria Math"/>
                    <w:sz w:val="18"/>
                    <w:szCs w:val="18"/>
                  </w:rPr>
                  <m:t>IVMR:L–RCF∙</m:t>
                </m:r>
                <m:acc>
                  <m:accPr>
                    <m:chr m:val="̅"/>
                    <m:ctrlPr>
                      <w:rPr>
                        <w:rFonts w:ascii="Cambria Math" w:hAnsi="Cambria Math"/>
                        <w:sz w:val="18"/>
                        <w:szCs w:val="18"/>
                      </w:rPr>
                    </m:ctrlPr>
                  </m:accPr>
                  <m:e>
                    <m:r>
                      <m:rPr>
                        <m:sty m:val="p"/>
                      </m:rPr>
                      <w:rPr>
                        <w:rFonts w:ascii="Cambria Math" w:hAnsi="Cambria Math"/>
                        <w:sz w:val="18"/>
                        <w:szCs w:val="18"/>
                      </w:rPr>
                      <m:t>SUCCESS</m:t>
                    </m:r>
                  </m:e>
                </m:acc>
              </m:oMath>
            </m:oMathPara>
          </w:p>
          <w:p w14:paraId="50F4845C" w14:textId="4E5AB553" w:rsidR="00C1074B" w:rsidRPr="00BD313B" w:rsidRDefault="00C1074B" w:rsidP="00BD313B">
            <w:pPr>
              <w:pStyle w:val="BodyText"/>
              <w:spacing w:before="0" w:after="0"/>
              <w:ind w:firstLine="0"/>
              <w:contextualSpacing/>
              <w:rPr>
                <w:rFonts w:ascii="Cambria Math" w:hAnsi="Cambria Math"/>
                <w:sz w:val="18"/>
                <w:szCs w:val="18"/>
              </w:rPr>
            </w:pPr>
            <m:oMathPara>
              <m:oMath>
                <m:r>
                  <m:rPr>
                    <m:sty m:val="p"/>
                  </m:rPr>
                  <w:rPr>
                    <w:rFonts w:ascii="Cambria Math" w:hAnsi="Cambria Math"/>
                    <w:sz w:val="18"/>
                    <w:szCs w:val="18"/>
                  </w:rPr>
                  <m:t>ECF:FC/2∙</m:t>
                </m:r>
                <m:acc>
                  <m:accPr>
                    <m:chr m:val="̅"/>
                    <m:ctrlPr>
                      <w:rPr>
                        <w:rFonts w:ascii="Cambria Math" w:hAnsi="Cambria Math"/>
                        <w:sz w:val="18"/>
                        <w:szCs w:val="18"/>
                      </w:rPr>
                    </m:ctrlPr>
                  </m:accPr>
                  <m:e>
                    <m:r>
                      <m:rPr>
                        <m:sty m:val="p"/>
                      </m:rPr>
                      <w:rPr>
                        <w:rFonts w:ascii="Cambria Math" w:hAnsi="Cambria Math"/>
                        <w:sz w:val="18"/>
                        <w:szCs w:val="18"/>
                      </w:rPr>
                      <m:t xml:space="preserve">ECF </m:t>
                    </m:r>
                  </m:e>
                </m:acc>
              </m:oMath>
            </m:oMathPara>
          </w:p>
          <w:p w14:paraId="57F61B0E" w14:textId="3C26F3FF" w:rsidR="00A57D61" w:rsidRPr="00BD313B" w:rsidRDefault="00A57D61" w:rsidP="00BD313B">
            <w:pPr>
              <w:pStyle w:val="BodyText"/>
              <w:spacing w:before="0" w:after="0"/>
              <w:ind w:firstLine="0"/>
              <w:contextualSpacing/>
              <w:rPr>
                <w:rFonts w:ascii="Cambria Math" w:hAnsi="Cambria Math"/>
                <w:sz w:val="18"/>
                <w:szCs w:val="18"/>
              </w:rPr>
            </w:pPr>
            <m:oMathPara>
              <m:oMath>
                <m:r>
                  <m:rPr>
                    <m:sty m:val="p"/>
                  </m:rPr>
                  <w:rPr>
                    <w:rFonts w:ascii="Cambria Math" w:hAnsi="Cambria Math"/>
                    <w:sz w:val="18"/>
                    <w:szCs w:val="18"/>
                  </w:rPr>
                  <m:t>IF:IIC∙</m:t>
                </m:r>
                <m:acc>
                  <m:accPr>
                    <m:chr m:val="̅"/>
                    <m:ctrlPr>
                      <w:rPr>
                        <w:rFonts w:ascii="Cambria Math" w:hAnsi="Cambria Math"/>
                        <w:sz w:val="18"/>
                        <w:szCs w:val="18"/>
                      </w:rPr>
                    </m:ctrlPr>
                  </m:accPr>
                  <m:e>
                    <m:r>
                      <m:rPr>
                        <m:sty m:val="p"/>
                      </m:rPr>
                      <w:rPr>
                        <w:rFonts w:ascii="Cambria Math" w:hAnsi="Cambria Math"/>
                        <w:sz w:val="18"/>
                        <w:szCs w:val="18"/>
                      </w:rPr>
                      <m:t>ICIF</m:t>
                    </m:r>
                  </m:e>
                </m:acc>
                <m:r>
                  <m:rPr>
                    <m:sty m:val="p"/>
                  </m:rPr>
                  <w:rPr>
                    <w:rFonts w:ascii="Cambria Math" w:hAnsi="Cambria Math"/>
                    <w:sz w:val="18"/>
                    <w:szCs w:val="18"/>
                  </w:rPr>
                  <m:t xml:space="preserve"> ∙</m:t>
                </m:r>
                <m:acc>
                  <m:accPr>
                    <m:chr m:val="̅"/>
                    <m:ctrlPr>
                      <w:rPr>
                        <w:rFonts w:ascii="Cambria Math" w:hAnsi="Cambria Math"/>
                        <w:sz w:val="18"/>
                        <w:szCs w:val="18"/>
                      </w:rPr>
                    </m:ctrlPr>
                  </m:accPr>
                  <m:e>
                    <m:r>
                      <m:rPr>
                        <m:sty m:val="p"/>
                      </m:rPr>
                      <w:rPr>
                        <w:rFonts w:ascii="Cambria Math" w:hAnsi="Cambria Math"/>
                        <w:sz w:val="18"/>
                        <w:szCs w:val="18"/>
                      </w:rPr>
                      <m:t>FCVS_SO</m:t>
                    </m:r>
                  </m:e>
                </m:acc>
                <m:r>
                  <m:rPr>
                    <m:sty m:val="p"/>
                  </m:rPr>
                  <w:rPr>
                    <w:rFonts w:ascii="Cambria Math" w:hAnsi="Cambria Math"/>
                    <w:sz w:val="18"/>
                    <w:szCs w:val="18"/>
                  </w:rPr>
                  <m:t>∙ISOL</m:t>
                </m:r>
              </m:oMath>
            </m:oMathPara>
          </w:p>
          <w:p w14:paraId="43DC6285" w14:textId="1A7A0810" w:rsidR="003819CB" w:rsidRPr="00BD313B" w:rsidRDefault="00A57D61" w:rsidP="00BD313B">
            <w:pPr>
              <w:pStyle w:val="BodyText"/>
              <w:spacing w:before="0" w:after="0"/>
              <w:ind w:firstLine="0"/>
              <w:contextualSpacing/>
              <w:rPr>
                <w:rFonts w:ascii="Cambria Math" w:hAnsi="Cambria Math"/>
                <w:sz w:val="18"/>
                <w:szCs w:val="18"/>
              </w:rPr>
            </w:pPr>
            <m:oMathPara>
              <m:oMath>
                <m:r>
                  <m:rPr>
                    <m:sty m:val="p"/>
                  </m:rPr>
                  <w:rPr>
                    <w:rFonts w:ascii="Cambria Math" w:hAnsi="Cambria Math"/>
                    <w:sz w:val="18"/>
                    <w:szCs w:val="18"/>
                  </w:rPr>
                  <m:t>CCF:</m:t>
                </m:r>
                <m:acc>
                  <m:accPr>
                    <m:chr m:val="̅"/>
                    <m:ctrlPr>
                      <w:rPr>
                        <w:rFonts w:ascii="Cambria Math" w:hAnsi="Cambria Math"/>
                        <w:sz w:val="18"/>
                        <w:szCs w:val="18"/>
                      </w:rPr>
                    </m:ctrlPr>
                  </m:accPr>
                  <m:e>
                    <m:r>
                      <m:rPr>
                        <m:sty m:val="p"/>
                      </m:rPr>
                      <w:rPr>
                        <w:rFonts w:ascii="Cambria Math" w:hAnsi="Cambria Math"/>
                        <w:sz w:val="18"/>
                        <w:szCs w:val="18"/>
                      </w:rPr>
                      <m:t>IVCC</m:t>
                    </m:r>
                  </m:e>
                </m:acc>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IVMR</m:t>
                    </m:r>
                  </m:e>
                </m:acc>
                <m:r>
                  <m:rPr>
                    <m:sty m:val="p"/>
                  </m:rPr>
                  <w:rPr>
                    <w:rFonts w:ascii="Cambria Math" w:hAnsi="Cambria Math"/>
                    <w:sz w:val="18"/>
                    <w:szCs w:val="18"/>
                  </w:rPr>
                  <m:t xml:space="preserve"> ∙</m:t>
                </m:r>
                <m:acc>
                  <m:accPr>
                    <m:chr m:val="̅"/>
                    <m:ctrlPr>
                      <w:rPr>
                        <w:rFonts w:ascii="Cambria Math" w:hAnsi="Cambria Math"/>
                        <w:sz w:val="18"/>
                        <w:szCs w:val="18"/>
                      </w:rPr>
                    </m:ctrlPr>
                  </m:accPr>
                  <m:e>
                    <m:r>
                      <m:rPr>
                        <m:sty m:val="p"/>
                      </m:rPr>
                      <w:rPr>
                        <w:rFonts w:ascii="Cambria Math" w:hAnsi="Cambria Math"/>
                        <w:sz w:val="18"/>
                        <w:szCs w:val="18"/>
                      </w:rPr>
                      <m:t>ECF</m:t>
                    </m:r>
                  </m:e>
                </m:acc>
                <m:r>
                  <m:rPr>
                    <m:sty m:val="p"/>
                  </m:rPr>
                  <w:rPr>
                    <w:rFonts w:ascii="Cambria Math" w:hAnsi="Cambria Math"/>
                    <w:sz w:val="18"/>
                    <w:szCs w:val="18"/>
                  </w:rPr>
                  <m:t xml:space="preserve"> ∙</m:t>
                </m:r>
                <m:acc>
                  <m:accPr>
                    <m:chr m:val="̅"/>
                    <m:ctrlPr>
                      <w:rPr>
                        <w:rFonts w:ascii="Cambria Math" w:hAnsi="Cambria Math"/>
                        <w:sz w:val="18"/>
                        <w:szCs w:val="18"/>
                      </w:rPr>
                    </m:ctrlPr>
                  </m:accPr>
                  <m:e>
                    <m:r>
                      <m:rPr>
                        <m:sty m:val="p"/>
                      </m:rPr>
                      <w:rPr>
                        <w:rFonts w:ascii="Cambria Math" w:hAnsi="Cambria Math"/>
                        <w:sz w:val="18"/>
                        <w:szCs w:val="18"/>
                      </w:rPr>
                      <m:t>NCF</m:t>
                    </m:r>
                  </m:e>
                </m:acc>
              </m:oMath>
            </m:oMathPara>
          </w:p>
        </w:tc>
      </w:tr>
      <w:tr w:rsidR="00A57D61" w:rsidRPr="000D2B3C" w14:paraId="0556FBB2" w14:textId="77777777" w:rsidTr="00E26D99">
        <w:trPr>
          <w:jc w:val="center"/>
        </w:trPr>
        <w:tc>
          <w:tcPr>
            <w:tcW w:w="0" w:type="auto"/>
            <w:noWrap/>
            <w:vAlign w:val="center"/>
          </w:tcPr>
          <w:p w14:paraId="02251491" w14:textId="25628B6C" w:rsidR="00A57D61" w:rsidRDefault="00A57D61" w:rsidP="00A57D61">
            <w:pPr>
              <w:pStyle w:val="BodyText"/>
              <w:ind w:firstLine="0"/>
              <w:rPr>
                <w:sz w:val="18"/>
                <w:szCs w:val="18"/>
              </w:rPr>
            </w:pPr>
            <w:r>
              <w:rPr>
                <w:sz w:val="18"/>
                <w:szCs w:val="18"/>
              </w:rPr>
              <w:t>5</w:t>
            </w:r>
          </w:p>
        </w:tc>
        <w:tc>
          <w:tcPr>
            <w:tcW w:w="0" w:type="auto"/>
            <w:noWrap/>
            <w:vAlign w:val="center"/>
          </w:tcPr>
          <w:p w14:paraId="6392BA3E" w14:textId="1F566E11" w:rsidR="00A57D61" w:rsidRPr="00BD313B" w:rsidRDefault="00C71DD4" w:rsidP="00BD313B">
            <w:pPr>
              <w:pStyle w:val="BodyText"/>
              <w:spacing w:before="0" w:after="0"/>
              <w:ind w:firstLine="0"/>
              <w:rPr>
                <w:rFonts w:ascii="Cambria Math" w:hAnsi="Cambria Math"/>
                <w:sz w:val="18"/>
                <w:szCs w:val="18"/>
              </w:rPr>
            </w:pPr>
            <m:oMathPara>
              <m:oMath>
                <m:acc>
                  <m:accPr>
                    <m:chr m:val="̅"/>
                    <m:ctrlPr>
                      <w:rPr>
                        <w:rFonts w:ascii="Cambria Math" w:hAnsi="Cambria Math"/>
                        <w:sz w:val="18"/>
                        <w:szCs w:val="18"/>
                      </w:rPr>
                    </m:ctrlPr>
                  </m:accPr>
                  <m:e>
                    <m:r>
                      <m:rPr>
                        <m:sty m:val="p"/>
                      </m:rPr>
                      <w:rPr>
                        <w:rFonts w:ascii="Cambria Math" w:hAnsi="Cambria Math"/>
                        <w:sz w:val="18"/>
                        <w:szCs w:val="18"/>
                      </w:rPr>
                      <m:t>IVCC</m:t>
                    </m:r>
                  </m:e>
                </m:acc>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IVMR</m:t>
                    </m:r>
                  </m:e>
                </m:acc>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ECF</m:t>
                    </m:r>
                  </m:e>
                </m:acc>
                <m:r>
                  <m:rPr>
                    <m:sty m:val="p"/>
                  </m:rPr>
                  <w:rPr>
                    <w:rFonts w:ascii="Cambria Math" w:hAnsi="Cambria Math"/>
                    <w:sz w:val="18"/>
                    <w:szCs w:val="18"/>
                  </w:rPr>
                  <m:t>∙IC</m:t>
                </m:r>
              </m:oMath>
            </m:oMathPara>
          </w:p>
        </w:tc>
        <w:tc>
          <w:tcPr>
            <w:tcW w:w="0" w:type="auto"/>
            <w:noWrap/>
            <w:vAlign w:val="center"/>
          </w:tcPr>
          <w:p w14:paraId="2EACAF1F" w14:textId="4E7B19D9" w:rsidR="00A57D61" w:rsidRPr="00BD313B" w:rsidRDefault="00A57D61" w:rsidP="00BD313B">
            <w:pPr>
              <w:pStyle w:val="BodyText"/>
              <w:spacing w:before="0" w:after="0"/>
              <w:ind w:firstLine="0"/>
              <w:contextualSpacing/>
              <w:rPr>
                <w:rFonts w:ascii="Cambria Math" w:hAnsi="Cambria Math"/>
                <w:sz w:val="18"/>
                <w:szCs w:val="18"/>
              </w:rPr>
            </w:pPr>
            <m:oMathPara>
              <m:oMathParaPr>
                <m:jc m:val="center"/>
              </m:oMathParaPr>
              <m:oMath>
                <m:r>
                  <m:rPr>
                    <m:sty m:val="p"/>
                  </m:rPr>
                  <w:rPr>
                    <w:rFonts w:ascii="Cambria Math" w:hAnsi="Cambria Math"/>
                    <w:sz w:val="18"/>
                    <w:szCs w:val="18"/>
                  </w:rPr>
                  <m:t>IVCC:P</m:t>
                </m:r>
                <m:d>
                  <m:dPr>
                    <m:ctrlPr>
                      <w:rPr>
                        <w:rFonts w:ascii="Cambria Math" w:hAnsi="Cambria Math"/>
                        <w:sz w:val="18"/>
                        <w:szCs w:val="18"/>
                      </w:rPr>
                    </m:ctrlPr>
                  </m:dPr>
                  <m:e>
                    <m:r>
                      <m:rPr>
                        <m:sty m:val="p"/>
                      </m:rPr>
                      <w:rPr>
                        <w:rFonts w:ascii="Cambria Math" w:hAnsi="Cambria Math"/>
                        <w:sz w:val="18"/>
                        <w:szCs w:val="18"/>
                      </w:rPr>
                      <m:t>RCS</m:t>
                    </m:r>
                  </m:e>
                </m:d>
                <m:r>
                  <m:rPr>
                    <m:sty m:val="p"/>
                  </m:rPr>
                  <w:rPr>
                    <w:rFonts w:ascii="Cambria Math" w:hAnsi="Cambria Math"/>
                    <w:sz w:val="18"/>
                    <w:szCs w:val="18"/>
                  </w:rPr>
                  <m:t>∙PRIM. DEP∙</m:t>
                </m:r>
                <m:acc>
                  <m:accPr>
                    <m:chr m:val="̅"/>
                    <m:ctrlPr>
                      <w:rPr>
                        <w:rFonts w:ascii="Cambria Math" w:hAnsi="Cambria Math"/>
                        <w:sz w:val="18"/>
                        <w:szCs w:val="18"/>
                      </w:rPr>
                    </m:ctrlPr>
                  </m:accPr>
                  <m:e>
                    <m:r>
                      <m:rPr>
                        <m:sty m:val="p"/>
                      </m:rPr>
                      <w:rPr>
                        <w:rFonts w:ascii="Cambria Math" w:hAnsi="Cambria Math"/>
                        <w:sz w:val="18"/>
                        <w:szCs w:val="18"/>
                      </w:rPr>
                      <m:t>E–IVI</m:t>
                    </m:r>
                  </m:e>
                </m:acc>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SUCCESS</m:t>
                    </m:r>
                  </m:e>
                </m:acc>
              </m:oMath>
            </m:oMathPara>
          </w:p>
          <w:p w14:paraId="2B81B7B3" w14:textId="012080B3" w:rsidR="00A57D61" w:rsidRPr="00BD313B" w:rsidRDefault="00A57D61" w:rsidP="00BD313B">
            <w:pPr>
              <w:pStyle w:val="BodyText"/>
              <w:spacing w:before="0" w:after="0"/>
              <w:ind w:firstLine="0"/>
              <w:contextualSpacing/>
              <w:rPr>
                <w:rFonts w:ascii="Cambria Math" w:hAnsi="Cambria Math"/>
                <w:sz w:val="18"/>
                <w:szCs w:val="18"/>
              </w:rPr>
            </w:pPr>
            <m:oMathPara>
              <m:oMathParaPr>
                <m:jc m:val="center"/>
              </m:oMathParaPr>
              <m:oMath>
                <m:r>
                  <m:rPr>
                    <m:sty m:val="p"/>
                  </m:rPr>
                  <w:rPr>
                    <w:rFonts w:ascii="Cambria Math" w:hAnsi="Cambria Math"/>
                    <w:sz w:val="18"/>
                    <w:szCs w:val="18"/>
                  </w:rPr>
                  <m:t>IVMR:FC∙</m:t>
                </m:r>
                <m:acc>
                  <m:accPr>
                    <m:chr m:val="̅"/>
                    <m:ctrlPr>
                      <w:rPr>
                        <w:rFonts w:ascii="Cambria Math" w:hAnsi="Cambria Math"/>
                        <w:sz w:val="18"/>
                        <w:szCs w:val="18"/>
                      </w:rPr>
                    </m:ctrlPr>
                  </m:accPr>
                  <m:e>
                    <m:r>
                      <m:rPr>
                        <m:sty m:val="p"/>
                      </m:rPr>
                      <w:rPr>
                        <w:rFonts w:ascii="Cambria Math" w:hAnsi="Cambria Math"/>
                        <w:sz w:val="18"/>
                        <w:szCs w:val="18"/>
                      </w:rPr>
                      <m:t>SUCCESS</m:t>
                    </m:r>
                  </m:e>
                </m:acc>
              </m:oMath>
            </m:oMathPara>
          </w:p>
          <w:p w14:paraId="56F608D3" w14:textId="28F5EF65" w:rsidR="00C1074B" w:rsidRPr="00BD313B" w:rsidRDefault="00C1074B" w:rsidP="00BD313B">
            <w:pPr>
              <w:pStyle w:val="BodyText"/>
              <w:spacing w:before="0" w:after="0"/>
              <w:ind w:firstLine="0"/>
              <w:contextualSpacing/>
              <w:rPr>
                <w:rFonts w:ascii="Cambria Math" w:hAnsi="Cambria Math"/>
                <w:sz w:val="18"/>
                <w:szCs w:val="18"/>
              </w:rPr>
            </w:pPr>
            <m:oMathPara>
              <m:oMath>
                <m:r>
                  <m:rPr>
                    <m:sty m:val="p"/>
                  </m:rPr>
                  <w:rPr>
                    <w:rFonts w:ascii="Cambria Math" w:hAnsi="Cambria Math"/>
                    <w:sz w:val="18"/>
                    <w:szCs w:val="18"/>
                  </w:rPr>
                  <m:t>ECF:</m:t>
                </m:r>
                <m:acc>
                  <m:accPr>
                    <m:chr m:val="̅"/>
                    <m:ctrlPr>
                      <w:rPr>
                        <w:rFonts w:ascii="Cambria Math" w:hAnsi="Cambria Math"/>
                        <w:sz w:val="18"/>
                        <w:szCs w:val="18"/>
                      </w:rPr>
                    </m:ctrlPr>
                  </m:accPr>
                  <m:e>
                    <m:r>
                      <m:rPr>
                        <m:sty m:val="p"/>
                      </m:rPr>
                      <w:rPr>
                        <w:rFonts w:ascii="Cambria Math" w:hAnsi="Cambria Math"/>
                        <w:sz w:val="18"/>
                        <w:szCs w:val="18"/>
                      </w:rPr>
                      <m:t>FC/2</m:t>
                    </m:r>
                  </m:e>
                </m:acc>
                <m:r>
                  <m:rPr>
                    <m:sty m:val="p"/>
                  </m:rPr>
                  <w:rPr>
                    <w:rFonts w:ascii="Cambria Math" w:hAnsi="Cambria Math"/>
                    <w:sz w:val="18"/>
                    <w:szCs w:val="18"/>
                  </w:rPr>
                  <m:t>∙P</m:t>
                </m:r>
                <m:d>
                  <m:dPr>
                    <m:ctrlPr>
                      <w:rPr>
                        <w:rFonts w:ascii="Cambria Math" w:hAnsi="Cambria Math"/>
                        <w:sz w:val="18"/>
                        <w:szCs w:val="18"/>
                      </w:rPr>
                    </m:ctrlPr>
                  </m:dPr>
                  <m:e>
                    <m:r>
                      <m:rPr>
                        <m:sty m:val="p"/>
                      </m:rPr>
                      <w:rPr>
                        <w:rFonts w:ascii="Cambria Math" w:hAnsi="Cambria Math"/>
                        <w:sz w:val="18"/>
                        <w:szCs w:val="18"/>
                      </w:rPr>
                      <m:t>RCS</m:t>
                    </m:r>
                  </m:e>
                </m:d>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 xml:space="preserve">ECF </m:t>
                    </m:r>
                  </m:e>
                </m:acc>
              </m:oMath>
            </m:oMathPara>
          </w:p>
          <w:p w14:paraId="53B0A8B2" w14:textId="07166145" w:rsidR="00A57D61" w:rsidRPr="00BD313B" w:rsidRDefault="00A57D61" w:rsidP="00BD313B">
            <w:pPr>
              <w:pStyle w:val="BodyText"/>
              <w:spacing w:before="0" w:after="0"/>
              <w:ind w:firstLine="0"/>
              <w:contextualSpacing/>
              <w:rPr>
                <w:rFonts w:ascii="Cambria Math" w:hAnsi="Cambria Math"/>
                <w:sz w:val="18"/>
                <w:szCs w:val="18"/>
              </w:rPr>
            </w:pPr>
            <m:oMathPara>
              <m:oMath>
                <m:r>
                  <m:rPr>
                    <m:sty m:val="p"/>
                  </m:rPr>
                  <w:rPr>
                    <w:rFonts w:ascii="Cambria Math" w:hAnsi="Cambria Math"/>
                    <w:sz w:val="18"/>
                    <w:szCs w:val="18"/>
                  </w:rPr>
                  <m:t>IF:IIC∙</m:t>
                </m:r>
                <m:acc>
                  <m:accPr>
                    <m:chr m:val="̅"/>
                    <m:ctrlPr>
                      <w:rPr>
                        <w:rFonts w:ascii="Cambria Math" w:hAnsi="Cambria Math"/>
                        <w:sz w:val="18"/>
                        <w:szCs w:val="18"/>
                      </w:rPr>
                    </m:ctrlPr>
                  </m:accPr>
                  <m:e>
                    <m:r>
                      <m:rPr>
                        <m:sty m:val="p"/>
                      </m:rPr>
                      <w:rPr>
                        <w:rFonts w:ascii="Cambria Math" w:hAnsi="Cambria Math"/>
                        <w:sz w:val="18"/>
                        <w:szCs w:val="18"/>
                      </w:rPr>
                      <m:t>ICIF</m:t>
                    </m:r>
                  </m:e>
                </m:acc>
                <m:r>
                  <m:rPr>
                    <m:sty m:val="p"/>
                  </m:rPr>
                  <w:rPr>
                    <w:rFonts w:ascii="Cambria Math" w:hAnsi="Cambria Math"/>
                    <w:sz w:val="18"/>
                    <w:szCs w:val="18"/>
                  </w:rPr>
                  <m:t xml:space="preserve"> ∙</m:t>
                </m:r>
                <m:acc>
                  <m:accPr>
                    <m:chr m:val="̅"/>
                    <m:ctrlPr>
                      <w:rPr>
                        <w:rFonts w:ascii="Cambria Math" w:hAnsi="Cambria Math"/>
                        <w:sz w:val="18"/>
                        <w:szCs w:val="18"/>
                      </w:rPr>
                    </m:ctrlPr>
                  </m:accPr>
                  <m:e>
                    <m:r>
                      <m:rPr>
                        <m:sty m:val="p"/>
                      </m:rPr>
                      <w:rPr>
                        <w:rFonts w:ascii="Cambria Math" w:hAnsi="Cambria Math"/>
                        <w:sz w:val="18"/>
                        <w:szCs w:val="18"/>
                      </w:rPr>
                      <m:t>FCVS_SO</m:t>
                    </m:r>
                  </m:e>
                </m:acc>
                <m:r>
                  <m:rPr>
                    <m:sty m:val="p"/>
                  </m:rPr>
                  <w:rPr>
                    <w:rFonts w:ascii="Cambria Math" w:hAnsi="Cambria Math"/>
                    <w:sz w:val="18"/>
                    <w:szCs w:val="18"/>
                  </w:rPr>
                  <m:t>∙ISOL</m:t>
                </m:r>
              </m:oMath>
            </m:oMathPara>
          </w:p>
          <w:p w14:paraId="0EFFC5E1" w14:textId="4E4A7F53" w:rsidR="00A57D61" w:rsidRPr="00BD313B" w:rsidRDefault="00C1074B" w:rsidP="00BD313B">
            <w:pPr>
              <w:pStyle w:val="BodyText"/>
              <w:spacing w:before="0" w:after="0"/>
              <w:ind w:firstLine="0"/>
              <w:contextualSpacing/>
              <w:rPr>
                <w:rFonts w:ascii="Cambria Math" w:hAnsi="Cambria Math"/>
                <w:sz w:val="18"/>
                <w:szCs w:val="18"/>
              </w:rPr>
            </w:pPr>
            <m:oMathPara>
              <m:oMath>
                <m:r>
                  <m:rPr>
                    <m:sty m:val="p"/>
                  </m:rPr>
                  <w:rPr>
                    <w:rFonts w:ascii="Cambria Math" w:hAnsi="Cambria Math"/>
                    <w:sz w:val="18"/>
                    <w:szCs w:val="18"/>
                  </w:rPr>
                  <m:t>CCF:</m:t>
                </m:r>
                <m:acc>
                  <m:accPr>
                    <m:chr m:val="̅"/>
                    <m:ctrlPr>
                      <w:rPr>
                        <w:rFonts w:ascii="Cambria Math" w:hAnsi="Cambria Math"/>
                        <w:sz w:val="18"/>
                        <w:szCs w:val="18"/>
                      </w:rPr>
                    </m:ctrlPr>
                  </m:accPr>
                  <m:e>
                    <m:r>
                      <m:rPr>
                        <m:sty m:val="p"/>
                      </m:rPr>
                      <w:rPr>
                        <w:rFonts w:ascii="Cambria Math" w:hAnsi="Cambria Math"/>
                        <w:sz w:val="18"/>
                        <w:szCs w:val="18"/>
                      </w:rPr>
                      <m:t>IVCC</m:t>
                    </m:r>
                  </m:e>
                </m:acc>
                <m:r>
                  <m:rPr>
                    <m:sty m:val="p"/>
                  </m:rPr>
                  <w:rPr>
                    <w:rFonts w:ascii="Cambria Math" w:hAnsi="Cambria Math"/>
                    <w:sz w:val="18"/>
                    <w:szCs w:val="18"/>
                  </w:rPr>
                  <m:t>∙</m:t>
                </m:r>
                <m:acc>
                  <m:accPr>
                    <m:chr m:val="̅"/>
                    <m:ctrlPr>
                      <w:rPr>
                        <w:rFonts w:ascii="Cambria Math" w:hAnsi="Cambria Math"/>
                        <w:sz w:val="18"/>
                        <w:szCs w:val="18"/>
                      </w:rPr>
                    </m:ctrlPr>
                  </m:accPr>
                  <m:e>
                    <m:r>
                      <m:rPr>
                        <m:sty m:val="p"/>
                      </m:rPr>
                      <w:rPr>
                        <w:rFonts w:ascii="Cambria Math" w:hAnsi="Cambria Math"/>
                        <w:sz w:val="18"/>
                        <w:szCs w:val="18"/>
                      </w:rPr>
                      <m:t>IVMR</m:t>
                    </m:r>
                  </m:e>
                </m:acc>
                <m:r>
                  <m:rPr>
                    <m:sty m:val="p"/>
                  </m:rPr>
                  <w:rPr>
                    <w:rFonts w:ascii="Cambria Math" w:hAnsi="Cambria Math"/>
                    <w:sz w:val="18"/>
                    <w:szCs w:val="18"/>
                  </w:rPr>
                  <m:t xml:space="preserve"> ∙</m:t>
                </m:r>
                <m:acc>
                  <m:accPr>
                    <m:chr m:val="̅"/>
                    <m:ctrlPr>
                      <w:rPr>
                        <w:rFonts w:ascii="Cambria Math" w:hAnsi="Cambria Math"/>
                        <w:sz w:val="18"/>
                        <w:szCs w:val="18"/>
                      </w:rPr>
                    </m:ctrlPr>
                  </m:accPr>
                  <m:e>
                    <m:r>
                      <m:rPr>
                        <m:sty m:val="p"/>
                      </m:rPr>
                      <w:rPr>
                        <w:rFonts w:ascii="Cambria Math" w:hAnsi="Cambria Math"/>
                        <w:sz w:val="18"/>
                        <w:szCs w:val="18"/>
                      </w:rPr>
                      <m:t>ECF</m:t>
                    </m:r>
                  </m:e>
                </m:acc>
                <m:r>
                  <m:rPr>
                    <m:sty m:val="p"/>
                  </m:rPr>
                  <w:rPr>
                    <w:rFonts w:ascii="Cambria Math" w:hAnsi="Cambria Math"/>
                    <w:sz w:val="18"/>
                    <w:szCs w:val="18"/>
                  </w:rPr>
                  <m:t xml:space="preserve"> ∙</m:t>
                </m:r>
                <m:acc>
                  <m:accPr>
                    <m:chr m:val="̅"/>
                    <m:ctrlPr>
                      <w:rPr>
                        <w:rFonts w:ascii="Cambria Math" w:hAnsi="Cambria Math"/>
                        <w:sz w:val="18"/>
                        <w:szCs w:val="18"/>
                      </w:rPr>
                    </m:ctrlPr>
                  </m:accPr>
                  <m:e>
                    <m:r>
                      <m:rPr>
                        <m:sty m:val="p"/>
                      </m:rPr>
                      <w:rPr>
                        <w:rFonts w:ascii="Cambria Math" w:hAnsi="Cambria Math"/>
                        <w:sz w:val="18"/>
                        <w:szCs w:val="18"/>
                      </w:rPr>
                      <m:t>NCF</m:t>
                    </m:r>
                  </m:e>
                </m:acc>
              </m:oMath>
            </m:oMathPara>
          </w:p>
        </w:tc>
      </w:tr>
    </w:tbl>
    <w:p w14:paraId="04860668" w14:textId="151C47FE" w:rsidR="00FD53C7" w:rsidRDefault="007B47D1" w:rsidP="007B47D1">
      <w:pPr>
        <w:pStyle w:val="BodyText"/>
        <w:spacing w:after="0"/>
        <w:ind w:firstLine="0"/>
      </w:pPr>
      <w:r>
        <w:t>T</w:t>
      </w:r>
      <w:r w:rsidR="00FD53C7">
        <w:t xml:space="preserve">he acronyms presented </w:t>
      </w:r>
      <w:r w:rsidR="001B2759">
        <w:t xml:space="preserve">on </w:t>
      </w:r>
      <w:r w:rsidR="00FD53C7">
        <w:t>Table 1 bear identical significance to the terminology depicted in Figures 2-3. T</w:t>
      </w:r>
      <w:r w:rsidR="001B2759">
        <w:t>erms with an upper side bar stands for</w:t>
      </w:r>
      <w:r w:rsidR="00FD53C7">
        <w:t xml:space="preserve"> failure </w:t>
      </w:r>
      <w:r w:rsidR="001B2759">
        <w:t>to accomplish of the event</w:t>
      </w:r>
      <w:r w:rsidR="00FD53C7">
        <w:t>.</w:t>
      </w:r>
    </w:p>
    <w:p w14:paraId="0CEC4981" w14:textId="0512D713" w:rsidR="00C20B18" w:rsidRDefault="00C20B18" w:rsidP="00C20B18">
      <w:pPr>
        <w:pStyle w:val="Heading2"/>
        <w:numPr>
          <w:ilvl w:val="1"/>
          <w:numId w:val="10"/>
        </w:numPr>
      </w:pPr>
      <w:r>
        <w:t>results</w:t>
      </w:r>
    </w:p>
    <w:p w14:paraId="3F18958B" w14:textId="0F64D39F" w:rsidR="00D05C42" w:rsidRPr="00D05C42" w:rsidRDefault="00D05C42" w:rsidP="00D05C42">
      <w:pPr>
        <w:pStyle w:val="BodyText"/>
        <w:spacing w:before="0" w:after="0"/>
        <w:contextualSpacing/>
      </w:pPr>
      <w:r w:rsidRPr="00D05C42">
        <w:t xml:space="preserve">The Modular Analysis Accident Program (MAAP, ver. 5.06), was used for the accident simulation and calculation of the source term [11]. Figures 4-5 provide an example of the cumulative activity releases for Cs-137 and I-131 for the five cases considered in this work.  </w:t>
      </w:r>
      <w:r w:rsidR="00397692">
        <w:t>Figure 4-5 also show</w:t>
      </w:r>
      <w:r>
        <w:t xml:space="preserve"> the base case that refers to a scenario in which a Loss of Coolant Accident occurs with the Direct Vessel Injection system activated and the unavailability of the Emergency Heat Removal System and the Automatic Depressurization System.</w:t>
      </w:r>
    </w:p>
    <w:p w14:paraId="69E52510" w14:textId="77C2D31D" w:rsidR="00413E49" w:rsidRDefault="00413E49" w:rsidP="00E66E5B">
      <w:pPr>
        <w:pStyle w:val="BodyText"/>
        <w:spacing w:before="0" w:after="0"/>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4440"/>
      </w:tblGrid>
      <w:tr w:rsidR="00413E49" w:rsidRPr="00D46AD3" w14:paraId="5EEAD6D0" w14:textId="77777777" w:rsidTr="00D46AD3">
        <w:tc>
          <w:tcPr>
            <w:tcW w:w="4577" w:type="dxa"/>
          </w:tcPr>
          <w:p w14:paraId="20D633F9" w14:textId="77777777" w:rsidR="00D46AD3" w:rsidRPr="00D46AD3" w:rsidRDefault="00413E49" w:rsidP="00D46AD3">
            <w:pPr>
              <w:pStyle w:val="BodyText"/>
              <w:keepNext/>
              <w:spacing w:before="0" w:after="0"/>
              <w:ind w:firstLine="0"/>
              <w:contextualSpacing/>
              <w:rPr>
                <w:i/>
              </w:rPr>
            </w:pPr>
            <w:r w:rsidRPr="00D46AD3">
              <w:rPr>
                <w:i/>
                <w:noProof/>
                <w:lang w:eastAsia="en-GB"/>
              </w:rPr>
              <w:drawing>
                <wp:inline distT="0" distB="0" distL="0" distR="0" wp14:anchorId="0CD54B4A" wp14:editId="1032F2BF">
                  <wp:extent cx="2442638" cy="1584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umulated activity released - Cs-137.png"/>
                          <pic:cNvPicPr/>
                        </pic:nvPicPr>
                        <pic:blipFill rotWithShape="1">
                          <a:blip r:embed="rId11" cstate="print">
                            <a:extLst>
                              <a:ext uri="{28A0092B-C50C-407E-A947-70E740481C1C}">
                                <a14:useLocalDpi xmlns:a14="http://schemas.microsoft.com/office/drawing/2010/main" val="0"/>
                              </a:ext>
                            </a:extLst>
                          </a:blip>
                          <a:srcRect t="3546"/>
                          <a:stretch/>
                        </pic:blipFill>
                        <pic:spPr bwMode="auto">
                          <a:xfrm>
                            <a:off x="0" y="0"/>
                            <a:ext cx="2442638" cy="1584000"/>
                          </a:xfrm>
                          <a:prstGeom prst="rect">
                            <a:avLst/>
                          </a:prstGeom>
                          <a:ln>
                            <a:noFill/>
                          </a:ln>
                          <a:extLst>
                            <a:ext uri="{53640926-AAD7-44D8-BBD7-CCE9431645EC}">
                              <a14:shadowObscured xmlns:a14="http://schemas.microsoft.com/office/drawing/2010/main"/>
                            </a:ext>
                          </a:extLst>
                        </pic:spPr>
                      </pic:pic>
                    </a:graphicData>
                  </a:graphic>
                </wp:inline>
              </w:drawing>
            </w:r>
          </w:p>
          <w:p w14:paraId="6702D654" w14:textId="67013F89" w:rsidR="00D46AD3" w:rsidRPr="00D46AD3" w:rsidRDefault="00D46AD3" w:rsidP="00D46AD3">
            <w:pPr>
              <w:pStyle w:val="Caption"/>
              <w:jc w:val="both"/>
              <w:rPr>
                <w:i/>
              </w:rPr>
            </w:pPr>
            <w:r>
              <w:rPr>
                <w:i/>
              </w:rPr>
              <w:t>FIG</w:t>
            </w:r>
            <w:r w:rsidR="00D90543">
              <w:rPr>
                <w:i/>
              </w:rPr>
              <w:t>.</w:t>
            </w:r>
            <w:r w:rsidRPr="00D46AD3">
              <w:rPr>
                <w:i/>
              </w:rPr>
              <w:t xml:space="preserve"> </w:t>
            </w:r>
            <w:r w:rsidRPr="00D46AD3">
              <w:rPr>
                <w:i/>
              </w:rPr>
              <w:fldChar w:fldCharType="begin"/>
            </w:r>
            <w:r w:rsidRPr="00D46AD3">
              <w:rPr>
                <w:i/>
              </w:rPr>
              <w:instrText xml:space="preserve"> SEQ Figure \* ARABIC </w:instrText>
            </w:r>
            <w:r w:rsidRPr="00D46AD3">
              <w:rPr>
                <w:i/>
              </w:rPr>
              <w:fldChar w:fldCharType="separate"/>
            </w:r>
            <w:r w:rsidR="006553EF">
              <w:rPr>
                <w:i/>
                <w:noProof/>
              </w:rPr>
              <w:t>4</w:t>
            </w:r>
            <w:r w:rsidRPr="00D46AD3">
              <w:rPr>
                <w:i/>
              </w:rPr>
              <w:fldChar w:fldCharType="end"/>
            </w:r>
            <w:r w:rsidR="006553EF">
              <w:rPr>
                <w:i/>
              </w:rPr>
              <w:t>.</w:t>
            </w:r>
            <w:r>
              <w:rPr>
                <w:i/>
              </w:rPr>
              <w:t xml:space="preserve"> Cumulated activity released (</w:t>
            </w:r>
            <w:r w:rsidRPr="00D46AD3">
              <w:rPr>
                <w:i/>
              </w:rPr>
              <w:t>Cs-137</w:t>
            </w:r>
            <w:r>
              <w:rPr>
                <w:i/>
              </w:rPr>
              <w:t>)</w:t>
            </w:r>
            <w:r w:rsidRPr="00D46AD3">
              <w:rPr>
                <w:i/>
              </w:rPr>
              <w:t xml:space="preserve"> </w:t>
            </w:r>
            <w:r>
              <w:rPr>
                <w:i/>
              </w:rPr>
              <w:t>–</w:t>
            </w:r>
            <w:r w:rsidRPr="00D46AD3">
              <w:rPr>
                <w:i/>
              </w:rPr>
              <w:t xml:space="preserve"> MAAP code</w:t>
            </w:r>
          </w:p>
        </w:tc>
        <w:tc>
          <w:tcPr>
            <w:tcW w:w="4440" w:type="dxa"/>
          </w:tcPr>
          <w:p w14:paraId="301BCC3A" w14:textId="7BEFED4D" w:rsidR="00D46AD3" w:rsidRPr="00D46AD3" w:rsidRDefault="00D46AD3" w:rsidP="00D46AD3">
            <w:pPr>
              <w:pStyle w:val="BodyText"/>
              <w:keepNext/>
              <w:spacing w:before="0" w:after="0"/>
              <w:ind w:firstLine="0"/>
              <w:contextualSpacing/>
              <w:rPr>
                <w:i/>
              </w:rPr>
            </w:pPr>
            <w:r w:rsidRPr="00D46AD3">
              <w:rPr>
                <w:i/>
                <w:noProof/>
                <w:lang w:eastAsia="en-GB"/>
              </w:rPr>
              <w:drawing>
                <wp:inline distT="0" distB="0" distL="0" distR="0" wp14:anchorId="3E6F910B" wp14:editId="1ED269A0">
                  <wp:extent cx="2483151" cy="1584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131.png"/>
                          <pic:cNvPicPr/>
                        </pic:nvPicPr>
                        <pic:blipFill rotWithShape="1">
                          <a:blip r:embed="rId12" cstate="print">
                            <a:extLst>
                              <a:ext uri="{28A0092B-C50C-407E-A947-70E740481C1C}">
                                <a14:useLocalDpi xmlns:a14="http://schemas.microsoft.com/office/drawing/2010/main" val="0"/>
                              </a:ext>
                            </a:extLst>
                          </a:blip>
                          <a:srcRect t="4521" b="-1"/>
                          <a:stretch/>
                        </pic:blipFill>
                        <pic:spPr bwMode="auto">
                          <a:xfrm>
                            <a:off x="0" y="0"/>
                            <a:ext cx="2483151" cy="1584000"/>
                          </a:xfrm>
                          <a:prstGeom prst="rect">
                            <a:avLst/>
                          </a:prstGeom>
                          <a:ln>
                            <a:noFill/>
                          </a:ln>
                          <a:extLst>
                            <a:ext uri="{53640926-AAD7-44D8-BBD7-CCE9431645EC}">
                              <a14:shadowObscured xmlns:a14="http://schemas.microsoft.com/office/drawing/2010/main"/>
                            </a:ext>
                          </a:extLst>
                        </pic:spPr>
                      </pic:pic>
                    </a:graphicData>
                  </a:graphic>
                </wp:inline>
              </w:drawing>
            </w:r>
          </w:p>
          <w:p w14:paraId="72E539E4" w14:textId="5123EE3E" w:rsidR="00413E49" w:rsidRPr="00D46AD3" w:rsidRDefault="00D46AD3" w:rsidP="00D46AD3">
            <w:pPr>
              <w:pStyle w:val="Caption"/>
              <w:jc w:val="both"/>
              <w:rPr>
                <w:i/>
              </w:rPr>
            </w:pPr>
            <w:r>
              <w:rPr>
                <w:i/>
              </w:rPr>
              <w:t>FIG</w:t>
            </w:r>
            <w:r w:rsidR="00D90543">
              <w:rPr>
                <w:i/>
              </w:rPr>
              <w:t>.</w:t>
            </w:r>
            <w:r w:rsidRPr="00D46AD3">
              <w:rPr>
                <w:i/>
              </w:rPr>
              <w:t xml:space="preserve"> </w:t>
            </w:r>
            <w:r w:rsidRPr="00D46AD3">
              <w:rPr>
                <w:i/>
              </w:rPr>
              <w:fldChar w:fldCharType="begin"/>
            </w:r>
            <w:r w:rsidRPr="00D46AD3">
              <w:rPr>
                <w:i/>
              </w:rPr>
              <w:instrText xml:space="preserve"> SEQ Figure \* ARABIC </w:instrText>
            </w:r>
            <w:r w:rsidRPr="00D46AD3">
              <w:rPr>
                <w:i/>
              </w:rPr>
              <w:fldChar w:fldCharType="separate"/>
            </w:r>
            <w:r w:rsidR="006553EF">
              <w:rPr>
                <w:i/>
                <w:noProof/>
              </w:rPr>
              <w:t>5</w:t>
            </w:r>
            <w:r w:rsidRPr="00D46AD3">
              <w:rPr>
                <w:i/>
              </w:rPr>
              <w:fldChar w:fldCharType="end"/>
            </w:r>
            <w:r w:rsidR="006553EF">
              <w:rPr>
                <w:i/>
              </w:rPr>
              <w:t>.</w:t>
            </w:r>
            <w:r>
              <w:rPr>
                <w:i/>
              </w:rPr>
              <w:t xml:space="preserve"> Cumulated activity released (</w:t>
            </w:r>
            <w:r w:rsidRPr="00D46AD3">
              <w:rPr>
                <w:i/>
              </w:rPr>
              <w:t>I-131</w:t>
            </w:r>
            <w:r>
              <w:rPr>
                <w:i/>
              </w:rPr>
              <w:t>)</w:t>
            </w:r>
            <w:r w:rsidRPr="00D46AD3">
              <w:rPr>
                <w:i/>
              </w:rPr>
              <w:t xml:space="preserve"> </w:t>
            </w:r>
            <w:r>
              <w:rPr>
                <w:i/>
              </w:rPr>
              <w:t>–</w:t>
            </w:r>
            <w:r w:rsidRPr="00D46AD3">
              <w:rPr>
                <w:i/>
              </w:rPr>
              <w:t xml:space="preserve"> MAAP code</w:t>
            </w:r>
          </w:p>
        </w:tc>
      </w:tr>
    </w:tbl>
    <w:p w14:paraId="5BF2C61E" w14:textId="330B3977" w:rsidR="000E2DE8" w:rsidRDefault="006C2A7C" w:rsidP="000E2DE8">
      <w:pPr>
        <w:spacing w:line="260" w:lineRule="atLeast"/>
        <w:ind w:firstLine="567"/>
        <w:contextualSpacing/>
        <w:jc w:val="both"/>
        <w:rPr>
          <w:sz w:val="20"/>
        </w:rPr>
      </w:pPr>
      <w:r>
        <w:rPr>
          <w:sz w:val="20"/>
        </w:rPr>
        <w:t xml:space="preserve">The </w:t>
      </w:r>
      <w:r w:rsidR="00611EB3">
        <w:rPr>
          <w:sz w:val="20"/>
        </w:rPr>
        <w:t>five</w:t>
      </w:r>
      <w:r w:rsidR="003D156E">
        <w:rPr>
          <w:sz w:val="20"/>
        </w:rPr>
        <w:t xml:space="preserve"> source term </w:t>
      </w:r>
      <w:r>
        <w:rPr>
          <w:sz w:val="20"/>
        </w:rPr>
        <w:t>w</w:t>
      </w:r>
      <w:r w:rsidR="00D16FE8">
        <w:rPr>
          <w:sz w:val="20"/>
        </w:rPr>
        <w:t>ere</w:t>
      </w:r>
      <w:r>
        <w:rPr>
          <w:sz w:val="20"/>
        </w:rPr>
        <w:t xml:space="preserve"> </w:t>
      </w:r>
      <w:r w:rsidR="00D16FE8">
        <w:rPr>
          <w:sz w:val="20"/>
        </w:rPr>
        <w:t>then</w:t>
      </w:r>
      <w:r>
        <w:rPr>
          <w:sz w:val="20"/>
        </w:rPr>
        <w:t xml:space="preserve"> imported into the JRODOS </w:t>
      </w:r>
      <w:r w:rsidR="00D16FE8">
        <w:rPr>
          <w:sz w:val="20"/>
        </w:rPr>
        <w:t>system</w:t>
      </w:r>
      <w:r w:rsidR="003D156E">
        <w:rPr>
          <w:sz w:val="20"/>
        </w:rPr>
        <w:t xml:space="preserve"> </w:t>
      </w:r>
      <w:r w:rsidR="003F1DF1">
        <w:rPr>
          <w:sz w:val="20"/>
        </w:rPr>
        <w:t>[12</w:t>
      </w:r>
      <w:r>
        <w:rPr>
          <w:sz w:val="20"/>
        </w:rPr>
        <w:t xml:space="preserve">] </w:t>
      </w:r>
      <w:r w:rsidR="00D16FE8">
        <w:rPr>
          <w:sz w:val="20"/>
        </w:rPr>
        <w:t>to</w:t>
      </w:r>
      <w:r>
        <w:rPr>
          <w:sz w:val="20"/>
        </w:rPr>
        <w:t xml:space="preserve"> </w:t>
      </w:r>
      <w:r w:rsidR="00D16FE8">
        <w:rPr>
          <w:sz w:val="20"/>
        </w:rPr>
        <w:t xml:space="preserve">evaluate the radionuclides </w:t>
      </w:r>
      <w:r>
        <w:rPr>
          <w:sz w:val="20"/>
        </w:rPr>
        <w:t>atmospheric dispersion on</w:t>
      </w:r>
      <w:r w:rsidR="00E26D99">
        <w:rPr>
          <w:sz w:val="20"/>
        </w:rPr>
        <w:t xml:space="preserve"> a fictional location. T</w:t>
      </w:r>
      <w:r>
        <w:rPr>
          <w:sz w:val="20"/>
        </w:rPr>
        <w:t xml:space="preserve">he main objective of this paper is to present a novel methodology for EPZ evaluation, </w:t>
      </w:r>
      <w:r w:rsidR="00E26D99">
        <w:rPr>
          <w:sz w:val="20"/>
        </w:rPr>
        <w:t xml:space="preserve">therefore </w:t>
      </w:r>
      <w:r>
        <w:rPr>
          <w:sz w:val="20"/>
        </w:rPr>
        <w:t>a sensiti</w:t>
      </w:r>
      <w:r w:rsidR="00E26D99">
        <w:rPr>
          <w:sz w:val="20"/>
        </w:rPr>
        <w:t xml:space="preserve">vity analysis </w:t>
      </w:r>
      <w:r>
        <w:rPr>
          <w:sz w:val="20"/>
        </w:rPr>
        <w:t>to find the best-estimate weather condition based on a cluster or statistical analysis</w:t>
      </w:r>
      <w:r w:rsidR="003D156E">
        <w:rPr>
          <w:sz w:val="20"/>
        </w:rPr>
        <w:t xml:space="preserve"> (usually the 95/95 worst case among a wide spectrum of realistic weather conditions)</w:t>
      </w:r>
      <w:r w:rsidR="00E26D99">
        <w:rPr>
          <w:sz w:val="20"/>
        </w:rPr>
        <w:t xml:space="preserve"> was not performed</w:t>
      </w:r>
      <w:r>
        <w:rPr>
          <w:sz w:val="20"/>
        </w:rPr>
        <w:t xml:space="preserve">. The time of emission was set on a random fixed data (i.e., 15/11/2023 </w:t>
      </w:r>
      <w:r w:rsidR="00D16FE8">
        <w:rPr>
          <w:sz w:val="20"/>
        </w:rPr>
        <w:t xml:space="preserve">- </w:t>
      </w:r>
      <w:r>
        <w:rPr>
          <w:sz w:val="20"/>
        </w:rPr>
        <w:t>00:00) using the ECMWF high-resolution (10×10 km) forecast atmospheric data</w:t>
      </w:r>
      <w:r w:rsidR="00611EB3">
        <w:rPr>
          <w:sz w:val="20"/>
        </w:rPr>
        <w:t>. The domain was set equal to 96×96</w:t>
      </w:r>
      <w:r w:rsidR="005A61C5">
        <w:rPr>
          <w:sz w:val="20"/>
        </w:rPr>
        <w:t xml:space="preserve"> km, with the</w:t>
      </w:r>
      <w:r>
        <w:rPr>
          <w:sz w:val="20"/>
        </w:rPr>
        <w:t xml:space="preserve"> unit cell equal to </w:t>
      </w:r>
      <w:r w:rsidR="00D16FE8">
        <w:rPr>
          <w:sz w:val="20"/>
        </w:rPr>
        <w:t>500</w:t>
      </w:r>
      <w:r w:rsidR="00611EB3">
        <w:rPr>
          <w:sz w:val="20"/>
        </w:rPr>
        <w:t xml:space="preserve"> </w:t>
      </w:r>
      <w:r>
        <w:rPr>
          <w:sz w:val="20"/>
        </w:rPr>
        <w:t>m. The height of release was s</w:t>
      </w:r>
      <w:r w:rsidR="00D90543">
        <w:rPr>
          <w:sz w:val="20"/>
        </w:rPr>
        <w:t>et</w:t>
      </w:r>
      <w:r>
        <w:rPr>
          <w:sz w:val="20"/>
        </w:rPr>
        <w:t xml:space="preserve"> to be equal to 20 m</w:t>
      </w:r>
      <w:r w:rsidR="00D16FE8">
        <w:rPr>
          <w:sz w:val="20"/>
        </w:rPr>
        <w:t xml:space="preserve"> for all cases</w:t>
      </w:r>
      <w:r w:rsidR="00611EB3">
        <w:rPr>
          <w:sz w:val="20"/>
        </w:rPr>
        <w:t xml:space="preserve">. </w:t>
      </w:r>
      <w:r w:rsidR="00397692">
        <w:rPr>
          <w:sz w:val="20"/>
        </w:rPr>
        <w:t xml:space="preserve">The simulation time was set to 24 hours from the start of the release. </w:t>
      </w:r>
      <w:r w:rsidR="00E83E83">
        <w:rPr>
          <w:sz w:val="20"/>
        </w:rPr>
        <w:t>F</w:t>
      </w:r>
      <w:r w:rsidR="00D05C42">
        <w:rPr>
          <w:sz w:val="20"/>
        </w:rPr>
        <w:t>igures 6</w:t>
      </w:r>
      <w:r w:rsidR="0045447A">
        <w:rPr>
          <w:sz w:val="20"/>
        </w:rPr>
        <w:t>-1</w:t>
      </w:r>
      <w:r w:rsidR="00D05C42">
        <w:rPr>
          <w:sz w:val="20"/>
        </w:rPr>
        <w:t>1</w:t>
      </w:r>
      <w:r w:rsidR="00E83E83">
        <w:rPr>
          <w:sz w:val="20"/>
        </w:rPr>
        <w:t xml:space="preserve"> present the </w:t>
      </w:r>
      <w:r w:rsidR="005A61C5">
        <w:rPr>
          <w:sz w:val="20"/>
        </w:rPr>
        <w:t>radionuclides distribution map</w:t>
      </w:r>
      <w:r w:rsidR="00E83E83">
        <w:rPr>
          <w:sz w:val="20"/>
        </w:rPr>
        <w:t xml:space="preserve"> in terms of Total Effective Dose E</w:t>
      </w:r>
      <w:r w:rsidR="0045447A">
        <w:rPr>
          <w:sz w:val="20"/>
        </w:rPr>
        <w:t xml:space="preserve">quivalent </w:t>
      </w:r>
      <w:r w:rsidR="005A61C5">
        <w:rPr>
          <w:sz w:val="20"/>
        </w:rPr>
        <w:t xml:space="preserve">and Thyroid Equivalent Dose </w:t>
      </w:r>
      <w:r w:rsidR="0045447A">
        <w:rPr>
          <w:sz w:val="20"/>
        </w:rPr>
        <w:t xml:space="preserve">for </w:t>
      </w:r>
      <w:r w:rsidR="005A61C5">
        <w:rPr>
          <w:sz w:val="20"/>
        </w:rPr>
        <w:t xml:space="preserve">the first three </w:t>
      </w:r>
      <w:r w:rsidR="0045447A">
        <w:rPr>
          <w:sz w:val="20"/>
        </w:rPr>
        <w:t xml:space="preserve">cases. </w:t>
      </w:r>
      <w:r w:rsidR="003B40BC">
        <w:rPr>
          <w:sz w:val="20"/>
        </w:rPr>
        <w:t>Specifically</w:t>
      </w:r>
      <w:r w:rsidR="0045447A">
        <w:rPr>
          <w:sz w:val="20"/>
        </w:rPr>
        <w:t xml:space="preserve">, the yellow area </w:t>
      </w:r>
      <w:r w:rsidR="003B40BC">
        <w:rPr>
          <w:sz w:val="20"/>
        </w:rPr>
        <w:t>corresponding</w:t>
      </w:r>
      <w:r w:rsidR="0045447A">
        <w:rPr>
          <w:sz w:val="20"/>
        </w:rPr>
        <w:t xml:space="preserve"> to a</w:t>
      </w:r>
      <w:r w:rsidR="00D16FE8">
        <w:rPr>
          <w:sz w:val="20"/>
        </w:rPr>
        <w:t>n effective</w:t>
      </w:r>
      <w:r w:rsidR="0045447A">
        <w:rPr>
          <w:sz w:val="20"/>
        </w:rPr>
        <w:t xml:space="preserve"> dose </w:t>
      </w:r>
      <w:r w:rsidR="003B40BC">
        <w:rPr>
          <w:sz w:val="20"/>
        </w:rPr>
        <w:t>major than</w:t>
      </w:r>
      <w:r w:rsidR="0045447A">
        <w:rPr>
          <w:sz w:val="20"/>
        </w:rPr>
        <w:t xml:space="preserve"> 10 mSv, the red area to a</w:t>
      </w:r>
      <w:r w:rsidR="00D16FE8">
        <w:rPr>
          <w:sz w:val="20"/>
        </w:rPr>
        <w:t>n effective</w:t>
      </w:r>
      <w:r w:rsidR="0045447A">
        <w:rPr>
          <w:sz w:val="20"/>
        </w:rPr>
        <w:t xml:space="preserve"> dose </w:t>
      </w:r>
      <w:r w:rsidR="003B40BC">
        <w:rPr>
          <w:sz w:val="20"/>
        </w:rPr>
        <w:t>major than</w:t>
      </w:r>
      <w:r w:rsidR="0045447A">
        <w:rPr>
          <w:sz w:val="20"/>
        </w:rPr>
        <w:t xml:space="preserve"> 50 mSv and the green area to a</w:t>
      </w:r>
      <w:r w:rsidR="00D16FE8">
        <w:rPr>
          <w:sz w:val="20"/>
        </w:rPr>
        <w:t>n equivalent</w:t>
      </w:r>
      <w:r w:rsidR="0045447A">
        <w:rPr>
          <w:sz w:val="20"/>
        </w:rPr>
        <w:t xml:space="preserve"> </w:t>
      </w:r>
      <w:r w:rsidR="00D16FE8">
        <w:rPr>
          <w:sz w:val="20"/>
        </w:rPr>
        <w:t xml:space="preserve">thyroid </w:t>
      </w:r>
      <w:r w:rsidR="0045447A">
        <w:rPr>
          <w:sz w:val="20"/>
        </w:rPr>
        <w:t xml:space="preserve">dose </w:t>
      </w:r>
      <w:r w:rsidR="003B40BC">
        <w:rPr>
          <w:sz w:val="20"/>
        </w:rPr>
        <w:t>major than</w:t>
      </w:r>
      <w:r w:rsidR="0045447A">
        <w:rPr>
          <w:sz w:val="20"/>
        </w:rPr>
        <w:t xml:space="preserve"> 100 mSv.</w:t>
      </w:r>
    </w:p>
    <w:p w14:paraId="02761C03" w14:textId="394FEF4F" w:rsidR="00EB6B72" w:rsidRDefault="00EB6B72" w:rsidP="00FE2619">
      <w:pPr>
        <w:spacing w:line="260" w:lineRule="atLeast"/>
        <w:ind w:firstLine="567"/>
        <w:contextualSpacing/>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EB6B72" w14:paraId="53C9AB1E" w14:textId="77777777" w:rsidTr="00EB6B72">
        <w:tc>
          <w:tcPr>
            <w:tcW w:w="4508" w:type="dxa"/>
          </w:tcPr>
          <w:p w14:paraId="18D5A282" w14:textId="77777777" w:rsidR="00EB6B72" w:rsidRPr="00EB6B72" w:rsidRDefault="00EB6B72" w:rsidP="00EB6B72">
            <w:pPr>
              <w:keepNext/>
              <w:spacing w:line="260" w:lineRule="atLeast"/>
              <w:contextualSpacing/>
              <w:jc w:val="center"/>
              <w:rPr>
                <w:i/>
                <w:sz w:val="18"/>
                <w:szCs w:val="18"/>
              </w:rPr>
            </w:pPr>
            <w:r w:rsidRPr="00EB6B72">
              <w:rPr>
                <w:i/>
                <w:noProof/>
                <w:sz w:val="18"/>
                <w:szCs w:val="18"/>
                <w:lang w:eastAsia="en-GB"/>
              </w:rPr>
              <w:drawing>
                <wp:inline distT="0" distB="0" distL="0" distR="0" wp14:anchorId="554A38CF" wp14:editId="291F70F0">
                  <wp:extent cx="2347094" cy="1260000"/>
                  <wp:effectExtent l="0" t="0" r="0" b="0"/>
                  <wp:docPr id="4" name="Immagine 3"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585805" name="Immagine 3" descr="Immagine che contiene testo, schermata&#10;&#10;Descrizione generata automa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7094" cy="1260000"/>
                          </a:xfrm>
                          <a:prstGeom prst="rect">
                            <a:avLst/>
                          </a:prstGeom>
                        </pic:spPr>
                      </pic:pic>
                    </a:graphicData>
                  </a:graphic>
                </wp:inline>
              </w:drawing>
            </w:r>
          </w:p>
          <w:p w14:paraId="046B1819" w14:textId="56C817E9" w:rsidR="00EB6B72" w:rsidRPr="00EB6B72" w:rsidRDefault="00EB6B72" w:rsidP="00EB6B72">
            <w:pPr>
              <w:spacing w:line="240" w:lineRule="atLeast"/>
              <w:jc w:val="center"/>
              <w:rPr>
                <w:sz w:val="18"/>
                <w:szCs w:val="18"/>
              </w:rPr>
            </w:pPr>
            <w:r w:rsidRPr="00EB6B72">
              <w:rPr>
                <w:i/>
                <w:sz w:val="18"/>
                <w:szCs w:val="18"/>
              </w:rPr>
              <w:t xml:space="preserve">FIG. </w:t>
            </w:r>
            <w:r w:rsidRPr="00EB6B72">
              <w:rPr>
                <w:i/>
                <w:sz w:val="18"/>
                <w:szCs w:val="18"/>
              </w:rPr>
              <w:fldChar w:fldCharType="begin"/>
            </w:r>
            <w:r w:rsidRPr="00EB6B72">
              <w:rPr>
                <w:i/>
                <w:sz w:val="18"/>
                <w:szCs w:val="18"/>
              </w:rPr>
              <w:instrText xml:space="preserve"> SEQ Figure \* ARABIC </w:instrText>
            </w:r>
            <w:r w:rsidRPr="00EB6B72">
              <w:rPr>
                <w:i/>
                <w:sz w:val="18"/>
                <w:szCs w:val="18"/>
              </w:rPr>
              <w:fldChar w:fldCharType="separate"/>
            </w:r>
            <w:r w:rsidRPr="00EB6B72">
              <w:rPr>
                <w:i/>
                <w:noProof/>
                <w:sz w:val="18"/>
                <w:szCs w:val="18"/>
              </w:rPr>
              <w:t>6</w:t>
            </w:r>
            <w:r w:rsidRPr="00EB6B72">
              <w:rPr>
                <w:i/>
                <w:sz w:val="18"/>
                <w:szCs w:val="18"/>
              </w:rPr>
              <w:fldChar w:fldCharType="end"/>
            </w:r>
            <w:r w:rsidRPr="00EB6B72">
              <w:rPr>
                <w:i/>
                <w:sz w:val="18"/>
                <w:szCs w:val="18"/>
              </w:rPr>
              <w:t>. Total Effective Dose Equivalent map – CASE 1</w:t>
            </w:r>
          </w:p>
        </w:tc>
        <w:tc>
          <w:tcPr>
            <w:tcW w:w="4509" w:type="dxa"/>
          </w:tcPr>
          <w:p w14:paraId="22DB9138" w14:textId="77777777" w:rsidR="00EB6B72" w:rsidRPr="00EB6B72" w:rsidRDefault="00EB6B72" w:rsidP="00EB6B72">
            <w:pPr>
              <w:keepNext/>
              <w:spacing w:line="260" w:lineRule="atLeast"/>
              <w:contextualSpacing/>
              <w:jc w:val="center"/>
              <w:rPr>
                <w:i/>
                <w:sz w:val="18"/>
                <w:szCs w:val="18"/>
              </w:rPr>
            </w:pPr>
            <w:r w:rsidRPr="00EB6B72">
              <w:rPr>
                <w:i/>
                <w:noProof/>
                <w:sz w:val="18"/>
                <w:szCs w:val="18"/>
                <w:lang w:eastAsia="en-GB"/>
              </w:rPr>
              <w:drawing>
                <wp:inline distT="0" distB="0" distL="0" distR="0" wp14:anchorId="3DBF5AC9" wp14:editId="2CE4F5D5">
                  <wp:extent cx="2347094" cy="1260000"/>
                  <wp:effectExtent l="0" t="0" r="0" b="0"/>
                  <wp:docPr id="5" name="Immagine 4"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121113" name="Immagine 4" descr="Immagine che contiene testo, schermata&#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47094" cy="1260000"/>
                          </a:xfrm>
                          <a:prstGeom prst="rect">
                            <a:avLst/>
                          </a:prstGeom>
                        </pic:spPr>
                      </pic:pic>
                    </a:graphicData>
                  </a:graphic>
                </wp:inline>
              </w:drawing>
            </w:r>
          </w:p>
          <w:p w14:paraId="1B883799" w14:textId="5C5ED933" w:rsidR="00EB6B72" w:rsidRPr="00EB6B72" w:rsidRDefault="00EB6B72" w:rsidP="00EB6B72">
            <w:pPr>
              <w:spacing w:line="240" w:lineRule="atLeast"/>
              <w:jc w:val="center"/>
              <w:rPr>
                <w:sz w:val="18"/>
                <w:szCs w:val="18"/>
              </w:rPr>
            </w:pPr>
            <w:r w:rsidRPr="00EB6B72">
              <w:rPr>
                <w:i/>
                <w:sz w:val="18"/>
                <w:szCs w:val="18"/>
              </w:rPr>
              <w:t xml:space="preserve">FIG. </w:t>
            </w:r>
            <w:r w:rsidRPr="00EB6B72">
              <w:rPr>
                <w:i/>
                <w:sz w:val="18"/>
                <w:szCs w:val="18"/>
              </w:rPr>
              <w:fldChar w:fldCharType="begin"/>
            </w:r>
            <w:r w:rsidRPr="00EB6B72">
              <w:rPr>
                <w:i/>
                <w:sz w:val="18"/>
                <w:szCs w:val="18"/>
              </w:rPr>
              <w:instrText xml:space="preserve"> SEQ Figure \* ARABIC </w:instrText>
            </w:r>
            <w:r w:rsidRPr="00EB6B72">
              <w:rPr>
                <w:i/>
                <w:sz w:val="18"/>
                <w:szCs w:val="18"/>
              </w:rPr>
              <w:fldChar w:fldCharType="separate"/>
            </w:r>
            <w:r w:rsidRPr="00EB6B72">
              <w:rPr>
                <w:i/>
                <w:noProof/>
                <w:sz w:val="18"/>
                <w:szCs w:val="18"/>
              </w:rPr>
              <w:t>7</w:t>
            </w:r>
            <w:r w:rsidRPr="00EB6B72">
              <w:rPr>
                <w:i/>
                <w:sz w:val="18"/>
                <w:szCs w:val="18"/>
              </w:rPr>
              <w:fldChar w:fldCharType="end"/>
            </w:r>
            <w:r w:rsidRPr="00EB6B72">
              <w:rPr>
                <w:i/>
                <w:sz w:val="18"/>
                <w:szCs w:val="18"/>
              </w:rPr>
              <w:t>. Thyroid Equivalent Dose map – CASE 1</w:t>
            </w:r>
          </w:p>
        </w:tc>
      </w:tr>
      <w:tr w:rsidR="00EB6B72" w14:paraId="7D1C25B1" w14:textId="77777777" w:rsidTr="00EB6B72">
        <w:tc>
          <w:tcPr>
            <w:tcW w:w="4508" w:type="dxa"/>
          </w:tcPr>
          <w:p w14:paraId="279DE636" w14:textId="77777777" w:rsidR="00EB6B72" w:rsidRDefault="00EB6B72" w:rsidP="00EB6B72">
            <w:pPr>
              <w:keepNext/>
              <w:spacing w:line="260" w:lineRule="atLeast"/>
              <w:contextualSpacing/>
              <w:jc w:val="center"/>
              <w:rPr>
                <w:i/>
                <w:noProof/>
                <w:sz w:val="18"/>
                <w:szCs w:val="18"/>
                <w:lang w:eastAsia="en-GB"/>
              </w:rPr>
            </w:pPr>
            <w:r w:rsidRPr="00EB6B72">
              <w:rPr>
                <w:i/>
                <w:noProof/>
                <w:sz w:val="18"/>
                <w:szCs w:val="18"/>
                <w:lang w:eastAsia="en-GB"/>
              </w:rPr>
              <w:drawing>
                <wp:inline distT="0" distB="0" distL="0" distR="0" wp14:anchorId="095CAADA" wp14:editId="4313229F">
                  <wp:extent cx="2347094" cy="1260000"/>
                  <wp:effectExtent l="0" t="0" r="0" b="0"/>
                  <wp:docPr id="10" name="Immagine 5" descr="Immagine che contiene testo, schermata, cartone anim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83233" name="Immagine 5" descr="Immagine che contiene testo, schermata, cartone animato&#10;&#10;Descrizione generata automa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47094" cy="1260000"/>
                          </a:xfrm>
                          <a:prstGeom prst="rect">
                            <a:avLst/>
                          </a:prstGeom>
                        </pic:spPr>
                      </pic:pic>
                    </a:graphicData>
                  </a:graphic>
                </wp:inline>
              </w:drawing>
            </w:r>
          </w:p>
          <w:p w14:paraId="269A2E1F" w14:textId="3D8685B0" w:rsidR="00EB6B72" w:rsidRPr="00EB6B72" w:rsidRDefault="00EB6B72" w:rsidP="00EB6B72">
            <w:pPr>
              <w:keepNext/>
              <w:spacing w:line="240" w:lineRule="atLeast"/>
              <w:jc w:val="center"/>
              <w:rPr>
                <w:i/>
                <w:noProof/>
                <w:sz w:val="18"/>
                <w:szCs w:val="18"/>
                <w:lang w:eastAsia="en-GB"/>
              </w:rPr>
            </w:pPr>
            <w:r w:rsidRPr="00EB6B72">
              <w:rPr>
                <w:i/>
                <w:noProof/>
                <w:sz w:val="18"/>
                <w:szCs w:val="18"/>
                <w:lang w:eastAsia="en-GB"/>
              </w:rPr>
              <w:t xml:space="preserve">FIG. </w:t>
            </w:r>
            <w:r w:rsidRPr="00EB6B72">
              <w:rPr>
                <w:i/>
                <w:noProof/>
                <w:sz w:val="18"/>
                <w:szCs w:val="18"/>
                <w:lang w:eastAsia="en-GB"/>
              </w:rPr>
              <w:fldChar w:fldCharType="begin"/>
            </w:r>
            <w:r w:rsidRPr="00EB6B72">
              <w:rPr>
                <w:i/>
                <w:noProof/>
                <w:sz w:val="18"/>
                <w:szCs w:val="18"/>
                <w:lang w:eastAsia="en-GB"/>
              </w:rPr>
              <w:instrText xml:space="preserve"> SEQ Figure \* ARABIC </w:instrText>
            </w:r>
            <w:r w:rsidRPr="00EB6B72">
              <w:rPr>
                <w:i/>
                <w:noProof/>
                <w:sz w:val="18"/>
                <w:szCs w:val="18"/>
                <w:lang w:eastAsia="en-GB"/>
              </w:rPr>
              <w:fldChar w:fldCharType="separate"/>
            </w:r>
            <w:r w:rsidRPr="00EB6B72">
              <w:rPr>
                <w:i/>
                <w:noProof/>
                <w:sz w:val="18"/>
                <w:szCs w:val="18"/>
                <w:lang w:eastAsia="en-GB"/>
              </w:rPr>
              <w:t>8</w:t>
            </w:r>
            <w:r w:rsidRPr="00EB6B72">
              <w:rPr>
                <w:i/>
                <w:noProof/>
                <w:sz w:val="18"/>
                <w:szCs w:val="18"/>
                <w:lang w:eastAsia="en-GB"/>
              </w:rPr>
              <w:fldChar w:fldCharType="end"/>
            </w:r>
            <w:r w:rsidRPr="00EB6B72">
              <w:rPr>
                <w:i/>
                <w:noProof/>
                <w:sz w:val="18"/>
                <w:szCs w:val="18"/>
                <w:lang w:eastAsia="en-GB"/>
              </w:rPr>
              <w:t>. Total Effective Dose Equivalent map – CASE 2</w:t>
            </w:r>
          </w:p>
        </w:tc>
        <w:tc>
          <w:tcPr>
            <w:tcW w:w="4509" w:type="dxa"/>
          </w:tcPr>
          <w:p w14:paraId="4B298806" w14:textId="77777777" w:rsidR="00EB6B72" w:rsidRDefault="00EB6B72" w:rsidP="00EB6B72">
            <w:pPr>
              <w:keepNext/>
              <w:spacing w:line="260" w:lineRule="atLeast"/>
              <w:contextualSpacing/>
              <w:jc w:val="center"/>
              <w:rPr>
                <w:i/>
                <w:noProof/>
                <w:sz w:val="18"/>
                <w:szCs w:val="18"/>
                <w:lang w:eastAsia="en-GB"/>
              </w:rPr>
            </w:pPr>
            <w:r w:rsidRPr="00EB6B72">
              <w:rPr>
                <w:i/>
                <w:noProof/>
                <w:sz w:val="18"/>
                <w:szCs w:val="18"/>
                <w:lang w:eastAsia="en-GB"/>
              </w:rPr>
              <w:drawing>
                <wp:inline distT="0" distB="0" distL="0" distR="0" wp14:anchorId="6828854E" wp14:editId="758EF27A">
                  <wp:extent cx="2347094" cy="1260000"/>
                  <wp:effectExtent l="0" t="0" r="0" b="0"/>
                  <wp:docPr id="11" name="Immagine 6" descr="Immagine che contiene testo, schermata, verd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25262" name="Immagine 6" descr="Immagine che contiene testo, schermata, verde, diagramma&#10;&#10;Descrizione generata automa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47094" cy="1260000"/>
                          </a:xfrm>
                          <a:prstGeom prst="rect">
                            <a:avLst/>
                          </a:prstGeom>
                        </pic:spPr>
                      </pic:pic>
                    </a:graphicData>
                  </a:graphic>
                </wp:inline>
              </w:drawing>
            </w:r>
          </w:p>
          <w:p w14:paraId="03E82D3D" w14:textId="3D229316" w:rsidR="00EB6B72" w:rsidRPr="00EB6B72" w:rsidRDefault="00EB6B72" w:rsidP="00EB6B72">
            <w:pPr>
              <w:keepNext/>
              <w:spacing w:line="240" w:lineRule="atLeast"/>
              <w:jc w:val="center"/>
              <w:rPr>
                <w:i/>
                <w:noProof/>
                <w:sz w:val="18"/>
                <w:szCs w:val="18"/>
                <w:lang w:eastAsia="en-GB"/>
              </w:rPr>
            </w:pPr>
            <w:r w:rsidRPr="00EB6B72">
              <w:rPr>
                <w:i/>
                <w:noProof/>
                <w:sz w:val="18"/>
                <w:szCs w:val="18"/>
                <w:lang w:eastAsia="en-GB"/>
              </w:rPr>
              <w:t xml:space="preserve">FIG. </w:t>
            </w:r>
            <w:r w:rsidRPr="00EB6B72">
              <w:rPr>
                <w:i/>
                <w:noProof/>
                <w:sz w:val="18"/>
                <w:szCs w:val="18"/>
                <w:lang w:eastAsia="en-GB"/>
              </w:rPr>
              <w:fldChar w:fldCharType="begin"/>
            </w:r>
            <w:r w:rsidRPr="00EB6B72">
              <w:rPr>
                <w:i/>
                <w:noProof/>
                <w:sz w:val="18"/>
                <w:szCs w:val="18"/>
                <w:lang w:eastAsia="en-GB"/>
              </w:rPr>
              <w:instrText xml:space="preserve"> SEQ Figure \* ARABIC </w:instrText>
            </w:r>
            <w:r w:rsidRPr="00EB6B72">
              <w:rPr>
                <w:i/>
                <w:noProof/>
                <w:sz w:val="18"/>
                <w:szCs w:val="18"/>
                <w:lang w:eastAsia="en-GB"/>
              </w:rPr>
              <w:fldChar w:fldCharType="separate"/>
            </w:r>
            <w:r w:rsidRPr="00EB6B72">
              <w:rPr>
                <w:i/>
                <w:noProof/>
                <w:sz w:val="18"/>
                <w:szCs w:val="18"/>
                <w:lang w:eastAsia="en-GB"/>
              </w:rPr>
              <w:t>9</w:t>
            </w:r>
            <w:r w:rsidRPr="00EB6B72">
              <w:rPr>
                <w:i/>
                <w:noProof/>
                <w:sz w:val="18"/>
                <w:szCs w:val="18"/>
                <w:lang w:eastAsia="en-GB"/>
              </w:rPr>
              <w:fldChar w:fldCharType="end"/>
            </w:r>
            <w:r w:rsidRPr="00EB6B72">
              <w:rPr>
                <w:i/>
                <w:noProof/>
                <w:sz w:val="18"/>
                <w:szCs w:val="18"/>
                <w:lang w:eastAsia="en-GB"/>
              </w:rPr>
              <w:t>. Thyroid Equivalent Dose map – CASE 2</w:t>
            </w:r>
          </w:p>
        </w:tc>
      </w:tr>
    </w:tbl>
    <w:p w14:paraId="4A9C7467" w14:textId="77777777" w:rsidR="00EB6B72" w:rsidRDefault="00EB6B72" w:rsidP="00EB6B72">
      <w:pPr>
        <w:spacing w:line="260" w:lineRule="atLeast"/>
        <w:ind w:firstLine="567"/>
        <w:contextualSpacing/>
        <w:jc w:val="cente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FE2619" w:rsidRPr="006553EF" w14:paraId="10EE95AB" w14:textId="77777777" w:rsidTr="005B547F">
        <w:tc>
          <w:tcPr>
            <w:tcW w:w="4508" w:type="dxa"/>
          </w:tcPr>
          <w:p w14:paraId="47B4879B" w14:textId="78121FCF" w:rsidR="005A61C5" w:rsidRPr="006553EF" w:rsidRDefault="00FE2619" w:rsidP="00667D20">
            <w:pPr>
              <w:keepNext/>
              <w:spacing w:line="260" w:lineRule="atLeast"/>
              <w:contextualSpacing/>
              <w:jc w:val="center"/>
              <w:rPr>
                <w:i/>
              </w:rPr>
            </w:pPr>
            <w:r>
              <w:rPr>
                <w:i/>
                <w:noProof/>
                <w:lang w:eastAsia="en-GB"/>
              </w:rPr>
              <w:drawing>
                <wp:inline distT="0" distB="0" distL="0" distR="0" wp14:anchorId="6A5B4627" wp14:editId="6FE8407E">
                  <wp:extent cx="2414147" cy="1296000"/>
                  <wp:effectExtent l="0" t="0" r="5715" b="0"/>
                  <wp:docPr id="1899128303" name="Immagine 9"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28303" name="Immagine 9" descr="Immagine che contiene testo, schermata&#10;&#10;Descrizione generata automa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14147" cy="1296000"/>
                          </a:xfrm>
                          <a:prstGeom prst="rect">
                            <a:avLst/>
                          </a:prstGeom>
                        </pic:spPr>
                      </pic:pic>
                    </a:graphicData>
                  </a:graphic>
                </wp:inline>
              </w:drawing>
            </w:r>
          </w:p>
          <w:p w14:paraId="1D3365DF" w14:textId="1B85E3B5" w:rsidR="005A61C5" w:rsidRPr="006553EF" w:rsidRDefault="005A61C5" w:rsidP="005A61C5">
            <w:pPr>
              <w:pStyle w:val="Caption"/>
              <w:jc w:val="center"/>
              <w:rPr>
                <w:i/>
                <w:sz w:val="20"/>
              </w:rPr>
            </w:pPr>
            <w:r w:rsidRPr="006553EF">
              <w:rPr>
                <w:i/>
              </w:rPr>
              <w:t xml:space="preserve">FIG. </w:t>
            </w:r>
            <w:r w:rsidRPr="006553EF">
              <w:rPr>
                <w:i/>
              </w:rPr>
              <w:fldChar w:fldCharType="begin"/>
            </w:r>
            <w:r w:rsidRPr="006553EF">
              <w:rPr>
                <w:i/>
              </w:rPr>
              <w:instrText xml:space="preserve"> SEQ Figure \* ARABIC </w:instrText>
            </w:r>
            <w:r w:rsidRPr="006553EF">
              <w:rPr>
                <w:i/>
              </w:rPr>
              <w:fldChar w:fldCharType="separate"/>
            </w:r>
            <w:r w:rsidR="006553EF" w:rsidRPr="006553EF">
              <w:rPr>
                <w:i/>
                <w:noProof/>
              </w:rPr>
              <w:t>10</w:t>
            </w:r>
            <w:r w:rsidRPr="006553EF">
              <w:rPr>
                <w:i/>
              </w:rPr>
              <w:fldChar w:fldCharType="end"/>
            </w:r>
            <w:r w:rsidR="006553EF" w:rsidRPr="006553EF">
              <w:rPr>
                <w:i/>
              </w:rPr>
              <w:t>.</w:t>
            </w:r>
            <w:r w:rsidRPr="006553EF">
              <w:rPr>
                <w:i/>
              </w:rPr>
              <w:t xml:space="preserve"> Total Effective Dose Equivalent map </w:t>
            </w:r>
            <w:r w:rsidR="00D90543" w:rsidRPr="006553EF">
              <w:rPr>
                <w:i/>
              </w:rPr>
              <w:t>–</w:t>
            </w:r>
            <w:r w:rsidRPr="006553EF">
              <w:rPr>
                <w:i/>
              </w:rPr>
              <w:t xml:space="preserve"> CASE 3</w:t>
            </w:r>
          </w:p>
        </w:tc>
        <w:tc>
          <w:tcPr>
            <w:tcW w:w="4509" w:type="dxa"/>
          </w:tcPr>
          <w:p w14:paraId="0336A8F0" w14:textId="5E0C118B" w:rsidR="006553EF" w:rsidRPr="006553EF" w:rsidRDefault="00FE2619" w:rsidP="006553EF">
            <w:pPr>
              <w:keepNext/>
              <w:spacing w:line="260" w:lineRule="atLeast"/>
              <w:contextualSpacing/>
              <w:jc w:val="center"/>
              <w:rPr>
                <w:i/>
              </w:rPr>
            </w:pPr>
            <w:r>
              <w:rPr>
                <w:i/>
                <w:noProof/>
                <w:lang w:eastAsia="en-GB"/>
              </w:rPr>
              <w:drawing>
                <wp:inline distT="0" distB="0" distL="0" distR="0" wp14:anchorId="1009EA8C" wp14:editId="5664B107">
                  <wp:extent cx="2414147" cy="1296000"/>
                  <wp:effectExtent l="0" t="0" r="5715" b="0"/>
                  <wp:docPr id="843480307" name="Immagine 10" descr="Immagine che contiene testo, schermata, verd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80307" name="Immagine 10" descr="Immagine che contiene testo, schermata, verde, diagramma&#10;&#10;Descrizione generata automa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14147" cy="1296000"/>
                          </a:xfrm>
                          <a:prstGeom prst="rect">
                            <a:avLst/>
                          </a:prstGeom>
                        </pic:spPr>
                      </pic:pic>
                    </a:graphicData>
                  </a:graphic>
                </wp:inline>
              </w:drawing>
            </w:r>
          </w:p>
          <w:p w14:paraId="57D7E810" w14:textId="17823A37" w:rsidR="005A61C5" w:rsidRPr="006553EF" w:rsidRDefault="006553EF" w:rsidP="006553EF">
            <w:pPr>
              <w:pStyle w:val="Caption"/>
              <w:jc w:val="center"/>
              <w:rPr>
                <w:i/>
              </w:rPr>
            </w:pPr>
            <w:r w:rsidRPr="006553EF">
              <w:rPr>
                <w:i/>
              </w:rPr>
              <w:t xml:space="preserve">Figure </w:t>
            </w:r>
            <w:r w:rsidRPr="006553EF">
              <w:rPr>
                <w:i/>
              </w:rPr>
              <w:fldChar w:fldCharType="begin"/>
            </w:r>
            <w:r w:rsidRPr="006553EF">
              <w:rPr>
                <w:i/>
              </w:rPr>
              <w:instrText xml:space="preserve"> SEQ Figure \* ARABIC </w:instrText>
            </w:r>
            <w:r w:rsidRPr="006553EF">
              <w:rPr>
                <w:i/>
              </w:rPr>
              <w:fldChar w:fldCharType="separate"/>
            </w:r>
            <w:r w:rsidRPr="006553EF">
              <w:rPr>
                <w:i/>
                <w:noProof/>
              </w:rPr>
              <w:t>11</w:t>
            </w:r>
            <w:r w:rsidRPr="006553EF">
              <w:rPr>
                <w:i/>
              </w:rPr>
              <w:fldChar w:fldCharType="end"/>
            </w:r>
            <w:r w:rsidRPr="006553EF">
              <w:rPr>
                <w:i/>
              </w:rPr>
              <w:t>: Equivalent Thyroid Dose map – CASE 3</w:t>
            </w:r>
          </w:p>
        </w:tc>
      </w:tr>
    </w:tbl>
    <w:p w14:paraId="1EC49700" w14:textId="20AAE4C8" w:rsidR="00E83E83" w:rsidRDefault="00E83E83" w:rsidP="005A61C5">
      <w:pPr>
        <w:spacing w:line="260" w:lineRule="atLeast"/>
        <w:jc w:val="both"/>
        <w:rPr>
          <w:sz w:val="20"/>
        </w:rPr>
      </w:pPr>
    </w:p>
    <w:p w14:paraId="5AC24BBC" w14:textId="2D2A5E17" w:rsidR="006C2A7C" w:rsidRDefault="006C2A7C" w:rsidP="00E66E5B">
      <w:pPr>
        <w:spacing w:line="260" w:lineRule="atLeast"/>
        <w:ind w:firstLine="567"/>
        <w:contextualSpacing/>
        <w:jc w:val="both"/>
        <w:rPr>
          <w:vanish/>
          <w:sz w:val="20"/>
          <w:specVanish/>
        </w:rPr>
      </w:pPr>
      <w:r>
        <w:rPr>
          <w:sz w:val="20"/>
        </w:rPr>
        <w:t xml:space="preserve">Table 2 presents the maximum distance at which protective action should be taken, based on the IAEA recommended dose intervention levels for the introduction of protective action in an early </w:t>
      </w:r>
      <w:r w:rsidR="003F1DF1">
        <w:rPr>
          <w:sz w:val="20"/>
        </w:rPr>
        <w:t>phase of a nuclear emergency [13</w:t>
      </w:r>
      <w:r>
        <w:rPr>
          <w:sz w:val="20"/>
        </w:rPr>
        <w:t>].</w:t>
      </w:r>
    </w:p>
    <w:p w14:paraId="393EFC16" w14:textId="46EF113E" w:rsidR="006C2A7C" w:rsidRDefault="006C2A7C" w:rsidP="00531AE8">
      <w:pPr>
        <w:spacing w:line="260" w:lineRule="atLeast"/>
        <w:ind w:firstLine="567"/>
        <w:jc w:val="both"/>
        <w:rPr>
          <w:sz w:val="20"/>
        </w:rPr>
      </w:pPr>
      <w:r>
        <w:rPr>
          <w:sz w:val="20"/>
        </w:rPr>
        <w:t xml:space="preserve"> </w:t>
      </w:r>
    </w:p>
    <w:p w14:paraId="4DE16512" w14:textId="77777777" w:rsidR="00EB6B72" w:rsidRDefault="00EB6B72" w:rsidP="003B0117">
      <w:pPr>
        <w:pStyle w:val="BodyText"/>
        <w:ind w:firstLine="0"/>
      </w:pPr>
    </w:p>
    <w:p w14:paraId="7789C932" w14:textId="06CBA764" w:rsidR="003F1DF1" w:rsidRDefault="003B0117" w:rsidP="003B0117">
      <w:pPr>
        <w:pStyle w:val="BodyText"/>
        <w:ind w:firstLine="0"/>
      </w:pPr>
      <w:r>
        <w:t>TABLE</w:t>
      </w:r>
      <w:r w:rsidR="002E5400">
        <w:t xml:space="preserve"> </w:t>
      </w:r>
      <w:fldSimple w:instr=" SEQ Table \* ARABIC ">
        <w:r w:rsidR="002E5400">
          <w:t>2</w:t>
        </w:r>
      </w:fldSimple>
      <w:r w:rsidR="006553EF">
        <w:t>.</w:t>
      </w:r>
      <w:r w:rsidR="006553EF">
        <w:tab/>
      </w:r>
      <w:r>
        <w:t>MAXIMUM DISTANCE FOR PROTECTIVE ACTIONS IMPLEMENTATIONS</w:t>
      </w:r>
    </w:p>
    <w:p w14:paraId="759BE3EA" w14:textId="77777777" w:rsidR="003F1DF1" w:rsidRDefault="003F1DF1" w:rsidP="00B27F29">
      <w:pPr>
        <w:pStyle w:val="BodyText"/>
        <w:spacing w:before="0" w:after="0"/>
        <w:ind w:firstLine="0"/>
        <w:contextualSpacing/>
      </w:pPr>
    </w:p>
    <w:tbl>
      <w:tblPr>
        <w:tblW w:w="0" w:type="auto"/>
        <w:jc w:val="center"/>
        <w:tblBorders>
          <w:top w:val="single" w:sz="4" w:space="0" w:color="auto"/>
          <w:bottom w:val="single" w:sz="4" w:space="0" w:color="auto"/>
        </w:tblBorders>
        <w:tblLook w:val="04A0" w:firstRow="1" w:lastRow="0" w:firstColumn="1" w:lastColumn="0" w:noHBand="0" w:noVBand="1"/>
      </w:tblPr>
      <w:tblGrid>
        <w:gridCol w:w="1418"/>
        <w:gridCol w:w="956"/>
        <w:gridCol w:w="1042"/>
        <w:gridCol w:w="1026"/>
      </w:tblGrid>
      <w:tr w:rsidR="002E5400" w:rsidRPr="00C32D58" w14:paraId="609A9213" w14:textId="77777777" w:rsidTr="0039647D">
        <w:trPr>
          <w:trHeight w:val="290"/>
          <w:jc w:val="center"/>
        </w:trPr>
        <w:tc>
          <w:tcPr>
            <w:tcW w:w="1418" w:type="dxa"/>
            <w:vMerge w:val="restart"/>
            <w:tcBorders>
              <w:top w:val="single" w:sz="4" w:space="0" w:color="auto"/>
              <w:bottom w:val="nil"/>
            </w:tcBorders>
            <w:shd w:val="clear" w:color="auto" w:fill="auto"/>
            <w:noWrap/>
            <w:vAlign w:val="center"/>
            <w:hideMark/>
          </w:tcPr>
          <w:p w14:paraId="1702F022" w14:textId="01DB2108" w:rsidR="002E5400" w:rsidRPr="00C32D58" w:rsidRDefault="0039647D" w:rsidP="0039647D">
            <w:pPr>
              <w:pStyle w:val="BodyText"/>
              <w:spacing w:before="0" w:after="0"/>
              <w:ind w:firstLine="0"/>
              <w:jc w:val="left"/>
              <w:rPr>
                <w:sz w:val="18"/>
                <w:szCs w:val="18"/>
              </w:rPr>
            </w:pPr>
            <w:r>
              <w:rPr>
                <w:sz w:val="18"/>
                <w:szCs w:val="18"/>
              </w:rPr>
              <w:t>CASE</w:t>
            </w:r>
          </w:p>
        </w:tc>
        <w:tc>
          <w:tcPr>
            <w:tcW w:w="0" w:type="auto"/>
            <w:tcBorders>
              <w:top w:val="single" w:sz="4" w:space="0" w:color="auto"/>
              <w:bottom w:val="nil"/>
            </w:tcBorders>
            <w:shd w:val="clear" w:color="auto" w:fill="auto"/>
            <w:noWrap/>
            <w:vAlign w:val="bottom"/>
            <w:hideMark/>
          </w:tcPr>
          <w:p w14:paraId="66C2FA1A" w14:textId="77777777" w:rsidR="002E5400" w:rsidRPr="00C32D58" w:rsidRDefault="002E5400" w:rsidP="003F1DF1">
            <w:pPr>
              <w:pStyle w:val="BodyText"/>
              <w:spacing w:before="0" w:after="0"/>
              <w:ind w:firstLine="0"/>
              <w:rPr>
                <w:sz w:val="18"/>
                <w:szCs w:val="18"/>
              </w:rPr>
            </w:pPr>
            <w:r w:rsidRPr="00C32D58">
              <w:rPr>
                <w:sz w:val="18"/>
                <w:szCs w:val="18"/>
              </w:rPr>
              <w:t>Sheltering</w:t>
            </w:r>
          </w:p>
        </w:tc>
        <w:tc>
          <w:tcPr>
            <w:tcW w:w="0" w:type="auto"/>
            <w:tcBorders>
              <w:top w:val="single" w:sz="4" w:space="0" w:color="auto"/>
              <w:bottom w:val="nil"/>
            </w:tcBorders>
            <w:shd w:val="clear" w:color="auto" w:fill="auto"/>
            <w:noWrap/>
            <w:vAlign w:val="bottom"/>
            <w:hideMark/>
          </w:tcPr>
          <w:p w14:paraId="6101A8A9" w14:textId="77777777" w:rsidR="002E5400" w:rsidRPr="00C32D58" w:rsidRDefault="002E5400" w:rsidP="003F1DF1">
            <w:pPr>
              <w:pStyle w:val="BodyText"/>
              <w:spacing w:before="0" w:after="0"/>
              <w:ind w:firstLine="0"/>
              <w:rPr>
                <w:sz w:val="18"/>
                <w:szCs w:val="18"/>
              </w:rPr>
            </w:pPr>
            <w:r w:rsidRPr="00C32D58">
              <w:rPr>
                <w:sz w:val="18"/>
                <w:szCs w:val="18"/>
              </w:rPr>
              <w:t>Iodine Pills</w:t>
            </w:r>
          </w:p>
        </w:tc>
        <w:tc>
          <w:tcPr>
            <w:tcW w:w="0" w:type="auto"/>
            <w:tcBorders>
              <w:top w:val="single" w:sz="4" w:space="0" w:color="auto"/>
              <w:bottom w:val="nil"/>
            </w:tcBorders>
            <w:shd w:val="clear" w:color="auto" w:fill="auto"/>
            <w:noWrap/>
            <w:vAlign w:val="bottom"/>
            <w:hideMark/>
          </w:tcPr>
          <w:p w14:paraId="17B046D8" w14:textId="77777777" w:rsidR="002E5400" w:rsidRPr="00C32D58" w:rsidRDefault="002E5400" w:rsidP="003F1DF1">
            <w:pPr>
              <w:pStyle w:val="BodyText"/>
              <w:spacing w:before="0" w:after="0"/>
              <w:ind w:firstLine="0"/>
              <w:rPr>
                <w:sz w:val="18"/>
                <w:szCs w:val="18"/>
              </w:rPr>
            </w:pPr>
            <w:r w:rsidRPr="002E5400">
              <w:rPr>
                <w:sz w:val="18"/>
                <w:szCs w:val="18"/>
              </w:rPr>
              <w:t>Evacuation</w:t>
            </w:r>
          </w:p>
        </w:tc>
      </w:tr>
      <w:tr w:rsidR="002E5400" w:rsidRPr="00C32D58" w14:paraId="1B815F68" w14:textId="77777777" w:rsidTr="0039647D">
        <w:trPr>
          <w:trHeight w:val="290"/>
          <w:jc w:val="center"/>
        </w:trPr>
        <w:tc>
          <w:tcPr>
            <w:tcW w:w="1418" w:type="dxa"/>
            <w:vMerge/>
            <w:tcBorders>
              <w:top w:val="nil"/>
              <w:bottom w:val="single" w:sz="4" w:space="0" w:color="auto"/>
            </w:tcBorders>
            <w:vAlign w:val="center"/>
            <w:hideMark/>
          </w:tcPr>
          <w:p w14:paraId="24E2D94B" w14:textId="77777777" w:rsidR="002E5400" w:rsidRPr="00C32D58" w:rsidRDefault="002E5400" w:rsidP="003F1DF1">
            <w:pPr>
              <w:pStyle w:val="BodyText"/>
              <w:spacing w:before="0" w:after="0"/>
              <w:ind w:firstLine="0"/>
              <w:rPr>
                <w:sz w:val="18"/>
                <w:szCs w:val="18"/>
              </w:rPr>
            </w:pPr>
          </w:p>
        </w:tc>
        <w:tc>
          <w:tcPr>
            <w:tcW w:w="0" w:type="auto"/>
            <w:tcBorders>
              <w:top w:val="nil"/>
              <w:bottom w:val="single" w:sz="4" w:space="0" w:color="auto"/>
            </w:tcBorders>
            <w:shd w:val="clear" w:color="auto" w:fill="auto"/>
            <w:noWrap/>
            <w:vAlign w:val="bottom"/>
            <w:hideMark/>
          </w:tcPr>
          <w:p w14:paraId="2DB6C56C" w14:textId="77777777" w:rsidR="002E5400" w:rsidRPr="00C32D58" w:rsidRDefault="002E5400" w:rsidP="003F1DF1">
            <w:pPr>
              <w:pStyle w:val="BodyText"/>
              <w:spacing w:before="0" w:after="0"/>
              <w:ind w:firstLine="0"/>
              <w:rPr>
                <w:sz w:val="18"/>
                <w:szCs w:val="18"/>
              </w:rPr>
            </w:pPr>
            <w:r w:rsidRPr="00C32D58">
              <w:rPr>
                <w:sz w:val="18"/>
                <w:szCs w:val="18"/>
              </w:rPr>
              <w:t>(km)</w:t>
            </w:r>
          </w:p>
        </w:tc>
        <w:tc>
          <w:tcPr>
            <w:tcW w:w="0" w:type="auto"/>
            <w:tcBorders>
              <w:top w:val="nil"/>
              <w:bottom w:val="single" w:sz="4" w:space="0" w:color="auto"/>
            </w:tcBorders>
            <w:shd w:val="clear" w:color="auto" w:fill="auto"/>
            <w:noWrap/>
            <w:vAlign w:val="bottom"/>
            <w:hideMark/>
          </w:tcPr>
          <w:p w14:paraId="57C09C65" w14:textId="77777777" w:rsidR="002E5400" w:rsidRPr="00C32D58" w:rsidRDefault="002E5400" w:rsidP="003F1DF1">
            <w:pPr>
              <w:pStyle w:val="BodyText"/>
              <w:spacing w:before="0" w:after="0"/>
              <w:ind w:firstLine="0"/>
              <w:contextualSpacing/>
              <w:rPr>
                <w:sz w:val="18"/>
                <w:szCs w:val="18"/>
              </w:rPr>
            </w:pPr>
            <w:r w:rsidRPr="00C32D58">
              <w:rPr>
                <w:sz w:val="18"/>
                <w:szCs w:val="18"/>
              </w:rPr>
              <w:t>(km)</w:t>
            </w:r>
          </w:p>
        </w:tc>
        <w:tc>
          <w:tcPr>
            <w:tcW w:w="0" w:type="auto"/>
            <w:tcBorders>
              <w:top w:val="nil"/>
              <w:bottom w:val="single" w:sz="4" w:space="0" w:color="auto"/>
            </w:tcBorders>
            <w:shd w:val="clear" w:color="auto" w:fill="auto"/>
            <w:noWrap/>
            <w:vAlign w:val="bottom"/>
            <w:hideMark/>
          </w:tcPr>
          <w:p w14:paraId="133CB891" w14:textId="77777777" w:rsidR="002E5400" w:rsidRPr="00C32D58" w:rsidRDefault="002E5400" w:rsidP="003F1DF1">
            <w:pPr>
              <w:pStyle w:val="BodyText"/>
              <w:spacing w:before="0" w:after="0"/>
              <w:ind w:firstLine="0"/>
              <w:rPr>
                <w:sz w:val="18"/>
                <w:szCs w:val="18"/>
              </w:rPr>
            </w:pPr>
            <w:r w:rsidRPr="00C32D58">
              <w:rPr>
                <w:sz w:val="18"/>
                <w:szCs w:val="18"/>
              </w:rPr>
              <w:t>(km)</w:t>
            </w:r>
          </w:p>
        </w:tc>
      </w:tr>
      <w:tr w:rsidR="002E5400" w:rsidRPr="00C32D58" w14:paraId="27AE9E95" w14:textId="77777777" w:rsidTr="0039647D">
        <w:trPr>
          <w:trHeight w:val="290"/>
          <w:jc w:val="center"/>
        </w:trPr>
        <w:tc>
          <w:tcPr>
            <w:tcW w:w="1418" w:type="dxa"/>
            <w:tcBorders>
              <w:top w:val="single" w:sz="4" w:space="0" w:color="auto"/>
            </w:tcBorders>
            <w:shd w:val="clear" w:color="auto" w:fill="auto"/>
            <w:noWrap/>
            <w:vAlign w:val="bottom"/>
            <w:hideMark/>
          </w:tcPr>
          <w:p w14:paraId="4D35CC42" w14:textId="08D5438D" w:rsidR="002E5400" w:rsidRPr="00C32D58" w:rsidRDefault="002E5400" w:rsidP="003F1DF1">
            <w:pPr>
              <w:pStyle w:val="BodyText"/>
              <w:spacing w:before="0" w:after="0"/>
              <w:ind w:firstLine="0"/>
              <w:rPr>
                <w:sz w:val="18"/>
                <w:szCs w:val="18"/>
              </w:rPr>
            </w:pPr>
            <w:r w:rsidRPr="00C32D58">
              <w:rPr>
                <w:sz w:val="18"/>
                <w:szCs w:val="18"/>
              </w:rPr>
              <w:t xml:space="preserve"> 1</w:t>
            </w:r>
          </w:p>
        </w:tc>
        <w:tc>
          <w:tcPr>
            <w:tcW w:w="0" w:type="auto"/>
            <w:tcBorders>
              <w:top w:val="single" w:sz="4" w:space="0" w:color="auto"/>
            </w:tcBorders>
            <w:shd w:val="clear" w:color="auto" w:fill="auto"/>
            <w:noWrap/>
            <w:vAlign w:val="bottom"/>
            <w:hideMark/>
          </w:tcPr>
          <w:p w14:paraId="23E9D1A7" w14:textId="29AAB3C4" w:rsidR="002E5400" w:rsidRPr="00C32D58" w:rsidRDefault="00475031" w:rsidP="003F1DF1">
            <w:pPr>
              <w:pStyle w:val="BodyText"/>
              <w:spacing w:before="0" w:after="0"/>
              <w:ind w:firstLine="0"/>
              <w:rPr>
                <w:sz w:val="18"/>
                <w:szCs w:val="18"/>
              </w:rPr>
            </w:pPr>
            <w:r>
              <w:rPr>
                <w:sz w:val="18"/>
                <w:szCs w:val="18"/>
              </w:rPr>
              <w:t>4</w:t>
            </w:r>
            <w:r w:rsidR="00CB2D73">
              <w:rPr>
                <w:sz w:val="18"/>
                <w:szCs w:val="18"/>
              </w:rPr>
              <w:t>4</w:t>
            </w:r>
          </w:p>
        </w:tc>
        <w:tc>
          <w:tcPr>
            <w:tcW w:w="0" w:type="auto"/>
            <w:tcBorders>
              <w:top w:val="single" w:sz="4" w:space="0" w:color="auto"/>
            </w:tcBorders>
            <w:shd w:val="clear" w:color="auto" w:fill="auto"/>
            <w:noWrap/>
            <w:vAlign w:val="bottom"/>
            <w:hideMark/>
          </w:tcPr>
          <w:p w14:paraId="5C1CA6B1" w14:textId="7C785B22" w:rsidR="002E5400" w:rsidRPr="00C32D58" w:rsidRDefault="002E5400" w:rsidP="003F1DF1">
            <w:pPr>
              <w:pStyle w:val="BodyText"/>
              <w:spacing w:before="0" w:after="0"/>
              <w:ind w:firstLine="0"/>
              <w:rPr>
                <w:sz w:val="18"/>
                <w:szCs w:val="18"/>
              </w:rPr>
            </w:pPr>
            <w:r w:rsidRPr="00C32D58">
              <w:rPr>
                <w:sz w:val="18"/>
                <w:szCs w:val="18"/>
              </w:rPr>
              <w:t> </w:t>
            </w:r>
            <w:r w:rsidR="00475031">
              <w:rPr>
                <w:sz w:val="18"/>
                <w:szCs w:val="18"/>
              </w:rPr>
              <w:t>54</w:t>
            </w:r>
          </w:p>
        </w:tc>
        <w:tc>
          <w:tcPr>
            <w:tcW w:w="0" w:type="auto"/>
            <w:tcBorders>
              <w:top w:val="single" w:sz="4" w:space="0" w:color="auto"/>
            </w:tcBorders>
            <w:shd w:val="clear" w:color="auto" w:fill="auto"/>
            <w:noWrap/>
            <w:vAlign w:val="bottom"/>
            <w:hideMark/>
          </w:tcPr>
          <w:p w14:paraId="5233C8E3" w14:textId="0D36B1D0" w:rsidR="002E5400" w:rsidRPr="00C32D58" w:rsidRDefault="00475031" w:rsidP="003F1DF1">
            <w:pPr>
              <w:pStyle w:val="BodyText"/>
              <w:spacing w:before="0" w:after="0"/>
              <w:ind w:firstLine="0"/>
              <w:rPr>
                <w:sz w:val="18"/>
                <w:szCs w:val="18"/>
              </w:rPr>
            </w:pPr>
            <w:r>
              <w:rPr>
                <w:sz w:val="18"/>
                <w:szCs w:val="18"/>
              </w:rPr>
              <w:t>31</w:t>
            </w:r>
          </w:p>
        </w:tc>
      </w:tr>
      <w:tr w:rsidR="002E5400" w:rsidRPr="00C32D58" w14:paraId="6B46AACA" w14:textId="77777777" w:rsidTr="0039647D">
        <w:trPr>
          <w:trHeight w:val="290"/>
          <w:jc w:val="center"/>
        </w:trPr>
        <w:tc>
          <w:tcPr>
            <w:tcW w:w="1418" w:type="dxa"/>
            <w:shd w:val="clear" w:color="auto" w:fill="auto"/>
            <w:noWrap/>
            <w:vAlign w:val="bottom"/>
            <w:hideMark/>
          </w:tcPr>
          <w:p w14:paraId="7106861B" w14:textId="6EB87410" w:rsidR="002E5400" w:rsidRPr="00C32D58" w:rsidRDefault="002E5400" w:rsidP="003F1DF1">
            <w:pPr>
              <w:pStyle w:val="BodyText"/>
              <w:spacing w:before="0" w:after="0"/>
              <w:ind w:firstLine="0"/>
              <w:rPr>
                <w:sz w:val="18"/>
                <w:szCs w:val="18"/>
              </w:rPr>
            </w:pPr>
            <w:r>
              <w:rPr>
                <w:sz w:val="18"/>
                <w:szCs w:val="18"/>
              </w:rPr>
              <w:t xml:space="preserve"> </w:t>
            </w:r>
            <w:r w:rsidRPr="00C32D58">
              <w:rPr>
                <w:sz w:val="18"/>
                <w:szCs w:val="18"/>
              </w:rPr>
              <w:t>2</w:t>
            </w:r>
          </w:p>
        </w:tc>
        <w:tc>
          <w:tcPr>
            <w:tcW w:w="0" w:type="auto"/>
            <w:shd w:val="clear" w:color="auto" w:fill="auto"/>
            <w:noWrap/>
            <w:vAlign w:val="bottom"/>
            <w:hideMark/>
          </w:tcPr>
          <w:p w14:paraId="22539AB1" w14:textId="085804AC" w:rsidR="002E5400" w:rsidRPr="00C32D58" w:rsidRDefault="00475031" w:rsidP="003F1DF1">
            <w:pPr>
              <w:pStyle w:val="BodyText"/>
              <w:spacing w:before="0" w:after="0"/>
              <w:ind w:firstLine="0"/>
              <w:jc w:val="left"/>
              <w:rPr>
                <w:sz w:val="18"/>
                <w:szCs w:val="18"/>
              </w:rPr>
            </w:pPr>
            <w:r>
              <w:rPr>
                <w:sz w:val="18"/>
                <w:szCs w:val="18"/>
              </w:rPr>
              <w:t>1</w:t>
            </w:r>
            <w:r w:rsidR="00974049">
              <w:rPr>
                <w:sz w:val="18"/>
                <w:szCs w:val="18"/>
              </w:rPr>
              <w:t>2</w:t>
            </w:r>
          </w:p>
        </w:tc>
        <w:tc>
          <w:tcPr>
            <w:tcW w:w="0" w:type="auto"/>
            <w:shd w:val="clear" w:color="auto" w:fill="auto"/>
            <w:noWrap/>
            <w:vAlign w:val="bottom"/>
            <w:hideMark/>
          </w:tcPr>
          <w:p w14:paraId="7C624CE4" w14:textId="60061F59" w:rsidR="002E5400" w:rsidRPr="00C32D58" w:rsidRDefault="002E5400" w:rsidP="003F1DF1">
            <w:pPr>
              <w:pStyle w:val="BodyText"/>
              <w:spacing w:before="0" w:after="0"/>
              <w:ind w:firstLine="0"/>
              <w:rPr>
                <w:sz w:val="18"/>
                <w:szCs w:val="18"/>
              </w:rPr>
            </w:pPr>
            <w:r w:rsidRPr="00C32D58">
              <w:rPr>
                <w:sz w:val="18"/>
                <w:szCs w:val="18"/>
              </w:rPr>
              <w:t> </w:t>
            </w:r>
            <w:r w:rsidR="00FE2619">
              <w:rPr>
                <w:sz w:val="18"/>
                <w:szCs w:val="18"/>
              </w:rPr>
              <w:t>10</w:t>
            </w:r>
          </w:p>
        </w:tc>
        <w:tc>
          <w:tcPr>
            <w:tcW w:w="0" w:type="auto"/>
            <w:shd w:val="clear" w:color="auto" w:fill="auto"/>
            <w:noWrap/>
            <w:vAlign w:val="bottom"/>
            <w:hideMark/>
          </w:tcPr>
          <w:p w14:paraId="622CC9CD" w14:textId="7C1419AF" w:rsidR="002E5400" w:rsidRPr="00C32D58" w:rsidRDefault="00FE2619" w:rsidP="003F1DF1">
            <w:pPr>
              <w:pStyle w:val="BodyText"/>
              <w:spacing w:before="0" w:after="0"/>
              <w:ind w:firstLine="0"/>
              <w:rPr>
                <w:sz w:val="18"/>
                <w:szCs w:val="18"/>
              </w:rPr>
            </w:pPr>
            <w:r>
              <w:rPr>
                <w:sz w:val="18"/>
                <w:szCs w:val="18"/>
              </w:rPr>
              <w:t>3.5</w:t>
            </w:r>
          </w:p>
        </w:tc>
      </w:tr>
      <w:tr w:rsidR="002E5400" w:rsidRPr="00C32D58" w14:paraId="3BA95E26" w14:textId="77777777" w:rsidTr="0039647D">
        <w:trPr>
          <w:trHeight w:val="290"/>
          <w:jc w:val="center"/>
        </w:trPr>
        <w:tc>
          <w:tcPr>
            <w:tcW w:w="1418" w:type="dxa"/>
            <w:shd w:val="clear" w:color="auto" w:fill="auto"/>
            <w:noWrap/>
            <w:vAlign w:val="bottom"/>
            <w:hideMark/>
          </w:tcPr>
          <w:p w14:paraId="1113081D" w14:textId="30467808" w:rsidR="002E5400" w:rsidRPr="00C32D58" w:rsidRDefault="002E5400" w:rsidP="003F1DF1">
            <w:pPr>
              <w:pStyle w:val="BodyText"/>
              <w:spacing w:before="0" w:after="0"/>
              <w:ind w:firstLine="0"/>
              <w:rPr>
                <w:sz w:val="18"/>
                <w:szCs w:val="18"/>
              </w:rPr>
            </w:pPr>
            <w:r>
              <w:rPr>
                <w:sz w:val="18"/>
                <w:szCs w:val="18"/>
              </w:rPr>
              <w:t xml:space="preserve"> </w:t>
            </w:r>
            <w:r w:rsidRPr="00C32D58">
              <w:rPr>
                <w:sz w:val="18"/>
                <w:szCs w:val="18"/>
              </w:rPr>
              <w:t>3</w:t>
            </w:r>
          </w:p>
        </w:tc>
        <w:tc>
          <w:tcPr>
            <w:tcW w:w="0" w:type="auto"/>
            <w:shd w:val="clear" w:color="auto" w:fill="auto"/>
            <w:noWrap/>
            <w:vAlign w:val="bottom"/>
            <w:hideMark/>
          </w:tcPr>
          <w:p w14:paraId="222AF669" w14:textId="0F62402D" w:rsidR="002E5400" w:rsidRPr="00C32D58" w:rsidRDefault="00FE2619" w:rsidP="003F1DF1">
            <w:pPr>
              <w:pStyle w:val="BodyText"/>
              <w:spacing w:before="0" w:after="0"/>
              <w:ind w:firstLine="0"/>
              <w:rPr>
                <w:sz w:val="18"/>
                <w:szCs w:val="18"/>
              </w:rPr>
            </w:pPr>
            <w:r>
              <w:rPr>
                <w:sz w:val="18"/>
                <w:szCs w:val="18"/>
              </w:rPr>
              <w:t>18</w:t>
            </w:r>
          </w:p>
        </w:tc>
        <w:tc>
          <w:tcPr>
            <w:tcW w:w="0" w:type="auto"/>
            <w:shd w:val="clear" w:color="auto" w:fill="auto"/>
            <w:noWrap/>
            <w:vAlign w:val="bottom"/>
            <w:hideMark/>
          </w:tcPr>
          <w:p w14:paraId="653BE49F" w14:textId="721D8B66" w:rsidR="002E5400" w:rsidRPr="00C32D58" w:rsidRDefault="002E5400" w:rsidP="003F1DF1">
            <w:pPr>
              <w:pStyle w:val="BodyText"/>
              <w:spacing w:before="0" w:after="0"/>
              <w:ind w:firstLine="0"/>
              <w:rPr>
                <w:sz w:val="18"/>
                <w:szCs w:val="18"/>
              </w:rPr>
            </w:pPr>
            <w:r w:rsidRPr="00C32D58">
              <w:rPr>
                <w:sz w:val="18"/>
                <w:szCs w:val="18"/>
              </w:rPr>
              <w:t> </w:t>
            </w:r>
            <w:r w:rsidR="00475031">
              <w:rPr>
                <w:sz w:val="18"/>
                <w:szCs w:val="18"/>
              </w:rPr>
              <w:t>1</w:t>
            </w:r>
            <w:r w:rsidR="00CB2D73">
              <w:rPr>
                <w:sz w:val="18"/>
                <w:szCs w:val="18"/>
              </w:rPr>
              <w:t>3</w:t>
            </w:r>
          </w:p>
        </w:tc>
        <w:tc>
          <w:tcPr>
            <w:tcW w:w="0" w:type="auto"/>
            <w:shd w:val="clear" w:color="auto" w:fill="auto"/>
            <w:noWrap/>
            <w:vAlign w:val="bottom"/>
            <w:hideMark/>
          </w:tcPr>
          <w:p w14:paraId="45BE96BB" w14:textId="149DF898" w:rsidR="002E5400" w:rsidRPr="00C32D58" w:rsidRDefault="00FE2619" w:rsidP="003F1DF1">
            <w:pPr>
              <w:pStyle w:val="BodyText"/>
              <w:spacing w:before="0" w:after="0"/>
              <w:ind w:firstLine="0"/>
              <w:rPr>
                <w:sz w:val="18"/>
                <w:szCs w:val="18"/>
              </w:rPr>
            </w:pPr>
            <w:r>
              <w:rPr>
                <w:sz w:val="18"/>
                <w:szCs w:val="18"/>
              </w:rPr>
              <w:t>5.5</w:t>
            </w:r>
          </w:p>
        </w:tc>
      </w:tr>
      <w:tr w:rsidR="00400B0C" w:rsidRPr="00C32D58" w14:paraId="488A0B7C" w14:textId="77777777" w:rsidTr="0039647D">
        <w:trPr>
          <w:trHeight w:val="290"/>
          <w:jc w:val="center"/>
        </w:trPr>
        <w:tc>
          <w:tcPr>
            <w:tcW w:w="1418" w:type="dxa"/>
            <w:shd w:val="clear" w:color="auto" w:fill="auto"/>
            <w:noWrap/>
            <w:vAlign w:val="bottom"/>
          </w:tcPr>
          <w:p w14:paraId="513066CE" w14:textId="02EEE2A9" w:rsidR="00400B0C" w:rsidRPr="00C32D58" w:rsidRDefault="00400B0C" w:rsidP="003F1DF1">
            <w:pPr>
              <w:pStyle w:val="BodyText"/>
              <w:spacing w:before="0" w:after="0"/>
              <w:ind w:firstLine="0"/>
              <w:rPr>
                <w:sz w:val="18"/>
                <w:szCs w:val="18"/>
              </w:rPr>
            </w:pPr>
            <w:r>
              <w:rPr>
                <w:sz w:val="18"/>
                <w:szCs w:val="18"/>
              </w:rPr>
              <w:t xml:space="preserve"> 4</w:t>
            </w:r>
          </w:p>
        </w:tc>
        <w:tc>
          <w:tcPr>
            <w:tcW w:w="0" w:type="auto"/>
            <w:shd w:val="clear" w:color="auto" w:fill="auto"/>
            <w:noWrap/>
            <w:vAlign w:val="bottom"/>
          </w:tcPr>
          <w:p w14:paraId="48E4CEFE" w14:textId="7A7D9FA0" w:rsidR="00400B0C" w:rsidRDefault="00D90543" w:rsidP="003F1DF1">
            <w:pPr>
              <w:pStyle w:val="BodyText"/>
              <w:spacing w:before="0" w:after="0"/>
              <w:ind w:firstLine="0"/>
              <w:rPr>
                <w:sz w:val="18"/>
                <w:szCs w:val="18"/>
              </w:rPr>
            </w:pPr>
            <w:r>
              <w:rPr>
                <w:sz w:val="18"/>
                <w:szCs w:val="18"/>
              </w:rPr>
              <w:t>1</w:t>
            </w:r>
          </w:p>
        </w:tc>
        <w:tc>
          <w:tcPr>
            <w:tcW w:w="0" w:type="auto"/>
            <w:shd w:val="clear" w:color="auto" w:fill="auto"/>
            <w:noWrap/>
            <w:vAlign w:val="bottom"/>
          </w:tcPr>
          <w:p w14:paraId="0CE5BE2B" w14:textId="2A2A3620" w:rsidR="00400B0C" w:rsidRPr="00C32D58" w:rsidRDefault="00FE2619" w:rsidP="003F1DF1">
            <w:pPr>
              <w:pStyle w:val="BodyText"/>
              <w:spacing w:before="0" w:after="0"/>
              <w:ind w:firstLine="0"/>
              <w:rPr>
                <w:sz w:val="18"/>
                <w:szCs w:val="18"/>
              </w:rPr>
            </w:pPr>
            <w:r>
              <w:rPr>
                <w:sz w:val="18"/>
                <w:szCs w:val="18"/>
              </w:rPr>
              <w:t xml:space="preserve"> </w:t>
            </w:r>
            <w:r w:rsidR="00D90543">
              <w:rPr>
                <w:sz w:val="18"/>
                <w:szCs w:val="18"/>
              </w:rPr>
              <w:t>2</w:t>
            </w:r>
          </w:p>
        </w:tc>
        <w:tc>
          <w:tcPr>
            <w:tcW w:w="0" w:type="auto"/>
            <w:shd w:val="clear" w:color="auto" w:fill="auto"/>
            <w:noWrap/>
            <w:vAlign w:val="bottom"/>
          </w:tcPr>
          <w:p w14:paraId="64BD2D91" w14:textId="61649431" w:rsidR="00475031" w:rsidRDefault="00475031" w:rsidP="003F1DF1">
            <w:pPr>
              <w:pStyle w:val="BodyText"/>
              <w:spacing w:before="0" w:after="0"/>
              <w:ind w:firstLine="0"/>
              <w:rPr>
                <w:sz w:val="18"/>
                <w:szCs w:val="18"/>
              </w:rPr>
            </w:pPr>
            <w:r>
              <w:rPr>
                <w:sz w:val="18"/>
                <w:szCs w:val="18"/>
              </w:rPr>
              <w:t>-</w:t>
            </w:r>
          </w:p>
        </w:tc>
      </w:tr>
      <w:tr w:rsidR="00475031" w:rsidRPr="00C32D58" w14:paraId="55D35696" w14:textId="77777777" w:rsidTr="0039647D">
        <w:trPr>
          <w:trHeight w:val="290"/>
          <w:jc w:val="center"/>
        </w:trPr>
        <w:tc>
          <w:tcPr>
            <w:tcW w:w="1418" w:type="dxa"/>
            <w:shd w:val="clear" w:color="auto" w:fill="auto"/>
            <w:noWrap/>
            <w:vAlign w:val="bottom"/>
          </w:tcPr>
          <w:p w14:paraId="0D89B177" w14:textId="3B4E7629" w:rsidR="00475031" w:rsidRDefault="00475031" w:rsidP="003F1DF1">
            <w:pPr>
              <w:pStyle w:val="BodyText"/>
              <w:spacing w:before="0" w:after="0"/>
              <w:ind w:firstLine="0"/>
              <w:rPr>
                <w:sz w:val="18"/>
                <w:szCs w:val="18"/>
              </w:rPr>
            </w:pPr>
            <w:r>
              <w:rPr>
                <w:sz w:val="18"/>
                <w:szCs w:val="18"/>
              </w:rPr>
              <w:t xml:space="preserve"> 5</w:t>
            </w:r>
          </w:p>
        </w:tc>
        <w:tc>
          <w:tcPr>
            <w:tcW w:w="0" w:type="auto"/>
            <w:shd w:val="clear" w:color="auto" w:fill="auto"/>
            <w:noWrap/>
            <w:vAlign w:val="bottom"/>
          </w:tcPr>
          <w:p w14:paraId="7669CC43" w14:textId="145FD769" w:rsidR="00475031" w:rsidRDefault="00475031" w:rsidP="003F1DF1">
            <w:pPr>
              <w:pStyle w:val="BodyText"/>
              <w:spacing w:before="0" w:after="0"/>
              <w:ind w:firstLine="0"/>
              <w:rPr>
                <w:sz w:val="18"/>
                <w:szCs w:val="18"/>
              </w:rPr>
            </w:pPr>
            <w:r>
              <w:rPr>
                <w:sz w:val="18"/>
                <w:szCs w:val="18"/>
              </w:rPr>
              <w:t>-</w:t>
            </w:r>
          </w:p>
        </w:tc>
        <w:tc>
          <w:tcPr>
            <w:tcW w:w="0" w:type="auto"/>
            <w:shd w:val="clear" w:color="auto" w:fill="auto"/>
            <w:noWrap/>
            <w:vAlign w:val="bottom"/>
          </w:tcPr>
          <w:p w14:paraId="53CE22B8" w14:textId="0117E62A" w:rsidR="00475031" w:rsidRDefault="00475031" w:rsidP="003F1DF1">
            <w:pPr>
              <w:pStyle w:val="BodyText"/>
              <w:spacing w:before="0" w:after="0"/>
              <w:ind w:firstLine="0"/>
              <w:rPr>
                <w:sz w:val="18"/>
                <w:szCs w:val="18"/>
              </w:rPr>
            </w:pPr>
            <w:r>
              <w:rPr>
                <w:sz w:val="18"/>
                <w:szCs w:val="18"/>
              </w:rPr>
              <w:t>-</w:t>
            </w:r>
          </w:p>
        </w:tc>
        <w:tc>
          <w:tcPr>
            <w:tcW w:w="0" w:type="auto"/>
            <w:shd w:val="clear" w:color="auto" w:fill="auto"/>
            <w:noWrap/>
            <w:vAlign w:val="bottom"/>
          </w:tcPr>
          <w:p w14:paraId="2616DAC4" w14:textId="157BB863" w:rsidR="00475031" w:rsidRDefault="00475031" w:rsidP="003F1DF1">
            <w:pPr>
              <w:pStyle w:val="BodyText"/>
              <w:spacing w:before="0" w:after="0"/>
              <w:ind w:firstLine="0"/>
              <w:rPr>
                <w:sz w:val="18"/>
                <w:szCs w:val="18"/>
              </w:rPr>
            </w:pPr>
            <w:r>
              <w:rPr>
                <w:sz w:val="18"/>
                <w:szCs w:val="18"/>
              </w:rPr>
              <w:t>-</w:t>
            </w:r>
          </w:p>
        </w:tc>
      </w:tr>
    </w:tbl>
    <w:p w14:paraId="0A8DB8E1" w14:textId="77777777" w:rsidR="0039647D" w:rsidRDefault="0039647D" w:rsidP="006C2A7C">
      <w:pPr>
        <w:overflowPunct/>
        <w:autoSpaceDE/>
        <w:autoSpaceDN/>
        <w:adjustRightInd/>
        <w:spacing w:line="260" w:lineRule="atLeast"/>
        <w:ind w:firstLine="567"/>
        <w:jc w:val="both"/>
        <w:textAlignment w:val="auto"/>
        <w:rPr>
          <w:sz w:val="20"/>
        </w:rPr>
      </w:pPr>
    </w:p>
    <w:p w14:paraId="53BD69FD" w14:textId="03973855" w:rsidR="006C2A7C" w:rsidRDefault="00D90543" w:rsidP="006C2A7C">
      <w:pPr>
        <w:overflowPunct/>
        <w:autoSpaceDE/>
        <w:autoSpaceDN/>
        <w:adjustRightInd/>
        <w:spacing w:line="260" w:lineRule="atLeast"/>
        <w:ind w:firstLine="567"/>
        <w:contextualSpacing/>
        <w:jc w:val="both"/>
        <w:textAlignment w:val="auto"/>
        <w:rPr>
          <w:sz w:val="20"/>
        </w:rPr>
      </w:pPr>
      <w:r>
        <w:rPr>
          <w:sz w:val="20"/>
        </w:rPr>
        <w:t>Table 2 presents values that</w:t>
      </w:r>
      <w:r w:rsidR="006C2A7C" w:rsidRPr="006C2A7C">
        <w:rPr>
          <w:sz w:val="20"/>
        </w:rPr>
        <w:t xml:space="preserve"> are to be taken </w:t>
      </w:r>
      <w:r w:rsidR="003D156E">
        <w:rPr>
          <w:sz w:val="20"/>
        </w:rPr>
        <w:t>for merely illustrative purposes, namely as an RCBM case study, since only a detailed analysis of the nuclear design will be in the position to confirm which events can be credited and which can be practically eliminated. Therefore, all the numerical results included in the current paper</w:t>
      </w:r>
      <w:r w:rsidR="006C2A7C" w:rsidRPr="006C2A7C">
        <w:rPr>
          <w:sz w:val="20"/>
        </w:rPr>
        <w:t xml:space="preserve"> only serve to illustrate</w:t>
      </w:r>
      <w:r w:rsidR="003D156E">
        <w:rPr>
          <w:sz w:val="20"/>
        </w:rPr>
        <w:t xml:space="preserve"> the suggested RCBM as suitable method for EPZ distance and area quantification</w:t>
      </w:r>
      <w:r w:rsidR="006C2A7C" w:rsidRPr="006C2A7C">
        <w:rPr>
          <w:sz w:val="20"/>
        </w:rPr>
        <w:t>.</w:t>
      </w:r>
    </w:p>
    <w:p w14:paraId="121A7DEA" w14:textId="5039E74A" w:rsidR="00E26D99" w:rsidRDefault="00531AE8" w:rsidP="00531AE8">
      <w:pPr>
        <w:spacing w:line="260" w:lineRule="atLeast"/>
        <w:ind w:firstLine="567"/>
        <w:contextualSpacing/>
        <w:jc w:val="both"/>
        <w:rPr>
          <w:sz w:val="20"/>
        </w:rPr>
      </w:pPr>
      <w:r>
        <w:rPr>
          <w:sz w:val="20"/>
        </w:rPr>
        <w:t xml:space="preserve">An analysis </w:t>
      </w:r>
      <w:r w:rsidR="00E26D99">
        <w:rPr>
          <w:sz w:val="20"/>
        </w:rPr>
        <w:t xml:space="preserve">of the distance at which a </w:t>
      </w:r>
      <w:r>
        <w:rPr>
          <w:sz w:val="20"/>
        </w:rPr>
        <w:t xml:space="preserve">fixed threshold </w:t>
      </w:r>
      <w:r w:rsidR="00E26D99">
        <w:rPr>
          <w:sz w:val="20"/>
        </w:rPr>
        <w:t xml:space="preserve">dose </w:t>
      </w:r>
      <w:r>
        <w:rPr>
          <w:sz w:val="20"/>
        </w:rPr>
        <w:t xml:space="preserve">value </w:t>
      </w:r>
      <w:r w:rsidR="00E26D99">
        <w:rPr>
          <w:sz w:val="20"/>
        </w:rPr>
        <w:t xml:space="preserve">is reached </w:t>
      </w:r>
      <w:r>
        <w:rPr>
          <w:sz w:val="20"/>
        </w:rPr>
        <w:t xml:space="preserve">during the </w:t>
      </w:r>
      <w:r w:rsidR="00D46AD3">
        <w:rPr>
          <w:sz w:val="20"/>
        </w:rPr>
        <w:t xml:space="preserve">ST </w:t>
      </w:r>
      <w:r w:rsidR="00D90543">
        <w:rPr>
          <w:sz w:val="20"/>
        </w:rPr>
        <w:t xml:space="preserve">emission time </w:t>
      </w:r>
      <w:r>
        <w:rPr>
          <w:sz w:val="20"/>
        </w:rPr>
        <w:t>was also performed on a bounding radiological consequences scenario. The bounding scenario was obtained from the convolution of the atmospheric dispersion results for the five cases analysed selecting the highest</w:t>
      </w:r>
      <w:r w:rsidR="00413E49">
        <w:rPr>
          <w:sz w:val="20"/>
        </w:rPr>
        <w:t xml:space="preserve"> value between each of the</w:t>
      </w:r>
      <w:r>
        <w:rPr>
          <w:sz w:val="20"/>
        </w:rPr>
        <w:t xml:space="preserve"> results for each time step and each cell of the simulation domain. </w:t>
      </w:r>
    </w:p>
    <w:p w14:paraId="305409E1" w14:textId="3AF777BC" w:rsidR="00D77003" w:rsidRDefault="00531AE8" w:rsidP="00FE2619">
      <w:pPr>
        <w:spacing w:line="260" w:lineRule="atLeast"/>
        <w:ind w:firstLine="567"/>
        <w:contextualSpacing/>
        <w:jc w:val="both"/>
        <w:rPr>
          <w:sz w:val="20"/>
        </w:rPr>
      </w:pPr>
      <w:r>
        <w:rPr>
          <w:sz w:val="20"/>
        </w:rPr>
        <w:t>Figure</w:t>
      </w:r>
      <w:r w:rsidR="00D90543">
        <w:rPr>
          <w:sz w:val="20"/>
        </w:rPr>
        <w:t>s</w:t>
      </w:r>
      <w:r w:rsidR="00D05C42">
        <w:rPr>
          <w:sz w:val="20"/>
        </w:rPr>
        <w:t xml:space="preserve"> 12-13</w:t>
      </w:r>
      <w:r>
        <w:rPr>
          <w:sz w:val="20"/>
        </w:rPr>
        <w:t xml:space="preserve"> present the results for </w:t>
      </w:r>
      <w:r w:rsidR="00D05C42">
        <w:rPr>
          <w:sz w:val="20"/>
        </w:rPr>
        <w:t>a 50 mSv Total Effective Dose Equivalent value (</w:t>
      </w:r>
      <w:r w:rsidR="00E26D99">
        <w:rPr>
          <w:sz w:val="20"/>
        </w:rPr>
        <w:t>evacuation protective action</w:t>
      </w:r>
      <w:r w:rsidR="00D05C42">
        <w:rPr>
          <w:sz w:val="20"/>
        </w:rPr>
        <w:t xml:space="preserve"> threshold)</w:t>
      </w:r>
      <w:r w:rsidR="00E26D99">
        <w:rPr>
          <w:sz w:val="20"/>
        </w:rPr>
        <w:t>)</w:t>
      </w:r>
      <w:r w:rsidR="00D90543">
        <w:rPr>
          <w:sz w:val="20"/>
        </w:rPr>
        <w:t xml:space="preserve"> and </w:t>
      </w:r>
      <w:r w:rsidR="00D05C42">
        <w:rPr>
          <w:sz w:val="20"/>
        </w:rPr>
        <w:t xml:space="preserve">for a </w:t>
      </w:r>
      <w:r w:rsidR="00D90543">
        <w:rPr>
          <w:sz w:val="20"/>
        </w:rPr>
        <w:t xml:space="preserve">100 mSv </w:t>
      </w:r>
      <w:r w:rsidR="00D05C42">
        <w:rPr>
          <w:sz w:val="20"/>
        </w:rPr>
        <w:t xml:space="preserve">Thyroid Equivalent Dose </w:t>
      </w:r>
      <w:r w:rsidR="00B27F29">
        <w:rPr>
          <w:sz w:val="20"/>
        </w:rPr>
        <w:t xml:space="preserve">value </w:t>
      </w:r>
      <w:r w:rsidR="00D05C42">
        <w:rPr>
          <w:sz w:val="20"/>
        </w:rPr>
        <w:t>(</w:t>
      </w:r>
      <w:r w:rsidR="00D90543">
        <w:rPr>
          <w:sz w:val="20"/>
        </w:rPr>
        <w:t>iodine pills protective action</w:t>
      </w:r>
      <w:r w:rsidR="00D05C42">
        <w:rPr>
          <w:sz w:val="20"/>
        </w:rPr>
        <w:t xml:space="preserve"> threshold</w:t>
      </w:r>
      <w:r w:rsidR="00D90543">
        <w:rPr>
          <w:sz w:val="20"/>
        </w:rPr>
        <w:t>).</w:t>
      </w:r>
    </w:p>
    <w:p w14:paraId="180AFE90" w14:textId="77777777" w:rsidR="00FE2619" w:rsidRDefault="00FE2619" w:rsidP="00FE2619">
      <w:pPr>
        <w:spacing w:line="260" w:lineRule="atLeast"/>
        <w:ind w:firstLine="567"/>
        <w:contextualSpacing/>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CD67D0" w:rsidRPr="006553EF" w14:paraId="74544B61" w14:textId="77777777" w:rsidTr="00D77003">
        <w:tc>
          <w:tcPr>
            <w:tcW w:w="4508" w:type="dxa"/>
          </w:tcPr>
          <w:p w14:paraId="2B22C610" w14:textId="77777777" w:rsidR="00D77003" w:rsidRPr="006553EF" w:rsidRDefault="00D77003" w:rsidP="00D77003">
            <w:pPr>
              <w:keepNext/>
              <w:spacing w:line="260" w:lineRule="atLeast"/>
              <w:contextualSpacing/>
              <w:jc w:val="center"/>
              <w:rPr>
                <w:i/>
                <w:iCs/>
              </w:rPr>
            </w:pPr>
            <w:r w:rsidRPr="006553EF">
              <w:rPr>
                <w:i/>
                <w:iCs/>
                <w:noProof/>
                <w:sz w:val="20"/>
                <w:lang w:eastAsia="en-GB"/>
              </w:rPr>
              <w:drawing>
                <wp:inline distT="0" distB="0" distL="0" distR="0" wp14:anchorId="60770078" wp14:editId="660537F5">
                  <wp:extent cx="2737430" cy="1764000"/>
                  <wp:effectExtent l="0" t="0" r="6350" b="8255"/>
                  <wp:docPr id="1045578751" name="Immagine 2" descr="Immagine che contiene testo, diagramma, line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578751" name="Immagine 2" descr="Immagine che contiene testo, diagramma, linea, schermata&#10;&#10;Descrizione generata automa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37430" cy="1764000"/>
                          </a:xfrm>
                          <a:prstGeom prst="rect">
                            <a:avLst/>
                          </a:prstGeom>
                        </pic:spPr>
                      </pic:pic>
                    </a:graphicData>
                  </a:graphic>
                </wp:inline>
              </w:drawing>
            </w:r>
          </w:p>
          <w:p w14:paraId="69D19A6A" w14:textId="5812BCD0" w:rsidR="00CD67D0" w:rsidRPr="006553EF" w:rsidRDefault="00D77003" w:rsidP="00D77003">
            <w:pPr>
              <w:pStyle w:val="Caption"/>
              <w:jc w:val="center"/>
              <w:rPr>
                <w:i/>
                <w:iCs/>
                <w:sz w:val="20"/>
              </w:rPr>
            </w:pPr>
            <w:r w:rsidRPr="006553EF">
              <w:rPr>
                <w:i/>
                <w:iCs/>
              </w:rPr>
              <w:t xml:space="preserve">FIG. </w:t>
            </w:r>
            <w:r w:rsidRPr="006553EF">
              <w:rPr>
                <w:i/>
                <w:iCs/>
              </w:rPr>
              <w:fldChar w:fldCharType="begin"/>
            </w:r>
            <w:r w:rsidRPr="006553EF">
              <w:rPr>
                <w:i/>
                <w:iCs/>
              </w:rPr>
              <w:instrText xml:space="preserve"> SEQ Figure \* ARABIC </w:instrText>
            </w:r>
            <w:r w:rsidRPr="006553EF">
              <w:rPr>
                <w:i/>
                <w:iCs/>
              </w:rPr>
              <w:fldChar w:fldCharType="separate"/>
            </w:r>
            <w:r w:rsidR="006553EF">
              <w:rPr>
                <w:i/>
                <w:iCs/>
                <w:noProof/>
              </w:rPr>
              <w:t>12</w:t>
            </w:r>
            <w:r w:rsidRPr="006553EF">
              <w:rPr>
                <w:i/>
                <w:iCs/>
              </w:rPr>
              <w:fldChar w:fldCharType="end"/>
            </w:r>
            <w:r w:rsidR="006553EF" w:rsidRPr="006553EF">
              <w:rPr>
                <w:i/>
                <w:iCs/>
              </w:rPr>
              <w:t>.</w:t>
            </w:r>
            <w:r w:rsidRPr="006553EF">
              <w:rPr>
                <w:i/>
                <w:iCs/>
              </w:rPr>
              <w:t xml:space="preserve"> EPZ maximum distance for a 50 mSv TEDE threshold</w:t>
            </w:r>
            <w:r w:rsidR="00D90543" w:rsidRPr="006553EF">
              <w:rPr>
                <w:i/>
                <w:iCs/>
              </w:rPr>
              <w:t xml:space="preserve"> – </w:t>
            </w:r>
            <w:r w:rsidRPr="006553EF">
              <w:rPr>
                <w:i/>
                <w:iCs/>
              </w:rPr>
              <w:t>Bounding Scenario</w:t>
            </w:r>
          </w:p>
        </w:tc>
        <w:tc>
          <w:tcPr>
            <w:tcW w:w="4509" w:type="dxa"/>
          </w:tcPr>
          <w:p w14:paraId="49C19B38" w14:textId="77777777" w:rsidR="00D77003" w:rsidRPr="006553EF" w:rsidRDefault="00D77003" w:rsidP="00D77003">
            <w:pPr>
              <w:keepNext/>
              <w:spacing w:line="260" w:lineRule="atLeast"/>
              <w:contextualSpacing/>
              <w:jc w:val="center"/>
              <w:rPr>
                <w:i/>
                <w:iCs/>
              </w:rPr>
            </w:pPr>
            <w:r w:rsidRPr="006553EF">
              <w:rPr>
                <w:i/>
                <w:iCs/>
                <w:noProof/>
                <w:sz w:val="20"/>
                <w:lang w:eastAsia="en-GB"/>
              </w:rPr>
              <w:drawing>
                <wp:inline distT="0" distB="0" distL="0" distR="0" wp14:anchorId="1311351D" wp14:editId="3CC17DD5">
                  <wp:extent cx="2737430" cy="1764000"/>
                  <wp:effectExtent l="0" t="0" r="6350" b="8255"/>
                  <wp:docPr id="1802060255" name="Immagine 1" descr="Immagine che contiene testo, linea, diagramm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60255" name="Immagine 1" descr="Immagine che contiene testo, linea, diagramma, schermata&#10;&#10;Descrizione generata automa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37430" cy="1764000"/>
                          </a:xfrm>
                          <a:prstGeom prst="rect">
                            <a:avLst/>
                          </a:prstGeom>
                        </pic:spPr>
                      </pic:pic>
                    </a:graphicData>
                  </a:graphic>
                </wp:inline>
              </w:drawing>
            </w:r>
          </w:p>
          <w:p w14:paraId="291DB923" w14:textId="71D191E9" w:rsidR="00CD67D0" w:rsidRPr="006553EF" w:rsidRDefault="00D77003" w:rsidP="00D77003">
            <w:pPr>
              <w:pStyle w:val="Caption"/>
              <w:jc w:val="center"/>
              <w:rPr>
                <w:i/>
                <w:iCs/>
                <w:sz w:val="20"/>
              </w:rPr>
            </w:pPr>
            <w:r w:rsidRPr="006553EF">
              <w:rPr>
                <w:i/>
                <w:iCs/>
              </w:rPr>
              <w:t xml:space="preserve">FIG. </w:t>
            </w:r>
            <w:r w:rsidRPr="006553EF">
              <w:rPr>
                <w:i/>
                <w:iCs/>
              </w:rPr>
              <w:fldChar w:fldCharType="begin"/>
            </w:r>
            <w:r w:rsidRPr="006553EF">
              <w:rPr>
                <w:i/>
                <w:iCs/>
              </w:rPr>
              <w:instrText xml:space="preserve"> SEQ Figure \* ARABIC </w:instrText>
            </w:r>
            <w:r w:rsidRPr="006553EF">
              <w:rPr>
                <w:i/>
                <w:iCs/>
              </w:rPr>
              <w:fldChar w:fldCharType="separate"/>
            </w:r>
            <w:r w:rsidR="006553EF">
              <w:rPr>
                <w:i/>
                <w:iCs/>
                <w:noProof/>
              </w:rPr>
              <w:t>13</w:t>
            </w:r>
            <w:r w:rsidRPr="006553EF">
              <w:rPr>
                <w:i/>
                <w:iCs/>
              </w:rPr>
              <w:fldChar w:fldCharType="end"/>
            </w:r>
            <w:r w:rsidR="006553EF" w:rsidRPr="006553EF">
              <w:rPr>
                <w:i/>
                <w:iCs/>
              </w:rPr>
              <w:t>.</w:t>
            </w:r>
            <w:r w:rsidRPr="006553EF">
              <w:rPr>
                <w:i/>
                <w:iCs/>
              </w:rPr>
              <w:t xml:space="preserve"> EPZ minimum distance for a 100 mSv thyroid equivalent dose threshold </w:t>
            </w:r>
            <w:r w:rsidR="00D90543" w:rsidRPr="006553EF">
              <w:rPr>
                <w:i/>
                <w:iCs/>
              </w:rPr>
              <w:t>–</w:t>
            </w:r>
            <w:r w:rsidRPr="006553EF">
              <w:rPr>
                <w:i/>
                <w:iCs/>
              </w:rPr>
              <w:t xml:space="preserve"> Bounding scenario</w:t>
            </w:r>
          </w:p>
        </w:tc>
      </w:tr>
    </w:tbl>
    <w:p w14:paraId="25781639" w14:textId="77777777" w:rsidR="00EB6B72" w:rsidRDefault="00EB6B72" w:rsidP="00EB6B72">
      <w:pPr>
        <w:pStyle w:val="Heading2"/>
      </w:pPr>
    </w:p>
    <w:p w14:paraId="2B13C540" w14:textId="5CD65497" w:rsidR="006C2A7C" w:rsidRPr="006C2A7C" w:rsidRDefault="002E5400" w:rsidP="006C2A7C">
      <w:pPr>
        <w:pStyle w:val="Heading2"/>
        <w:numPr>
          <w:ilvl w:val="1"/>
          <w:numId w:val="10"/>
        </w:numPr>
      </w:pPr>
      <w:r>
        <w:t>conclusion</w:t>
      </w:r>
    </w:p>
    <w:p w14:paraId="2C883783" w14:textId="6DB4D1B9" w:rsidR="006C2A7C" w:rsidRDefault="003D156E" w:rsidP="006C2A7C">
      <w:pPr>
        <w:spacing w:line="260" w:lineRule="atLeast"/>
        <w:ind w:firstLine="567"/>
        <w:jc w:val="both"/>
      </w:pPr>
      <w:r>
        <w:rPr>
          <w:sz w:val="20"/>
        </w:rPr>
        <w:t>Th</w:t>
      </w:r>
      <w:r w:rsidR="00D90543">
        <w:rPr>
          <w:sz w:val="20"/>
        </w:rPr>
        <w:t>e</w:t>
      </w:r>
      <w:r>
        <w:rPr>
          <w:sz w:val="20"/>
        </w:rPr>
        <w:t xml:space="preserve"> paper presents the Release-Category-Based Methodology (RCBM) for accident sequence identification aimed at EPZ distance calculation. The RCBM </w:t>
      </w:r>
      <w:r w:rsidR="00F85C0F">
        <w:rPr>
          <w:sz w:val="20"/>
        </w:rPr>
        <w:t>is consistent</w:t>
      </w:r>
      <w:r>
        <w:rPr>
          <w:sz w:val="20"/>
        </w:rPr>
        <w:t xml:space="preserve"> with the concept of practical elimination condition and </w:t>
      </w:r>
      <w:r w:rsidR="00F85C0F">
        <w:rPr>
          <w:sz w:val="20"/>
        </w:rPr>
        <w:t>bridges the gap</w:t>
      </w:r>
      <w:r>
        <w:rPr>
          <w:sz w:val="20"/>
        </w:rPr>
        <w:t xml:space="preserve"> between </w:t>
      </w:r>
      <w:r w:rsidR="00F85C0F">
        <w:rPr>
          <w:sz w:val="20"/>
        </w:rPr>
        <w:t xml:space="preserve">the </w:t>
      </w:r>
      <w:r>
        <w:rPr>
          <w:sz w:val="20"/>
        </w:rPr>
        <w:t>online and offsite</w:t>
      </w:r>
      <w:r w:rsidR="00F85C0F">
        <w:rPr>
          <w:sz w:val="20"/>
        </w:rPr>
        <w:t xml:space="preserve"> domains applied to nuclear safety under the application of the DID approach</w:t>
      </w:r>
      <w:r>
        <w:rPr>
          <w:sz w:val="20"/>
        </w:rPr>
        <w:t xml:space="preserve">. </w:t>
      </w:r>
      <w:r w:rsidR="006C2A7C">
        <w:rPr>
          <w:sz w:val="20"/>
        </w:rPr>
        <w:t xml:space="preserve">The </w:t>
      </w:r>
      <w:r w:rsidR="00CF7534">
        <w:rPr>
          <w:sz w:val="20"/>
        </w:rPr>
        <w:t>methodology was applied to five</w:t>
      </w:r>
      <w:r w:rsidR="006C2A7C">
        <w:rPr>
          <w:sz w:val="20"/>
        </w:rPr>
        <w:t xml:space="preserve"> different </w:t>
      </w:r>
      <w:r w:rsidR="00F85C0F">
        <w:rPr>
          <w:sz w:val="20"/>
        </w:rPr>
        <w:t xml:space="preserve">sequences for a </w:t>
      </w:r>
      <w:r w:rsidR="003C55DA">
        <w:rPr>
          <w:sz w:val="20"/>
        </w:rPr>
        <w:t xml:space="preserve">two inches </w:t>
      </w:r>
      <w:r w:rsidR="00F85C0F">
        <w:rPr>
          <w:sz w:val="20"/>
        </w:rPr>
        <w:t>DVI LOCA</w:t>
      </w:r>
      <w:r w:rsidR="000628A7">
        <w:rPr>
          <w:sz w:val="20"/>
        </w:rPr>
        <w:t xml:space="preserve"> in a 1000-MW</w:t>
      </w:r>
      <w:r w:rsidR="00F85C0F">
        <w:rPr>
          <w:sz w:val="20"/>
        </w:rPr>
        <w:t>th integrated PWR SMR design</w:t>
      </w:r>
      <w:r w:rsidR="006C2A7C">
        <w:rPr>
          <w:sz w:val="20"/>
        </w:rPr>
        <w:t>.</w:t>
      </w:r>
    </w:p>
    <w:p w14:paraId="1CF3A48B" w14:textId="45EEA4B0" w:rsidR="002E5400" w:rsidRPr="00537496" w:rsidRDefault="002E5400" w:rsidP="006553EF">
      <w:pPr>
        <w:pStyle w:val="Otherunnumberedheadings"/>
      </w:pPr>
      <w:r>
        <w:t>REFERENCES</w:t>
      </w:r>
    </w:p>
    <w:p w14:paraId="37CFB56D" w14:textId="66CCA494" w:rsidR="002E5400" w:rsidRPr="006553EF" w:rsidRDefault="002E5400" w:rsidP="003F1DF1">
      <w:pPr>
        <w:pStyle w:val="Referencelist"/>
        <w:spacing w:before="0" w:after="0"/>
        <w:ind w:left="714" w:hanging="357"/>
        <w:contextualSpacing/>
      </w:pPr>
      <w:r w:rsidRPr="006553EF">
        <w:t>IAEA</w:t>
      </w:r>
      <w:r w:rsidR="009C2E8D" w:rsidRPr="006553EF">
        <w:t xml:space="preserve">, </w:t>
      </w:r>
      <w:r w:rsidRPr="006553EF">
        <w:t>Actions to Protect the Public in an Emergency due to Severe Conditions at a Light Water Reactor,</w:t>
      </w:r>
      <w:r w:rsidRPr="002457ED">
        <w:rPr>
          <w:sz w:val="20"/>
          <w:szCs w:val="20"/>
        </w:rPr>
        <w:t xml:space="preserve"> EPRNPP-</w:t>
      </w:r>
      <w:r w:rsidRPr="006553EF">
        <w:t>PPA, Vienna (2013).</w:t>
      </w:r>
    </w:p>
    <w:p w14:paraId="366FE81F" w14:textId="35A504BE" w:rsidR="002E5400" w:rsidRPr="006553EF" w:rsidRDefault="002E5400" w:rsidP="003F1DF1">
      <w:pPr>
        <w:pStyle w:val="Referencelist"/>
        <w:spacing w:before="0" w:after="0"/>
        <w:ind w:left="714" w:hanging="357"/>
        <w:contextualSpacing/>
      </w:pPr>
      <w:r w:rsidRPr="006553EF">
        <w:t>IAEA SMR Regulator</w:t>
      </w:r>
      <w:r w:rsidR="009C2E8D" w:rsidRPr="006553EF">
        <w:t xml:space="preserve">s’ Forum Pilot Project Report, </w:t>
      </w:r>
      <w:r w:rsidRPr="006553EF">
        <w:t>Report from Working G</w:t>
      </w:r>
      <w:r w:rsidR="009C2E8D" w:rsidRPr="006553EF">
        <w:t>roup on Emergency</w:t>
      </w:r>
      <w:r w:rsidR="009C2E8D" w:rsidRPr="002457ED">
        <w:rPr>
          <w:sz w:val="20"/>
          <w:szCs w:val="20"/>
        </w:rPr>
        <w:t xml:space="preserve"> Planning Zone</w:t>
      </w:r>
      <w:r w:rsidRPr="002457ED">
        <w:rPr>
          <w:sz w:val="20"/>
          <w:szCs w:val="20"/>
        </w:rPr>
        <w:t xml:space="preserve">, </w:t>
      </w:r>
      <w:r w:rsidRPr="006553EF">
        <w:t>(2018).</w:t>
      </w:r>
    </w:p>
    <w:p w14:paraId="7E28B8B6" w14:textId="6193933D" w:rsidR="002E5400" w:rsidRDefault="002E5400" w:rsidP="006553EF">
      <w:pPr>
        <w:pStyle w:val="Referencelist"/>
        <w:spacing w:before="0" w:after="0"/>
        <w:ind w:left="714" w:hanging="357"/>
      </w:pPr>
      <w:r w:rsidRPr="006553EF">
        <w:t xml:space="preserve">OECD-NEA, Implementation of Defence in Depth at Nuclear Power Plants, Lesson Learnt from the Fukushima Daiichi Accident, Nuclear Regulation </w:t>
      </w:r>
      <w:r w:rsidR="009C2E8D" w:rsidRPr="006553EF">
        <w:t xml:space="preserve">No. 7248, </w:t>
      </w:r>
      <w:r w:rsidRPr="006553EF">
        <w:t>(2016).</w:t>
      </w:r>
    </w:p>
    <w:p w14:paraId="75848657" w14:textId="6A1920C9" w:rsidR="00084136" w:rsidRPr="006553EF" w:rsidRDefault="00084136" w:rsidP="00084136">
      <w:pPr>
        <w:pStyle w:val="Referencelist"/>
        <w:spacing w:before="0" w:after="0"/>
        <w:ind w:left="714" w:hanging="357"/>
      </w:pPr>
      <w:r w:rsidRPr="006553EF">
        <w:t>IRSN, The “practical elimination” approach of accident situation for water-cooled nuclear power reactors, Safety Approaches, 2017.</w:t>
      </w:r>
    </w:p>
    <w:p w14:paraId="1BD1DC82" w14:textId="6A25E7C0" w:rsidR="002E5400" w:rsidRPr="006553EF" w:rsidRDefault="009C2E8D" w:rsidP="003F1DF1">
      <w:pPr>
        <w:pStyle w:val="Referencelist"/>
        <w:spacing w:before="0" w:after="0"/>
        <w:ind w:left="714" w:hanging="357"/>
      </w:pPr>
      <w:r w:rsidRPr="006553EF">
        <w:t xml:space="preserve">IAEA, </w:t>
      </w:r>
      <w:r w:rsidR="002E5400" w:rsidRPr="006553EF">
        <w:t>Assessment of Defence in Depth For Nuclear Power Plants," Safety Report Series No. 46, Vienna, (2005).</w:t>
      </w:r>
    </w:p>
    <w:p w14:paraId="0D594516" w14:textId="5C5A6794" w:rsidR="002E5400" w:rsidRPr="006553EF" w:rsidRDefault="002E5400" w:rsidP="006553EF">
      <w:pPr>
        <w:pStyle w:val="Referencelist"/>
        <w:spacing w:before="0" w:after="0"/>
        <w:ind w:left="714" w:hanging="357"/>
      </w:pPr>
      <w:r w:rsidRPr="006553EF">
        <w:t xml:space="preserve">Andrew J. Ckark and Michael T. Rowland, Safety and Security </w:t>
      </w:r>
      <w:r w:rsidR="00D90543" w:rsidRPr="006553EF">
        <w:t>Defence</w:t>
      </w:r>
      <w:r w:rsidRPr="006553EF">
        <w:t>-in-Depth for Nuclear Power Plants, SANDIA Report, SAND2021-14591, September (2021).</w:t>
      </w:r>
    </w:p>
    <w:p w14:paraId="5E29876A" w14:textId="1115552C" w:rsidR="000628A7" w:rsidRPr="006553EF" w:rsidRDefault="000628A7" w:rsidP="006553EF">
      <w:pPr>
        <w:pStyle w:val="Referencelist"/>
        <w:spacing w:before="0" w:after="0"/>
        <w:ind w:left="714" w:hanging="357"/>
      </w:pPr>
      <w:r w:rsidRPr="006553EF">
        <w:t xml:space="preserve">M. K. Dhami, L. Wicke, D. Onkal, Scenario generation and scenario quality using the cone of plausibility, </w:t>
      </w:r>
      <w:r w:rsidR="004D3057" w:rsidRPr="006553EF">
        <w:t xml:space="preserve">Futures, 102995 </w:t>
      </w:r>
      <w:r w:rsidRPr="006553EF">
        <w:t>(2022).</w:t>
      </w:r>
    </w:p>
    <w:p w14:paraId="7A712830" w14:textId="2487DE47" w:rsidR="004D3057" w:rsidRPr="006553EF" w:rsidRDefault="003F1DF1" w:rsidP="006553EF">
      <w:pPr>
        <w:pStyle w:val="Referencelist"/>
        <w:spacing w:before="0" w:after="0"/>
        <w:ind w:left="714" w:hanging="357"/>
      </w:pPr>
      <w:r w:rsidRPr="006553EF">
        <w:t>C. W. Taylor,</w:t>
      </w:r>
      <w:r w:rsidR="004D3057" w:rsidRPr="006553EF">
        <w:t xml:space="preserve"> Alternative World S</w:t>
      </w:r>
      <w:r w:rsidRPr="006553EF">
        <w:t>cenarios For Strategic P</w:t>
      </w:r>
      <w:r w:rsidR="004D3057" w:rsidRPr="006553EF">
        <w:t>lanning, Strategic Studies Institute U.S. Army War College, Carlisle Barracks, Pennsylvania</w:t>
      </w:r>
      <w:r w:rsidRPr="006553EF">
        <w:t xml:space="preserve"> 17013-5050</w:t>
      </w:r>
      <w:r w:rsidR="004D3057" w:rsidRPr="006553EF">
        <w:t>, (1988).</w:t>
      </w:r>
    </w:p>
    <w:p w14:paraId="03564554" w14:textId="1522BA16" w:rsidR="002E5400" w:rsidRPr="006553EF" w:rsidRDefault="002E5400" w:rsidP="003F1DF1">
      <w:pPr>
        <w:pStyle w:val="Referencelist"/>
        <w:spacing w:before="0" w:after="0"/>
        <w:ind w:left="714" w:hanging="357"/>
      </w:pPr>
      <w:r w:rsidRPr="006553EF">
        <w:t>IAEA, Developing and Application of Level 2 Probabilistic Safety Ass</w:t>
      </w:r>
      <w:r w:rsidR="009C2E8D" w:rsidRPr="006553EF">
        <w:t>essment for Nuclear Power Plant</w:t>
      </w:r>
      <w:r w:rsidRPr="006553EF">
        <w:t>, Specific Safety Guide, No. DS528, (2023), draft.</w:t>
      </w:r>
    </w:p>
    <w:p w14:paraId="0F65437E" w14:textId="4AB19267" w:rsidR="002E5400" w:rsidRPr="006553EF" w:rsidRDefault="000C41D0" w:rsidP="003F1DF1">
      <w:pPr>
        <w:pStyle w:val="Referencelist"/>
        <w:spacing w:before="0" w:after="0"/>
        <w:ind w:left="714" w:hanging="357"/>
      </w:pPr>
      <w:r w:rsidRPr="006553EF">
        <w:t xml:space="preserve">Yehia F. Khalil, </w:t>
      </w:r>
      <w:r w:rsidR="002E5400" w:rsidRPr="006553EF">
        <w:t xml:space="preserve">Nuclear Engineering handbook, </w:t>
      </w:r>
      <w:r w:rsidR="00D42FEC" w:rsidRPr="006553EF">
        <w:t>“</w:t>
      </w:r>
      <w:r w:rsidR="002E5400" w:rsidRPr="006553EF">
        <w:t>Risk Assessment and Safety Analysis for Commercial Nuclear Reactors</w:t>
      </w:r>
      <w:r w:rsidR="00D42FEC" w:rsidRPr="006553EF">
        <w:t xml:space="preserve">”, </w:t>
      </w:r>
      <w:r w:rsidR="002E5400" w:rsidRPr="006553EF">
        <w:t>CRC Press,</w:t>
      </w:r>
      <w:r w:rsidR="00D42FEC" w:rsidRPr="006553EF">
        <w:t xml:space="preserve"> Florida, (2017</w:t>
      </w:r>
      <w:r w:rsidR="002E5400" w:rsidRPr="006553EF">
        <w:t xml:space="preserve">). </w:t>
      </w:r>
    </w:p>
    <w:p w14:paraId="079180AF" w14:textId="77777777" w:rsidR="00D42FEC" w:rsidRPr="006553EF" w:rsidRDefault="00283494" w:rsidP="003F1DF1">
      <w:pPr>
        <w:pStyle w:val="Referencelist"/>
        <w:spacing w:before="0" w:after="0"/>
        <w:ind w:left="714" w:hanging="357"/>
      </w:pPr>
      <w:r w:rsidRPr="006553EF">
        <w:t xml:space="preserve">FAUSKE &amp; ASSOCIATED, MAAP – Modular Accident Analysis Program </w:t>
      </w:r>
    </w:p>
    <w:p w14:paraId="656171E6" w14:textId="146A70B8" w:rsidR="002E5400" w:rsidRPr="006553EF" w:rsidRDefault="00C71DD4" w:rsidP="003F1DF1">
      <w:pPr>
        <w:pStyle w:val="Referencelist"/>
        <w:numPr>
          <w:ilvl w:val="0"/>
          <w:numId w:val="0"/>
        </w:numPr>
        <w:spacing w:before="0" w:after="0"/>
        <w:ind w:left="714"/>
      </w:pPr>
      <w:hyperlink r:id="rId21" w:history="1">
        <w:r w:rsidR="002E5400" w:rsidRPr="006553EF">
          <w:t>www.fauske.com/maap-modular-accident-analysis-program</w:t>
        </w:r>
      </w:hyperlink>
    </w:p>
    <w:p w14:paraId="5272F5A5" w14:textId="2AA75134" w:rsidR="00BB30E2" w:rsidRPr="006553EF" w:rsidRDefault="00BB30E2" w:rsidP="003F1DF1">
      <w:pPr>
        <w:pStyle w:val="Referencelist"/>
        <w:spacing w:before="0" w:after="0"/>
        <w:ind w:left="714" w:hanging="357"/>
      </w:pPr>
      <w:r w:rsidRPr="006553EF">
        <w:t>KARLSRUHER INSTITUTE OF TECHNOLOGY,  JRODOS – Decision Support Systems</w:t>
      </w:r>
    </w:p>
    <w:p w14:paraId="6FE2FEC5" w14:textId="19A3AFFF" w:rsidR="00BB30E2" w:rsidRPr="006553EF" w:rsidRDefault="00BB30E2" w:rsidP="003F1DF1">
      <w:pPr>
        <w:pStyle w:val="Referencelist"/>
        <w:numPr>
          <w:ilvl w:val="0"/>
          <w:numId w:val="0"/>
        </w:numPr>
        <w:spacing w:before="0" w:after="0"/>
        <w:ind w:left="720"/>
      </w:pPr>
      <w:r w:rsidRPr="006553EF">
        <w:t>https://www.ites.kit.edu/english/294.php</w:t>
      </w:r>
    </w:p>
    <w:p w14:paraId="3BA56E06" w14:textId="100F2C18" w:rsidR="00F45EEE" w:rsidRPr="006553EF" w:rsidRDefault="002E5400" w:rsidP="003F1DF1">
      <w:pPr>
        <w:pStyle w:val="Referencelist"/>
        <w:spacing w:before="0" w:after="0"/>
        <w:ind w:left="714" w:hanging="357"/>
      </w:pPr>
      <w:r w:rsidRPr="006553EF">
        <w:t>IAEA, Arrangements for Preparedness for a Nuclear or Radiological Emergency, Safety Guide GS-G-21</w:t>
      </w:r>
      <w:r w:rsidR="00D42FEC" w:rsidRPr="006553EF">
        <w:t>, Vienna, (2007)</w:t>
      </w:r>
      <w:r w:rsidRPr="006553EF">
        <w:t>.</w:t>
      </w:r>
    </w:p>
    <w:sectPr w:rsidR="00F45EEE" w:rsidRPr="006553EF" w:rsidSect="009D348A">
      <w:headerReference w:type="even" r:id="rId22"/>
      <w:headerReference w:type="default" r:id="rId23"/>
      <w:footerReference w:type="even" r:id="rId24"/>
      <w:footerReference w:type="default" r:id="rId25"/>
      <w:headerReference w:type="first" r:id="rId26"/>
      <w:footerReference w:type="first" r:id="rId27"/>
      <w:type w:val="oddPage"/>
      <w:pgSz w:w="11907" w:h="16840" w:code="9"/>
      <w:pgMar w:top="1440" w:right="1440" w:bottom="1440" w:left="1440" w:header="539" w:footer="964" w:gutter="0"/>
      <w:pgBorders w:offsetFrom="page">
        <w:top w:val="single" w:sz="4" w:space="24" w:color="auto"/>
        <w:bottom w:val="sing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CA9B6" w14:textId="77777777" w:rsidR="007D52C1" w:rsidRDefault="007D52C1">
      <w:r>
        <w:separator/>
      </w:r>
    </w:p>
  </w:endnote>
  <w:endnote w:type="continuationSeparator" w:id="0">
    <w:p w14:paraId="01477782" w14:textId="77777777" w:rsidR="007D52C1" w:rsidRDefault="007D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71EB65A1" w:rsidR="004E5E45" w:rsidRDefault="004E5E45">
    <w:pPr>
      <w:pStyle w:val="zyxClassification1"/>
    </w:pPr>
    <w:r>
      <w:fldChar w:fldCharType="begin"/>
    </w:r>
    <w:r>
      <w:instrText xml:space="preserve"> DOCPROPERTY "IaeaClassification"  \* MERGEFORMAT </w:instrText>
    </w:r>
    <w:r>
      <w:fldChar w:fldCharType="end"/>
    </w:r>
  </w:p>
  <w:p w14:paraId="1FDEB1B7" w14:textId="0ED3327B" w:rsidR="004E5E45" w:rsidRDefault="004E5E45">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74B9F514" w:rsidR="004E5E45" w:rsidRDefault="004E5E45">
    <w:pPr>
      <w:pStyle w:val="zyxClassification1"/>
    </w:pPr>
    <w:r>
      <w:fldChar w:fldCharType="begin"/>
    </w:r>
    <w:r>
      <w:instrText xml:space="preserve"> DOCPROPERTY "IaeaClassification"  \* MERGEFORMAT </w:instrText>
    </w:r>
    <w:r>
      <w:fldChar w:fldCharType="end"/>
    </w:r>
  </w:p>
  <w:p w14:paraId="7E32AC2C" w14:textId="0036C64F" w:rsidR="004E5E45" w:rsidRPr="00037321" w:rsidRDefault="004E5E45">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C71DD4">
      <w:rPr>
        <w:rFonts w:ascii="Times New Roman" w:hAnsi="Times New Roman" w:cs="Times New Roman"/>
        <w:noProof/>
        <w:sz w:val="20"/>
      </w:rPr>
      <w:t>5</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4E5E45" w14:paraId="2AC0DA17" w14:textId="77777777">
      <w:trPr>
        <w:cantSplit/>
      </w:trPr>
      <w:tc>
        <w:tcPr>
          <w:tcW w:w="4644" w:type="dxa"/>
        </w:tcPr>
        <w:p w14:paraId="6CFF9F49" w14:textId="0172A26A" w:rsidR="004E5E45" w:rsidRDefault="004E5E45">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4E5E45" w:rsidRDefault="004E5E45">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4E5E45" w:rsidRDefault="004E5E45">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4E5E45" w:rsidRDefault="004E5E45">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4E5E45" w:rsidRDefault="004E5E45">
    <w:r>
      <w:rPr>
        <w:sz w:val="16"/>
      </w:rPr>
      <w:fldChar w:fldCharType="begin"/>
    </w:r>
    <w:r>
      <w:rPr>
        <w:sz w:val="16"/>
      </w:rPr>
      <w:instrText xml:space="preserve"> FILENAME \* MERGEFORMAT </w:instrText>
    </w:r>
    <w:r>
      <w:rPr>
        <w:sz w:val="16"/>
      </w:rPr>
      <w:fldChar w:fldCharType="separate"/>
    </w:r>
    <w:r>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28A2B" w14:textId="77777777" w:rsidR="007D52C1" w:rsidRDefault="007D52C1">
      <w:r>
        <w:t>___________________________________________________________________________</w:t>
      </w:r>
    </w:p>
  </w:footnote>
  <w:footnote w:type="continuationSeparator" w:id="0">
    <w:p w14:paraId="4B4FD218" w14:textId="77777777" w:rsidR="007D52C1" w:rsidRDefault="007D52C1">
      <w:r>
        <w:t>___________________________________________________________________________</w:t>
      </w:r>
    </w:p>
  </w:footnote>
  <w:footnote w:type="continuationNotice" w:id="1">
    <w:p w14:paraId="20081CC0" w14:textId="77777777" w:rsidR="007D52C1" w:rsidRDefault="007D52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522D" w14:textId="77777777" w:rsidR="004E5E45" w:rsidRDefault="004E5E45" w:rsidP="00CF7AF3">
    <w:pPr>
      <w:pStyle w:val="Runninghead"/>
    </w:pPr>
    <w:r>
      <w:tab/>
      <w:t>IAEA-CN-123/45</w:t>
    </w:r>
  </w:p>
  <w:p w14:paraId="6E7E9A0F" w14:textId="18B87A12" w:rsidR="004E5E45" w:rsidRDefault="004E5E45"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09E92CEF" w14:textId="58EFCBEB" w:rsidR="004E5E45" w:rsidRDefault="004E5E45">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C4E1" w14:textId="20107586" w:rsidR="004E5E45" w:rsidRPr="00913E2B" w:rsidRDefault="004E5E45" w:rsidP="00B82FA5">
    <w:pPr>
      <w:pStyle w:val="Runninghead"/>
      <w:rPr>
        <w:lang w:val="es-ES"/>
      </w:rPr>
    </w:pPr>
    <w:r w:rsidRPr="00913E2B">
      <w:rPr>
        <w:lang w:val="es-ES"/>
      </w:rPr>
      <w:t>JU</w:t>
    </w:r>
    <w:r w:rsidR="000E2DE8">
      <w:rPr>
        <w:lang w:val="es-ES"/>
      </w:rPr>
      <w:t>AN CARLOS DE LA ROSA BLUL et ANTONIO GUGLIELMELLI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4E5E45" w14:paraId="2C69EA9B" w14:textId="77777777">
      <w:trPr>
        <w:cantSplit/>
        <w:trHeight w:val="716"/>
      </w:trPr>
      <w:tc>
        <w:tcPr>
          <w:tcW w:w="979" w:type="dxa"/>
          <w:vMerge w:val="restart"/>
        </w:tcPr>
        <w:p w14:paraId="2A6ADF80" w14:textId="77777777" w:rsidR="004E5E45" w:rsidRDefault="004E5E45">
          <w:pPr>
            <w:spacing w:before="180"/>
            <w:ind w:left="17"/>
          </w:pPr>
        </w:p>
      </w:tc>
      <w:tc>
        <w:tcPr>
          <w:tcW w:w="3638" w:type="dxa"/>
          <w:vAlign w:val="bottom"/>
        </w:tcPr>
        <w:p w14:paraId="610CF310" w14:textId="77777777" w:rsidR="004E5E45" w:rsidRDefault="004E5E45">
          <w:pPr>
            <w:spacing w:after="20"/>
          </w:pPr>
        </w:p>
      </w:tc>
      <w:bookmarkStart w:id="1" w:name="DOC_bkmClassification1"/>
      <w:tc>
        <w:tcPr>
          <w:tcW w:w="5702" w:type="dxa"/>
          <w:vMerge w:val="restart"/>
          <w:tcMar>
            <w:right w:w="193" w:type="dxa"/>
          </w:tcMar>
        </w:tcPr>
        <w:p w14:paraId="48D5842E" w14:textId="65BC9385" w:rsidR="004E5E45" w:rsidRDefault="004E5E45">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4E5E45" w:rsidRDefault="004E5E45">
          <w:pPr>
            <w:pStyle w:val="zyxConfid2Red"/>
          </w:pPr>
          <w:r>
            <w:fldChar w:fldCharType="begin"/>
          </w:r>
          <w:r>
            <w:instrText>DOCPROPERTY "IaeaClassification2"  \* MERGEFORMAT</w:instrText>
          </w:r>
          <w:r>
            <w:fldChar w:fldCharType="end"/>
          </w:r>
        </w:p>
      </w:tc>
    </w:tr>
    <w:tr w:rsidR="004E5E45" w14:paraId="7130D945" w14:textId="77777777">
      <w:trPr>
        <w:cantSplit/>
        <w:trHeight w:val="167"/>
      </w:trPr>
      <w:tc>
        <w:tcPr>
          <w:tcW w:w="979" w:type="dxa"/>
          <w:vMerge/>
        </w:tcPr>
        <w:p w14:paraId="7659FE2B" w14:textId="77777777" w:rsidR="004E5E45" w:rsidRDefault="004E5E45">
          <w:pPr>
            <w:spacing w:before="57"/>
          </w:pPr>
        </w:p>
      </w:tc>
      <w:tc>
        <w:tcPr>
          <w:tcW w:w="3638" w:type="dxa"/>
          <w:vAlign w:val="bottom"/>
        </w:tcPr>
        <w:p w14:paraId="7578AADC" w14:textId="77777777" w:rsidR="004E5E45" w:rsidRDefault="004E5E45">
          <w:pPr>
            <w:pStyle w:val="Heading9"/>
            <w:spacing w:before="0" w:after="10"/>
          </w:pPr>
        </w:p>
      </w:tc>
      <w:tc>
        <w:tcPr>
          <w:tcW w:w="5702" w:type="dxa"/>
          <w:vMerge/>
          <w:vAlign w:val="bottom"/>
        </w:tcPr>
        <w:p w14:paraId="313FA1D9" w14:textId="77777777" w:rsidR="004E5E45" w:rsidRDefault="004E5E45">
          <w:pPr>
            <w:pStyle w:val="Heading9"/>
            <w:spacing w:before="0" w:after="10"/>
          </w:pPr>
        </w:p>
      </w:tc>
    </w:tr>
  </w:tbl>
  <w:p w14:paraId="7A0C2B4B" w14:textId="77777777" w:rsidR="004E5E45" w:rsidRDefault="004E5E4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360D1"/>
    <w:multiLevelType w:val="hybridMultilevel"/>
    <w:tmpl w:val="B100D2FC"/>
    <w:lvl w:ilvl="0" w:tplc="FFFC1B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9356433"/>
    <w:multiLevelType w:val="hybridMultilevel"/>
    <w:tmpl w:val="8ACE9B0C"/>
    <w:lvl w:ilvl="0" w:tplc="FFFC1BCC">
      <w:start w:val="1"/>
      <w:numFmt w:val="decimal"/>
      <w:lvlText w:val="[%1]"/>
      <w:lvlJc w:val="lef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 w15:restartNumberingAfterBreak="0">
    <w:nsid w:val="3D18048A"/>
    <w:multiLevelType w:val="hybridMultilevel"/>
    <w:tmpl w:val="838E5C6E"/>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1"/>
      <w:numFmt w:val="decimal"/>
      <w:lvlRestart w:val="0"/>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5"/>
  </w:num>
  <w:num w:numId="3">
    <w:abstractNumId w:val="12"/>
  </w:num>
  <w:num w:numId="4">
    <w:abstractNumId w:val="12"/>
  </w:num>
  <w:num w:numId="5">
    <w:abstractNumId w:val="12"/>
  </w:num>
  <w:num w:numId="6">
    <w:abstractNumId w:val="6"/>
  </w:num>
  <w:num w:numId="7">
    <w:abstractNumId w:val="10"/>
  </w:num>
  <w:num w:numId="8">
    <w:abstractNumId w:val="13"/>
  </w:num>
  <w:num w:numId="9">
    <w:abstractNumId w:val="1"/>
  </w:num>
  <w:num w:numId="10">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start w:val="1"/>
        <w:numFmt w:val="decimal"/>
        <w:lvlRestart w:val="0"/>
        <w:lvlText w:val="%1%2.%3."/>
        <w:lvlJc w:val="left"/>
        <w:pPr>
          <w:ind w:left="0" w:firstLine="0"/>
        </w:pPr>
        <w:rPr>
          <w:rFonts w:hint="default"/>
        </w:rPr>
      </w:lvl>
    </w:lvlOverride>
    <w:lvlOverride w:ilvl="3">
      <w:lvl w:ilvl="3">
        <w:start w:val="1"/>
        <w:numFmt w:val="none"/>
        <w:lvlRestart w:val="0"/>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2"/>
  </w:num>
  <w:num w:numId="12">
    <w:abstractNumId w:val="12"/>
  </w:num>
  <w:num w:numId="13">
    <w:abstractNumId w:val="12"/>
  </w:num>
  <w:num w:numId="14">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suff w:val="space"/>
        <w:lvlText w:val="%1%2."/>
        <w:lvlJc w:val="left"/>
        <w:pPr>
          <w:ind w:left="0" w:firstLine="0"/>
        </w:pPr>
        <w:rPr>
          <w:rFonts w:hint="default"/>
          <w:color w:val="auto"/>
        </w:rPr>
      </w:lvl>
    </w:lvlOverride>
    <w:lvlOverride w:ilvl="2">
      <w:lvl w:ilvl="2">
        <w:start w:val="1"/>
        <w:numFmt w:val="decimal"/>
        <w:lvlRestart w:val="0"/>
        <w:suff w:val="space"/>
        <w:lvlText w:val="%1%2.%3."/>
        <w:lvlJc w:val="left"/>
        <w:pPr>
          <w:ind w:left="0" w:firstLine="0"/>
        </w:pPr>
        <w:rPr>
          <w:rFonts w:hint="default"/>
        </w:rPr>
      </w:lvl>
    </w:lvlOverride>
    <w:lvlOverride w:ilvl="3">
      <w:lvl w:ilvl="3">
        <w:start w:val="1"/>
        <w:numFmt w:val="decimal"/>
        <w:lvlRestart w:val="0"/>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2"/>
  </w:num>
  <w:num w:numId="16">
    <w:abstractNumId w:val="12"/>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
  </w:num>
  <w:num w:numId="21">
    <w:abstractNumId w:val="12"/>
  </w:num>
  <w:num w:numId="22">
    <w:abstractNumId w:val="3"/>
  </w:num>
  <w:num w:numId="23">
    <w:abstractNumId w:val="0"/>
  </w:num>
  <w:num w:numId="24">
    <w:abstractNumId w:val="11"/>
  </w:num>
  <w:num w:numId="25">
    <w:abstractNumId w:val="12"/>
  </w:num>
  <w:num w:numId="26">
    <w:abstractNumId w:val="12"/>
  </w:num>
  <w:num w:numId="27">
    <w:abstractNumId w:val="12"/>
  </w:num>
  <w:num w:numId="28">
    <w:abstractNumId w:val="12"/>
  </w:num>
  <w:num w:numId="29">
    <w:abstractNumId w:val="12"/>
  </w:num>
  <w:num w:numId="30">
    <w:abstractNumId w:val="8"/>
  </w:num>
  <w:num w:numId="31">
    <w:abstractNumId w:val="8"/>
  </w:num>
  <w:num w:numId="32">
    <w:abstractNumId w:val="12"/>
  </w:num>
  <w:num w:numId="33">
    <w:abstractNumId w:val="4"/>
  </w:num>
  <w:num w:numId="34">
    <w:abstractNumId w:val="8"/>
  </w:num>
  <w:num w:numId="35">
    <w:abstractNumId w:val="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32D8"/>
    <w:rsid w:val="000229AB"/>
    <w:rsid w:val="0002569A"/>
    <w:rsid w:val="00037321"/>
    <w:rsid w:val="000628A7"/>
    <w:rsid w:val="00084136"/>
    <w:rsid w:val="000965A8"/>
    <w:rsid w:val="000A0299"/>
    <w:rsid w:val="000B4BEB"/>
    <w:rsid w:val="000C41D0"/>
    <w:rsid w:val="000C6F25"/>
    <w:rsid w:val="000D2B3C"/>
    <w:rsid w:val="000E2DE8"/>
    <w:rsid w:val="000F7E94"/>
    <w:rsid w:val="001119D6"/>
    <w:rsid w:val="001136A2"/>
    <w:rsid w:val="00114EF6"/>
    <w:rsid w:val="001308F2"/>
    <w:rsid w:val="001313E8"/>
    <w:rsid w:val="001333FB"/>
    <w:rsid w:val="001B2759"/>
    <w:rsid w:val="001C58F5"/>
    <w:rsid w:val="001D0DD6"/>
    <w:rsid w:val="001D5CEE"/>
    <w:rsid w:val="001D6B1B"/>
    <w:rsid w:val="001D74BE"/>
    <w:rsid w:val="001F6F21"/>
    <w:rsid w:val="002071D9"/>
    <w:rsid w:val="0021004B"/>
    <w:rsid w:val="002457ED"/>
    <w:rsid w:val="00256822"/>
    <w:rsid w:val="0026525A"/>
    <w:rsid w:val="00274790"/>
    <w:rsid w:val="00283494"/>
    <w:rsid w:val="00285755"/>
    <w:rsid w:val="002A1F9C"/>
    <w:rsid w:val="002B29C2"/>
    <w:rsid w:val="002B50F0"/>
    <w:rsid w:val="002C4208"/>
    <w:rsid w:val="002E5400"/>
    <w:rsid w:val="003223B2"/>
    <w:rsid w:val="00333C92"/>
    <w:rsid w:val="00352DE1"/>
    <w:rsid w:val="00355000"/>
    <w:rsid w:val="00362414"/>
    <w:rsid w:val="003728E6"/>
    <w:rsid w:val="003819CB"/>
    <w:rsid w:val="00387616"/>
    <w:rsid w:val="0039647D"/>
    <w:rsid w:val="00397692"/>
    <w:rsid w:val="003A15E8"/>
    <w:rsid w:val="003B0117"/>
    <w:rsid w:val="003B40BC"/>
    <w:rsid w:val="003B5E0E"/>
    <w:rsid w:val="003C55DA"/>
    <w:rsid w:val="003D156E"/>
    <w:rsid w:val="003D255A"/>
    <w:rsid w:val="003D715D"/>
    <w:rsid w:val="003F1DF1"/>
    <w:rsid w:val="00400B0C"/>
    <w:rsid w:val="00413E49"/>
    <w:rsid w:val="00416949"/>
    <w:rsid w:val="004370D8"/>
    <w:rsid w:val="004453B7"/>
    <w:rsid w:val="0045447A"/>
    <w:rsid w:val="00460990"/>
    <w:rsid w:val="00472C43"/>
    <w:rsid w:val="00475031"/>
    <w:rsid w:val="004805F9"/>
    <w:rsid w:val="004D3057"/>
    <w:rsid w:val="004E5E45"/>
    <w:rsid w:val="00531AE8"/>
    <w:rsid w:val="00537496"/>
    <w:rsid w:val="00544366"/>
    <w:rsid w:val="00544ED3"/>
    <w:rsid w:val="0058477B"/>
    <w:rsid w:val="0058654F"/>
    <w:rsid w:val="00596ACA"/>
    <w:rsid w:val="005A61C5"/>
    <w:rsid w:val="005B547F"/>
    <w:rsid w:val="005E217C"/>
    <w:rsid w:val="005E39BC"/>
    <w:rsid w:val="005F00A0"/>
    <w:rsid w:val="005F7996"/>
    <w:rsid w:val="00611EB3"/>
    <w:rsid w:val="00613118"/>
    <w:rsid w:val="00621D6B"/>
    <w:rsid w:val="00630D28"/>
    <w:rsid w:val="00647F33"/>
    <w:rsid w:val="006553EF"/>
    <w:rsid w:val="00662532"/>
    <w:rsid w:val="00667D20"/>
    <w:rsid w:val="006A2585"/>
    <w:rsid w:val="006B2274"/>
    <w:rsid w:val="006C11BE"/>
    <w:rsid w:val="006C1FE2"/>
    <w:rsid w:val="006C2A7C"/>
    <w:rsid w:val="00703DD1"/>
    <w:rsid w:val="007131F5"/>
    <w:rsid w:val="00717C6F"/>
    <w:rsid w:val="007445DA"/>
    <w:rsid w:val="00746537"/>
    <w:rsid w:val="00754204"/>
    <w:rsid w:val="00777AF6"/>
    <w:rsid w:val="00790502"/>
    <w:rsid w:val="007B47D1"/>
    <w:rsid w:val="007B4FD1"/>
    <w:rsid w:val="007D52C1"/>
    <w:rsid w:val="00802381"/>
    <w:rsid w:val="00814814"/>
    <w:rsid w:val="008675C7"/>
    <w:rsid w:val="00883848"/>
    <w:rsid w:val="00897ED5"/>
    <w:rsid w:val="008B6BB9"/>
    <w:rsid w:val="00900B3A"/>
    <w:rsid w:val="00906E9A"/>
    <w:rsid w:val="00911543"/>
    <w:rsid w:val="00913E2B"/>
    <w:rsid w:val="00927BEC"/>
    <w:rsid w:val="009519C9"/>
    <w:rsid w:val="009576DD"/>
    <w:rsid w:val="00962A68"/>
    <w:rsid w:val="00974049"/>
    <w:rsid w:val="00977BD4"/>
    <w:rsid w:val="00995C3F"/>
    <w:rsid w:val="009C2E8D"/>
    <w:rsid w:val="009D0B86"/>
    <w:rsid w:val="009D3156"/>
    <w:rsid w:val="009D348A"/>
    <w:rsid w:val="009E0D5B"/>
    <w:rsid w:val="009E1558"/>
    <w:rsid w:val="00A00F7D"/>
    <w:rsid w:val="00A13439"/>
    <w:rsid w:val="00A42898"/>
    <w:rsid w:val="00A461AE"/>
    <w:rsid w:val="00A57D61"/>
    <w:rsid w:val="00AB6ACE"/>
    <w:rsid w:val="00AC5A3A"/>
    <w:rsid w:val="00B220BC"/>
    <w:rsid w:val="00B27F29"/>
    <w:rsid w:val="00B4070E"/>
    <w:rsid w:val="00B82FA5"/>
    <w:rsid w:val="00B8722A"/>
    <w:rsid w:val="00BB30E2"/>
    <w:rsid w:val="00BB4D9D"/>
    <w:rsid w:val="00BD1400"/>
    <w:rsid w:val="00BD313B"/>
    <w:rsid w:val="00BD605C"/>
    <w:rsid w:val="00BE2A76"/>
    <w:rsid w:val="00BE50C1"/>
    <w:rsid w:val="00BF7F80"/>
    <w:rsid w:val="00C1074B"/>
    <w:rsid w:val="00C20B18"/>
    <w:rsid w:val="00C26807"/>
    <w:rsid w:val="00C65E60"/>
    <w:rsid w:val="00C71DD4"/>
    <w:rsid w:val="00CB2D73"/>
    <w:rsid w:val="00CB49BD"/>
    <w:rsid w:val="00CB7B0F"/>
    <w:rsid w:val="00CD67D0"/>
    <w:rsid w:val="00CE5A52"/>
    <w:rsid w:val="00CF7534"/>
    <w:rsid w:val="00CF7AF3"/>
    <w:rsid w:val="00D05C42"/>
    <w:rsid w:val="00D16FE8"/>
    <w:rsid w:val="00D26ADA"/>
    <w:rsid w:val="00D35A78"/>
    <w:rsid w:val="00D42FEC"/>
    <w:rsid w:val="00D46AD3"/>
    <w:rsid w:val="00D555A1"/>
    <w:rsid w:val="00D64DC2"/>
    <w:rsid w:val="00D77003"/>
    <w:rsid w:val="00D90543"/>
    <w:rsid w:val="00DA46CA"/>
    <w:rsid w:val="00DA7D14"/>
    <w:rsid w:val="00DE5C69"/>
    <w:rsid w:val="00DF21EB"/>
    <w:rsid w:val="00E02A10"/>
    <w:rsid w:val="00E20E70"/>
    <w:rsid w:val="00E25B68"/>
    <w:rsid w:val="00E26D99"/>
    <w:rsid w:val="00E66E5B"/>
    <w:rsid w:val="00E701B7"/>
    <w:rsid w:val="00E83E83"/>
    <w:rsid w:val="00E84003"/>
    <w:rsid w:val="00EB6B72"/>
    <w:rsid w:val="00EC10FC"/>
    <w:rsid w:val="00EE0041"/>
    <w:rsid w:val="00EE29B9"/>
    <w:rsid w:val="00F004EE"/>
    <w:rsid w:val="00F32BD3"/>
    <w:rsid w:val="00F42E23"/>
    <w:rsid w:val="00F45EEE"/>
    <w:rsid w:val="00F51E9C"/>
    <w:rsid w:val="00F523CA"/>
    <w:rsid w:val="00F74A9D"/>
    <w:rsid w:val="00F81CF8"/>
    <w:rsid w:val="00F85C0F"/>
    <w:rsid w:val="00FA6F02"/>
    <w:rsid w:val="00FD53C7"/>
    <w:rsid w:val="00FE2619"/>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E55A450B-EBAD-455A-9607-26E6D43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333C92"/>
    <w:pPr>
      <w:spacing w:before="120" w:after="120" w:line="260" w:lineRule="atLeast"/>
      <w:ind w:firstLine="567"/>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333C92"/>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uiPriority w:val="3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99"/>
    <w:locked/>
    <w:rsid w:val="008675C7"/>
    <w:rPr>
      <w:color w:val="0000FF" w:themeColor="hyperlink"/>
      <w:u w:val="single"/>
    </w:rPr>
  </w:style>
  <w:style w:type="paragraph" w:styleId="NormalWeb">
    <w:name w:val="Normal (Web)"/>
    <w:basedOn w:val="Normal"/>
    <w:uiPriority w:val="99"/>
    <w:unhideWhenUsed/>
    <w:locked/>
    <w:rsid w:val="008675C7"/>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locked/>
    <w:rsid w:val="000D2B3C"/>
    <w:pPr>
      <w:ind w:left="720"/>
      <w:contextualSpacing/>
    </w:pPr>
  </w:style>
  <w:style w:type="character" w:styleId="CommentReference">
    <w:name w:val="annotation reference"/>
    <w:basedOn w:val="DefaultParagraphFont"/>
    <w:uiPriority w:val="49"/>
    <w:locked/>
    <w:rsid w:val="00913E2B"/>
    <w:rPr>
      <w:sz w:val="16"/>
      <w:szCs w:val="16"/>
    </w:rPr>
  </w:style>
  <w:style w:type="paragraph" w:styleId="CommentText">
    <w:name w:val="annotation text"/>
    <w:basedOn w:val="Normal"/>
    <w:link w:val="CommentTextChar"/>
    <w:uiPriority w:val="49"/>
    <w:locked/>
    <w:rsid w:val="00913E2B"/>
    <w:rPr>
      <w:sz w:val="20"/>
    </w:rPr>
  </w:style>
  <w:style w:type="character" w:customStyle="1" w:styleId="CommentTextChar">
    <w:name w:val="Comment Text Char"/>
    <w:basedOn w:val="DefaultParagraphFont"/>
    <w:link w:val="CommentText"/>
    <w:uiPriority w:val="49"/>
    <w:rsid w:val="00913E2B"/>
    <w:rPr>
      <w:lang w:eastAsia="en-US"/>
    </w:rPr>
  </w:style>
  <w:style w:type="paragraph" w:styleId="CommentSubject">
    <w:name w:val="annotation subject"/>
    <w:basedOn w:val="CommentText"/>
    <w:next w:val="CommentText"/>
    <w:link w:val="CommentSubjectChar"/>
    <w:uiPriority w:val="49"/>
    <w:locked/>
    <w:rsid w:val="00913E2B"/>
    <w:rPr>
      <w:b/>
      <w:bCs/>
    </w:rPr>
  </w:style>
  <w:style w:type="character" w:customStyle="1" w:styleId="CommentSubjectChar">
    <w:name w:val="Comment Subject Char"/>
    <w:basedOn w:val="CommentTextChar"/>
    <w:link w:val="CommentSubject"/>
    <w:uiPriority w:val="49"/>
    <w:rsid w:val="00913E2B"/>
    <w:rPr>
      <w:b/>
      <w:bCs/>
      <w:lang w:eastAsia="en-US"/>
    </w:rPr>
  </w:style>
  <w:style w:type="paragraph" w:styleId="Revision">
    <w:name w:val="Revision"/>
    <w:hidden/>
    <w:uiPriority w:val="99"/>
    <w:semiHidden/>
    <w:rsid w:val="009576D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86793">
      <w:bodyDiv w:val="1"/>
      <w:marLeft w:val="0"/>
      <w:marRight w:val="0"/>
      <w:marTop w:val="0"/>
      <w:marBottom w:val="0"/>
      <w:divBdr>
        <w:top w:val="none" w:sz="0" w:space="0" w:color="auto"/>
        <w:left w:val="none" w:sz="0" w:space="0" w:color="auto"/>
        <w:bottom w:val="none" w:sz="0" w:space="0" w:color="auto"/>
        <w:right w:val="none" w:sz="0" w:space="0" w:color="auto"/>
      </w:divBdr>
    </w:div>
    <w:div w:id="154146370">
      <w:bodyDiv w:val="1"/>
      <w:marLeft w:val="0"/>
      <w:marRight w:val="0"/>
      <w:marTop w:val="0"/>
      <w:marBottom w:val="0"/>
      <w:divBdr>
        <w:top w:val="none" w:sz="0" w:space="0" w:color="auto"/>
        <w:left w:val="none" w:sz="0" w:space="0" w:color="auto"/>
        <w:bottom w:val="none" w:sz="0" w:space="0" w:color="auto"/>
        <w:right w:val="none" w:sz="0" w:space="0" w:color="auto"/>
      </w:divBdr>
    </w:div>
    <w:div w:id="337775621">
      <w:bodyDiv w:val="1"/>
      <w:marLeft w:val="0"/>
      <w:marRight w:val="0"/>
      <w:marTop w:val="0"/>
      <w:marBottom w:val="0"/>
      <w:divBdr>
        <w:top w:val="none" w:sz="0" w:space="0" w:color="auto"/>
        <w:left w:val="none" w:sz="0" w:space="0" w:color="auto"/>
        <w:bottom w:val="none" w:sz="0" w:space="0" w:color="auto"/>
        <w:right w:val="none" w:sz="0" w:space="0" w:color="auto"/>
      </w:divBdr>
    </w:div>
    <w:div w:id="417364678">
      <w:bodyDiv w:val="1"/>
      <w:marLeft w:val="0"/>
      <w:marRight w:val="0"/>
      <w:marTop w:val="0"/>
      <w:marBottom w:val="0"/>
      <w:divBdr>
        <w:top w:val="none" w:sz="0" w:space="0" w:color="auto"/>
        <w:left w:val="none" w:sz="0" w:space="0" w:color="auto"/>
        <w:bottom w:val="none" w:sz="0" w:space="0" w:color="auto"/>
        <w:right w:val="none" w:sz="0" w:space="0" w:color="auto"/>
      </w:divBdr>
    </w:div>
    <w:div w:id="422069244">
      <w:bodyDiv w:val="1"/>
      <w:marLeft w:val="0"/>
      <w:marRight w:val="0"/>
      <w:marTop w:val="0"/>
      <w:marBottom w:val="0"/>
      <w:divBdr>
        <w:top w:val="none" w:sz="0" w:space="0" w:color="auto"/>
        <w:left w:val="none" w:sz="0" w:space="0" w:color="auto"/>
        <w:bottom w:val="none" w:sz="0" w:space="0" w:color="auto"/>
        <w:right w:val="none" w:sz="0" w:space="0" w:color="auto"/>
      </w:divBdr>
    </w:div>
    <w:div w:id="601960878">
      <w:bodyDiv w:val="1"/>
      <w:marLeft w:val="0"/>
      <w:marRight w:val="0"/>
      <w:marTop w:val="0"/>
      <w:marBottom w:val="0"/>
      <w:divBdr>
        <w:top w:val="none" w:sz="0" w:space="0" w:color="auto"/>
        <w:left w:val="none" w:sz="0" w:space="0" w:color="auto"/>
        <w:bottom w:val="none" w:sz="0" w:space="0" w:color="auto"/>
        <w:right w:val="none" w:sz="0" w:space="0" w:color="auto"/>
      </w:divBdr>
    </w:div>
    <w:div w:id="951012993">
      <w:bodyDiv w:val="1"/>
      <w:marLeft w:val="0"/>
      <w:marRight w:val="0"/>
      <w:marTop w:val="0"/>
      <w:marBottom w:val="0"/>
      <w:divBdr>
        <w:top w:val="none" w:sz="0" w:space="0" w:color="auto"/>
        <w:left w:val="none" w:sz="0" w:space="0" w:color="auto"/>
        <w:bottom w:val="none" w:sz="0" w:space="0" w:color="auto"/>
        <w:right w:val="none" w:sz="0" w:space="0" w:color="auto"/>
      </w:divBdr>
    </w:div>
    <w:div w:id="1041855650">
      <w:bodyDiv w:val="1"/>
      <w:marLeft w:val="0"/>
      <w:marRight w:val="0"/>
      <w:marTop w:val="0"/>
      <w:marBottom w:val="0"/>
      <w:divBdr>
        <w:top w:val="none" w:sz="0" w:space="0" w:color="auto"/>
        <w:left w:val="none" w:sz="0" w:space="0" w:color="auto"/>
        <w:bottom w:val="none" w:sz="0" w:space="0" w:color="auto"/>
        <w:right w:val="none" w:sz="0" w:space="0" w:color="auto"/>
      </w:divBdr>
    </w:div>
    <w:div w:id="1171334099">
      <w:bodyDiv w:val="1"/>
      <w:marLeft w:val="0"/>
      <w:marRight w:val="0"/>
      <w:marTop w:val="0"/>
      <w:marBottom w:val="0"/>
      <w:divBdr>
        <w:top w:val="none" w:sz="0" w:space="0" w:color="auto"/>
        <w:left w:val="none" w:sz="0" w:space="0" w:color="auto"/>
        <w:bottom w:val="none" w:sz="0" w:space="0" w:color="auto"/>
        <w:right w:val="none" w:sz="0" w:space="0" w:color="auto"/>
      </w:divBdr>
    </w:div>
    <w:div w:id="1272205145">
      <w:bodyDiv w:val="1"/>
      <w:marLeft w:val="0"/>
      <w:marRight w:val="0"/>
      <w:marTop w:val="0"/>
      <w:marBottom w:val="0"/>
      <w:divBdr>
        <w:top w:val="none" w:sz="0" w:space="0" w:color="auto"/>
        <w:left w:val="none" w:sz="0" w:space="0" w:color="auto"/>
        <w:bottom w:val="none" w:sz="0" w:space="0" w:color="auto"/>
        <w:right w:val="none" w:sz="0" w:space="0" w:color="auto"/>
      </w:divBdr>
    </w:div>
    <w:div w:id="1296832635">
      <w:bodyDiv w:val="1"/>
      <w:marLeft w:val="0"/>
      <w:marRight w:val="0"/>
      <w:marTop w:val="0"/>
      <w:marBottom w:val="0"/>
      <w:divBdr>
        <w:top w:val="none" w:sz="0" w:space="0" w:color="auto"/>
        <w:left w:val="none" w:sz="0" w:space="0" w:color="auto"/>
        <w:bottom w:val="none" w:sz="0" w:space="0" w:color="auto"/>
        <w:right w:val="none" w:sz="0" w:space="0" w:color="auto"/>
      </w:divBdr>
    </w:div>
    <w:div w:id="1329626966">
      <w:bodyDiv w:val="1"/>
      <w:marLeft w:val="0"/>
      <w:marRight w:val="0"/>
      <w:marTop w:val="0"/>
      <w:marBottom w:val="0"/>
      <w:divBdr>
        <w:top w:val="none" w:sz="0" w:space="0" w:color="auto"/>
        <w:left w:val="none" w:sz="0" w:space="0" w:color="auto"/>
        <w:bottom w:val="none" w:sz="0" w:space="0" w:color="auto"/>
        <w:right w:val="none" w:sz="0" w:space="0" w:color="auto"/>
      </w:divBdr>
    </w:div>
    <w:div w:id="1361974019">
      <w:bodyDiv w:val="1"/>
      <w:marLeft w:val="0"/>
      <w:marRight w:val="0"/>
      <w:marTop w:val="0"/>
      <w:marBottom w:val="0"/>
      <w:divBdr>
        <w:top w:val="none" w:sz="0" w:space="0" w:color="auto"/>
        <w:left w:val="none" w:sz="0" w:space="0" w:color="auto"/>
        <w:bottom w:val="none" w:sz="0" w:space="0" w:color="auto"/>
        <w:right w:val="none" w:sz="0" w:space="0" w:color="auto"/>
      </w:divBdr>
    </w:div>
    <w:div w:id="1423916058">
      <w:bodyDiv w:val="1"/>
      <w:marLeft w:val="0"/>
      <w:marRight w:val="0"/>
      <w:marTop w:val="0"/>
      <w:marBottom w:val="0"/>
      <w:divBdr>
        <w:top w:val="none" w:sz="0" w:space="0" w:color="auto"/>
        <w:left w:val="none" w:sz="0" w:space="0" w:color="auto"/>
        <w:bottom w:val="none" w:sz="0" w:space="0" w:color="auto"/>
        <w:right w:val="none" w:sz="0" w:space="0" w:color="auto"/>
      </w:divBdr>
    </w:div>
    <w:div w:id="1499267487">
      <w:bodyDiv w:val="1"/>
      <w:marLeft w:val="0"/>
      <w:marRight w:val="0"/>
      <w:marTop w:val="0"/>
      <w:marBottom w:val="0"/>
      <w:divBdr>
        <w:top w:val="none" w:sz="0" w:space="0" w:color="auto"/>
        <w:left w:val="none" w:sz="0" w:space="0" w:color="auto"/>
        <w:bottom w:val="none" w:sz="0" w:space="0" w:color="auto"/>
        <w:right w:val="none" w:sz="0" w:space="0" w:color="auto"/>
      </w:divBdr>
    </w:div>
    <w:div w:id="1561287628">
      <w:bodyDiv w:val="1"/>
      <w:marLeft w:val="0"/>
      <w:marRight w:val="0"/>
      <w:marTop w:val="0"/>
      <w:marBottom w:val="0"/>
      <w:divBdr>
        <w:top w:val="none" w:sz="0" w:space="0" w:color="auto"/>
        <w:left w:val="none" w:sz="0" w:space="0" w:color="auto"/>
        <w:bottom w:val="none" w:sz="0" w:space="0" w:color="auto"/>
        <w:right w:val="none" w:sz="0" w:space="0" w:color="auto"/>
      </w:divBdr>
    </w:div>
    <w:div w:id="1640257273">
      <w:bodyDiv w:val="1"/>
      <w:marLeft w:val="0"/>
      <w:marRight w:val="0"/>
      <w:marTop w:val="0"/>
      <w:marBottom w:val="0"/>
      <w:divBdr>
        <w:top w:val="none" w:sz="0" w:space="0" w:color="auto"/>
        <w:left w:val="none" w:sz="0" w:space="0" w:color="auto"/>
        <w:bottom w:val="none" w:sz="0" w:space="0" w:color="auto"/>
        <w:right w:val="none" w:sz="0" w:space="0" w:color="auto"/>
      </w:divBdr>
    </w:div>
    <w:div w:id="1642616603">
      <w:bodyDiv w:val="1"/>
      <w:marLeft w:val="0"/>
      <w:marRight w:val="0"/>
      <w:marTop w:val="0"/>
      <w:marBottom w:val="0"/>
      <w:divBdr>
        <w:top w:val="none" w:sz="0" w:space="0" w:color="auto"/>
        <w:left w:val="none" w:sz="0" w:space="0" w:color="auto"/>
        <w:bottom w:val="none" w:sz="0" w:space="0" w:color="auto"/>
        <w:right w:val="none" w:sz="0" w:space="0" w:color="auto"/>
      </w:divBdr>
    </w:div>
    <w:div w:id="1643466687">
      <w:bodyDiv w:val="1"/>
      <w:marLeft w:val="0"/>
      <w:marRight w:val="0"/>
      <w:marTop w:val="0"/>
      <w:marBottom w:val="0"/>
      <w:divBdr>
        <w:top w:val="none" w:sz="0" w:space="0" w:color="auto"/>
        <w:left w:val="none" w:sz="0" w:space="0" w:color="auto"/>
        <w:bottom w:val="none" w:sz="0" w:space="0" w:color="auto"/>
        <w:right w:val="none" w:sz="0" w:space="0" w:color="auto"/>
      </w:divBdr>
    </w:div>
    <w:div w:id="1699115987">
      <w:bodyDiv w:val="1"/>
      <w:marLeft w:val="0"/>
      <w:marRight w:val="0"/>
      <w:marTop w:val="0"/>
      <w:marBottom w:val="0"/>
      <w:divBdr>
        <w:top w:val="none" w:sz="0" w:space="0" w:color="auto"/>
        <w:left w:val="none" w:sz="0" w:space="0" w:color="auto"/>
        <w:bottom w:val="none" w:sz="0" w:space="0" w:color="auto"/>
        <w:right w:val="none" w:sz="0" w:space="0" w:color="auto"/>
      </w:divBdr>
    </w:div>
    <w:div w:id="1915355753">
      <w:bodyDiv w:val="1"/>
      <w:marLeft w:val="0"/>
      <w:marRight w:val="0"/>
      <w:marTop w:val="0"/>
      <w:marBottom w:val="0"/>
      <w:divBdr>
        <w:top w:val="none" w:sz="0" w:space="0" w:color="auto"/>
        <w:left w:val="none" w:sz="0" w:space="0" w:color="auto"/>
        <w:bottom w:val="none" w:sz="0" w:space="0" w:color="auto"/>
        <w:right w:val="none" w:sz="0" w:space="0" w:color="auto"/>
      </w:divBdr>
    </w:div>
    <w:div w:id="20306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fauske.com/maap-modular-accident-analysis-progra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E1F62B33-4E1A-4266-90DD-0340CFF7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TotalTime>
  <Pages>7</Pages>
  <Words>2548</Words>
  <Characters>15174</Characters>
  <Application>Microsoft Office Word</Application>
  <DocSecurity>4</DocSecurity>
  <Lines>309</Lines>
  <Paragraphs>167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IAEA</vt:lpstr>
      <vt:lpstr>IAEA</vt:lpstr>
    </vt:vector>
  </TitlesOfParts>
  <Company>IAEA</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dc:description/>
  <cp:lastModifiedBy>DE LA ROSA BLUL Juan Carlos (JRC-PETTEN)</cp:lastModifiedBy>
  <cp:revision>2</cp:revision>
  <cp:lastPrinted>2024-03-19T13:52:00Z</cp:lastPrinted>
  <dcterms:created xsi:type="dcterms:W3CDTF">2024-08-23T10:31:00Z</dcterms:created>
  <dcterms:modified xsi:type="dcterms:W3CDTF">2024-08-23T10:31:00Z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