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501F0" w14:textId="130B77AD" w:rsidR="00E20E70" w:rsidRPr="00EE29B9" w:rsidRDefault="005A62D5" w:rsidP="00537496">
      <w:pPr>
        <w:pStyle w:val="Heading1"/>
      </w:pPr>
      <w:r>
        <w:t>BENCHMARKING NEAR</w:t>
      </w:r>
      <w:r w:rsidR="006056C9">
        <w:t>-</w:t>
      </w:r>
      <w:r>
        <w:t>FIELD RADIONUCLIDE DISPERSION WITH CFD AND GAUSSIAN MODEL</w:t>
      </w:r>
    </w:p>
    <w:p w14:paraId="4D1B799F" w14:textId="77777777" w:rsidR="00802381" w:rsidRDefault="00802381" w:rsidP="00537496">
      <w:pPr>
        <w:pStyle w:val="Authornameandaffiliation"/>
      </w:pPr>
    </w:p>
    <w:p w14:paraId="32159D0F" w14:textId="2C3332C7" w:rsidR="003B5E0E" w:rsidRDefault="005A62D5" w:rsidP="00537496">
      <w:pPr>
        <w:pStyle w:val="Authornameandaffiliation"/>
      </w:pPr>
      <w:r>
        <w:t>SREEYUTH LAL</w:t>
      </w:r>
    </w:p>
    <w:p w14:paraId="02370931" w14:textId="31797D5F" w:rsidR="00FF386F" w:rsidRDefault="005A62D5" w:rsidP="00537496">
      <w:pPr>
        <w:pStyle w:val="Authornameandaffiliation"/>
      </w:pPr>
      <w:r>
        <w:t>Canadian Nuclear Laboratories</w:t>
      </w:r>
    </w:p>
    <w:p w14:paraId="14684DE2" w14:textId="67B7701D" w:rsidR="00FF386F" w:rsidRDefault="005A62D5" w:rsidP="00537496">
      <w:pPr>
        <w:pStyle w:val="Authornameandaffiliation"/>
      </w:pPr>
      <w:r>
        <w:t>Chalk River, Canada</w:t>
      </w:r>
    </w:p>
    <w:p w14:paraId="0080899C" w14:textId="52B5BA63" w:rsidR="00FF386F" w:rsidRDefault="00FF386F" w:rsidP="00537496">
      <w:pPr>
        <w:pStyle w:val="Authornameandaffiliation"/>
      </w:pPr>
      <w:r>
        <w:t xml:space="preserve">Email: </w:t>
      </w:r>
      <w:r w:rsidR="005A62D5">
        <w:t>sreeyuth.lal@cnl.ca</w:t>
      </w:r>
    </w:p>
    <w:p w14:paraId="5E2BDA1F" w14:textId="77777777" w:rsidR="00FF386F" w:rsidRDefault="00FF386F" w:rsidP="00537496">
      <w:pPr>
        <w:pStyle w:val="Authornameandaffiliation"/>
      </w:pPr>
    </w:p>
    <w:p w14:paraId="472C91BF" w14:textId="70D76F93" w:rsidR="005A62D5" w:rsidRDefault="005A62D5" w:rsidP="005A62D5">
      <w:pPr>
        <w:pStyle w:val="Authornameandaffiliation"/>
      </w:pPr>
      <w:r>
        <w:t>ANEESH JOHN</w:t>
      </w:r>
    </w:p>
    <w:p w14:paraId="13E01419" w14:textId="77777777" w:rsidR="005A62D5" w:rsidRDefault="005A62D5" w:rsidP="005A62D5">
      <w:pPr>
        <w:pStyle w:val="Authornameandaffiliation"/>
      </w:pPr>
      <w:r>
        <w:t>Canadian Nuclear Laboratories</w:t>
      </w:r>
    </w:p>
    <w:p w14:paraId="166FB00B" w14:textId="77777777" w:rsidR="005A62D5" w:rsidRDefault="005A62D5" w:rsidP="005A62D5">
      <w:pPr>
        <w:pStyle w:val="Authornameandaffiliation"/>
      </w:pPr>
      <w:r>
        <w:t>Chalk River, Canada</w:t>
      </w:r>
    </w:p>
    <w:p w14:paraId="731579A9" w14:textId="77777777" w:rsidR="005A62D5" w:rsidRDefault="005A62D5" w:rsidP="005A62D5">
      <w:pPr>
        <w:pStyle w:val="Authornameandaffiliation"/>
      </w:pPr>
    </w:p>
    <w:p w14:paraId="764D1E66" w14:textId="50F811AD" w:rsidR="005A62D5" w:rsidRDefault="005A62D5" w:rsidP="005A62D5">
      <w:pPr>
        <w:pStyle w:val="Authornameandaffiliation"/>
      </w:pPr>
      <w:r>
        <w:t>LUKE LEBEL</w:t>
      </w:r>
    </w:p>
    <w:p w14:paraId="079428AB" w14:textId="77777777" w:rsidR="005A62D5" w:rsidRDefault="005A62D5" w:rsidP="005A62D5">
      <w:pPr>
        <w:pStyle w:val="Authornameandaffiliation"/>
      </w:pPr>
      <w:r>
        <w:t>Canadian Nuclear Laboratories</w:t>
      </w:r>
    </w:p>
    <w:p w14:paraId="24B2B16B" w14:textId="36CFEE55" w:rsidR="005A62D5" w:rsidRDefault="005A62D5" w:rsidP="005A62D5">
      <w:pPr>
        <w:pStyle w:val="Authornameandaffiliation"/>
      </w:pPr>
      <w:r>
        <w:t>Chalk River, Canada</w:t>
      </w:r>
    </w:p>
    <w:p w14:paraId="2C7F19CB" w14:textId="77777777" w:rsidR="00FF386F" w:rsidRDefault="00FF386F" w:rsidP="00537496">
      <w:pPr>
        <w:pStyle w:val="Authornameandaffiliation"/>
      </w:pPr>
    </w:p>
    <w:p w14:paraId="230D4575" w14:textId="77777777" w:rsidR="00647F33" w:rsidRPr="00647F33" w:rsidRDefault="00647F33" w:rsidP="00537496">
      <w:pPr>
        <w:pStyle w:val="Authornameandaffiliation"/>
        <w:rPr>
          <w:b/>
        </w:rPr>
      </w:pPr>
      <w:r w:rsidRPr="00647F33">
        <w:rPr>
          <w:b/>
        </w:rPr>
        <w:t>Abstract</w:t>
      </w:r>
    </w:p>
    <w:p w14:paraId="4F2E62A2" w14:textId="77777777" w:rsidR="00647F33" w:rsidRDefault="00647F33" w:rsidP="00537496">
      <w:pPr>
        <w:pStyle w:val="Authornameandaffiliation"/>
      </w:pPr>
    </w:p>
    <w:p w14:paraId="418AC57B" w14:textId="57E29FFF" w:rsidR="00647F33" w:rsidRPr="00BD605C" w:rsidRDefault="00E65BF9" w:rsidP="00537496">
      <w:pPr>
        <w:pStyle w:val="Abstracttext"/>
      </w:pPr>
      <w:r w:rsidRPr="00E65BF9">
        <w:t>There is increasing interest in locating small modular reactors (SMRs) closer to potential end users for</w:t>
      </w:r>
      <w:r w:rsidR="005F438E">
        <w:t xml:space="preserve"> a variety of purposes</w:t>
      </w:r>
      <w:r w:rsidRPr="00E65BF9">
        <w:t xml:space="preserve">, which is making it more important to understand the near-field atmospheric dispersion behavior of routine or accidental radionuclide emissions. Traditional codes have known limitations in predicting </w:t>
      </w:r>
      <w:r w:rsidR="006056C9">
        <w:t>near-field</w:t>
      </w:r>
      <w:r w:rsidRPr="00E65BF9">
        <w:t xml:space="preserve"> dispersion </w:t>
      </w:r>
      <w:r w:rsidR="005230AF">
        <w:t xml:space="preserve">especially when there are </w:t>
      </w:r>
      <w:r w:rsidRPr="00E65BF9">
        <w:t xml:space="preserve">built-up features </w:t>
      </w:r>
      <w:r w:rsidR="0006742C">
        <w:t>and/or complex terrain</w:t>
      </w:r>
      <w:r w:rsidRPr="00E65BF9">
        <w:t xml:space="preserve"> topolog</w:t>
      </w:r>
      <w:r w:rsidR="0006742C">
        <w:t>ies</w:t>
      </w:r>
      <w:r w:rsidRPr="00E65BF9">
        <w:t xml:space="preserve"> </w:t>
      </w:r>
      <w:r w:rsidR="0006742C">
        <w:t>in</w:t>
      </w:r>
      <w:r w:rsidR="0006742C" w:rsidRPr="00E65BF9">
        <w:t xml:space="preserve"> </w:t>
      </w:r>
      <w:r w:rsidRPr="00E65BF9">
        <w:t xml:space="preserve">the </w:t>
      </w:r>
      <w:r w:rsidR="006056C9">
        <w:t>near-field</w:t>
      </w:r>
      <w:r w:rsidRPr="00E65BF9">
        <w:t xml:space="preserve"> area. This work addresses these limitations and complement existing practices by using high-fidelity computational fluid dynamics (CFD) modeling for a realistic assessment of near-field radionuclide dispersion on a complex site. The terrain and building geometries of the chosen site are reconstructed from detailed aerial scans. The CFD results are compared to those from RASCAL, a consequence analysis code which uses </w:t>
      </w:r>
      <w:r w:rsidR="006056C9">
        <w:t>classical</w:t>
      </w:r>
      <w:r w:rsidR="006056C9" w:rsidRPr="00E65BF9">
        <w:t xml:space="preserve"> </w:t>
      </w:r>
      <w:r w:rsidRPr="00E65BF9">
        <w:t>Gaussian dispersion models and empirical parametrizations of building wake effects to calculate near-field dispersion. Finally, a discussion on the use of these two approaches, both individually and complementarily, for calculating radiological consequences of postulated SMR accidents is presented.</w:t>
      </w:r>
    </w:p>
    <w:p w14:paraId="4A49AB99" w14:textId="42FB5D93" w:rsidR="007A4094" w:rsidRDefault="00F523CA" w:rsidP="003725A1">
      <w:pPr>
        <w:pStyle w:val="Heading2"/>
        <w:numPr>
          <w:ilvl w:val="1"/>
          <w:numId w:val="10"/>
        </w:numPr>
      </w:pPr>
      <w:r>
        <w:t>INTRODUCTION</w:t>
      </w:r>
    </w:p>
    <w:p w14:paraId="1CD56D88" w14:textId="65F7FC2C" w:rsidR="00497800" w:rsidRDefault="00CC0887" w:rsidP="00210199">
      <w:pPr>
        <w:pStyle w:val="BodyText"/>
      </w:pPr>
      <w:r>
        <w:t>Small</w:t>
      </w:r>
      <w:r w:rsidR="007A4094">
        <w:t xml:space="preserve"> modular reactors (SMRs), due to their smaller size and enhanced safety features, will have smaller accident source terms than </w:t>
      </w:r>
      <w:r w:rsidR="00F32A09">
        <w:t>conventional large nuclear reactors</w:t>
      </w:r>
      <w:r w:rsidR="007A4094">
        <w:t xml:space="preserve">. </w:t>
      </w:r>
      <w:r w:rsidR="00F32A09">
        <w:t>As a result, r</w:t>
      </w:r>
      <w:r w:rsidR="007A4094">
        <w:t>educed offsite emergency preparedness and response requirements, including smaller emergency planning zones (EPZs), may be justifiable considering the reduced risk</w:t>
      </w:r>
      <w:r w:rsidR="00307C99">
        <w:t xml:space="preserve"> </w:t>
      </w:r>
      <w:r w:rsidR="00307C99">
        <w:fldChar w:fldCharType="begin"/>
      </w:r>
      <w:r w:rsidR="007E7A8D">
        <w:instrText xml:space="preserve"> ADDIN EN.CITE &lt;EndNote&gt;&lt;Cite&gt;&lt;Author&gt;Hummel&lt;/Author&gt;&lt;Year&gt;2020&lt;/Year&gt;&lt;RecNum&gt;19&lt;/RecNum&gt;&lt;DisplayText&gt;[1]&lt;/DisplayText&gt;&lt;record&gt;&lt;rec-number&gt;19&lt;/rec-number&gt;&lt;foreign-keys&gt;&lt;key app="EN" db-id="sf029s9x7d99dqe50eeprptuz5e5t0etd0d5" timestamp="1694033680" guid="11b60694-5086-490e-b990-33e436529c4c"&gt;19&lt;/key&gt;&lt;/foreign-keys&gt;&lt;ref-type name="Journal Article"&gt;17&lt;/ref-type&gt;&lt;contributors&gt;&lt;authors&gt;&lt;author&gt;Hummel, D. W.&lt;/author&gt;&lt;author&gt;Chouhan, S.&lt;/author&gt;&lt;author&gt;Lebel, L.&lt;/author&gt;&lt;author&gt;Morreale, A. C.&lt;/author&gt;&lt;/authors&gt;&lt;/contributors&gt;&lt;titles&gt;&lt;title&gt;Radiation dose consequences of postulated limiting accidents in small modular reactors to inform emergency planning zone size requirements&lt;/title&gt;&lt;secondary-title&gt;Annals of Nuclear Energy&lt;/secondary-title&gt;&lt;/titles&gt;&lt;periodical&gt;&lt;full-title&gt;Annals of Nuclear Energy&lt;/full-title&gt;&lt;/periodical&gt;&lt;volume&gt;137&lt;/volume&gt;&lt;section&gt;107062&lt;/section&gt;&lt;dates&gt;&lt;year&gt;2020&lt;/year&gt;&lt;/dates&gt;&lt;isbn&gt;03064549&lt;/isbn&gt;&lt;urls&gt;&lt;/urls&gt;&lt;electronic-resource-num&gt;10.1016/j.anucene.2019.107062&lt;/electronic-resource-num&gt;&lt;/record&gt;&lt;/Cite&gt;&lt;/EndNote&gt;</w:instrText>
      </w:r>
      <w:r w:rsidR="00307C99">
        <w:fldChar w:fldCharType="separate"/>
      </w:r>
      <w:r w:rsidR="00307C99">
        <w:rPr>
          <w:noProof/>
        </w:rPr>
        <w:t>[1]</w:t>
      </w:r>
      <w:r w:rsidR="00307C99">
        <w:fldChar w:fldCharType="end"/>
      </w:r>
      <w:r w:rsidR="007A4094">
        <w:t xml:space="preserve">. This may enable </w:t>
      </w:r>
      <w:r w:rsidR="00D558F6">
        <w:t>SMR</w:t>
      </w:r>
      <w:r w:rsidR="007A4094">
        <w:t xml:space="preserve"> </w:t>
      </w:r>
      <w:r w:rsidR="00BD239E">
        <w:t xml:space="preserve">the </w:t>
      </w:r>
      <w:r w:rsidR="007A4094">
        <w:t>deployment</w:t>
      </w:r>
      <w:r w:rsidR="00BD239E">
        <w:t xml:space="preserve"> of SMRs in different use cases, including those</w:t>
      </w:r>
      <w:r w:rsidR="007A4094">
        <w:t xml:space="preserve"> </w:t>
      </w:r>
      <w:r w:rsidR="00F356C7">
        <w:t xml:space="preserve">in </w:t>
      </w:r>
      <w:r w:rsidR="00790AC2">
        <w:t>close</w:t>
      </w:r>
      <w:r w:rsidR="00F356C7">
        <w:t xml:space="preserve"> proximity</w:t>
      </w:r>
      <w:r w:rsidR="00790AC2">
        <w:t xml:space="preserve"> to</w:t>
      </w:r>
      <w:r w:rsidR="007A4094">
        <w:t xml:space="preserve"> </w:t>
      </w:r>
      <w:r w:rsidR="00B06F6E" w:rsidRPr="00B06F6E">
        <w:t>potential end users</w:t>
      </w:r>
      <w:r w:rsidR="00447A18">
        <w:t>, like</w:t>
      </w:r>
      <w:r w:rsidR="00B06F6E" w:rsidRPr="00B06F6E">
        <w:t xml:space="preserve"> industrial or district heating applications</w:t>
      </w:r>
      <w:r w:rsidR="00C64C2F">
        <w:t xml:space="preserve"> </w:t>
      </w:r>
      <w:r w:rsidR="00C64C2F">
        <w:fldChar w:fldCharType="begin"/>
      </w:r>
      <w:r w:rsidR="007E7A8D">
        <w:instrText xml:space="preserve"> ADDIN EN.CITE &lt;EndNote&gt;&lt;Cite&gt;&lt;Author&gt;Poudel&lt;/Author&gt;&lt;Year&gt;2021&lt;/Year&gt;&lt;RecNum&gt;150&lt;/RecNum&gt;&lt;DisplayText&gt;[2]&lt;/DisplayText&gt;&lt;record&gt;&lt;rec-number&gt;150&lt;/rec-number&gt;&lt;foreign-keys&gt;&lt;key app="EN" db-id="sf029s9x7d99dqe50eeprptuz5e5t0etd0d5" timestamp="1715201001" guid="e65fae09-fcbe-48f6-832c-0b470620f3ac"&gt;150&lt;/key&gt;&lt;/foreign-keys&gt;&lt;ref-type name="Journal Article"&gt;17&lt;/ref-type&gt;&lt;contributors&gt;&lt;authors&gt;&lt;author&gt;Poudel, Bikash&lt;/author&gt;&lt;author&gt;Gokaraju, Ramakrishna&lt;/author&gt;&lt;/authors&gt;&lt;/contributors&gt;&lt;titles&gt;&lt;title&gt;Small Modular Reactor (SMR) Based Hybrid Energy System for Electricity &amp;amp; District Heating&lt;/title&gt;&lt;secondary-title&gt;IEEE Transactions on Energy Conversion&lt;/secondary-title&gt;&lt;/titles&gt;&lt;periodical&gt;&lt;full-title&gt;IEEE Transactions on Energy Conversion&lt;/full-title&gt;&lt;/periodical&gt;&lt;pages&gt;2794-2802&lt;/pages&gt;&lt;volume&gt;36&lt;/volume&gt;&lt;number&gt;4&lt;/number&gt;&lt;section&gt;2794&lt;/section&gt;&lt;dates&gt;&lt;year&gt;2021&lt;/year&gt;&lt;/dates&gt;&lt;isbn&gt;0885-8969&amp;#xD;1558-0059&lt;/isbn&gt;&lt;urls&gt;&lt;/urls&gt;&lt;electronic-resource-num&gt;10.1109/tec.2021.3079400&lt;/electronic-resource-num&gt;&lt;/record&gt;&lt;/Cite&gt;&lt;/EndNote&gt;</w:instrText>
      </w:r>
      <w:r w:rsidR="00C64C2F">
        <w:fldChar w:fldCharType="separate"/>
      </w:r>
      <w:r w:rsidR="00C64C2F">
        <w:rPr>
          <w:noProof/>
        </w:rPr>
        <w:t>[2]</w:t>
      </w:r>
      <w:r w:rsidR="00C64C2F">
        <w:fldChar w:fldCharType="end"/>
      </w:r>
      <w:r w:rsidR="00602010">
        <w:t xml:space="preserve"> in populated and heavily built-up areas</w:t>
      </w:r>
      <w:r w:rsidR="007A4094">
        <w:t xml:space="preserve">. </w:t>
      </w:r>
      <w:r w:rsidR="008E6917">
        <w:t xml:space="preserve">However, </w:t>
      </w:r>
      <w:r w:rsidR="00942888">
        <w:t xml:space="preserve">in case of postulated accidents in </w:t>
      </w:r>
      <w:r w:rsidR="006F6F6D">
        <w:t>SMRs</w:t>
      </w:r>
      <w:r w:rsidR="00210199">
        <w:t xml:space="preserve"> in urban or semi-urban areas, a</w:t>
      </w:r>
      <w:r w:rsidR="007A4094">
        <w:t xml:space="preserve"> significant knowledge gap </w:t>
      </w:r>
      <w:r w:rsidR="00210199">
        <w:t xml:space="preserve">exists </w:t>
      </w:r>
      <w:r w:rsidR="00D15708">
        <w:t xml:space="preserve">in terms of </w:t>
      </w:r>
      <w:r w:rsidR="00BF755B">
        <w:t xml:space="preserve">modelling </w:t>
      </w:r>
      <w:r w:rsidR="007A4094">
        <w:t xml:space="preserve">atmospheric dispersion </w:t>
      </w:r>
      <w:r w:rsidR="00937F6B">
        <w:t>o</w:t>
      </w:r>
      <w:r w:rsidR="00137D21">
        <w:t>f</w:t>
      </w:r>
      <w:r w:rsidR="00937F6B">
        <w:t xml:space="preserve"> radionuclides</w:t>
      </w:r>
      <w:r w:rsidR="00595C90">
        <w:t xml:space="preserve"> in the </w:t>
      </w:r>
      <w:r w:rsidR="006056C9">
        <w:t>near-field</w:t>
      </w:r>
      <w:r w:rsidR="00595C90">
        <w:t xml:space="preserve"> </w:t>
      </w:r>
      <w:r w:rsidR="00595C90" w:rsidRPr="001F3174">
        <w:t xml:space="preserve">(i.e., </w:t>
      </w:r>
      <w:r w:rsidR="004B0B03">
        <w:t>generally within 500 m</w:t>
      </w:r>
      <w:r w:rsidR="00595C90" w:rsidRPr="001F3174">
        <w:t xml:space="preserve"> </w:t>
      </w:r>
      <w:r w:rsidR="004B0B03">
        <w:t>of</w:t>
      </w:r>
      <w:r w:rsidR="00595C90" w:rsidRPr="001F3174">
        <w:t xml:space="preserve"> the</w:t>
      </w:r>
      <w:r w:rsidR="00595C90">
        <w:t xml:space="preserve"> </w:t>
      </w:r>
      <w:r w:rsidR="00595C90" w:rsidRPr="001F3174">
        <w:t>source)</w:t>
      </w:r>
      <w:r w:rsidR="00137D21">
        <w:t>,</w:t>
      </w:r>
      <w:r w:rsidR="00595C90">
        <w:t xml:space="preserve"> </w:t>
      </w:r>
      <w:r w:rsidR="00137D21">
        <w:t>especially when</w:t>
      </w:r>
      <w:r w:rsidR="00937F6B">
        <w:t xml:space="preserve"> </w:t>
      </w:r>
      <w:r w:rsidR="007A4094">
        <w:t xml:space="preserve">compared to </w:t>
      </w:r>
      <w:r w:rsidR="00275466">
        <w:t>modelling</w:t>
      </w:r>
      <w:r w:rsidR="007A4094">
        <w:t xml:space="preserve"> far-field atmospheric dispersion that has characterized off-site consequence analysis for large reactors. </w:t>
      </w:r>
      <w:r w:rsidR="004B56C6">
        <w:t>C</w:t>
      </w:r>
      <w:r w:rsidR="007A4094">
        <w:t>omplex topology or b</w:t>
      </w:r>
      <w:r w:rsidR="00EE416D">
        <w:t>uilt-up areas</w:t>
      </w:r>
      <w:r w:rsidR="00137D21">
        <w:t xml:space="preserve"> around SMRs</w:t>
      </w:r>
      <w:r w:rsidR="007A4094">
        <w:t xml:space="preserve"> can have</w:t>
      </w:r>
      <w:r w:rsidR="004C0A99">
        <w:t xml:space="preserve"> </w:t>
      </w:r>
      <w:r w:rsidR="007A4094">
        <w:t>significant impact</w:t>
      </w:r>
      <w:r w:rsidR="004C0A99">
        <w:t>s</w:t>
      </w:r>
      <w:r w:rsidR="007A4094">
        <w:t xml:space="preserve"> o</w:t>
      </w:r>
      <w:r w:rsidR="000930EB">
        <w:t>n</w:t>
      </w:r>
      <w:r w:rsidR="007A4094">
        <w:t xml:space="preserve"> </w:t>
      </w:r>
      <w:r w:rsidR="006056C9">
        <w:t>near-field</w:t>
      </w:r>
      <w:r w:rsidR="00EE416D">
        <w:t xml:space="preserve"> </w:t>
      </w:r>
      <w:r w:rsidR="000930EB">
        <w:t xml:space="preserve">atmospheric </w:t>
      </w:r>
      <w:r w:rsidR="007A4094">
        <w:t xml:space="preserve">dispersion that is beyond the </w:t>
      </w:r>
      <w:r w:rsidR="000930EB">
        <w:t xml:space="preserve">modelling </w:t>
      </w:r>
      <w:r w:rsidR="007A4094">
        <w:t xml:space="preserve">capability of common Gaussian or </w:t>
      </w:r>
      <w:proofErr w:type="spellStart"/>
      <w:r w:rsidR="007A4094">
        <w:t>Lagrangian</w:t>
      </w:r>
      <w:proofErr w:type="spellEnd"/>
      <w:r w:rsidR="007A4094">
        <w:t xml:space="preserve"> plume models</w:t>
      </w:r>
      <w:r w:rsidR="005D6FE7">
        <w:t xml:space="preserve"> </w:t>
      </w:r>
      <w:r w:rsidR="00C65694">
        <w:fldChar w:fldCharType="begin"/>
      </w:r>
      <w:r w:rsidR="007E7A8D">
        <w:instrText xml:space="preserve"> ADDIN EN.CITE &lt;EndNote&gt;&lt;Cite&gt;&lt;Author&gt;Nan Wu&lt;/Author&gt;&lt;Year&gt;2018&lt;/Year&gt;&lt;RecNum&gt;149&lt;/RecNum&gt;&lt;DisplayText&gt;[3]&lt;/DisplayText&gt;&lt;record&gt;&lt;rec-number&gt;149&lt;/rec-number&gt;&lt;foreign-keys&gt;&lt;key app="EN" db-id="sf029s9x7d99dqe50eeprptuz5e5t0etd0d5" timestamp="1714163295" guid="34341724-e910-4f54-9d25-fdf17c154be0"&gt;149&lt;/key&gt;&lt;/foreign-keys&gt;&lt;ref-type name="Conference Proceedings"&gt;10&lt;/ref-type&gt;&lt;contributors&gt;&lt;authors&gt;&lt;author&gt;Nan Wu,&lt;/author&gt;&lt;author&gt;Na Xue, &lt;/author&gt;&lt;author&gt;Xinjian Liu&lt;/author&gt;&lt;/authors&gt;&lt;/contributors&gt;&lt;titles&gt;&lt;title&gt;Research on the influence of complex errain on atmospheric dispersion after accident&lt;/title&gt;&lt;secondary-title&gt;Proceedings of the 2018 26th International Conference on Nuclear Engineering ICONE26&lt;/secondary-title&gt;&lt;/titles&gt;&lt;dates&gt;&lt;year&gt;2018&lt;/year&gt;&lt;/dates&gt;&lt;pub-location&gt;London&lt;/pub-location&gt;&lt;urls&gt;&lt;/urls&gt;&lt;/record&gt;&lt;/Cite&gt;&lt;/EndNote&gt;</w:instrText>
      </w:r>
      <w:r w:rsidR="00C65694">
        <w:fldChar w:fldCharType="separate"/>
      </w:r>
      <w:r w:rsidR="00C65694">
        <w:rPr>
          <w:noProof/>
        </w:rPr>
        <w:t>[3]</w:t>
      </w:r>
      <w:r w:rsidR="00C65694">
        <w:fldChar w:fldCharType="end"/>
      </w:r>
      <w:r w:rsidR="00C867E2">
        <w:t xml:space="preserve">. </w:t>
      </w:r>
    </w:p>
    <w:p w14:paraId="33705978" w14:textId="0057B2F0" w:rsidR="00CF5EA1" w:rsidRDefault="00497800" w:rsidP="00210199">
      <w:pPr>
        <w:pStyle w:val="BodyText"/>
      </w:pPr>
      <w:r>
        <w:t>Gaussian plume models</w:t>
      </w:r>
      <w:r w:rsidR="001E3B3C">
        <w:t xml:space="preserve"> (GPMs)</w:t>
      </w:r>
      <w:r>
        <w:t xml:space="preserve"> such as RASCAL</w:t>
      </w:r>
      <w:r w:rsidR="00D63EA7">
        <w:t xml:space="preserve"> </w:t>
      </w:r>
      <w:r w:rsidR="00B904BB">
        <w:fldChar w:fldCharType="begin"/>
      </w:r>
      <w:r w:rsidR="007E7A8D">
        <w:instrText xml:space="preserve"> ADDIN EN.CITE &lt;EndNote&gt;&lt;Cite&gt;&lt;Author&gt;J. V. Ramsdell Jr.&lt;/Author&gt;&lt;Year&gt;2015&lt;/Year&gt;&lt;RecNum&gt;59&lt;/RecNum&gt;&lt;DisplayText&gt;[4]&lt;/DisplayText&gt;&lt;record&gt;&lt;rec-number&gt;59&lt;/rec-number&gt;&lt;foreign-keys&gt;&lt;key app="EN" db-id="sf029s9x7d99dqe50eeprptuz5e5t0etd0d5" timestamp="1707436167" guid="82fb9536-6c56-480a-91ad-fef3b45c9dfd"&gt;59&lt;/key&gt;&lt;/foreign-keys&gt;&lt;ref-type name="Report"&gt;27&lt;/ref-type&gt;&lt;contributors&gt;&lt;authors&gt;&lt;author&gt;J. V. Ramsdell Jr., &lt;/author&gt;&lt;author&gt;G. F. Athey, &lt;/author&gt;&lt;author&gt;J. P. Rishel&lt;/author&gt;&lt;/authors&gt;&lt;/contributors&gt;&lt;titles&gt;&lt;title&gt;RASCAL 4.3: Description of Models and Methods, NUREG-1940 Supplement 1&lt;/title&gt;&lt;/titles&gt;&lt;dates&gt;&lt;year&gt;2015&lt;/year&gt;&lt;/dates&gt;&lt;publisher&gt;U.S. Nuclear Regulatory Commission&lt;/publisher&gt;&lt;urls&gt;&lt;/urls&gt;&lt;/record&gt;&lt;/Cite&gt;&lt;/EndNote&gt;</w:instrText>
      </w:r>
      <w:r w:rsidR="00B904BB">
        <w:fldChar w:fldCharType="separate"/>
      </w:r>
      <w:r w:rsidR="00B904BB">
        <w:rPr>
          <w:noProof/>
        </w:rPr>
        <w:t>[4]</w:t>
      </w:r>
      <w:r w:rsidR="00B904BB">
        <w:fldChar w:fldCharType="end"/>
      </w:r>
      <w:r w:rsidR="00B904BB">
        <w:t xml:space="preserve"> are</w:t>
      </w:r>
      <w:r w:rsidR="0020766B">
        <w:t xml:space="preserve"> consequence analysis tools that are</w:t>
      </w:r>
      <w:r w:rsidR="00B904BB">
        <w:t xml:space="preserve"> typically used to obtain rapid estimates of </w:t>
      </w:r>
      <w:r w:rsidR="00BD2E9B">
        <w:t>time-averaged radionuclide concentrations and resulting dose consequences</w:t>
      </w:r>
      <w:r w:rsidR="00985DD4">
        <w:t xml:space="preserve"> in the event of a postulated nuclear accident</w:t>
      </w:r>
      <w:r w:rsidR="00BD2E9B">
        <w:t xml:space="preserve">. </w:t>
      </w:r>
      <w:r w:rsidR="00096BA2">
        <w:t xml:space="preserve">RASCAL is widely used </w:t>
      </w:r>
      <w:r w:rsidR="001F7640">
        <w:t>for emergency response planning</w:t>
      </w:r>
      <w:r w:rsidR="00085DAE">
        <w:t xml:space="preserve"> and </w:t>
      </w:r>
      <w:r w:rsidR="007B1A93">
        <w:t xml:space="preserve">the </w:t>
      </w:r>
      <w:r w:rsidR="00085DAE">
        <w:t>determination of emergency planning zones (EPZs)</w:t>
      </w:r>
      <w:r w:rsidR="00FB2A55">
        <w:t xml:space="preserve"> </w:t>
      </w:r>
      <w:r w:rsidR="007B1A93">
        <w:t>around</w:t>
      </w:r>
      <w:r w:rsidR="00BB523E">
        <w:t xml:space="preserve"> nuclear power plant</w:t>
      </w:r>
      <w:r w:rsidR="007B1A93">
        <w:t xml:space="preserve">s </w:t>
      </w:r>
      <w:r w:rsidR="00BB523E">
        <w:t xml:space="preserve">in many countries </w:t>
      </w:r>
      <w:r w:rsidR="00BB523E">
        <w:fldChar w:fldCharType="begin"/>
      </w:r>
      <w:r w:rsidR="007E7A8D">
        <w:instrText xml:space="preserve"> ADDIN EN.CITE &lt;EndNote&gt;&lt;Cite&gt;&lt;Author&gt;Khaer&lt;/Author&gt;&lt;Year&gt;2023&lt;/Year&gt;&lt;RecNum&gt;153&lt;/RecNum&gt;&lt;DisplayText&gt;[5]&lt;/DisplayText&gt;&lt;record&gt;&lt;rec-number&gt;153&lt;/rec-number&gt;&lt;foreign-keys&gt;&lt;key app="EN" db-id="sf029s9x7d99dqe50eeprptuz5e5t0etd0d5" timestamp="1715263201" guid="a685a8e4-f97d-46d3-89d5-46397cf52ec9"&gt;153&lt;/key&gt;&lt;/foreign-keys&gt;&lt;ref-type name="Journal Article"&gt;17&lt;/ref-type&gt;&lt;contributors&gt;&lt;authors&gt;&lt;author&gt;Khaer, M. A.&lt;/author&gt;&lt;author&gt;Hoq, M. A.&lt;/author&gt;&lt;author&gt;Hassan, S. M. T.&lt;/author&gt;&lt;author&gt;Chowdhury, M. T.&lt;/author&gt;&lt;author&gt;Rahman, M. M.&lt;/author&gt;&lt;/authors&gt;&lt;/contributors&gt;&lt;titles&gt;&lt;title&gt;Assessment of radiological dose and emergency planning zones of TRIGA Mark-II research reactor of Bangladesh due to a postulated severe accidental condition&lt;/title&gt;&lt;secondary-title&gt;Nuclear Engineering and Design&lt;/secondary-title&gt;&lt;/titles&gt;&lt;periodical&gt;&lt;full-title&gt;Nuclear Engineering and Design&lt;/full-title&gt;&lt;/periodical&gt;&lt;volume&gt;415&lt;/volume&gt;&lt;section&gt;112727&lt;/section&gt;&lt;dates&gt;&lt;year&gt;2023&lt;/year&gt;&lt;/dates&gt;&lt;isbn&gt;00295493&lt;/isbn&gt;&lt;urls&gt;&lt;/urls&gt;&lt;electronic-resource-num&gt;10.1016/j.nucengdes.2023.112727&lt;/electronic-resource-num&gt;&lt;/record&gt;&lt;/Cite&gt;&lt;/EndNote&gt;</w:instrText>
      </w:r>
      <w:r w:rsidR="00BB523E">
        <w:fldChar w:fldCharType="separate"/>
      </w:r>
      <w:r w:rsidR="00BB523E">
        <w:rPr>
          <w:noProof/>
        </w:rPr>
        <w:t>[5]</w:t>
      </w:r>
      <w:r w:rsidR="00BB523E">
        <w:fldChar w:fldCharType="end"/>
      </w:r>
      <w:r w:rsidR="007B1A93">
        <w:t xml:space="preserve">. </w:t>
      </w:r>
      <w:r w:rsidR="001F3174">
        <w:t>P</w:t>
      </w:r>
      <w:r w:rsidR="001F3174" w:rsidRPr="001F3174">
        <w:t xml:space="preserve">henomena </w:t>
      </w:r>
      <w:r w:rsidR="001F3174">
        <w:t xml:space="preserve">that are </w:t>
      </w:r>
      <w:r w:rsidR="001F3174" w:rsidRPr="001F3174">
        <w:t xml:space="preserve">pertinent to the </w:t>
      </w:r>
      <w:r w:rsidR="006056C9">
        <w:t>near-field</w:t>
      </w:r>
      <w:r w:rsidR="001F3174" w:rsidRPr="001F3174">
        <w:t xml:space="preserve"> </w:t>
      </w:r>
      <w:r w:rsidR="00E97D81">
        <w:t xml:space="preserve">such as </w:t>
      </w:r>
      <w:r w:rsidR="001F3174" w:rsidRPr="001F3174">
        <w:t>dispersion due to building wakes</w:t>
      </w:r>
      <w:r w:rsidR="00A86AB5">
        <w:t xml:space="preserve">, </w:t>
      </w:r>
      <w:r w:rsidR="001F3174" w:rsidRPr="001F3174">
        <w:t>plume rise in the vicinity of buildings</w:t>
      </w:r>
      <w:r w:rsidR="00A86AB5">
        <w:t xml:space="preserve">, </w:t>
      </w:r>
      <w:r w:rsidR="00863D62">
        <w:t>turbulence-</w:t>
      </w:r>
      <w:r w:rsidR="00C73AB2">
        <w:t>driven</w:t>
      </w:r>
      <w:r w:rsidR="00863D62">
        <w:t xml:space="preserve"> dispersion</w:t>
      </w:r>
      <w:r w:rsidR="00A03626">
        <w:t xml:space="preserve"> in </w:t>
      </w:r>
      <w:r w:rsidR="00C73AB2">
        <w:t>low</w:t>
      </w:r>
      <w:r w:rsidR="00A03626">
        <w:t xml:space="preserve"> wind speeds</w:t>
      </w:r>
      <w:r w:rsidR="002E6EBA">
        <w:t>,</w:t>
      </w:r>
      <w:r w:rsidR="001F3174" w:rsidRPr="001F3174">
        <w:t xml:space="preserve"> </w:t>
      </w:r>
      <w:r w:rsidR="00863D62">
        <w:t xml:space="preserve">are </w:t>
      </w:r>
      <w:r w:rsidR="00ED206C">
        <w:t xml:space="preserve">accounted for </w:t>
      </w:r>
      <w:r w:rsidR="00895B31">
        <w:t xml:space="preserve">in RASCAL and other </w:t>
      </w:r>
      <w:r w:rsidR="00FB2965">
        <w:t xml:space="preserve">GPMs </w:t>
      </w:r>
      <w:r w:rsidR="00AE1370">
        <w:t>using</w:t>
      </w:r>
      <w:r w:rsidR="00895B31">
        <w:t xml:space="preserve"> empirical correction factors</w:t>
      </w:r>
      <w:r w:rsidR="0021738D">
        <w:t xml:space="preserve"> </w:t>
      </w:r>
      <w:r w:rsidR="0021738D">
        <w:fldChar w:fldCharType="begin"/>
      </w:r>
      <w:r w:rsidR="007E7A8D">
        <w:instrText xml:space="preserve"> ADDIN EN.CITE &lt;EndNote&gt;&lt;Cite&gt;&lt;Author&gt;J. V. Ramsdell Jr.&lt;/Author&gt;&lt;Year&gt;2015&lt;/Year&gt;&lt;RecNum&gt;59&lt;/RecNum&gt;&lt;DisplayText&gt;[4]&lt;/DisplayText&gt;&lt;record&gt;&lt;rec-number&gt;59&lt;/rec-number&gt;&lt;foreign-keys&gt;&lt;key app="EN" db-id="sf029s9x7d99dqe50eeprptuz5e5t0etd0d5" timestamp="1707436167" guid="82fb9536-6c56-480a-91ad-fef3b45c9dfd"&gt;59&lt;/key&gt;&lt;/foreign-keys&gt;&lt;ref-type name="Report"&gt;27&lt;/ref-type&gt;&lt;contributors&gt;&lt;authors&gt;&lt;author&gt;J. V. Ramsdell Jr., &lt;/author&gt;&lt;author&gt;G. F. Athey, &lt;/author&gt;&lt;author&gt;J. P. Rishel&lt;/author&gt;&lt;/authors&gt;&lt;/contributors&gt;&lt;titles&gt;&lt;title&gt;RASCAL 4.3: Description of Models and Methods, NUREG-1940 Supplement 1&lt;/title&gt;&lt;/titles&gt;&lt;dates&gt;&lt;year&gt;2015&lt;/year&gt;&lt;/dates&gt;&lt;publisher&gt;U.S. Nuclear Regulatory Commission&lt;/publisher&gt;&lt;urls&gt;&lt;/urls&gt;&lt;/record&gt;&lt;/Cite&gt;&lt;/EndNote&gt;</w:instrText>
      </w:r>
      <w:r w:rsidR="0021738D">
        <w:fldChar w:fldCharType="separate"/>
      </w:r>
      <w:r w:rsidR="0021738D">
        <w:rPr>
          <w:noProof/>
        </w:rPr>
        <w:t>[4]</w:t>
      </w:r>
      <w:r w:rsidR="0021738D">
        <w:fldChar w:fldCharType="end"/>
      </w:r>
      <w:r w:rsidR="001F3174" w:rsidRPr="001F3174">
        <w:t>.</w:t>
      </w:r>
      <w:r w:rsidR="00694F12">
        <w:t xml:space="preserve"> However, the</w:t>
      </w:r>
      <w:r w:rsidR="00C23372">
        <w:t xml:space="preserve">re is limited data </w:t>
      </w:r>
      <w:r w:rsidR="00874E35">
        <w:t xml:space="preserve">on the </w:t>
      </w:r>
      <w:r w:rsidR="00DC5D4E">
        <w:t xml:space="preserve">extent </w:t>
      </w:r>
      <w:r w:rsidR="001E3B3C">
        <w:t>of GPMs</w:t>
      </w:r>
      <w:r w:rsidR="000C69D1">
        <w:t xml:space="preserve">’ </w:t>
      </w:r>
      <w:r w:rsidR="00950FC5">
        <w:t xml:space="preserve">underperformance in </w:t>
      </w:r>
      <w:r w:rsidR="00FB2965">
        <w:t xml:space="preserve">the </w:t>
      </w:r>
      <w:proofErr w:type="gramStart"/>
      <w:r w:rsidR="006056C9">
        <w:t>near-field</w:t>
      </w:r>
      <w:proofErr w:type="gramEnd"/>
      <w:r w:rsidR="002E3223">
        <w:t xml:space="preserve"> in comparison with experiments o</w:t>
      </w:r>
      <w:r w:rsidR="00C24B54">
        <w:t>r</w:t>
      </w:r>
      <w:r w:rsidR="002E3223">
        <w:t xml:space="preserve"> more detailed computer models</w:t>
      </w:r>
      <w:r w:rsidR="007B5E15">
        <w:t xml:space="preserve">, with </w:t>
      </w:r>
      <w:r w:rsidR="00CF5EA1">
        <w:t>notable exceptions as detailed below.</w:t>
      </w:r>
      <w:r w:rsidR="002E3223">
        <w:t xml:space="preserve"> </w:t>
      </w:r>
    </w:p>
    <w:p w14:paraId="0C6023BE" w14:textId="7A38F299" w:rsidR="00694F12" w:rsidRDefault="008B2CDA" w:rsidP="00210199">
      <w:pPr>
        <w:pStyle w:val="BodyText"/>
      </w:pPr>
      <w:proofErr w:type="spellStart"/>
      <w:r>
        <w:t>Demael</w:t>
      </w:r>
      <w:proofErr w:type="spellEnd"/>
      <w:r>
        <w:t xml:space="preserve"> </w:t>
      </w:r>
      <w:r w:rsidR="001449DE">
        <w:t xml:space="preserve">and </w:t>
      </w:r>
      <w:proofErr w:type="spellStart"/>
      <w:r w:rsidR="001449DE">
        <w:t>Carissimo</w:t>
      </w:r>
      <w:proofErr w:type="spellEnd"/>
      <w:r w:rsidR="001449DE">
        <w:t xml:space="preserve"> </w:t>
      </w:r>
      <w:r>
        <w:fldChar w:fldCharType="begin"/>
      </w:r>
      <w:r w:rsidR="007E7A8D">
        <w:instrText xml:space="preserve"> ADDIN EN.CITE &lt;EndNote&gt;&lt;Cite&gt;&lt;Author&gt;Demael&lt;/Author&gt;&lt;Year&gt;2008&lt;/Year&gt;&lt;RecNum&gt;148&lt;/RecNum&gt;&lt;DisplayText&gt;[6]&lt;/DisplayText&gt;&lt;record&gt;&lt;rec-number&gt;148&lt;/rec-number&gt;&lt;foreign-keys&gt;&lt;key app="EN" db-id="sf029s9x7d99dqe50eeprptuz5e5t0etd0d5" timestamp="1714163220" guid="accc8cdb-9922-4c4d-a0b0-0fdc755a3c4c"&gt;148&lt;/key&gt;&lt;/foreign-keys&gt;&lt;ref-type name="Journal Article"&gt;17&lt;/ref-type&gt;&lt;contributors&gt;&lt;authors&gt;&lt;author&gt;Demael, E.&lt;/author&gt;&lt;author&gt;Carissimo, B.&lt;/author&gt;&lt;/authors&gt;&lt;/contributors&gt;&lt;titles&gt;&lt;title&gt;Comparative Evaluation of an Eulerian CFD and Gaussian Plume Models Based on Prairie Grass Dispersion Experiment&lt;/title&gt;&lt;secondary-title&gt;Journal of Applied Meteorology and Climatology&lt;/secondary-title&gt;&lt;/titles&gt;&lt;periodical&gt;&lt;full-title&gt;Journal of Applied Meteorology and Climatology&lt;/full-title&gt;&lt;/periodical&gt;&lt;pages&gt;888-900&lt;/pages&gt;&lt;volume&gt;47&lt;/volume&gt;&lt;number&gt;3&lt;/number&gt;&lt;section&gt;888&lt;/section&gt;&lt;dates&gt;&lt;year&gt;2008&lt;/year&gt;&lt;/dates&gt;&lt;isbn&gt;1558-8432&amp;#xD;1558-8424&lt;/isbn&gt;&lt;urls&gt;&lt;/urls&gt;&lt;electronic-resource-num&gt;10.1175/2007jamc1375.1&lt;/electronic-resource-num&gt;&lt;/record&gt;&lt;/Cite&gt;&lt;/EndNote&gt;</w:instrText>
      </w:r>
      <w:r>
        <w:fldChar w:fldCharType="separate"/>
      </w:r>
      <w:r w:rsidR="0021738D">
        <w:rPr>
          <w:noProof/>
        </w:rPr>
        <w:t>[6]</w:t>
      </w:r>
      <w:r>
        <w:fldChar w:fldCharType="end"/>
      </w:r>
      <w:r>
        <w:t xml:space="preserve"> </w:t>
      </w:r>
      <w:r w:rsidR="00776A6B">
        <w:t xml:space="preserve">compared </w:t>
      </w:r>
      <w:r w:rsidR="006056C9">
        <w:t>near-field</w:t>
      </w:r>
      <w:r w:rsidR="00776A6B">
        <w:t xml:space="preserve"> dispersion </w:t>
      </w:r>
      <w:r w:rsidR="003F6A1F">
        <w:t xml:space="preserve">modelling </w:t>
      </w:r>
      <w:r w:rsidR="00776A6B">
        <w:t xml:space="preserve">of CFD and two GPMs </w:t>
      </w:r>
      <w:r w:rsidR="000F7975">
        <w:t xml:space="preserve">in case of a simple terrain </w:t>
      </w:r>
      <w:r w:rsidR="007301C4">
        <w:t>(prairie grass)</w:t>
      </w:r>
      <w:r w:rsidR="003B7722">
        <w:t xml:space="preserve"> to field experiments</w:t>
      </w:r>
      <w:r w:rsidR="007301C4">
        <w:t xml:space="preserve"> and noted that </w:t>
      </w:r>
      <w:r w:rsidR="00852207">
        <w:t xml:space="preserve">the GPMs </w:t>
      </w:r>
      <w:r w:rsidR="00661D54">
        <w:t xml:space="preserve">fared </w:t>
      </w:r>
      <w:r w:rsidR="00852207">
        <w:t xml:space="preserve">better </w:t>
      </w:r>
      <w:r w:rsidR="00661D54">
        <w:t xml:space="preserve">in that instance only because </w:t>
      </w:r>
      <w:r w:rsidR="00A02B5E">
        <w:t>the turbulen</w:t>
      </w:r>
      <w:r w:rsidR="00F14125">
        <w:t>c</w:t>
      </w:r>
      <w:r w:rsidR="00A02B5E">
        <w:t>e parameters in the GPMs were fitted to match</w:t>
      </w:r>
      <w:r w:rsidR="00852207">
        <w:t xml:space="preserve"> </w:t>
      </w:r>
      <w:r w:rsidR="00FB4CAA">
        <w:t>field observations</w:t>
      </w:r>
      <w:r w:rsidR="00A02B5E">
        <w:t xml:space="preserve">. </w:t>
      </w:r>
      <w:r w:rsidR="00CF5EA1">
        <w:t xml:space="preserve"> </w:t>
      </w:r>
      <w:r w:rsidR="00E44635">
        <w:t>A similar</w:t>
      </w:r>
      <w:r w:rsidR="00CF4017">
        <w:t xml:space="preserve"> comparison of GPM</w:t>
      </w:r>
      <w:r w:rsidR="006A07B1">
        <w:t xml:space="preserve">s (Gaussian plume and puff, as well as </w:t>
      </w:r>
      <w:proofErr w:type="spellStart"/>
      <w:r w:rsidR="006A07B1">
        <w:t>Lagrangian</w:t>
      </w:r>
      <w:proofErr w:type="spellEnd"/>
      <w:r w:rsidR="006A07B1">
        <w:t xml:space="preserve"> particle)</w:t>
      </w:r>
      <w:r w:rsidR="00E44635">
        <w:t xml:space="preserve"> </w:t>
      </w:r>
      <w:r w:rsidR="00404829">
        <w:t xml:space="preserve">with field experiments </w:t>
      </w:r>
      <w:r w:rsidR="001C6264">
        <w:t xml:space="preserve">on simple terrain </w:t>
      </w:r>
      <w:r w:rsidR="006A07B1">
        <w:t xml:space="preserve">within </w:t>
      </w:r>
      <w:r w:rsidR="006A07B1">
        <w:lastRenderedPageBreak/>
        <w:t xml:space="preserve">10-500 m </w:t>
      </w:r>
      <w:r w:rsidR="001C6264">
        <w:t>was also done by Lebel et al</w:t>
      </w:r>
      <w:r w:rsidR="0053356F">
        <w:t xml:space="preserve">. </w:t>
      </w:r>
      <w:r w:rsidR="0053356F">
        <w:fldChar w:fldCharType="begin">
          <w:fldData xml:space="preserve">PEVuZE5vdGU+PENpdGU+PEF1dGhvcj5MZWJlbDwvQXV0aG9yPjxZZWFyPjIwMTY8L1llYXI+PFJl
Y051bT4xMzY8L1JlY051bT48RGlzcGxheVRleHQ+WzddPC9EaXNwbGF5VGV4dD48cmVjb3JkPjxy
ZWMtbnVtYmVyPjEzNjwvcmVjLW51bWJlcj48Zm9yZWlnbi1rZXlzPjxrZXkgYXBwPSJFTiIgZGIt
aWQ9InNmMDI5czl4N2Q5OWRxZTUwZWVwcnB0dXo1ZTV0MGV0ZDBkNSIgdGltZXN0YW1wPSIxNzEw
MzM4MjU2IiBndWlkPSIyZGNiYzNlYS1mNDJjLTRmYTYtODZhMi05YzliOTQ1YzU4MTAiPjEzNjwv
a2V5PjwvZm9yZWlnbi1rZXlzPjxyZWYtdHlwZSBuYW1lPSJKb3VybmFsIEFydGljbGUiPjE3PC9y
ZWYtdHlwZT48Y29udHJpYnV0b3JzPjxhdXRob3JzPjxhdXRob3I+TGViZWwsIEwuPC9hdXRob3I+
PGF1dGhvcj5Cb3VyZ291aW4sIFAuPC9hdXRob3I+PGF1dGhvcj5DaG91aGFuLCBTLjwvYXV0aG9y
PjxhdXRob3I+RWssIE4uPC9hdXRob3I+PGF1dGhvcj5Lb3JvbGV2eWNoLCBWLjwvYXV0aG9yPjxh
dXRob3I+TWFsbywgQS48L2F1dGhvcj48YXV0aG9yPkJlbnNpbW9uLCBELjwvYXV0aG9yPjxhdXRo
b3I+RXJoYXJkdCwgTC48L2F1dGhvcj48L2F1dGhvcnM+PC9jb250cmlidXRvcnM+PGF1dGgtYWRk
cmVzcz4qRGVmZW5jZSBSZXNlYXJjaCBhbmQgRGV2ZWxvcG1ldCBDYW5hZGEsIE90dGF3YSBSZXNl
YXJjaCBDZW50cmUsIE90dGF3YSwgT250YXJpbywgQ2FuYWRhOyBkYWdnZXJDYW5hZGlhbiBOdWNs
ZWFyIExhYm9yYXRvcmllcywgQ2hhbGsgUml2ZXIsIE9udGFyaW8sIENhbmFkYTsgc2VjdGlvbiBz
aWduRW52aXJvbm1lbnQgQ2FuYWRhLCBDYW5hZGlhbiBNZXRlb3JvbG9naWNhbCBDZW50cmUsIERv
cnZhbCBRdWViZWMsIENhbmFkYS48L2F1dGgtYWRkcmVzcz48dGl0bGVzPjx0aXRsZT5UaGUgU2Vu
c2l0aXZpdHkgb2YgQXRtb3NwaGVyaWMgRGlzcGVyc2lvbiBDYWxjdWxhdGlvbnMgaW4gTmVhci1m
aWVsZCBBcHBsaWNhdGlvbnM6IE1vZGVsaW5nIG9mIHRoZSBGdWxsIFNjYWxlIFJERCBFeHBlcmlt
ZW50cyB3aXRoIE9wZXJhdGlvbmFsIE1vZGVscyBpbiBDYW5hZGEsIFBhcnQgSTwvdGl0bGU+PHNl
Y29uZGFyeS10aXRsZT5IZWFsdGggUGh5czwvc2Vjb25kYXJ5LXRpdGxlPjwvdGl0bGVzPjxwZXJp
b2RpY2FsPjxmdWxsLXRpdGxlPkhlYWx0aCBQaHlzPC9mdWxsLXRpdGxlPjwvcGVyaW9kaWNhbD48
cGFnZXM+NDk5LTUxNzwvcGFnZXM+PHZvbHVtZT4xMTA8L3ZvbHVtZT48bnVtYmVyPjU8L251bWJl
cj48a2V5d29yZHM+PGtleXdvcmQ+QWlyIFBvbGx1dGFudHMsIFJhZGlvYWN0aXZlLyphbmFseXNp
czwva2V5d29yZD48a2V5d29yZD5BdG1vc3BoZXJlPC9rZXl3b3JkPjxrZXl3b3JkPkNhbmFkYTwv
a2V5d29yZD48a2V5d29yZD5Db21wdXRlciBTaW11bGF0aW9uPC9rZXl3b3JkPjxrZXl3b3JkPkh1
bWFuczwva2V5d29yZD48a2V5d29yZD5MYW50aGFudW0vKmFuYWx5c2lzPC9rZXl3b3JkPjxrZXl3
b3JkPk1ldGVvcm9sb2d5PC9rZXl3b3JkPjxrZXl3b3JkPipNb2RlbHMsIFRoZW9yZXRpY2FsPC9r
ZXl3b3JkPjxrZXl3b3JkPlJhZGlhdGlvbiBEb3NhZ2U8L2tleXdvcmQ+PGtleXdvcmQ+KlJhZGlh
dGlvbiBNb25pdG9yaW5nPC9rZXl3b3JkPjxrZXl3b3JkPipSYWRpb2FjdGl2ZSBIYXphcmQgUmVs
ZWFzZTwva2V5d29yZD48L2tleXdvcmRzPjxkYXRlcz48eWVhcj4yMDE2PC95ZWFyPjxwdWItZGF0
ZXM+PGRhdGU+TWF5PC9kYXRlPjwvcHViLWRhdGVzPjwvZGF0ZXM+PGlzYm4+MTUzOC01MTU5IChF
bGVjdHJvbmljKSYjeEQ7MDAxNy05MDc4IChMaW5raW5nKTwvaXNibj48YWNjZXNzaW9uLW51bT4y
NzAyMzAzNzwvYWNjZXNzaW9uLW51bT48dXJscz48cmVsYXRlZC11cmxzPjx1cmw+aHR0cHM6Ly93
d3cubmNiaS5ubG0ubmloLmdvdi9wdWJtZWQvMjcwMjMwMzc8L3VybD48L3JlbGF0ZWQtdXJscz48
L3VybHM+PGVsZWN0cm9uaWMtcmVzb3VyY2UtbnVtPjEwLjEwOTcvSFAuMDAwMDAwMDAwMDAwMDM2
NTwvZWxlY3Ryb25pYy1yZXNvdXJjZS1udW0+PHJlbW90ZS1kYXRhYmFzZS1uYW1lPk1lZGxpbmU8
L3JlbW90ZS1kYXRhYmFzZS1uYW1lPjxyZW1vdGUtZGF0YWJhc2UtcHJvdmlkZXI+TkxNPC9yZW1v
dGUtZGF0YWJhc2UtcHJvdmlkZXI+PC9yZWNvcmQ+PC9DaXRlPjwvRW5kTm90ZT5=
</w:fldData>
        </w:fldChar>
      </w:r>
      <w:r w:rsidR="0053356F">
        <w:instrText xml:space="preserve"> ADDIN EN.CITE </w:instrText>
      </w:r>
      <w:r w:rsidR="0053356F">
        <w:fldChar w:fldCharType="begin">
          <w:fldData xml:space="preserve">PEVuZE5vdGU+PENpdGU+PEF1dGhvcj5MZWJlbDwvQXV0aG9yPjxZZWFyPjIwMTY8L1llYXI+PFJl
Y051bT4xMzY8L1JlY051bT48RGlzcGxheVRleHQ+WzddPC9EaXNwbGF5VGV4dD48cmVjb3JkPjxy
ZWMtbnVtYmVyPjEzNjwvcmVjLW51bWJlcj48Zm9yZWlnbi1rZXlzPjxrZXkgYXBwPSJFTiIgZGIt
aWQ9InNmMDI5czl4N2Q5OWRxZTUwZWVwcnB0dXo1ZTV0MGV0ZDBkNSIgdGltZXN0YW1wPSIxNzEw
MzM4MjU2IiBndWlkPSIyZGNiYzNlYS1mNDJjLTRmYTYtODZhMi05YzliOTQ1YzU4MTAiPjEzNjwv
a2V5PjwvZm9yZWlnbi1rZXlzPjxyZWYtdHlwZSBuYW1lPSJKb3VybmFsIEFydGljbGUiPjE3PC9y
ZWYtdHlwZT48Y29udHJpYnV0b3JzPjxhdXRob3JzPjxhdXRob3I+TGViZWwsIEwuPC9hdXRob3I+
PGF1dGhvcj5Cb3VyZ291aW4sIFAuPC9hdXRob3I+PGF1dGhvcj5DaG91aGFuLCBTLjwvYXV0aG9y
PjxhdXRob3I+RWssIE4uPC9hdXRob3I+PGF1dGhvcj5Lb3JvbGV2eWNoLCBWLjwvYXV0aG9yPjxh
dXRob3I+TWFsbywgQS48L2F1dGhvcj48YXV0aG9yPkJlbnNpbW9uLCBELjwvYXV0aG9yPjxhdXRo
b3I+RXJoYXJkdCwgTC48L2F1dGhvcj48L2F1dGhvcnM+PC9jb250cmlidXRvcnM+PGF1dGgtYWRk
cmVzcz4qRGVmZW5jZSBSZXNlYXJjaCBhbmQgRGV2ZWxvcG1ldCBDYW5hZGEsIE90dGF3YSBSZXNl
YXJjaCBDZW50cmUsIE90dGF3YSwgT250YXJpbywgQ2FuYWRhOyBkYWdnZXJDYW5hZGlhbiBOdWNs
ZWFyIExhYm9yYXRvcmllcywgQ2hhbGsgUml2ZXIsIE9udGFyaW8sIENhbmFkYTsgc2VjdGlvbiBz
aWduRW52aXJvbm1lbnQgQ2FuYWRhLCBDYW5hZGlhbiBNZXRlb3JvbG9naWNhbCBDZW50cmUsIERv
cnZhbCBRdWViZWMsIENhbmFkYS48L2F1dGgtYWRkcmVzcz48dGl0bGVzPjx0aXRsZT5UaGUgU2Vu
c2l0aXZpdHkgb2YgQXRtb3NwaGVyaWMgRGlzcGVyc2lvbiBDYWxjdWxhdGlvbnMgaW4gTmVhci1m
aWVsZCBBcHBsaWNhdGlvbnM6IE1vZGVsaW5nIG9mIHRoZSBGdWxsIFNjYWxlIFJERCBFeHBlcmlt
ZW50cyB3aXRoIE9wZXJhdGlvbmFsIE1vZGVscyBpbiBDYW5hZGEsIFBhcnQgSTwvdGl0bGU+PHNl
Y29uZGFyeS10aXRsZT5IZWFsdGggUGh5czwvc2Vjb25kYXJ5LXRpdGxlPjwvdGl0bGVzPjxwZXJp
b2RpY2FsPjxmdWxsLXRpdGxlPkhlYWx0aCBQaHlzPC9mdWxsLXRpdGxlPjwvcGVyaW9kaWNhbD48
cGFnZXM+NDk5LTUxNzwvcGFnZXM+PHZvbHVtZT4xMTA8L3ZvbHVtZT48bnVtYmVyPjU8L251bWJl
cj48a2V5d29yZHM+PGtleXdvcmQ+QWlyIFBvbGx1dGFudHMsIFJhZGlvYWN0aXZlLyphbmFseXNp
czwva2V5d29yZD48a2V5d29yZD5BdG1vc3BoZXJlPC9rZXl3b3JkPjxrZXl3b3JkPkNhbmFkYTwv
a2V5d29yZD48a2V5d29yZD5Db21wdXRlciBTaW11bGF0aW9uPC9rZXl3b3JkPjxrZXl3b3JkPkh1
bWFuczwva2V5d29yZD48a2V5d29yZD5MYW50aGFudW0vKmFuYWx5c2lzPC9rZXl3b3JkPjxrZXl3
b3JkPk1ldGVvcm9sb2d5PC9rZXl3b3JkPjxrZXl3b3JkPipNb2RlbHMsIFRoZW9yZXRpY2FsPC9r
ZXl3b3JkPjxrZXl3b3JkPlJhZGlhdGlvbiBEb3NhZ2U8L2tleXdvcmQ+PGtleXdvcmQ+KlJhZGlh
dGlvbiBNb25pdG9yaW5nPC9rZXl3b3JkPjxrZXl3b3JkPipSYWRpb2FjdGl2ZSBIYXphcmQgUmVs
ZWFzZTwva2V5d29yZD48L2tleXdvcmRzPjxkYXRlcz48eWVhcj4yMDE2PC95ZWFyPjxwdWItZGF0
ZXM+PGRhdGU+TWF5PC9kYXRlPjwvcHViLWRhdGVzPjwvZGF0ZXM+PGlzYm4+MTUzOC01MTU5IChF
bGVjdHJvbmljKSYjeEQ7MDAxNy05MDc4IChMaW5raW5nKTwvaXNibj48YWNjZXNzaW9uLW51bT4y
NzAyMzAzNzwvYWNjZXNzaW9uLW51bT48dXJscz48cmVsYXRlZC11cmxzPjx1cmw+aHR0cHM6Ly93
d3cubmNiaS5ubG0ubmloLmdvdi9wdWJtZWQvMjcwMjMwMzc8L3VybD48L3JlbGF0ZWQtdXJscz48
L3VybHM+PGVsZWN0cm9uaWMtcmVzb3VyY2UtbnVtPjEwLjEwOTcvSFAuMDAwMDAwMDAwMDAwMDM2
NTwvZWxlY3Ryb25pYy1yZXNvdXJjZS1udW0+PHJlbW90ZS1kYXRhYmFzZS1uYW1lPk1lZGxpbmU8
L3JlbW90ZS1kYXRhYmFzZS1uYW1lPjxyZW1vdGUtZGF0YWJhc2UtcHJvdmlkZXI+TkxNPC9yZW1v
dGUtZGF0YWJhc2UtcHJvdmlkZXI+PC9yZWNvcmQ+PC9DaXRlPjwvRW5kTm90ZT5=
</w:fldData>
        </w:fldChar>
      </w:r>
      <w:r w:rsidR="0053356F">
        <w:instrText xml:space="preserve"> ADDIN EN.CITE.DATA </w:instrText>
      </w:r>
      <w:r w:rsidR="0053356F">
        <w:fldChar w:fldCharType="end"/>
      </w:r>
      <w:r w:rsidR="0053356F">
        <w:fldChar w:fldCharType="separate"/>
      </w:r>
      <w:r w:rsidR="0053356F">
        <w:rPr>
          <w:noProof/>
        </w:rPr>
        <w:t>[7]</w:t>
      </w:r>
      <w:r w:rsidR="0053356F">
        <w:fldChar w:fldCharType="end"/>
      </w:r>
      <w:r w:rsidR="001C6264">
        <w:t xml:space="preserve">. </w:t>
      </w:r>
      <w:r w:rsidR="00E9388B">
        <w:t>A</w:t>
      </w:r>
      <w:r w:rsidR="0053356F">
        <w:t xml:space="preserve"> </w:t>
      </w:r>
      <w:r w:rsidR="00E9388B">
        <w:t>recent</w:t>
      </w:r>
      <w:r w:rsidR="00CF5EA1">
        <w:t xml:space="preserve"> report </w:t>
      </w:r>
      <w:r w:rsidR="00CF5EA1">
        <w:fldChar w:fldCharType="begin"/>
      </w:r>
      <w:r w:rsidR="0053356F">
        <w:instrText xml:space="preserve"> ADDIN EN.CITE &lt;EndNote&gt;&lt;Cite&gt;&lt;Author&gt;Daniel J. Clayton&lt;/Author&gt;&lt;Year&gt;2020&lt;/Year&gt;&lt;RecNum&gt;158&lt;/RecNum&gt;&lt;DisplayText&gt;[8]&lt;/DisplayText&gt;&lt;record&gt;&lt;rec-number&gt;158&lt;/rec-number&gt;&lt;foreign-keys&gt;&lt;key app="EN" db-id="sf029s9x7d99dqe50eeprptuz5e5t0etd0d5" timestamp="1715279858" guid="e6d7ee57-ebe9-4e7e-ac71-1269f76694c2"&gt;158&lt;/key&gt;&lt;/foreign-keys&gt;&lt;ref-type name="Report"&gt;27&lt;/ref-type&gt;&lt;contributors&gt;&lt;authors&gt;&lt;author&gt;Daniel J. Clayton, &lt;/author&gt;&lt;author&gt;Nathan E. Bixler&lt;/author&gt;&lt;/authors&gt;&lt;/contributors&gt;&lt;titles&gt;&lt;title&gt;Assessment of the MACCS Code Applicability for Nearfield Consequence Analysis&lt;/title&gt;&lt;/titles&gt;&lt;dates&gt;&lt;year&gt;2020&lt;/year&gt;&lt;/dates&gt;&lt;publisher&gt;Sandia National Laboratories&lt;/publisher&gt;&lt;isbn&gt;SAND2020-2609&lt;/isbn&gt;&lt;urls&gt;&lt;/urls&gt;&lt;/record&gt;&lt;/Cite&gt;&lt;/EndNote&gt;</w:instrText>
      </w:r>
      <w:r w:rsidR="00CF5EA1">
        <w:fldChar w:fldCharType="separate"/>
      </w:r>
      <w:r w:rsidR="0053356F">
        <w:rPr>
          <w:noProof/>
        </w:rPr>
        <w:t>[8]</w:t>
      </w:r>
      <w:r w:rsidR="00CF5EA1">
        <w:fldChar w:fldCharType="end"/>
      </w:r>
      <w:r w:rsidR="00C26055">
        <w:t xml:space="preserve"> </w:t>
      </w:r>
      <w:r w:rsidR="005B6E69">
        <w:t>compare</w:t>
      </w:r>
      <w:r w:rsidR="00E9388B">
        <w:t>s</w:t>
      </w:r>
      <w:r w:rsidR="005B6E69">
        <w:t xml:space="preserve"> </w:t>
      </w:r>
      <w:r w:rsidR="0000369D">
        <w:t>the performance of MACCS</w:t>
      </w:r>
      <w:r w:rsidR="003227E8">
        <w:t>, a p</w:t>
      </w:r>
      <w:r w:rsidR="003227E8" w:rsidRPr="004C64C0">
        <w:t xml:space="preserve">robabilistic </w:t>
      </w:r>
      <w:r w:rsidR="003227E8">
        <w:t>s</w:t>
      </w:r>
      <w:r w:rsidR="003227E8" w:rsidRPr="004C64C0">
        <w:t xml:space="preserve">afety </w:t>
      </w:r>
      <w:r w:rsidR="003227E8">
        <w:t>a</w:t>
      </w:r>
      <w:r w:rsidR="003227E8" w:rsidRPr="004C64C0">
        <w:t>ssessment</w:t>
      </w:r>
      <w:r w:rsidR="003227E8">
        <w:t xml:space="preserve"> tool that incorporates GPM dispersion</w:t>
      </w:r>
      <w:r w:rsidR="00F51DCA">
        <w:t>,</w:t>
      </w:r>
      <w:r w:rsidR="0000369D">
        <w:t xml:space="preserve"> in the </w:t>
      </w:r>
      <w:r w:rsidR="006056C9">
        <w:t>near-field</w:t>
      </w:r>
      <w:r w:rsidR="0000369D">
        <w:t xml:space="preserve"> to </w:t>
      </w:r>
      <w:r w:rsidR="00DC0F6C">
        <w:t xml:space="preserve">other </w:t>
      </w:r>
      <w:r w:rsidR="00541C55">
        <w:t xml:space="preserve">GPM </w:t>
      </w:r>
      <w:r w:rsidR="00D24612">
        <w:t xml:space="preserve">codes such as ARCON96 and AERMOD and also to </w:t>
      </w:r>
      <w:r w:rsidR="00C26127">
        <w:t xml:space="preserve">QUIC, </w:t>
      </w:r>
      <w:r w:rsidR="00D24612">
        <w:t xml:space="preserve">a simplified </w:t>
      </w:r>
      <w:r w:rsidR="009D61E9">
        <w:t xml:space="preserve">computational fluid dynamics (CFD) code. </w:t>
      </w:r>
      <w:r w:rsidR="00AA4F9D">
        <w:t xml:space="preserve">However, </w:t>
      </w:r>
      <w:r w:rsidR="003E7EA9">
        <w:t xml:space="preserve">similar to </w:t>
      </w:r>
      <w:r w:rsidR="00BC7EA2">
        <w:t xml:space="preserve">the aforementioned study of </w:t>
      </w:r>
      <w:proofErr w:type="spellStart"/>
      <w:r w:rsidR="00BC7EA2">
        <w:t>Demael</w:t>
      </w:r>
      <w:proofErr w:type="spellEnd"/>
      <w:r w:rsidR="00BC7EA2">
        <w:t xml:space="preserve"> and </w:t>
      </w:r>
      <w:proofErr w:type="spellStart"/>
      <w:r w:rsidR="00BC7EA2">
        <w:t>Carissimo</w:t>
      </w:r>
      <w:proofErr w:type="spellEnd"/>
      <w:r w:rsidR="00BC7EA2">
        <w:t xml:space="preserve"> </w:t>
      </w:r>
      <w:r w:rsidR="00BC7EA2">
        <w:fldChar w:fldCharType="begin"/>
      </w:r>
      <w:r w:rsidR="007E7A8D">
        <w:instrText xml:space="preserve"> ADDIN EN.CITE &lt;EndNote&gt;&lt;Cite&gt;&lt;Author&gt;Demael&lt;/Author&gt;&lt;Year&gt;2008&lt;/Year&gt;&lt;RecNum&gt;148&lt;/RecNum&gt;&lt;DisplayText&gt;[6]&lt;/DisplayText&gt;&lt;record&gt;&lt;rec-number&gt;148&lt;/rec-number&gt;&lt;foreign-keys&gt;&lt;key app="EN" db-id="sf029s9x7d99dqe50eeprptuz5e5t0etd0d5" timestamp="1714163220" guid="accc8cdb-9922-4c4d-a0b0-0fdc755a3c4c"&gt;148&lt;/key&gt;&lt;/foreign-keys&gt;&lt;ref-type name="Journal Article"&gt;17&lt;/ref-type&gt;&lt;contributors&gt;&lt;authors&gt;&lt;author&gt;Demael, E.&lt;/author&gt;&lt;author&gt;Carissimo, B.&lt;/author&gt;&lt;/authors&gt;&lt;/contributors&gt;&lt;titles&gt;&lt;title&gt;Comparative Evaluation of an Eulerian CFD and Gaussian Plume Models Based on Prairie Grass Dispersion Experiment&lt;/title&gt;&lt;secondary-title&gt;Journal of Applied Meteorology and Climatology&lt;/secondary-title&gt;&lt;/titles&gt;&lt;periodical&gt;&lt;full-title&gt;Journal of Applied Meteorology and Climatology&lt;/full-title&gt;&lt;/periodical&gt;&lt;pages&gt;888-900&lt;/pages&gt;&lt;volume&gt;47&lt;/volume&gt;&lt;number&gt;3&lt;/number&gt;&lt;section&gt;888&lt;/section&gt;&lt;dates&gt;&lt;year&gt;2008&lt;/year&gt;&lt;/dates&gt;&lt;isbn&gt;1558-8432&amp;#xD;1558-8424&lt;/isbn&gt;&lt;urls&gt;&lt;/urls&gt;&lt;electronic-resource-num&gt;10.1175/2007jamc1375.1&lt;/electronic-resource-num&gt;&lt;/record&gt;&lt;/Cite&gt;&lt;/EndNote&gt;</w:instrText>
      </w:r>
      <w:r w:rsidR="00BC7EA2">
        <w:fldChar w:fldCharType="separate"/>
      </w:r>
      <w:r w:rsidR="0021738D">
        <w:rPr>
          <w:noProof/>
        </w:rPr>
        <w:t>[6]</w:t>
      </w:r>
      <w:r w:rsidR="00BC7EA2">
        <w:fldChar w:fldCharType="end"/>
      </w:r>
      <w:r w:rsidR="00BC7EA2">
        <w:t xml:space="preserve">, the MACCS </w:t>
      </w:r>
      <w:r w:rsidR="00A97B6C">
        <w:t xml:space="preserve">benchmarking </w:t>
      </w:r>
      <w:r w:rsidR="00CF2F6E">
        <w:t xml:space="preserve">study </w:t>
      </w:r>
      <w:r w:rsidR="00BC7EA2">
        <w:t>also</w:t>
      </w:r>
      <w:r w:rsidR="00A97B6C">
        <w:t xml:space="preserve"> </w:t>
      </w:r>
      <w:r w:rsidR="00886C72">
        <w:t xml:space="preserve">involved </w:t>
      </w:r>
      <w:r w:rsidR="00826C46">
        <w:t>simple</w:t>
      </w:r>
      <w:r w:rsidR="00886C72">
        <w:t xml:space="preserve"> </w:t>
      </w:r>
      <w:r w:rsidR="006E6A45">
        <w:t>geometries</w:t>
      </w:r>
      <w:r w:rsidR="00BA44C0">
        <w:t xml:space="preserve"> of up to </w:t>
      </w:r>
      <w:r w:rsidR="006E6A45">
        <w:t>two buildings</w:t>
      </w:r>
      <w:r w:rsidR="00BA44C0">
        <w:t xml:space="preserve"> around the source</w:t>
      </w:r>
      <w:r w:rsidR="006E6A45">
        <w:t>.</w:t>
      </w:r>
      <w:r w:rsidR="008531CD">
        <w:t xml:space="preserve"> </w:t>
      </w:r>
      <w:r w:rsidR="009710B5">
        <w:t xml:space="preserve">There is a need, however, to demonstrate the </w:t>
      </w:r>
      <w:r w:rsidR="00B2727A">
        <w:t xml:space="preserve">capabilities of these different model types in the context of more complex </w:t>
      </w:r>
      <w:r w:rsidR="00EB27F0">
        <w:t>local topologies and urban/suburban built up environments.</w:t>
      </w:r>
    </w:p>
    <w:p w14:paraId="37C8F754" w14:textId="0504227A" w:rsidR="00222B46" w:rsidRDefault="00E4696F" w:rsidP="00E02737">
      <w:pPr>
        <w:pStyle w:val="BodyText"/>
      </w:pPr>
      <w:r>
        <w:t xml:space="preserve">In terms of </w:t>
      </w:r>
      <w:r w:rsidR="00A87EC1">
        <w:t xml:space="preserve">accuracy in </w:t>
      </w:r>
      <w:r>
        <w:t xml:space="preserve">modelling atmospheric dispersion, </w:t>
      </w:r>
      <w:r w:rsidR="00EA0E0E" w:rsidRPr="00EA0E0E">
        <w:t>CFD</w:t>
      </w:r>
      <w:r w:rsidR="00120218">
        <w:t xml:space="preserve"> is </w:t>
      </w:r>
      <w:r>
        <w:t xml:space="preserve">generally considered to </w:t>
      </w:r>
      <w:r w:rsidR="00205D78">
        <w:t>have the highest fidelity</w:t>
      </w:r>
      <w:r>
        <w:t xml:space="preserve"> </w:t>
      </w:r>
      <w:r w:rsidR="00E02737">
        <w:fldChar w:fldCharType="begin"/>
      </w:r>
      <w:r w:rsidR="0053356F">
        <w:instrText xml:space="preserve"> ADDIN EN.CITE &lt;EndNote&gt;&lt;Cite&gt;&lt;Author&gt;Daniel J. Clayton&lt;/Author&gt;&lt;Year&gt;2020&lt;/Year&gt;&lt;RecNum&gt;158&lt;/RecNum&gt;&lt;DisplayText&gt;[8]&lt;/DisplayText&gt;&lt;record&gt;&lt;rec-number&gt;158&lt;/rec-number&gt;&lt;foreign-keys&gt;&lt;key app="EN" db-id="sf029s9x7d99dqe50eeprptuz5e5t0etd0d5" timestamp="1715279858" guid="e6d7ee57-ebe9-4e7e-ac71-1269f76694c2"&gt;158&lt;/key&gt;&lt;/foreign-keys&gt;&lt;ref-type name="Report"&gt;27&lt;/ref-type&gt;&lt;contributors&gt;&lt;authors&gt;&lt;author&gt;Daniel J. Clayton, &lt;/author&gt;&lt;author&gt;Nathan E. Bixler&lt;/author&gt;&lt;/authors&gt;&lt;/contributors&gt;&lt;titles&gt;&lt;title&gt;Assessment of the MACCS Code Applicability for Nearfield Consequence Analysis&lt;/title&gt;&lt;/titles&gt;&lt;dates&gt;&lt;year&gt;2020&lt;/year&gt;&lt;/dates&gt;&lt;publisher&gt;Sandia National Laboratories&lt;/publisher&gt;&lt;isbn&gt;SAND2020-2609&lt;/isbn&gt;&lt;urls&gt;&lt;/urls&gt;&lt;/record&gt;&lt;/Cite&gt;&lt;/EndNote&gt;</w:instrText>
      </w:r>
      <w:r w:rsidR="00E02737">
        <w:fldChar w:fldCharType="separate"/>
      </w:r>
      <w:r w:rsidR="0053356F">
        <w:rPr>
          <w:noProof/>
        </w:rPr>
        <w:t>[8]</w:t>
      </w:r>
      <w:r w:rsidR="00E02737">
        <w:fldChar w:fldCharType="end"/>
      </w:r>
      <w:r w:rsidR="00E02737">
        <w:t xml:space="preserve"> as it </w:t>
      </w:r>
      <w:r w:rsidR="00EA0E0E" w:rsidRPr="00EA0E0E">
        <w:t xml:space="preserve">uses </w:t>
      </w:r>
      <w:r w:rsidR="00A81D9D">
        <w:t xml:space="preserve">much higher resolution </w:t>
      </w:r>
      <w:r w:rsidR="0006742C">
        <w:t>m</w:t>
      </w:r>
      <w:r w:rsidR="00EA0E0E" w:rsidRPr="00EA0E0E">
        <w:t xml:space="preserve">echanistic </w:t>
      </w:r>
      <w:r w:rsidR="00A81D9D">
        <w:t xml:space="preserve">fluid dynamics </w:t>
      </w:r>
      <w:r w:rsidR="00EA0E0E" w:rsidRPr="00EA0E0E">
        <w:t>models.</w:t>
      </w:r>
      <w:r w:rsidR="00CF2278">
        <w:t xml:space="preserve"> </w:t>
      </w:r>
      <w:r w:rsidR="004B3853">
        <w:t>However, th</w:t>
      </w:r>
      <w:r w:rsidR="00C15A1B">
        <w:t>is</w:t>
      </w:r>
      <w:r w:rsidR="004B3853">
        <w:t xml:space="preserve"> accuracy comes with significant co</w:t>
      </w:r>
      <w:r w:rsidR="00C15A1B">
        <w:t xml:space="preserve">mputational and </w:t>
      </w:r>
      <w:r w:rsidR="00F9415C">
        <w:t xml:space="preserve">modelling </w:t>
      </w:r>
      <w:r w:rsidR="000B4812">
        <w:t>costs</w:t>
      </w:r>
      <w:r w:rsidR="00F9415C">
        <w:t xml:space="preserve">. </w:t>
      </w:r>
      <w:r w:rsidR="000055AE">
        <w:t xml:space="preserve">Consequently, </w:t>
      </w:r>
      <w:r w:rsidR="000C3B7A">
        <w:t xml:space="preserve">although CFD has been extensively used </w:t>
      </w:r>
      <w:r w:rsidR="00156A4C">
        <w:t xml:space="preserve">to </w:t>
      </w:r>
      <w:r w:rsidR="004C2CC4">
        <w:t xml:space="preserve">model </w:t>
      </w:r>
      <w:r w:rsidR="00131274">
        <w:t xml:space="preserve">wind flows and </w:t>
      </w:r>
      <w:r w:rsidR="004C2CC4">
        <w:t xml:space="preserve">pollutant dispersion </w:t>
      </w:r>
      <w:r w:rsidR="00131274">
        <w:t>in complex terrains</w:t>
      </w:r>
      <w:r w:rsidR="0080568F">
        <w:t xml:space="preserve"> </w:t>
      </w:r>
      <w:r w:rsidR="00A47215">
        <w:fldChar w:fldCharType="begin">
          <w:fldData xml:space="preserve">PEVuZE5vdGU+PENpdGU+PEF1dGhvcj5Jb2FubmlkaXM8L0F1dGhvcj48WWVhcj4yMDI0PC9ZZWFy
PjxSZWNOdW0+MTU5PC9SZWNOdW0+PERpc3BsYXlUZXh0Pls5LTEyXTwvRGlzcGxheVRleHQ+PHJl
Y29yZD48cmVjLW51bWJlcj4xNTk8L3JlYy1udW1iZXI+PGZvcmVpZ24ta2V5cz48a2V5IGFwcD0i
RU4iIGRiLWlkPSJzZjAyOXM5eDdkOTlkcWU1MGVlcHJwdHV6NWU1dDBldGQwZDUiIHRpbWVzdGFt
cD0iMTcxNTI5NTA4MCIgZ3VpZD0iNWJjNzIzMGQtNGQ3Mi00NTdjLTgyNDEtNDVhZWE4YjA1OWU3
Ij4xNTk8L2tleT48L2ZvcmVpZ24ta2V5cz48cmVmLXR5cGUgbmFtZT0iSm91cm5hbCBBcnRpY2xl
Ij4xNzwvcmVmLXR5cGU+PGNvbnRyaWJ1dG9ycz48YXV0aG9ycz48YXV0aG9yPklvYW5uaWRpcywg
R2lhbm5pczwvYXV0aG9yPjxhdXRob3I+TGksIENoYW9mYW48L2F1dGhvcj48YXV0aG9yPlRyZW1w
ZXIsIFBhdWw8L2F1dGhvcj48YXV0aG9yPlJpZWRlbCwgVGlsbDwvYXV0aG9yPjxhdXRob3I+TnR6
aWFjaHJpc3RvcywgTGVvbmlkYXM8L2F1dGhvcj48L2F1dGhvcnM+PC9jb250cmlidXRvcnM+PHRp
dGxlcz48dGl0bGU+QXBwbGljYXRpb24gb2YgQ0ZEIE1vZGVsbGluZyBmb3IgUG9sbHV0YW50IERp
c3BlcnNpb24gYXQgYW4gVXJiYW4gVHJhZmZpYyBIb3RzcG90PC90aXRsZT48c2Vjb25kYXJ5LXRp
dGxlPkF0bW9zcGhlcmU8L3NlY29uZGFyeS10aXRsZT48L3RpdGxlcz48cGVyaW9kaWNhbD48ZnVs
bC10aXRsZT5BdG1vc3BoZXJlPC9mdWxsLXRpdGxlPjwvcGVyaW9kaWNhbD48dm9sdW1lPjE1PC92
b2x1bWU+PG51bWJlcj4xPC9udW1iZXI+PHNlY3Rpb24+MTEzPC9zZWN0aW9uPjxkYXRlcz48eWVh
cj4yMDI0PC95ZWFyPjwvZGF0ZXM+PGlzYm4+MjA3My00NDMzPC9pc2JuPjx1cmxzPjwvdXJscz48
ZWxlY3Ryb25pYy1yZXNvdXJjZS1udW0+MTAuMzM5MC9hdG1vczE1MDEwMTEzPC9lbGVjdHJvbmlj
LXJlc291cmNlLW51bT48L3JlY29yZD48L0NpdGU+PENpdGU+PEF1dGhvcj5XZWk8L0F1dGhvcj48
WWVhcj4yMDE2PC9ZZWFyPjxSZWNOdW0+MTU3PC9SZWNOdW0+PHJlY29yZD48cmVjLW51bWJlcj4x
NTc8L3JlYy1udW1iZXI+PGZvcmVpZ24ta2V5cz48a2V5IGFwcD0iRU4iIGRiLWlkPSJzZjAyOXM5
eDdkOTlkcWU1MGVlcHJwdHV6NWU1dDBldGQwZDUiIHRpbWVzdGFtcD0iMTcxNTI2MzIxNSIgZ3Vp
ZD0iYmIwMTRlZTEtYjdjMy00YzVhLWExYjMtMjEyOWY3YWIwNTExIj4xNTc8L2tleT48L2ZvcmVp
Z24ta2V5cz48cmVmLXR5cGUgbmFtZT0iSm91cm5hbCBBcnRpY2xlIj4xNzwvcmVmLXR5cGU+PGNv
bnRyaWJ1dG9ycz48YXV0aG9ycz48YXV0aG9yPldlaSwgWGlhbzwvYXV0aG9yPjxhdXRob3I+RHVw
b250LCBFcmljPC9hdXRob3I+PGF1dGhvcj5HaWxiZXJ0LCBFcmljPC9hdXRob3I+PGF1dGhvcj5N
dXNzb24tR2Vub24sIEx1YzwvYXV0aG9yPjxhdXRob3I+Q2FyaXNzaW1vLCBCZXJ0cmFuZDwvYXV0
aG9yPjwvYXV0aG9ycz48L2NvbnRyaWJ1dG9ycz48dGl0bGVzPjx0aXRsZT5FeHBlcmltZW50YWwg
YW5kIE51bWVyaWNhbCBTdHVkeSBvZiBXaW5kIGFuZCBUdXJidWxlbmNlIGluIGEgTmVhci1GaWVs
ZCBEaXNwZXJzaW9uIENhbXBhaWduIGF0IGFuIEluaG9tb2dlbmVvdXMgU2l0ZTwvdGl0bGU+PHNl
Y29uZGFyeS10aXRsZT5Cb3VuZGFyeS1MYXllciBNZXRlb3JvbG9neTwvc2Vjb25kYXJ5LXRpdGxl
PjwvdGl0bGVzPjxwZXJpb2RpY2FsPjxmdWxsLXRpdGxlPkJvdW5kYXJ5LUxheWVyIE1ldGVvcm9s
b2d5PC9mdWxsLXRpdGxlPjwvcGVyaW9kaWNhbD48cGFnZXM+NDc1LTQ5OTwvcGFnZXM+PHZvbHVt
ZT4xNjA8L3ZvbHVtZT48bnVtYmVyPjM8L251bWJlcj48c2VjdGlvbj40NzU8L3NlY3Rpb24+PGRh
dGVzPjx5ZWFyPjIwMTY8L3llYXI+PC9kYXRlcz48aXNibj4wMDA2LTgzMTQmI3hEOzE1NzMtMTQ3
MjwvaXNibj48dXJscz48L3VybHM+PGVsZWN0cm9uaWMtcmVzb3VyY2UtbnVtPjEwLjEwMDcvczEw
NTQ2LTAxNi0wMTQ4LTc8L2VsZWN0cm9uaWMtcmVzb3VyY2UtbnVtPjwvcmVjb3JkPjwvQ2l0ZT48
Q2l0ZT48QXV0aG9yPkJvbmlmYWNpbzwvQXV0aG9yPjxZZWFyPjIwMTU8L1llYXI+PFJlY051bT4x
NTY8L1JlY051bT48cmVjb3JkPjxyZWMtbnVtYmVyPjE1NjwvcmVjLW51bWJlcj48Zm9yZWlnbi1r
ZXlzPjxrZXkgYXBwPSJFTiIgZGItaWQ9InNmMDI5czl4N2Q5OWRxZTUwZWVwcnB0dXo1ZTV0MGV0
ZDBkNSIgdGltZXN0YW1wPSIxNzE1MjYzMjExIiBndWlkPSI1YzgzOTY4Yy05Nzk5LTQzYWYtYjA2
NC03OTQ3OGM1M2E3OTYiPjE1Njwva2V5PjwvZm9yZWlnbi1rZXlzPjxyZWYtdHlwZSBuYW1lPSJK
b3VybmFsIEFydGljbGUiPjE3PC9yZWYtdHlwZT48Y29udHJpYnV0b3JzPjxhdXRob3JzPjxhdXRo
b3I+Qm9uaWZhY2lvLCBIZW5yeSBGLjwvYXV0aG9yPjxhdXRob3I+TWFnaGlyYW5nLCBSb25hbGRv
IEcuPC9hdXRob3I+PGF1dGhvcj5HbGFzZ293LCBMYXJyeSBBLjwvYXV0aG9yPjwvYXV0aG9ycz48
L2NvbnRyaWJ1dG9ycz48dGl0bGVzPjx0aXRsZT5OdW1lcmljYWwgU2ltdWxhdGlvbiBvZiBUcmFu
c3BvcnQgb2YgUGFydGljbGVzIEVtaXR0ZWQgRnJvbSBHcm91bmQtTGV2ZWwgQXJlYSBTb3VyY2Ug
VXNpbmcgQWVybW9kIGFuZCBDRkQ8L3RpdGxlPjxzZWNvbmRhcnktdGl0bGU+RW5naW5lZXJpbmcg
QXBwbGljYXRpb25zIG9mIENvbXB1dGF0aW9uYWwgRmx1aWQgTWVjaGFuaWNzPC9zZWNvbmRhcnkt
dGl0bGU+PC90aXRsZXM+PHBlcmlvZGljYWw+PGZ1bGwtdGl0bGU+RW5naW5lZXJpbmcgQXBwbGlj
YXRpb25zIG9mIENvbXB1dGF0aW9uYWwgRmx1aWQgTWVjaGFuaWNzPC9mdWxsLXRpdGxlPjwvcGVy
aW9kaWNhbD48cGFnZXM+NDg4LTUwMjwvcGFnZXM+PHZvbHVtZT44PC92b2x1bWU+PG51bWJlcj40
PC9udW1iZXI+PHNlY3Rpb24+NDg4PC9zZWN0aW9uPjxkYXRlcz48eWVhcj4yMDE1PC95ZWFyPjwv
ZGF0ZXM+PGlzYm4+MTk5NC0yMDYwJiN4RDsxOTk3LTAwM1g8L2lzYm4+PHVybHM+PC91cmxzPjxl
bGVjdHJvbmljLXJlc291cmNlLW51bT4xMC4xMDgwLzE5OTQyMDYwLjIwMTQuMTEwODMzMDI8L2Vs
ZWN0cm9uaWMtcmVzb3VyY2UtbnVtPjwvcmVjb3JkPjwvQ2l0ZT48Q2l0ZT48QXV0aG9yPlllbzwv
QXV0aG9yPjxZZWFyPjIwMjA8L1llYXI+PFJlY051bT4xNTU8L1JlY051bT48cmVjb3JkPjxyZWMt
bnVtYmVyPjE1NTwvcmVjLW51bWJlcj48Zm9yZWlnbi1rZXlzPjxrZXkgYXBwPSJFTiIgZGItaWQ9
InNmMDI5czl4N2Q5OWRxZTUwZWVwcnB0dXo1ZTV0MGV0ZDBkNSIgdGltZXN0YW1wPSIxNzE1MjYz
MjA4IiBndWlkPSIzMzM0NzgyMS0zNzk3LTQ1YjgtYTE3Ni01OGY4MzJkMDIyNTgiPjE1NTwva2V5
PjwvZm9yZWlnbi1rZXlzPjxyZWYtdHlwZSBuYW1lPSJKb3VybmFsIEFydGljbGUiPjE3PC9yZWYt
dHlwZT48Y29udHJpYnV0b3JzPjxhdXRob3JzPjxhdXRob3I+WWVvLCBVay1IeWVvbjwvYXV0aG9y
PjxhdXRob3I+RGVjYW5vLVZhbGVudGluLCBDcmlzdGluYTwvYXV0aG9yPjxhdXRob3I+SGEsIFRh
ZWh3YW48L2F1dGhvcj48YXV0aG9yPkxlZSwgSW4tQm9rPC9hdXRob3I+PGF1dGhvcj5LaW0sIFJh
Y2stV29vPC9hdXRob3I+PGF1dGhvcj5MZWUsIFNhbmctWWVvbjwvYXV0aG9yPjxhdXRob3I+S2lt
LCBKdW4tR3l1PC9hdXRob3I+PC9hdXRob3JzPjwvY29udHJpYnV0b3JzPjx0aXRsZXM+PHRpdGxl
PkltcGFjdCBBbmFseXNpcyBvZiBFbnZpcm9ubWVudGFsIENvbmRpdGlvbnMgb24gT2RvdXIgRGlz
cGVyc2lvbiBFbWl0dGVkIGZyb20gUGlnIEhvdXNlIHdpdGggQ29tcGxleCBUZXJyYWluIFVzaW5n
IENGRDwvdGl0bGU+PHNlY29uZGFyeS10aXRsZT5BZ3Jvbm9teTwvc2Vjb25kYXJ5LXRpdGxlPjwv
dGl0bGVzPjxwZXJpb2RpY2FsPjxmdWxsLXRpdGxlPkFncm9ub215PC9mdWxsLXRpdGxlPjwvcGVy
aW9kaWNhbD48dm9sdW1lPjEwPC92b2x1bWU+PG51bWJlcj4xMTwvbnVtYmVyPjxzZWN0aW9uPjE4
Mjg8L3NlY3Rpb24+PGRhdGVzPjx5ZWFyPjIwMjA8L3llYXI+PC9kYXRlcz48aXNibj4yMDczLTQz
OTU8L2lzYm4+PHVybHM+PC91cmxzPjxlbGVjdHJvbmljLXJlc291cmNlLW51bT4xMC4zMzkwL2Fn
cm9ub215MTAxMTE4Mjg8L2VsZWN0cm9uaWMtcmVzb3VyY2UtbnVtPjwvcmVjb3JkPjwvQ2l0ZT48
L0VuZE5vdGU+
</w:fldData>
        </w:fldChar>
      </w:r>
      <w:r w:rsidR="00B864D9">
        <w:instrText xml:space="preserve"> ADDIN EN.CITE </w:instrText>
      </w:r>
      <w:r w:rsidR="00B864D9">
        <w:fldChar w:fldCharType="begin">
          <w:fldData xml:space="preserve">PEVuZE5vdGU+PENpdGU+PEF1dGhvcj5Jb2FubmlkaXM8L0F1dGhvcj48WWVhcj4yMDI0PC9ZZWFy
PjxSZWNOdW0+MTU5PC9SZWNOdW0+PERpc3BsYXlUZXh0Pls5LTEyXTwvRGlzcGxheVRleHQ+PHJl
Y29yZD48cmVjLW51bWJlcj4xNTk8L3JlYy1udW1iZXI+PGZvcmVpZ24ta2V5cz48a2V5IGFwcD0i
RU4iIGRiLWlkPSJzZjAyOXM5eDdkOTlkcWU1MGVlcHJwdHV6NWU1dDBldGQwZDUiIHRpbWVzdGFt
cD0iMTcxNTI5NTA4MCIgZ3VpZD0iNWJjNzIzMGQtNGQ3Mi00NTdjLTgyNDEtNDVhZWE4YjA1OWU3
Ij4xNTk8L2tleT48L2ZvcmVpZ24ta2V5cz48cmVmLXR5cGUgbmFtZT0iSm91cm5hbCBBcnRpY2xl
Ij4xNzwvcmVmLXR5cGU+PGNvbnRyaWJ1dG9ycz48YXV0aG9ycz48YXV0aG9yPklvYW5uaWRpcywg
R2lhbm5pczwvYXV0aG9yPjxhdXRob3I+TGksIENoYW9mYW48L2F1dGhvcj48YXV0aG9yPlRyZW1w
ZXIsIFBhdWw8L2F1dGhvcj48YXV0aG9yPlJpZWRlbCwgVGlsbDwvYXV0aG9yPjxhdXRob3I+TnR6
aWFjaHJpc3RvcywgTGVvbmlkYXM8L2F1dGhvcj48L2F1dGhvcnM+PC9jb250cmlidXRvcnM+PHRp
dGxlcz48dGl0bGU+QXBwbGljYXRpb24gb2YgQ0ZEIE1vZGVsbGluZyBmb3IgUG9sbHV0YW50IERp
c3BlcnNpb24gYXQgYW4gVXJiYW4gVHJhZmZpYyBIb3RzcG90PC90aXRsZT48c2Vjb25kYXJ5LXRp
dGxlPkF0bW9zcGhlcmU8L3NlY29uZGFyeS10aXRsZT48L3RpdGxlcz48cGVyaW9kaWNhbD48ZnVs
bC10aXRsZT5BdG1vc3BoZXJlPC9mdWxsLXRpdGxlPjwvcGVyaW9kaWNhbD48dm9sdW1lPjE1PC92
b2x1bWU+PG51bWJlcj4xPC9udW1iZXI+PHNlY3Rpb24+MTEzPC9zZWN0aW9uPjxkYXRlcz48eWVh
cj4yMDI0PC95ZWFyPjwvZGF0ZXM+PGlzYm4+MjA3My00NDMzPC9pc2JuPjx1cmxzPjwvdXJscz48
ZWxlY3Ryb25pYy1yZXNvdXJjZS1udW0+MTAuMzM5MC9hdG1vczE1MDEwMTEzPC9lbGVjdHJvbmlj
LXJlc291cmNlLW51bT48L3JlY29yZD48L0NpdGU+PENpdGU+PEF1dGhvcj5XZWk8L0F1dGhvcj48
WWVhcj4yMDE2PC9ZZWFyPjxSZWNOdW0+MTU3PC9SZWNOdW0+PHJlY29yZD48cmVjLW51bWJlcj4x
NTc8L3JlYy1udW1iZXI+PGZvcmVpZ24ta2V5cz48a2V5IGFwcD0iRU4iIGRiLWlkPSJzZjAyOXM5
eDdkOTlkcWU1MGVlcHJwdHV6NWU1dDBldGQwZDUiIHRpbWVzdGFtcD0iMTcxNTI2MzIxNSIgZ3Vp
ZD0iYmIwMTRlZTEtYjdjMy00YzVhLWExYjMtMjEyOWY3YWIwNTExIj4xNTc8L2tleT48L2ZvcmVp
Z24ta2V5cz48cmVmLXR5cGUgbmFtZT0iSm91cm5hbCBBcnRpY2xlIj4xNzwvcmVmLXR5cGU+PGNv
bnRyaWJ1dG9ycz48YXV0aG9ycz48YXV0aG9yPldlaSwgWGlhbzwvYXV0aG9yPjxhdXRob3I+RHVw
b250LCBFcmljPC9hdXRob3I+PGF1dGhvcj5HaWxiZXJ0LCBFcmljPC9hdXRob3I+PGF1dGhvcj5N
dXNzb24tR2Vub24sIEx1YzwvYXV0aG9yPjxhdXRob3I+Q2FyaXNzaW1vLCBCZXJ0cmFuZDwvYXV0
aG9yPjwvYXV0aG9ycz48L2NvbnRyaWJ1dG9ycz48dGl0bGVzPjx0aXRsZT5FeHBlcmltZW50YWwg
YW5kIE51bWVyaWNhbCBTdHVkeSBvZiBXaW5kIGFuZCBUdXJidWxlbmNlIGluIGEgTmVhci1GaWVs
ZCBEaXNwZXJzaW9uIENhbXBhaWduIGF0IGFuIEluaG9tb2dlbmVvdXMgU2l0ZTwvdGl0bGU+PHNl
Y29uZGFyeS10aXRsZT5Cb3VuZGFyeS1MYXllciBNZXRlb3JvbG9neTwvc2Vjb25kYXJ5LXRpdGxl
PjwvdGl0bGVzPjxwZXJpb2RpY2FsPjxmdWxsLXRpdGxlPkJvdW5kYXJ5LUxheWVyIE1ldGVvcm9s
b2d5PC9mdWxsLXRpdGxlPjwvcGVyaW9kaWNhbD48cGFnZXM+NDc1LTQ5OTwvcGFnZXM+PHZvbHVt
ZT4xNjA8L3ZvbHVtZT48bnVtYmVyPjM8L251bWJlcj48c2VjdGlvbj40NzU8L3NlY3Rpb24+PGRh
dGVzPjx5ZWFyPjIwMTY8L3llYXI+PC9kYXRlcz48aXNibj4wMDA2LTgzMTQmI3hEOzE1NzMtMTQ3
MjwvaXNibj48dXJscz48L3VybHM+PGVsZWN0cm9uaWMtcmVzb3VyY2UtbnVtPjEwLjEwMDcvczEw
NTQ2LTAxNi0wMTQ4LTc8L2VsZWN0cm9uaWMtcmVzb3VyY2UtbnVtPjwvcmVjb3JkPjwvQ2l0ZT48
Q2l0ZT48QXV0aG9yPkJvbmlmYWNpbzwvQXV0aG9yPjxZZWFyPjIwMTU8L1llYXI+PFJlY051bT4x
NTY8L1JlY051bT48cmVjb3JkPjxyZWMtbnVtYmVyPjE1NjwvcmVjLW51bWJlcj48Zm9yZWlnbi1r
ZXlzPjxrZXkgYXBwPSJFTiIgZGItaWQ9InNmMDI5czl4N2Q5OWRxZTUwZWVwcnB0dXo1ZTV0MGV0
ZDBkNSIgdGltZXN0YW1wPSIxNzE1MjYzMjExIiBndWlkPSI1YzgzOTY4Yy05Nzk5LTQzYWYtYjA2
NC03OTQ3OGM1M2E3OTYiPjE1Njwva2V5PjwvZm9yZWlnbi1rZXlzPjxyZWYtdHlwZSBuYW1lPSJK
b3VybmFsIEFydGljbGUiPjE3PC9yZWYtdHlwZT48Y29udHJpYnV0b3JzPjxhdXRob3JzPjxhdXRo
b3I+Qm9uaWZhY2lvLCBIZW5yeSBGLjwvYXV0aG9yPjxhdXRob3I+TWFnaGlyYW5nLCBSb25hbGRv
IEcuPC9hdXRob3I+PGF1dGhvcj5HbGFzZ293LCBMYXJyeSBBLjwvYXV0aG9yPjwvYXV0aG9ycz48
L2NvbnRyaWJ1dG9ycz48dGl0bGVzPjx0aXRsZT5OdW1lcmljYWwgU2ltdWxhdGlvbiBvZiBUcmFu
c3BvcnQgb2YgUGFydGljbGVzIEVtaXR0ZWQgRnJvbSBHcm91bmQtTGV2ZWwgQXJlYSBTb3VyY2Ug
VXNpbmcgQWVybW9kIGFuZCBDRkQ8L3RpdGxlPjxzZWNvbmRhcnktdGl0bGU+RW5naW5lZXJpbmcg
QXBwbGljYXRpb25zIG9mIENvbXB1dGF0aW9uYWwgRmx1aWQgTWVjaGFuaWNzPC9zZWNvbmRhcnkt
dGl0bGU+PC90aXRsZXM+PHBlcmlvZGljYWw+PGZ1bGwtdGl0bGU+RW5naW5lZXJpbmcgQXBwbGlj
YXRpb25zIG9mIENvbXB1dGF0aW9uYWwgRmx1aWQgTWVjaGFuaWNzPC9mdWxsLXRpdGxlPjwvcGVy
aW9kaWNhbD48cGFnZXM+NDg4LTUwMjwvcGFnZXM+PHZvbHVtZT44PC92b2x1bWU+PG51bWJlcj40
PC9udW1iZXI+PHNlY3Rpb24+NDg4PC9zZWN0aW9uPjxkYXRlcz48eWVhcj4yMDE1PC95ZWFyPjwv
ZGF0ZXM+PGlzYm4+MTk5NC0yMDYwJiN4RDsxOTk3LTAwM1g8L2lzYm4+PHVybHM+PC91cmxzPjxl
bGVjdHJvbmljLXJlc291cmNlLW51bT4xMC4xMDgwLzE5OTQyMDYwLjIwMTQuMTEwODMzMDI8L2Vs
ZWN0cm9uaWMtcmVzb3VyY2UtbnVtPjwvcmVjb3JkPjwvQ2l0ZT48Q2l0ZT48QXV0aG9yPlllbzwv
QXV0aG9yPjxZZWFyPjIwMjA8L1llYXI+PFJlY051bT4xNTU8L1JlY051bT48cmVjb3JkPjxyZWMt
bnVtYmVyPjE1NTwvcmVjLW51bWJlcj48Zm9yZWlnbi1rZXlzPjxrZXkgYXBwPSJFTiIgZGItaWQ9
InNmMDI5czl4N2Q5OWRxZTUwZWVwcnB0dXo1ZTV0MGV0ZDBkNSIgdGltZXN0YW1wPSIxNzE1MjYz
MjA4IiBndWlkPSIzMzM0NzgyMS0zNzk3LTQ1YjgtYTE3Ni01OGY4MzJkMDIyNTgiPjE1NTwva2V5
PjwvZm9yZWlnbi1rZXlzPjxyZWYtdHlwZSBuYW1lPSJKb3VybmFsIEFydGljbGUiPjE3PC9yZWYt
dHlwZT48Y29udHJpYnV0b3JzPjxhdXRob3JzPjxhdXRob3I+WWVvLCBVay1IeWVvbjwvYXV0aG9y
PjxhdXRob3I+RGVjYW5vLVZhbGVudGluLCBDcmlzdGluYTwvYXV0aG9yPjxhdXRob3I+SGEsIFRh
ZWh3YW48L2F1dGhvcj48YXV0aG9yPkxlZSwgSW4tQm9rPC9hdXRob3I+PGF1dGhvcj5LaW0sIFJh
Y2stV29vPC9hdXRob3I+PGF1dGhvcj5MZWUsIFNhbmctWWVvbjwvYXV0aG9yPjxhdXRob3I+S2lt
LCBKdW4tR3l1PC9hdXRob3I+PC9hdXRob3JzPjwvY29udHJpYnV0b3JzPjx0aXRsZXM+PHRpdGxl
PkltcGFjdCBBbmFseXNpcyBvZiBFbnZpcm9ubWVudGFsIENvbmRpdGlvbnMgb24gT2RvdXIgRGlz
cGVyc2lvbiBFbWl0dGVkIGZyb20gUGlnIEhvdXNlIHdpdGggQ29tcGxleCBUZXJyYWluIFVzaW5n
IENGRDwvdGl0bGU+PHNlY29uZGFyeS10aXRsZT5BZ3Jvbm9teTwvc2Vjb25kYXJ5LXRpdGxlPjwv
dGl0bGVzPjxwZXJpb2RpY2FsPjxmdWxsLXRpdGxlPkFncm9ub215PC9mdWxsLXRpdGxlPjwvcGVy
aW9kaWNhbD48dm9sdW1lPjEwPC92b2x1bWU+PG51bWJlcj4xMTwvbnVtYmVyPjxzZWN0aW9uPjE4
Mjg8L3NlY3Rpb24+PGRhdGVzPjx5ZWFyPjIwMjA8L3llYXI+PC9kYXRlcz48aXNibj4yMDczLTQz
OTU8L2lzYm4+PHVybHM+PC91cmxzPjxlbGVjdHJvbmljLXJlc291cmNlLW51bT4xMC4zMzkwL2Fn
cm9ub215MTAxMTE4Mjg8L2VsZWN0cm9uaWMtcmVzb3VyY2UtbnVtPjwvcmVjb3JkPjwvQ2l0ZT48
L0VuZE5vdGU+
</w:fldData>
        </w:fldChar>
      </w:r>
      <w:r w:rsidR="00B864D9">
        <w:instrText xml:space="preserve"> ADDIN EN.CITE.DATA </w:instrText>
      </w:r>
      <w:r w:rsidR="00B864D9">
        <w:fldChar w:fldCharType="end"/>
      </w:r>
      <w:r w:rsidR="00A47215">
        <w:fldChar w:fldCharType="separate"/>
      </w:r>
      <w:r w:rsidR="00B864D9">
        <w:rPr>
          <w:noProof/>
        </w:rPr>
        <w:t>[9-12]</w:t>
      </w:r>
      <w:r w:rsidR="00A47215">
        <w:fldChar w:fldCharType="end"/>
      </w:r>
      <w:r w:rsidR="00322AFB">
        <w:t xml:space="preserve">, </w:t>
      </w:r>
      <w:r w:rsidR="00E044B3">
        <w:t xml:space="preserve">there are only </w:t>
      </w:r>
      <w:r w:rsidR="00C66A2C">
        <w:t>limited</w:t>
      </w:r>
      <w:r w:rsidR="00E044B3">
        <w:t xml:space="preserve"> examples of its application in </w:t>
      </w:r>
      <w:r w:rsidR="00496BA0">
        <w:t>dispersion studie</w:t>
      </w:r>
      <w:r w:rsidR="005D42FE">
        <w:t>s</w:t>
      </w:r>
      <w:r w:rsidR="00262AD3">
        <w:t xml:space="preserve"> in the context of nuclear accidents</w:t>
      </w:r>
      <w:r w:rsidR="005D42FE">
        <w:t xml:space="preserve">. Wu et al. </w:t>
      </w:r>
      <w:r w:rsidR="005D42FE">
        <w:fldChar w:fldCharType="begin"/>
      </w:r>
      <w:r w:rsidR="007E7A8D">
        <w:instrText xml:space="preserve"> ADDIN EN.CITE &lt;EndNote&gt;&lt;Cite&gt;&lt;Author&gt;Nan Wu&lt;/Author&gt;&lt;Year&gt;2018&lt;/Year&gt;&lt;RecNum&gt;149&lt;/RecNum&gt;&lt;DisplayText&gt;[3]&lt;/DisplayText&gt;&lt;record&gt;&lt;rec-number&gt;149&lt;/rec-number&gt;&lt;foreign-keys&gt;&lt;key app="EN" db-id="sf029s9x7d99dqe50eeprptuz5e5t0etd0d5" timestamp="1714163295" guid="34341724-e910-4f54-9d25-fdf17c154be0"&gt;149&lt;/key&gt;&lt;/foreign-keys&gt;&lt;ref-type name="Conference Proceedings"&gt;10&lt;/ref-type&gt;&lt;contributors&gt;&lt;authors&gt;&lt;author&gt;Nan Wu,&lt;/author&gt;&lt;author&gt;Na Xue, &lt;/author&gt;&lt;author&gt;Xinjian Liu&lt;/author&gt;&lt;/authors&gt;&lt;/contributors&gt;&lt;titles&gt;&lt;title&gt;Research on the influence of complex errain on atmospheric dispersion after accident&lt;/title&gt;&lt;secondary-title&gt;Proceedings of the 2018 26th International Conference on Nuclear Engineering ICONE26&lt;/secondary-title&gt;&lt;/titles&gt;&lt;dates&gt;&lt;year&gt;2018&lt;/year&gt;&lt;/dates&gt;&lt;pub-location&gt;London&lt;/pub-location&gt;&lt;urls&gt;&lt;/urls&gt;&lt;/record&gt;&lt;/Cite&gt;&lt;/EndNote&gt;</w:instrText>
      </w:r>
      <w:r w:rsidR="005D42FE">
        <w:fldChar w:fldCharType="separate"/>
      </w:r>
      <w:r w:rsidR="005D42FE">
        <w:rPr>
          <w:noProof/>
        </w:rPr>
        <w:t>[3]</w:t>
      </w:r>
      <w:r w:rsidR="005D42FE">
        <w:fldChar w:fldCharType="end"/>
      </w:r>
      <w:r w:rsidR="005D42FE">
        <w:t xml:space="preserve"> </w:t>
      </w:r>
      <w:r w:rsidR="00C84827">
        <w:t>used CFD to assess the influence of mou</w:t>
      </w:r>
      <w:r w:rsidR="007E34A5">
        <w:t xml:space="preserve">ntainous terrain </w:t>
      </w:r>
      <w:r w:rsidR="00D05D60">
        <w:t xml:space="preserve">on radionuclide dispersion </w:t>
      </w:r>
      <w:r w:rsidR="007E34A5">
        <w:t xml:space="preserve">around a nuclear power plant </w:t>
      </w:r>
      <w:r w:rsidR="00B42F41">
        <w:t xml:space="preserve">in China </w:t>
      </w:r>
      <w:r w:rsidR="007E34A5">
        <w:t xml:space="preserve">and </w:t>
      </w:r>
      <w:r w:rsidR="00667B12">
        <w:t xml:space="preserve">made recommendations </w:t>
      </w:r>
      <w:r w:rsidR="009D7443">
        <w:t>to</w:t>
      </w:r>
      <w:r w:rsidR="00667B12">
        <w:t xml:space="preserve"> determin</w:t>
      </w:r>
      <w:r w:rsidR="009D7443">
        <w:t>e</w:t>
      </w:r>
      <w:r w:rsidR="00667B12">
        <w:t xml:space="preserve"> the </w:t>
      </w:r>
      <w:r w:rsidR="00B42F41">
        <w:t>emergency evacuation route</w:t>
      </w:r>
      <w:r w:rsidR="001330B6">
        <w:t xml:space="preserve"> in the event of an accident</w:t>
      </w:r>
      <w:r w:rsidR="00B42F41" w:rsidRPr="00987D4E">
        <w:t xml:space="preserve">. </w:t>
      </w:r>
      <w:r w:rsidR="003809B3" w:rsidRPr="00987D4E">
        <w:t xml:space="preserve">Tang et al. </w:t>
      </w:r>
      <w:r w:rsidR="003809B3" w:rsidRPr="00987D4E">
        <w:fldChar w:fldCharType="begin"/>
      </w:r>
      <w:r w:rsidR="00B864D9">
        <w:instrText xml:space="preserve"> ADDIN EN.CITE &lt;EndNote&gt;&lt;Cite&gt;&lt;Author&gt;Tang&lt;/Author&gt;&lt;Year&gt;2024&lt;/Year&gt;&lt;RecNum&gt;160&lt;/RecNum&gt;&lt;DisplayText&gt;[13]&lt;/DisplayText&gt;&lt;record&gt;&lt;rec-number&gt;160&lt;/rec-number&gt;&lt;foreign-keys&gt;&lt;key app="EN" db-id="sf029s9x7d99dqe50eeprptuz5e5t0etd0d5" timestamp="1715298086" guid="86292fcf-3af1-47cd-869e-c19860c3c618"&gt;160&lt;/key&gt;&lt;/foreign-keys&gt;&lt;ref-type name="Journal Article"&gt;17&lt;/ref-type&gt;&lt;contributors&gt;&lt;authors&gt;&lt;author&gt;Tang, Bowen&lt;/author&gt;&lt;author&gt;Wang, Hao&lt;/author&gt;&lt;author&gt;Xu, Jianjun&lt;/author&gt;&lt;author&gt;Lin, Jiazhen&lt;/author&gt;&lt;author&gt;Hu, Jinxing&lt;/author&gt;&lt;author&gt;Chen, Rongliang&lt;/author&gt;&lt;/authors&gt;&lt;/contributors&gt;&lt;titles&gt;&lt;title&gt;High-Resolution Simulation of the Near-Field Pollutant Dispersion in a Nuclear Power Plant Community with High-Performance Computing&lt;/title&gt;&lt;secondary-title&gt;Journal of Nonlinear Mathematical Physics&lt;/secondary-title&gt;&lt;/titles&gt;&lt;periodical&gt;&lt;full-title&gt;Journal of Nonlinear Mathematical Physics&lt;/full-title&gt;&lt;/periodical&gt;&lt;volume&gt;31&lt;/volume&gt;&lt;number&gt;1&lt;/number&gt;&lt;dates&gt;&lt;year&gt;2024&lt;/year&gt;&lt;/dates&gt;&lt;isbn&gt;1776-0852&lt;/isbn&gt;&lt;urls&gt;&lt;/urls&gt;&lt;electronic-resource-num&gt;10.1007/s44198-024-00171-7&lt;/electronic-resource-num&gt;&lt;/record&gt;&lt;/Cite&gt;&lt;/EndNote&gt;</w:instrText>
      </w:r>
      <w:r w:rsidR="003809B3" w:rsidRPr="00987D4E">
        <w:fldChar w:fldCharType="separate"/>
      </w:r>
      <w:r w:rsidR="00B864D9">
        <w:rPr>
          <w:noProof/>
        </w:rPr>
        <w:t>[13]</w:t>
      </w:r>
      <w:r w:rsidR="003809B3" w:rsidRPr="00987D4E">
        <w:fldChar w:fldCharType="end"/>
      </w:r>
      <w:r w:rsidR="003809B3" w:rsidRPr="00987D4E">
        <w:t xml:space="preserve"> </w:t>
      </w:r>
      <w:r w:rsidR="00987D4E">
        <w:t>pr</w:t>
      </w:r>
      <w:r w:rsidR="00D91F35">
        <w:t xml:space="preserve">esented high-resolution CFD simulations of </w:t>
      </w:r>
      <w:r w:rsidR="006A07B1">
        <w:t xml:space="preserve">pollutant </w:t>
      </w:r>
      <w:r w:rsidR="005F2D6A">
        <w:t xml:space="preserve">dispersion </w:t>
      </w:r>
      <w:r w:rsidR="00233DCB">
        <w:t>around a nuclear power plant</w:t>
      </w:r>
      <w:r w:rsidR="00F27F3D">
        <w:t>; their comprehensive model spanned 64 km</w:t>
      </w:r>
      <w:r w:rsidR="00F27F3D" w:rsidRPr="00F27F3D">
        <w:rPr>
          <w:vertAlign w:val="superscript"/>
        </w:rPr>
        <w:t>2</w:t>
      </w:r>
      <w:r w:rsidR="00F27F3D">
        <w:t xml:space="preserve"> and included several topological features s</w:t>
      </w:r>
      <w:r w:rsidR="00891AA0">
        <w:t>u</w:t>
      </w:r>
      <w:r w:rsidR="00F27F3D">
        <w:t>ch as hills</w:t>
      </w:r>
      <w:r w:rsidR="00891AA0">
        <w:t>, valleys and buildings.</w:t>
      </w:r>
      <w:r w:rsidR="00A578BC">
        <w:t xml:space="preserve"> However, both the aforementioned studies focused on macroscale dispersion patterns and did not focus on the </w:t>
      </w:r>
      <w:proofErr w:type="gramStart"/>
      <w:r w:rsidR="006056C9">
        <w:t>near-field</w:t>
      </w:r>
      <w:proofErr w:type="gramEnd"/>
      <w:r w:rsidR="00A578BC">
        <w:t xml:space="preserve">. </w:t>
      </w:r>
    </w:p>
    <w:p w14:paraId="021789DF" w14:textId="7E280938" w:rsidR="00754590" w:rsidRDefault="006B19BC" w:rsidP="00DA7192">
      <w:pPr>
        <w:pStyle w:val="BodyText"/>
      </w:pPr>
      <w:r>
        <w:t>In this</w:t>
      </w:r>
      <w:r w:rsidR="004F21EB">
        <w:t xml:space="preserve"> study</w:t>
      </w:r>
      <w:r>
        <w:t xml:space="preserve">, </w:t>
      </w:r>
      <w:r w:rsidR="004F21EB">
        <w:t xml:space="preserve">dispersion of radionuclides </w:t>
      </w:r>
      <w:r w:rsidR="00BB741F">
        <w:t>on</w:t>
      </w:r>
      <w:r w:rsidR="00425BFE">
        <w:t xml:space="preserve"> a complex terrain, especially in</w:t>
      </w:r>
      <w:r w:rsidR="004F21EB">
        <w:t xml:space="preserve"> the </w:t>
      </w:r>
      <w:proofErr w:type="gramStart"/>
      <w:r w:rsidR="006056C9">
        <w:t>near-field</w:t>
      </w:r>
      <w:proofErr w:type="gramEnd"/>
      <w:r w:rsidR="00425BFE">
        <w:t>,</w:t>
      </w:r>
      <w:r w:rsidR="004F21EB">
        <w:t xml:space="preserve"> is analysed using RASCAL</w:t>
      </w:r>
      <w:r>
        <w:t xml:space="preserve"> </w:t>
      </w:r>
      <w:r w:rsidR="004F21EB">
        <w:t>and a comprehensive CFD model</w:t>
      </w:r>
      <w:r w:rsidR="0043059F">
        <w:t>.</w:t>
      </w:r>
      <w:r w:rsidR="00FF2B99">
        <w:t xml:space="preserve"> </w:t>
      </w:r>
      <w:r w:rsidR="00725694">
        <w:t>T</w:t>
      </w:r>
      <w:r w:rsidR="00725694" w:rsidRPr="00725694">
        <w:t>he atmospheric dispersion factor</w:t>
      </w:r>
      <w:r w:rsidR="00725694">
        <w:t>,</w:t>
      </w:r>
      <w:r w:rsidR="00725694" w:rsidRPr="00725694">
        <w:t xml:space="preserve"> </w:t>
      </w:r>
      <m:oMath>
        <m:f>
          <m:fPr>
            <m:type m:val="lin"/>
            <m:ctrlPr>
              <w:rPr>
                <w:rFonts w:ascii="Cambria Math" w:hAnsi="Cambria Math"/>
                <w:i/>
              </w:rPr>
            </m:ctrlPr>
          </m:fPr>
          <m:num>
            <m:r>
              <w:rPr>
                <w:rFonts w:ascii="Cambria Math" w:hAnsi="Cambria Math"/>
              </w:rPr>
              <m:t>χ</m:t>
            </m:r>
          </m:num>
          <m:den>
            <m:r>
              <w:rPr>
                <w:rFonts w:ascii="Cambria Math" w:hAnsi="Cambria Math"/>
              </w:rPr>
              <m:t>Q</m:t>
            </m:r>
          </m:den>
        </m:f>
      </m:oMath>
      <w:r w:rsidR="00725694">
        <w:t xml:space="preserve"> (s/m</w:t>
      </w:r>
      <w:r w:rsidR="00725694" w:rsidRPr="00D74127">
        <w:rPr>
          <w:vertAlign w:val="superscript"/>
        </w:rPr>
        <w:t>3</w:t>
      </w:r>
      <w:r w:rsidR="00725694">
        <w:t>)</w:t>
      </w:r>
      <w:r w:rsidR="00725694" w:rsidRPr="00725694">
        <w:t xml:space="preserve">, a parameter often presented in literature to characterize dispersion </w:t>
      </w:r>
      <w:r w:rsidR="00725694">
        <w:fldChar w:fldCharType="begin"/>
      </w:r>
      <w:r w:rsidR="0053356F">
        <w:instrText xml:space="preserve"> ADDIN EN.CITE &lt;EndNote&gt;&lt;Cite&gt;&lt;Author&gt;Daniel J. Clayton&lt;/Author&gt;&lt;Year&gt;2020&lt;/Year&gt;&lt;RecNum&gt;158&lt;/RecNum&gt;&lt;DisplayText&gt;[8]&lt;/DisplayText&gt;&lt;record&gt;&lt;rec-number&gt;158&lt;/rec-number&gt;&lt;foreign-keys&gt;&lt;key app="EN" db-id="sf029s9x7d99dqe50eeprptuz5e5t0etd0d5" timestamp="1715279858" guid="e6d7ee57-ebe9-4e7e-ac71-1269f76694c2"&gt;158&lt;/key&gt;&lt;/foreign-keys&gt;&lt;ref-type name="Report"&gt;27&lt;/ref-type&gt;&lt;contributors&gt;&lt;authors&gt;&lt;author&gt;Daniel J. Clayton, &lt;/author&gt;&lt;author&gt;Nathan E. Bixler&lt;/author&gt;&lt;/authors&gt;&lt;/contributors&gt;&lt;titles&gt;&lt;title&gt;Assessment of the MACCS Code Applicability for Nearfield Consequence Analysis&lt;/title&gt;&lt;/titles&gt;&lt;dates&gt;&lt;year&gt;2020&lt;/year&gt;&lt;/dates&gt;&lt;publisher&gt;Sandia National Laboratories&lt;/publisher&gt;&lt;isbn&gt;SAND2020-2609&lt;/isbn&gt;&lt;urls&gt;&lt;/urls&gt;&lt;/record&gt;&lt;/Cite&gt;&lt;/EndNote&gt;</w:instrText>
      </w:r>
      <w:r w:rsidR="00725694">
        <w:fldChar w:fldCharType="separate"/>
      </w:r>
      <w:r w:rsidR="0053356F">
        <w:rPr>
          <w:noProof/>
        </w:rPr>
        <w:t>[8]</w:t>
      </w:r>
      <w:r w:rsidR="00725694">
        <w:fldChar w:fldCharType="end"/>
      </w:r>
      <w:r w:rsidR="00725694" w:rsidRPr="00725694">
        <w:t xml:space="preserve">, is used in this study to compare the two modelling approaches. In this parameter, the concentration of a </w:t>
      </w:r>
      <w:r w:rsidR="006A07B1">
        <w:t>pollutant</w:t>
      </w:r>
      <w:r w:rsidR="00725694" w:rsidRPr="00725694">
        <w:t xml:space="preserve">, </w:t>
      </w:r>
      <m:oMath>
        <m:r>
          <w:rPr>
            <w:rFonts w:ascii="Cambria Math" w:hAnsi="Cambria Math"/>
          </w:rPr>
          <m:t xml:space="preserve">χ </m:t>
        </m:r>
      </m:oMath>
      <w:r w:rsidR="00B34E32">
        <w:t>(kg/m</w:t>
      </w:r>
      <w:r w:rsidR="00B34E32" w:rsidRPr="00056730">
        <w:rPr>
          <w:vertAlign w:val="superscript"/>
        </w:rPr>
        <w:t>3</w:t>
      </w:r>
      <w:r w:rsidR="00B34E32">
        <w:t xml:space="preserve"> or </w:t>
      </w:r>
      <w:proofErr w:type="spellStart"/>
      <w:r w:rsidR="00B34E32">
        <w:t>Bq</w:t>
      </w:r>
      <w:proofErr w:type="spellEnd"/>
      <w:r w:rsidR="00B34E32">
        <w:t>/m</w:t>
      </w:r>
      <w:r w:rsidR="00B34E32" w:rsidRPr="00056730">
        <w:rPr>
          <w:vertAlign w:val="superscript"/>
        </w:rPr>
        <w:t>3</w:t>
      </w:r>
      <w:r w:rsidR="00B34E32">
        <w:t>)</w:t>
      </w:r>
      <w:r w:rsidR="00725694" w:rsidRPr="00725694">
        <w:t xml:space="preserve">, at a downwind location is normalized by the release rate, </w:t>
      </w:r>
      <m:oMath>
        <m:r>
          <w:rPr>
            <w:rFonts w:ascii="Cambria Math" w:hAnsi="Cambria Math"/>
          </w:rPr>
          <m:t>Q</m:t>
        </m:r>
      </m:oMath>
      <w:r w:rsidR="00B34E32">
        <w:t xml:space="preserve"> (kg/s or Bq/s)</w:t>
      </w:r>
      <w:r w:rsidR="00725694" w:rsidRPr="00725694">
        <w:t xml:space="preserve">, </w:t>
      </w:r>
      <w:r w:rsidR="00FF2B99">
        <w:t xml:space="preserve">to make </w:t>
      </w:r>
      <w:r w:rsidR="000D5CA5">
        <w:t>concentration</w:t>
      </w:r>
      <w:r w:rsidR="00E16644">
        <w:t xml:space="preserve"> independent</w:t>
      </w:r>
      <w:r w:rsidR="00FF2B99">
        <w:t xml:space="preserve"> of</w:t>
      </w:r>
      <w:r w:rsidR="00725694" w:rsidRPr="00725694">
        <w:t xml:space="preserve"> the source release</w:t>
      </w:r>
      <w:r w:rsidR="000D5CA5">
        <w:t xml:space="preserve"> rate</w:t>
      </w:r>
      <w:r w:rsidR="00B34E32">
        <w:t xml:space="preserve">. </w:t>
      </w:r>
    </w:p>
    <w:p w14:paraId="4CAB9536" w14:textId="61FB55CD" w:rsidR="003725A1" w:rsidRDefault="008253CA" w:rsidP="00DA7192">
      <w:pPr>
        <w:pStyle w:val="BodyText"/>
      </w:pPr>
      <w:r>
        <w:t>The site details and the</w:t>
      </w:r>
      <w:r w:rsidR="00B13EC2">
        <w:t xml:space="preserve"> </w:t>
      </w:r>
      <w:r w:rsidR="00BB741F">
        <w:t>recorded</w:t>
      </w:r>
      <w:r>
        <w:t xml:space="preserve"> meteorological </w:t>
      </w:r>
      <w:r w:rsidR="002054F8">
        <w:t>data on the site are presented</w:t>
      </w:r>
      <w:r w:rsidR="00B627A6">
        <w:t xml:space="preserve"> first</w:t>
      </w:r>
      <w:r w:rsidR="002054F8">
        <w:t>, followed by descriptions of the RASCAL and CFD models.</w:t>
      </w:r>
      <w:r w:rsidR="007E4CC4">
        <w:t xml:space="preserve"> The results from the two modelling approaches and its implications for dose measurements are then discussed</w:t>
      </w:r>
      <w:r w:rsidR="00C850EB">
        <w:t xml:space="preserve">. </w:t>
      </w:r>
    </w:p>
    <w:p w14:paraId="7B41D112" w14:textId="2B59D6C1" w:rsidR="003725A1" w:rsidRDefault="003725A1" w:rsidP="003725A1">
      <w:pPr>
        <w:pStyle w:val="Heading2"/>
        <w:numPr>
          <w:ilvl w:val="1"/>
          <w:numId w:val="10"/>
        </w:numPr>
      </w:pPr>
      <w:r>
        <w:t>sITE and meteorological data</w:t>
      </w:r>
    </w:p>
    <w:p w14:paraId="0D7E62AA" w14:textId="14BD9663" w:rsidR="00BC3C24" w:rsidRDefault="00AD6D51" w:rsidP="003725A1">
      <w:pPr>
        <w:pStyle w:val="BodyText"/>
      </w:pPr>
      <w:r>
        <w:t xml:space="preserve">The site </w:t>
      </w:r>
      <w:r w:rsidR="00786448">
        <w:t>selected for this study</w:t>
      </w:r>
      <w:r w:rsidR="00203D46">
        <w:t xml:space="preserve"> is the Chalk River site of Canadian Nuclear Laboratories </w:t>
      </w:r>
      <w:r w:rsidR="005D1BBD">
        <w:t xml:space="preserve">(Fig. 1). </w:t>
      </w:r>
      <w:r w:rsidR="00617B78">
        <w:t>The</w:t>
      </w:r>
      <w:r w:rsidR="005F1F60">
        <w:t xml:space="preserve"> complex terrain </w:t>
      </w:r>
      <w:r w:rsidR="00617B78">
        <w:t>of the site</w:t>
      </w:r>
      <w:r w:rsidR="006347C1">
        <w:t xml:space="preserve"> and </w:t>
      </w:r>
      <w:r w:rsidR="004534B1">
        <w:t xml:space="preserve">its </w:t>
      </w:r>
      <w:r w:rsidR="006347C1">
        <w:t>surroundings</w:t>
      </w:r>
      <w:r w:rsidR="00227825">
        <w:t>,</w:t>
      </w:r>
      <w:r w:rsidR="00617B78">
        <w:t xml:space="preserve"> </w:t>
      </w:r>
      <w:r w:rsidR="004534B1">
        <w:t>including</w:t>
      </w:r>
      <w:r w:rsidR="00AC052F">
        <w:t xml:space="preserve"> dense</w:t>
      </w:r>
      <w:r w:rsidR="005F1F60">
        <w:t xml:space="preserve"> vegetation, hills, </w:t>
      </w:r>
      <w:r w:rsidR="006347C1">
        <w:t>the Ottawa</w:t>
      </w:r>
      <w:r w:rsidR="00BA4711">
        <w:t xml:space="preserve"> river,</w:t>
      </w:r>
      <w:r w:rsidR="005F1F60">
        <w:t xml:space="preserve"> and multiple </w:t>
      </w:r>
      <w:r w:rsidR="003746A4">
        <w:t xml:space="preserve">low-rise </w:t>
      </w:r>
      <w:r w:rsidR="005F1F60">
        <w:t>buildings</w:t>
      </w:r>
      <w:r w:rsidR="003746A4">
        <w:t xml:space="preserve">, </w:t>
      </w:r>
      <w:r w:rsidR="00C0228E">
        <w:t>makes it a good candidate for this</w:t>
      </w:r>
      <w:r w:rsidR="000742A9">
        <w:t xml:space="preserve"> benchmarking</w:t>
      </w:r>
      <w:r w:rsidR="00C0228E">
        <w:t xml:space="preserve"> study</w:t>
      </w:r>
      <w:r w:rsidR="000742A9">
        <w:t>.</w:t>
      </w:r>
      <w:r w:rsidR="00F07C1C">
        <w:t xml:space="preserve"> </w:t>
      </w:r>
      <w:r w:rsidR="00161C48">
        <w:t>The</w:t>
      </w:r>
      <w:r w:rsidR="002779CC">
        <w:t xml:space="preserve"> </w:t>
      </w:r>
      <w:r w:rsidR="00256280">
        <w:t xml:space="preserve">availability of </w:t>
      </w:r>
      <w:r w:rsidR="00BD7EE8">
        <w:t>high-quality</w:t>
      </w:r>
      <w:r w:rsidR="00256280">
        <w:t xml:space="preserve"> </w:t>
      </w:r>
      <w:r w:rsidR="002779CC">
        <w:t>meteorological da</w:t>
      </w:r>
      <w:r w:rsidR="00256280">
        <w:t>t</w:t>
      </w:r>
      <w:r w:rsidR="002779CC">
        <w:t>a</w:t>
      </w:r>
      <w:r w:rsidR="000742A9">
        <w:t xml:space="preserve"> </w:t>
      </w:r>
      <w:r w:rsidR="004E63B5">
        <w:t xml:space="preserve">recorded directly at the site was also a key factor </w:t>
      </w:r>
      <w:r w:rsidR="009A681D">
        <w:t>that influenced</w:t>
      </w:r>
      <w:r w:rsidR="0021232A">
        <w:t xml:space="preserve"> this</w:t>
      </w:r>
      <w:r w:rsidR="009A681D">
        <w:t xml:space="preserve"> site selection. </w:t>
      </w:r>
      <w:r w:rsidR="00BD7EE8">
        <w:t>As discussed in detail in the next sections, a fictitious point source of</w:t>
      </w:r>
      <w:r w:rsidR="00CC68E0">
        <w:t xml:space="preserve"> radionuclide</w:t>
      </w:r>
      <w:r w:rsidR="00326E5B">
        <w:t>s</w:t>
      </w:r>
      <w:r w:rsidR="00464970">
        <w:t xml:space="preserve"> from one of the buildings on the site</w:t>
      </w:r>
      <w:r w:rsidR="00326E5B">
        <w:t xml:space="preserve"> is considered as the source term for the dispersion calculations in this study. </w:t>
      </w:r>
    </w:p>
    <w:p w14:paraId="318756C2" w14:textId="2481B178" w:rsidR="00786448" w:rsidRDefault="00786448" w:rsidP="00BC3C24">
      <w:pPr>
        <w:pStyle w:val="BodyText"/>
      </w:pPr>
    </w:p>
    <w:p w14:paraId="20429AA8" w14:textId="77777777" w:rsidR="007A1DC5" w:rsidRDefault="001D660B" w:rsidP="007A1DC5">
      <w:pPr>
        <w:pStyle w:val="BodyText"/>
        <w:keepNext/>
        <w:jc w:val="center"/>
      </w:pPr>
      <w:r>
        <w:rPr>
          <w:noProof/>
        </w:rPr>
        <w:drawing>
          <wp:inline distT="0" distB="0" distL="0" distR="0" wp14:anchorId="2F9FC3A3" wp14:editId="3A9E7943">
            <wp:extent cx="2772000" cy="2152640"/>
            <wp:effectExtent l="0" t="0" r="0" b="635"/>
            <wp:docPr id="1322926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26557"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2000" cy="2152640"/>
                    </a:xfrm>
                    <a:prstGeom prst="rect">
                      <a:avLst/>
                    </a:prstGeom>
                  </pic:spPr>
                </pic:pic>
              </a:graphicData>
            </a:graphic>
          </wp:inline>
        </w:drawing>
      </w:r>
    </w:p>
    <w:p w14:paraId="292AC1F6" w14:textId="2961E503" w:rsidR="00786448" w:rsidRDefault="007A1DC5" w:rsidP="00DD6762">
      <w:pPr>
        <w:pStyle w:val="Caption"/>
        <w:jc w:val="center"/>
      </w:pPr>
      <w:bookmarkStart w:id="0" w:name="_Ref166598299"/>
      <w:r w:rsidRPr="005133C7">
        <w:rPr>
          <w:i/>
          <w:iCs/>
        </w:rPr>
        <w:t xml:space="preserve">FIG. </w:t>
      </w:r>
      <w:r w:rsidRPr="005133C7">
        <w:rPr>
          <w:i/>
          <w:iCs/>
        </w:rPr>
        <w:fldChar w:fldCharType="begin"/>
      </w:r>
      <w:r w:rsidRPr="005133C7">
        <w:rPr>
          <w:i/>
          <w:iCs/>
        </w:rPr>
        <w:instrText xml:space="preserve"> SEQ FIG. \* ARABIC </w:instrText>
      </w:r>
      <w:r w:rsidRPr="005133C7">
        <w:rPr>
          <w:i/>
          <w:iCs/>
        </w:rPr>
        <w:fldChar w:fldCharType="separate"/>
      </w:r>
      <w:r w:rsidR="00D94FD5">
        <w:rPr>
          <w:i/>
          <w:iCs/>
          <w:noProof/>
        </w:rPr>
        <w:t>1</w:t>
      </w:r>
      <w:r w:rsidRPr="005133C7">
        <w:rPr>
          <w:i/>
          <w:iCs/>
        </w:rPr>
        <w:fldChar w:fldCharType="end"/>
      </w:r>
      <w:bookmarkEnd w:id="0"/>
      <w:r w:rsidR="005133C7">
        <w:t xml:space="preserve">. </w:t>
      </w:r>
      <w:r w:rsidR="005133C7">
        <w:rPr>
          <w:i/>
        </w:rPr>
        <w:t>Aerial photograph of the Chalk River site of Canadian Nuclear Laboratories.</w:t>
      </w:r>
      <w:r w:rsidR="001D0417">
        <w:rPr>
          <w:i/>
        </w:rPr>
        <w:t xml:space="preserve">          </w:t>
      </w:r>
    </w:p>
    <w:p w14:paraId="08B16298" w14:textId="77777777" w:rsidR="00BC3C24" w:rsidRDefault="00BC3C24" w:rsidP="00610DD2">
      <w:pPr>
        <w:pStyle w:val="BodyText"/>
      </w:pPr>
    </w:p>
    <w:p w14:paraId="2C7FE03B" w14:textId="345DF39D" w:rsidR="00376A3A" w:rsidRDefault="00BA7A43" w:rsidP="00610DD2">
      <w:pPr>
        <w:pStyle w:val="BodyText"/>
      </w:pPr>
      <w:r>
        <w:t>Meteorological</w:t>
      </w:r>
      <w:r w:rsidR="002779CC">
        <w:t xml:space="preserve"> data</w:t>
      </w:r>
      <w:r>
        <w:t xml:space="preserve"> </w:t>
      </w:r>
      <w:r w:rsidR="006F36D8">
        <w:t>is</w:t>
      </w:r>
      <w:r w:rsidRPr="00BA7A43">
        <w:t xml:space="preserve"> obtained from a 10 m tall station</w:t>
      </w:r>
      <w:r w:rsidR="00AB08D0">
        <w:t xml:space="preserve"> </w:t>
      </w:r>
      <w:r w:rsidRPr="00BA7A43">
        <w:t>on the roof o</w:t>
      </w:r>
      <w:r w:rsidR="001A00FD">
        <w:t>f one of the buildings</w:t>
      </w:r>
      <w:r w:rsidR="00F775AE">
        <w:t xml:space="preserve"> (30 m from ground)</w:t>
      </w:r>
      <w:r w:rsidR="00F775AE" w:rsidRPr="00BA7A43">
        <w:t xml:space="preserve"> </w:t>
      </w:r>
      <w:r w:rsidR="001A00FD">
        <w:t>on</w:t>
      </w:r>
      <w:r w:rsidRPr="00BA7A43">
        <w:t xml:space="preserve"> the Chalk River site</w:t>
      </w:r>
      <w:r w:rsidR="001A00FD">
        <w:t xml:space="preserve">. </w:t>
      </w:r>
      <w:r w:rsidR="007D7C99" w:rsidRPr="007D7C99">
        <w:t>The system collect</w:t>
      </w:r>
      <w:r w:rsidR="006F36D8">
        <w:t>s</w:t>
      </w:r>
      <w:r w:rsidR="007D7C99" w:rsidRPr="007D7C99">
        <w:t xml:space="preserve"> data continuously </w:t>
      </w:r>
      <w:r w:rsidR="00193C52">
        <w:t>with a</w:t>
      </w:r>
      <w:r w:rsidR="007D7C99" w:rsidRPr="007D7C99">
        <w:t xml:space="preserve"> frequency</w:t>
      </w:r>
      <w:r w:rsidR="00193C52">
        <w:t xml:space="preserve"> of </w:t>
      </w:r>
      <w:r w:rsidR="00633908">
        <w:t xml:space="preserve">once </w:t>
      </w:r>
      <w:r w:rsidR="00193C52">
        <w:t xml:space="preserve">every </w:t>
      </w:r>
      <w:r w:rsidR="00C06716">
        <w:t>10 </w:t>
      </w:r>
      <w:r w:rsidR="00193C52">
        <w:t>s</w:t>
      </w:r>
      <w:r w:rsidR="007D7C99" w:rsidRPr="007D7C99">
        <w:t xml:space="preserve">. The hourly averaged data over the 2019 calendar year </w:t>
      </w:r>
      <w:r w:rsidR="007B058E">
        <w:t>i</w:t>
      </w:r>
      <w:r w:rsidR="007D7C99" w:rsidRPr="007D7C99">
        <w:t xml:space="preserve">s used to </w:t>
      </w:r>
      <w:r w:rsidR="007B058E">
        <w:t>determine</w:t>
      </w:r>
      <w:r w:rsidR="007D7C99" w:rsidRPr="007D7C99">
        <w:t xml:space="preserve"> the frequency of </w:t>
      </w:r>
      <w:r w:rsidR="00633908">
        <w:t>common</w:t>
      </w:r>
      <w:r w:rsidR="007D7C99" w:rsidRPr="007D7C99">
        <w:t xml:space="preserve"> weather conditions.</w:t>
      </w:r>
      <w:r w:rsidR="00275D30">
        <w:t xml:space="preserve"> </w:t>
      </w:r>
      <w:r w:rsidR="003E1B43">
        <w:t xml:space="preserve">Data is divided into </w:t>
      </w:r>
      <w:r w:rsidR="00592FB1">
        <w:t xml:space="preserve">unstable, neutral, or stable atmospheric </w:t>
      </w:r>
      <w:r w:rsidR="00C12592">
        <w:t xml:space="preserve">stability </w:t>
      </w:r>
      <w:r w:rsidR="00AA6138">
        <w:t>classes</w:t>
      </w:r>
      <w:r w:rsidR="00C12592">
        <w:t xml:space="preserve"> </w:t>
      </w:r>
      <w:r w:rsidR="00592FB1">
        <w:t xml:space="preserve">based on </w:t>
      </w:r>
      <w:r w:rsidR="003E1B43">
        <w:t xml:space="preserve">the </w:t>
      </w:r>
      <w:proofErr w:type="spellStart"/>
      <w:r w:rsidR="003E1B43">
        <w:t>Pasquill</w:t>
      </w:r>
      <w:proofErr w:type="spellEnd"/>
      <w:r w:rsidR="003E1B43">
        <w:t xml:space="preserve"> S</w:t>
      </w:r>
      <w:r w:rsidR="004545D8">
        <w:t xml:space="preserve">tability classification </w:t>
      </w:r>
      <w:r w:rsidR="004545D8">
        <w:fldChar w:fldCharType="begin"/>
      </w:r>
      <w:r w:rsidR="00B864D9">
        <w:instrText xml:space="preserve"> ADDIN EN.CITE &lt;EndNote&gt;&lt;Cite&gt;&lt;Author&gt;Arya&lt;/Author&gt;&lt;Year&gt;1999&lt;/Year&gt;&lt;RecNum&gt;138&lt;/RecNum&gt;&lt;DisplayText&gt;[14]&lt;/DisplayText&gt;&lt;record&gt;&lt;rec-number&gt;138&lt;/rec-number&gt;&lt;foreign-keys&gt;&lt;key app="EN" db-id="sf029s9x7d99dqe50eeprptuz5e5t0etd0d5" timestamp="1710360225" guid="a98a5f73-af4b-4d93-ae8f-e8d0d2df23a8"&gt;138&lt;/key&gt;&lt;/foreign-keys&gt;&lt;ref-type name="Book"&gt;6&lt;/ref-type&gt;&lt;contributors&gt;&lt;authors&gt;&lt;author&gt;Arya, S. P.&lt;/author&gt;&lt;/authors&gt;&lt;/contributors&gt;&lt;titles&gt;&lt;title&gt;Air pollution meteorology and dispersion&lt;/title&gt;&lt;/titles&gt;&lt;volume&gt;310&lt;/volume&gt;&lt;dates&gt;&lt;year&gt;1999&lt;/year&gt;&lt;/dates&gt;&lt;pub-location&gt;New York&lt;/pub-location&gt;&lt;publisher&gt;Oxford University Press&lt;/publisher&gt;&lt;urls&gt;&lt;/urls&gt;&lt;/record&gt;&lt;/Cite&gt;&lt;/EndNote&gt;</w:instrText>
      </w:r>
      <w:r w:rsidR="004545D8">
        <w:fldChar w:fldCharType="separate"/>
      </w:r>
      <w:r w:rsidR="00B864D9">
        <w:rPr>
          <w:noProof/>
        </w:rPr>
        <w:t>[14]</w:t>
      </w:r>
      <w:r w:rsidR="004545D8">
        <w:fldChar w:fldCharType="end"/>
      </w:r>
      <w:r w:rsidR="003541E0">
        <w:t xml:space="preserve">, with the </w:t>
      </w:r>
      <w:r w:rsidR="00C062E3">
        <w:t xml:space="preserve">added </w:t>
      </w:r>
      <w:r w:rsidR="003541E0">
        <w:t xml:space="preserve">simplification </w:t>
      </w:r>
      <w:r w:rsidR="00AA6138">
        <w:t>that class</w:t>
      </w:r>
      <w:r w:rsidR="00DA18F0">
        <w:t>es</w:t>
      </w:r>
      <w:r w:rsidR="00AA6138">
        <w:t xml:space="preserve"> A and B </w:t>
      </w:r>
      <w:r w:rsidR="00C062E3">
        <w:t>can be</w:t>
      </w:r>
      <w:r w:rsidR="000C2943">
        <w:t xml:space="preserve"> grouped into the unstable </w:t>
      </w:r>
      <w:r w:rsidR="004624FE">
        <w:t>class</w:t>
      </w:r>
      <w:r w:rsidR="00473494">
        <w:t>, C and D into the neutral c</w:t>
      </w:r>
      <w:r w:rsidR="004624FE">
        <w:t>lass</w:t>
      </w:r>
      <w:r w:rsidR="00097687">
        <w:t>,</w:t>
      </w:r>
      <w:r w:rsidR="00473494">
        <w:t xml:space="preserve"> and E, F, and G into the stable c</w:t>
      </w:r>
      <w:r w:rsidR="004624FE">
        <w:t>lass</w:t>
      </w:r>
      <w:r w:rsidR="00473494">
        <w:t xml:space="preserve">. </w:t>
      </w:r>
      <w:r w:rsidR="003541E0">
        <w:t xml:space="preserve"> </w:t>
      </w:r>
      <w:r w:rsidR="00BA756F">
        <w:t>The windiest conditions (mean wind speed &gt; 2.2 m/s) within each of the three classes are chosen for the s</w:t>
      </w:r>
      <w:r w:rsidR="00CE29CD">
        <w:t xml:space="preserve">imulations </w:t>
      </w:r>
      <w:r w:rsidR="00BA756F">
        <w:t>in this study</w:t>
      </w:r>
      <w:r w:rsidR="008D69A3">
        <w:t>, with additional parameters given in Table 1 below.</w:t>
      </w:r>
      <w:r w:rsidR="00785BA2">
        <w:t xml:space="preserve"> For the RASCAL simulations, </w:t>
      </w:r>
      <w:r w:rsidR="00BB08D7">
        <w:t xml:space="preserve">the only </w:t>
      </w:r>
      <w:r w:rsidR="00A14405">
        <w:t xml:space="preserve">meteorological </w:t>
      </w:r>
      <w:r w:rsidR="00BB08D7">
        <w:t>input</w:t>
      </w:r>
      <w:r w:rsidR="00A14405">
        <w:t xml:space="preserve">s </w:t>
      </w:r>
      <w:r w:rsidR="00BB08D7">
        <w:t>required are the stability class</w:t>
      </w:r>
      <w:r w:rsidR="00E07D23">
        <w:t xml:space="preserve"> and</w:t>
      </w:r>
      <w:r w:rsidR="00E0100B">
        <w:t xml:space="preserve"> the</w:t>
      </w:r>
      <w:r w:rsidR="00BB08D7">
        <w:t xml:space="preserve"> wind speed at 10 m</w:t>
      </w:r>
      <w:r w:rsidR="00E07D23">
        <w:t xml:space="preserve"> above the ground</w:t>
      </w:r>
      <w:r w:rsidR="00C97A5A">
        <w:t>, as discussed in Section 4</w:t>
      </w:r>
      <w:r w:rsidR="00E07D23">
        <w:t xml:space="preserve">. The CFD simulations require </w:t>
      </w:r>
      <w:r w:rsidR="00051183">
        <w:t>additional input parameters</w:t>
      </w:r>
      <w:r w:rsidR="00E72ADB">
        <w:t>,</w:t>
      </w:r>
      <w:r w:rsidR="00051183">
        <w:t xml:space="preserve"> </w:t>
      </w:r>
      <w:r w:rsidR="00F85219">
        <w:t>including</w:t>
      </w:r>
      <w:r w:rsidR="00051183">
        <w:t xml:space="preserve"> the friction velocity and the Monin-Obukhov length</w:t>
      </w:r>
      <w:r w:rsidR="00E72ADB">
        <w:t xml:space="preserve"> </w:t>
      </w:r>
      <w:r w:rsidR="00C826B2">
        <w:t xml:space="preserve">listed </w:t>
      </w:r>
      <w:r w:rsidR="00E72ADB">
        <w:t>in Table 1</w:t>
      </w:r>
      <w:r w:rsidR="00E0100B">
        <w:t xml:space="preserve">, </w:t>
      </w:r>
      <w:r w:rsidR="00286527">
        <w:t>as</w:t>
      </w:r>
      <w:r w:rsidR="00E0100B">
        <w:t xml:space="preserve"> discussed in </w:t>
      </w:r>
      <w:r w:rsidR="00C97A5A">
        <w:t>Section 3</w:t>
      </w:r>
      <w:r w:rsidR="00E0100B">
        <w:t xml:space="preserve">. </w:t>
      </w:r>
    </w:p>
    <w:p w14:paraId="2F815E1D" w14:textId="77777777" w:rsidR="00376A3A" w:rsidRDefault="00376A3A" w:rsidP="002779CC">
      <w:pPr>
        <w:pStyle w:val="BodyText"/>
      </w:pPr>
    </w:p>
    <w:p w14:paraId="725FC022" w14:textId="5F569A49" w:rsidR="00376A3A" w:rsidRDefault="00376A3A" w:rsidP="00376A3A">
      <w:pPr>
        <w:pStyle w:val="Caption"/>
        <w:keepNext/>
        <w:jc w:val="center"/>
      </w:pPr>
      <w:r>
        <w:t xml:space="preserve">TABLE </w:t>
      </w:r>
      <w:r>
        <w:fldChar w:fldCharType="begin"/>
      </w:r>
      <w:r>
        <w:instrText xml:space="preserve"> SEQ Table \* ARABIC </w:instrText>
      </w:r>
      <w:r>
        <w:fldChar w:fldCharType="separate"/>
      </w:r>
      <w:r>
        <w:rPr>
          <w:noProof/>
        </w:rPr>
        <w:t>1</w:t>
      </w:r>
      <w:r>
        <w:fldChar w:fldCharType="end"/>
      </w:r>
      <w:r w:rsidR="00DC2138">
        <w:t>.</w:t>
      </w:r>
      <w:r w:rsidR="00DC2138" w:rsidRPr="00DC2138">
        <w:t xml:space="preserve"> </w:t>
      </w:r>
      <w:r w:rsidR="00DC2138">
        <w:t>METEROLOGICAL CONDITIONS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1286"/>
        <w:gridCol w:w="177"/>
        <w:gridCol w:w="1701"/>
        <w:gridCol w:w="141"/>
        <w:gridCol w:w="1276"/>
        <w:gridCol w:w="1276"/>
        <w:gridCol w:w="1181"/>
        <w:gridCol w:w="233"/>
      </w:tblGrid>
      <w:tr w:rsidR="0000024C" w14:paraId="305C3E6B" w14:textId="3B31DAEB" w:rsidTr="00A910F5">
        <w:trPr>
          <w:jc w:val="center"/>
        </w:trPr>
        <w:tc>
          <w:tcPr>
            <w:tcW w:w="1231" w:type="dxa"/>
            <w:tcBorders>
              <w:top w:val="single" w:sz="4" w:space="0" w:color="auto"/>
              <w:bottom w:val="single" w:sz="4" w:space="0" w:color="auto"/>
            </w:tcBorders>
          </w:tcPr>
          <w:p w14:paraId="5D50AC47" w14:textId="642DC995" w:rsidR="0000024C" w:rsidRDefault="0000024C" w:rsidP="00183D0C">
            <w:pPr>
              <w:pStyle w:val="BodyText"/>
              <w:ind w:firstLine="0"/>
              <w:jc w:val="left"/>
            </w:pPr>
            <w:r>
              <w:t xml:space="preserve">Stability class </w:t>
            </w:r>
          </w:p>
        </w:tc>
        <w:tc>
          <w:tcPr>
            <w:tcW w:w="1463" w:type="dxa"/>
            <w:gridSpan w:val="2"/>
            <w:tcBorders>
              <w:top w:val="single" w:sz="4" w:space="0" w:color="auto"/>
              <w:bottom w:val="single" w:sz="4" w:space="0" w:color="auto"/>
            </w:tcBorders>
          </w:tcPr>
          <w:p w14:paraId="63E771F3" w14:textId="3029FCAE" w:rsidR="0000024C" w:rsidRDefault="0000024C">
            <w:pPr>
              <w:pStyle w:val="BodyText"/>
              <w:ind w:firstLine="0"/>
              <w:jc w:val="center"/>
            </w:pPr>
            <w:r>
              <w:t>Median wind speed</w:t>
            </w:r>
            <w:r w:rsidR="004E5C73">
              <w:t xml:space="preserve"> at 30 m</w:t>
            </w:r>
            <w:r>
              <w:t xml:space="preserve"> (m/s)</w:t>
            </w:r>
          </w:p>
        </w:tc>
        <w:tc>
          <w:tcPr>
            <w:tcW w:w="1842" w:type="dxa"/>
            <w:gridSpan w:val="2"/>
            <w:tcBorders>
              <w:top w:val="single" w:sz="4" w:space="0" w:color="auto"/>
              <w:bottom w:val="single" w:sz="4" w:space="0" w:color="auto"/>
            </w:tcBorders>
          </w:tcPr>
          <w:p w14:paraId="001185D2" w14:textId="77777777" w:rsidR="00A910F5" w:rsidRDefault="0000024C">
            <w:pPr>
              <w:pStyle w:val="BodyText"/>
              <w:ind w:firstLine="0"/>
              <w:jc w:val="center"/>
            </w:pPr>
            <w:r>
              <w:t xml:space="preserve">Median temperature gradient </w:t>
            </w:r>
          </w:p>
          <w:p w14:paraId="21DB4C10" w14:textId="1FE71B5D" w:rsidR="0000024C" w:rsidRDefault="0000024C">
            <w:pPr>
              <w:pStyle w:val="BodyText"/>
              <w:ind w:firstLine="0"/>
              <w:jc w:val="center"/>
            </w:pPr>
            <w:r>
              <w:t>(°C/100 m)</w:t>
            </w:r>
          </w:p>
        </w:tc>
        <w:tc>
          <w:tcPr>
            <w:tcW w:w="1276" w:type="dxa"/>
            <w:tcBorders>
              <w:top w:val="single" w:sz="4" w:space="0" w:color="auto"/>
              <w:bottom w:val="single" w:sz="4" w:space="0" w:color="auto"/>
            </w:tcBorders>
          </w:tcPr>
          <w:p w14:paraId="7AEE101B" w14:textId="229AA5E7" w:rsidR="0000024C" w:rsidRDefault="0000024C">
            <w:pPr>
              <w:pStyle w:val="BodyText"/>
              <w:ind w:firstLine="0"/>
              <w:jc w:val="center"/>
            </w:pPr>
            <w:r>
              <w:t>Wind speed at 10 m (m/s)</w:t>
            </w:r>
          </w:p>
        </w:tc>
        <w:tc>
          <w:tcPr>
            <w:tcW w:w="1276" w:type="dxa"/>
            <w:tcBorders>
              <w:top w:val="single" w:sz="4" w:space="0" w:color="auto"/>
              <w:bottom w:val="single" w:sz="4" w:space="0" w:color="auto"/>
            </w:tcBorders>
          </w:tcPr>
          <w:p w14:paraId="19ECE6BA" w14:textId="665A63CF" w:rsidR="0000024C" w:rsidRDefault="0000024C">
            <w:pPr>
              <w:pStyle w:val="BodyText"/>
              <w:ind w:firstLine="0"/>
              <w:jc w:val="center"/>
            </w:pPr>
            <w:r>
              <w:t>Friction velocity (m/s)</w:t>
            </w:r>
          </w:p>
        </w:tc>
        <w:tc>
          <w:tcPr>
            <w:tcW w:w="1181" w:type="dxa"/>
            <w:tcBorders>
              <w:top w:val="single" w:sz="4" w:space="0" w:color="auto"/>
              <w:bottom w:val="single" w:sz="4" w:space="0" w:color="auto"/>
            </w:tcBorders>
          </w:tcPr>
          <w:p w14:paraId="6C3C69DE" w14:textId="5128D340" w:rsidR="0000024C" w:rsidRDefault="0000024C">
            <w:pPr>
              <w:pStyle w:val="BodyText"/>
              <w:ind w:firstLine="0"/>
              <w:jc w:val="center"/>
            </w:pPr>
            <w:r>
              <w:t>Monin-Obukhov length (m)</w:t>
            </w:r>
          </w:p>
        </w:tc>
        <w:tc>
          <w:tcPr>
            <w:tcW w:w="233" w:type="dxa"/>
            <w:tcBorders>
              <w:top w:val="single" w:sz="4" w:space="0" w:color="auto"/>
              <w:bottom w:val="single" w:sz="4" w:space="0" w:color="auto"/>
            </w:tcBorders>
          </w:tcPr>
          <w:p w14:paraId="33BE5A35" w14:textId="77777777" w:rsidR="0000024C" w:rsidRDefault="0000024C">
            <w:pPr>
              <w:pStyle w:val="BodyText"/>
              <w:ind w:firstLine="0"/>
              <w:jc w:val="center"/>
            </w:pPr>
          </w:p>
        </w:tc>
      </w:tr>
      <w:tr w:rsidR="0000024C" w14:paraId="1AA0E625" w14:textId="18578486" w:rsidTr="00A910F5">
        <w:trPr>
          <w:jc w:val="center"/>
        </w:trPr>
        <w:tc>
          <w:tcPr>
            <w:tcW w:w="1231" w:type="dxa"/>
            <w:tcBorders>
              <w:top w:val="single" w:sz="4" w:space="0" w:color="auto"/>
              <w:bottom w:val="nil"/>
            </w:tcBorders>
          </w:tcPr>
          <w:p w14:paraId="5DD36855" w14:textId="51F7EECF" w:rsidR="0000024C" w:rsidRDefault="0000024C" w:rsidP="00183D0C">
            <w:pPr>
              <w:pStyle w:val="BodyText"/>
              <w:ind w:firstLine="0"/>
              <w:jc w:val="left"/>
            </w:pPr>
            <w:r>
              <w:rPr>
                <w:rStyle w:val="TabletextChar"/>
              </w:rPr>
              <w:t>B (unstable)</w:t>
            </w:r>
          </w:p>
        </w:tc>
        <w:tc>
          <w:tcPr>
            <w:tcW w:w="1286" w:type="dxa"/>
            <w:tcBorders>
              <w:top w:val="single" w:sz="4" w:space="0" w:color="auto"/>
              <w:bottom w:val="nil"/>
            </w:tcBorders>
          </w:tcPr>
          <w:p w14:paraId="1BF186FA" w14:textId="0273BA2F" w:rsidR="0000024C" w:rsidRDefault="0000024C">
            <w:pPr>
              <w:pStyle w:val="BodyText"/>
              <w:ind w:firstLine="0"/>
              <w:jc w:val="center"/>
            </w:pPr>
            <w:r>
              <w:t>2.68</w:t>
            </w:r>
          </w:p>
        </w:tc>
        <w:tc>
          <w:tcPr>
            <w:tcW w:w="1878" w:type="dxa"/>
            <w:gridSpan w:val="2"/>
            <w:tcBorders>
              <w:top w:val="single" w:sz="4" w:space="0" w:color="auto"/>
              <w:bottom w:val="nil"/>
            </w:tcBorders>
          </w:tcPr>
          <w:p w14:paraId="4A3E6C7F" w14:textId="10B02286" w:rsidR="0000024C" w:rsidRDefault="005D5746">
            <w:pPr>
              <w:pStyle w:val="BodyText"/>
              <w:ind w:firstLine="0"/>
              <w:jc w:val="center"/>
            </w:pPr>
            <w:r>
              <w:t>-1.9</w:t>
            </w:r>
          </w:p>
        </w:tc>
        <w:tc>
          <w:tcPr>
            <w:tcW w:w="1417" w:type="dxa"/>
            <w:gridSpan w:val="2"/>
            <w:tcBorders>
              <w:top w:val="single" w:sz="4" w:space="0" w:color="auto"/>
              <w:bottom w:val="nil"/>
            </w:tcBorders>
          </w:tcPr>
          <w:p w14:paraId="12568070" w14:textId="6A07D9E1" w:rsidR="0000024C" w:rsidRDefault="0000024C">
            <w:pPr>
              <w:pStyle w:val="BodyText"/>
              <w:ind w:firstLine="0"/>
              <w:jc w:val="center"/>
            </w:pPr>
            <w:r>
              <w:t>2</w:t>
            </w:r>
          </w:p>
        </w:tc>
        <w:tc>
          <w:tcPr>
            <w:tcW w:w="1276" w:type="dxa"/>
            <w:tcBorders>
              <w:top w:val="single" w:sz="4" w:space="0" w:color="auto"/>
              <w:bottom w:val="nil"/>
            </w:tcBorders>
          </w:tcPr>
          <w:p w14:paraId="1B8A1052" w14:textId="2B8AE485" w:rsidR="0000024C" w:rsidRDefault="0000024C">
            <w:pPr>
              <w:pStyle w:val="BodyText"/>
              <w:ind w:firstLine="0"/>
              <w:jc w:val="center"/>
            </w:pPr>
            <w:r>
              <w:t>0.388</w:t>
            </w:r>
          </w:p>
        </w:tc>
        <w:tc>
          <w:tcPr>
            <w:tcW w:w="1181" w:type="dxa"/>
            <w:tcBorders>
              <w:top w:val="single" w:sz="4" w:space="0" w:color="auto"/>
              <w:bottom w:val="nil"/>
            </w:tcBorders>
          </w:tcPr>
          <w:p w14:paraId="3D540CDA" w14:textId="312B1322" w:rsidR="0000024C" w:rsidRDefault="0000024C">
            <w:pPr>
              <w:pStyle w:val="BodyText"/>
              <w:ind w:firstLine="0"/>
              <w:jc w:val="center"/>
            </w:pPr>
            <w:r>
              <w:t>-110</w:t>
            </w:r>
          </w:p>
        </w:tc>
        <w:tc>
          <w:tcPr>
            <w:tcW w:w="233" w:type="dxa"/>
            <w:tcBorders>
              <w:top w:val="single" w:sz="4" w:space="0" w:color="auto"/>
              <w:bottom w:val="nil"/>
            </w:tcBorders>
          </w:tcPr>
          <w:p w14:paraId="321BBC82" w14:textId="77777777" w:rsidR="0000024C" w:rsidRDefault="0000024C">
            <w:pPr>
              <w:pStyle w:val="BodyText"/>
              <w:ind w:firstLine="0"/>
              <w:jc w:val="center"/>
            </w:pPr>
          </w:p>
        </w:tc>
      </w:tr>
      <w:tr w:rsidR="0000024C" w14:paraId="4BEF240E" w14:textId="09082FC7" w:rsidTr="00A910F5">
        <w:trPr>
          <w:jc w:val="center"/>
        </w:trPr>
        <w:tc>
          <w:tcPr>
            <w:tcW w:w="1231" w:type="dxa"/>
            <w:tcBorders>
              <w:top w:val="nil"/>
            </w:tcBorders>
          </w:tcPr>
          <w:p w14:paraId="0D7C6FA9" w14:textId="63F67784" w:rsidR="0000024C" w:rsidRPr="00883848" w:rsidRDefault="0000024C" w:rsidP="00183D0C">
            <w:pPr>
              <w:pStyle w:val="BodyText"/>
              <w:ind w:firstLine="0"/>
              <w:jc w:val="left"/>
              <w:rPr>
                <w:rStyle w:val="TabletextChar"/>
              </w:rPr>
            </w:pPr>
            <w:r>
              <w:rPr>
                <w:rStyle w:val="TabletextChar"/>
              </w:rPr>
              <w:t>D (neutral)</w:t>
            </w:r>
          </w:p>
        </w:tc>
        <w:tc>
          <w:tcPr>
            <w:tcW w:w="1286" w:type="dxa"/>
            <w:tcBorders>
              <w:top w:val="nil"/>
            </w:tcBorders>
          </w:tcPr>
          <w:p w14:paraId="1E36E223" w14:textId="45540539" w:rsidR="0000024C" w:rsidRDefault="0000024C">
            <w:pPr>
              <w:pStyle w:val="BodyText"/>
              <w:ind w:firstLine="0"/>
              <w:jc w:val="center"/>
            </w:pPr>
            <w:r>
              <w:t>3.16</w:t>
            </w:r>
          </w:p>
        </w:tc>
        <w:tc>
          <w:tcPr>
            <w:tcW w:w="1878" w:type="dxa"/>
            <w:gridSpan w:val="2"/>
            <w:tcBorders>
              <w:top w:val="nil"/>
            </w:tcBorders>
          </w:tcPr>
          <w:p w14:paraId="60AE0FAD" w14:textId="0BEA2DB4" w:rsidR="0000024C" w:rsidRDefault="005D5746">
            <w:pPr>
              <w:pStyle w:val="BodyText"/>
              <w:ind w:firstLine="0"/>
              <w:jc w:val="center"/>
            </w:pPr>
            <w:r>
              <w:t>-1.5</w:t>
            </w:r>
          </w:p>
        </w:tc>
        <w:tc>
          <w:tcPr>
            <w:tcW w:w="1417" w:type="dxa"/>
            <w:gridSpan w:val="2"/>
            <w:tcBorders>
              <w:top w:val="nil"/>
            </w:tcBorders>
          </w:tcPr>
          <w:p w14:paraId="79D45453" w14:textId="0A119C83" w:rsidR="0000024C" w:rsidRDefault="0000024C">
            <w:pPr>
              <w:pStyle w:val="BodyText"/>
              <w:ind w:firstLine="0"/>
              <w:jc w:val="center"/>
            </w:pPr>
            <w:r>
              <w:t>2.2</w:t>
            </w:r>
          </w:p>
        </w:tc>
        <w:tc>
          <w:tcPr>
            <w:tcW w:w="1276" w:type="dxa"/>
            <w:tcBorders>
              <w:top w:val="nil"/>
            </w:tcBorders>
          </w:tcPr>
          <w:p w14:paraId="61B3DB40" w14:textId="492ACEEA" w:rsidR="0000024C" w:rsidRDefault="0000024C">
            <w:pPr>
              <w:pStyle w:val="BodyText"/>
              <w:ind w:firstLine="0"/>
              <w:jc w:val="center"/>
            </w:pPr>
            <w:r>
              <w:t>0.387</w:t>
            </w:r>
          </w:p>
        </w:tc>
        <w:tc>
          <w:tcPr>
            <w:tcW w:w="1181" w:type="dxa"/>
            <w:tcBorders>
              <w:top w:val="nil"/>
            </w:tcBorders>
          </w:tcPr>
          <w:p w14:paraId="1D91A3E6" w14:textId="5C89D8D1" w:rsidR="0000024C" w:rsidRDefault="0000024C">
            <w:pPr>
              <w:pStyle w:val="BodyText"/>
              <w:ind w:firstLine="0"/>
              <w:jc w:val="center"/>
            </w:pPr>
            <w:r>
              <w:t>∞</w:t>
            </w:r>
          </w:p>
        </w:tc>
        <w:tc>
          <w:tcPr>
            <w:tcW w:w="233" w:type="dxa"/>
            <w:tcBorders>
              <w:top w:val="nil"/>
            </w:tcBorders>
          </w:tcPr>
          <w:p w14:paraId="12FFF8C0" w14:textId="77777777" w:rsidR="0000024C" w:rsidRDefault="0000024C">
            <w:pPr>
              <w:pStyle w:val="BodyText"/>
              <w:ind w:firstLine="0"/>
              <w:jc w:val="center"/>
            </w:pPr>
          </w:p>
        </w:tc>
      </w:tr>
      <w:tr w:rsidR="0000024C" w14:paraId="53498DB8" w14:textId="154ED529" w:rsidTr="00A910F5">
        <w:trPr>
          <w:jc w:val="center"/>
        </w:trPr>
        <w:tc>
          <w:tcPr>
            <w:tcW w:w="1231" w:type="dxa"/>
          </w:tcPr>
          <w:p w14:paraId="29A9D071" w14:textId="3B2A3FA9" w:rsidR="0000024C" w:rsidRDefault="0000024C" w:rsidP="00183D0C">
            <w:pPr>
              <w:pStyle w:val="BodyText"/>
              <w:ind w:firstLine="0"/>
              <w:jc w:val="left"/>
            </w:pPr>
            <w:r>
              <w:t>F (stable)</w:t>
            </w:r>
          </w:p>
        </w:tc>
        <w:tc>
          <w:tcPr>
            <w:tcW w:w="1286" w:type="dxa"/>
          </w:tcPr>
          <w:p w14:paraId="3F550E7F" w14:textId="17F1B3F8" w:rsidR="0000024C" w:rsidRDefault="0000024C">
            <w:pPr>
              <w:pStyle w:val="BodyText"/>
              <w:ind w:firstLine="0"/>
              <w:jc w:val="center"/>
            </w:pPr>
            <w:r>
              <w:t>2.63</w:t>
            </w:r>
          </w:p>
        </w:tc>
        <w:tc>
          <w:tcPr>
            <w:tcW w:w="1878" w:type="dxa"/>
            <w:gridSpan w:val="2"/>
          </w:tcPr>
          <w:p w14:paraId="5FF51187" w14:textId="509BACF4" w:rsidR="0000024C" w:rsidRDefault="005D5746">
            <w:pPr>
              <w:pStyle w:val="BodyText"/>
              <w:ind w:firstLine="0"/>
              <w:jc w:val="center"/>
            </w:pPr>
            <w:r>
              <w:t>1.5</w:t>
            </w:r>
          </w:p>
        </w:tc>
        <w:tc>
          <w:tcPr>
            <w:tcW w:w="1417" w:type="dxa"/>
            <w:gridSpan w:val="2"/>
          </w:tcPr>
          <w:p w14:paraId="72AE3EF6" w14:textId="5A8CA078" w:rsidR="0000024C" w:rsidRDefault="0000024C">
            <w:pPr>
              <w:pStyle w:val="BodyText"/>
              <w:ind w:firstLine="0"/>
              <w:jc w:val="center"/>
            </w:pPr>
            <w:r>
              <w:t>1.5</w:t>
            </w:r>
          </w:p>
        </w:tc>
        <w:tc>
          <w:tcPr>
            <w:tcW w:w="1276" w:type="dxa"/>
          </w:tcPr>
          <w:p w14:paraId="21B26140" w14:textId="0EFA7E3E" w:rsidR="0000024C" w:rsidRDefault="0000024C">
            <w:pPr>
              <w:pStyle w:val="BodyText"/>
              <w:ind w:firstLine="0"/>
              <w:jc w:val="center"/>
            </w:pPr>
            <w:r>
              <w:t>0.201</w:t>
            </w:r>
          </w:p>
        </w:tc>
        <w:tc>
          <w:tcPr>
            <w:tcW w:w="1181" w:type="dxa"/>
          </w:tcPr>
          <w:p w14:paraId="33AC4BB3" w14:textId="79210DFE" w:rsidR="0000024C" w:rsidRDefault="0000024C">
            <w:pPr>
              <w:pStyle w:val="BodyText"/>
              <w:ind w:firstLine="0"/>
              <w:jc w:val="center"/>
            </w:pPr>
            <w:r>
              <w:t>74</w:t>
            </w:r>
          </w:p>
        </w:tc>
        <w:tc>
          <w:tcPr>
            <w:tcW w:w="233" w:type="dxa"/>
          </w:tcPr>
          <w:p w14:paraId="2965DB64" w14:textId="77777777" w:rsidR="0000024C" w:rsidRDefault="0000024C">
            <w:pPr>
              <w:pStyle w:val="BodyText"/>
              <w:ind w:firstLine="0"/>
              <w:jc w:val="center"/>
            </w:pPr>
          </w:p>
        </w:tc>
      </w:tr>
    </w:tbl>
    <w:p w14:paraId="6A0502FE" w14:textId="77777777" w:rsidR="00376A3A" w:rsidRPr="002779CC" w:rsidRDefault="00376A3A" w:rsidP="002779CC">
      <w:pPr>
        <w:pStyle w:val="BodyText"/>
      </w:pPr>
    </w:p>
    <w:p w14:paraId="6E0AA11A" w14:textId="43FAE2EC" w:rsidR="00D274B5" w:rsidRPr="00D274B5" w:rsidRDefault="00CA5809" w:rsidP="00D274B5">
      <w:pPr>
        <w:pStyle w:val="Heading2"/>
        <w:numPr>
          <w:ilvl w:val="1"/>
          <w:numId w:val="10"/>
        </w:numPr>
      </w:pPr>
      <w:r>
        <w:t xml:space="preserve">COMPUTATIONAL </w:t>
      </w:r>
      <w:r w:rsidR="00D274B5">
        <w:t>FLUID DYNAMICS MODEL</w:t>
      </w:r>
    </w:p>
    <w:p w14:paraId="1088F89F" w14:textId="13579645" w:rsidR="003725A1" w:rsidRDefault="00B15382" w:rsidP="00CA5809">
      <w:pPr>
        <w:pStyle w:val="BodyText"/>
      </w:pPr>
      <w:r>
        <w:t>T</w:t>
      </w:r>
      <w:r w:rsidR="002044F3">
        <w:t xml:space="preserve">he </w:t>
      </w:r>
      <w:r w:rsidR="001642F3">
        <w:t xml:space="preserve">CFD simulations in this study </w:t>
      </w:r>
      <w:r w:rsidR="0006742C">
        <w:t>are</w:t>
      </w:r>
      <w:r w:rsidR="00302BE3">
        <w:t xml:space="preserve"> performed </w:t>
      </w:r>
      <w:r w:rsidR="00071F7A" w:rsidRPr="00071F7A">
        <w:t>using the commercial CFD software package STAR-CCM+ v17.06</w:t>
      </w:r>
      <w:r w:rsidR="0006742C">
        <w:t>.007</w:t>
      </w:r>
      <w:r w:rsidR="00EC3FEF">
        <w:t xml:space="preserve"> </w:t>
      </w:r>
      <w:r w:rsidR="00E2148A">
        <w:fldChar w:fldCharType="begin"/>
      </w:r>
      <w:r w:rsidR="00B864D9">
        <w:instrText xml:space="preserve"> ADDIN EN.CITE &lt;EndNote&gt;&lt;Cite&gt;&lt;Year&gt;2023&lt;/Year&gt;&lt;RecNum&gt;162&lt;/RecNum&gt;&lt;DisplayText&gt;[15]&lt;/DisplayText&gt;&lt;record&gt;&lt;rec-number&gt;162&lt;/rec-number&gt;&lt;foreign-keys&gt;&lt;key app="EN" db-id="sf029s9x7d99dqe50eeprptuz5e5t0etd0d5" timestamp="1715808826" guid="7b97ae5f-806b-4ece-9809-89cf04d0301c"&gt;162&lt;/key&gt;&lt;/foreign-keys&gt;&lt;ref-type name="Computer Program"&gt;9&lt;/ref-type&gt;&lt;contributors&gt;&lt;/contributors&gt;&lt;titles&gt;&lt;title&gt;Simcenter STAR-CCM+, version 17.06&lt;/title&gt;&lt;/titles&gt;&lt;dates&gt;&lt;year&gt;2023&lt;/year&gt;&lt;/dates&gt;&lt;publisher&gt;Siemens Industries Digital Software&lt;/publisher&gt;&lt;urls&gt;&lt;/urls&gt;&lt;/record&gt;&lt;/Cite&gt;&lt;/EndNote&gt;</w:instrText>
      </w:r>
      <w:r w:rsidR="00E2148A">
        <w:fldChar w:fldCharType="separate"/>
      </w:r>
      <w:r w:rsidR="00B864D9">
        <w:rPr>
          <w:noProof/>
        </w:rPr>
        <w:t>[15]</w:t>
      </w:r>
      <w:r w:rsidR="00E2148A">
        <w:fldChar w:fldCharType="end"/>
      </w:r>
      <w:r w:rsidR="00071F7A">
        <w:t xml:space="preserve">. </w:t>
      </w:r>
      <w:r w:rsidR="00EC3FEF" w:rsidRPr="00EC3FEF">
        <w:t>The computational model</w:t>
      </w:r>
      <w:r w:rsidR="00890106">
        <w:t>, as shown in Fig. 2a,</w:t>
      </w:r>
      <w:r w:rsidR="00EC3FEF" w:rsidRPr="00EC3FEF">
        <w:t xml:space="preserve"> consists of the </w:t>
      </w:r>
      <w:r w:rsidR="00633A45">
        <w:t>building with the fictitious point source of</w:t>
      </w:r>
      <w:r w:rsidR="00AA4523">
        <w:t xml:space="preserve"> </w:t>
      </w:r>
      <w:r w:rsidR="006A07B1">
        <w:t>pollutants</w:t>
      </w:r>
      <w:r w:rsidR="00EC3FEF" w:rsidRPr="00EC3FEF">
        <w:t xml:space="preserve">, and the buildings and terrain around the facility. The terrain and building geometry </w:t>
      </w:r>
      <w:r w:rsidR="00446D28">
        <w:t>are</w:t>
      </w:r>
      <w:r w:rsidR="00EC3FEF" w:rsidRPr="00EC3FEF">
        <w:t xml:space="preserve"> obtained </w:t>
      </w:r>
      <w:r w:rsidR="00B903CC">
        <w:t>from aerial drone scans.</w:t>
      </w:r>
      <w:r w:rsidR="00EC3FEF" w:rsidRPr="00EC3FEF">
        <w:t xml:space="preserve"> A ‘photogrammetry’ technique employing many aerial photos was used to map the elevation of buildings and structures and develop a 3D model of the built-up area. This elevation data was converted into a Esri Raster file which was subsequently formatted into an STL file and implemented in STAR-CCM+ to develop the simulation domain. The terrain was smoothed using the </w:t>
      </w:r>
      <w:proofErr w:type="spellStart"/>
      <w:r w:rsidR="00EC3FEF" w:rsidRPr="00EC3FEF">
        <w:t>Taubin</w:t>
      </w:r>
      <w:proofErr w:type="spellEnd"/>
      <w:r w:rsidR="00EC3FEF" w:rsidRPr="00EC3FEF">
        <w:t xml:space="preserve"> method, and the building topology was simplified into shapes of uniform elevation using a CAD utility to ensure high-quality grid generation and stability in the convergence of the governing equations</w:t>
      </w:r>
      <w:r w:rsidR="00AF1FE9">
        <w:t>.</w:t>
      </w:r>
    </w:p>
    <w:p w14:paraId="24D51926" w14:textId="7164EC20" w:rsidR="00E51623" w:rsidRDefault="004A1FE3" w:rsidP="00420073">
      <w:pPr>
        <w:pStyle w:val="BodyText"/>
      </w:pPr>
      <w:r w:rsidRPr="004A1FE3">
        <w:t>The setup of the computational domain</w:t>
      </w:r>
      <w:r>
        <w:t xml:space="preserve"> </w:t>
      </w:r>
      <w:r w:rsidRPr="004A1FE3">
        <w:t xml:space="preserve">followed the guidelines from </w:t>
      </w:r>
      <w:proofErr w:type="spellStart"/>
      <w:r w:rsidRPr="004A1FE3">
        <w:t>Blocken</w:t>
      </w:r>
      <w:proofErr w:type="spellEnd"/>
      <w:r w:rsidRPr="004A1FE3">
        <w:t xml:space="preserve"> (2015)</w:t>
      </w:r>
      <w:r>
        <w:t xml:space="preserve"> </w:t>
      </w:r>
      <w:r>
        <w:fldChar w:fldCharType="begin"/>
      </w:r>
      <w:r w:rsidR="00B864D9">
        <w:instrText xml:space="preserve"> ADDIN EN.CITE &lt;EndNote&gt;&lt;Cite&gt;&lt;Author&gt;Blocken&lt;/Author&gt;&lt;Year&gt;2015&lt;/Year&gt;&lt;RecNum&gt;34&lt;/RecNum&gt;&lt;DisplayText&gt;[16]&lt;/DisplayText&gt;&lt;record&gt;&lt;rec-number&gt;34&lt;/rec-number&gt;&lt;foreign-keys&gt;&lt;key app="EN" db-id="sf029s9x7d99dqe50eeprptuz5e5t0etd0d5" timestamp="1697831942" guid="c6fb9cb3-28b9-4a1b-8995-1a31e219e198"&gt;34&lt;/key&gt;&lt;/foreign-keys&gt;&lt;ref-type name="Journal Article"&gt;17&lt;/ref-type&gt;&lt;contributors&gt;&lt;authors&gt;&lt;author&gt;Blocken, Bert&lt;/author&gt;&lt;/authors&gt;&lt;/contributors&gt;&lt;titles&gt;&lt;title&gt;Computational Fluid Dynamics for urban physics: Importance, scales, possibilities, limitations and ten tips and tricks towards accurate and reliable simulations&lt;/title&gt;&lt;secondary-title&gt;Building and Environment&lt;/secondary-title&gt;&lt;/titles&gt;&lt;periodical&gt;&lt;full-title&gt;Building and Environment&lt;/full-title&gt;&lt;/periodical&gt;&lt;pages&gt;219-245&lt;/pages&gt;&lt;volume&gt;91&lt;/volume&gt;&lt;section&gt;219&lt;/section&gt;&lt;dates&gt;&lt;year&gt;2015&lt;/year&gt;&lt;/dates&gt;&lt;isbn&gt;03601323&lt;/isbn&gt;&lt;urls&gt;&lt;/urls&gt;&lt;electronic-resource-num&gt;10.1016/j.buildenv.2015.02.015&lt;/electronic-resource-num&gt;&lt;/record&gt;&lt;/Cite&gt;&lt;/EndNote&gt;</w:instrText>
      </w:r>
      <w:r>
        <w:fldChar w:fldCharType="separate"/>
      </w:r>
      <w:r w:rsidR="00B864D9">
        <w:rPr>
          <w:noProof/>
        </w:rPr>
        <w:t>[16]</w:t>
      </w:r>
      <w:r>
        <w:fldChar w:fldCharType="end"/>
      </w:r>
      <w:r>
        <w:t xml:space="preserve"> </w:t>
      </w:r>
      <w:r w:rsidRPr="004A1FE3">
        <w:t>for specifying the height, width, upwind length, and downwind length of the domain containing the built-up area. The domain boundaries</w:t>
      </w:r>
      <w:r w:rsidR="008E7305">
        <w:t xml:space="preserve"> in </w:t>
      </w:r>
      <w:r w:rsidR="008E7305" w:rsidRPr="004A1FE3">
        <w:t>F</w:t>
      </w:r>
      <w:r w:rsidR="008E7305">
        <w:t>ig.</w:t>
      </w:r>
      <w:r w:rsidR="008E7305" w:rsidRPr="004A1FE3">
        <w:t xml:space="preserve"> </w:t>
      </w:r>
      <w:r w:rsidR="008E7305">
        <w:t>2</w:t>
      </w:r>
      <w:r w:rsidR="008E7305" w:rsidRPr="004A1FE3">
        <w:t>a</w:t>
      </w:r>
      <w:r w:rsidR="008E7305">
        <w:t xml:space="preserve">, </w:t>
      </w:r>
      <w:r w:rsidR="008E7305" w:rsidRPr="008E7305">
        <w:t>with distances expressed relative to the height of the tallest building (</w:t>
      </w:r>
      <m:oMath>
        <m:sSub>
          <m:sSubPr>
            <m:ctrlPr>
              <w:rPr>
                <w:rFonts w:ascii="Cambria Math" w:hAnsi="Cambria Math"/>
                <w:i/>
              </w:rPr>
            </m:ctrlPr>
          </m:sSubPr>
          <m:e>
            <m:r>
              <w:rPr>
                <w:rFonts w:ascii="Cambria Math" w:hAnsi="Cambria Math"/>
              </w:rPr>
              <m:t>H</m:t>
            </m:r>
          </m:e>
          <m:sub>
            <m:r>
              <w:rPr>
                <w:rFonts w:ascii="Cambria Math" w:hAnsi="Cambria Math"/>
              </w:rPr>
              <m:t>max</m:t>
            </m:r>
          </m:sub>
        </m:sSub>
        <m:r>
          <w:rPr>
            <w:rFonts w:ascii="Cambria Math" w:hAnsi="Cambria Math"/>
          </w:rPr>
          <m:t>=25 m</m:t>
        </m:r>
      </m:oMath>
      <w:r w:rsidR="008E7305" w:rsidRPr="008E7305">
        <w:t>)</w:t>
      </w:r>
      <w:r w:rsidR="008E7305">
        <w:t xml:space="preserve"> on the site,</w:t>
      </w:r>
      <w:r w:rsidRPr="004A1FE3">
        <w:t xml:space="preserve"> were</w:t>
      </w:r>
      <w:r w:rsidR="00F92A83">
        <w:t xml:space="preserve"> far enough from the </w:t>
      </w:r>
      <w:r w:rsidR="00323AC1">
        <w:t>built-up</w:t>
      </w:r>
      <w:r w:rsidR="00F92A83">
        <w:t xml:space="preserve"> area</w:t>
      </w:r>
      <w:r w:rsidR="00F92A83" w:rsidRPr="00E201C0">
        <w:t xml:space="preserve"> to </w:t>
      </w:r>
      <w:r w:rsidR="00F92A83">
        <w:t>limit</w:t>
      </w:r>
      <w:r w:rsidR="00F92A83" w:rsidRPr="00E201C0">
        <w:t xml:space="preserve"> artificial acceleration in the flow</w:t>
      </w:r>
      <w:r w:rsidR="00F92A83">
        <w:t xml:space="preserve">, avoid numerical </w:t>
      </w:r>
      <w:r w:rsidR="00F92A83" w:rsidRPr="00E201C0">
        <w:t>artifacts</w:t>
      </w:r>
      <w:r w:rsidR="00F92A83">
        <w:t xml:space="preserve"> from nearby boundaries</w:t>
      </w:r>
      <w:r w:rsidR="00F92A83" w:rsidRPr="00E201C0">
        <w:t>, and ensure that the flow is properly developed</w:t>
      </w:r>
      <w:r w:rsidRPr="004A1FE3">
        <w:t xml:space="preserve">. The spatial orientation of the domain is configured such that the approaching wind aligns normal to the </w:t>
      </w:r>
      <w:r w:rsidR="001B5D45">
        <w:t xml:space="preserve">domain </w:t>
      </w:r>
      <w:r w:rsidRPr="004A1FE3">
        <w:t>inlet</w:t>
      </w:r>
      <w:r w:rsidR="0084736B">
        <w:t>.</w:t>
      </w:r>
      <w:r w:rsidR="00A91BEB">
        <w:t xml:space="preserve"> </w:t>
      </w:r>
      <w:r w:rsidR="00A91BEB" w:rsidRPr="00A91BEB">
        <w:t>The mesh, shown in F</w:t>
      </w:r>
      <w:r w:rsidR="00A91BEB">
        <w:t>ig</w:t>
      </w:r>
      <w:r w:rsidR="00A91BEB" w:rsidRPr="00A91BEB">
        <w:t xml:space="preserve">. </w:t>
      </w:r>
      <w:r w:rsidR="00A91BEB">
        <w:t>2</w:t>
      </w:r>
      <w:r w:rsidR="00A91BEB" w:rsidRPr="00A91BEB">
        <w:t>b, consists of a fully structured grid topology with orthogonal hexahedral elements aligned in the flow direction and used a characteristic surface size of 2 m for spatial resolution. A refinement region</w:t>
      </w:r>
      <w:r w:rsidR="002C373B">
        <w:t xml:space="preserve"> with a finer mesh size of 1 m</w:t>
      </w:r>
      <w:r w:rsidR="00A91BEB" w:rsidRPr="00A91BEB">
        <w:t xml:space="preserve"> was implemented in the vicinity of </w:t>
      </w:r>
      <w:r w:rsidR="00A91BEB">
        <w:t>the source</w:t>
      </w:r>
      <w:r w:rsidR="002C373B">
        <w:t xml:space="preserve"> </w:t>
      </w:r>
      <w:r w:rsidR="002C373B" w:rsidRPr="00A91BEB">
        <w:t xml:space="preserve">(indicated by </w:t>
      </w:r>
      <w:r w:rsidR="002C373B">
        <w:t>the</w:t>
      </w:r>
      <w:r w:rsidR="002C373B" w:rsidRPr="00A91BEB">
        <w:t xml:space="preserve"> yellow box in F</w:t>
      </w:r>
      <w:r w:rsidR="002C373B">
        <w:t>ig</w:t>
      </w:r>
      <w:r w:rsidR="002C373B" w:rsidRPr="00A91BEB">
        <w:t xml:space="preserve">. </w:t>
      </w:r>
      <w:r w:rsidR="002C373B">
        <w:t>2</w:t>
      </w:r>
      <w:r w:rsidR="002C373B" w:rsidRPr="00A91BEB">
        <w:t>b)</w:t>
      </w:r>
      <w:r w:rsidR="00A91BEB" w:rsidRPr="00A91BEB">
        <w:t xml:space="preserve"> to ensure good resolution of the flow field a</w:t>
      </w:r>
      <w:r w:rsidR="00A91BEB">
        <w:t>round</w:t>
      </w:r>
      <w:r w:rsidR="00A91BEB" w:rsidRPr="00A91BEB">
        <w:t xml:space="preserve"> the source and the site of the initial dispersion. </w:t>
      </w:r>
    </w:p>
    <w:p w14:paraId="28D81B20" w14:textId="77777777" w:rsidR="00420073" w:rsidRDefault="00420073" w:rsidP="00420073">
      <w:pPr>
        <w:pStyle w:val="BodyText"/>
      </w:pPr>
    </w:p>
    <w:p w14:paraId="1C257AB2" w14:textId="77777777" w:rsidR="00D94FD5" w:rsidRDefault="00E51623" w:rsidP="00D94FD5">
      <w:pPr>
        <w:pStyle w:val="BodyText"/>
        <w:keepNext/>
      </w:pPr>
      <w:r>
        <w:rPr>
          <w:noProof/>
        </w:rPr>
        <w:drawing>
          <wp:inline distT="0" distB="0" distL="0" distR="0" wp14:anchorId="25042C3B" wp14:editId="1B08AF30">
            <wp:extent cx="4824000" cy="1722558"/>
            <wp:effectExtent l="0" t="0" r="0" b="0"/>
            <wp:docPr id="941302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02937" name="Picture 1"/>
                    <pic:cNvPicPr>
                      <a:picLocks noChangeAspect="1" noChangeArrowheads="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bwMode="auto">
                    <a:xfrm>
                      <a:off x="0" y="0"/>
                      <a:ext cx="4824000" cy="1722558"/>
                    </a:xfrm>
                    <a:prstGeom prst="rect">
                      <a:avLst/>
                    </a:prstGeom>
                  </pic:spPr>
                </pic:pic>
              </a:graphicData>
            </a:graphic>
          </wp:inline>
        </w:drawing>
      </w:r>
    </w:p>
    <w:p w14:paraId="139DB5E8" w14:textId="3584D8BE" w:rsidR="00E51623" w:rsidRPr="00385A42" w:rsidRDefault="00D94FD5" w:rsidP="00D94FD5">
      <w:pPr>
        <w:pStyle w:val="Caption"/>
        <w:jc w:val="both"/>
        <w:rPr>
          <w:i/>
          <w:iCs/>
        </w:rPr>
      </w:pPr>
      <w:r w:rsidRPr="00385A42">
        <w:rPr>
          <w:i/>
          <w:iCs/>
        </w:rPr>
        <w:t xml:space="preserve">FIG. </w:t>
      </w:r>
      <w:r w:rsidRPr="00385A42">
        <w:rPr>
          <w:i/>
          <w:iCs/>
        </w:rPr>
        <w:fldChar w:fldCharType="begin"/>
      </w:r>
      <w:r w:rsidRPr="00385A42">
        <w:rPr>
          <w:i/>
          <w:iCs/>
        </w:rPr>
        <w:instrText xml:space="preserve"> SEQ FIG. \* ARABIC </w:instrText>
      </w:r>
      <w:r w:rsidRPr="00385A42">
        <w:rPr>
          <w:i/>
          <w:iCs/>
        </w:rPr>
        <w:fldChar w:fldCharType="separate"/>
      </w:r>
      <w:r w:rsidRPr="00385A42">
        <w:rPr>
          <w:i/>
          <w:iCs/>
          <w:noProof/>
        </w:rPr>
        <w:t>2</w:t>
      </w:r>
      <w:r w:rsidRPr="00385A42">
        <w:rPr>
          <w:i/>
          <w:iCs/>
        </w:rPr>
        <w:fldChar w:fldCharType="end"/>
      </w:r>
      <w:r w:rsidRPr="00385A42">
        <w:rPr>
          <w:i/>
          <w:iCs/>
        </w:rPr>
        <w:t>.</w:t>
      </w:r>
      <w:r w:rsidR="008978FE" w:rsidRPr="00385A42">
        <w:rPr>
          <w:i/>
          <w:iCs/>
        </w:rPr>
        <w:t xml:space="preserve"> (a) Computational domain for CFD calculations</w:t>
      </w:r>
      <w:r w:rsidR="006E21CD" w:rsidRPr="00385A42">
        <w:rPr>
          <w:i/>
          <w:iCs/>
        </w:rPr>
        <w:t xml:space="preserve">, and (b) close-up of mesh with </w:t>
      </w:r>
      <w:r w:rsidR="00C81B8C">
        <w:rPr>
          <w:i/>
          <w:iCs/>
        </w:rPr>
        <w:t xml:space="preserve">the </w:t>
      </w:r>
      <w:r w:rsidR="006E21CD" w:rsidRPr="00385A42">
        <w:rPr>
          <w:i/>
          <w:iCs/>
        </w:rPr>
        <w:t xml:space="preserve">yellow box indicating </w:t>
      </w:r>
      <w:r w:rsidR="00C81B8C">
        <w:rPr>
          <w:i/>
          <w:iCs/>
        </w:rPr>
        <w:t xml:space="preserve">the </w:t>
      </w:r>
      <w:r w:rsidR="005511A1">
        <w:rPr>
          <w:i/>
          <w:iCs/>
        </w:rPr>
        <w:t>refinement region</w:t>
      </w:r>
      <w:r w:rsidR="00385A42" w:rsidRPr="00385A42">
        <w:rPr>
          <w:i/>
          <w:iCs/>
        </w:rPr>
        <w:t>.</w:t>
      </w:r>
      <w:r w:rsidRPr="00385A42">
        <w:rPr>
          <w:i/>
          <w:iCs/>
        </w:rPr>
        <w:t xml:space="preserve"> </w:t>
      </w:r>
    </w:p>
    <w:p w14:paraId="3ED9EFC2" w14:textId="4F6693BC" w:rsidR="00EC7D8A" w:rsidRDefault="00AA08BD" w:rsidP="00AA08BD">
      <w:pPr>
        <w:pStyle w:val="BodyText"/>
      </w:pPr>
      <w:r w:rsidRPr="00AA08BD">
        <w:t xml:space="preserve">Steady-state solutions of </w:t>
      </w:r>
      <w:r w:rsidR="006A07B1">
        <w:t xml:space="preserve">pollutant </w:t>
      </w:r>
      <w:r w:rsidRPr="00AA08BD">
        <w:t xml:space="preserve">dispersion around the source building are computed, and the Reynolds-averaged Navier-Stokes (RANS) </w:t>
      </w:r>
      <w:r w:rsidRPr="00AA08BD">
        <w:rPr>
          <w:rFonts w:ascii="Cambria Math" w:hAnsi="Cambria Math" w:cs="Cambria Math"/>
        </w:rPr>
        <w:t>𝑘</w:t>
      </w:r>
      <w:r w:rsidRPr="00AA08BD">
        <w:t>-</w:t>
      </w:r>
      <w:r w:rsidRPr="00AA08BD">
        <w:rPr>
          <w:rFonts w:ascii="Cambria Math" w:hAnsi="Cambria Math" w:cs="Cambria Math"/>
        </w:rPr>
        <w:t>𝜖</w:t>
      </w:r>
      <w:r w:rsidRPr="00AA08BD">
        <w:t xml:space="preserve"> turbulence model is employed. The air is modelled as a constant density fluid</w:t>
      </w:r>
      <w:r w:rsidR="00DA45AE">
        <w:t xml:space="preserve"> with</w:t>
      </w:r>
      <w:r w:rsidRPr="00AA08BD">
        <w:t xml:space="preserve"> the </w:t>
      </w:r>
      <w:proofErr w:type="spellStart"/>
      <w:r w:rsidRPr="00AA08BD">
        <w:t>Boussinesq</w:t>
      </w:r>
      <w:proofErr w:type="spellEnd"/>
      <w:r w:rsidRPr="00AA08BD">
        <w:t xml:space="preserve"> model included so that buoyancy and the stability/instability of temperature stratification effects are considered. The source term is modelled as a passive (non-interacting) scalar </w:t>
      </w:r>
      <w:r w:rsidR="0033115E">
        <w:t xml:space="preserve">from a point source </w:t>
      </w:r>
      <w:r w:rsidR="00847101">
        <w:t xml:space="preserve">at </w:t>
      </w:r>
      <w:r w:rsidR="0033115E">
        <w:t>the roof of</w:t>
      </w:r>
      <w:r w:rsidRPr="00AA08BD">
        <w:t xml:space="preserve"> </w:t>
      </w:r>
      <w:r w:rsidR="000C7F07">
        <w:t>one of the buildings</w:t>
      </w:r>
      <w:r w:rsidR="005104AA">
        <w:t xml:space="preserve"> (red dot in Fig. 2a)</w:t>
      </w:r>
      <w:r w:rsidR="005D7279">
        <w:t xml:space="preserve"> </w:t>
      </w:r>
      <w:r w:rsidR="00BD053A">
        <w:t>at a height of 13 m above ground</w:t>
      </w:r>
      <w:r w:rsidR="005D7279">
        <w:t xml:space="preserve">, </w:t>
      </w:r>
      <w:r w:rsidR="005D7279" w:rsidRPr="0054634A">
        <w:t>with a release rate of 0.1 kg/s</w:t>
      </w:r>
      <w:r w:rsidR="00C46EE0">
        <w:t xml:space="preserve"> (</w:t>
      </w:r>
      <w:r w:rsidR="00C46EE0" w:rsidRPr="00693206">
        <w:t>selected to limit momentum</w:t>
      </w:r>
      <w:r w:rsidR="00F3475C">
        <w:t xml:space="preserve"> </w:t>
      </w:r>
      <w:r w:rsidR="00F3475C" w:rsidRPr="00693206">
        <w:t xml:space="preserve">introduced </w:t>
      </w:r>
      <w:r w:rsidR="00F3475C">
        <w:t>by</w:t>
      </w:r>
      <w:r w:rsidR="00F3475C" w:rsidRPr="00693206">
        <w:t xml:space="preserve"> the plume</w:t>
      </w:r>
      <w:r w:rsidR="00F3475C">
        <w:t>)</w:t>
      </w:r>
      <w:r w:rsidR="005F054F">
        <w:t xml:space="preserve">, </w:t>
      </w:r>
      <w:r w:rsidR="005D7279" w:rsidRPr="0054634A">
        <w:t>and a source</w:t>
      </w:r>
      <w:r w:rsidR="008D216D">
        <w:t xml:space="preserve"> of</w:t>
      </w:r>
      <w:r w:rsidR="005D7279" w:rsidRPr="0054634A">
        <w:t xml:space="preserve"> 1 arbitrary</w:t>
      </w:r>
      <w:r w:rsidR="008D216D">
        <w:t xml:space="preserve"> concentration</w:t>
      </w:r>
      <w:r w:rsidR="005D7279" w:rsidRPr="0054634A">
        <w:t xml:space="preserve"> unit</w:t>
      </w:r>
      <w:r w:rsidR="002E341A">
        <w:t xml:space="preserve"> (</w:t>
      </w:r>
      <w:proofErr w:type="spellStart"/>
      <w:r w:rsidR="002E341A">
        <w:t>acu</w:t>
      </w:r>
      <w:proofErr w:type="spellEnd"/>
      <w:r w:rsidR="002E341A">
        <w:t>)</w:t>
      </w:r>
      <w:r w:rsidR="005D7279" w:rsidRPr="0054634A">
        <w:t>.</w:t>
      </w:r>
      <w:r w:rsidR="005D7279">
        <w:t xml:space="preserve"> </w:t>
      </w:r>
    </w:p>
    <w:p w14:paraId="51FEB584" w14:textId="03B65BF8" w:rsidR="00B55ECD" w:rsidRDefault="00B55ECD" w:rsidP="00B55ECD">
      <w:pPr>
        <w:pStyle w:val="BodyText"/>
        <w:spacing w:after="120"/>
        <w:contextualSpacing w:val="0"/>
      </w:pPr>
      <w:r>
        <w:t xml:space="preserve">The vertical profiles of average wind speed and temperature that are applied to the inlet boundary condition are given by Equations (1) and (2) below, according to Arya (1999) </w:t>
      </w:r>
      <w:r>
        <w:fldChar w:fldCharType="begin"/>
      </w:r>
      <w:r w:rsidR="00B864D9">
        <w:instrText xml:space="preserve"> ADDIN EN.CITE &lt;EndNote&gt;&lt;Cite&gt;&lt;Author&gt;Arya&lt;/Author&gt;&lt;Year&gt;1999&lt;/Year&gt;&lt;RecNum&gt;138&lt;/RecNum&gt;&lt;DisplayText&gt;[14]&lt;/DisplayText&gt;&lt;record&gt;&lt;rec-number&gt;138&lt;/rec-number&gt;&lt;foreign-keys&gt;&lt;key app="EN" db-id="sf029s9x7d99dqe50eeprptuz5e5t0etd0d5" timestamp="1710360225" guid="a98a5f73-af4b-4d93-ae8f-e8d0d2df23a8"&gt;138&lt;/key&gt;&lt;/foreign-keys&gt;&lt;ref-type name="Book"&gt;6&lt;/ref-type&gt;&lt;contributors&gt;&lt;authors&gt;&lt;author&gt;Arya, S. P.&lt;/author&gt;&lt;/authors&gt;&lt;/contributors&gt;&lt;titles&gt;&lt;title&gt;Air pollution meteorology and dispersion&lt;/title&gt;&lt;/titles&gt;&lt;volume&gt;310&lt;/volume&gt;&lt;dates&gt;&lt;year&gt;1999&lt;/year&gt;&lt;/dates&gt;&lt;pub-location&gt;New York&lt;/pub-location&gt;&lt;publisher&gt;Oxford University Press&lt;/publisher&gt;&lt;urls&gt;&lt;/urls&gt;&lt;/record&gt;&lt;/Cite&gt;&lt;/EndNote&gt;</w:instrText>
      </w:r>
      <w:r>
        <w:fldChar w:fldCharType="separate"/>
      </w:r>
      <w:r w:rsidR="00B864D9">
        <w:rPr>
          <w:noProof/>
        </w:rPr>
        <w:t>[14]</w:t>
      </w:r>
      <w:r>
        <w:fldChar w:fldCharType="end"/>
      </w:r>
      <w:r>
        <w:t xml:space="preserve"> and Vendel (2011)</w:t>
      </w:r>
      <w:r w:rsidR="00CF6CE0">
        <w:t xml:space="preserve"> </w:t>
      </w:r>
      <w:r w:rsidR="00CF6CE0">
        <w:fldChar w:fldCharType="begin"/>
      </w:r>
      <w:r w:rsidR="00B864D9">
        <w:instrText xml:space="preserve"> ADDIN EN.CITE &lt;EndNote&gt;&lt;Cite&gt;&lt;Author&gt;Vendel&lt;/Author&gt;&lt;Year&gt;2011&lt;/Year&gt;&lt;RecNum&gt;40&lt;/RecNum&gt;&lt;DisplayText&gt;[17]&lt;/DisplayText&gt;&lt;record&gt;&lt;rec-number&gt;40&lt;/rec-number&gt;&lt;foreign-keys&gt;&lt;key app="EN" db-id="sf029s9x7d99dqe50eeprptuz5e5t0etd0d5" timestamp="1698094149" guid="1063aa95-16fc-4c9a-8c62-afe71d669d31"&gt;40&lt;/key&gt;&lt;/foreign-keys&gt;&lt;ref-type name="Thesis"&gt;32&lt;/ref-type&gt;&lt;contributors&gt;&lt;authors&gt;&lt;author&gt;F. Vendel&lt;/author&gt;&lt;/authors&gt;&lt;/contributors&gt;&lt;titles&gt;&lt;title&gt;Modélisation de la dispersion atmosphérique en presence d’obstacles complexes : application à l’étude de sites industriels&lt;/title&gt;&lt;/titles&gt;&lt;dates&gt;&lt;year&gt;2011&lt;/year&gt;&lt;/dates&gt;&lt;publisher&gt;University of Lyon&lt;/publisher&gt;&lt;urls&gt;&lt;/urls&gt;&lt;/record&gt;&lt;/Cite&gt;&lt;/EndNote&gt;</w:instrText>
      </w:r>
      <w:r w:rsidR="00CF6CE0">
        <w:fldChar w:fldCharType="separate"/>
      </w:r>
      <w:r w:rsidR="00B864D9">
        <w:rPr>
          <w:noProof/>
        </w:rPr>
        <w:t>[17]</w:t>
      </w:r>
      <w:r w:rsidR="00CF6CE0">
        <w:fldChar w:fldCharType="end"/>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3"/>
        <w:gridCol w:w="794"/>
      </w:tblGrid>
      <w:tr w:rsidR="00123F94" w:rsidRPr="00776020" w14:paraId="38EB25AB" w14:textId="77777777" w:rsidTr="00B5694F">
        <w:trPr>
          <w:trHeight w:val="514"/>
        </w:trPr>
        <w:tc>
          <w:tcPr>
            <w:tcW w:w="8233" w:type="dxa"/>
            <w:vAlign w:val="center"/>
          </w:tcPr>
          <w:p w14:paraId="45D1D46E" w14:textId="3895E0C2" w:rsidR="00123F94" w:rsidRPr="00776020" w:rsidRDefault="00737975" w:rsidP="00C91D10">
            <w:pPr>
              <w:pStyle w:val="Body"/>
              <w:spacing w:before="0"/>
              <w:jc w:val="center"/>
              <w:rPr>
                <w:sz w:val="18"/>
                <w:szCs w:val="14"/>
              </w:rPr>
            </w:pPr>
            <m:oMathPara>
              <m:oMath>
                <m:f>
                  <m:fPr>
                    <m:ctrlPr>
                      <w:rPr>
                        <w:rFonts w:ascii="Cambria Math" w:hAnsi="Cambria Math"/>
                        <w:sz w:val="18"/>
                        <w:szCs w:val="14"/>
                      </w:rPr>
                    </m:ctrlPr>
                  </m:fPr>
                  <m:num>
                    <m:acc>
                      <m:accPr>
                        <m:chr m:val="̅"/>
                        <m:ctrlPr>
                          <w:rPr>
                            <w:rFonts w:ascii="Cambria Math" w:hAnsi="Cambria Math"/>
                            <w:sz w:val="18"/>
                            <w:szCs w:val="14"/>
                          </w:rPr>
                        </m:ctrlPr>
                      </m:accPr>
                      <m:e>
                        <m:r>
                          <w:rPr>
                            <w:rFonts w:ascii="Cambria Math" w:hAnsi="Cambria Math"/>
                            <w:sz w:val="18"/>
                            <w:szCs w:val="14"/>
                          </w:rPr>
                          <m:t>u</m:t>
                        </m:r>
                      </m:e>
                    </m:acc>
                    <m:r>
                      <m:rPr>
                        <m:sty m:val="p"/>
                      </m:rPr>
                      <w:rPr>
                        <w:rFonts w:ascii="Cambria Math" w:hAnsi="Cambria Math"/>
                        <w:sz w:val="18"/>
                        <w:szCs w:val="14"/>
                      </w:rPr>
                      <m:t>(</m:t>
                    </m:r>
                    <m:r>
                      <w:rPr>
                        <w:rFonts w:ascii="Cambria Math" w:hAnsi="Cambria Math"/>
                        <w:sz w:val="18"/>
                        <w:szCs w:val="14"/>
                      </w:rPr>
                      <m:t>z</m:t>
                    </m:r>
                    <m:r>
                      <m:rPr>
                        <m:sty m:val="p"/>
                      </m:rPr>
                      <w:rPr>
                        <w:rFonts w:ascii="Cambria Math" w:hAnsi="Cambria Math"/>
                        <w:sz w:val="18"/>
                        <w:szCs w:val="14"/>
                      </w:rPr>
                      <m:t>)</m:t>
                    </m:r>
                  </m:num>
                  <m:den>
                    <m:sSub>
                      <m:sSubPr>
                        <m:ctrlPr>
                          <w:rPr>
                            <w:rFonts w:ascii="Cambria Math" w:hAnsi="Cambria Math"/>
                            <w:sz w:val="18"/>
                            <w:szCs w:val="14"/>
                          </w:rPr>
                        </m:ctrlPr>
                      </m:sSubPr>
                      <m:e>
                        <m:r>
                          <w:rPr>
                            <w:rFonts w:ascii="Cambria Math" w:hAnsi="Cambria Math"/>
                            <w:sz w:val="18"/>
                            <w:szCs w:val="14"/>
                          </w:rPr>
                          <m:t>u</m:t>
                        </m:r>
                      </m:e>
                      <m:sub>
                        <m:r>
                          <m:rPr>
                            <m:sty m:val="p"/>
                          </m:rPr>
                          <w:rPr>
                            <w:rFonts w:ascii="Cambria Math" w:hAnsi="Cambria Math"/>
                            <w:sz w:val="18"/>
                            <w:szCs w:val="14"/>
                          </w:rPr>
                          <m:t>*</m:t>
                        </m:r>
                      </m:sub>
                    </m:sSub>
                  </m:den>
                </m:f>
                <m:r>
                  <m:rPr>
                    <m:sty m:val="p"/>
                  </m:rPr>
                  <w:rPr>
                    <w:rFonts w:ascii="Cambria Math" w:hAnsi="Cambria Math"/>
                    <w:sz w:val="18"/>
                    <w:szCs w:val="14"/>
                  </w:rPr>
                  <m:t>=</m:t>
                </m:r>
                <m:f>
                  <m:fPr>
                    <m:ctrlPr>
                      <w:rPr>
                        <w:rFonts w:ascii="Cambria Math" w:hAnsi="Cambria Math"/>
                        <w:sz w:val="18"/>
                        <w:szCs w:val="14"/>
                      </w:rPr>
                    </m:ctrlPr>
                  </m:fPr>
                  <m:num>
                    <m:r>
                      <m:rPr>
                        <m:sty m:val="p"/>
                      </m:rPr>
                      <w:rPr>
                        <w:rFonts w:ascii="Cambria Math" w:hAnsi="Cambria Math"/>
                        <w:sz w:val="18"/>
                        <w:szCs w:val="14"/>
                      </w:rPr>
                      <m:t>1</m:t>
                    </m:r>
                  </m:num>
                  <m:den>
                    <m:r>
                      <w:rPr>
                        <w:rFonts w:ascii="Cambria Math" w:hAnsi="Cambria Math"/>
                        <w:sz w:val="18"/>
                        <w:szCs w:val="14"/>
                      </w:rPr>
                      <m:t>κ</m:t>
                    </m:r>
                  </m:den>
                </m:f>
                <m:d>
                  <m:dPr>
                    <m:begChr m:val="["/>
                    <m:endChr m:val="]"/>
                    <m:ctrlPr>
                      <w:rPr>
                        <w:rFonts w:ascii="Cambria Math" w:hAnsi="Cambria Math"/>
                        <w:sz w:val="18"/>
                        <w:szCs w:val="14"/>
                      </w:rPr>
                    </m:ctrlPr>
                  </m:dPr>
                  <m:e>
                    <m:func>
                      <m:funcPr>
                        <m:ctrlPr>
                          <w:rPr>
                            <w:rFonts w:ascii="Cambria Math" w:hAnsi="Cambria Math"/>
                            <w:sz w:val="18"/>
                            <w:szCs w:val="14"/>
                          </w:rPr>
                        </m:ctrlPr>
                      </m:funcPr>
                      <m:fName>
                        <m:r>
                          <m:rPr>
                            <m:sty m:val="p"/>
                          </m:rPr>
                          <w:rPr>
                            <w:rFonts w:ascii="Cambria Math" w:hAnsi="Cambria Math"/>
                            <w:sz w:val="18"/>
                            <w:szCs w:val="14"/>
                          </w:rPr>
                          <m:t>ln</m:t>
                        </m:r>
                      </m:fName>
                      <m:e>
                        <m:d>
                          <m:dPr>
                            <m:ctrlPr>
                              <w:rPr>
                                <w:rFonts w:ascii="Cambria Math" w:hAnsi="Cambria Math"/>
                                <w:sz w:val="18"/>
                                <w:szCs w:val="14"/>
                              </w:rPr>
                            </m:ctrlPr>
                          </m:dPr>
                          <m:e>
                            <m:f>
                              <m:fPr>
                                <m:ctrlPr>
                                  <w:rPr>
                                    <w:rFonts w:ascii="Cambria Math" w:hAnsi="Cambria Math"/>
                                    <w:sz w:val="18"/>
                                    <w:szCs w:val="14"/>
                                  </w:rPr>
                                </m:ctrlPr>
                              </m:fPr>
                              <m:num>
                                <m:r>
                                  <w:rPr>
                                    <w:rFonts w:ascii="Cambria Math" w:hAnsi="Cambria Math"/>
                                    <w:sz w:val="18"/>
                                    <w:szCs w:val="14"/>
                                  </w:rPr>
                                  <m:t>z</m:t>
                                </m:r>
                                <m:r>
                                  <m:rPr>
                                    <m:sty m:val="p"/>
                                  </m:rPr>
                                  <w:rPr>
                                    <w:rFonts w:ascii="Cambria Math" w:hAnsi="Cambria Math"/>
                                    <w:sz w:val="18"/>
                                    <w:szCs w:val="14"/>
                                  </w:rPr>
                                  <m:t>+</m:t>
                                </m:r>
                                <m:sSub>
                                  <m:sSubPr>
                                    <m:ctrlPr>
                                      <w:rPr>
                                        <w:rFonts w:ascii="Cambria Math" w:hAnsi="Cambria Math"/>
                                        <w:sz w:val="18"/>
                                        <w:szCs w:val="14"/>
                                      </w:rPr>
                                    </m:ctrlPr>
                                  </m:sSubPr>
                                  <m:e>
                                    <m:r>
                                      <w:rPr>
                                        <w:rFonts w:ascii="Cambria Math" w:hAnsi="Cambria Math"/>
                                        <w:sz w:val="18"/>
                                        <w:szCs w:val="14"/>
                                      </w:rPr>
                                      <m:t>z</m:t>
                                    </m:r>
                                  </m:e>
                                  <m:sub>
                                    <m:r>
                                      <w:rPr>
                                        <w:rFonts w:ascii="Cambria Math" w:hAnsi="Cambria Math"/>
                                        <w:sz w:val="18"/>
                                        <w:szCs w:val="14"/>
                                      </w:rPr>
                                      <m:t>0</m:t>
                                    </m:r>
                                  </m:sub>
                                </m:sSub>
                              </m:num>
                              <m:den>
                                <m:sSub>
                                  <m:sSubPr>
                                    <m:ctrlPr>
                                      <w:rPr>
                                        <w:rFonts w:ascii="Cambria Math" w:hAnsi="Cambria Math"/>
                                        <w:sz w:val="18"/>
                                        <w:szCs w:val="14"/>
                                      </w:rPr>
                                    </m:ctrlPr>
                                  </m:sSubPr>
                                  <m:e>
                                    <m:r>
                                      <w:rPr>
                                        <w:rFonts w:ascii="Cambria Math" w:hAnsi="Cambria Math"/>
                                        <w:sz w:val="18"/>
                                        <w:szCs w:val="14"/>
                                      </w:rPr>
                                      <m:t>z</m:t>
                                    </m:r>
                                  </m:e>
                                  <m:sub>
                                    <m:r>
                                      <w:rPr>
                                        <w:rFonts w:ascii="Cambria Math" w:hAnsi="Cambria Math"/>
                                        <w:sz w:val="18"/>
                                        <w:szCs w:val="14"/>
                                      </w:rPr>
                                      <m:t>0</m:t>
                                    </m:r>
                                  </m:sub>
                                </m:sSub>
                              </m:den>
                            </m:f>
                          </m:e>
                        </m:d>
                        <m:r>
                          <m:rPr>
                            <m:sty m:val="p"/>
                          </m:rPr>
                          <w:rPr>
                            <w:rFonts w:ascii="Cambria Math" w:hAnsi="Cambria Math"/>
                            <w:sz w:val="18"/>
                            <w:szCs w:val="14"/>
                          </w:rPr>
                          <m:t>-</m:t>
                        </m:r>
                        <m:sSub>
                          <m:sSubPr>
                            <m:ctrlPr>
                              <w:rPr>
                                <w:rFonts w:ascii="Cambria Math" w:hAnsi="Cambria Math"/>
                                <w:sz w:val="18"/>
                                <w:szCs w:val="14"/>
                              </w:rPr>
                            </m:ctrlPr>
                          </m:sSubPr>
                          <m:e>
                            <m:r>
                              <w:rPr>
                                <w:rFonts w:ascii="Cambria Math" w:hAnsi="Cambria Math"/>
                                <w:sz w:val="18"/>
                                <w:szCs w:val="14"/>
                              </w:rPr>
                              <m:t>ψ</m:t>
                            </m:r>
                          </m:e>
                          <m:sub>
                            <m:r>
                              <w:rPr>
                                <w:rFonts w:ascii="Cambria Math" w:hAnsi="Cambria Math"/>
                                <w:sz w:val="18"/>
                                <w:szCs w:val="14"/>
                              </w:rPr>
                              <m:t>m</m:t>
                            </m:r>
                          </m:sub>
                        </m:sSub>
                        <m:d>
                          <m:dPr>
                            <m:ctrlPr>
                              <w:rPr>
                                <w:rFonts w:ascii="Cambria Math" w:hAnsi="Cambria Math"/>
                                <w:sz w:val="18"/>
                                <w:szCs w:val="14"/>
                              </w:rPr>
                            </m:ctrlPr>
                          </m:dPr>
                          <m:e>
                            <m:f>
                              <m:fPr>
                                <m:ctrlPr>
                                  <w:rPr>
                                    <w:rFonts w:ascii="Cambria Math" w:hAnsi="Cambria Math"/>
                                    <w:sz w:val="18"/>
                                    <w:szCs w:val="14"/>
                                  </w:rPr>
                                </m:ctrlPr>
                              </m:fPr>
                              <m:num>
                                <m:r>
                                  <w:rPr>
                                    <w:rFonts w:ascii="Cambria Math" w:hAnsi="Cambria Math"/>
                                    <w:sz w:val="18"/>
                                    <w:szCs w:val="14"/>
                                  </w:rPr>
                                  <m:t>z</m:t>
                                </m:r>
                              </m:num>
                              <m:den>
                                <m:r>
                                  <w:rPr>
                                    <w:rFonts w:ascii="Cambria Math" w:hAnsi="Cambria Math"/>
                                    <w:sz w:val="18"/>
                                    <w:szCs w:val="14"/>
                                  </w:rPr>
                                  <m:t>L</m:t>
                                </m:r>
                              </m:den>
                            </m:f>
                          </m:e>
                        </m:d>
                      </m:e>
                    </m:func>
                  </m:e>
                </m:d>
              </m:oMath>
            </m:oMathPara>
          </w:p>
        </w:tc>
        <w:tc>
          <w:tcPr>
            <w:tcW w:w="794" w:type="dxa"/>
            <w:vAlign w:val="center"/>
          </w:tcPr>
          <w:p w14:paraId="1DCF6890" w14:textId="77777777" w:rsidR="00123F94" w:rsidRPr="00776020" w:rsidRDefault="00123F94" w:rsidP="00C91D10">
            <w:pPr>
              <w:pStyle w:val="Body"/>
              <w:spacing w:before="0"/>
              <w:jc w:val="center"/>
              <w:rPr>
                <w:sz w:val="18"/>
                <w:szCs w:val="14"/>
              </w:rPr>
            </w:pPr>
            <w:bookmarkStart w:id="1" w:name="_Ref31881249"/>
            <w:bookmarkStart w:id="2" w:name="_Ref1243524"/>
            <w:r w:rsidRPr="00776020">
              <w:rPr>
                <w:sz w:val="18"/>
                <w:szCs w:val="14"/>
              </w:rPr>
              <w:t>(</w:t>
            </w:r>
            <w:r w:rsidRPr="00776020">
              <w:rPr>
                <w:sz w:val="18"/>
                <w:szCs w:val="14"/>
              </w:rPr>
              <w:fldChar w:fldCharType="begin"/>
            </w:r>
            <w:r w:rsidRPr="00776020">
              <w:rPr>
                <w:sz w:val="18"/>
                <w:szCs w:val="14"/>
              </w:rPr>
              <w:instrText xml:space="preserve"> SEQ Equation \* ARABIC </w:instrText>
            </w:r>
            <w:r w:rsidRPr="00776020">
              <w:rPr>
                <w:sz w:val="18"/>
                <w:szCs w:val="14"/>
              </w:rPr>
              <w:fldChar w:fldCharType="separate"/>
            </w:r>
            <w:r>
              <w:rPr>
                <w:noProof/>
                <w:sz w:val="18"/>
                <w:szCs w:val="14"/>
              </w:rPr>
              <w:t>1</w:t>
            </w:r>
            <w:r w:rsidRPr="00776020">
              <w:rPr>
                <w:sz w:val="18"/>
                <w:szCs w:val="14"/>
              </w:rPr>
              <w:fldChar w:fldCharType="end"/>
            </w:r>
            <w:bookmarkEnd w:id="1"/>
            <w:bookmarkEnd w:id="2"/>
            <w:r w:rsidRPr="00776020">
              <w:rPr>
                <w:sz w:val="18"/>
                <w:szCs w:val="14"/>
              </w:rPr>
              <w:t>)</w:t>
            </w:r>
          </w:p>
        </w:tc>
      </w:tr>
      <w:tr w:rsidR="00123F94" w:rsidRPr="00776020" w14:paraId="55A3D5C1" w14:textId="77777777" w:rsidTr="00B5694F">
        <w:trPr>
          <w:trHeight w:val="524"/>
        </w:trPr>
        <w:tc>
          <w:tcPr>
            <w:tcW w:w="8233" w:type="dxa"/>
            <w:vAlign w:val="center"/>
          </w:tcPr>
          <w:p w14:paraId="3010E44B" w14:textId="228FC93B" w:rsidR="00123F94" w:rsidRPr="00776020" w:rsidRDefault="00737975" w:rsidP="00C91D10">
            <w:pPr>
              <w:pStyle w:val="Body"/>
              <w:spacing w:before="0"/>
              <w:jc w:val="center"/>
              <w:rPr>
                <w:sz w:val="18"/>
                <w:szCs w:val="14"/>
              </w:rPr>
            </w:pPr>
            <m:oMathPara>
              <m:oMath>
                <m:f>
                  <m:fPr>
                    <m:ctrlPr>
                      <w:rPr>
                        <w:rFonts w:ascii="Cambria Math" w:hAnsi="Cambria Math"/>
                        <w:sz w:val="18"/>
                        <w:szCs w:val="14"/>
                      </w:rPr>
                    </m:ctrlPr>
                  </m:fPr>
                  <m:num>
                    <m:acc>
                      <m:accPr>
                        <m:chr m:val="̅"/>
                        <m:ctrlPr>
                          <w:rPr>
                            <w:rFonts w:ascii="Cambria Math" w:hAnsi="Cambria Math"/>
                            <w:sz w:val="18"/>
                            <w:szCs w:val="14"/>
                          </w:rPr>
                        </m:ctrlPr>
                      </m:accPr>
                      <m:e>
                        <m:r>
                          <w:rPr>
                            <w:rFonts w:ascii="Cambria Math" w:hAnsi="Cambria Math"/>
                            <w:sz w:val="18"/>
                            <w:szCs w:val="14"/>
                          </w:rPr>
                          <m:t>θ</m:t>
                        </m:r>
                      </m:e>
                    </m:acc>
                    <m:r>
                      <m:rPr>
                        <m:sty m:val="p"/>
                      </m:rPr>
                      <w:rPr>
                        <w:rFonts w:ascii="Cambria Math" w:hAnsi="Cambria Math"/>
                        <w:sz w:val="18"/>
                        <w:szCs w:val="14"/>
                      </w:rPr>
                      <m:t>(</m:t>
                    </m:r>
                    <m:r>
                      <w:rPr>
                        <w:rFonts w:ascii="Cambria Math" w:hAnsi="Cambria Math"/>
                        <w:sz w:val="18"/>
                        <w:szCs w:val="14"/>
                      </w:rPr>
                      <m:t>z</m:t>
                    </m:r>
                    <m:r>
                      <m:rPr>
                        <m:sty m:val="p"/>
                      </m:rPr>
                      <w:rPr>
                        <w:rFonts w:ascii="Cambria Math" w:hAnsi="Cambria Math"/>
                        <w:sz w:val="18"/>
                        <w:szCs w:val="14"/>
                      </w:rPr>
                      <m:t>)-</m:t>
                    </m:r>
                    <m:sSub>
                      <m:sSubPr>
                        <m:ctrlPr>
                          <w:rPr>
                            <w:rFonts w:ascii="Cambria Math" w:hAnsi="Cambria Math"/>
                            <w:sz w:val="18"/>
                            <w:szCs w:val="14"/>
                          </w:rPr>
                        </m:ctrlPr>
                      </m:sSubPr>
                      <m:e>
                        <m:r>
                          <w:rPr>
                            <w:rFonts w:ascii="Cambria Math" w:hAnsi="Cambria Math"/>
                            <w:sz w:val="18"/>
                            <w:szCs w:val="14"/>
                          </w:rPr>
                          <m:t>T</m:t>
                        </m:r>
                      </m:e>
                      <m:sub>
                        <m:r>
                          <w:rPr>
                            <w:rFonts w:ascii="Cambria Math" w:hAnsi="Cambria Math"/>
                            <w:sz w:val="18"/>
                            <w:szCs w:val="14"/>
                          </w:rPr>
                          <m:t>0</m:t>
                        </m:r>
                      </m:sub>
                    </m:sSub>
                  </m:num>
                  <m:den>
                    <m:sSub>
                      <m:sSubPr>
                        <m:ctrlPr>
                          <w:rPr>
                            <w:rFonts w:ascii="Cambria Math" w:hAnsi="Cambria Math"/>
                            <w:sz w:val="18"/>
                            <w:szCs w:val="14"/>
                          </w:rPr>
                        </m:ctrlPr>
                      </m:sSubPr>
                      <m:e>
                        <m:r>
                          <w:rPr>
                            <w:rFonts w:ascii="Cambria Math" w:hAnsi="Cambria Math"/>
                            <w:sz w:val="18"/>
                            <w:szCs w:val="14"/>
                          </w:rPr>
                          <m:t>θ</m:t>
                        </m:r>
                      </m:e>
                      <m:sub>
                        <m:r>
                          <m:rPr>
                            <m:sty m:val="p"/>
                          </m:rPr>
                          <w:rPr>
                            <w:rFonts w:ascii="Cambria Math" w:hAnsi="Cambria Math"/>
                            <w:sz w:val="18"/>
                            <w:szCs w:val="14"/>
                          </w:rPr>
                          <m:t>*</m:t>
                        </m:r>
                      </m:sub>
                    </m:sSub>
                  </m:den>
                </m:f>
                <m:r>
                  <m:rPr>
                    <m:sty m:val="p"/>
                  </m:rPr>
                  <w:rPr>
                    <w:rFonts w:ascii="Cambria Math" w:hAnsi="Cambria Math"/>
                    <w:sz w:val="18"/>
                    <w:szCs w:val="14"/>
                  </w:rPr>
                  <m:t>=</m:t>
                </m:r>
                <m:f>
                  <m:fPr>
                    <m:ctrlPr>
                      <w:rPr>
                        <w:rFonts w:ascii="Cambria Math" w:hAnsi="Cambria Math"/>
                        <w:sz w:val="18"/>
                        <w:szCs w:val="14"/>
                      </w:rPr>
                    </m:ctrlPr>
                  </m:fPr>
                  <m:num>
                    <m:r>
                      <m:rPr>
                        <m:sty m:val="p"/>
                      </m:rPr>
                      <w:rPr>
                        <w:rFonts w:ascii="Cambria Math" w:hAnsi="Cambria Math"/>
                        <w:sz w:val="18"/>
                        <w:szCs w:val="14"/>
                      </w:rPr>
                      <m:t>1</m:t>
                    </m:r>
                  </m:num>
                  <m:den>
                    <m:r>
                      <w:rPr>
                        <w:rFonts w:ascii="Cambria Math" w:hAnsi="Cambria Math"/>
                        <w:sz w:val="18"/>
                        <w:szCs w:val="14"/>
                      </w:rPr>
                      <m:t>κ</m:t>
                    </m:r>
                  </m:den>
                </m:f>
                <m:d>
                  <m:dPr>
                    <m:begChr m:val="["/>
                    <m:endChr m:val="]"/>
                    <m:ctrlPr>
                      <w:rPr>
                        <w:rFonts w:ascii="Cambria Math" w:hAnsi="Cambria Math"/>
                        <w:sz w:val="18"/>
                        <w:szCs w:val="14"/>
                      </w:rPr>
                    </m:ctrlPr>
                  </m:dPr>
                  <m:e>
                    <m:func>
                      <m:funcPr>
                        <m:ctrlPr>
                          <w:rPr>
                            <w:rFonts w:ascii="Cambria Math" w:hAnsi="Cambria Math"/>
                            <w:sz w:val="18"/>
                            <w:szCs w:val="14"/>
                          </w:rPr>
                        </m:ctrlPr>
                      </m:funcPr>
                      <m:fName>
                        <m:r>
                          <m:rPr>
                            <m:sty m:val="p"/>
                          </m:rPr>
                          <w:rPr>
                            <w:rFonts w:ascii="Cambria Math" w:hAnsi="Cambria Math"/>
                            <w:sz w:val="18"/>
                            <w:szCs w:val="14"/>
                          </w:rPr>
                          <m:t>ln</m:t>
                        </m:r>
                      </m:fName>
                      <m:e>
                        <m:d>
                          <m:dPr>
                            <m:ctrlPr>
                              <w:rPr>
                                <w:rFonts w:ascii="Cambria Math" w:hAnsi="Cambria Math"/>
                                <w:sz w:val="18"/>
                                <w:szCs w:val="14"/>
                              </w:rPr>
                            </m:ctrlPr>
                          </m:dPr>
                          <m:e>
                            <m:f>
                              <m:fPr>
                                <m:ctrlPr>
                                  <w:rPr>
                                    <w:rFonts w:ascii="Cambria Math" w:hAnsi="Cambria Math"/>
                                    <w:sz w:val="18"/>
                                    <w:szCs w:val="14"/>
                                  </w:rPr>
                                </m:ctrlPr>
                              </m:fPr>
                              <m:num>
                                <m:r>
                                  <w:rPr>
                                    <w:rFonts w:ascii="Cambria Math" w:hAnsi="Cambria Math"/>
                                    <w:sz w:val="18"/>
                                    <w:szCs w:val="14"/>
                                  </w:rPr>
                                  <m:t>z</m:t>
                                </m:r>
                                <m:r>
                                  <m:rPr>
                                    <m:sty m:val="p"/>
                                  </m:rPr>
                                  <w:rPr>
                                    <w:rFonts w:ascii="Cambria Math" w:hAnsi="Cambria Math"/>
                                    <w:sz w:val="18"/>
                                    <w:szCs w:val="14"/>
                                  </w:rPr>
                                  <m:t>+</m:t>
                                </m:r>
                                <m:sSub>
                                  <m:sSubPr>
                                    <m:ctrlPr>
                                      <w:rPr>
                                        <w:rFonts w:ascii="Cambria Math" w:hAnsi="Cambria Math"/>
                                        <w:sz w:val="18"/>
                                        <w:szCs w:val="14"/>
                                      </w:rPr>
                                    </m:ctrlPr>
                                  </m:sSubPr>
                                  <m:e>
                                    <m:r>
                                      <w:rPr>
                                        <w:rFonts w:ascii="Cambria Math" w:hAnsi="Cambria Math"/>
                                        <w:sz w:val="18"/>
                                        <w:szCs w:val="14"/>
                                      </w:rPr>
                                      <m:t>z</m:t>
                                    </m:r>
                                  </m:e>
                                  <m:sub>
                                    <m:r>
                                      <w:rPr>
                                        <w:rFonts w:ascii="Cambria Math" w:hAnsi="Cambria Math"/>
                                        <w:sz w:val="18"/>
                                        <w:szCs w:val="14"/>
                                      </w:rPr>
                                      <m:t>0</m:t>
                                    </m:r>
                                  </m:sub>
                                </m:sSub>
                              </m:num>
                              <m:den>
                                <m:sSub>
                                  <m:sSubPr>
                                    <m:ctrlPr>
                                      <w:rPr>
                                        <w:rFonts w:ascii="Cambria Math" w:hAnsi="Cambria Math"/>
                                        <w:sz w:val="18"/>
                                        <w:szCs w:val="14"/>
                                      </w:rPr>
                                    </m:ctrlPr>
                                  </m:sSubPr>
                                  <m:e>
                                    <m:r>
                                      <w:rPr>
                                        <w:rFonts w:ascii="Cambria Math" w:hAnsi="Cambria Math"/>
                                        <w:sz w:val="18"/>
                                        <w:szCs w:val="14"/>
                                      </w:rPr>
                                      <m:t>z</m:t>
                                    </m:r>
                                  </m:e>
                                  <m:sub>
                                    <m:r>
                                      <w:rPr>
                                        <w:rFonts w:ascii="Cambria Math" w:hAnsi="Cambria Math"/>
                                        <w:sz w:val="18"/>
                                        <w:szCs w:val="14"/>
                                      </w:rPr>
                                      <m:t>0</m:t>
                                    </m:r>
                                  </m:sub>
                                </m:sSub>
                              </m:den>
                            </m:f>
                          </m:e>
                        </m:d>
                        <m:r>
                          <m:rPr>
                            <m:sty m:val="p"/>
                          </m:rPr>
                          <w:rPr>
                            <w:rFonts w:ascii="Cambria Math" w:hAnsi="Cambria Math"/>
                            <w:sz w:val="18"/>
                            <w:szCs w:val="14"/>
                          </w:rPr>
                          <m:t>-</m:t>
                        </m:r>
                        <m:sSub>
                          <m:sSubPr>
                            <m:ctrlPr>
                              <w:rPr>
                                <w:rFonts w:ascii="Cambria Math" w:hAnsi="Cambria Math"/>
                                <w:sz w:val="18"/>
                                <w:szCs w:val="14"/>
                              </w:rPr>
                            </m:ctrlPr>
                          </m:sSubPr>
                          <m:e>
                            <m:r>
                              <w:rPr>
                                <w:rFonts w:ascii="Cambria Math" w:hAnsi="Cambria Math"/>
                                <w:sz w:val="18"/>
                                <w:szCs w:val="14"/>
                              </w:rPr>
                              <m:t>ψ</m:t>
                            </m:r>
                          </m:e>
                          <m:sub>
                            <m:r>
                              <w:rPr>
                                <w:rFonts w:ascii="Cambria Math" w:hAnsi="Cambria Math"/>
                                <w:sz w:val="18"/>
                                <w:szCs w:val="14"/>
                              </w:rPr>
                              <m:t>h</m:t>
                            </m:r>
                          </m:sub>
                        </m:sSub>
                        <m:d>
                          <m:dPr>
                            <m:ctrlPr>
                              <w:rPr>
                                <w:rFonts w:ascii="Cambria Math" w:hAnsi="Cambria Math"/>
                                <w:sz w:val="18"/>
                                <w:szCs w:val="14"/>
                              </w:rPr>
                            </m:ctrlPr>
                          </m:dPr>
                          <m:e>
                            <m:f>
                              <m:fPr>
                                <m:ctrlPr>
                                  <w:rPr>
                                    <w:rFonts w:ascii="Cambria Math" w:hAnsi="Cambria Math"/>
                                    <w:sz w:val="18"/>
                                    <w:szCs w:val="14"/>
                                  </w:rPr>
                                </m:ctrlPr>
                              </m:fPr>
                              <m:num>
                                <m:r>
                                  <w:rPr>
                                    <w:rFonts w:ascii="Cambria Math" w:hAnsi="Cambria Math"/>
                                    <w:sz w:val="18"/>
                                    <w:szCs w:val="14"/>
                                  </w:rPr>
                                  <m:t>z</m:t>
                                </m:r>
                              </m:num>
                              <m:den>
                                <m:r>
                                  <w:rPr>
                                    <w:rFonts w:ascii="Cambria Math" w:hAnsi="Cambria Math"/>
                                    <w:sz w:val="18"/>
                                    <w:szCs w:val="14"/>
                                  </w:rPr>
                                  <m:t>L</m:t>
                                </m:r>
                              </m:den>
                            </m:f>
                          </m:e>
                        </m:d>
                      </m:e>
                    </m:func>
                  </m:e>
                </m:d>
              </m:oMath>
            </m:oMathPara>
          </w:p>
        </w:tc>
        <w:tc>
          <w:tcPr>
            <w:tcW w:w="794" w:type="dxa"/>
            <w:vAlign w:val="center"/>
          </w:tcPr>
          <w:p w14:paraId="1312DC8D" w14:textId="77777777" w:rsidR="00123F94" w:rsidRPr="00776020" w:rsidRDefault="00123F94" w:rsidP="00C91D10">
            <w:pPr>
              <w:pStyle w:val="Body"/>
              <w:spacing w:before="0"/>
              <w:jc w:val="center"/>
              <w:rPr>
                <w:sz w:val="18"/>
                <w:szCs w:val="14"/>
              </w:rPr>
            </w:pPr>
            <w:bookmarkStart w:id="3" w:name="_Ref3026648"/>
            <w:r w:rsidRPr="00776020">
              <w:rPr>
                <w:sz w:val="18"/>
                <w:szCs w:val="14"/>
              </w:rPr>
              <w:t>(</w:t>
            </w:r>
            <w:r w:rsidRPr="00776020">
              <w:rPr>
                <w:sz w:val="18"/>
                <w:szCs w:val="14"/>
              </w:rPr>
              <w:fldChar w:fldCharType="begin"/>
            </w:r>
            <w:r w:rsidRPr="00776020">
              <w:rPr>
                <w:sz w:val="18"/>
                <w:szCs w:val="14"/>
              </w:rPr>
              <w:instrText xml:space="preserve"> SEQ Equation \* ARABIC </w:instrText>
            </w:r>
            <w:r w:rsidRPr="00776020">
              <w:rPr>
                <w:sz w:val="18"/>
                <w:szCs w:val="14"/>
              </w:rPr>
              <w:fldChar w:fldCharType="separate"/>
            </w:r>
            <w:r>
              <w:rPr>
                <w:noProof/>
                <w:sz w:val="18"/>
                <w:szCs w:val="14"/>
              </w:rPr>
              <w:t>2</w:t>
            </w:r>
            <w:r w:rsidRPr="00776020">
              <w:rPr>
                <w:sz w:val="18"/>
                <w:szCs w:val="14"/>
              </w:rPr>
              <w:fldChar w:fldCharType="end"/>
            </w:r>
            <w:bookmarkEnd w:id="3"/>
            <w:r w:rsidRPr="00776020">
              <w:rPr>
                <w:sz w:val="18"/>
                <w:szCs w:val="14"/>
              </w:rPr>
              <w:t>)</w:t>
            </w:r>
          </w:p>
        </w:tc>
      </w:tr>
    </w:tbl>
    <w:p w14:paraId="2912D193" w14:textId="222C8C71" w:rsidR="00B55ECD" w:rsidRPr="00C97A5A" w:rsidRDefault="00B5694F" w:rsidP="00606247">
      <w:pPr>
        <w:pStyle w:val="BodyText"/>
      </w:pPr>
      <w:r w:rsidRPr="00B5694F">
        <w:t xml:space="preserve">Here, </w:t>
      </w:r>
      <m:oMath>
        <m:sSub>
          <m:sSubPr>
            <m:ctrlPr>
              <w:rPr>
                <w:rFonts w:ascii="Cambria Math" w:hAnsi="Cambria Math"/>
                <w:i/>
              </w:rPr>
            </m:ctrlPr>
          </m:sSubPr>
          <m:e>
            <m:r>
              <w:rPr>
                <w:rFonts w:ascii="Cambria Math" w:hAnsi="Cambria Math"/>
              </w:rPr>
              <m:t>u</m:t>
            </m:r>
          </m:e>
          <m:sub>
            <m:r>
              <w:rPr>
                <w:rFonts w:ascii="Cambria Math" w:hAnsi="Cambria Math"/>
              </w:rPr>
              <m:t>*</m:t>
            </m:r>
          </m:sub>
        </m:sSub>
      </m:oMath>
      <w:r w:rsidRPr="00B5694F">
        <w:t xml:space="preserve"> is the friction velocity</w:t>
      </w:r>
      <w:r w:rsidRPr="00D1206E">
        <w:t>,</w:t>
      </w:r>
      <m:oMath>
        <m:r>
          <w:rPr>
            <w:rStyle w:val="PlaceholderText"/>
            <w:rFonts w:ascii="Cambria Math" w:hAnsi="Cambria Math"/>
            <w:color w:val="auto"/>
          </w:rPr>
          <m:t xml:space="preserve"> </m:t>
        </m:r>
        <m:sSub>
          <m:sSubPr>
            <m:ctrlPr>
              <w:rPr>
                <w:rStyle w:val="PlaceholderText"/>
                <w:rFonts w:ascii="Cambria Math" w:hAnsi="Cambria Math"/>
                <w:i/>
                <w:color w:val="auto"/>
              </w:rPr>
            </m:ctrlPr>
          </m:sSubPr>
          <m:e>
            <m:r>
              <w:rPr>
                <w:rStyle w:val="PlaceholderText"/>
                <w:rFonts w:ascii="Cambria Math" w:hAnsi="Cambria Math"/>
                <w:color w:val="auto"/>
              </w:rPr>
              <m:t>θ</m:t>
            </m:r>
          </m:e>
          <m:sub>
            <m:r>
              <w:rPr>
                <w:rStyle w:val="PlaceholderText"/>
                <w:rFonts w:ascii="Cambria Math" w:hAnsi="Cambria Math"/>
                <w:color w:val="auto"/>
              </w:rPr>
              <m:t>*</m:t>
            </m:r>
          </m:sub>
        </m:sSub>
        <m:r>
          <w:rPr>
            <w:rStyle w:val="PlaceholderText"/>
            <w:rFonts w:ascii="Cambria Math" w:hAnsi="Cambria Math"/>
            <w:color w:val="auto"/>
          </w:rPr>
          <m:t>=</m:t>
        </m:r>
        <m:f>
          <m:fPr>
            <m:type m:val="lin"/>
            <m:ctrlPr>
              <w:rPr>
                <w:rStyle w:val="PlaceholderText"/>
                <w:rFonts w:ascii="Cambria Math" w:hAnsi="Cambria Math"/>
                <w:i/>
                <w:color w:val="auto"/>
              </w:rPr>
            </m:ctrlPr>
          </m:fPr>
          <m:num>
            <m:r>
              <w:rPr>
                <w:rStyle w:val="PlaceholderText"/>
                <w:rFonts w:ascii="Cambria Math" w:hAnsi="Cambria Math"/>
                <w:color w:val="auto"/>
              </w:rPr>
              <m:t>q</m:t>
            </m:r>
          </m:num>
          <m:den>
            <m:sSub>
              <m:sSubPr>
                <m:ctrlPr>
                  <w:rPr>
                    <w:rStyle w:val="PlaceholderText"/>
                    <w:rFonts w:ascii="Cambria Math" w:hAnsi="Cambria Math"/>
                    <w:i/>
                    <w:color w:val="auto"/>
                  </w:rPr>
                </m:ctrlPr>
              </m:sSubPr>
              <m:e>
                <m:r>
                  <w:rPr>
                    <w:rStyle w:val="PlaceholderText"/>
                    <w:rFonts w:ascii="Cambria Math" w:hAnsi="Cambria Math"/>
                    <w:color w:val="auto"/>
                  </w:rPr>
                  <m:t>c</m:t>
                </m:r>
              </m:e>
              <m:sub>
                <m:r>
                  <w:rPr>
                    <w:rStyle w:val="PlaceholderText"/>
                    <w:rFonts w:ascii="Cambria Math" w:hAnsi="Cambria Math"/>
                    <w:color w:val="auto"/>
                  </w:rPr>
                  <m:t>p</m:t>
                </m:r>
              </m:sub>
            </m:sSub>
            <m:sSub>
              <m:sSubPr>
                <m:ctrlPr>
                  <w:rPr>
                    <w:rStyle w:val="PlaceholderText"/>
                    <w:rFonts w:ascii="Cambria Math" w:hAnsi="Cambria Math"/>
                    <w:i/>
                    <w:color w:val="auto"/>
                  </w:rPr>
                </m:ctrlPr>
              </m:sSubPr>
              <m:e>
                <m:r>
                  <w:rPr>
                    <w:rStyle w:val="PlaceholderText"/>
                    <w:rFonts w:ascii="Cambria Math" w:hAnsi="Cambria Math"/>
                    <w:color w:val="auto"/>
                  </w:rPr>
                  <m:t>ρ</m:t>
                </m:r>
              </m:e>
              <m:sub>
                <m:r>
                  <w:rPr>
                    <w:rStyle w:val="PlaceholderText"/>
                    <w:rFonts w:ascii="Cambria Math" w:hAnsi="Cambria Math"/>
                    <w:color w:val="auto"/>
                  </w:rPr>
                  <m:t>0</m:t>
                </m:r>
              </m:sub>
            </m:sSub>
            <m:sSub>
              <m:sSubPr>
                <m:ctrlPr>
                  <w:rPr>
                    <w:rStyle w:val="PlaceholderText"/>
                    <w:rFonts w:ascii="Cambria Math" w:hAnsi="Cambria Math"/>
                    <w:i/>
                    <w:color w:val="auto"/>
                  </w:rPr>
                </m:ctrlPr>
              </m:sSubPr>
              <m:e>
                <m:r>
                  <w:rPr>
                    <w:rStyle w:val="PlaceholderText"/>
                    <w:rFonts w:ascii="Cambria Math" w:hAnsi="Cambria Math"/>
                    <w:color w:val="auto"/>
                  </w:rPr>
                  <m:t>u</m:t>
                </m:r>
              </m:e>
              <m:sub>
                <m:r>
                  <w:rPr>
                    <w:rStyle w:val="PlaceholderText"/>
                    <w:rFonts w:ascii="Cambria Math" w:hAnsi="Cambria Math"/>
                    <w:color w:val="auto"/>
                  </w:rPr>
                  <m:t>*</m:t>
                </m:r>
              </m:sub>
            </m:sSub>
          </m:den>
        </m:f>
      </m:oMath>
      <w:r w:rsidR="007F302E">
        <w:rPr>
          <w:rFonts w:ascii="Cambria Math" w:hAnsi="Cambria Math" w:cs="Cambria Math"/>
        </w:rPr>
        <w:t xml:space="preserve"> </w:t>
      </w:r>
      <w:r w:rsidRPr="00B5694F">
        <w:t xml:space="preserve">is the friction temperature, </w:t>
      </w:r>
      <m:oMath>
        <m:r>
          <w:rPr>
            <w:rFonts w:ascii="Cambria Math" w:hAnsi="Cambria Math"/>
          </w:rPr>
          <m:t>κ=0.42</m:t>
        </m:r>
      </m:oMath>
      <w:r w:rsidRPr="00B5694F">
        <w:t xml:space="preserve"> is the Von-Karman constant, </w:t>
      </w:r>
      <m:oMath>
        <m:sSub>
          <m:sSubPr>
            <m:ctrlPr>
              <w:rPr>
                <w:rFonts w:ascii="Cambria Math" w:hAnsi="Cambria Math"/>
                <w:sz w:val="18"/>
                <w:szCs w:val="14"/>
              </w:rPr>
            </m:ctrlPr>
          </m:sSubPr>
          <m:e>
            <m:r>
              <w:rPr>
                <w:rFonts w:ascii="Cambria Math" w:hAnsi="Cambria Math"/>
                <w:sz w:val="18"/>
                <w:szCs w:val="14"/>
              </w:rPr>
              <m:t>z</m:t>
            </m:r>
          </m:e>
          <m:sub>
            <m:r>
              <w:rPr>
                <w:rFonts w:ascii="Cambria Math" w:hAnsi="Cambria Math"/>
                <w:sz w:val="18"/>
                <w:szCs w:val="14"/>
              </w:rPr>
              <m:t>0</m:t>
            </m:r>
          </m:sub>
        </m:sSub>
        <m:r>
          <w:rPr>
            <w:rFonts w:ascii="Cambria Math" w:hAnsi="Cambria Math"/>
            <w:sz w:val="18"/>
            <w:szCs w:val="14"/>
          </w:rPr>
          <m:t xml:space="preserve"> </m:t>
        </m:r>
      </m:oMath>
      <w:r w:rsidRPr="00B5694F">
        <w:t>is the roughness length,</w:t>
      </w:r>
      <w:r w:rsidR="00A63D2A">
        <w:t xml:space="preserve"> </w:t>
      </w:r>
      <m:oMath>
        <m:sSub>
          <m:sSubPr>
            <m:ctrlPr>
              <w:rPr>
                <w:rFonts w:ascii="Cambria Math" w:hAnsi="Cambria Math"/>
                <w:sz w:val="18"/>
                <w:szCs w:val="14"/>
              </w:rPr>
            </m:ctrlPr>
          </m:sSubPr>
          <m:e>
            <m:r>
              <w:rPr>
                <w:rFonts w:ascii="Cambria Math" w:hAnsi="Cambria Math"/>
                <w:sz w:val="18"/>
                <w:szCs w:val="14"/>
              </w:rPr>
              <m:t>T</m:t>
            </m:r>
          </m:e>
          <m:sub>
            <m:r>
              <w:rPr>
                <w:rFonts w:ascii="Cambria Math" w:hAnsi="Cambria Math"/>
                <w:sz w:val="18"/>
                <w:szCs w:val="14"/>
              </w:rPr>
              <m:t>0</m:t>
            </m:r>
          </m:sub>
        </m:sSub>
      </m:oMath>
      <w:r w:rsidRPr="00B5694F">
        <w:t xml:space="preserve"> is the surface temperature, and</w:t>
      </w:r>
      <w:r w:rsidR="00193B4B">
        <w:t xml:space="preserve"> </w:t>
      </w:r>
      <m:oMath>
        <m:r>
          <w:rPr>
            <w:rFonts w:ascii="Cambria Math" w:hAnsi="Cambria Math"/>
          </w:rPr>
          <m:t>L=</m:t>
        </m:r>
        <m:f>
          <m:fPr>
            <m:type m:val="lin"/>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m:t>
                    </m:r>
                  </m:sub>
                </m:sSub>
              </m:e>
              <m:sup>
                <m:r>
                  <w:rPr>
                    <w:rFonts w:ascii="Cambria Math" w:hAnsi="Cambria Math"/>
                  </w:rPr>
                  <m:t>2</m:t>
                </m:r>
              </m:sup>
            </m:sSup>
          </m:num>
          <m:den>
            <m:d>
              <m:dPr>
                <m:begChr m:val="["/>
                <m:endChr m:val="]"/>
                <m:ctrlPr>
                  <w:rPr>
                    <w:rFonts w:ascii="Cambria Math" w:hAnsi="Cambria Math"/>
                    <w:i/>
                  </w:rPr>
                </m:ctrlPr>
              </m:dPr>
              <m:e>
                <m:r>
                  <w:rPr>
                    <w:rFonts w:ascii="Cambria Math" w:hAnsi="Cambria Math"/>
                  </w:rPr>
                  <m:t>κ</m:t>
                </m:r>
                <m:d>
                  <m:dPr>
                    <m:ctrlPr>
                      <w:rPr>
                        <w:rFonts w:ascii="Cambria Math" w:hAnsi="Cambria Math"/>
                        <w:i/>
                      </w:rPr>
                    </m:ctrlPr>
                  </m:dPr>
                  <m:e>
                    <m:f>
                      <m:fPr>
                        <m:type m:val="lin"/>
                        <m:ctrlPr>
                          <w:rPr>
                            <w:rFonts w:ascii="Cambria Math" w:hAnsi="Cambria Math"/>
                            <w:i/>
                          </w:rPr>
                        </m:ctrlPr>
                      </m:fPr>
                      <m:num>
                        <m:r>
                          <w:rPr>
                            <w:rFonts w:ascii="Cambria Math" w:hAnsi="Cambria Math"/>
                          </w:rPr>
                          <m:t>g</m:t>
                        </m:r>
                      </m:num>
                      <m:den>
                        <m:r>
                          <w:rPr>
                            <w:rFonts w:ascii="Cambria Math" w:hAnsi="Cambria Math"/>
                          </w:rPr>
                          <m:t>T</m:t>
                        </m:r>
                      </m:den>
                    </m:f>
                  </m:e>
                </m:d>
                <m:r>
                  <w:rPr>
                    <w:rStyle w:val="PlaceholderText"/>
                    <w:rFonts w:ascii="Cambria Math" w:hAnsi="Cambria Math"/>
                    <w:color w:val="auto"/>
                  </w:rPr>
                  <m:t xml:space="preserve"> </m:t>
                </m:r>
                <m:sSub>
                  <m:sSubPr>
                    <m:ctrlPr>
                      <w:rPr>
                        <w:rStyle w:val="PlaceholderText"/>
                        <w:rFonts w:ascii="Cambria Math" w:hAnsi="Cambria Math"/>
                        <w:i/>
                        <w:color w:val="auto"/>
                      </w:rPr>
                    </m:ctrlPr>
                  </m:sSubPr>
                  <m:e>
                    <m:r>
                      <w:rPr>
                        <w:rStyle w:val="PlaceholderText"/>
                        <w:rFonts w:ascii="Cambria Math" w:hAnsi="Cambria Math"/>
                        <w:color w:val="auto"/>
                      </w:rPr>
                      <m:t>θ</m:t>
                    </m:r>
                  </m:e>
                  <m:sub>
                    <m:r>
                      <w:rPr>
                        <w:rStyle w:val="PlaceholderText"/>
                        <w:rFonts w:ascii="Cambria Math" w:hAnsi="Cambria Math"/>
                        <w:color w:val="auto"/>
                      </w:rPr>
                      <m:t>*</m:t>
                    </m:r>
                  </m:sub>
                </m:sSub>
              </m:e>
            </m:d>
          </m:den>
        </m:f>
      </m:oMath>
      <w:r w:rsidRPr="00B5694F">
        <w:t xml:space="preserve"> is the Monin-Obukov length. </w:t>
      </w:r>
      <w:r w:rsidR="002550AA" w:rsidRPr="00B5694F">
        <w:t xml:space="preserve">The value </w:t>
      </w:r>
      <m:oMath>
        <m:r>
          <w:rPr>
            <w:rStyle w:val="PlaceholderText"/>
            <w:rFonts w:ascii="Cambria Math" w:hAnsi="Cambria Math"/>
            <w:color w:val="auto"/>
          </w:rPr>
          <m:t>q</m:t>
        </m:r>
      </m:oMath>
      <w:r w:rsidR="002550AA" w:rsidRPr="00B5694F">
        <w:t xml:space="preserve"> is the heat flux from the ground, and</w:t>
      </w:r>
      <w:r w:rsidR="002550AA">
        <w:t xml:space="preserve"> </w:t>
      </w:r>
      <m:oMath>
        <m:sSub>
          <m:sSubPr>
            <m:ctrlPr>
              <w:rPr>
                <w:rStyle w:val="PlaceholderText"/>
                <w:rFonts w:ascii="Cambria Math" w:hAnsi="Cambria Math"/>
                <w:i/>
                <w:color w:val="auto"/>
              </w:rPr>
            </m:ctrlPr>
          </m:sSubPr>
          <m:e>
            <m:r>
              <w:rPr>
                <w:rStyle w:val="PlaceholderText"/>
                <w:rFonts w:ascii="Cambria Math" w:hAnsi="Cambria Math"/>
                <w:color w:val="auto"/>
              </w:rPr>
              <m:t>c</m:t>
            </m:r>
          </m:e>
          <m:sub>
            <m:r>
              <w:rPr>
                <w:rStyle w:val="PlaceholderText"/>
                <w:rFonts w:ascii="Cambria Math" w:hAnsi="Cambria Math"/>
                <w:color w:val="auto"/>
              </w:rPr>
              <m:t>p</m:t>
            </m:r>
          </m:sub>
        </m:sSub>
      </m:oMath>
      <w:r w:rsidR="002550AA" w:rsidRPr="00B5694F">
        <w:t xml:space="preserve"> and</w:t>
      </w:r>
      <w:r w:rsidR="002550AA">
        <w:t xml:space="preserve"> </w:t>
      </w:r>
      <m:oMath>
        <m:sSub>
          <m:sSubPr>
            <m:ctrlPr>
              <w:rPr>
                <w:rStyle w:val="PlaceholderText"/>
                <w:rFonts w:ascii="Cambria Math" w:hAnsi="Cambria Math"/>
                <w:i/>
                <w:color w:val="auto"/>
              </w:rPr>
            </m:ctrlPr>
          </m:sSubPr>
          <m:e>
            <m:r>
              <w:rPr>
                <w:rStyle w:val="PlaceholderText"/>
                <w:rFonts w:ascii="Cambria Math" w:hAnsi="Cambria Math"/>
                <w:color w:val="auto"/>
              </w:rPr>
              <m:t>ρ</m:t>
            </m:r>
          </m:e>
          <m:sub>
            <m:r>
              <w:rPr>
                <w:rStyle w:val="PlaceholderText"/>
                <w:rFonts w:ascii="Cambria Math" w:hAnsi="Cambria Math"/>
                <w:color w:val="auto"/>
              </w:rPr>
              <m:t>0</m:t>
            </m:r>
          </m:sub>
        </m:sSub>
      </m:oMath>
      <w:r w:rsidR="002550AA" w:rsidRPr="00B5694F">
        <w:t xml:space="preserve"> are the heat capacity and density of the air, respectively</w:t>
      </w:r>
      <w:r w:rsidR="00FD65DF">
        <w:t xml:space="preserve">. </w:t>
      </w:r>
      <w:r w:rsidRPr="00B5694F">
        <w:t>The functions</w:t>
      </w:r>
      <w:r w:rsidR="00294981">
        <w:t xml:space="preserve"> </w:t>
      </w:r>
      <m:oMath>
        <m:sSub>
          <m:sSubPr>
            <m:ctrlPr>
              <w:rPr>
                <w:rFonts w:ascii="Cambria Math" w:hAnsi="Cambria Math"/>
                <w:sz w:val="18"/>
                <w:szCs w:val="14"/>
              </w:rPr>
            </m:ctrlPr>
          </m:sSubPr>
          <m:e>
            <m:r>
              <w:rPr>
                <w:rFonts w:ascii="Cambria Math" w:hAnsi="Cambria Math"/>
                <w:sz w:val="18"/>
                <w:szCs w:val="14"/>
              </w:rPr>
              <m:t>ψ</m:t>
            </m:r>
          </m:e>
          <m:sub>
            <m:r>
              <w:rPr>
                <w:rFonts w:ascii="Cambria Math" w:hAnsi="Cambria Math"/>
                <w:sz w:val="18"/>
                <w:szCs w:val="14"/>
              </w:rPr>
              <m:t>m</m:t>
            </m:r>
          </m:sub>
        </m:sSub>
        <m:d>
          <m:dPr>
            <m:ctrlPr>
              <w:rPr>
                <w:rFonts w:ascii="Cambria Math" w:hAnsi="Cambria Math"/>
                <w:sz w:val="18"/>
                <w:szCs w:val="14"/>
              </w:rPr>
            </m:ctrlPr>
          </m:dPr>
          <m:e>
            <m:f>
              <m:fPr>
                <m:ctrlPr>
                  <w:rPr>
                    <w:rFonts w:ascii="Cambria Math" w:hAnsi="Cambria Math"/>
                    <w:sz w:val="18"/>
                    <w:szCs w:val="14"/>
                  </w:rPr>
                </m:ctrlPr>
              </m:fPr>
              <m:num>
                <m:r>
                  <w:rPr>
                    <w:rFonts w:ascii="Cambria Math" w:hAnsi="Cambria Math"/>
                    <w:sz w:val="18"/>
                    <w:szCs w:val="14"/>
                  </w:rPr>
                  <m:t>z</m:t>
                </m:r>
              </m:num>
              <m:den>
                <m:r>
                  <w:rPr>
                    <w:rFonts w:ascii="Cambria Math" w:hAnsi="Cambria Math"/>
                    <w:sz w:val="18"/>
                    <w:szCs w:val="14"/>
                  </w:rPr>
                  <m:t>L</m:t>
                </m:r>
              </m:den>
            </m:f>
          </m:e>
        </m:d>
      </m:oMath>
      <w:r w:rsidRPr="00B5694F">
        <w:t xml:space="preserve"> and </w:t>
      </w:r>
      <m:oMath>
        <m:sSub>
          <m:sSubPr>
            <m:ctrlPr>
              <w:rPr>
                <w:rFonts w:ascii="Cambria Math" w:hAnsi="Cambria Math"/>
                <w:sz w:val="18"/>
                <w:szCs w:val="14"/>
              </w:rPr>
            </m:ctrlPr>
          </m:sSubPr>
          <m:e>
            <m:r>
              <w:rPr>
                <w:rFonts w:ascii="Cambria Math" w:hAnsi="Cambria Math"/>
                <w:sz w:val="18"/>
                <w:szCs w:val="14"/>
              </w:rPr>
              <m:t>ψ</m:t>
            </m:r>
          </m:e>
          <m:sub>
            <m:r>
              <w:rPr>
                <w:rFonts w:ascii="Cambria Math" w:hAnsi="Cambria Math"/>
                <w:sz w:val="18"/>
                <w:szCs w:val="14"/>
              </w:rPr>
              <m:t>h</m:t>
            </m:r>
          </m:sub>
        </m:sSub>
        <m:d>
          <m:dPr>
            <m:ctrlPr>
              <w:rPr>
                <w:rFonts w:ascii="Cambria Math" w:hAnsi="Cambria Math"/>
                <w:sz w:val="18"/>
                <w:szCs w:val="14"/>
              </w:rPr>
            </m:ctrlPr>
          </m:dPr>
          <m:e>
            <m:f>
              <m:fPr>
                <m:ctrlPr>
                  <w:rPr>
                    <w:rFonts w:ascii="Cambria Math" w:hAnsi="Cambria Math"/>
                    <w:sz w:val="18"/>
                    <w:szCs w:val="14"/>
                  </w:rPr>
                </m:ctrlPr>
              </m:fPr>
              <m:num>
                <m:r>
                  <w:rPr>
                    <w:rFonts w:ascii="Cambria Math" w:hAnsi="Cambria Math"/>
                    <w:sz w:val="18"/>
                    <w:szCs w:val="14"/>
                  </w:rPr>
                  <m:t>z</m:t>
                </m:r>
              </m:num>
              <m:den>
                <m:r>
                  <w:rPr>
                    <w:rFonts w:ascii="Cambria Math" w:hAnsi="Cambria Math"/>
                    <w:sz w:val="18"/>
                    <w:szCs w:val="14"/>
                  </w:rPr>
                  <m:t>L</m:t>
                </m:r>
              </m:den>
            </m:f>
          </m:e>
        </m:d>
        <m:r>
          <w:rPr>
            <w:rFonts w:ascii="Cambria Math" w:hAnsi="Cambria Math"/>
            <w:sz w:val="18"/>
            <w:szCs w:val="14"/>
          </w:rPr>
          <m:t xml:space="preserve"> </m:t>
        </m:r>
      </m:oMath>
      <w:r w:rsidRPr="00B5694F">
        <w:t>are influenced by the temperature gradient in the atmosphere and are zero when the atmosphere is neutral</w:t>
      </w:r>
      <w:r w:rsidR="009E6EF2">
        <w:t xml:space="preserve"> </w:t>
      </w:r>
      <w:r w:rsidR="009E6EF2">
        <w:fldChar w:fldCharType="begin"/>
      </w:r>
      <w:r w:rsidR="00B864D9">
        <w:instrText xml:space="preserve"> ADDIN EN.CITE &lt;EndNote&gt;&lt;Cite&gt;&lt;Author&gt;Lebel&lt;/Author&gt;&lt;Year&gt;2022&lt;/Year&gt;&lt;RecNum&gt;37&lt;/RecNum&gt;&lt;DisplayText&gt;[18]&lt;/DisplayText&gt;&lt;record&gt;&lt;rec-number&gt;37&lt;/rec-number&gt;&lt;foreign-keys&gt;&lt;key app="EN" db-id="sf029s9x7d99dqe50eeprptuz5e5t0etd0d5" timestamp="1697831947" guid="39673c50-4d84-4c63-9997-fd759fb8d1ba"&gt;37&lt;/key&gt;&lt;/foreign-keys&gt;&lt;ref-type name="Journal Article"&gt;17&lt;/ref-type&gt;&lt;contributors&gt;&lt;authors&gt;&lt;author&gt;Lebel, Luke&lt;/author&gt;&lt;author&gt;Vu, Kim&lt;/author&gt;&lt;author&gt;John, Aneesh&lt;/author&gt;&lt;author&gt;Korolevych, Volodymyr&lt;/author&gt;&lt;/authors&gt;&lt;/contributors&gt;&lt;titles&gt;&lt;title&gt;Method for assessing radon Re-Entrainment risks from above ground level discharges from sub-slab depressurization systems&lt;/title&gt;&lt;secondary-title&gt;Building and Environment&lt;/secondary-title&gt;&lt;/titles&gt;&lt;periodical&gt;&lt;full-title&gt;Building and Environment&lt;/full-title&gt;&lt;/periodical&gt;&lt;volume&gt;215&lt;/volume&gt;&lt;section&gt;108942&lt;/section&gt;&lt;dates&gt;&lt;year&gt;2022&lt;/year&gt;&lt;/dates&gt;&lt;isbn&gt;03601323&lt;/isbn&gt;&lt;urls&gt;&lt;/urls&gt;&lt;electronic-resource-num&gt;10.1016/j.buildenv.2022.108942&lt;/electronic-resource-num&gt;&lt;/record&gt;&lt;/Cite&gt;&lt;/EndNote&gt;</w:instrText>
      </w:r>
      <w:r w:rsidR="009E6EF2">
        <w:fldChar w:fldCharType="separate"/>
      </w:r>
      <w:r w:rsidR="00B864D9">
        <w:rPr>
          <w:noProof/>
        </w:rPr>
        <w:t>[18]</w:t>
      </w:r>
      <w:r w:rsidR="009E6EF2">
        <w:fldChar w:fldCharType="end"/>
      </w:r>
      <w:r w:rsidR="002550AA">
        <w:t>.</w:t>
      </w:r>
      <w:r w:rsidRPr="00B5694F">
        <w:t xml:space="preserve"> The shapes of each of the profiles can be described using four parameters: </w:t>
      </w:r>
      <m:oMath>
        <m:sSub>
          <m:sSubPr>
            <m:ctrlPr>
              <w:rPr>
                <w:rFonts w:ascii="Cambria Math" w:hAnsi="Cambria Math"/>
                <w:i/>
              </w:rPr>
            </m:ctrlPr>
          </m:sSubPr>
          <m:e>
            <m:r>
              <w:rPr>
                <w:rFonts w:ascii="Cambria Math" w:hAnsi="Cambria Math"/>
              </w:rPr>
              <m:t>u</m:t>
            </m:r>
          </m:e>
          <m:sub>
            <m:r>
              <w:rPr>
                <w:rFonts w:ascii="Cambria Math" w:hAnsi="Cambria Math"/>
              </w:rPr>
              <m:t>*</m:t>
            </m:r>
          </m:sub>
        </m:sSub>
      </m:oMath>
      <w:r w:rsidR="00FD65DF">
        <w:t xml:space="preserve">, </w:t>
      </w:r>
      <m:oMath>
        <m:sSub>
          <m:sSubPr>
            <m:ctrlPr>
              <w:rPr>
                <w:rFonts w:ascii="Cambria Math" w:hAnsi="Cambria Math"/>
                <w:sz w:val="18"/>
                <w:szCs w:val="14"/>
              </w:rPr>
            </m:ctrlPr>
          </m:sSubPr>
          <m:e>
            <m:r>
              <w:rPr>
                <w:rFonts w:ascii="Cambria Math" w:hAnsi="Cambria Math"/>
                <w:sz w:val="18"/>
                <w:szCs w:val="14"/>
              </w:rPr>
              <m:t>z</m:t>
            </m:r>
          </m:e>
          <m:sub>
            <m:r>
              <w:rPr>
                <w:rFonts w:ascii="Cambria Math" w:hAnsi="Cambria Math"/>
                <w:sz w:val="18"/>
                <w:szCs w:val="14"/>
              </w:rPr>
              <m:t>0</m:t>
            </m:r>
          </m:sub>
        </m:sSub>
      </m:oMath>
      <w:r w:rsidRPr="00B5694F">
        <w:t xml:space="preserve">, </w:t>
      </w:r>
      <m:oMath>
        <m:r>
          <w:rPr>
            <w:rFonts w:ascii="Cambria Math" w:hAnsi="Cambria Math"/>
          </w:rPr>
          <m:t>L</m:t>
        </m:r>
      </m:oMath>
      <w:r w:rsidRPr="00B5694F">
        <w:t xml:space="preserve">, and </w:t>
      </w:r>
      <m:oMath>
        <m:sSub>
          <m:sSubPr>
            <m:ctrlPr>
              <w:rPr>
                <w:rFonts w:ascii="Cambria Math" w:hAnsi="Cambria Math"/>
                <w:sz w:val="18"/>
                <w:szCs w:val="14"/>
              </w:rPr>
            </m:ctrlPr>
          </m:sSubPr>
          <m:e>
            <m:r>
              <w:rPr>
                <w:rFonts w:ascii="Cambria Math" w:hAnsi="Cambria Math"/>
                <w:sz w:val="18"/>
                <w:szCs w:val="14"/>
              </w:rPr>
              <m:t>T</m:t>
            </m:r>
          </m:e>
          <m:sub>
            <m:r>
              <w:rPr>
                <w:rFonts w:ascii="Cambria Math" w:hAnsi="Cambria Math"/>
                <w:sz w:val="18"/>
                <w:szCs w:val="14"/>
              </w:rPr>
              <m:t>0</m:t>
            </m:r>
          </m:sub>
        </m:sSub>
      </m:oMath>
      <w:r w:rsidRPr="00B5694F">
        <w:t xml:space="preserve">. These parameters, used in the CFD boundary condition definitions, </w:t>
      </w:r>
      <w:r w:rsidR="00F264F6">
        <w:t>are</w:t>
      </w:r>
      <w:r w:rsidRPr="00B5694F">
        <w:t xml:space="preserve"> selected to match</w:t>
      </w:r>
      <w:r w:rsidR="00F264F6">
        <w:t xml:space="preserve"> the onsite meteorological data. </w:t>
      </w:r>
      <w:r w:rsidR="008D52A1">
        <w:t xml:space="preserve">The values of </w:t>
      </w:r>
      <m:oMath>
        <m:sSub>
          <m:sSubPr>
            <m:ctrlPr>
              <w:rPr>
                <w:rFonts w:ascii="Cambria Math" w:hAnsi="Cambria Math"/>
                <w:i/>
              </w:rPr>
            </m:ctrlPr>
          </m:sSubPr>
          <m:e>
            <m:r>
              <w:rPr>
                <w:rFonts w:ascii="Cambria Math" w:hAnsi="Cambria Math"/>
              </w:rPr>
              <m:t>u</m:t>
            </m:r>
          </m:e>
          <m:sub>
            <m:r>
              <w:rPr>
                <w:rFonts w:ascii="Cambria Math" w:hAnsi="Cambria Math"/>
              </w:rPr>
              <m:t>*</m:t>
            </m:r>
          </m:sub>
        </m:sSub>
      </m:oMath>
      <w:r w:rsidR="008D52A1">
        <w:t xml:space="preserve"> and </w:t>
      </w:r>
      <m:oMath>
        <m:r>
          <w:rPr>
            <w:rFonts w:ascii="Cambria Math" w:hAnsi="Cambria Math"/>
          </w:rPr>
          <m:t>L</m:t>
        </m:r>
      </m:oMath>
      <w:r w:rsidR="008D52A1">
        <w:t xml:space="preserve"> are given in Table 1</w:t>
      </w:r>
      <w:r w:rsidR="006B7B61">
        <w:t xml:space="preserve">; with </w:t>
      </w:r>
      <m:oMath>
        <m:sSub>
          <m:sSubPr>
            <m:ctrlPr>
              <w:rPr>
                <w:rFonts w:ascii="Cambria Math" w:hAnsi="Cambria Math"/>
                <w:sz w:val="18"/>
                <w:szCs w:val="14"/>
              </w:rPr>
            </m:ctrlPr>
          </m:sSubPr>
          <m:e>
            <m:r>
              <w:rPr>
                <w:rFonts w:ascii="Cambria Math" w:hAnsi="Cambria Math"/>
                <w:sz w:val="18"/>
                <w:szCs w:val="14"/>
              </w:rPr>
              <m:t>z</m:t>
            </m:r>
          </m:e>
          <m:sub>
            <m:r>
              <w:rPr>
                <w:rFonts w:ascii="Cambria Math" w:hAnsi="Cambria Math"/>
                <w:sz w:val="18"/>
                <w:szCs w:val="14"/>
              </w:rPr>
              <m:t>0</m:t>
            </m:r>
          </m:sub>
        </m:sSub>
      </m:oMath>
      <w:r w:rsidR="006B7B61">
        <w:rPr>
          <w:sz w:val="18"/>
          <w:szCs w:val="14"/>
        </w:rPr>
        <w:t xml:space="preserve"> = 1 m and </w:t>
      </w:r>
      <m:oMath>
        <m:sSub>
          <m:sSubPr>
            <m:ctrlPr>
              <w:rPr>
                <w:rFonts w:ascii="Cambria Math" w:hAnsi="Cambria Math"/>
                <w:sz w:val="18"/>
                <w:szCs w:val="14"/>
              </w:rPr>
            </m:ctrlPr>
          </m:sSubPr>
          <m:e>
            <m:r>
              <w:rPr>
                <w:rFonts w:ascii="Cambria Math" w:hAnsi="Cambria Math"/>
                <w:sz w:val="18"/>
                <w:szCs w:val="14"/>
              </w:rPr>
              <m:t>T</m:t>
            </m:r>
          </m:e>
          <m:sub>
            <m:r>
              <w:rPr>
                <w:rFonts w:ascii="Cambria Math" w:hAnsi="Cambria Math"/>
                <w:sz w:val="18"/>
                <w:szCs w:val="14"/>
              </w:rPr>
              <m:t>0</m:t>
            </m:r>
          </m:sub>
        </m:sSub>
      </m:oMath>
      <w:r w:rsidR="006B7B61" w:rsidRPr="0054634A">
        <w:rPr>
          <w:sz w:val="18"/>
          <w:szCs w:val="14"/>
        </w:rPr>
        <w:t xml:space="preserve"> = </w:t>
      </w:r>
      <w:r w:rsidR="00D371C8" w:rsidRPr="0054634A">
        <w:rPr>
          <w:sz w:val="18"/>
          <w:szCs w:val="14"/>
        </w:rPr>
        <w:t xml:space="preserve">5 °C. </w:t>
      </w:r>
      <w:r w:rsidR="00C97A5A" w:rsidRPr="0054634A">
        <w:t xml:space="preserve">The </w:t>
      </w:r>
      <w:r w:rsidR="008E2A15">
        <w:t>plume</w:t>
      </w:r>
      <w:r w:rsidR="008E2A15" w:rsidRPr="0054634A">
        <w:t xml:space="preserve"> </w:t>
      </w:r>
      <w:r w:rsidR="00C97A5A" w:rsidRPr="0054634A">
        <w:t>temperature is assumed to be 300 K.</w:t>
      </w:r>
      <w:r w:rsidR="00C97A5A">
        <w:t xml:space="preserve"> </w:t>
      </w:r>
      <w:r w:rsidR="00033B21">
        <w:t>From the simulations,</w:t>
      </w:r>
      <w:r w:rsidR="001A77A3">
        <w:t xml:space="preserve"> the </w:t>
      </w:r>
      <w:r w:rsidR="006A07B1">
        <w:t>pollutant</w:t>
      </w:r>
      <w:r w:rsidR="001A77A3">
        <w:t xml:space="preserve"> </w:t>
      </w:r>
      <w:r w:rsidR="009A5324">
        <w:t>c</w:t>
      </w:r>
      <w:r w:rsidR="002E341A">
        <w:t xml:space="preserve">oncentration </w:t>
      </w:r>
      <m:oMath>
        <m:sSub>
          <m:sSubPr>
            <m:ctrlPr>
              <w:rPr>
                <w:rFonts w:ascii="Cambria Math" w:hAnsi="Cambria Math"/>
                <w:i/>
              </w:rPr>
            </m:ctrlPr>
          </m:sSubPr>
          <m:e>
            <m:r>
              <w:rPr>
                <w:rFonts w:ascii="Cambria Math" w:hAnsi="Cambria Math"/>
              </w:rPr>
              <m:t>χ</m:t>
            </m:r>
          </m:e>
          <m:sub>
            <m:r>
              <w:rPr>
                <w:rFonts w:ascii="Cambria Math" w:hAnsi="Cambria Math"/>
              </w:rPr>
              <m:t>i</m:t>
            </m:r>
          </m:sub>
        </m:sSub>
      </m:oMath>
      <w:r w:rsidR="002E341A">
        <w:t xml:space="preserve"> (</w:t>
      </w:r>
      <w:proofErr w:type="spellStart"/>
      <w:r w:rsidR="002E341A">
        <w:t>acu</w:t>
      </w:r>
      <w:proofErr w:type="spellEnd"/>
      <w:r w:rsidR="002E341A">
        <w:t xml:space="preserve">) </w:t>
      </w:r>
      <w:r w:rsidR="001D6AD0">
        <w:t>at</w:t>
      </w:r>
      <w:r w:rsidR="00BB7582">
        <w:t xml:space="preserve"> 1 m above ground level is calculated, from which</w:t>
      </w:r>
      <w:r w:rsidR="001D6AD0">
        <w:t xml:space="preserve"> </w:t>
      </w:r>
      <w:r w:rsidR="00033B21">
        <w:t xml:space="preserve"> </w:t>
      </w:r>
      <m:oMath>
        <m:f>
          <m:fPr>
            <m:type m:val="lin"/>
            <m:ctrlPr>
              <w:rPr>
                <w:rFonts w:ascii="Cambria Math" w:hAnsi="Cambria Math"/>
                <w:i/>
              </w:rPr>
            </m:ctrlPr>
          </m:fPr>
          <m:num>
            <m:r>
              <w:rPr>
                <w:rFonts w:ascii="Cambria Math" w:hAnsi="Cambria Math"/>
              </w:rPr>
              <m:t>χ</m:t>
            </m:r>
          </m:num>
          <m:den>
            <m:r>
              <w:rPr>
                <w:rFonts w:ascii="Cambria Math" w:hAnsi="Cambria Math"/>
              </w:rPr>
              <m:t>Q</m:t>
            </m:r>
          </m:den>
        </m:f>
      </m:oMath>
      <w:r w:rsidR="00C5333C">
        <w:t xml:space="preserve"> is calculated as </w:t>
      </w:r>
      <m:oMath>
        <m:f>
          <m:fPr>
            <m:type m:val="lin"/>
            <m:ctrlPr>
              <w:rPr>
                <w:rFonts w:ascii="Cambria Math" w:hAnsi="Cambria Math"/>
                <w:i/>
              </w:rPr>
            </m:ctrlPr>
          </m:fPr>
          <m:num>
            <m:r>
              <w:rPr>
                <w:rFonts w:ascii="Cambria Math" w:hAnsi="Cambria Math"/>
              </w:rPr>
              <m:t>χ</m:t>
            </m:r>
          </m:num>
          <m:den>
            <m:r>
              <w:rPr>
                <w:rFonts w:ascii="Cambria Math" w:hAnsi="Cambria Math"/>
              </w:rPr>
              <m:t>Q</m:t>
            </m:r>
          </m:den>
        </m:f>
        <m:r>
          <w:rPr>
            <w:rFonts w:ascii="Cambria Math" w:hAnsi="Cambria Math"/>
          </w:rPr>
          <m:t xml:space="preserve">= </m:t>
        </m:r>
        <m:f>
          <m:fPr>
            <m:type m:val="lin"/>
            <m:ctrlPr>
              <w:rPr>
                <w:rFonts w:ascii="Cambria Math" w:hAnsi="Cambria Math"/>
                <w:i/>
              </w:rPr>
            </m:ctrlPr>
          </m:fPr>
          <m:num>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χ</m:t>
                        </m:r>
                      </m:e>
                      <m:sub>
                        <m:r>
                          <w:rPr>
                            <w:rFonts w:ascii="Cambria Math" w:hAnsi="Cambria Math"/>
                          </w:rPr>
                          <m:t>i</m:t>
                        </m:r>
                      </m:sub>
                    </m:sSub>
                  </m:num>
                  <m:den>
                    <m:sSub>
                      <m:sSubPr>
                        <m:ctrlPr>
                          <w:rPr>
                            <w:rFonts w:ascii="Cambria Math" w:hAnsi="Cambria Math"/>
                            <w:i/>
                          </w:rPr>
                        </m:ctrlPr>
                      </m:sSubPr>
                      <m:e>
                        <m:r>
                          <w:rPr>
                            <w:rFonts w:ascii="Cambria Math" w:hAnsi="Cambria Math"/>
                          </w:rPr>
                          <m:t>χ</m:t>
                        </m:r>
                      </m:e>
                      <m:sub>
                        <m:r>
                          <w:rPr>
                            <w:rFonts w:ascii="Cambria Math" w:hAnsi="Cambria Math"/>
                          </w:rPr>
                          <m:t>o</m:t>
                        </m:r>
                      </m:sub>
                    </m:sSub>
                  </m:den>
                </m:f>
              </m:e>
            </m:d>
          </m:num>
          <m:den>
            <m:d>
              <m:dPr>
                <m:ctrlPr>
                  <w:rPr>
                    <w:rFonts w:ascii="Cambria Math" w:hAnsi="Cambria Math"/>
                    <w:i/>
                  </w:rPr>
                </m:ctrlPr>
              </m:dPr>
              <m:e>
                <m:f>
                  <m:fPr>
                    <m:type m:val="lin"/>
                    <m:ctrlPr>
                      <w:rPr>
                        <w:rFonts w:ascii="Cambria Math" w:hAnsi="Cambria Math"/>
                        <w:i/>
                      </w:rPr>
                    </m:ctrlPr>
                  </m:fPr>
                  <m:num>
                    <m:acc>
                      <m:accPr>
                        <m:chr m:val="̇"/>
                        <m:ctrlPr>
                          <w:rPr>
                            <w:rFonts w:ascii="Cambria Math" w:hAnsi="Cambria Math"/>
                            <w:i/>
                          </w:rPr>
                        </m:ctrlPr>
                      </m:accPr>
                      <m:e>
                        <m:r>
                          <w:rPr>
                            <w:rFonts w:ascii="Cambria Math" w:hAnsi="Cambria Math"/>
                          </w:rPr>
                          <m:t>m</m:t>
                        </m:r>
                      </m:e>
                    </m:acc>
                  </m:num>
                  <m:den>
                    <m:sSub>
                      <m:sSubPr>
                        <m:ctrlPr>
                          <w:rPr>
                            <w:rFonts w:ascii="Cambria Math" w:hAnsi="Cambria Math"/>
                            <w:i/>
                          </w:rPr>
                        </m:ctrlPr>
                      </m:sSubPr>
                      <m:e>
                        <m:r>
                          <w:rPr>
                            <w:rFonts w:ascii="Cambria Math" w:hAnsi="Cambria Math"/>
                          </w:rPr>
                          <m:t>ρ</m:t>
                        </m:r>
                      </m:e>
                      <m:sub>
                        <m:r>
                          <w:rPr>
                            <w:rFonts w:ascii="Cambria Math" w:hAnsi="Cambria Math"/>
                          </w:rPr>
                          <m:t>a</m:t>
                        </m:r>
                      </m:sub>
                    </m:sSub>
                  </m:den>
                </m:f>
              </m:e>
            </m:d>
          </m:den>
        </m:f>
      </m:oMath>
      <w:r w:rsidR="0085105A">
        <w:t xml:space="preserve">, where </w:t>
      </w:r>
      <m:oMath>
        <m:sSub>
          <m:sSubPr>
            <m:ctrlPr>
              <w:rPr>
                <w:rFonts w:ascii="Cambria Math" w:hAnsi="Cambria Math"/>
                <w:i/>
              </w:rPr>
            </m:ctrlPr>
          </m:sSubPr>
          <m:e>
            <m:r>
              <w:rPr>
                <w:rFonts w:ascii="Cambria Math" w:hAnsi="Cambria Math"/>
              </w:rPr>
              <m:t>χ</m:t>
            </m:r>
          </m:e>
          <m:sub>
            <m:r>
              <w:rPr>
                <w:rFonts w:ascii="Cambria Math" w:hAnsi="Cambria Math"/>
              </w:rPr>
              <m:t>o</m:t>
            </m:r>
          </m:sub>
        </m:sSub>
      </m:oMath>
      <w:r w:rsidR="0085105A">
        <w:t xml:space="preserve"> </w:t>
      </w:r>
      <w:r w:rsidR="0069723C">
        <w:t xml:space="preserve">is the source concentration (1 </w:t>
      </w:r>
      <w:proofErr w:type="spellStart"/>
      <w:r w:rsidR="0069723C">
        <w:t>acu</w:t>
      </w:r>
      <w:proofErr w:type="spellEnd"/>
      <w:r w:rsidR="0069723C">
        <w:t xml:space="preserve">), </w:t>
      </w:r>
      <m:oMath>
        <m:acc>
          <m:accPr>
            <m:chr m:val="̇"/>
            <m:ctrlPr>
              <w:rPr>
                <w:rFonts w:ascii="Cambria Math" w:hAnsi="Cambria Math"/>
                <w:i/>
              </w:rPr>
            </m:ctrlPr>
          </m:accPr>
          <m:e>
            <m:r>
              <w:rPr>
                <w:rFonts w:ascii="Cambria Math" w:hAnsi="Cambria Math"/>
              </w:rPr>
              <m:t>m</m:t>
            </m:r>
          </m:e>
        </m:acc>
      </m:oMath>
      <w:r w:rsidR="00E23250">
        <w:t xml:space="preserve"> is the release rate</w:t>
      </w:r>
      <w:r w:rsidR="00BC5B6D">
        <w:t xml:space="preserve"> (0.1 kg/s), and </w:t>
      </w:r>
      <m:oMath>
        <m:sSub>
          <m:sSubPr>
            <m:ctrlPr>
              <w:rPr>
                <w:rFonts w:ascii="Cambria Math" w:hAnsi="Cambria Math"/>
                <w:i/>
              </w:rPr>
            </m:ctrlPr>
          </m:sSubPr>
          <m:e>
            <m:r>
              <w:rPr>
                <w:rFonts w:ascii="Cambria Math" w:hAnsi="Cambria Math"/>
              </w:rPr>
              <m:t>ρ</m:t>
            </m:r>
          </m:e>
          <m:sub>
            <m:r>
              <w:rPr>
                <w:rFonts w:ascii="Cambria Math" w:hAnsi="Cambria Math"/>
              </w:rPr>
              <m:t>a</m:t>
            </m:r>
          </m:sub>
        </m:sSub>
      </m:oMath>
      <w:r w:rsidR="00A87CC3">
        <w:t xml:space="preserve"> is air density (1.</w:t>
      </w:r>
      <w:r w:rsidR="00F83A6A">
        <w:t>23</w:t>
      </w:r>
      <w:r w:rsidR="00A87CC3">
        <w:t xml:space="preserve"> kg/m</w:t>
      </w:r>
      <w:r w:rsidR="00A87CC3" w:rsidRPr="00A05B32">
        <w:rPr>
          <w:vertAlign w:val="superscript"/>
        </w:rPr>
        <w:t>3</w:t>
      </w:r>
      <w:r w:rsidR="00A87CC3">
        <w:t>).</w:t>
      </w:r>
      <w:r w:rsidR="005C05C2">
        <w:t xml:space="preserve"> </w:t>
      </w:r>
    </w:p>
    <w:p w14:paraId="08D64388" w14:textId="09D649C7" w:rsidR="00D274B5" w:rsidRPr="00D274B5" w:rsidRDefault="00D274B5" w:rsidP="00D274B5">
      <w:pPr>
        <w:pStyle w:val="Heading2"/>
        <w:numPr>
          <w:ilvl w:val="1"/>
          <w:numId w:val="10"/>
        </w:numPr>
      </w:pPr>
      <w:r>
        <w:t>RASCAL MODEL</w:t>
      </w:r>
    </w:p>
    <w:p w14:paraId="50DD94F9" w14:textId="1093FBFA" w:rsidR="00123F94" w:rsidRDefault="00BB0057" w:rsidP="006670D5">
      <w:pPr>
        <w:pStyle w:val="BodyText"/>
      </w:pPr>
      <w:r>
        <w:t xml:space="preserve">Three simulations are performed in </w:t>
      </w:r>
      <w:r w:rsidR="0072582A">
        <w:t xml:space="preserve">RASCAL </w:t>
      </w:r>
      <w:r>
        <w:t>as per the mete</w:t>
      </w:r>
      <w:r w:rsidR="00AD358F">
        <w:t>o</w:t>
      </w:r>
      <w:r>
        <w:t xml:space="preserve">rological </w:t>
      </w:r>
      <w:r w:rsidR="00AD358F">
        <w:t xml:space="preserve">conditions listed in Table 1. </w:t>
      </w:r>
      <w:r w:rsidR="008824E6">
        <w:t xml:space="preserve">The simulation parameters are matched to those of the CFD model </w:t>
      </w:r>
      <w:r w:rsidR="00A36A4E">
        <w:t>as much as</w:t>
      </w:r>
      <w:r w:rsidR="008824E6">
        <w:t xml:space="preserve"> possible.</w:t>
      </w:r>
      <w:r w:rsidR="00E54D10">
        <w:t xml:space="preserve"> </w:t>
      </w:r>
      <w:r w:rsidR="00692FAB">
        <w:t xml:space="preserve">The </w:t>
      </w:r>
      <w:r w:rsidR="00571CF8">
        <w:t>source release is at a height of 13 m</w:t>
      </w:r>
      <w:r w:rsidR="00E0191B">
        <w:t xml:space="preserve"> </w:t>
      </w:r>
      <w:r w:rsidR="00AD4485">
        <w:t>in agreement with</w:t>
      </w:r>
      <w:r w:rsidR="00E0191B">
        <w:t xml:space="preserve"> the CFD model. </w:t>
      </w:r>
      <w:r w:rsidR="005554A4">
        <w:t>As RASCAL requires wind speed at</w:t>
      </w:r>
      <w:r w:rsidR="00B02D0B">
        <w:t xml:space="preserve"> </w:t>
      </w:r>
      <w:r w:rsidR="005B3A24">
        <w:t xml:space="preserve">the </w:t>
      </w:r>
      <w:r w:rsidR="00B02D0B">
        <w:t xml:space="preserve">10 m </w:t>
      </w:r>
      <w:r w:rsidR="006C2843">
        <w:t>height</w:t>
      </w:r>
      <w:r w:rsidR="00B02D0B">
        <w:t>, t</w:t>
      </w:r>
      <w:r w:rsidR="0055768E">
        <w:t xml:space="preserve">he </w:t>
      </w:r>
      <w:r w:rsidR="007870E8">
        <w:t>corresponding wind speeds listed in Table 1 are used as the inputs. RASCAL internally converts th</w:t>
      </w:r>
      <w:r w:rsidR="005C6735">
        <w:t>e 10 m</w:t>
      </w:r>
      <w:r w:rsidR="0070237F">
        <w:t xml:space="preserve"> wind speed</w:t>
      </w:r>
      <w:r w:rsidR="007870E8">
        <w:t xml:space="preserve"> to </w:t>
      </w:r>
      <w:r w:rsidR="00D33BDE">
        <w:t xml:space="preserve">that at </w:t>
      </w:r>
      <w:r w:rsidR="00072483">
        <w:t xml:space="preserve">the release height </w:t>
      </w:r>
      <w:r w:rsidR="004A6CD2">
        <w:t>(</w:t>
      </w:r>
      <w:r w:rsidR="00072483">
        <w:t>13 m</w:t>
      </w:r>
      <w:r w:rsidR="004A6CD2">
        <w:t>)</w:t>
      </w:r>
      <w:r w:rsidR="00072483">
        <w:t xml:space="preserve"> </w:t>
      </w:r>
      <w:r w:rsidR="00582CE7">
        <w:t>with</w:t>
      </w:r>
      <w:r w:rsidR="00072483">
        <w:t xml:space="preserve"> the </w:t>
      </w:r>
      <w:r w:rsidR="00072483" w:rsidRPr="00011558">
        <w:t xml:space="preserve">same </w:t>
      </w:r>
      <w:r w:rsidR="00582CE7">
        <w:t xml:space="preserve">profile </w:t>
      </w:r>
      <w:r w:rsidR="00A93026">
        <w:t>used in the CFD simulations and</w:t>
      </w:r>
      <w:r w:rsidR="00072483" w:rsidRPr="00011558">
        <w:t xml:space="preserve"> </w:t>
      </w:r>
      <w:r w:rsidR="00A93026">
        <w:t>given</w:t>
      </w:r>
      <w:r w:rsidR="00072483" w:rsidRPr="00011558">
        <w:t xml:space="preserve"> in </w:t>
      </w:r>
      <w:r w:rsidR="003B12E1">
        <w:t>Eq. (1)</w:t>
      </w:r>
      <w:r w:rsidR="00072483">
        <w:t>.</w:t>
      </w:r>
      <w:r w:rsidR="00F347E0">
        <w:t xml:space="preserve"> </w:t>
      </w:r>
      <w:r w:rsidR="00532CA8">
        <w:t xml:space="preserve">As </w:t>
      </w:r>
      <w:r w:rsidR="00B45981">
        <w:t xml:space="preserve">RASCAL </w:t>
      </w:r>
      <w:r w:rsidR="003D2B99">
        <w:t>works</w:t>
      </w:r>
      <w:r w:rsidR="00532CA8">
        <w:t xml:space="preserve"> only</w:t>
      </w:r>
      <w:r w:rsidR="003D2B99">
        <w:t xml:space="preserve"> in sectors of 10° angles, </w:t>
      </w:r>
      <w:r w:rsidR="00F347E0">
        <w:t>wind approach</w:t>
      </w:r>
      <w:r w:rsidR="00B65E59">
        <w:t>es</w:t>
      </w:r>
      <w:r w:rsidR="003126DC">
        <w:t xml:space="preserve"> the source</w:t>
      </w:r>
      <w:r w:rsidR="00F347E0">
        <w:t xml:space="preserve"> </w:t>
      </w:r>
      <w:r w:rsidR="00670838">
        <w:t>at</w:t>
      </w:r>
      <w:r w:rsidR="00F347E0">
        <w:t xml:space="preserve"> </w:t>
      </w:r>
      <w:r w:rsidR="003126DC">
        <w:t xml:space="preserve">an </w:t>
      </w:r>
      <w:r w:rsidR="00F347E0">
        <w:t>angle</w:t>
      </w:r>
      <w:r w:rsidR="003126DC">
        <w:t xml:space="preserve"> of</w:t>
      </w:r>
      <w:r w:rsidR="00F347E0">
        <w:t xml:space="preserve"> 2</w:t>
      </w:r>
      <w:r w:rsidR="00532CA8">
        <w:t>60</w:t>
      </w:r>
      <w:r w:rsidR="00F347E0">
        <w:t>°</w:t>
      </w:r>
      <w:r w:rsidR="00951F1B">
        <w:t xml:space="preserve"> relative to true north</w:t>
      </w:r>
      <w:r w:rsidR="00532CA8">
        <w:t xml:space="preserve"> (as compared to 255° for the CFD cases)</w:t>
      </w:r>
      <w:r w:rsidR="003126DC">
        <w:t xml:space="preserve">. </w:t>
      </w:r>
      <w:r w:rsidR="00A53FC4">
        <w:t>For the source term, a release</w:t>
      </w:r>
      <w:r w:rsidR="009C37CF">
        <w:t xml:space="preserve"> rate</w:t>
      </w:r>
      <w:r w:rsidR="00A53FC4">
        <w:t xml:space="preserve"> of 2</w:t>
      </w:r>
      <w:r w:rsidR="00AD3777">
        <w:t>×10</w:t>
      </w:r>
      <w:r w:rsidR="00AD3777" w:rsidRPr="00AD3777">
        <w:rPr>
          <w:vertAlign w:val="superscript"/>
        </w:rPr>
        <w:t>12</w:t>
      </w:r>
      <w:r w:rsidR="00AD3777">
        <w:t xml:space="preserve"> </w:t>
      </w:r>
      <w:proofErr w:type="spellStart"/>
      <w:r w:rsidR="00AD3777">
        <w:t>Bq</w:t>
      </w:r>
      <w:proofErr w:type="spellEnd"/>
      <w:r w:rsidR="00AD3777">
        <w:t>/s of</w:t>
      </w:r>
      <w:r w:rsidR="001F7DCF">
        <w:t xml:space="preserve"> I-</w:t>
      </w:r>
      <w:r w:rsidR="00AD3777">
        <w:t xml:space="preserve">131 </w:t>
      </w:r>
      <w:r w:rsidR="001F7DCF">
        <w:t>is assumed</w:t>
      </w:r>
      <w:r w:rsidR="00340606">
        <w:t>, which is from a MELCOR calculation of a generic water-cooled SMR’s station blackout severe accident sequence with loss of containment isolation</w:t>
      </w:r>
      <w:r w:rsidR="00B2319E">
        <w:t xml:space="preserve"> </w:t>
      </w:r>
      <w:r w:rsidR="00B2319E">
        <w:fldChar w:fldCharType="begin"/>
      </w:r>
      <w:r w:rsidR="00B864D9">
        <w:instrText xml:space="preserve"> ADDIN EN.CITE &lt;EndNote&gt;&lt;Cite&gt;&lt;Author&gt;John Cui&lt;/Author&gt;&lt;Year&gt;2024&lt;/Year&gt;&lt;RecNum&gt;166&lt;/RecNum&gt;&lt;DisplayText&gt;[19]&lt;/DisplayText&gt;&lt;record&gt;&lt;rec-number&gt;166&lt;/rec-number&gt;&lt;foreign-keys&gt;&lt;key app="EN" db-id="sf029s9x7d99dqe50eeprptuz5e5t0etd0d5" timestamp="1716486175"&gt;166&lt;/key&gt;&lt;/foreign-keys&gt;&lt;ref-type name="Conference Paper"&gt;47&lt;/ref-type&gt;&lt;contributors&gt;&lt;authors&gt;&lt;author&gt;John Cui,&lt;/author&gt;&lt;author&gt;Luke Lebel, &lt;/author&gt;&lt;author&gt;Andrew Morreale, &lt;/author&gt;&lt;author&gt;David Hummel &lt;/author&gt;&lt;/authors&gt;&lt;/contributors&gt;&lt;titles&gt;&lt;title&gt;MELCOR Model of iPWR and Application to Emergency Planning Zone Study&lt;/title&gt;&lt;secondary-title&gt;14th International Topical Meeting on Nuclear Reactor Thermal-Hydraulics, Operation and Safety (NUTHOS-14)&lt;/secondary-title&gt;&lt;/titles&gt;&lt;dates&gt;&lt;year&gt;2024&lt;/year&gt;&lt;/dates&gt;&lt;urls&gt;&lt;/urls&gt;&lt;/record&gt;&lt;/Cite&gt;&lt;/EndNote&gt;</w:instrText>
      </w:r>
      <w:r w:rsidR="00B2319E">
        <w:fldChar w:fldCharType="separate"/>
      </w:r>
      <w:r w:rsidR="00B864D9">
        <w:rPr>
          <w:noProof/>
        </w:rPr>
        <w:t>[19]</w:t>
      </w:r>
      <w:r w:rsidR="00B2319E">
        <w:fldChar w:fldCharType="end"/>
      </w:r>
      <w:r w:rsidR="00B2319E">
        <w:t xml:space="preserve">. </w:t>
      </w:r>
      <w:r w:rsidR="00315FB3">
        <w:t xml:space="preserve">The </w:t>
      </w:r>
      <w:r w:rsidR="00F4248C">
        <w:t xml:space="preserve">release is assumed </w:t>
      </w:r>
      <w:r w:rsidR="00456459">
        <w:t xml:space="preserve">to be </w:t>
      </w:r>
      <w:r w:rsidR="00F4248C">
        <w:t>steady</w:t>
      </w:r>
      <w:r w:rsidR="00456459">
        <w:t xml:space="preserve"> and in steady, uniform meteorological</w:t>
      </w:r>
      <w:r w:rsidR="00F4248C">
        <w:t xml:space="preserve"> conditions</w:t>
      </w:r>
      <w:r w:rsidR="000D4894">
        <w:t xml:space="preserve"> for 8 h</w:t>
      </w:r>
      <w:r w:rsidR="004676A9">
        <w:t>, an</w:t>
      </w:r>
      <w:r w:rsidR="004135ED">
        <w:t>d the ambient temperature at release is 300 K</w:t>
      </w:r>
      <w:r w:rsidR="00CC6481">
        <w:t xml:space="preserve">. </w:t>
      </w:r>
      <w:r w:rsidR="004F0626">
        <w:t>Th</w:t>
      </w:r>
      <w:r w:rsidR="00F4248C">
        <w:t>e</w:t>
      </w:r>
      <w:r w:rsidR="004F0626">
        <w:t xml:space="preserve"> </w:t>
      </w:r>
      <w:r w:rsidR="00A56268">
        <w:t xml:space="preserve">concentrations that result from the RASCAL simulation are not directly compared to the </w:t>
      </w:r>
      <w:r w:rsidR="004F0626">
        <w:t xml:space="preserve">CFD </w:t>
      </w:r>
      <w:proofErr w:type="gramStart"/>
      <w:r w:rsidR="004F0626">
        <w:t>model</w:t>
      </w:r>
      <w:r w:rsidR="008F6D90">
        <w:t>, but</w:t>
      </w:r>
      <w:proofErr w:type="gramEnd"/>
      <w:r w:rsidR="008F6D90">
        <w:t xml:space="preserve"> are first converted into </w:t>
      </w:r>
      <m:oMath>
        <m:f>
          <m:fPr>
            <m:type m:val="lin"/>
            <m:ctrlPr>
              <w:rPr>
                <w:rFonts w:ascii="Cambria Math" w:hAnsi="Cambria Math"/>
                <w:i/>
              </w:rPr>
            </m:ctrlPr>
          </m:fPr>
          <m:num>
            <m:r>
              <w:rPr>
                <w:rFonts w:ascii="Cambria Math" w:hAnsi="Cambria Math"/>
              </w:rPr>
              <m:t>χ</m:t>
            </m:r>
          </m:num>
          <m:den>
            <m:r>
              <w:rPr>
                <w:rFonts w:ascii="Cambria Math" w:hAnsi="Cambria Math"/>
              </w:rPr>
              <m:t>Q</m:t>
            </m:r>
          </m:den>
        </m:f>
      </m:oMath>
      <w:r w:rsidR="0023474D">
        <w:t>.</w:t>
      </w:r>
      <w:r w:rsidR="005C0242">
        <w:t xml:space="preserve"> </w:t>
      </w:r>
      <w:r w:rsidR="00681C14">
        <w:t xml:space="preserve">In RASCAL, </w:t>
      </w:r>
      <m:oMath>
        <m:f>
          <m:fPr>
            <m:type m:val="lin"/>
            <m:ctrlPr>
              <w:rPr>
                <w:rFonts w:ascii="Cambria Math" w:hAnsi="Cambria Math"/>
                <w:i/>
              </w:rPr>
            </m:ctrlPr>
          </m:fPr>
          <m:num>
            <m:r>
              <w:rPr>
                <w:rFonts w:ascii="Cambria Math" w:hAnsi="Cambria Math"/>
              </w:rPr>
              <m:t>χ</m:t>
            </m:r>
          </m:num>
          <m:den>
            <m:r>
              <w:rPr>
                <w:rFonts w:ascii="Cambria Math" w:hAnsi="Cambria Math"/>
              </w:rPr>
              <m:t>Q</m:t>
            </m:r>
          </m:den>
        </m:f>
      </m:oMath>
      <w:r w:rsidR="001A142A">
        <w:t xml:space="preserve"> is</w:t>
      </w:r>
      <w:r w:rsidR="005C0242">
        <w:t xml:space="preserve"> internally computed and </w:t>
      </w:r>
      <w:r w:rsidR="00F32DAC">
        <w:t xml:space="preserve">is not </w:t>
      </w:r>
      <w:r w:rsidR="00FD6CE4">
        <w:t xml:space="preserve">a standard output of the code. </w:t>
      </w:r>
      <w:r w:rsidR="005E4C93">
        <w:t xml:space="preserve">However, the STDose module of RASCAL </w:t>
      </w:r>
      <w:r w:rsidR="0032611B">
        <w:t>can be</w:t>
      </w:r>
      <w:r w:rsidR="00E318BA">
        <w:t xml:space="preserve"> used to </w:t>
      </w:r>
      <w:r w:rsidR="00D656E7">
        <w:t>determine</w:t>
      </w:r>
      <w:r w:rsidR="00E318BA">
        <w:t xml:space="preserve"> the </w:t>
      </w:r>
      <w:r w:rsidR="00CB3BB5">
        <w:t>organ</w:t>
      </w:r>
      <w:r w:rsidR="00BF2624">
        <w:t xml:space="preserve">-committed dose equivalent caused by </w:t>
      </w:r>
      <w:r w:rsidR="00E318BA">
        <w:t>inhalation</w:t>
      </w:r>
      <w:r w:rsidR="00ED7231">
        <w:t xml:space="preserve"> for 15-minute periods</w:t>
      </w:r>
      <w:r w:rsidR="0032611B">
        <w:t xml:space="preserve">, </w:t>
      </w:r>
      <m:oMath>
        <m:sSub>
          <m:sSubPr>
            <m:ctrlPr>
              <w:rPr>
                <w:rFonts w:ascii="Cambria Math" w:hAnsi="Cambria Math"/>
                <w:i/>
              </w:rPr>
            </m:ctrlPr>
          </m:sSubPr>
          <m:e>
            <m:r>
              <w:rPr>
                <w:rFonts w:ascii="Cambria Math" w:hAnsi="Cambria Math"/>
              </w:rPr>
              <m:t>D</m:t>
            </m:r>
          </m:e>
          <m:sub>
            <m:r>
              <w:rPr>
                <w:rFonts w:ascii="Cambria Math" w:hAnsi="Cambria Math"/>
              </w:rPr>
              <m:t>15</m:t>
            </m:r>
          </m:sub>
        </m:sSub>
      </m:oMath>
      <w:r w:rsidR="008074FE">
        <w:t xml:space="preserve"> (Sv)</w:t>
      </w:r>
      <w:r w:rsidR="00290C65">
        <w:t>,</w:t>
      </w:r>
      <w:r w:rsidR="0032611B">
        <w:t xml:space="preserve"> </w:t>
      </w:r>
      <w:r w:rsidR="001011DB">
        <w:t>which is related to</w:t>
      </w:r>
      <w:r w:rsidR="004F39E7">
        <w:t xml:space="preserve"> </w:t>
      </w:r>
      <m:oMath>
        <m:r>
          <w:rPr>
            <w:rFonts w:ascii="Cambria Math" w:hAnsi="Cambria Math"/>
          </w:rPr>
          <m:t>χ</m:t>
        </m:r>
      </m:oMath>
      <w:r w:rsidR="001011DB">
        <w:t xml:space="preserve"> as</w:t>
      </w:r>
      <w:r w:rsidR="00D6317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6"/>
        <w:gridCol w:w="791"/>
      </w:tblGrid>
      <w:tr w:rsidR="00123F94" w:rsidRPr="00776020" w14:paraId="2E8564F1" w14:textId="77777777" w:rsidTr="00123F94">
        <w:trPr>
          <w:trHeight w:val="514"/>
        </w:trPr>
        <w:tc>
          <w:tcPr>
            <w:tcW w:w="8236" w:type="dxa"/>
            <w:vAlign w:val="center"/>
          </w:tcPr>
          <w:p w14:paraId="46B87A5D" w14:textId="0D5BCE26" w:rsidR="00123F94" w:rsidRPr="00776020" w:rsidRDefault="00737975" w:rsidP="00C91D10">
            <w:pPr>
              <w:pStyle w:val="Body"/>
              <w:spacing w:before="0"/>
              <w:jc w:val="center"/>
              <w:rPr>
                <w:sz w:val="18"/>
                <w:szCs w:val="14"/>
              </w:rPr>
            </w:pPr>
            <m:oMathPara>
              <m:oMath>
                <m:sSub>
                  <m:sSubPr>
                    <m:ctrlPr>
                      <w:rPr>
                        <w:rFonts w:ascii="Cambria Math" w:hAnsi="Cambria Math"/>
                        <w:sz w:val="18"/>
                        <w:szCs w:val="18"/>
                      </w:rPr>
                    </m:ctrlPr>
                  </m:sSubPr>
                  <m:e>
                    <m:r>
                      <w:rPr>
                        <w:rFonts w:ascii="Cambria Math" w:hAnsi="Cambria Math"/>
                        <w:sz w:val="18"/>
                        <w:szCs w:val="18"/>
                      </w:rPr>
                      <m:t>D</m:t>
                    </m:r>
                  </m:e>
                  <m:sub>
                    <m:r>
                      <m:rPr>
                        <m:sty m:val="p"/>
                      </m:rPr>
                      <w:rPr>
                        <w:rFonts w:ascii="Cambria Math" w:hAnsi="Cambria Math"/>
                        <w:sz w:val="18"/>
                        <w:szCs w:val="18"/>
                      </w:rPr>
                      <m:t>15</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V</m:t>
                    </m:r>
                  </m:e>
                  <m:sub>
                    <m:r>
                      <w:rPr>
                        <w:rFonts w:ascii="Cambria Math" w:hAnsi="Cambria Math"/>
                        <w:sz w:val="18"/>
                        <w:szCs w:val="18"/>
                      </w:rPr>
                      <m:t>b</m:t>
                    </m:r>
                  </m:sub>
                </m:sSub>
                <m:nary>
                  <m:naryPr>
                    <m:chr m:val="∑"/>
                    <m:limLoc m:val="undOvr"/>
                    <m:supHide m:val="1"/>
                    <m:ctrlPr>
                      <w:rPr>
                        <w:rFonts w:ascii="Cambria Math" w:hAnsi="Cambria Math"/>
                        <w:i/>
                        <w:sz w:val="18"/>
                        <w:szCs w:val="18"/>
                      </w:rPr>
                    </m:ctrlPr>
                  </m:naryPr>
                  <m:sub>
                    <m:r>
                      <w:rPr>
                        <w:rFonts w:ascii="Cambria Math" w:hAnsi="Cambria Math"/>
                        <w:sz w:val="18"/>
                        <w:szCs w:val="18"/>
                      </w:rPr>
                      <m:t>n</m:t>
                    </m:r>
                  </m:sub>
                  <m:sup/>
                  <m:e>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DCF</m:t>
                            </m:r>
                          </m:e>
                          <m:sub>
                            <m:r>
                              <w:rPr>
                                <w:rFonts w:ascii="Cambria Math" w:hAnsi="Cambria Math"/>
                                <w:sz w:val="18"/>
                                <w:szCs w:val="18"/>
                              </w:rPr>
                              <m:t>n</m:t>
                            </m:r>
                          </m:sub>
                        </m:sSub>
                        <m:nary>
                          <m:naryPr>
                            <m:limLoc m:val="subSup"/>
                            <m:ctrlPr>
                              <w:rPr>
                                <w:rFonts w:ascii="Cambria Math" w:hAnsi="Cambria Math"/>
                                <w:i/>
                                <w:sz w:val="18"/>
                                <w:szCs w:val="18"/>
                              </w:rPr>
                            </m:ctrlPr>
                          </m:naryPr>
                          <m:sub>
                            <m:r>
                              <w:rPr>
                                <w:rFonts w:ascii="Cambria Math" w:hAnsi="Cambria Math"/>
                                <w:sz w:val="18"/>
                                <w:szCs w:val="18"/>
                              </w:rPr>
                              <m:t>t</m:t>
                            </m:r>
                          </m:sub>
                          <m:sup>
                            <m:r>
                              <w:rPr>
                                <w:rFonts w:ascii="Cambria Math" w:hAnsi="Cambria Math"/>
                                <w:sz w:val="18"/>
                                <w:szCs w:val="18"/>
                              </w:rPr>
                              <m:t>t+15</m:t>
                            </m:r>
                          </m:sup>
                          <m:e>
                            <m:sSub>
                              <m:sSubPr>
                                <m:ctrlPr>
                                  <w:rPr>
                                    <w:rFonts w:ascii="Cambria Math" w:hAnsi="Cambria Math"/>
                                    <w:i/>
                                    <w:sz w:val="18"/>
                                    <w:szCs w:val="18"/>
                                  </w:rPr>
                                </m:ctrlPr>
                              </m:sSubPr>
                              <m:e>
                                <m:r>
                                  <w:rPr>
                                    <w:rFonts w:ascii="Cambria Math" w:hAnsi="Cambria Math"/>
                                    <w:sz w:val="18"/>
                                    <w:szCs w:val="18"/>
                                  </w:rPr>
                                  <m:t>χ</m:t>
                                </m:r>
                              </m:e>
                              <m:sub>
                                <m:r>
                                  <w:rPr>
                                    <w:rFonts w:ascii="Cambria Math" w:hAnsi="Cambria Math"/>
                                    <w:sz w:val="18"/>
                                    <w:szCs w:val="18"/>
                                  </w:rPr>
                                  <m:t>n</m:t>
                                </m:r>
                              </m:sub>
                            </m:sSub>
                            <m:d>
                              <m:dPr>
                                <m:ctrlPr>
                                  <w:rPr>
                                    <w:rFonts w:ascii="Cambria Math" w:hAnsi="Cambria Math"/>
                                    <w:i/>
                                    <w:sz w:val="18"/>
                                    <w:szCs w:val="18"/>
                                  </w:rPr>
                                </m:ctrlPr>
                              </m:dPr>
                              <m:e>
                                <m:r>
                                  <w:rPr>
                                    <w:rFonts w:ascii="Cambria Math" w:hAnsi="Cambria Math"/>
                                    <w:sz w:val="18"/>
                                    <w:szCs w:val="18"/>
                                  </w:rPr>
                                  <m:t>t</m:t>
                                </m:r>
                              </m:e>
                            </m:d>
                            <m:r>
                              <w:rPr>
                                <w:rFonts w:ascii="Cambria Math" w:hAnsi="Cambria Math"/>
                                <w:sz w:val="18"/>
                                <w:szCs w:val="18"/>
                              </w:rPr>
                              <m:t>dt</m:t>
                            </m:r>
                          </m:e>
                        </m:nary>
                      </m:e>
                    </m:d>
                  </m:e>
                </m:nary>
                <m:r>
                  <w:rPr>
                    <w:rFonts w:ascii="Cambria Math" w:hAnsi="Cambria Math"/>
                    <w:sz w:val="18"/>
                    <w:szCs w:val="18"/>
                  </w:rPr>
                  <m:t>.</m:t>
                </m:r>
              </m:oMath>
            </m:oMathPara>
          </w:p>
        </w:tc>
        <w:tc>
          <w:tcPr>
            <w:tcW w:w="791" w:type="dxa"/>
            <w:vAlign w:val="center"/>
          </w:tcPr>
          <w:p w14:paraId="2E3B284A" w14:textId="3364D614" w:rsidR="00123F94" w:rsidRPr="00776020" w:rsidRDefault="00123F94" w:rsidP="00C91D10">
            <w:pPr>
              <w:pStyle w:val="Body"/>
              <w:spacing w:before="0"/>
              <w:jc w:val="center"/>
              <w:rPr>
                <w:sz w:val="18"/>
                <w:szCs w:val="14"/>
              </w:rPr>
            </w:pPr>
            <w:r w:rsidRPr="00776020">
              <w:rPr>
                <w:sz w:val="18"/>
                <w:szCs w:val="14"/>
              </w:rPr>
              <w:t>(</w:t>
            </w:r>
            <w:r w:rsidRPr="00776020">
              <w:rPr>
                <w:sz w:val="18"/>
                <w:szCs w:val="14"/>
              </w:rPr>
              <w:fldChar w:fldCharType="begin"/>
            </w:r>
            <w:r w:rsidRPr="00776020">
              <w:rPr>
                <w:sz w:val="18"/>
                <w:szCs w:val="14"/>
              </w:rPr>
              <w:instrText xml:space="preserve"> SEQ Equation \* ARABIC </w:instrText>
            </w:r>
            <w:r w:rsidRPr="00776020">
              <w:rPr>
                <w:sz w:val="18"/>
                <w:szCs w:val="14"/>
              </w:rPr>
              <w:fldChar w:fldCharType="separate"/>
            </w:r>
            <w:r>
              <w:rPr>
                <w:noProof/>
                <w:sz w:val="18"/>
                <w:szCs w:val="14"/>
              </w:rPr>
              <w:t>3</w:t>
            </w:r>
            <w:r w:rsidRPr="00776020">
              <w:rPr>
                <w:sz w:val="18"/>
                <w:szCs w:val="14"/>
              </w:rPr>
              <w:fldChar w:fldCharType="end"/>
            </w:r>
            <w:r w:rsidRPr="00776020">
              <w:rPr>
                <w:sz w:val="18"/>
                <w:szCs w:val="14"/>
              </w:rPr>
              <w:t>)</w:t>
            </w:r>
          </w:p>
        </w:tc>
      </w:tr>
    </w:tbl>
    <w:p w14:paraId="370C7EC7" w14:textId="02A76630" w:rsidR="0008546B" w:rsidRPr="00C97A5A" w:rsidRDefault="00934C90" w:rsidP="003C21B7">
      <w:pPr>
        <w:pStyle w:val="BodyText"/>
        <w:ind w:firstLine="0"/>
      </w:pPr>
      <w:r>
        <w:t xml:space="preserve">Here, </w:t>
      </w:r>
      <m:oMath>
        <m:sSub>
          <m:sSubPr>
            <m:ctrlPr>
              <w:rPr>
                <w:rFonts w:ascii="Cambria Math" w:hAnsi="Cambria Math"/>
                <w:lang w:val="en-CA"/>
              </w:rPr>
            </m:ctrlPr>
          </m:sSubPr>
          <m:e>
            <m:r>
              <w:rPr>
                <w:rFonts w:ascii="Cambria Math" w:hAnsi="Cambria Math"/>
              </w:rPr>
              <m:t>V</m:t>
            </m:r>
          </m:e>
          <m:sub>
            <m:r>
              <w:rPr>
                <w:rFonts w:ascii="Cambria Math" w:hAnsi="Cambria Math"/>
              </w:rPr>
              <m:t>b</m:t>
            </m:r>
          </m:sub>
        </m:sSub>
      </m:oMath>
      <w:r w:rsidR="00414900">
        <w:rPr>
          <w:lang w:val="en-CA"/>
        </w:rPr>
        <w:t>=</w:t>
      </w:r>
      <w:r w:rsidR="008A42E5">
        <w:rPr>
          <w:lang w:val="en-CA"/>
        </w:rPr>
        <w:t>3.33×10</w:t>
      </w:r>
      <w:r w:rsidR="008A42E5" w:rsidRPr="008A42E5">
        <w:rPr>
          <w:vertAlign w:val="superscript"/>
          <w:lang w:val="en-CA"/>
        </w:rPr>
        <w:t>-4</w:t>
      </w:r>
      <w:r w:rsidR="007C7D80">
        <w:rPr>
          <w:lang w:val="en-CA"/>
        </w:rPr>
        <w:t xml:space="preserve"> m</w:t>
      </w:r>
      <w:r w:rsidR="007C7D80" w:rsidRPr="007C7D80">
        <w:rPr>
          <w:vertAlign w:val="superscript"/>
          <w:lang w:val="en-CA"/>
        </w:rPr>
        <w:t>3</w:t>
      </w:r>
      <w:r w:rsidR="007C7D80">
        <w:rPr>
          <w:lang w:val="en-CA"/>
        </w:rPr>
        <w:t>/s is the breathing rate</w:t>
      </w:r>
      <w:r w:rsidR="00EB269B">
        <w:rPr>
          <w:lang w:val="en-CA"/>
        </w:rPr>
        <w:t xml:space="preserve">, </w:t>
      </w:r>
      <m:oMath>
        <m:sSub>
          <m:sSubPr>
            <m:ctrlPr>
              <w:rPr>
                <w:rFonts w:ascii="Cambria Math" w:hAnsi="Cambria Math"/>
                <w:lang w:val="en-CA"/>
              </w:rPr>
            </m:ctrlPr>
          </m:sSubPr>
          <m:e>
            <m:r>
              <w:rPr>
                <w:rFonts w:ascii="Cambria Math" w:hAnsi="Cambria Math"/>
              </w:rPr>
              <m:t>DCF</m:t>
            </m:r>
          </m:e>
          <m:sub>
            <m:r>
              <w:rPr>
                <w:rFonts w:ascii="Cambria Math" w:hAnsi="Cambria Math"/>
              </w:rPr>
              <m:t>n</m:t>
            </m:r>
          </m:sub>
        </m:sSub>
      </m:oMath>
      <w:r w:rsidR="00167E75">
        <w:rPr>
          <w:lang w:val="en-CA"/>
        </w:rPr>
        <w:t xml:space="preserve"> (Sv/Bq) is the </w:t>
      </w:r>
      <w:r w:rsidR="00F85236">
        <w:rPr>
          <w:lang w:val="en-CA"/>
        </w:rPr>
        <w:t>organ-specific dose conversion factor for radionuclide</w:t>
      </w:r>
      <w:r w:rsidR="00F85236" w:rsidRPr="00F85236">
        <w:rPr>
          <w:rFonts w:ascii="Cambria Math" w:hAnsi="Cambria Math"/>
          <w:i/>
        </w:rPr>
        <w:t xml:space="preserve"> </w:t>
      </w:r>
      <m:oMath>
        <m:r>
          <w:rPr>
            <w:rFonts w:ascii="Cambria Math" w:hAnsi="Cambria Math"/>
          </w:rPr>
          <m:t>n</m:t>
        </m:r>
      </m:oMath>
      <w:r w:rsidR="00730D93">
        <w:rPr>
          <w:rFonts w:ascii="Cambria Math" w:hAnsi="Cambria Math"/>
          <w:i/>
        </w:rPr>
        <w:t xml:space="preserve">, </w:t>
      </w:r>
      <m:oMath>
        <m:sSub>
          <m:sSubPr>
            <m:ctrlPr>
              <w:rPr>
                <w:rFonts w:ascii="Cambria Math" w:hAnsi="Cambria Math"/>
                <w:i/>
                <w:lang w:val="en-CA"/>
              </w:rPr>
            </m:ctrlPr>
          </m:sSubPr>
          <m:e>
            <m:r>
              <w:rPr>
                <w:rFonts w:ascii="Cambria Math" w:hAnsi="Cambria Math"/>
              </w:rPr>
              <m:t>χ</m:t>
            </m:r>
          </m:e>
          <m:sub>
            <m:r>
              <w:rPr>
                <w:rFonts w:ascii="Cambria Math" w:hAnsi="Cambria Math"/>
              </w:rPr>
              <m:t>n</m:t>
            </m:r>
          </m:sub>
        </m:sSub>
      </m:oMath>
      <w:r w:rsidR="008D2C8C">
        <w:rPr>
          <w:rFonts w:ascii="Cambria Math" w:hAnsi="Cambria Math"/>
          <w:i/>
          <w:lang w:val="en-CA"/>
        </w:rPr>
        <w:t xml:space="preserve"> </w:t>
      </w:r>
      <w:r w:rsidR="008D2C8C" w:rsidRPr="008D2C8C">
        <w:rPr>
          <w:rFonts w:ascii="Cambria Math" w:hAnsi="Cambria Math"/>
          <w:iCs/>
          <w:lang w:val="en-CA"/>
        </w:rPr>
        <w:t>(</w:t>
      </w:r>
      <w:proofErr w:type="spellStart"/>
      <w:r w:rsidR="008D2C8C">
        <w:t>Bq</w:t>
      </w:r>
      <w:proofErr w:type="spellEnd"/>
      <w:r w:rsidR="008D2C8C">
        <w:t>/m</w:t>
      </w:r>
      <w:r w:rsidR="008D2C8C" w:rsidRPr="00056730">
        <w:rPr>
          <w:vertAlign w:val="superscript"/>
        </w:rPr>
        <w:t>3</w:t>
      </w:r>
      <w:r w:rsidR="008D2C8C">
        <w:t>) is the</w:t>
      </w:r>
      <w:r w:rsidR="0090047C">
        <w:t xml:space="preserve"> </w:t>
      </w:r>
      <w:r w:rsidR="008D2C8C">
        <w:t>radio</w:t>
      </w:r>
      <w:r w:rsidR="00623619">
        <w:t xml:space="preserve">nuclide </w:t>
      </w:r>
      <m:oMath>
        <m:r>
          <w:rPr>
            <w:rFonts w:ascii="Cambria Math" w:hAnsi="Cambria Math"/>
          </w:rPr>
          <m:t>n</m:t>
        </m:r>
      </m:oMath>
      <w:r w:rsidR="00623619">
        <w:rPr>
          <w:rFonts w:ascii="Cambria Math" w:hAnsi="Cambria Math"/>
          <w:i/>
        </w:rPr>
        <w:t xml:space="preserve"> </w:t>
      </w:r>
      <w:r w:rsidR="00623619" w:rsidRPr="00623619">
        <w:t>concentration</w:t>
      </w:r>
      <w:r w:rsidR="00A71811">
        <w:t xml:space="preserve">, and </w:t>
      </w:r>
      <m:oMath>
        <m:r>
          <w:rPr>
            <w:rFonts w:ascii="Cambria Math" w:hAnsi="Cambria Math"/>
          </w:rPr>
          <m:t>t</m:t>
        </m:r>
      </m:oMath>
      <w:r w:rsidR="00A71811">
        <w:t xml:space="preserve"> is time. </w:t>
      </w:r>
      <w:r w:rsidR="00EE695A">
        <w:t xml:space="preserve">Since I-131 is the only radionuclide </w:t>
      </w:r>
      <w:r w:rsidR="009B0D48">
        <w:t xml:space="preserve">considered </w:t>
      </w:r>
      <w:r w:rsidR="00486139">
        <w:t>in the source term in this study, the</w:t>
      </w:r>
      <w:r w:rsidR="00305F16">
        <w:t xml:space="preserve"> summation in the</w:t>
      </w:r>
      <w:r w:rsidR="00486139">
        <w:t xml:space="preserve"> above equation </w:t>
      </w:r>
      <w:r w:rsidR="00C2485F">
        <w:t xml:space="preserve">is </w:t>
      </w:r>
      <w:r w:rsidR="00305F16">
        <w:t>no</w:t>
      </w:r>
      <w:r w:rsidR="00C62C0E">
        <w:t xml:space="preserve">t </w:t>
      </w:r>
      <w:r w:rsidR="00305F16">
        <w:t>applicable</w:t>
      </w:r>
      <w:r w:rsidR="00C62C0E">
        <w:t>,</w:t>
      </w:r>
      <w:r w:rsidR="00305F16">
        <w:t xml:space="preserve"> and </w:t>
      </w:r>
      <m:oMath>
        <m:r>
          <w:rPr>
            <w:rFonts w:ascii="Cambria Math" w:hAnsi="Cambria Math"/>
          </w:rPr>
          <m:t>DCF</m:t>
        </m:r>
      </m:oMath>
      <w:r w:rsidR="00305F16">
        <w:t xml:space="preserve"> of I</w:t>
      </w:r>
      <w:r w:rsidR="003E7885">
        <w:t>-</w:t>
      </w:r>
      <w:r w:rsidR="00305F16">
        <w:t xml:space="preserve">131 = </w:t>
      </w:r>
      <w:r w:rsidR="009D49BC">
        <w:t>8.89</w:t>
      </w:r>
      <w:r w:rsidR="009D49BC">
        <w:rPr>
          <w:lang w:val="en-CA"/>
        </w:rPr>
        <w:t>×10</w:t>
      </w:r>
      <w:r w:rsidR="009D49BC" w:rsidRPr="008A42E5">
        <w:rPr>
          <w:vertAlign w:val="superscript"/>
          <w:lang w:val="en-CA"/>
        </w:rPr>
        <w:t>-</w:t>
      </w:r>
      <w:r w:rsidR="009D49BC">
        <w:rPr>
          <w:vertAlign w:val="superscript"/>
          <w:lang w:val="en-CA"/>
        </w:rPr>
        <w:t>9</w:t>
      </w:r>
      <w:r w:rsidR="00535E48">
        <w:rPr>
          <w:lang w:val="en-CA"/>
        </w:rPr>
        <w:t xml:space="preserve"> </w:t>
      </w:r>
      <w:proofErr w:type="spellStart"/>
      <w:r w:rsidR="00535E48">
        <w:rPr>
          <w:lang w:val="en-CA"/>
        </w:rPr>
        <w:t>Sv</w:t>
      </w:r>
      <w:proofErr w:type="spellEnd"/>
      <w:r w:rsidR="00535E48">
        <w:rPr>
          <w:lang w:val="en-CA"/>
        </w:rPr>
        <w:t>/</w:t>
      </w:r>
      <w:proofErr w:type="spellStart"/>
      <w:r w:rsidR="00535E48">
        <w:rPr>
          <w:lang w:val="en-CA"/>
        </w:rPr>
        <w:t>Bq</w:t>
      </w:r>
      <w:proofErr w:type="spellEnd"/>
      <w:r w:rsidR="009B436E">
        <w:rPr>
          <w:lang w:val="en-CA"/>
        </w:rPr>
        <w:t xml:space="preserve"> as per </w:t>
      </w:r>
      <w:r w:rsidR="009B436E">
        <w:t>ICRP</w:t>
      </w:r>
      <w:r w:rsidR="002F65DC">
        <w:t>-</w:t>
      </w:r>
      <w:r w:rsidR="009B436E">
        <w:t>26</w:t>
      </w:r>
      <w:r w:rsidR="00FE73F9">
        <w:t xml:space="preserve"> </w:t>
      </w:r>
      <w:r w:rsidR="00FE73F9">
        <w:fldChar w:fldCharType="begin"/>
      </w:r>
      <w:r w:rsidR="007E7A8D">
        <w:instrText xml:space="preserve"> ADDIN EN.CITE &lt;EndNote&gt;&lt;Cite&gt;&lt;Author&gt;J. V. Ramsdell Jr.&lt;/Author&gt;&lt;Year&gt;2015&lt;/Year&gt;&lt;RecNum&gt;59&lt;/RecNum&gt;&lt;DisplayText&gt;[4]&lt;/DisplayText&gt;&lt;record&gt;&lt;rec-number&gt;59&lt;/rec-number&gt;&lt;foreign-keys&gt;&lt;key app="EN" db-id="sf029s9x7d99dqe50eeprptuz5e5t0etd0d5" timestamp="1707436167" guid="82fb9536-6c56-480a-91ad-fef3b45c9dfd"&gt;59&lt;/key&gt;&lt;/foreign-keys&gt;&lt;ref-type name="Report"&gt;27&lt;/ref-type&gt;&lt;contributors&gt;&lt;authors&gt;&lt;author&gt;J. V. Ramsdell Jr., &lt;/author&gt;&lt;author&gt;G. F. Athey, &lt;/author&gt;&lt;author&gt;J. P. Rishel&lt;/author&gt;&lt;/authors&gt;&lt;/contributors&gt;&lt;titles&gt;&lt;title&gt;RASCAL 4.3: Description of Models and Methods, NUREG-1940 Supplement 1&lt;/title&gt;&lt;/titles&gt;&lt;dates&gt;&lt;year&gt;2015&lt;/year&gt;&lt;/dates&gt;&lt;publisher&gt;U.S. Nuclear Regulatory Commission&lt;/publisher&gt;&lt;urls&gt;&lt;/urls&gt;&lt;/record&gt;&lt;/Cite&gt;&lt;/EndNote&gt;</w:instrText>
      </w:r>
      <w:r w:rsidR="00FE73F9">
        <w:fldChar w:fldCharType="separate"/>
      </w:r>
      <w:r w:rsidR="00FE73F9">
        <w:rPr>
          <w:noProof/>
        </w:rPr>
        <w:t>[4]</w:t>
      </w:r>
      <w:r w:rsidR="00FE73F9">
        <w:fldChar w:fldCharType="end"/>
      </w:r>
      <w:r w:rsidR="001558CE">
        <w:rPr>
          <w:lang w:val="en-CA"/>
        </w:rPr>
        <w:t>.</w:t>
      </w:r>
      <w:r w:rsidR="00C65969">
        <w:rPr>
          <w:lang w:val="en-CA"/>
        </w:rPr>
        <w:t xml:space="preserve"> </w:t>
      </w:r>
      <w:r w:rsidR="00827179">
        <w:rPr>
          <w:lang w:val="en-CA"/>
        </w:rPr>
        <w:t>Ground-level d</w:t>
      </w:r>
      <w:r w:rsidR="007E6FFE">
        <w:rPr>
          <w:lang w:val="en-CA"/>
        </w:rPr>
        <w:t>oses</w:t>
      </w:r>
      <w:r w:rsidR="00827179">
        <w:rPr>
          <w:lang w:val="en-CA"/>
        </w:rPr>
        <w:t xml:space="preserve"> (assumed to be at a height of 1 m in RASCAL) </w:t>
      </w:r>
      <w:r w:rsidR="007E6FFE">
        <w:rPr>
          <w:lang w:val="en-CA"/>
        </w:rPr>
        <w:t xml:space="preserve">are calculated at </w:t>
      </w:r>
      <w:r w:rsidR="005F1E6B">
        <w:rPr>
          <w:lang w:val="en-CA"/>
        </w:rPr>
        <w:t>eight</w:t>
      </w:r>
      <w:r w:rsidR="00914F9F">
        <w:rPr>
          <w:lang w:val="en-CA"/>
        </w:rPr>
        <w:t xml:space="preserve"> </w:t>
      </w:r>
      <w:r w:rsidR="00397530">
        <w:rPr>
          <w:lang w:val="en-CA"/>
        </w:rPr>
        <w:t xml:space="preserve">downwind locations: </w:t>
      </w:r>
      <w:r w:rsidR="00702750">
        <w:rPr>
          <w:lang w:val="en-CA"/>
        </w:rPr>
        <w:t xml:space="preserve">25 m, </w:t>
      </w:r>
      <w:r w:rsidR="009A2DFE">
        <w:rPr>
          <w:lang w:val="en-CA"/>
        </w:rPr>
        <w:t xml:space="preserve">50 m, 75 m, 100 m, </w:t>
      </w:r>
      <w:r w:rsidR="00856E06">
        <w:rPr>
          <w:lang w:val="en-CA"/>
        </w:rPr>
        <w:t>250 m</w:t>
      </w:r>
      <w:r w:rsidR="000020FE">
        <w:rPr>
          <w:lang w:val="en-CA"/>
        </w:rPr>
        <w:t>,</w:t>
      </w:r>
      <w:r w:rsidR="00856E06">
        <w:rPr>
          <w:lang w:val="en-CA"/>
        </w:rPr>
        <w:t xml:space="preserve"> </w:t>
      </w:r>
      <w:r w:rsidR="000020FE">
        <w:rPr>
          <w:lang w:val="en-CA"/>
        </w:rPr>
        <w:t>500 m</w:t>
      </w:r>
      <w:r w:rsidR="005F1E6B">
        <w:rPr>
          <w:lang w:val="en-CA"/>
        </w:rPr>
        <w:t xml:space="preserve">, 750 </w:t>
      </w:r>
      <w:proofErr w:type="gramStart"/>
      <w:r w:rsidR="005F1E6B">
        <w:rPr>
          <w:lang w:val="en-CA"/>
        </w:rPr>
        <w:t>m</w:t>
      </w:r>
      <w:proofErr w:type="gramEnd"/>
      <w:r w:rsidR="005F1E6B">
        <w:rPr>
          <w:lang w:val="en-CA"/>
        </w:rPr>
        <w:t xml:space="preserve"> and 1000 m</w:t>
      </w:r>
      <w:r w:rsidR="000020FE">
        <w:rPr>
          <w:lang w:val="en-CA"/>
        </w:rPr>
        <w:t xml:space="preserve"> from the source.</w:t>
      </w:r>
      <w:r w:rsidR="009A2DFE">
        <w:rPr>
          <w:lang w:val="en-CA"/>
        </w:rPr>
        <w:t xml:space="preserve"> </w:t>
      </w:r>
      <w:r w:rsidR="00C65969">
        <w:rPr>
          <w:lang w:val="en-CA"/>
        </w:rPr>
        <w:t xml:space="preserve">The concentration </w:t>
      </w:r>
      <m:oMath>
        <m:r>
          <w:rPr>
            <w:rFonts w:ascii="Cambria Math" w:hAnsi="Cambria Math"/>
          </w:rPr>
          <m:t>χ</m:t>
        </m:r>
      </m:oMath>
      <w:r w:rsidR="00C65969">
        <w:t xml:space="preserve"> </w:t>
      </w:r>
      <w:r w:rsidR="00E77AC7">
        <w:t xml:space="preserve">at these locations are </w:t>
      </w:r>
      <w:r w:rsidR="002233C1">
        <w:t xml:space="preserve">calculated </w:t>
      </w:r>
      <w:r w:rsidR="00C06CF4">
        <w:t xml:space="preserve">from the doses </w:t>
      </w:r>
      <w:r w:rsidR="002233C1">
        <w:t xml:space="preserve">using </w:t>
      </w:r>
      <w:r w:rsidR="005F1E6B">
        <w:t>Equation</w:t>
      </w:r>
      <w:r w:rsidR="007451BA">
        <w:t xml:space="preserve"> </w:t>
      </w:r>
      <w:r w:rsidR="00844653">
        <w:t>(3)</w:t>
      </w:r>
      <w:r w:rsidR="00E77AC7">
        <w:t xml:space="preserve">, which </w:t>
      </w:r>
      <w:r w:rsidR="000E126C">
        <w:t xml:space="preserve">is then normalized by the release rate of </w:t>
      </w:r>
      <m:oMath>
        <m:r>
          <w:rPr>
            <w:rFonts w:ascii="Cambria Math" w:hAnsi="Cambria Math"/>
          </w:rPr>
          <m:t>Q</m:t>
        </m:r>
      </m:oMath>
      <w:r w:rsidR="000E126C">
        <w:t xml:space="preserve"> = 2×10</w:t>
      </w:r>
      <w:r w:rsidR="000E126C" w:rsidRPr="00AD3777">
        <w:rPr>
          <w:vertAlign w:val="superscript"/>
        </w:rPr>
        <w:t>12</w:t>
      </w:r>
      <w:r w:rsidR="000E126C">
        <w:t xml:space="preserve"> </w:t>
      </w:r>
      <w:proofErr w:type="spellStart"/>
      <w:r w:rsidR="000E126C">
        <w:t>Bq</w:t>
      </w:r>
      <w:proofErr w:type="spellEnd"/>
      <w:r w:rsidR="000E126C">
        <w:t>/s</w:t>
      </w:r>
      <w:r w:rsidR="000E4108">
        <w:t xml:space="preserve"> </w:t>
      </w:r>
      <w:r w:rsidR="000E126C">
        <w:t xml:space="preserve">to get </w:t>
      </w:r>
      <m:oMath>
        <m:f>
          <m:fPr>
            <m:type m:val="lin"/>
            <m:ctrlPr>
              <w:rPr>
                <w:rFonts w:ascii="Cambria Math" w:hAnsi="Cambria Math"/>
                <w:i/>
              </w:rPr>
            </m:ctrlPr>
          </m:fPr>
          <m:num>
            <m:r>
              <w:rPr>
                <w:rFonts w:ascii="Cambria Math" w:hAnsi="Cambria Math"/>
              </w:rPr>
              <m:t>χ</m:t>
            </m:r>
          </m:num>
          <m:den>
            <m:r>
              <w:rPr>
                <w:rFonts w:ascii="Cambria Math" w:hAnsi="Cambria Math"/>
              </w:rPr>
              <m:t>Q</m:t>
            </m:r>
          </m:den>
        </m:f>
        <m:r>
          <w:rPr>
            <w:rFonts w:ascii="Cambria Math" w:hAnsi="Cambria Math"/>
          </w:rPr>
          <m:t xml:space="preserve"> </m:t>
        </m:r>
      </m:oMath>
      <w:r w:rsidR="000E126C">
        <w:t xml:space="preserve">values. </w:t>
      </w:r>
      <w:r w:rsidR="005F7898">
        <w:t xml:space="preserve">RASCAL warns that dose calculations at locations closer than 100 m to the source should be used with caution as it may violate the point source assumption. However, </w:t>
      </w:r>
      <w:r w:rsidR="007A345F">
        <w:t>as</w:t>
      </w:r>
      <w:r w:rsidR="005F7898">
        <w:t xml:space="preserve"> the </w:t>
      </w:r>
      <w:r w:rsidR="007A345F">
        <w:t xml:space="preserve">main goal </w:t>
      </w:r>
      <w:r w:rsidR="005F7898">
        <w:t>o</w:t>
      </w:r>
      <w:r w:rsidR="007A345F">
        <w:t>f this study is precisely highlight</w:t>
      </w:r>
      <w:r w:rsidR="002812B4">
        <w:t>ing</w:t>
      </w:r>
      <w:r w:rsidR="007A345F">
        <w:t xml:space="preserve"> the shortcomings of </w:t>
      </w:r>
      <w:r w:rsidR="002812B4">
        <w:t xml:space="preserve">Gaussian dispersion codes in the </w:t>
      </w:r>
      <w:r w:rsidR="006056C9">
        <w:t>near-field</w:t>
      </w:r>
      <w:r w:rsidR="002812B4">
        <w:t xml:space="preserve">, </w:t>
      </w:r>
      <w:r w:rsidR="009C5A18">
        <w:t xml:space="preserve">RASCAL </w:t>
      </w:r>
      <w:r w:rsidR="002A76D5">
        <w:t xml:space="preserve">calculations at these locations </w:t>
      </w:r>
      <w:r w:rsidR="009C5A18">
        <w:t xml:space="preserve">are </w:t>
      </w:r>
      <w:r w:rsidR="00311747">
        <w:t xml:space="preserve">used as is and compared with CFD calculations. </w:t>
      </w:r>
    </w:p>
    <w:p w14:paraId="7536603B" w14:textId="5A3DB880" w:rsidR="00EC7D8A" w:rsidRDefault="00EC7D8A" w:rsidP="00EC7D8A">
      <w:pPr>
        <w:pStyle w:val="Heading2"/>
        <w:numPr>
          <w:ilvl w:val="1"/>
          <w:numId w:val="10"/>
        </w:numPr>
      </w:pPr>
      <w:r>
        <w:t>RESULTS AND DISCUSSION</w:t>
      </w:r>
    </w:p>
    <w:p w14:paraId="5A3CCCF7" w14:textId="633EF6FA" w:rsidR="006C4137" w:rsidRDefault="00817FE7" w:rsidP="00A36A6B">
      <w:pPr>
        <w:pStyle w:val="Heading3"/>
      </w:pPr>
      <w:r>
        <w:t>CFD results</w:t>
      </w:r>
    </w:p>
    <w:p w14:paraId="49A4AF00" w14:textId="7FE220BA" w:rsidR="00A9657F" w:rsidRDefault="00DC646A" w:rsidP="00A9657F">
      <w:pPr>
        <w:pStyle w:val="BodyText"/>
      </w:pPr>
      <w:r>
        <w:t xml:space="preserve">The </w:t>
      </w:r>
      <w:r w:rsidR="0068786A">
        <w:t xml:space="preserve">passive scalar </w:t>
      </w:r>
      <w:r w:rsidR="00882D73">
        <w:t>concentration</w:t>
      </w:r>
      <w:r w:rsidR="00A445D2">
        <w:t xml:space="preserve">, </w:t>
      </w:r>
      <w:r w:rsidR="00882D73">
        <w:t xml:space="preserve">unitless as it is </w:t>
      </w:r>
      <w:r w:rsidR="0045695E">
        <w:t>normalized by the source concentration</w:t>
      </w:r>
      <w:r w:rsidR="00A34F5A">
        <w:t xml:space="preserve">, is shown in Fig. 3. </w:t>
      </w:r>
      <w:r w:rsidR="00B96770">
        <w:t xml:space="preserve">The </w:t>
      </w:r>
      <w:r w:rsidR="00816593">
        <w:t xml:space="preserve">strongest </w:t>
      </w:r>
      <w:r w:rsidR="00345DAD">
        <w:t xml:space="preserve">dispersion is for the unstable case </w:t>
      </w:r>
      <w:r w:rsidR="00816593">
        <w:t xml:space="preserve">as the </w:t>
      </w:r>
      <w:r w:rsidR="00187A97">
        <w:t>buoyancy</w:t>
      </w:r>
      <w:r w:rsidR="00F2418B">
        <w:t>-</w:t>
      </w:r>
      <w:r w:rsidR="00187A97">
        <w:t xml:space="preserve">generated </w:t>
      </w:r>
      <w:r w:rsidR="00816593">
        <w:t>turbulence from</w:t>
      </w:r>
      <w:r w:rsidR="00315BE7">
        <w:t xml:space="preserve"> the unstable</w:t>
      </w:r>
      <w:r w:rsidR="00816593">
        <w:t xml:space="preserve"> air temperature </w:t>
      </w:r>
      <w:r w:rsidR="00315BE7">
        <w:t xml:space="preserve">gradients </w:t>
      </w:r>
      <w:r w:rsidR="00816593">
        <w:t xml:space="preserve">enhances diffusion. </w:t>
      </w:r>
      <w:r w:rsidR="00DC1FC3">
        <w:t xml:space="preserve">Moreover, </w:t>
      </w:r>
      <w:r w:rsidR="007F1848">
        <w:t xml:space="preserve">in the unstable case, </w:t>
      </w:r>
      <w:r w:rsidR="00F616B3">
        <w:t>and</w:t>
      </w:r>
      <w:r w:rsidR="007F1848">
        <w:t xml:space="preserve"> to a lesser extent in the stable case, the </w:t>
      </w:r>
      <w:r w:rsidR="00E10AB3">
        <w:t xml:space="preserve">plume </w:t>
      </w:r>
      <w:r w:rsidR="00C67BAF">
        <w:t>has a notable</w:t>
      </w:r>
      <w:r w:rsidR="00E10AB3">
        <w:t xml:space="preserve"> deflect</w:t>
      </w:r>
      <w:r w:rsidR="00C67BAF">
        <w:t>ion</w:t>
      </w:r>
      <w:r w:rsidR="00E10AB3">
        <w:t xml:space="preserve"> </w:t>
      </w:r>
      <w:r w:rsidR="00C67BAF">
        <w:t>towards the north</w:t>
      </w:r>
      <w:r w:rsidR="00F616B3">
        <w:t xml:space="preserve">. This is </w:t>
      </w:r>
      <w:r w:rsidR="006444A3">
        <w:t xml:space="preserve">due to suction </w:t>
      </w:r>
      <w:r w:rsidR="007C5955">
        <w:t xml:space="preserve">from the </w:t>
      </w:r>
      <w:r w:rsidR="00064056">
        <w:t>low-pressure</w:t>
      </w:r>
      <w:r w:rsidR="007C5955">
        <w:t xml:space="preserve"> zone </w:t>
      </w:r>
      <w:r w:rsidR="00C3655E">
        <w:t>created by</w:t>
      </w:r>
      <w:r w:rsidR="006A3B0D">
        <w:t xml:space="preserve"> </w:t>
      </w:r>
      <w:r w:rsidR="00D64F65">
        <w:t>a</w:t>
      </w:r>
      <w:r w:rsidR="00FA188B">
        <w:t xml:space="preserve"> hill </w:t>
      </w:r>
      <w:r w:rsidR="007C5955">
        <w:t>to the northwest of the point source</w:t>
      </w:r>
      <w:r w:rsidR="00B32757">
        <w:t>.</w:t>
      </w:r>
      <w:r w:rsidR="004D7B9F">
        <w:t xml:space="preserve"> In the stable case, the plume remain</w:t>
      </w:r>
      <w:r w:rsidR="0094399F">
        <w:t xml:space="preserve">s closer to the ground level </w:t>
      </w:r>
      <w:r w:rsidR="00BC5E76">
        <w:t>where</w:t>
      </w:r>
      <w:r w:rsidR="000026A5">
        <w:t>, due to the low-lying buildings,</w:t>
      </w:r>
      <w:r w:rsidR="00BC5E76">
        <w:t xml:space="preserve"> it experiences </w:t>
      </w:r>
      <w:r w:rsidR="00322E4C">
        <w:t>increased</w:t>
      </w:r>
      <w:r w:rsidR="00BC5E76">
        <w:t xml:space="preserve"> mixing </w:t>
      </w:r>
      <w:r w:rsidR="00186A41">
        <w:t>and</w:t>
      </w:r>
      <w:r w:rsidR="00F912B4">
        <w:t xml:space="preserve"> </w:t>
      </w:r>
      <w:r w:rsidR="002B652D">
        <w:t>enhanced</w:t>
      </w:r>
      <w:r w:rsidR="00F912B4">
        <w:t xml:space="preserve"> </w:t>
      </w:r>
      <w:r w:rsidR="00B106BD">
        <w:t>spreading in the built-up area.</w:t>
      </w:r>
      <w:r w:rsidR="00B32757">
        <w:t xml:space="preserve"> </w:t>
      </w:r>
      <w:r w:rsidR="005405D3">
        <w:t xml:space="preserve">In </w:t>
      </w:r>
      <w:r w:rsidR="00C15736">
        <w:t>general</w:t>
      </w:r>
      <w:r w:rsidR="002C4180">
        <w:t>, the plume behavio</w:t>
      </w:r>
      <w:r w:rsidR="00C15F62">
        <w:t xml:space="preserve">ur clearly deviates from a </w:t>
      </w:r>
      <w:r w:rsidR="004E35CF">
        <w:t xml:space="preserve">standard </w:t>
      </w:r>
      <w:r w:rsidR="00C15F62">
        <w:t>Gaussian assumption</w:t>
      </w:r>
      <w:r w:rsidR="00B64E3E">
        <w:t xml:space="preserve"> in the </w:t>
      </w:r>
      <w:r w:rsidR="006056C9">
        <w:t>near-field</w:t>
      </w:r>
      <w:r w:rsidR="007A2F00">
        <w:t xml:space="preserve"> due to the surround buildings and spatially varying terrain that </w:t>
      </w:r>
      <w:r w:rsidR="00AA4913">
        <w:t>enhance mixing</w:t>
      </w:r>
      <w:r w:rsidR="004B63F6">
        <w:t xml:space="preserve">. </w:t>
      </w:r>
    </w:p>
    <w:p w14:paraId="611E6733" w14:textId="77777777" w:rsidR="00AC78A3" w:rsidRDefault="00DB1AF5" w:rsidP="00AC78A3">
      <w:pPr>
        <w:pStyle w:val="BodyText"/>
        <w:keepNext/>
        <w:jc w:val="left"/>
      </w:pPr>
      <w:r>
        <w:rPr>
          <w:noProof/>
        </w:rPr>
        <w:drawing>
          <wp:inline distT="0" distB="0" distL="0" distR="0" wp14:anchorId="7B66491A" wp14:editId="2D0D4454">
            <wp:extent cx="4427997" cy="3361747"/>
            <wp:effectExtent l="0" t="0" r="0" b="0"/>
            <wp:docPr id="11132586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58664"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27997" cy="3361747"/>
                    </a:xfrm>
                    <a:prstGeom prst="rect">
                      <a:avLst/>
                    </a:prstGeom>
                  </pic:spPr>
                </pic:pic>
              </a:graphicData>
            </a:graphic>
          </wp:inline>
        </w:drawing>
      </w:r>
    </w:p>
    <w:p w14:paraId="13B0DCC0" w14:textId="210E6AF2" w:rsidR="00DB1AF5" w:rsidRPr="000158A5" w:rsidRDefault="00AC78A3" w:rsidP="00AC78A3">
      <w:pPr>
        <w:pStyle w:val="Caption"/>
      </w:pPr>
      <w:r w:rsidRPr="00AC78A3">
        <w:rPr>
          <w:i/>
          <w:iCs/>
        </w:rPr>
        <w:t xml:space="preserve">FIG. </w:t>
      </w:r>
      <w:r w:rsidRPr="00AC78A3">
        <w:rPr>
          <w:i/>
          <w:iCs/>
        </w:rPr>
        <w:fldChar w:fldCharType="begin"/>
      </w:r>
      <w:r w:rsidRPr="00AC78A3">
        <w:rPr>
          <w:i/>
          <w:iCs/>
        </w:rPr>
        <w:instrText xml:space="preserve"> SEQ FIG. \* ARABIC </w:instrText>
      </w:r>
      <w:r w:rsidRPr="00AC78A3">
        <w:rPr>
          <w:i/>
          <w:iCs/>
        </w:rPr>
        <w:fldChar w:fldCharType="separate"/>
      </w:r>
      <w:r w:rsidR="00D94FD5">
        <w:rPr>
          <w:i/>
          <w:iCs/>
          <w:noProof/>
        </w:rPr>
        <w:t>3</w:t>
      </w:r>
      <w:r w:rsidRPr="00AC78A3">
        <w:rPr>
          <w:i/>
          <w:iCs/>
        </w:rPr>
        <w:fldChar w:fldCharType="end"/>
      </w:r>
      <w:r>
        <w:t xml:space="preserve">. </w:t>
      </w:r>
      <w:r w:rsidR="006056C9">
        <w:rPr>
          <w:i/>
        </w:rPr>
        <w:t>Near-field</w:t>
      </w:r>
      <w:r w:rsidRPr="00892AC4">
        <w:rPr>
          <w:i/>
          <w:iCs/>
        </w:rPr>
        <w:t xml:space="preserve"> </w:t>
      </w:r>
      <w:r>
        <w:rPr>
          <w:i/>
          <w:iCs/>
        </w:rPr>
        <w:t>passive scalar distribution</w:t>
      </w:r>
      <w:r w:rsidRPr="00892AC4">
        <w:rPr>
          <w:i/>
          <w:iCs/>
        </w:rPr>
        <w:t xml:space="preserve"> calculated by </w:t>
      </w:r>
      <w:r>
        <w:rPr>
          <w:i/>
          <w:iCs/>
        </w:rPr>
        <w:t>CFD</w:t>
      </w:r>
      <w:r w:rsidRPr="00892AC4">
        <w:rPr>
          <w:i/>
          <w:iCs/>
        </w:rPr>
        <w:t xml:space="preserve"> for</w:t>
      </w:r>
      <w:r>
        <w:t xml:space="preserve"> </w:t>
      </w:r>
      <w:r>
        <w:rPr>
          <w:i/>
        </w:rPr>
        <w:t>(a) unstable, (b) neutral, and (c) stable environmental condition</w:t>
      </w:r>
      <w:r w:rsidR="00A93419">
        <w:rPr>
          <w:i/>
        </w:rPr>
        <w:t>s</w:t>
      </w:r>
      <w:r w:rsidR="00AC60E7">
        <w:rPr>
          <w:i/>
        </w:rPr>
        <w:t xml:space="preserve"> at 1 m above ground</w:t>
      </w:r>
      <w:r w:rsidR="00AD7E13">
        <w:rPr>
          <w:i/>
        </w:rPr>
        <w:t xml:space="preserve">. </w:t>
      </w:r>
      <w:r w:rsidR="003F3680">
        <w:rPr>
          <w:i/>
        </w:rPr>
        <w:t>T</w:t>
      </w:r>
      <w:r w:rsidR="00F82A85">
        <w:rPr>
          <w:i/>
        </w:rPr>
        <w:t>he approaching wind direction and fictitious point source (red dot) are also shown.</w:t>
      </w:r>
    </w:p>
    <w:p w14:paraId="21E55E57" w14:textId="4115641B" w:rsidR="00817FE7" w:rsidRDefault="00817FE7" w:rsidP="00817FE7">
      <w:pPr>
        <w:pStyle w:val="Heading3"/>
      </w:pPr>
      <w:r>
        <w:t>RASCAL results</w:t>
      </w:r>
    </w:p>
    <w:p w14:paraId="4DF2F552" w14:textId="6C4997C0" w:rsidR="00420073" w:rsidRPr="006C4137" w:rsidRDefault="006C4137" w:rsidP="005633FD">
      <w:pPr>
        <w:pStyle w:val="BodyText"/>
      </w:pPr>
      <w:r>
        <w:t xml:space="preserve">The </w:t>
      </w:r>
      <w:r w:rsidR="006056C9">
        <w:t>near-field</w:t>
      </w:r>
      <w:r w:rsidR="003C4200">
        <w:t xml:space="preserve"> </w:t>
      </w:r>
      <w:r w:rsidR="00FA6659">
        <w:t>inhalation doses</w:t>
      </w:r>
      <w:r w:rsidR="005A0DC9">
        <w:t xml:space="preserve"> computed by RASCAL for the three considered environmental conditions is given in </w:t>
      </w:r>
      <w:r w:rsidR="00F775AE">
        <w:t xml:space="preserve">Fig. </w:t>
      </w:r>
      <w:r w:rsidR="00E55831">
        <w:t>4</w:t>
      </w:r>
      <w:r w:rsidR="00F775AE">
        <w:t xml:space="preserve">. </w:t>
      </w:r>
      <w:r w:rsidR="00400EBF">
        <w:t xml:space="preserve">Since winds are approaching from </w:t>
      </w:r>
      <w:r w:rsidR="005C7963">
        <w:t xml:space="preserve">an </w:t>
      </w:r>
      <w:r w:rsidR="00400EBF">
        <w:t>angle</w:t>
      </w:r>
      <w:r w:rsidR="005C7963">
        <w:t xml:space="preserve"> of</w:t>
      </w:r>
      <w:r w:rsidR="00400EBF">
        <w:t xml:space="preserve"> 2</w:t>
      </w:r>
      <w:r w:rsidR="00A600A7">
        <w:t>60</w:t>
      </w:r>
      <w:r w:rsidR="00400EBF">
        <w:t>°</w:t>
      </w:r>
      <w:r w:rsidR="002437D6">
        <w:t xml:space="preserve"> relative to the true north</w:t>
      </w:r>
      <w:r w:rsidR="007756D5">
        <w:t xml:space="preserve">, the </w:t>
      </w:r>
      <w:r w:rsidR="003B081C">
        <w:t xml:space="preserve">plume </w:t>
      </w:r>
      <w:r w:rsidR="00DF2840">
        <w:t xml:space="preserve">is </w:t>
      </w:r>
      <w:r w:rsidR="000F0077">
        <w:t xml:space="preserve">dispersed </w:t>
      </w:r>
      <w:r w:rsidR="009463A4">
        <w:t>within</w:t>
      </w:r>
      <w:r w:rsidR="000F0077">
        <w:t xml:space="preserve"> the northeast and southeast quadrants</w:t>
      </w:r>
      <w:r w:rsidR="00F955A9">
        <w:t xml:space="preserve">, with the </w:t>
      </w:r>
      <w:r w:rsidR="00D22BA4">
        <w:t>highest</w:t>
      </w:r>
      <w:r w:rsidR="00721E62">
        <w:t xml:space="preserve"> lateral</w:t>
      </w:r>
      <w:r w:rsidR="00F955A9">
        <w:t xml:space="preserve"> spread </w:t>
      </w:r>
      <w:r w:rsidR="00721E62">
        <w:t xml:space="preserve">in the unstable case and the </w:t>
      </w:r>
      <w:r w:rsidR="00D22BA4">
        <w:t>least</w:t>
      </w:r>
      <w:r w:rsidR="00721E62">
        <w:t xml:space="preserve"> </w:t>
      </w:r>
      <w:r w:rsidR="00D22BA4">
        <w:t xml:space="preserve">in the neutral case. </w:t>
      </w:r>
      <w:r w:rsidR="00CD44EB">
        <w:t>The strongest dispersion</w:t>
      </w:r>
      <w:r w:rsidR="00CC0170">
        <w:t xml:space="preserve"> </w:t>
      </w:r>
      <w:r w:rsidR="0069639A">
        <w:t xml:space="preserve">(zones with doses &gt; 50 mSv) </w:t>
      </w:r>
      <w:r w:rsidR="00CC0170">
        <w:t>is for the unstable case</w:t>
      </w:r>
      <w:r w:rsidR="005936EA">
        <w:t xml:space="preserve">. </w:t>
      </w:r>
      <w:r w:rsidR="00F2418B">
        <w:t xml:space="preserve">These trends are broadly consistent with those of the CFD simulations.  </w:t>
      </w:r>
    </w:p>
    <w:p w14:paraId="569F3274" w14:textId="348D7D9F" w:rsidR="00D502DF" w:rsidRDefault="00B84D8C" w:rsidP="00D502DF">
      <w:pPr>
        <w:pStyle w:val="BodyText"/>
        <w:keepNext/>
      </w:pPr>
      <w:r>
        <w:rPr>
          <w:noProof/>
        </w:rPr>
        <w:drawing>
          <wp:inline distT="0" distB="0" distL="0" distR="0" wp14:anchorId="1084B14D" wp14:editId="7508B621">
            <wp:extent cx="5580000" cy="1775217"/>
            <wp:effectExtent l="0" t="0" r="1905" b="0"/>
            <wp:docPr id="1243884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84069"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80000" cy="1775217"/>
                    </a:xfrm>
                    <a:prstGeom prst="rect">
                      <a:avLst/>
                    </a:prstGeom>
                  </pic:spPr>
                </pic:pic>
              </a:graphicData>
            </a:graphic>
          </wp:inline>
        </w:drawing>
      </w:r>
    </w:p>
    <w:p w14:paraId="3097BEF2" w14:textId="5E4F8693" w:rsidR="00177FD2" w:rsidRPr="008035B8" w:rsidRDefault="00D502DF" w:rsidP="008035B8">
      <w:pPr>
        <w:pStyle w:val="Caption"/>
        <w:jc w:val="both"/>
        <w:rPr>
          <w:i/>
        </w:rPr>
      </w:pPr>
      <w:r w:rsidRPr="00892AC4">
        <w:rPr>
          <w:i/>
          <w:iCs/>
        </w:rPr>
        <w:t xml:space="preserve">FIG. </w:t>
      </w:r>
      <w:r w:rsidRPr="00892AC4">
        <w:rPr>
          <w:i/>
          <w:iCs/>
        </w:rPr>
        <w:fldChar w:fldCharType="begin"/>
      </w:r>
      <w:r w:rsidRPr="00892AC4">
        <w:rPr>
          <w:i/>
          <w:iCs/>
        </w:rPr>
        <w:instrText xml:space="preserve"> SEQ FIG. \* ARABIC </w:instrText>
      </w:r>
      <w:r w:rsidRPr="00892AC4">
        <w:rPr>
          <w:i/>
          <w:iCs/>
        </w:rPr>
        <w:fldChar w:fldCharType="separate"/>
      </w:r>
      <w:r w:rsidR="00D94FD5">
        <w:rPr>
          <w:i/>
          <w:iCs/>
          <w:noProof/>
        </w:rPr>
        <w:t>4</w:t>
      </w:r>
      <w:r w:rsidRPr="00892AC4">
        <w:rPr>
          <w:i/>
          <w:iCs/>
        </w:rPr>
        <w:fldChar w:fldCharType="end"/>
      </w:r>
      <w:r w:rsidRPr="00892AC4">
        <w:rPr>
          <w:i/>
          <w:iCs/>
        </w:rPr>
        <w:t xml:space="preserve">. </w:t>
      </w:r>
      <w:r w:rsidR="006056C9">
        <w:rPr>
          <w:i/>
        </w:rPr>
        <w:t>Near-field</w:t>
      </w:r>
      <w:r w:rsidR="002E544E" w:rsidRPr="00892AC4">
        <w:rPr>
          <w:i/>
          <w:iCs/>
        </w:rPr>
        <w:t xml:space="preserve"> </w:t>
      </w:r>
      <w:r w:rsidR="002E544E">
        <w:rPr>
          <w:i/>
          <w:iCs/>
        </w:rPr>
        <w:t>i</w:t>
      </w:r>
      <w:r w:rsidR="002F5BCF" w:rsidRPr="00892AC4">
        <w:rPr>
          <w:i/>
          <w:iCs/>
        </w:rPr>
        <w:t>nhalation dose calculated by</w:t>
      </w:r>
      <w:r w:rsidR="00892AC4" w:rsidRPr="00892AC4">
        <w:rPr>
          <w:i/>
          <w:iCs/>
        </w:rPr>
        <w:t xml:space="preserve"> RASCAL for</w:t>
      </w:r>
      <w:r w:rsidR="00892AC4">
        <w:t xml:space="preserve"> </w:t>
      </w:r>
      <w:r w:rsidR="00892AC4">
        <w:rPr>
          <w:i/>
        </w:rPr>
        <w:t>(a) unstable, (b) neutral, and (c) stable environmental conditions.</w:t>
      </w:r>
    </w:p>
    <w:p w14:paraId="4CB2FD94" w14:textId="2BEAAFE9" w:rsidR="00817FE7" w:rsidRPr="00817FE7" w:rsidRDefault="00305507" w:rsidP="005E2F00">
      <w:pPr>
        <w:pStyle w:val="Heading3"/>
      </w:pPr>
      <w:r>
        <w:t>Bench</w:t>
      </w:r>
      <w:r w:rsidR="00BD61D9">
        <w:t xml:space="preserve">marking </w:t>
      </w:r>
      <w:r w:rsidR="006056C9">
        <w:t>near-field</w:t>
      </w:r>
      <w:r w:rsidR="00DA7192">
        <w:t xml:space="preserve"> </w:t>
      </w:r>
      <w:r w:rsidR="00AB1147">
        <w:t xml:space="preserve">atmospheric </w:t>
      </w:r>
      <w:r w:rsidR="00DA7192">
        <w:t xml:space="preserve">dispersion with </w:t>
      </w:r>
      <w:r w:rsidR="00BD61D9">
        <w:t>RASCAL and CFD</w:t>
      </w:r>
    </w:p>
    <w:p w14:paraId="4216A56E" w14:textId="11324D30" w:rsidR="00EC7D8A" w:rsidRDefault="00A60C11" w:rsidP="00EC7D8A">
      <w:pPr>
        <w:pStyle w:val="BodyText"/>
      </w:pPr>
      <w:r>
        <w:t xml:space="preserve">The </w:t>
      </w:r>
      <w:r w:rsidR="00DE13A3">
        <w:t xml:space="preserve">atmospheric dispersion factor, </w:t>
      </w:r>
      <m:oMath>
        <m:f>
          <m:fPr>
            <m:type m:val="lin"/>
            <m:ctrlPr>
              <w:rPr>
                <w:rFonts w:ascii="Cambria Math" w:hAnsi="Cambria Math"/>
                <w:i/>
              </w:rPr>
            </m:ctrlPr>
          </m:fPr>
          <m:num>
            <m:r>
              <w:rPr>
                <w:rFonts w:ascii="Cambria Math" w:hAnsi="Cambria Math"/>
              </w:rPr>
              <m:t>χ</m:t>
            </m:r>
          </m:num>
          <m:den>
            <m:r>
              <w:rPr>
                <w:rFonts w:ascii="Cambria Math" w:hAnsi="Cambria Math"/>
              </w:rPr>
              <m:t>Q</m:t>
            </m:r>
          </m:den>
        </m:f>
      </m:oMath>
      <w:r w:rsidR="00DE13A3">
        <w:t xml:space="preserve">, </w:t>
      </w:r>
      <w:r w:rsidR="001D2B03">
        <w:t xml:space="preserve">as </w:t>
      </w:r>
      <w:r w:rsidR="005A3003">
        <w:t xml:space="preserve">calculated </w:t>
      </w:r>
      <w:r w:rsidR="001D2B03">
        <w:t>by</w:t>
      </w:r>
      <w:r w:rsidR="005A3003">
        <w:t xml:space="preserve"> </w:t>
      </w:r>
      <w:r w:rsidR="00CB146D">
        <w:t>RASCAL and CFD</w:t>
      </w:r>
      <w:r w:rsidR="009E1718">
        <w:t xml:space="preserve"> </w:t>
      </w:r>
      <w:r w:rsidR="001D2B03">
        <w:t>are</w:t>
      </w:r>
      <w:r w:rsidR="009E1718">
        <w:t xml:space="preserve"> compared in </w:t>
      </w:r>
      <w:r w:rsidR="00B00CC6">
        <w:t xml:space="preserve">Fig. </w:t>
      </w:r>
      <w:r w:rsidR="00E55831">
        <w:t>5</w:t>
      </w:r>
      <w:r w:rsidR="000F0C46">
        <w:t xml:space="preserve">. </w:t>
      </w:r>
      <w:r w:rsidR="00F00301">
        <w:t xml:space="preserve">Results are presented </w:t>
      </w:r>
      <w:r w:rsidR="00C30D20">
        <w:t>along</w:t>
      </w:r>
      <w:r w:rsidR="00F00301">
        <w:t xml:space="preserve"> the plume centreline </w:t>
      </w:r>
      <w:r w:rsidR="00E55831">
        <w:t>and</w:t>
      </w:r>
      <w:r w:rsidR="0047434E">
        <w:t xml:space="preserve"> </w:t>
      </w:r>
      <w:r w:rsidR="003E0B16">
        <w:t>± 30°</w:t>
      </w:r>
      <w:r w:rsidR="00125A9E">
        <w:t xml:space="preserve"> for both models, and additionally </w:t>
      </w:r>
      <w:r w:rsidR="00C30D20">
        <w:t>along</w:t>
      </w:r>
      <w:r w:rsidR="0047434E">
        <w:t xml:space="preserve"> </w:t>
      </w:r>
      <w:r w:rsidR="00125A9E">
        <w:t>± 60° for just CFD</w:t>
      </w:r>
      <w:r w:rsidR="008E0506">
        <w:t xml:space="preserve"> (RASCAL does not </w:t>
      </w:r>
      <w:r w:rsidR="00337DC6">
        <w:t>show</w:t>
      </w:r>
      <w:r w:rsidR="00FB0D4C">
        <w:t xml:space="preserve"> </w:t>
      </w:r>
      <w:r w:rsidR="00337DC6">
        <w:t xml:space="preserve">any </w:t>
      </w:r>
      <w:r w:rsidR="00274889">
        <w:t>dispersion</w:t>
      </w:r>
      <w:r w:rsidR="008E0506">
        <w:t xml:space="preserve"> </w:t>
      </w:r>
      <w:r w:rsidR="00337DC6">
        <w:t>that far laterally</w:t>
      </w:r>
      <w:r w:rsidR="00274889">
        <w:t xml:space="preserve">). </w:t>
      </w:r>
      <w:r w:rsidR="00956390">
        <w:t xml:space="preserve">As approaching winds </w:t>
      </w:r>
      <w:r w:rsidR="0019137C">
        <w:t xml:space="preserve">are offset by 5° in RASCAL and CFD, the same offset is also applied </w:t>
      </w:r>
      <w:r w:rsidR="002F726A">
        <w:t>while analysing the results</w:t>
      </w:r>
      <w:r w:rsidR="00344D40">
        <w:t xml:space="preserve">. </w:t>
      </w:r>
      <w:r w:rsidR="00A217D9">
        <w:t xml:space="preserve">In the </w:t>
      </w:r>
      <w:proofErr w:type="gramStart"/>
      <w:r w:rsidR="006056C9">
        <w:t>near-field</w:t>
      </w:r>
      <w:proofErr w:type="gramEnd"/>
      <w:r w:rsidR="00A217D9">
        <w:t xml:space="preserve"> (less than 100 m </w:t>
      </w:r>
      <w:r w:rsidR="0035025B">
        <w:t>from source)</w:t>
      </w:r>
      <w:r w:rsidR="006F144B">
        <w:t>,</w:t>
      </w:r>
      <w:r w:rsidR="0035025B">
        <w:t xml:space="preserve"> along the plume centreline</w:t>
      </w:r>
      <w:r w:rsidR="00D4151C">
        <w:t xml:space="preserve"> (75°)</w:t>
      </w:r>
      <w:r w:rsidR="00C009D4">
        <w:t xml:space="preserve">, </w:t>
      </w:r>
      <w:r w:rsidR="004A31DF">
        <w:t xml:space="preserve">CFD </w:t>
      </w:r>
      <w:r w:rsidR="009D4AE5">
        <w:t>calculates</w:t>
      </w:r>
      <w:r w:rsidR="001E39F7">
        <w:t xml:space="preserve"> marginally higher </w:t>
      </w:r>
      <m:oMath>
        <m:f>
          <m:fPr>
            <m:type m:val="lin"/>
            <m:ctrlPr>
              <w:rPr>
                <w:rFonts w:ascii="Cambria Math" w:hAnsi="Cambria Math"/>
                <w:i/>
              </w:rPr>
            </m:ctrlPr>
          </m:fPr>
          <m:num>
            <m:r>
              <w:rPr>
                <w:rFonts w:ascii="Cambria Math" w:hAnsi="Cambria Math"/>
              </w:rPr>
              <m:t>χ</m:t>
            </m:r>
          </m:num>
          <m:den>
            <m:r>
              <w:rPr>
                <w:rFonts w:ascii="Cambria Math" w:hAnsi="Cambria Math"/>
              </w:rPr>
              <m:t>Q</m:t>
            </m:r>
          </m:den>
        </m:f>
      </m:oMath>
      <w:r w:rsidR="001E39F7">
        <w:t xml:space="preserve"> values</w:t>
      </w:r>
      <w:r w:rsidR="0069141B">
        <w:t xml:space="preserve"> for the neutral and stable cases</w:t>
      </w:r>
      <w:r w:rsidR="001E39F7">
        <w:t xml:space="preserve"> while the difference is </w:t>
      </w:r>
      <w:r w:rsidR="0066638F">
        <w:t xml:space="preserve">much </w:t>
      </w:r>
      <w:r w:rsidR="001E39F7">
        <w:t>higher for the unstable case</w:t>
      </w:r>
      <w:r w:rsidR="00430C7B" w:rsidRPr="00F617E3">
        <w:t>.</w:t>
      </w:r>
      <w:r w:rsidR="006B2258">
        <w:t xml:space="preserve"> As ground level </w:t>
      </w:r>
      <w:r w:rsidR="00944AA8">
        <w:t xml:space="preserve">concentrations are being reported but </w:t>
      </w:r>
      <w:r w:rsidR="009365B5">
        <w:t>for</w:t>
      </w:r>
      <w:r w:rsidR="00944AA8">
        <w:t xml:space="preserve"> an elevated release</w:t>
      </w:r>
      <w:r w:rsidR="009365B5">
        <w:t xml:space="preserve"> point</w:t>
      </w:r>
      <w:r w:rsidR="0092388A">
        <w:t xml:space="preserve">, the CFD results </w:t>
      </w:r>
      <w:proofErr w:type="gramStart"/>
      <w:r w:rsidR="0092388A">
        <w:t>are able to</w:t>
      </w:r>
      <w:proofErr w:type="gramEnd"/>
      <w:r w:rsidR="0092388A">
        <w:t xml:space="preserve"> better reflect the </w:t>
      </w:r>
      <w:r w:rsidR="0042310F">
        <w:t>elevated concentrations that occur as radionuclides are trapped in the building wake</w:t>
      </w:r>
      <w:r w:rsidR="00E23993">
        <w:t>, especially in the unstable case where vertical dispersion is the highest.</w:t>
      </w:r>
      <w:r w:rsidR="00430C7B">
        <w:t xml:space="preserve"> </w:t>
      </w:r>
      <w:r w:rsidR="00C009D4">
        <w:t>To the north</w:t>
      </w:r>
      <w:r w:rsidR="004779A6">
        <w:t>ea</w:t>
      </w:r>
      <w:r w:rsidR="00C009D4">
        <w:t>st</w:t>
      </w:r>
      <w:r w:rsidR="00D0766D">
        <w:t xml:space="preserve"> of the centreline</w:t>
      </w:r>
      <w:r w:rsidR="00C009D4">
        <w:t xml:space="preserve"> (45°)</w:t>
      </w:r>
      <w:r w:rsidR="0069141B">
        <w:t>,</w:t>
      </w:r>
      <w:r w:rsidR="006D5D7D">
        <w:t xml:space="preserve"> CFD </w:t>
      </w:r>
      <w:r w:rsidR="009D4AE5">
        <w:t>calculates</w:t>
      </w:r>
      <w:r w:rsidR="00D0766D">
        <w:t xml:space="preserve"> consi</w:t>
      </w:r>
      <w:r w:rsidR="00051134">
        <w:t xml:space="preserve">derably higher </w:t>
      </w:r>
      <m:oMath>
        <m:f>
          <m:fPr>
            <m:type m:val="lin"/>
            <m:ctrlPr>
              <w:rPr>
                <w:rFonts w:ascii="Cambria Math" w:hAnsi="Cambria Math"/>
                <w:i/>
              </w:rPr>
            </m:ctrlPr>
          </m:fPr>
          <m:num>
            <m:r>
              <w:rPr>
                <w:rFonts w:ascii="Cambria Math" w:hAnsi="Cambria Math"/>
              </w:rPr>
              <m:t>χ</m:t>
            </m:r>
          </m:num>
          <m:den>
            <m:r>
              <w:rPr>
                <w:rFonts w:ascii="Cambria Math" w:hAnsi="Cambria Math"/>
              </w:rPr>
              <m:t>Q</m:t>
            </m:r>
          </m:den>
        </m:f>
      </m:oMath>
      <w:r w:rsidR="00051134">
        <w:t xml:space="preserve"> values</w:t>
      </w:r>
      <w:r w:rsidR="0062216A">
        <w:t>, while to the south</w:t>
      </w:r>
      <w:r w:rsidR="004779A6">
        <w:t>east</w:t>
      </w:r>
      <w:r w:rsidR="0062216A">
        <w:t xml:space="preserve"> </w:t>
      </w:r>
      <w:r w:rsidR="004779A6">
        <w:t>(105°)</w:t>
      </w:r>
      <w:r w:rsidR="00AA6478">
        <w:t xml:space="preserve">, </w:t>
      </w:r>
      <w:r w:rsidR="00DD7585">
        <w:t xml:space="preserve">RASCAL </w:t>
      </w:r>
      <w:r w:rsidR="009D4AE5">
        <w:t>calculates</w:t>
      </w:r>
      <w:r w:rsidR="00DD7585">
        <w:t xml:space="preserve"> generally higher values</w:t>
      </w:r>
      <w:r w:rsidR="0006360B">
        <w:t>; this asymmetry is largely</w:t>
      </w:r>
      <w:r w:rsidR="00E0310B">
        <w:t xml:space="preserve"> due to the northward deflection of the plume by the hill</w:t>
      </w:r>
      <w:r w:rsidR="007929EF">
        <w:t>, underlining the importance of geographical features of the site when considering the overarching plume direction</w:t>
      </w:r>
      <w:r w:rsidR="00DD7585">
        <w:t>.</w:t>
      </w:r>
      <w:r w:rsidR="00807156">
        <w:t xml:space="preserve"> Outside of the </w:t>
      </w:r>
      <w:r w:rsidR="006056C9">
        <w:t>near-field</w:t>
      </w:r>
      <w:r w:rsidR="00066C0F">
        <w:t xml:space="preserve">, </w:t>
      </w:r>
      <w:r w:rsidR="00C23C6F">
        <w:t xml:space="preserve">CFD </w:t>
      </w:r>
      <w:r w:rsidR="009D4AE5">
        <w:t>calculates</w:t>
      </w:r>
      <w:r w:rsidR="00674B45">
        <w:t xml:space="preserve"> generally higher</w:t>
      </w:r>
      <w:r w:rsidR="00C23C6F">
        <w:t xml:space="preserve"> </w:t>
      </w:r>
      <m:oMath>
        <m:f>
          <m:fPr>
            <m:type m:val="lin"/>
            <m:ctrlPr>
              <w:rPr>
                <w:rFonts w:ascii="Cambria Math" w:hAnsi="Cambria Math"/>
                <w:i/>
              </w:rPr>
            </m:ctrlPr>
          </m:fPr>
          <m:num>
            <m:r>
              <w:rPr>
                <w:rFonts w:ascii="Cambria Math" w:hAnsi="Cambria Math"/>
              </w:rPr>
              <m:t>χ</m:t>
            </m:r>
          </m:num>
          <m:den>
            <m:r>
              <w:rPr>
                <w:rFonts w:ascii="Cambria Math" w:hAnsi="Cambria Math"/>
              </w:rPr>
              <m:t>Q</m:t>
            </m:r>
          </m:den>
        </m:f>
      </m:oMath>
      <w:r w:rsidR="00C23C6F">
        <w:t xml:space="preserve"> values</w:t>
      </w:r>
      <w:r w:rsidR="00137974">
        <w:t xml:space="preserve"> along the plume </w:t>
      </w:r>
      <w:r w:rsidR="009D4AE5">
        <w:t>centrelin</w:t>
      </w:r>
      <w:r w:rsidR="00AA75CF">
        <w:t>e and significantly lower values</w:t>
      </w:r>
      <w:r w:rsidR="00450A86">
        <w:t xml:space="preserve"> to the southeast</w:t>
      </w:r>
      <w:r w:rsidR="00065D72">
        <w:t xml:space="preserve"> (105°)</w:t>
      </w:r>
      <w:r w:rsidR="00797C47">
        <w:t xml:space="preserve">. To the northeast (45°), </w:t>
      </w:r>
      <w:r w:rsidR="00985524">
        <w:t xml:space="preserve">CFD </w:t>
      </w:r>
      <m:oMath>
        <m:f>
          <m:fPr>
            <m:type m:val="lin"/>
            <m:ctrlPr>
              <w:rPr>
                <w:rFonts w:ascii="Cambria Math" w:hAnsi="Cambria Math"/>
                <w:i/>
              </w:rPr>
            </m:ctrlPr>
          </m:fPr>
          <m:num>
            <m:r>
              <w:rPr>
                <w:rFonts w:ascii="Cambria Math" w:hAnsi="Cambria Math"/>
              </w:rPr>
              <m:t>χ</m:t>
            </m:r>
          </m:num>
          <m:den>
            <m:r>
              <w:rPr>
                <w:rFonts w:ascii="Cambria Math" w:hAnsi="Cambria Math"/>
              </w:rPr>
              <m:t>Q</m:t>
            </m:r>
          </m:den>
        </m:f>
      </m:oMath>
      <w:r w:rsidR="00985524">
        <w:t xml:space="preserve"> values are</w:t>
      </w:r>
      <w:r w:rsidR="007F5DFC">
        <w:t xml:space="preserve"> con</w:t>
      </w:r>
      <w:r w:rsidR="00A75619">
        <w:t>sistently</w:t>
      </w:r>
      <w:r w:rsidR="00985524">
        <w:t xml:space="preserve"> lower only in the neutral case </w:t>
      </w:r>
      <w:r w:rsidR="00BB6A08">
        <w:t>where the plume deflection due to the hill is the weakest (</w:t>
      </w:r>
      <w:r w:rsidR="00AC3C8F">
        <w:t>see Fig. 3)</w:t>
      </w:r>
      <w:r w:rsidR="00852807">
        <w:t>,</w:t>
      </w:r>
      <w:r w:rsidR="003F3C1C">
        <w:t xml:space="preserve"> </w:t>
      </w:r>
      <w:r w:rsidR="00B03AC7" w:rsidRPr="00C52723">
        <w:t>while</w:t>
      </w:r>
      <w:r w:rsidR="00BB5029" w:rsidRPr="00C52723">
        <w:t xml:space="preserve"> </w:t>
      </w:r>
      <w:r w:rsidR="00F040ED" w:rsidRPr="00C52723">
        <w:t>it is comparable or</w:t>
      </w:r>
      <w:r w:rsidR="00C52723" w:rsidRPr="00C52723">
        <w:t xml:space="preserve"> higher in the unstable and stable cases</w:t>
      </w:r>
      <w:r w:rsidR="0006244D" w:rsidRPr="00C52723">
        <w:t>.</w:t>
      </w:r>
      <w:r w:rsidR="00DD7585">
        <w:t xml:space="preserve"> </w:t>
      </w:r>
    </w:p>
    <w:p w14:paraId="4842C015" w14:textId="0433C2C5" w:rsidR="00CA6C9D" w:rsidRDefault="00CA6C9D" w:rsidP="00EC7D8A">
      <w:pPr>
        <w:pStyle w:val="BodyText"/>
      </w:pPr>
      <w:r>
        <w:t xml:space="preserve">The implications of </w:t>
      </w:r>
      <w:r w:rsidR="00C42A95">
        <w:t xml:space="preserve">these </w:t>
      </w:r>
      <w:r w:rsidR="00316AB6">
        <w:t xml:space="preserve">results for SMR </w:t>
      </w:r>
      <w:r w:rsidR="00C67B41">
        <w:t xml:space="preserve">emergency preparedness </w:t>
      </w:r>
      <w:r w:rsidR="005C7FD8">
        <w:t>applications</w:t>
      </w:r>
      <w:r w:rsidR="00C67B41">
        <w:t xml:space="preserve"> </w:t>
      </w:r>
      <w:r w:rsidR="00316AB6">
        <w:t xml:space="preserve">are clear. </w:t>
      </w:r>
      <w:r w:rsidR="00A646CF">
        <w:t>Gaussian plume-based codes</w:t>
      </w:r>
      <w:r w:rsidR="00930758">
        <w:t xml:space="preserve"> cannot replicate </w:t>
      </w:r>
      <w:r w:rsidR="0098220F">
        <w:t xml:space="preserve">the </w:t>
      </w:r>
      <w:r w:rsidR="00930758">
        <w:t>subtleties o</w:t>
      </w:r>
      <w:r w:rsidR="001A24DF">
        <w:t xml:space="preserve">f flow dynamics caused by buildings and terrain in the vicinity of </w:t>
      </w:r>
      <w:r w:rsidR="0098220F">
        <w:t>a</w:t>
      </w:r>
      <w:r w:rsidR="001A24DF">
        <w:t xml:space="preserve"> </w:t>
      </w:r>
      <w:r w:rsidR="00F534FC">
        <w:t xml:space="preserve">release, and results can be conservative or non-conservative </w:t>
      </w:r>
      <w:r w:rsidR="00BD65C7">
        <w:t>depending on the situation.</w:t>
      </w:r>
      <w:r w:rsidR="00A646CF">
        <w:t xml:space="preserve"> </w:t>
      </w:r>
      <w:r w:rsidR="00330B9E">
        <w:t xml:space="preserve">For a realistic determination of </w:t>
      </w:r>
      <w:r w:rsidR="006056C9">
        <w:t>near-field</w:t>
      </w:r>
      <w:r w:rsidR="00566A64">
        <w:t xml:space="preserve"> </w:t>
      </w:r>
      <w:r w:rsidR="00330B9E">
        <w:t xml:space="preserve">dose estimates, </w:t>
      </w:r>
      <w:r w:rsidR="005F279F">
        <w:t xml:space="preserve">and therefore </w:t>
      </w:r>
      <w:r w:rsidR="00C415BF">
        <w:t xml:space="preserve">for </w:t>
      </w:r>
      <w:r w:rsidR="006C462B">
        <w:t xml:space="preserve">effective planning of </w:t>
      </w:r>
      <w:r w:rsidR="00C415BF">
        <w:t>emergency planning zones and</w:t>
      </w:r>
      <w:r w:rsidR="00631AC7">
        <w:t xml:space="preserve"> re</w:t>
      </w:r>
      <w:r w:rsidR="00F90215">
        <w:t>sponse measures,</w:t>
      </w:r>
      <w:r w:rsidR="00C415BF">
        <w:t xml:space="preserve"> </w:t>
      </w:r>
      <w:r w:rsidR="00330B9E">
        <w:t>high-fidelity methods such as CFD should be considered</w:t>
      </w:r>
      <w:r w:rsidR="00D3197D">
        <w:t xml:space="preserve">, especially if there are </w:t>
      </w:r>
      <w:r w:rsidR="00332258">
        <w:t>abrupt</w:t>
      </w:r>
      <w:r w:rsidR="00D3197D">
        <w:t xml:space="preserve"> </w:t>
      </w:r>
      <w:r w:rsidR="00566A64">
        <w:t>terrain variations or mid</w:t>
      </w:r>
      <w:r w:rsidR="002621CF">
        <w:t>-size/tall buildings</w:t>
      </w:r>
      <w:r w:rsidR="00566A64">
        <w:t xml:space="preserve"> </w:t>
      </w:r>
      <w:r w:rsidR="00161C54">
        <w:t>in the vicinity of SMRs</w:t>
      </w:r>
      <w:r w:rsidR="00D434EE">
        <w:t xml:space="preserve">, </w:t>
      </w:r>
      <w:r w:rsidR="00504924" w:rsidRPr="00504924">
        <w:t>which is likely the case for many SMRs, particularly those that are part of</w:t>
      </w:r>
      <w:r w:rsidR="00504924">
        <w:t xml:space="preserve"> </w:t>
      </w:r>
      <w:r w:rsidR="007A101A">
        <w:t>a</w:t>
      </w:r>
      <w:r w:rsidR="00504924" w:rsidRPr="00504924">
        <w:t xml:space="preserve"> hybrid energy system zone</w:t>
      </w:r>
      <w:r w:rsidR="007E7A8D">
        <w:t xml:space="preserve"> </w:t>
      </w:r>
      <w:r w:rsidR="007E7A8D">
        <w:fldChar w:fldCharType="begin"/>
      </w:r>
      <w:r w:rsidR="00B864D9">
        <w:instrText xml:space="preserve"> ADDIN EN.CITE &lt;EndNote&gt;&lt;Cite&gt;&lt;Author&gt;Temiz&lt;/Author&gt;&lt;Year&gt;2024&lt;/Year&gt;&lt;RecNum&gt;164&lt;/RecNum&gt;&lt;DisplayText&gt;[20]&lt;/DisplayText&gt;&lt;record&gt;&lt;rec-number&gt;164&lt;/rec-number&gt;&lt;foreign-keys&gt;&lt;key app="EN" db-id="sf029s9x7d99dqe50eeprptuz5e5t0etd0d5" timestamp="1716403811" guid="bb4f2cc2-a9e0-40c3-9544-1a6c8499f79a"&gt;164&lt;/key&gt;&lt;/foreign-keys&gt;&lt;ref-type name="Journal Article"&gt;17&lt;/ref-type&gt;&lt;contributors&gt;&lt;authors&gt;&lt;author&gt;Temiz, Mert&lt;/author&gt;&lt;author&gt;Dincer, Ibrahim&lt;/author&gt;&lt;/authors&gt;&lt;/contributors&gt;&lt;titles&gt;&lt;title&gt;Development of a hybridized small modular reactor and solar-based energy system for useful commodities required for sustainable cities&lt;/title&gt;&lt;secondary-title&gt;Energy&lt;/secondary-title&gt;&lt;/titles&gt;&lt;periodical&gt;&lt;full-title&gt;Energy&lt;/full-title&gt;&lt;/periodical&gt;&lt;volume&gt;286&lt;/volume&gt;&lt;section&gt;129562&lt;/section&gt;&lt;dates&gt;&lt;year&gt;2024&lt;/year&gt;&lt;/dates&gt;&lt;isbn&gt;03605442&lt;/isbn&gt;&lt;urls&gt;&lt;/urls&gt;&lt;electronic-resource-num&gt;10.1016/j.energy.2023.129562&lt;/electronic-resource-num&gt;&lt;/record&gt;&lt;/Cite&gt;&lt;/EndNote&gt;</w:instrText>
      </w:r>
      <w:r w:rsidR="007E7A8D">
        <w:fldChar w:fldCharType="separate"/>
      </w:r>
      <w:r w:rsidR="00B864D9">
        <w:rPr>
          <w:noProof/>
        </w:rPr>
        <w:t>[20]</w:t>
      </w:r>
      <w:r w:rsidR="007E7A8D">
        <w:fldChar w:fldCharType="end"/>
      </w:r>
      <w:r w:rsidR="00736DA2">
        <w:t>.</w:t>
      </w:r>
      <w:r w:rsidR="003F6C1F">
        <w:t xml:space="preserve"> </w:t>
      </w:r>
    </w:p>
    <w:p w14:paraId="634C2FF6" w14:textId="77777777" w:rsidR="00B87D9C" w:rsidRDefault="00B87D9C" w:rsidP="00EC7D8A">
      <w:pPr>
        <w:pStyle w:val="BodyText"/>
      </w:pPr>
    </w:p>
    <w:p w14:paraId="0956EE5D" w14:textId="38458D3F" w:rsidR="007A1DC5" w:rsidRDefault="00B87D9C" w:rsidP="00A05B32">
      <w:pPr>
        <w:pStyle w:val="BodyText"/>
        <w:keepNext/>
        <w:ind w:firstLine="0"/>
        <w:jc w:val="left"/>
      </w:pPr>
      <w:r>
        <w:rPr>
          <w:noProof/>
        </w:rPr>
        <w:drawing>
          <wp:inline distT="0" distB="0" distL="0" distR="0" wp14:anchorId="79262295" wp14:editId="66546596">
            <wp:extent cx="5903999" cy="3119395"/>
            <wp:effectExtent l="0" t="0" r="1905" b="5080"/>
            <wp:docPr id="1684130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30525"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03999" cy="3119395"/>
                    </a:xfrm>
                    <a:prstGeom prst="rect">
                      <a:avLst/>
                    </a:prstGeom>
                  </pic:spPr>
                </pic:pic>
              </a:graphicData>
            </a:graphic>
          </wp:inline>
        </w:drawing>
      </w:r>
    </w:p>
    <w:p w14:paraId="3BFAD889" w14:textId="05C9C8DD" w:rsidR="00252AD7" w:rsidRPr="003725A1" w:rsidRDefault="007A1DC5" w:rsidP="00864813">
      <w:pPr>
        <w:pStyle w:val="Caption"/>
      </w:pPr>
      <w:r w:rsidRPr="00CC78CA">
        <w:rPr>
          <w:i/>
          <w:iCs/>
        </w:rPr>
        <w:t xml:space="preserve">FIG. </w:t>
      </w:r>
      <w:r w:rsidRPr="00CC78CA">
        <w:rPr>
          <w:i/>
          <w:iCs/>
        </w:rPr>
        <w:fldChar w:fldCharType="begin"/>
      </w:r>
      <w:r w:rsidRPr="00CC78CA">
        <w:rPr>
          <w:i/>
          <w:iCs/>
        </w:rPr>
        <w:instrText xml:space="preserve"> SEQ FIG. \* ARABIC </w:instrText>
      </w:r>
      <w:r w:rsidRPr="00CC78CA">
        <w:rPr>
          <w:i/>
          <w:iCs/>
        </w:rPr>
        <w:fldChar w:fldCharType="separate"/>
      </w:r>
      <w:r w:rsidR="00D94FD5">
        <w:rPr>
          <w:i/>
          <w:iCs/>
          <w:noProof/>
        </w:rPr>
        <w:t>5</w:t>
      </w:r>
      <w:r w:rsidRPr="00CC78CA">
        <w:rPr>
          <w:i/>
          <w:iCs/>
        </w:rPr>
        <w:fldChar w:fldCharType="end"/>
      </w:r>
      <w:r w:rsidR="002555AD">
        <w:t xml:space="preserve">. </w:t>
      </w:r>
      <w:r w:rsidR="002555AD">
        <w:rPr>
          <w:i/>
        </w:rPr>
        <w:t xml:space="preserve">Comparison of </w:t>
      </w:r>
      <w:r w:rsidR="006056C9">
        <w:rPr>
          <w:i/>
        </w:rPr>
        <w:t>near-field</w:t>
      </w:r>
      <w:r w:rsidR="002555AD">
        <w:rPr>
          <w:i/>
        </w:rPr>
        <w:t xml:space="preserve"> atmospheric dilution factors computed by CFD and RASCAL for (a) unstable, (b) neutral, and (c) stable </w:t>
      </w:r>
      <w:r w:rsidR="00CC78CA">
        <w:rPr>
          <w:i/>
        </w:rPr>
        <w:t>environmental conditions</w:t>
      </w:r>
      <w:r w:rsidR="00CB2593">
        <w:rPr>
          <w:i/>
        </w:rPr>
        <w:t>. A</w:t>
      </w:r>
      <w:r w:rsidR="00DD31C1">
        <w:rPr>
          <w:i/>
        </w:rPr>
        <w:t>ngles are relative to true north</w:t>
      </w:r>
      <w:r w:rsidR="00613138">
        <w:rPr>
          <w:i/>
        </w:rPr>
        <w:t xml:space="preserve"> </w:t>
      </w:r>
      <w:r w:rsidR="00CB2593">
        <w:rPr>
          <w:i/>
        </w:rPr>
        <w:t xml:space="preserve">and </w:t>
      </w:r>
      <w:r w:rsidR="005003C2">
        <w:rPr>
          <w:i/>
        </w:rPr>
        <w:t>superimposed on CFD contour plot</w:t>
      </w:r>
      <w:r w:rsidR="005039C1">
        <w:rPr>
          <w:i/>
        </w:rPr>
        <w:t xml:space="preserve">. </w:t>
      </w:r>
    </w:p>
    <w:p w14:paraId="311C9F17" w14:textId="30A4BF8B" w:rsidR="005E2F00" w:rsidRPr="00D274B5" w:rsidRDefault="005E2F00" w:rsidP="005E2F00">
      <w:pPr>
        <w:pStyle w:val="Heading2"/>
        <w:numPr>
          <w:ilvl w:val="1"/>
          <w:numId w:val="10"/>
        </w:numPr>
      </w:pPr>
      <w:r>
        <w:t>CONCLUSIONS</w:t>
      </w:r>
    </w:p>
    <w:p w14:paraId="51AA53E1" w14:textId="69B07FCA" w:rsidR="00BC4E15" w:rsidRDefault="008D7D39" w:rsidP="00ED0F93">
      <w:pPr>
        <w:pStyle w:val="BodyText"/>
      </w:pPr>
      <w:r>
        <w:t xml:space="preserve">Atmospheric </w:t>
      </w:r>
      <w:r w:rsidR="00DB5E75">
        <w:t>dispersion</w:t>
      </w:r>
      <w:r>
        <w:t xml:space="preserve"> factors </w:t>
      </w:r>
      <w:r w:rsidR="00DB5E75">
        <w:t>calculated by a computational fluid dynamics</w:t>
      </w:r>
      <w:r w:rsidR="00124B2F">
        <w:t xml:space="preserve"> (CFD)</w:t>
      </w:r>
      <w:r w:rsidR="00DB5E75">
        <w:t xml:space="preserve"> code and RASCAL, a Gaussian dispersion code</w:t>
      </w:r>
      <w:r w:rsidR="00F477B6">
        <w:t>, are compared</w:t>
      </w:r>
      <w:r w:rsidR="00512292">
        <w:t xml:space="preserve"> for three atmospheric stability cases</w:t>
      </w:r>
      <w:r w:rsidR="00EE3BEC">
        <w:t xml:space="preserve">. Simulations are performed for a </w:t>
      </w:r>
      <w:r w:rsidR="00EC0E39">
        <w:t xml:space="preserve">fictitious </w:t>
      </w:r>
      <w:r w:rsidR="00EE3BEC">
        <w:t xml:space="preserve">point source </w:t>
      </w:r>
      <w:r w:rsidR="000B3F05">
        <w:t xml:space="preserve">emission from a building on a complex site with multiple buildings and terrain </w:t>
      </w:r>
      <w:r w:rsidR="00F33D13">
        <w:t xml:space="preserve">elevation </w:t>
      </w:r>
      <w:r w:rsidR="000B3F05">
        <w:t xml:space="preserve">variations. </w:t>
      </w:r>
      <w:r w:rsidR="00F10931">
        <w:t xml:space="preserve">Based on the environmental conditions and distance from the source, </w:t>
      </w:r>
      <w:r w:rsidR="00184622">
        <w:t>notable</w:t>
      </w:r>
      <w:r w:rsidR="00F10931">
        <w:t xml:space="preserve"> variations in </w:t>
      </w:r>
      <w:r w:rsidR="006A07B1">
        <w:t xml:space="preserve">pollutant </w:t>
      </w:r>
      <w:r w:rsidR="00E80B76">
        <w:t xml:space="preserve">dispersion </w:t>
      </w:r>
      <w:r w:rsidR="00B5580D">
        <w:t>are</w:t>
      </w:r>
      <w:r w:rsidR="00F10931">
        <w:t xml:space="preserve"> observed</w:t>
      </w:r>
      <w:r w:rsidR="00B5580D">
        <w:t xml:space="preserve"> between the two codes</w:t>
      </w:r>
      <w:r w:rsidR="002928E7">
        <w:t xml:space="preserve">, especially in the </w:t>
      </w:r>
      <w:proofErr w:type="gramStart"/>
      <w:r w:rsidR="006056C9">
        <w:t>near-field</w:t>
      </w:r>
      <w:proofErr w:type="gramEnd"/>
      <w:r w:rsidR="00333FFF">
        <w:t>. The results indicate that Gaussian dispersion codes</w:t>
      </w:r>
      <w:r w:rsidR="00D663E0">
        <w:t xml:space="preserve"> </w:t>
      </w:r>
      <w:r w:rsidR="00E02EBB">
        <w:t xml:space="preserve">provide conservative dose estimates only in </w:t>
      </w:r>
      <w:r w:rsidR="007C461A">
        <w:t xml:space="preserve">limited scenarios where </w:t>
      </w:r>
      <w:r w:rsidR="00BD2861">
        <w:t>terrain</w:t>
      </w:r>
      <w:r w:rsidR="00E83F58">
        <w:t xml:space="preserve"> variations</w:t>
      </w:r>
      <w:r w:rsidR="00BD2861">
        <w:t xml:space="preserve"> and building geometries do not </w:t>
      </w:r>
      <w:r w:rsidR="003302E9">
        <w:t xml:space="preserve">significantly </w:t>
      </w:r>
      <w:r w:rsidR="00BD2861">
        <w:t>influence</w:t>
      </w:r>
      <w:r w:rsidR="003302E9">
        <w:t xml:space="preserve"> </w:t>
      </w:r>
      <w:r w:rsidR="006A07B1">
        <w:t xml:space="preserve">pollutant </w:t>
      </w:r>
      <w:r w:rsidR="003302E9">
        <w:t>dispersio</w:t>
      </w:r>
      <w:r w:rsidR="00383634">
        <w:t>n</w:t>
      </w:r>
      <w:r w:rsidR="00191A55">
        <w:t xml:space="preserve">, which is unlikely </w:t>
      </w:r>
      <w:r w:rsidR="00951BFA">
        <w:t>for</w:t>
      </w:r>
      <w:r w:rsidR="00905C82">
        <w:t xml:space="preserve"> locations of future SMRs in </w:t>
      </w:r>
      <w:r w:rsidR="00A20BB1">
        <w:t>industrial or semi-urban areas.</w:t>
      </w:r>
      <w:r w:rsidR="004C02B9">
        <w:t xml:space="preserve"> </w:t>
      </w:r>
      <w:r w:rsidR="00124B2F">
        <w:t xml:space="preserve">Detailed modelling methods such as CFD are recommended to obtain </w:t>
      </w:r>
      <w:r w:rsidR="007A6418">
        <w:t xml:space="preserve">more </w:t>
      </w:r>
      <w:r w:rsidR="00124B2F">
        <w:t xml:space="preserve">realistic dose assessments </w:t>
      </w:r>
      <w:r w:rsidR="007A6418">
        <w:t>that could better inform emergency planning measures</w:t>
      </w:r>
      <w:r w:rsidR="000632E2">
        <w:t xml:space="preserve"> around SMRs</w:t>
      </w:r>
      <w:r w:rsidR="00BE62D7">
        <w:t xml:space="preserve"> </w:t>
      </w:r>
      <w:r w:rsidR="00BE62D7">
        <w:fldChar w:fldCharType="begin"/>
      </w:r>
      <w:r w:rsidR="00B864D9">
        <w:instrText xml:space="preserve"> ADDIN EN.CITE &lt;EndNote&gt;&lt;Cite&gt;&lt;Author&gt;Temiz&lt;/Author&gt;&lt;Year&gt;2024&lt;/Year&gt;&lt;RecNum&gt;164&lt;/RecNum&gt;&lt;DisplayText&gt;[20]&lt;/DisplayText&gt;&lt;record&gt;&lt;rec-number&gt;164&lt;/rec-number&gt;&lt;foreign-keys&gt;&lt;key app="EN" db-id="sf029s9x7d99dqe50eeprptuz5e5t0etd0d5" timestamp="1716403811" guid="bb4f2cc2-a9e0-40c3-9544-1a6c8499f79a"&gt;164&lt;/key&gt;&lt;/foreign-keys&gt;&lt;ref-type name="Journal Article"&gt;17&lt;/ref-type&gt;&lt;contributors&gt;&lt;authors&gt;&lt;author&gt;Temiz, Mert&lt;/author&gt;&lt;author&gt;Dincer, Ibrahim&lt;/author&gt;&lt;/authors&gt;&lt;/contributors&gt;&lt;titles&gt;&lt;title&gt;Development of a hybridized small modular reactor and solar-based energy system for useful commodities required for sustainable cities&lt;/title&gt;&lt;secondary-title&gt;Energy&lt;/secondary-title&gt;&lt;/titles&gt;&lt;periodical&gt;&lt;full-title&gt;Energy&lt;/full-title&gt;&lt;/periodical&gt;&lt;volume&gt;286&lt;/volume&gt;&lt;section&gt;129562&lt;/section&gt;&lt;dates&gt;&lt;year&gt;2024&lt;/year&gt;&lt;/dates&gt;&lt;isbn&gt;03605442&lt;/isbn&gt;&lt;urls&gt;&lt;/urls&gt;&lt;electronic-resource-num&gt;10.1016/j.energy.2023.129562&lt;/electronic-resource-num&gt;&lt;/record&gt;&lt;/Cite&gt;&lt;/EndNote&gt;</w:instrText>
      </w:r>
      <w:r w:rsidR="00BE62D7">
        <w:fldChar w:fldCharType="separate"/>
      </w:r>
      <w:r w:rsidR="00B864D9">
        <w:rPr>
          <w:noProof/>
        </w:rPr>
        <w:t>[20]</w:t>
      </w:r>
      <w:r w:rsidR="00BE62D7">
        <w:fldChar w:fldCharType="end"/>
      </w:r>
      <w:r w:rsidR="000632E2">
        <w:t xml:space="preserve">. </w:t>
      </w:r>
    </w:p>
    <w:p w14:paraId="367D7D90" w14:textId="77777777" w:rsidR="00ED0F93" w:rsidRDefault="00ED0F93" w:rsidP="00ED0F93">
      <w:pPr>
        <w:pStyle w:val="Otherunnumberedheadings"/>
      </w:pPr>
      <w:r w:rsidRPr="00285755">
        <w:t>ACKNOWLEDGEMENTS</w:t>
      </w:r>
    </w:p>
    <w:p w14:paraId="03930217" w14:textId="7715D1BF" w:rsidR="00231DC6" w:rsidRDefault="00F2376F" w:rsidP="00F2376F">
      <w:pPr>
        <w:pStyle w:val="BodyText"/>
      </w:pPr>
      <w:r>
        <w:t>Funding for this work was provided by Atomic Energy of Canada Limited under the auspices of the Federal Nuclear Science and Technology Program.</w:t>
      </w:r>
    </w:p>
    <w:p w14:paraId="1AFAA99D" w14:textId="61A77FD5" w:rsidR="00307C99" w:rsidRDefault="00D26ADA" w:rsidP="006F079D">
      <w:pPr>
        <w:pStyle w:val="Otherunnumberedheadings"/>
      </w:pPr>
      <w:r>
        <w:t>References</w:t>
      </w:r>
    </w:p>
    <w:p w14:paraId="4E373AD3" w14:textId="77777777" w:rsidR="00B864D9" w:rsidRPr="00B864D9" w:rsidRDefault="00307C99" w:rsidP="00B864D9">
      <w:pPr>
        <w:pStyle w:val="EndNoteBibliography"/>
        <w:ind w:left="720" w:hanging="360"/>
      </w:pPr>
      <w:r>
        <w:fldChar w:fldCharType="begin"/>
      </w:r>
      <w:r>
        <w:instrText xml:space="preserve"> ADDIN EN.REFLIST </w:instrText>
      </w:r>
      <w:r>
        <w:fldChar w:fldCharType="separate"/>
      </w:r>
      <w:r w:rsidR="00B864D9" w:rsidRPr="00B864D9">
        <w:t>[1]</w:t>
      </w:r>
      <w:r w:rsidR="00B864D9" w:rsidRPr="00B864D9">
        <w:tab/>
        <w:t xml:space="preserve">D. W. Hummel, S. Chouhan, L. Lebel, and A. C. Morreale, "Radiation dose consequences of postulated limiting accidents in small modular reactors to inform emergency planning zone size requirements," </w:t>
      </w:r>
      <w:r w:rsidR="00B864D9" w:rsidRPr="00B864D9">
        <w:rPr>
          <w:i/>
        </w:rPr>
        <w:t xml:space="preserve">Annals of Nuclear Energy, </w:t>
      </w:r>
      <w:r w:rsidR="00B864D9" w:rsidRPr="00B864D9">
        <w:t>vol. 137, 2020, doi: 10.1016/j.anucene.2019.107062.</w:t>
      </w:r>
    </w:p>
    <w:p w14:paraId="1E00A83E" w14:textId="77777777" w:rsidR="00B864D9" w:rsidRPr="00B864D9" w:rsidRDefault="00B864D9" w:rsidP="00B864D9">
      <w:pPr>
        <w:pStyle w:val="EndNoteBibliography"/>
        <w:ind w:left="720" w:hanging="360"/>
      </w:pPr>
      <w:r w:rsidRPr="00B864D9">
        <w:t>[2]</w:t>
      </w:r>
      <w:r w:rsidRPr="00B864D9">
        <w:tab/>
        <w:t xml:space="preserve">B. Poudel and R. Gokaraju, "Small Modular Reactor (SMR) Based Hybrid Energy System for Electricity &amp; District Heating," </w:t>
      </w:r>
      <w:r w:rsidRPr="00B864D9">
        <w:rPr>
          <w:i/>
        </w:rPr>
        <w:t xml:space="preserve">IEEE Transactions on Energy Conversion, </w:t>
      </w:r>
      <w:r w:rsidRPr="00B864D9">
        <w:t>vol. 36, no. 4, pp. 2794-2802, 2021, doi: 10.1109/tec.2021.3079400.</w:t>
      </w:r>
    </w:p>
    <w:p w14:paraId="1C12B417" w14:textId="77777777" w:rsidR="00B864D9" w:rsidRPr="00B864D9" w:rsidRDefault="00B864D9" w:rsidP="00B864D9">
      <w:pPr>
        <w:pStyle w:val="EndNoteBibliography"/>
        <w:ind w:left="720" w:hanging="360"/>
      </w:pPr>
      <w:r w:rsidRPr="00B864D9">
        <w:t>[3]</w:t>
      </w:r>
      <w:r w:rsidRPr="00B864D9">
        <w:tab/>
        <w:t xml:space="preserve">Nan Wu, Na Xue, and X. Liu, "Research on the influence of complex errain on atmospheric dispersion after accident," in </w:t>
      </w:r>
      <w:r w:rsidRPr="00B864D9">
        <w:rPr>
          <w:i/>
        </w:rPr>
        <w:t>Proceedings of the 2018 26th International Conference on Nuclear Engineering ICONE26</w:t>
      </w:r>
      <w:r w:rsidRPr="00B864D9">
        <w:t xml:space="preserve">, London, 2018. </w:t>
      </w:r>
    </w:p>
    <w:p w14:paraId="0231B80E" w14:textId="77777777" w:rsidR="00B864D9" w:rsidRPr="00B864D9" w:rsidRDefault="00B864D9" w:rsidP="00B864D9">
      <w:pPr>
        <w:pStyle w:val="EndNoteBibliography"/>
        <w:ind w:left="720" w:hanging="360"/>
      </w:pPr>
      <w:r w:rsidRPr="00B864D9">
        <w:t>[4]</w:t>
      </w:r>
      <w:r w:rsidRPr="00B864D9">
        <w:tab/>
        <w:t xml:space="preserve">J. V. Ramsdell Jr., G. F. Athey, and J. P. Rishel, "RASCAL 4.3: Description of Models and Methods, NUREG-1940 Supplement 1," U.S. Nuclear Regulatory Commission, 2015. </w:t>
      </w:r>
    </w:p>
    <w:p w14:paraId="7FEC657E" w14:textId="77777777" w:rsidR="00B864D9" w:rsidRPr="00B864D9" w:rsidRDefault="00B864D9" w:rsidP="00B864D9">
      <w:pPr>
        <w:pStyle w:val="EndNoteBibliography"/>
        <w:ind w:left="720" w:hanging="360"/>
      </w:pPr>
      <w:r w:rsidRPr="00B864D9">
        <w:t>[5]</w:t>
      </w:r>
      <w:r w:rsidRPr="00B864D9">
        <w:tab/>
        <w:t xml:space="preserve">M. A. Khaer, M. A. Hoq, S. M. T. Hassan, M. T. Chowdhury, and M. M. Rahman, "Assessment of radiological dose and emergency planning zones of TRIGA Mark-II research reactor of Bangladesh due to a postulated severe accidental condition," </w:t>
      </w:r>
      <w:r w:rsidRPr="00B864D9">
        <w:rPr>
          <w:i/>
        </w:rPr>
        <w:t xml:space="preserve">Nuclear Engineering and Design, </w:t>
      </w:r>
      <w:r w:rsidRPr="00B864D9">
        <w:t>vol. 415, 2023, doi: 10.1016/j.nucengdes.2023.112727.</w:t>
      </w:r>
    </w:p>
    <w:p w14:paraId="5FF1FA06" w14:textId="77777777" w:rsidR="00B864D9" w:rsidRPr="00B864D9" w:rsidRDefault="00B864D9" w:rsidP="00B864D9">
      <w:pPr>
        <w:pStyle w:val="EndNoteBibliography"/>
        <w:ind w:left="720" w:hanging="360"/>
      </w:pPr>
      <w:r w:rsidRPr="00B864D9">
        <w:t>[6]</w:t>
      </w:r>
      <w:r w:rsidRPr="00B864D9">
        <w:tab/>
        <w:t xml:space="preserve">E. Demael and B. Carissimo, "Comparative Evaluation of an Eulerian CFD and Gaussian Plume Models Based on Prairie Grass Dispersion Experiment," </w:t>
      </w:r>
      <w:r w:rsidRPr="00B864D9">
        <w:rPr>
          <w:i/>
        </w:rPr>
        <w:t xml:space="preserve">Journal of Applied Meteorology and Climatology, </w:t>
      </w:r>
      <w:r w:rsidRPr="00B864D9">
        <w:t>vol. 47, no. 3, pp. 888-900, 2008, doi: 10.1175/2007jamc1375.1.</w:t>
      </w:r>
    </w:p>
    <w:p w14:paraId="3A8C13FF" w14:textId="77777777" w:rsidR="00B864D9" w:rsidRPr="00B864D9" w:rsidRDefault="00B864D9" w:rsidP="00B864D9">
      <w:pPr>
        <w:pStyle w:val="EndNoteBibliography"/>
        <w:ind w:left="720" w:hanging="360"/>
      </w:pPr>
      <w:r w:rsidRPr="00B864D9">
        <w:t>[7]</w:t>
      </w:r>
      <w:r w:rsidRPr="00B864D9">
        <w:tab/>
        <w:t>L. Lebel</w:t>
      </w:r>
      <w:r w:rsidRPr="00B864D9">
        <w:rPr>
          <w:i/>
        </w:rPr>
        <w:t xml:space="preserve"> et al.</w:t>
      </w:r>
      <w:r w:rsidRPr="00B864D9">
        <w:t xml:space="preserve">, "The Sensitivity of Atmospheric Dispersion Calculations in Near-field Applications: Modeling of the Full Scale RDD Experiments with Operational Models in Canada, Part I," </w:t>
      </w:r>
      <w:r w:rsidRPr="00B864D9">
        <w:rPr>
          <w:i/>
        </w:rPr>
        <w:t xml:space="preserve">Health Phys, </w:t>
      </w:r>
      <w:r w:rsidRPr="00B864D9">
        <w:t>vol. 110, no. 5, pp. 499-517, May 2016, doi: 10.1097/HP.0000000000000365.</w:t>
      </w:r>
    </w:p>
    <w:p w14:paraId="1E962ED9" w14:textId="77777777" w:rsidR="00B864D9" w:rsidRPr="00B864D9" w:rsidRDefault="00B864D9" w:rsidP="00B864D9">
      <w:pPr>
        <w:pStyle w:val="EndNoteBibliography"/>
        <w:ind w:left="720" w:hanging="360"/>
      </w:pPr>
      <w:r w:rsidRPr="00B864D9">
        <w:t>[8]</w:t>
      </w:r>
      <w:r w:rsidRPr="00B864D9">
        <w:tab/>
        <w:t xml:space="preserve">Daniel J. Clayton and N. E. Bixler, "Assessment of the MACCS Code Applicability for Nearfield Consequence Analysis," Sandia National Laboratories, SAND2020-2609, 2020. </w:t>
      </w:r>
    </w:p>
    <w:p w14:paraId="5D37B4CF" w14:textId="77777777" w:rsidR="00B864D9" w:rsidRPr="00B864D9" w:rsidRDefault="00B864D9" w:rsidP="00B864D9">
      <w:pPr>
        <w:pStyle w:val="EndNoteBibliography"/>
        <w:ind w:left="720" w:hanging="360"/>
      </w:pPr>
      <w:r w:rsidRPr="00B864D9">
        <w:t>[9]</w:t>
      </w:r>
      <w:r w:rsidRPr="00B864D9">
        <w:tab/>
        <w:t xml:space="preserve">G. Ioannidis, C. Li, P. Tremper, T. Riedel, and L. Ntziachristos, "Application of CFD Modelling for Pollutant Dispersion at an Urban Traffic Hotspot," </w:t>
      </w:r>
      <w:r w:rsidRPr="00B864D9">
        <w:rPr>
          <w:i/>
        </w:rPr>
        <w:t xml:space="preserve">Atmosphere, </w:t>
      </w:r>
      <w:r w:rsidRPr="00B864D9">
        <w:t>vol. 15, no. 1, 2024, doi: 10.3390/atmos15010113.</w:t>
      </w:r>
    </w:p>
    <w:p w14:paraId="20625776" w14:textId="77777777" w:rsidR="00B864D9" w:rsidRPr="00B864D9" w:rsidRDefault="00B864D9" w:rsidP="00B864D9">
      <w:pPr>
        <w:pStyle w:val="EndNoteBibliography"/>
        <w:ind w:left="720" w:hanging="360"/>
      </w:pPr>
      <w:r w:rsidRPr="00B864D9">
        <w:t>[10]</w:t>
      </w:r>
      <w:r w:rsidRPr="00B864D9">
        <w:tab/>
        <w:t xml:space="preserve">X. Wei, E. Dupont, E. Gilbert, L. Musson-Genon, and B. Carissimo, "Experimental and Numerical Study of Wind and Turbulence in a Near-Field Dispersion Campaign at an Inhomogeneous Site," </w:t>
      </w:r>
      <w:r w:rsidRPr="00B864D9">
        <w:rPr>
          <w:i/>
        </w:rPr>
        <w:t xml:space="preserve">Boundary-Layer Meteorology, </w:t>
      </w:r>
      <w:r w:rsidRPr="00B864D9">
        <w:t>vol. 160, no. 3, pp. 475-499, 2016, doi: 10.1007/s10546-016-0148-7.</w:t>
      </w:r>
    </w:p>
    <w:p w14:paraId="3C10D698" w14:textId="77777777" w:rsidR="00B864D9" w:rsidRPr="00B864D9" w:rsidRDefault="00B864D9" w:rsidP="00B864D9">
      <w:pPr>
        <w:pStyle w:val="EndNoteBibliography"/>
        <w:ind w:left="720" w:hanging="360"/>
      </w:pPr>
      <w:r w:rsidRPr="00B864D9">
        <w:t>[11]</w:t>
      </w:r>
      <w:r w:rsidRPr="00B864D9">
        <w:tab/>
        <w:t xml:space="preserve">H. F. Bonifacio, R. G. Maghirang, and L. A. Glasgow, "Numerical Simulation of Transport of Particles Emitted From Ground-Level Area Source Using Aermod and CFD," </w:t>
      </w:r>
      <w:r w:rsidRPr="00B864D9">
        <w:rPr>
          <w:i/>
        </w:rPr>
        <w:t xml:space="preserve">Engineering Applications of Computational Fluid Mechanics, </w:t>
      </w:r>
      <w:r w:rsidRPr="00B864D9">
        <w:t>vol. 8, no. 4, pp. 488-502, 2015, doi: 10.1080/19942060.2014.11083302.</w:t>
      </w:r>
    </w:p>
    <w:p w14:paraId="6EADDB3B" w14:textId="77777777" w:rsidR="00B864D9" w:rsidRPr="00B864D9" w:rsidRDefault="00B864D9" w:rsidP="00B864D9">
      <w:pPr>
        <w:pStyle w:val="EndNoteBibliography"/>
        <w:ind w:left="720" w:hanging="360"/>
      </w:pPr>
      <w:r w:rsidRPr="00B864D9">
        <w:t>[12]</w:t>
      </w:r>
      <w:r w:rsidRPr="00B864D9">
        <w:tab/>
        <w:t>U.-H. Yeo</w:t>
      </w:r>
      <w:r w:rsidRPr="00B864D9">
        <w:rPr>
          <w:i/>
        </w:rPr>
        <w:t xml:space="preserve"> et al.</w:t>
      </w:r>
      <w:r w:rsidRPr="00B864D9">
        <w:t xml:space="preserve">, "Impact Analysis of Environmental Conditions on Odour Dispersion Emitted from Pig House with Complex Terrain Using CFD," </w:t>
      </w:r>
      <w:r w:rsidRPr="00B864D9">
        <w:rPr>
          <w:i/>
        </w:rPr>
        <w:t xml:space="preserve">Agronomy, </w:t>
      </w:r>
      <w:r w:rsidRPr="00B864D9">
        <w:t>vol. 10, no. 11, 2020, doi: 10.3390/agronomy10111828.</w:t>
      </w:r>
    </w:p>
    <w:p w14:paraId="3278A8F6" w14:textId="77777777" w:rsidR="00B864D9" w:rsidRPr="00B864D9" w:rsidRDefault="00B864D9" w:rsidP="00B864D9">
      <w:pPr>
        <w:pStyle w:val="EndNoteBibliography"/>
        <w:ind w:left="720" w:hanging="360"/>
      </w:pPr>
      <w:r w:rsidRPr="00B864D9">
        <w:t>[13]</w:t>
      </w:r>
      <w:r w:rsidRPr="00B864D9">
        <w:tab/>
        <w:t xml:space="preserve">B. Tang, H. Wang, J. Xu, J. Lin, J. Hu, and R. Chen, "High-Resolution Simulation of the Near-Field Pollutant Dispersion in a Nuclear Power Plant Community with High-Performance Computing," </w:t>
      </w:r>
      <w:r w:rsidRPr="00B864D9">
        <w:rPr>
          <w:i/>
        </w:rPr>
        <w:t xml:space="preserve">Journal of Nonlinear Mathematical Physics, </w:t>
      </w:r>
      <w:r w:rsidRPr="00B864D9">
        <w:t>vol. 31, no. 1, 2024, doi: 10.1007/s44198-024-00171-7.</w:t>
      </w:r>
    </w:p>
    <w:p w14:paraId="20B49DB2" w14:textId="77777777" w:rsidR="00B864D9" w:rsidRPr="00B864D9" w:rsidRDefault="00B864D9" w:rsidP="00B864D9">
      <w:pPr>
        <w:pStyle w:val="EndNoteBibliography"/>
        <w:ind w:left="720" w:hanging="360"/>
      </w:pPr>
      <w:r w:rsidRPr="00B864D9">
        <w:t>[14]</w:t>
      </w:r>
      <w:r w:rsidRPr="00B864D9">
        <w:tab/>
        <w:t xml:space="preserve">S. P. Arya, </w:t>
      </w:r>
      <w:r w:rsidRPr="00B864D9">
        <w:rPr>
          <w:i/>
        </w:rPr>
        <w:t>Air pollution meteorology and dispersion</w:t>
      </w:r>
      <w:r w:rsidRPr="00B864D9">
        <w:t>. New York: Oxford University Press, 1999.</w:t>
      </w:r>
    </w:p>
    <w:p w14:paraId="7C85D726" w14:textId="77777777" w:rsidR="00B864D9" w:rsidRPr="00B864D9" w:rsidRDefault="00B864D9" w:rsidP="00B864D9">
      <w:pPr>
        <w:pStyle w:val="EndNoteBibliography"/>
        <w:ind w:left="720" w:hanging="360"/>
      </w:pPr>
      <w:r w:rsidRPr="00B864D9">
        <w:t>[15]</w:t>
      </w:r>
      <w:r w:rsidRPr="00B864D9">
        <w:tab/>
      </w:r>
      <w:r w:rsidRPr="00B864D9">
        <w:rPr>
          <w:i/>
        </w:rPr>
        <w:t>Simcenter STAR-CCM+, version 17.06</w:t>
      </w:r>
      <w:r w:rsidRPr="00B864D9">
        <w:t xml:space="preserve">. (2023). Siemens Industries Digital Software. </w:t>
      </w:r>
    </w:p>
    <w:p w14:paraId="0DF7B685" w14:textId="77777777" w:rsidR="00B864D9" w:rsidRPr="00B864D9" w:rsidRDefault="00B864D9" w:rsidP="00B864D9">
      <w:pPr>
        <w:pStyle w:val="EndNoteBibliography"/>
        <w:ind w:left="720" w:hanging="360"/>
      </w:pPr>
      <w:r w:rsidRPr="00B864D9">
        <w:t>[16]</w:t>
      </w:r>
      <w:r w:rsidRPr="00B864D9">
        <w:tab/>
        <w:t xml:space="preserve">B. Blocken, "Computational Fluid Dynamics for urban physics: Importance, scales, possibilities, limitations and ten tips and tricks towards accurate and reliable simulations," </w:t>
      </w:r>
      <w:r w:rsidRPr="00B864D9">
        <w:rPr>
          <w:i/>
        </w:rPr>
        <w:t xml:space="preserve">Building and Environment, </w:t>
      </w:r>
      <w:r w:rsidRPr="00B864D9">
        <w:t>vol. 91, pp. 219-245, 2015, doi: 10.1016/j.buildenv.2015.02.015.</w:t>
      </w:r>
    </w:p>
    <w:p w14:paraId="1639129A" w14:textId="77777777" w:rsidR="00B864D9" w:rsidRPr="00B864D9" w:rsidRDefault="00B864D9" w:rsidP="00B864D9">
      <w:pPr>
        <w:pStyle w:val="EndNoteBibliography"/>
        <w:ind w:left="720" w:hanging="360"/>
      </w:pPr>
      <w:r w:rsidRPr="00B864D9">
        <w:t>[17]</w:t>
      </w:r>
      <w:r w:rsidRPr="00B864D9">
        <w:tab/>
        <w:t xml:space="preserve">F. Vendel, "Modélisation de la dispersion atmosphérique en presence d’obstacles complexes : application à l’étude de sites industriels," University of Lyon, 2011. </w:t>
      </w:r>
    </w:p>
    <w:p w14:paraId="7767653A" w14:textId="77777777" w:rsidR="00B864D9" w:rsidRPr="00B864D9" w:rsidRDefault="00B864D9" w:rsidP="00B864D9">
      <w:pPr>
        <w:pStyle w:val="EndNoteBibliography"/>
        <w:ind w:left="720" w:hanging="360"/>
      </w:pPr>
      <w:r w:rsidRPr="00B864D9">
        <w:t>[18]</w:t>
      </w:r>
      <w:r w:rsidRPr="00B864D9">
        <w:tab/>
        <w:t xml:space="preserve">L. Lebel, K. Vu, A. John, and V. Korolevych, "Method for assessing radon Re-Entrainment risks from above ground level discharges from sub-slab depressurization systems," </w:t>
      </w:r>
      <w:r w:rsidRPr="00B864D9">
        <w:rPr>
          <w:i/>
        </w:rPr>
        <w:t xml:space="preserve">Building and Environment, </w:t>
      </w:r>
      <w:r w:rsidRPr="00B864D9">
        <w:t>vol. 215, 2022, doi: 10.1016/j.buildenv.2022.108942.</w:t>
      </w:r>
    </w:p>
    <w:p w14:paraId="2791F79B" w14:textId="77777777" w:rsidR="00B864D9" w:rsidRPr="00B864D9" w:rsidRDefault="00B864D9" w:rsidP="00B864D9">
      <w:pPr>
        <w:pStyle w:val="EndNoteBibliography"/>
        <w:ind w:left="720" w:hanging="360"/>
      </w:pPr>
      <w:r w:rsidRPr="00B864D9">
        <w:t>[19]</w:t>
      </w:r>
      <w:r w:rsidRPr="00B864D9">
        <w:tab/>
        <w:t>John Cui, Luke Lebel, Andrew Morreale, and D. Hummel, "MELCOR Model of iPWR and Application to Emergency Planning Zone Study," presented at the 14th International Topical Meeting on Nuclear Reactor Thermal-Hydraulics, Operation and Safety (NUTHOS-14), 2024.</w:t>
      </w:r>
    </w:p>
    <w:p w14:paraId="65223D79" w14:textId="77777777" w:rsidR="00B864D9" w:rsidRPr="00B864D9" w:rsidRDefault="00B864D9" w:rsidP="00B864D9">
      <w:pPr>
        <w:pStyle w:val="EndNoteBibliography"/>
        <w:ind w:left="720" w:hanging="360"/>
      </w:pPr>
      <w:r w:rsidRPr="00B864D9">
        <w:t>[20]</w:t>
      </w:r>
      <w:r w:rsidRPr="00B864D9">
        <w:tab/>
        <w:t xml:space="preserve">M. Temiz and I. Dincer, "Development of a hybridized small modular reactor and solar-based energy system for useful commodities required for sustainable cities," </w:t>
      </w:r>
      <w:r w:rsidRPr="00B864D9">
        <w:rPr>
          <w:i/>
        </w:rPr>
        <w:t xml:space="preserve">Energy, </w:t>
      </w:r>
      <w:r w:rsidRPr="00B864D9">
        <w:t>vol. 286, 2024, doi: 10.1016/j.energy.2023.129562.</w:t>
      </w:r>
    </w:p>
    <w:p w14:paraId="3BA56E06" w14:textId="6BD1A7E0" w:rsidR="00F45EEE" w:rsidRDefault="00307C99" w:rsidP="00537496">
      <w:pPr>
        <w:pStyle w:val="BodyText"/>
        <w:ind w:firstLine="0"/>
        <w:jc w:val="left"/>
      </w:pPr>
      <w:r>
        <w:fldChar w:fldCharType="end"/>
      </w:r>
    </w:p>
    <w:sectPr w:rsidR="00F45EEE" w:rsidSect="00B55658">
      <w:headerReference w:type="even" r:id="rId17"/>
      <w:headerReference w:type="default" r:id="rId18"/>
      <w:footerReference w:type="even" r:id="rId19"/>
      <w:footerReference w:type="default" r:id="rId20"/>
      <w:headerReference w:type="first" r:id="rId21"/>
      <w:footerReference w:type="first" r:id="rId22"/>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6C7A2" w14:textId="77777777" w:rsidR="0077696F" w:rsidRDefault="0077696F">
      <w:r>
        <w:separator/>
      </w:r>
    </w:p>
  </w:endnote>
  <w:endnote w:type="continuationSeparator" w:id="0">
    <w:p w14:paraId="110A9DD6" w14:textId="77777777" w:rsidR="0077696F" w:rsidRDefault="0077696F">
      <w:r>
        <w:continuationSeparator/>
      </w:r>
    </w:p>
  </w:endnote>
  <w:endnote w:type="continuationNotice" w:id="1">
    <w:p w14:paraId="787C1B88" w14:textId="77777777" w:rsidR="0077696F" w:rsidRDefault="007769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FF961" w14:textId="71EB65A1" w:rsidR="00E20E70" w:rsidRDefault="00E20E70">
    <w:pPr>
      <w:pStyle w:val="zyxClassification1"/>
    </w:pPr>
    <w:r>
      <w:fldChar w:fldCharType="begin"/>
    </w:r>
    <w:r>
      <w:instrText xml:space="preserve"> DOCPROPERTY "IaeaClassification"  \* MERGEFORMAT </w:instrText>
    </w:r>
    <w:r>
      <w:fldChar w:fldCharType="end"/>
    </w:r>
  </w:p>
  <w:p w14:paraId="1FDEB1B7" w14:textId="0ED3327B"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B308E" w14:textId="74B9F514" w:rsidR="00E20E70" w:rsidRDefault="00E20E70">
    <w:pPr>
      <w:pStyle w:val="zyxClassification1"/>
    </w:pPr>
    <w:r>
      <w:fldChar w:fldCharType="begin"/>
    </w:r>
    <w:r>
      <w:instrText xml:space="preserve"> DOCPROPERTY "IaeaClassification"  \* MERGEFORMAT </w:instrText>
    </w:r>
    <w:r>
      <w:fldChar w:fldCharType="end"/>
    </w:r>
  </w:p>
  <w:p w14:paraId="7E32AC2C" w14:textId="07C52EB6"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26525A">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2AC0DA17" w14:textId="77777777">
      <w:trPr>
        <w:cantSplit/>
      </w:trPr>
      <w:tc>
        <w:tcPr>
          <w:tcW w:w="4644" w:type="dxa"/>
        </w:tcPr>
        <w:p w14:paraId="6CFF9F49" w14:textId="0172A26A"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258EA1F7" w14:textId="573F31D8"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5" w:name="DOC_bkmClassification2"/>
      <w:tc>
        <w:tcPr>
          <w:tcW w:w="5670" w:type="dxa"/>
          <w:tcMar>
            <w:right w:w="249" w:type="dxa"/>
          </w:tcMar>
        </w:tcPr>
        <w:p w14:paraId="6BE850AD" w14:textId="6BACBAB6"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5"/>
        <w:p w14:paraId="4A6BF5C8" w14:textId="4D4577F5"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6" w:name="DOC_bkmFileName"/>
  <w:p w14:paraId="437B756E" w14:textId="14A092E5" w:rsidR="00E20E70" w:rsidRDefault="00E20E70">
    <w:r>
      <w:rPr>
        <w:sz w:val="16"/>
      </w:rPr>
      <w:fldChar w:fldCharType="begin"/>
    </w:r>
    <w:r>
      <w:rPr>
        <w:sz w:val="16"/>
      </w:rPr>
      <w:instrText xml:space="preserve"> FILENAME \* MERGEFORMAT </w:instrText>
    </w:r>
    <w:r>
      <w:rPr>
        <w:sz w:val="16"/>
      </w:rPr>
      <w:fldChar w:fldCharType="separate"/>
    </w:r>
    <w:r w:rsidR="00FF6F19">
      <w:rPr>
        <w:noProof/>
        <w:sz w:val="16"/>
      </w:rPr>
      <w:t>Conference Proceedings_Example paper.docx</w:t>
    </w:r>
    <w:r>
      <w:rPr>
        <w:sz w:val="16"/>
      </w:rPr>
      <w:fldChar w:fldCharType="end"/>
    </w:r>
    <w:bookmarkEnd w:id="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AC2FB" w14:textId="77777777" w:rsidR="0077696F" w:rsidRDefault="0077696F">
      <w:r>
        <w:t>___________________________________________________________________________</w:t>
      </w:r>
    </w:p>
  </w:footnote>
  <w:footnote w:type="continuationSeparator" w:id="0">
    <w:p w14:paraId="2090184F" w14:textId="77777777" w:rsidR="0077696F" w:rsidRDefault="0077696F">
      <w:r>
        <w:t>___________________________________________________________________________</w:t>
      </w:r>
    </w:p>
  </w:footnote>
  <w:footnote w:type="continuationNotice" w:id="1">
    <w:p w14:paraId="75990FE2" w14:textId="77777777" w:rsidR="0077696F" w:rsidRDefault="007769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F522D" w14:textId="2EF247BD" w:rsidR="00CF7AF3" w:rsidRDefault="00CF7AF3" w:rsidP="00CF7AF3">
    <w:pPr>
      <w:pStyle w:val="Runninghead"/>
    </w:pPr>
    <w:r>
      <w:tab/>
      <w:t>IAEA-CN-123/45</w:t>
    </w:r>
  </w:p>
  <w:p w14:paraId="4D70767E" w14:textId="77777777" w:rsidR="00CF7AF3" w:rsidRPr="009E1558" w:rsidRDefault="00CF7AF3"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6E7E9A0F" w14:textId="18B87A12"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09E92CEF" w14:textId="58EFCBEB"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EF17" w14:textId="77D39355" w:rsidR="00037321" w:rsidRPr="004A0C0B" w:rsidRDefault="004A0C0B" w:rsidP="004A0C0B">
    <w:pPr>
      <w:pStyle w:val="Runninghead"/>
    </w:pPr>
    <w:r>
      <w:t>SREEYUTH LAL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2C69EA9B" w14:textId="77777777">
      <w:trPr>
        <w:cantSplit/>
        <w:trHeight w:val="716"/>
      </w:trPr>
      <w:tc>
        <w:tcPr>
          <w:tcW w:w="979" w:type="dxa"/>
          <w:vMerge w:val="restart"/>
        </w:tcPr>
        <w:p w14:paraId="2A6ADF80" w14:textId="5717E42F" w:rsidR="00E20E70" w:rsidRDefault="005E2568">
          <w:pPr>
            <w:spacing w:before="180"/>
            <w:ind w:left="17"/>
          </w:pPr>
          <w:r>
            <w:rPr>
              <w:noProof/>
            </w:rPr>
            <mc:AlternateContent>
              <mc:Choice Requires="wps">
                <w:drawing>
                  <wp:anchor distT="0" distB="0" distL="0" distR="0" simplePos="0" relativeHeight="251658240" behindDoc="0" locked="0" layoutInCell="1" allowOverlap="1" wp14:anchorId="4A99CF04" wp14:editId="6FF40DE6">
                    <wp:simplePos x="635" y="635"/>
                    <wp:positionH relativeFrom="page">
                      <wp:align>right</wp:align>
                    </wp:positionH>
                    <wp:positionV relativeFrom="page">
                      <wp:align>top</wp:align>
                    </wp:positionV>
                    <wp:extent cx="443865" cy="443865"/>
                    <wp:effectExtent l="0" t="0" r="0" b="6350"/>
                    <wp:wrapNone/>
                    <wp:docPr id="823151709" name="Text Box 1" descr="OFFICIAL USE ONLY / À USAGE EXCLUSIF">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7313FD" w14:textId="06D29999" w:rsidR="005E2568" w:rsidRPr="005E2568" w:rsidRDefault="005E2568" w:rsidP="005E2568">
                                <w:pPr>
                                  <w:rPr>
                                    <w:rFonts w:ascii="Calibri" w:eastAsia="Calibri" w:hAnsi="Calibri" w:cs="Calibri"/>
                                    <w:noProof/>
                                    <w:color w:val="000000"/>
                                    <w:sz w:val="20"/>
                                  </w:rPr>
                                </w:pPr>
                                <w:r w:rsidRPr="005E2568">
                                  <w:rPr>
                                    <w:rFonts w:ascii="Calibri" w:eastAsia="Calibri" w:hAnsi="Calibri" w:cs="Calibri"/>
                                    <w:noProof/>
                                    <w:color w:val="000000"/>
                                    <w:sz w:val="20"/>
                                  </w:rPr>
                                  <w:t>OFFICIAL USE ONLY / À USAGE EXCLUSIF</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A99CF04" id="_x0000_t202" coordsize="21600,21600" o:spt="202" path="m,l,21600r21600,l21600,xe">
                    <v:stroke joinstyle="miter"/>
                    <v:path gradientshapeok="t" o:connecttype="rect"/>
                  </v:shapetype>
                  <v:shape id="Text Box 1" o:spid="_x0000_s1026" type="#_x0000_t202" alt="OFFICIAL USE ONLY / À USAGE EXCLUSIF" style="position:absolute;left:0;text-align:left;margin-left:-16.25pt;margin-top:0;width:34.95pt;height:34.9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4b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hIqiRM7/JFjppL2mwxz6O2H4PMUT8AknCK92B5EmNw&#10;UKMoHeg3JPM6VkMXMxxrljSM4kPoeYvHwMV6nYKQRJaFrdlZHlNHsCKSr90bc3aAO+CenmDkEive&#10;od7Hxj+9XR8DYp9WEoHt0RzwRgKmpQ7HEhn+q56irie9+gkAAP//AwBQSwMEFAAGAAgAAAAhAHdX&#10;hELaAAAAAwEAAA8AAABkcnMvZG93bnJldi54bWxMj0FLw0AQhe+C/2GZghexGxVKE7MpIhTswYOt&#10;OXibZKdJaHY27G7T5N+76kEv8xje8N43+WYyvRjJ+c6ygvtlAoK4trrjRsHHYXu3BuEDssbeMimY&#10;ycOmuL7KMdP2wu807kMjYgj7DBW0IQyZlL5uyaBf2oE4ekfrDIa4ukZqh5cYbnr5kCQrabDj2NDi&#10;QC8t1af92SgoJ3f7tk13r3P12Y1zsisf18dSqZvF9PwEItAU/o7hGz+iQxGZKntm7UWvID4Sfmb0&#10;VmkKovpVWeTyP3vxBQAA//8DAFBLAQItABQABgAIAAAAIQC2gziS/gAAAOEBAAATAAAAAAAAAAAA&#10;AAAAAAAAAABbQ29udGVudF9UeXBlc10ueG1sUEsBAi0AFAAGAAgAAAAhADj9If/WAAAAlAEAAAsA&#10;AAAAAAAAAAAAAAAALwEAAF9yZWxzLy5yZWxzUEsBAi0AFAAGAAgAAAAhAJ1gnhsKAgAAGgQAAA4A&#10;AAAAAAAAAAAAAAAALgIAAGRycy9lMm9Eb2MueG1sUEsBAi0AFAAGAAgAAAAhAHdXhELaAAAAAwEA&#10;AA8AAAAAAAAAAAAAAAAAZAQAAGRycy9kb3ducmV2LnhtbFBLBQYAAAAABAAEAPMAAABrBQAAAAA=&#10;" filled="f" stroked="f">
                    <v:textbox style="mso-fit-shape-to-text:t" inset="0,15pt,20pt,0">
                      <w:txbxContent>
                        <w:p w14:paraId="117313FD" w14:textId="06D29999" w:rsidR="005E2568" w:rsidRPr="005E2568" w:rsidRDefault="005E2568" w:rsidP="005E2568">
                          <w:pPr>
                            <w:rPr>
                              <w:rFonts w:ascii="Calibri" w:eastAsia="Calibri" w:hAnsi="Calibri" w:cs="Calibri"/>
                              <w:noProof/>
                              <w:color w:val="000000"/>
                              <w:sz w:val="20"/>
                            </w:rPr>
                          </w:pPr>
                          <w:r w:rsidRPr="005E2568">
                            <w:rPr>
                              <w:rFonts w:ascii="Calibri" w:eastAsia="Calibri" w:hAnsi="Calibri" w:cs="Calibri"/>
                              <w:noProof/>
                              <w:color w:val="000000"/>
                              <w:sz w:val="20"/>
                            </w:rPr>
                            <w:t>OFFICIAL USE ONLY / À USAGE EXCLUSIF</w:t>
                          </w:r>
                        </w:p>
                      </w:txbxContent>
                    </v:textbox>
                    <w10:wrap anchorx="page" anchory="page"/>
                  </v:shape>
                </w:pict>
              </mc:Fallback>
            </mc:AlternateContent>
          </w:r>
        </w:p>
      </w:tc>
      <w:tc>
        <w:tcPr>
          <w:tcW w:w="3638" w:type="dxa"/>
          <w:vAlign w:val="bottom"/>
        </w:tcPr>
        <w:p w14:paraId="610CF310" w14:textId="77777777" w:rsidR="00E20E70" w:rsidRDefault="00E20E70">
          <w:pPr>
            <w:spacing w:after="20"/>
          </w:pPr>
        </w:p>
      </w:tc>
      <w:bookmarkStart w:id="4" w:name="DOC_bkmClassification1"/>
      <w:tc>
        <w:tcPr>
          <w:tcW w:w="5702" w:type="dxa"/>
          <w:vMerge w:val="restart"/>
          <w:tcMar>
            <w:right w:w="193" w:type="dxa"/>
          </w:tcMar>
        </w:tcPr>
        <w:p w14:paraId="48D5842E" w14:textId="65BC9385"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
        <w:p w14:paraId="423CAA9C" w14:textId="4809B93E" w:rsidR="00E20E70" w:rsidRDefault="00E20E70">
          <w:pPr>
            <w:pStyle w:val="zyxConfid2Red"/>
          </w:pPr>
          <w:r>
            <w:fldChar w:fldCharType="begin"/>
          </w:r>
          <w:r>
            <w:instrText>DOCPROPERTY "IaeaClassification2"  \* MERGEFORMAT</w:instrText>
          </w:r>
          <w:r>
            <w:fldChar w:fldCharType="end"/>
          </w:r>
        </w:p>
      </w:tc>
    </w:tr>
    <w:tr w:rsidR="00E20E70" w14:paraId="7130D945" w14:textId="77777777">
      <w:trPr>
        <w:cantSplit/>
        <w:trHeight w:val="167"/>
      </w:trPr>
      <w:tc>
        <w:tcPr>
          <w:tcW w:w="979" w:type="dxa"/>
          <w:vMerge/>
        </w:tcPr>
        <w:p w14:paraId="7659FE2B" w14:textId="77777777" w:rsidR="00E20E70" w:rsidRDefault="00E20E70">
          <w:pPr>
            <w:spacing w:before="57"/>
          </w:pPr>
        </w:p>
      </w:tc>
      <w:tc>
        <w:tcPr>
          <w:tcW w:w="3638" w:type="dxa"/>
          <w:vAlign w:val="bottom"/>
        </w:tcPr>
        <w:p w14:paraId="7578AADC" w14:textId="77777777" w:rsidR="00E20E70" w:rsidRDefault="00E20E70">
          <w:pPr>
            <w:pStyle w:val="Heading9"/>
            <w:spacing w:before="0" w:after="10"/>
          </w:pPr>
        </w:p>
      </w:tc>
      <w:tc>
        <w:tcPr>
          <w:tcW w:w="5702" w:type="dxa"/>
          <w:vMerge/>
          <w:vAlign w:val="bottom"/>
        </w:tcPr>
        <w:p w14:paraId="313FA1D9" w14:textId="77777777" w:rsidR="00E20E70" w:rsidRDefault="00E20E70">
          <w:pPr>
            <w:pStyle w:val="Heading9"/>
            <w:spacing w:before="0" w:after="10"/>
          </w:pPr>
        </w:p>
      </w:tc>
    </w:tr>
  </w:tbl>
  <w:p w14:paraId="7A0C2B4B"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485078158">
    <w:abstractNumId w:val="7"/>
  </w:num>
  <w:num w:numId="2" w16cid:durableId="59716700">
    <w:abstractNumId w:val="4"/>
  </w:num>
  <w:num w:numId="3" w16cid:durableId="731540123">
    <w:abstractNumId w:val="10"/>
  </w:num>
  <w:num w:numId="4" w16cid:durableId="744034000">
    <w:abstractNumId w:val="10"/>
  </w:num>
  <w:num w:numId="5" w16cid:durableId="1474641089">
    <w:abstractNumId w:val="10"/>
  </w:num>
  <w:num w:numId="6" w16cid:durableId="528497540">
    <w:abstractNumId w:val="5"/>
  </w:num>
  <w:num w:numId="7" w16cid:durableId="176696273">
    <w:abstractNumId w:val="8"/>
  </w:num>
  <w:num w:numId="8" w16cid:durableId="1131169468">
    <w:abstractNumId w:val="11"/>
  </w:num>
  <w:num w:numId="9" w16cid:durableId="1007632637">
    <w:abstractNumId w:val="1"/>
  </w:num>
  <w:num w:numId="10" w16cid:durableId="422917246">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1785685054">
    <w:abstractNumId w:val="10"/>
  </w:num>
  <w:num w:numId="12" w16cid:durableId="468400009">
    <w:abstractNumId w:val="10"/>
  </w:num>
  <w:num w:numId="13" w16cid:durableId="1927378143">
    <w:abstractNumId w:val="10"/>
  </w:num>
  <w:num w:numId="14" w16cid:durableId="1289622783">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1037123319">
    <w:abstractNumId w:val="10"/>
  </w:num>
  <w:num w:numId="16" w16cid:durableId="656224632">
    <w:abstractNumId w:val="10"/>
  </w:num>
  <w:num w:numId="17" w16cid:durableId="784034295">
    <w:abstractNumId w:val="10"/>
  </w:num>
  <w:num w:numId="18" w16cid:durableId="12935558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7238170">
    <w:abstractNumId w:val="10"/>
  </w:num>
  <w:num w:numId="20" w16cid:durableId="2113888906">
    <w:abstractNumId w:val="2"/>
  </w:num>
  <w:num w:numId="21" w16cid:durableId="1417746791">
    <w:abstractNumId w:val="10"/>
  </w:num>
  <w:num w:numId="22" w16cid:durableId="1720975952">
    <w:abstractNumId w:val="3"/>
  </w:num>
  <w:num w:numId="23" w16cid:durableId="983584939">
    <w:abstractNumId w:val="0"/>
  </w:num>
  <w:num w:numId="24" w16cid:durableId="76482875">
    <w:abstractNumId w:val="9"/>
  </w:num>
  <w:num w:numId="25" w16cid:durableId="1024988134">
    <w:abstractNumId w:val="10"/>
  </w:num>
  <w:num w:numId="26" w16cid:durableId="2000382986">
    <w:abstractNumId w:val="10"/>
  </w:num>
  <w:num w:numId="27" w16cid:durableId="1390575348">
    <w:abstractNumId w:val="10"/>
  </w:num>
  <w:num w:numId="28" w16cid:durableId="621231405">
    <w:abstractNumId w:val="10"/>
  </w:num>
  <w:num w:numId="29" w16cid:durableId="995762299">
    <w:abstractNumId w:val="10"/>
  </w:num>
  <w:num w:numId="30" w16cid:durableId="320278723">
    <w:abstractNumId w:val="6"/>
  </w:num>
  <w:num w:numId="31" w16cid:durableId="1695614948">
    <w:abstractNumId w:val="6"/>
  </w:num>
  <w:num w:numId="32" w16cid:durableId="1958231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CA"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Times New Roman&lt;/FontName&gt;&lt;FontSize&gt;9&lt;/FontSize&gt;&lt;ReflistTitle&gt;&lt;/ReflistTitle&gt;&lt;StartingRefnum&gt;1&lt;/StartingRefnum&gt;&lt;FirstLineIndent&gt;357&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f029s9x7d99dqe50eeprptuz5e5t0etd0d5&quot;&gt;Section_EndNote_Library&lt;record-ids&gt;&lt;item&gt;19&lt;/item&gt;&lt;item&gt;34&lt;/item&gt;&lt;item&gt;37&lt;/item&gt;&lt;item&gt;40&lt;/item&gt;&lt;item&gt;59&lt;/item&gt;&lt;item&gt;136&lt;/item&gt;&lt;item&gt;138&lt;/item&gt;&lt;item&gt;148&lt;/item&gt;&lt;item&gt;149&lt;/item&gt;&lt;item&gt;150&lt;/item&gt;&lt;item&gt;153&lt;/item&gt;&lt;item&gt;155&lt;/item&gt;&lt;item&gt;156&lt;/item&gt;&lt;item&gt;157&lt;/item&gt;&lt;item&gt;158&lt;/item&gt;&lt;item&gt;159&lt;/item&gt;&lt;item&gt;160&lt;/item&gt;&lt;item&gt;162&lt;/item&gt;&lt;item&gt;164&lt;/item&gt;&lt;item&gt;166&lt;/item&gt;&lt;/record-ids&gt;&lt;/item&gt;&lt;/Libraries&gt;"/>
    <w:docVar w:name="EN.UseJSCitationFormat" w:val="False"/>
    <w:docVar w:name="SEC_Classification" w:val="None"/>
    <w:docVar w:name="SEC_ConfidentialAttachments" w:val="False"/>
  </w:docVars>
  <w:rsids>
    <w:rsidRoot w:val="00037321"/>
    <w:rsid w:val="0000024C"/>
    <w:rsid w:val="000020FE"/>
    <w:rsid w:val="000026A5"/>
    <w:rsid w:val="0000369D"/>
    <w:rsid w:val="00003954"/>
    <w:rsid w:val="00005188"/>
    <w:rsid w:val="000055AE"/>
    <w:rsid w:val="00010E79"/>
    <w:rsid w:val="00011532"/>
    <w:rsid w:val="00011558"/>
    <w:rsid w:val="00013B21"/>
    <w:rsid w:val="000158A5"/>
    <w:rsid w:val="000205B7"/>
    <w:rsid w:val="000220D8"/>
    <w:rsid w:val="000229AB"/>
    <w:rsid w:val="00022EFB"/>
    <w:rsid w:val="00024754"/>
    <w:rsid w:val="0002569A"/>
    <w:rsid w:val="00026F01"/>
    <w:rsid w:val="00033B21"/>
    <w:rsid w:val="00034EDB"/>
    <w:rsid w:val="00037321"/>
    <w:rsid w:val="000424C4"/>
    <w:rsid w:val="00042C69"/>
    <w:rsid w:val="00045B24"/>
    <w:rsid w:val="00051134"/>
    <w:rsid w:val="00051183"/>
    <w:rsid w:val="00051790"/>
    <w:rsid w:val="00056730"/>
    <w:rsid w:val="0006244D"/>
    <w:rsid w:val="000632E2"/>
    <w:rsid w:val="0006360B"/>
    <w:rsid w:val="00064056"/>
    <w:rsid w:val="00065D72"/>
    <w:rsid w:val="000663EE"/>
    <w:rsid w:val="000668EE"/>
    <w:rsid w:val="00066C0F"/>
    <w:rsid w:val="0006742C"/>
    <w:rsid w:val="00071F7A"/>
    <w:rsid w:val="00072154"/>
    <w:rsid w:val="00072483"/>
    <w:rsid w:val="000739A8"/>
    <w:rsid w:val="000742A9"/>
    <w:rsid w:val="00077E79"/>
    <w:rsid w:val="00082FBA"/>
    <w:rsid w:val="0008546B"/>
    <w:rsid w:val="00085DAE"/>
    <w:rsid w:val="000925A2"/>
    <w:rsid w:val="000930EB"/>
    <w:rsid w:val="0009533B"/>
    <w:rsid w:val="00096BA2"/>
    <w:rsid w:val="00097687"/>
    <w:rsid w:val="000A0299"/>
    <w:rsid w:val="000A02A4"/>
    <w:rsid w:val="000B17DB"/>
    <w:rsid w:val="000B2234"/>
    <w:rsid w:val="000B3F05"/>
    <w:rsid w:val="000B4812"/>
    <w:rsid w:val="000B56ED"/>
    <w:rsid w:val="000C2943"/>
    <w:rsid w:val="000C36B1"/>
    <w:rsid w:val="000C3B7A"/>
    <w:rsid w:val="000C51A8"/>
    <w:rsid w:val="000C69D1"/>
    <w:rsid w:val="000C6F25"/>
    <w:rsid w:val="000C76DB"/>
    <w:rsid w:val="000C7F07"/>
    <w:rsid w:val="000D4894"/>
    <w:rsid w:val="000D5CA5"/>
    <w:rsid w:val="000D673C"/>
    <w:rsid w:val="000D6EAB"/>
    <w:rsid w:val="000D7D5C"/>
    <w:rsid w:val="000E126C"/>
    <w:rsid w:val="000E3375"/>
    <w:rsid w:val="000E34FC"/>
    <w:rsid w:val="000E4108"/>
    <w:rsid w:val="000E5BC4"/>
    <w:rsid w:val="000F0077"/>
    <w:rsid w:val="000F0C46"/>
    <w:rsid w:val="000F64D4"/>
    <w:rsid w:val="000F68C9"/>
    <w:rsid w:val="000F6FEC"/>
    <w:rsid w:val="000F7975"/>
    <w:rsid w:val="000F7E94"/>
    <w:rsid w:val="001011DB"/>
    <w:rsid w:val="0010377C"/>
    <w:rsid w:val="001119D6"/>
    <w:rsid w:val="00117E37"/>
    <w:rsid w:val="00120218"/>
    <w:rsid w:val="00123AA5"/>
    <w:rsid w:val="00123F94"/>
    <w:rsid w:val="00124B2F"/>
    <w:rsid w:val="00125A9E"/>
    <w:rsid w:val="00130721"/>
    <w:rsid w:val="001308F2"/>
    <w:rsid w:val="0013096B"/>
    <w:rsid w:val="00131274"/>
    <w:rsid w:val="001313E8"/>
    <w:rsid w:val="001315E4"/>
    <w:rsid w:val="0013196C"/>
    <w:rsid w:val="00131ED4"/>
    <w:rsid w:val="001330B6"/>
    <w:rsid w:val="00133114"/>
    <w:rsid w:val="00133B39"/>
    <w:rsid w:val="001377E2"/>
    <w:rsid w:val="00137974"/>
    <w:rsid w:val="00137D21"/>
    <w:rsid w:val="0014094C"/>
    <w:rsid w:val="00141EBB"/>
    <w:rsid w:val="001449DE"/>
    <w:rsid w:val="0014513B"/>
    <w:rsid w:val="00146AE9"/>
    <w:rsid w:val="00147472"/>
    <w:rsid w:val="001531EB"/>
    <w:rsid w:val="001558CE"/>
    <w:rsid w:val="00156A4C"/>
    <w:rsid w:val="00161C48"/>
    <w:rsid w:val="00161C54"/>
    <w:rsid w:val="001627AE"/>
    <w:rsid w:val="00163275"/>
    <w:rsid w:val="001642F3"/>
    <w:rsid w:val="00167BD2"/>
    <w:rsid w:val="00167E75"/>
    <w:rsid w:val="00171769"/>
    <w:rsid w:val="00177311"/>
    <w:rsid w:val="00177FD2"/>
    <w:rsid w:val="00182816"/>
    <w:rsid w:val="00183D0C"/>
    <w:rsid w:val="00184622"/>
    <w:rsid w:val="0018616E"/>
    <w:rsid w:val="00186A41"/>
    <w:rsid w:val="00187A97"/>
    <w:rsid w:val="0019060F"/>
    <w:rsid w:val="0019137C"/>
    <w:rsid w:val="00191A55"/>
    <w:rsid w:val="00193B4B"/>
    <w:rsid w:val="00193C52"/>
    <w:rsid w:val="0019408B"/>
    <w:rsid w:val="001A00FD"/>
    <w:rsid w:val="001A142A"/>
    <w:rsid w:val="001A24DF"/>
    <w:rsid w:val="001A364A"/>
    <w:rsid w:val="001A40A3"/>
    <w:rsid w:val="001A49FB"/>
    <w:rsid w:val="001A77A3"/>
    <w:rsid w:val="001B1D95"/>
    <w:rsid w:val="001B2089"/>
    <w:rsid w:val="001B2139"/>
    <w:rsid w:val="001B5D45"/>
    <w:rsid w:val="001C1134"/>
    <w:rsid w:val="001C2672"/>
    <w:rsid w:val="001C4FCB"/>
    <w:rsid w:val="001C58F5"/>
    <w:rsid w:val="001C6264"/>
    <w:rsid w:val="001D0417"/>
    <w:rsid w:val="001D0E7A"/>
    <w:rsid w:val="001D2B03"/>
    <w:rsid w:val="001D4BD6"/>
    <w:rsid w:val="001D5843"/>
    <w:rsid w:val="001D5CEE"/>
    <w:rsid w:val="001D660B"/>
    <w:rsid w:val="001D6AD0"/>
    <w:rsid w:val="001D72C5"/>
    <w:rsid w:val="001D7507"/>
    <w:rsid w:val="001E12D7"/>
    <w:rsid w:val="001E39F7"/>
    <w:rsid w:val="001E3B3C"/>
    <w:rsid w:val="001F3174"/>
    <w:rsid w:val="001F7640"/>
    <w:rsid w:val="001F7DCF"/>
    <w:rsid w:val="0020105B"/>
    <w:rsid w:val="0020231E"/>
    <w:rsid w:val="00202AA6"/>
    <w:rsid w:val="00203D46"/>
    <w:rsid w:val="002044F3"/>
    <w:rsid w:val="002054F8"/>
    <w:rsid w:val="00205D78"/>
    <w:rsid w:val="002064DC"/>
    <w:rsid w:val="002071D9"/>
    <w:rsid w:val="0020766B"/>
    <w:rsid w:val="00210199"/>
    <w:rsid w:val="002107CB"/>
    <w:rsid w:val="0021232A"/>
    <w:rsid w:val="0021738D"/>
    <w:rsid w:val="00221857"/>
    <w:rsid w:val="00222B46"/>
    <w:rsid w:val="002233C1"/>
    <w:rsid w:val="00227825"/>
    <w:rsid w:val="00231DC6"/>
    <w:rsid w:val="00232679"/>
    <w:rsid w:val="00232A86"/>
    <w:rsid w:val="0023308F"/>
    <w:rsid w:val="00233DCB"/>
    <w:rsid w:val="0023435E"/>
    <w:rsid w:val="0023474D"/>
    <w:rsid w:val="00236D8F"/>
    <w:rsid w:val="002437D6"/>
    <w:rsid w:val="00243F96"/>
    <w:rsid w:val="0024545B"/>
    <w:rsid w:val="00252AD7"/>
    <w:rsid w:val="002550AA"/>
    <w:rsid w:val="002555AD"/>
    <w:rsid w:val="00256280"/>
    <w:rsid w:val="00256822"/>
    <w:rsid w:val="002569AE"/>
    <w:rsid w:val="00257A7E"/>
    <w:rsid w:val="00257F9B"/>
    <w:rsid w:val="00261B9F"/>
    <w:rsid w:val="002621CF"/>
    <w:rsid w:val="00262AD3"/>
    <w:rsid w:val="00262D8C"/>
    <w:rsid w:val="00263E4B"/>
    <w:rsid w:val="00264022"/>
    <w:rsid w:val="00265080"/>
    <w:rsid w:val="0026525A"/>
    <w:rsid w:val="00265909"/>
    <w:rsid w:val="00266161"/>
    <w:rsid w:val="00266D9B"/>
    <w:rsid w:val="00274790"/>
    <w:rsid w:val="00274889"/>
    <w:rsid w:val="00275466"/>
    <w:rsid w:val="00275802"/>
    <w:rsid w:val="00275D30"/>
    <w:rsid w:val="002779CC"/>
    <w:rsid w:val="002812B4"/>
    <w:rsid w:val="00282081"/>
    <w:rsid w:val="00283E55"/>
    <w:rsid w:val="00285755"/>
    <w:rsid w:val="00286527"/>
    <w:rsid w:val="002870B1"/>
    <w:rsid w:val="00290014"/>
    <w:rsid w:val="00290AA6"/>
    <w:rsid w:val="00290C65"/>
    <w:rsid w:val="002928E7"/>
    <w:rsid w:val="00294981"/>
    <w:rsid w:val="002A1F9C"/>
    <w:rsid w:val="002A6FFF"/>
    <w:rsid w:val="002A76D5"/>
    <w:rsid w:val="002B29C2"/>
    <w:rsid w:val="002B456F"/>
    <w:rsid w:val="002B652D"/>
    <w:rsid w:val="002C102D"/>
    <w:rsid w:val="002C13F2"/>
    <w:rsid w:val="002C2160"/>
    <w:rsid w:val="002C373B"/>
    <w:rsid w:val="002C4180"/>
    <w:rsid w:val="002C4208"/>
    <w:rsid w:val="002D13E6"/>
    <w:rsid w:val="002D5426"/>
    <w:rsid w:val="002E1C5F"/>
    <w:rsid w:val="002E3223"/>
    <w:rsid w:val="002E341A"/>
    <w:rsid w:val="002E3C82"/>
    <w:rsid w:val="002E3F7D"/>
    <w:rsid w:val="002E544E"/>
    <w:rsid w:val="002E6EBA"/>
    <w:rsid w:val="002F00B4"/>
    <w:rsid w:val="002F4143"/>
    <w:rsid w:val="002F427E"/>
    <w:rsid w:val="002F5BCF"/>
    <w:rsid w:val="002F5CE6"/>
    <w:rsid w:val="002F65DC"/>
    <w:rsid w:val="002F6C26"/>
    <w:rsid w:val="002F726A"/>
    <w:rsid w:val="002F7AAA"/>
    <w:rsid w:val="00300E62"/>
    <w:rsid w:val="003026A0"/>
    <w:rsid w:val="00302BE3"/>
    <w:rsid w:val="00305507"/>
    <w:rsid w:val="00305F16"/>
    <w:rsid w:val="00307C99"/>
    <w:rsid w:val="00311747"/>
    <w:rsid w:val="003126DC"/>
    <w:rsid w:val="0031442F"/>
    <w:rsid w:val="00315BE7"/>
    <w:rsid w:val="00315FB3"/>
    <w:rsid w:val="00316AB6"/>
    <w:rsid w:val="00316DAE"/>
    <w:rsid w:val="00320DD9"/>
    <w:rsid w:val="003227E8"/>
    <w:rsid w:val="00322AC0"/>
    <w:rsid w:val="00322AFB"/>
    <w:rsid w:val="00322E4C"/>
    <w:rsid w:val="00323AC1"/>
    <w:rsid w:val="00325DB8"/>
    <w:rsid w:val="0032611B"/>
    <w:rsid w:val="00326E5B"/>
    <w:rsid w:val="00326FB7"/>
    <w:rsid w:val="0032724D"/>
    <w:rsid w:val="003302E9"/>
    <w:rsid w:val="00330436"/>
    <w:rsid w:val="00330B9E"/>
    <w:rsid w:val="0033115E"/>
    <w:rsid w:val="0033197A"/>
    <w:rsid w:val="00332258"/>
    <w:rsid w:val="00333FFF"/>
    <w:rsid w:val="00337DC6"/>
    <w:rsid w:val="00340606"/>
    <w:rsid w:val="00340630"/>
    <w:rsid w:val="00343BC0"/>
    <w:rsid w:val="003446E7"/>
    <w:rsid w:val="00344A54"/>
    <w:rsid w:val="00344D40"/>
    <w:rsid w:val="00345DAD"/>
    <w:rsid w:val="0035025B"/>
    <w:rsid w:val="00350A3F"/>
    <w:rsid w:val="00352DE1"/>
    <w:rsid w:val="00353EA1"/>
    <w:rsid w:val="003541E0"/>
    <w:rsid w:val="00355EF7"/>
    <w:rsid w:val="00362124"/>
    <w:rsid w:val="00364121"/>
    <w:rsid w:val="00364A85"/>
    <w:rsid w:val="003665C3"/>
    <w:rsid w:val="00367823"/>
    <w:rsid w:val="003708D2"/>
    <w:rsid w:val="003725A1"/>
    <w:rsid w:val="003728E6"/>
    <w:rsid w:val="0037355D"/>
    <w:rsid w:val="003746A4"/>
    <w:rsid w:val="00376A3A"/>
    <w:rsid w:val="00377629"/>
    <w:rsid w:val="0038077E"/>
    <w:rsid w:val="003809B3"/>
    <w:rsid w:val="00381BD8"/>
    <w:rsid w:val="00383634"/>
    <w:rsid w:val="00385A42"/>
    <w:rsid w:val="0039272D"/>
    <w:rsid w:val="00393B57"/>
    <w:rsid w:val="00394AA9"/>
    <w:rsid w:val="00395730"/>
    <w:rsid w:val="003970D2"/>
    <w:rsid w:val="00397530"/>
    <w:rsid w:val="00397B5E"/>
    <w:rsid w:val="003A1EE7"/>
    <w:rsid w:val="003A2665"/>
    <w:rsid w:val="003B0677"/>
    <w:rsid w:val="003B081C"/>
    <w:rsid w:val="003B12E1"/>
    <w:rsid w:val="003B331C"/>
    <w:rsid w:val="003B476D"/>
    <w:rsid w:val="003B512B"/>
    <w:rsid w:val="003B5E0E"/>
    <w:rsid w:val="003B61AF"/>
    <w:rsid w:val="003B7722"/>
    <w:rsid w:val="003C1F05"/>
    <w:rsid w:val="003C21B7"/>
    <w:rsid w:val="003C3DF0"/>
    <w:rsid w:val="003C4200"/>
    <w:rsid w:val="003C7A57"/>
    <w:rsid w:val="003D255A"/>
    <w:rsid w:val="003D2B99"/>
    <w:rsid w:val="003D376E"/>
    <w:rsid w:val="003D4E75"/>
    <w:rsid w:val="003E0B16"/>
    <w:rsid w:val="003E1B43"/>
    <w:rsid w:val="003E27AA"/>
    <w:rsid w:val="003E2815"/>
    <w:rsid w:val="003E52CC"/>
    <w:rsid w:val="003E7885"/>
    <w:rsid w:val="003E7EA9"/>
    <w:rsid w:val="003F2104"/>
    <w:rsid w:val="003F3680"/>
    <w:rsid w:val="003F3C1C"/>
    <w:rsid w:val="003F3F1D"/>
    <w:rsid w:val="003F6A1F"/>
    <w:rsid w:val="003F6C1F"/>
    <w:rsid w:val="00400EBF"/>
    <w:rsid w:val="00401A83"/>
    <w:rsid w:val="0040310D"/>
    <w:rsid w:val="00404785"/>
    <w:rsid w:val="00404829"/>
    <w:rsid w:val="0040753D"/>
    <w:rsid w:val="004135ED"/>
    <w:rsid w:val="00414900"/>
    <w:rsid w:val="00416949"/>
    <w:rsid w:val="00420073"/>
    <w:rsid w:val="00420247"/>
    <w:rsid w:val="004228DA"/>
    <w:rsid w:val="0042310F"/>
    <w:rsid w:val="00425BFE"/>
    <w:rsid w:val="00425D6E"/>
    <w:rsid w:val="0043059F"/>
    <w:rsid w:val="00430C7B"/>
    <w:rsid w:val="0043181D"/>
    <w:rsid w:val="004325A1"/>
    <w:rsid w:val="00434887"/>
    <w:rsid w:val="00436EB1"/>
    <w:rsid w:val="004370D8"/>
    <w:rsid w:val="0044079A"/>
    <w:rsid w:val="00441013"/>
    <w:rsid w:val="00444AB3"/>
    <w:rsid w:val="00446D28"/>
    <w:rsid w:val="004470A8"/>
    <w:rsid w:val="00447A18"/>
    <w:rsid w:val="0045041A"/>
    <w:rsid w:val="00450A86"/>
    <w:rsid w:val="004534B1"/>
    <w:rsid w:val="004545D8"/>
    <w:rsid w:val="004546B1"/>
    <w:rsid w:val="004560F7"/>
    <w:rsid w:val="00456272"/>
    <w:rsid w:val="00456459"/>
    <w:rsid w:val="0045695E"/>
    <w:rsid w:val="004624FE"/>
    <w:rsid w:val="00464970"/>
    <w:rsid w:val="00465058"/>
    <w:rsid w:val="00466ABB"/>
    <w:rsid w:val="00466AD0"/>
    <w:rsid w:val="004676A9"/>
    <w:rsid w:val="00472C43"/>
    <w:rsid w:val="00472F2E"/>
    <w:rsid w:val="00473494"/>
    <w:rsid w:val="0047434E"/>
    <w:rsid w:val="00477175"/>
    <w:rsid w:val="004779A6"/>
    <w:rsid w:val="00482604"/>
    <w:rsid w:val="00485EF3"/>
    <w:rsid w:val="00486139"/>
    <w:rsid w:val="00491C6E"/>
    <w:rsid w:val="00493FE8"/>
    <w:rsid w:val="004950FF"/>
    <w:rsid w:val="00496BA0"/>
    <w:rsid w:val="00497710"/>
    <w:rsid w:val="00497800"/>
    <w:rsid w:val="004A0C0B"/>
    <w:rsid w:val="004A12C9"/>
    <w:rsid w:val="004A1FE3"/>
    <w:rsid w:val="004A31DF"/>
    <w:rsid w:val="004A4931"/>
    <w:rsid w:val="004A4B2D"/>
    <w:rsid w:val="004A6A27"/>
    <w:rsid w:val="004A6CD2"/>
    <w:rsid w:val="004A6E76"/>
    <w:rsid w:val="004B0B03"/>
    <w:rsid w:val="004B122F"/>
    <w:rsid w:val="004B276A"/>
    <w:rsid w:val="004B3853"/>
    <w:rsid w:val="004B56C6"/>
    <w:rsid w:val="004B5AE9"/>
    <w:rsid w:val="004B63F6"/>
    <w:rsid w:val="004C02B9"/>
    <w:rsid w:val="004C0A99"/>
    <w:rsid w:val="004C15A1"/>
    <w:rsid w:val="004C2CC4"/>
    <w:rsid w:val="004C5528"/>
    <w:rsid w:val="004C64C0"/>
    <w:rsid w:val="004C7628"/>
    <w:rsid w:val="004D33EE"/>
    <w:rsid w:val="004D7B9F"/>
    <w:rsid w:val="004E35CF"/>
    <w:rsid w:val="004E378D"/>
    <w:rsid w:val="004E5C73"/>
    <w:rsid w:val="004E5E22"/>
    <w:rsid w:val="004E63B5"/>
    <w:rsid w:val="004F0626"/>
    <w:rsid w:val="004F21EB"/>
    <w:rsid w:val="004F39E7"/>
    <w:rsid w:val="004F4BD8"/>
    <w:rsid w:val="005003C2"/>
    <w:rsid w:val="00500C23"/>
    <w:rsid w:val="005039C1"/>
    <w:rsid w:val="00503D17"/>
    <w:rsid w:val="00504924"/>
    <w:rsid w:val="00504C34"/>
    <w:rsid w:val="00504E08"/>
    <w:rsid w:val="00505353"/>
    <w:rsid w:val="0050692D"/>
    <w:rsid w:val="0050768A"/>
    <w:rsid w:val="0050768B"/>
    <w:rsid w:val="005104AA"/>
    <w:rsid w:val="00511888"/>
    <w:rsid w:val="00512292"/>
    <w:rsid w:val="005133C7"/>
    <w:rsid w:val="00513F36"/>
    <w:rsid w:val="005209B7"/>
    <w:rsid w:val="005230AF"/>
    <w:rsid w:val="00527BF5"/>
    <w:rsid w:val="00531FBF"/>
    <w:rsid w:val="00532CA8"/>
    <w:rsid w:val="0053356F"/>
    <w:rsid w:val="0053495B"/>
    <w:rsid w:val="00535E48"/>
    <w:rsid w:val="00537496"/>
    <w:rsid w:val="0053772E"/>
    <w:rsid w:val="005405D3"/>
    <w:rsid w:val="00540969"/>
    <w:rsid w:val="00541072"/>
    <w:rsid w:val="00541C55"/>
    <w:rsid w:val="00543B44"/>
    <w:rsid w:val="00544ED3"/>
    <w:rsid w:val="0054624A"/>
    <w:rsid w:val="0054634A"/>
    <w:rsid w:val="00547F24"/>
    <w:rsid w:val="005511A1"/>
    <w:rsid w:val="00551F31"/>
    <w:rsid w:val="0055245F"/>
    <w:rsid w:val="005554A4"/>
    <w:rsid w:val="005573E3"/>
    <w:rsid w:val="0055768E"/>
    <w:rsid w:val="005633FD"/>
    <w:rsid w:val="00566A64"/>
    <w:rsid w:val="00571CF8"/>
    <w:rsid w:val="00575730"/>
    <w:rsid w:val="0057716E"/>
    <w:rsid w:val="0057771B"/>
    <w:rsid w:val="00582CE7"/>
    <w:rsid w:val="0058477B"/>
    <w:rsid w:val="0058654F"/>
    <w:rsid w:val="005916A1"/>
    <w:rsid w:val="00592FB1"/>
    <w:rsid w:val="005936EA"/>
    <w:rsid w:val="00595631"/>
    <w:rsid w:val="00595C90"/>
    <w:rsid w:val="00596ACA"/>
    <w:rsid w:val="005A0DC9"/>
    <w:rsid w:val="005A3003"/>
    <w:rsid w:val="005A61DC"/>
    <w:rsid w:val="005A62D5"/>
    <w:rsid w:val="005B123D"/>
    <w:rsid w:val="005B3387"/>
    <w:rsid w:val="005B3A24"/>
    <w:rsid w:val="005B503C"/>
    <w:rsid w:val="005B6E69"/>
    <w:rsid w:val="005B7541"/>
    <w:rsid w:val="005C0242"/>
    <w:rsid w:val="005C05C2"/>
    <w:rsid w:val="005C6735"/>
    <w:rsid w:val="005C7963"/>
    <w:rsid w:val="005C7FD8"/>
    <w:rsid w:val="005D0507"/>
    <w:rsid w:val="005D1BBD"/>
    <w:rsid w:val="005D42FE"/>
    <w:rsid w:val="005D5746"/>
    <w:rsid w:val="005D6FE7"/>
    <w:rsid w:val="005D7279"/>
    <w:rsid w:val="005D7D70"/>
    <w:rsid w:val="005E2568"/>
    <w:rsid w:val="005E2F00"/>
    <w:rsid w:val="005E39BC"/>
    <w:rsid w:val="005E4C93"/>
    <w:rsid w:val="005E4D5D"/>
    <w:rsid w:val="005F00A0"/>
    <w:rsid w:val="005F054F"/>
    <w:rsid w:val="005F1E6B"/>
    <w:rsid w:val="005F1F60"/>
    <w:rsid w:val="005F279F"/>
    <w:rsid w:val="005F2D6A"/>
    <w:rsid w:val="005F438E"/>
    <w:rsid w:val="005F7898"/>
    <w:rsid w:val="00602010"/>
    <w:rsid w:val="00602FEF"/>
    <w:rsid w:val="006056C9"/>
    <w:rsid w:val="00606247"/>
    <w:rsid w:val="00610DD2"/>
    <w:rsid w:val="00613138"/>
    <w:rsid w:val="006164FC"/>
    <w:rsid w:val="00617B78"/>
    <w:rsid w:val="00621653"/>
    <w:rsid w:val="00621F56"/>
    <w:rsid w:val="0062216A"/>
    <w:rsid w:val="00623619"/>
    <w:rsid w:val="0062660F"/>
    <w:rsid w:val="00631AC7"/>
    <w:rsid w:val="00633908"/>
    <w:rsid w:val="00633A45"/>
    <w:rsid w:val="00634362"/>
    <w:rsid w:val="006347C1"/>
    <w:rsid w:val="00636B50"/>
    <w:rsid w:val="006411B0"/>
    <w:rsid w:val="00641314"/>
    <w:rsid w:val="00641C9A"/>
    <w:rsid w:val="00642B1B"/>
    <w:rsid w:val="006444A3"/>
    <w:rsid w:val="00645A39"/>
    <w:rsid w:val="006469AF"/>
    <w:rsid w:val="00647F33"/>
    <w:rsid w:val="00656942"/>
    <w:rsid w:val="00657101"/>
    <w:rsid w:val="00661D54"/>
    <w:rsid w:val="006620C6"/>
    <w:rsid w:val="00662532"/>
    <w:rsid w:val="0066638F"/>
    <w:rsid w:val="00666495"/>
    <w:rsid w:val="006670D5"/>
    <w:rsid w:val="00667B12"/>
    <w:rsid w:val="00667B3A"/>
    <w:rsid w:val="00670838"/>
    <w:rsid w:val="006716E1"/>
    <w:rsid w:val="00673FE1"/>
    <w:rsid w:val="00674B45"/>
    <w:rsid w:val="00677752"/>
    <w:rsid w:val="00677FA8"/>
    <w:rsid w:val="00681C14"/>
    <w:rsid w:val="00682064"/>
    <w:rsid w:val="00682AED"/>
    <w:rsid w:val="00683802"/>
    <w:rsid w:val="006857FF"/>
    <w:rsid w:val="0068786A"/>
    <w:rsid w:val="0069141B"/>
    <w:rsid w:val="00691D3E"/>
    <w:rsid w:val="00692FAB"/>
    <w:rsid w:val="006946E8"/>
    <w:rsid w:val="00694F12"/>
    <w:rsid w:val="00695444"/>
    <w:rsid w:val="0069639A"/>
    <w:rsid w:val="00697061"/>
    <w:rsid w:val="0069723C"/>
    <w:rsid w:val="006A07B1"/>
    <w:rsid w:val="006A0AC5"/>
    <w:rsid w:val="006A3B0D"/>
    <w:rsid w:val="006A7C3B"/>
    <w:rsid w:val="006B19BC"/>
    <w:rsid w:val="006B2258"/>
    <w:rsid w:val="006B2274"/>
    <w:rsid w:val="006B3EAA"/>
    <w:rsid w:val="006B7B61"/>
    <w:rsid w:val="006C1808"/>
    <w:rsid w:val="006C2087"/>
    <w:rsid w:val="006C2843"/>
    <w:rsid w:val="006C28AC"/>
    <w:rsid w:val="006C4137"/>
    <w:rsid w:val="006C41AA"/>
    <w:rsid w:val="006C462B"/>
    <w:rsid w:val="006C4C2F"/>
    <w:rsid w:val="006C633C"/>
    <w:rsid w:val="006D1CB7"/>
    <w:rsid w:val="006D41F9"/>
    <w:rsid w:val="006D5D7D"/>
    <w:rsid w:val="006D6C57"/>
    <w:rsid w:val="006E1ED6"/>
    <w:rsid w:val="006E21CD"/>
    <w:rsid w:val="006E6A45"/>
    <w:rsid w:val="006F079D"/>
    <w:rsid w:val="006F11D4"/>
    <w:rsid w:val="006F144B"/>
    <w:rsid w:val="006F36D8"/>
    <w:rsid w:val="006F6F6D"/>
    <w:rsid w:val="0070237F"/>
    <w:rsid w:val="00702750"/>
    <w:rsid w:val="00710355"/>
    <w:rsid w:val="00711C09"/>
    <w:rsid w:val="00715407"/>
    <w:rsid w:val="00717C6F"/>
    <w:rsid w:val="00721683"/>
    <w:rsid w:val="00721E62"/>
    <w:rsid w:val="00723DB3"/>
    <w:rsid w:val="00724C98"/>
    <w:rsid w:val="00725694"/>
    <w:rsid w:val="0072582A"/>
    <w:rsid w:val="00725EAF"/>
    <w:rsid w:val="0073006B"/>
    <w:rsid w:val="007301C4"/>
    <w:rsid w:val="00730D93"/>
    <w:rsid w:val="007317D5"/>
    <w:rsid w:val="0073364D"/>
    <w:rsid w:val="0073386D"/>
    <w:rsid w:val="007351C4"/>
    <w:rsid w:val="00736DA2"/>
    <w:rsid w:val="00737975"/>
    <w:rsid w:val="00741723"/>
    <w:rsid w:val="0074286E"/>
    <w:rsid w:val="007445DA"/>
    <w:rsid w:val="007451BA"/>
    <w:rsid w:val="0074620C"/>
    <w:rsid w:val="00747F4B"/>
    <w:rsid w:val="00754204"/>
    <w:rsid w:val="00754590"/>
    <w:rsid w:val="00761DEE"/>
    <w:rsid w:val="007654CB"/>
    <w:rsid w:val="00766052"/>
    <w:rsid w:val="00766C91"/>
    <w:rsid w:val="007756D5"/>
    <w:rsid w:val="0077696F"/>
    <w:rsid w:val="00776A6B"/>
    <w:rsid w:val="00785BA2"/>
    <w:rsid w:val="00786448"/>
    <w:rsid w:val="00786846"/>
    <w:rsid w:val="00786C4A"/>
    <w:rsid w:val="007870E8"/>
    <w:rsid w:val="00787B28"/>
    <w:rsid w:val="00790956"/>
    <w:rsid w:val="00790AC2"/>
    <w:rsid w:val="007920FF"/>
    <w:rsid w:val="007929EF"/>
    <w:rsid w:val="00793F49"/>
    <w:rsid w:val="00797C47"/>
    <w:rsid w:val="007A101A"/>
    <w:rsid w:val="007A1DC5"/>
    <w:rsid w:val="007A2F00"/>
    <w:rsid w:val="007A345F"/>
    <w:rsid w:val="007A359D"/>
    <w:rsid w:val="007A4094"/>
    <w:rsid w:val="007A6418"/>
    <w:rsid w:val="007A6C14"/>
    <w:rsid w:val="007A6C64"/>
    <w:rsid w:val="007A7D6D"/>
    <w:rsid w:val="007B058E"/>
    <w:rsid w:val="007B1A93"/>
    <w:rsid w:val="007B2172"/>
    <w:rsid w:val="007B495B"/>
    <w:rsid w:val="007B4FD1"/>
    <w:rsid w:val="007B5E15"/>
    <w:rsid w:val="007C461A"/>
    <w:rsid w:val="007C4B60"/>
    <w:rsid w:val="007C5955"/>
    <w:rsid w:val="007C7D80"/>
    <w:rsid w:val="007D0567"/>
    <w:rsid w:val="007D551E"/>
    <w:rsid w:val="007D6784"/>
    <w:rsid w:val="007D7C99"/>
    <w:rsid w:val="007E34A5"/>
    <w:rsid w:val="007E4CC4"/>
    <w:rsid w:val="007E5A98"/>
    <w:rsid w:val="007E5DC1"/>
    <w:rsid w:val="007E6FFE"/>
    <w:rsid w:val="007E7A8D"/>
    <w:rsid w:val="007F1848"/>
    <w:rsid w:val="007F302E"/>
    <w:rsid w:val="007F5DFC"/>
    <w:rsid w:val="00800343"/>
    <w:rsid w:val="00802381"/>
    <w:rsid w:val="008035B8"/>
    <w:rsid w:val="0080568F"/>
    <w:rsid w:val="00805FD2"/>
    <w:rsid w:val="00807156"/>
    <w:rsid w:val="008074FE"/>
    <w:rsid w:val="00814F12"/>
    <w:rsid w:val="00816593"/>
    <w:rsid w:val="00816FA0"/>
    <w:rsid w:val="00817FE7"/>
    <w:rsid w:val="008253CA"/>
    <w:rsid w:val="00826C46"/>
    <w:rsid w:val="00827179"/>
    <w:rsid w:val="0083537E"/>
    <w:rsid w:val="00837EA1"/>
    <w:rsid w:val="00841DA4"/>
    <w:rsid w:val="00844653"/>
    <w:rsid w:val="00847101"/>
    <w:rsid w:val="0084736B"/>
    <w:rsid w:val="0085105A"/>
    <w:rsid w:val="00852207"/>
    <w:rsid w:val="0085231C"/>
    <w:rsid w:val="00852807"/>
    <w:rsid w:val="008531CD"/>
    <w:rsid w:val="00853A5D"/>
    <w:rsid w:val="00856E06"/>
    <w:rsid w:val="00860E77"/>
    <w:rsid w:val="008617E6"/>
    <w:rsid w:val="00861D65"/>
    <w:rsid w:val="0086223C"/>
    <w:rsid w:val="0086327E"/>
    <w:rsid w:val="00863798"/>
    <w:rsid w:val="00863D62"/>
    <w:rsid w:val="0086444A"/>
    <w:rsid w:val="00864813"/>
    <w:rsid w:val="00865F39"/>
    <w:rsid w:val="008719B4"/>
    <w:rsid w:val="0087284E"/>
    <w:rsid w:val="00874E35"/>
    <w:rsid w:val="008758E8"/>
    <w:rsid w:val="008775FC"/>
    <w:rsid w:val="008807E4"/>
    <w:rsid w:val="008824E6"/>
    <w:rsid w:val="00882D73"/>
    <w:rsid w:val="00883500"/>
    <w:rsid w:val="008835F6"/>
    <w:rsid w:val="00883848"/>
    <w:rsid w:val="00884A3C"/>
    <w:rsid w:val="00886C72"/>
    <w:rsid w:val="00890106"/>
    <w:rsid w:val="00891AA0"/>
    <w:rsid w:val="00892AC4"/>
    <w:rsid w:val="00895B31"/>
    <w:rsid w:val="008978FE"/>
    <w:rsid w:val="00897ED5"/>
    <w:rsid w:val="008A04A4"/>
    <w:rsid w:val="008A18B6"/>
    <w:rsid w:val="008A3E65"/>
    <w:rsid w:val="008A42E5"/>
    <w:rsid w:val="008A43D0"/>
    <w:rsid w:val="008A4FB6"/>
    <w:rsid w:val="008B2CDA"/>
    <w:rsid w:val="008B49FB"/>
    <w:rsid w:val="008B6BB9"/>
    <w:rsid w:val="008C0BF0"/>
    <w:rsid w:val="008C2AB4"/>
    <w:rsid w:val="008C4F4A"/>
    <w:rsid w:val="008D216D"/>
    <w:rsid w:val="008D2C8C"/>
    <w:rsid w:val="008D52A1"/>
    <w:rsid w:val="008D69A3"/>
    <w:rsid w:val="008D7D39"/>
    <w:rsid w:val="008E0506"/>
    <w:rsid w:val="008E0B0F"/>
    <w:rsid w:val="008E283C"/>
    <w:rsid w:val="008E2A15"/>
    <w:rsid w:val="008E5018"/>
    <w:rsid w:val="008E6917"/>
    <w:rsid w:val="008E7305"/>
    <w:rsid w:val="008F0710"/>
    <w:rsid w:val="008F2845"/>
    <w:rsid w:val="008F4B42"/>
    <w:rsid w:val="008F6CE4"/>
    <w:rsid w:val="008F6D90"/>
    <w:rsid w:val="008F702E"/>
    <w:rsid w:val="0090047C"/>
    <w:rsid w:val="00900EC0"/>
    <w:rsid w:val="00902842"/>
    <w:rsid w:val="00903999"/>
    <w:rsid w:val="00903E48"/>
    <w:rsid w:val="00905C56"/>
    <w:rsid w:val="00905C82"/>
    <w:rsid w:val="0091017A"/>
    <w:rsid w:val="00911543"/>
    <w:rsid w:val="0091197F"/>
    <w:rsid w:val="00912CF7"/>
    <w:rsid w:val="00914F9F"/>
    <w:rsid w:val="009150DC"/>
    <w:rsid w:val="00921129"/>
    <w:rsid w:val="0092388A"/>
    <w:rsid w:val="00923B81"/>
    <w:rsid w:val="00925039"/>
    <w:rsid w:val="00930758"/>
    <w:rsid w:val="00934C90"/>
    <w:rsid w:val="00935D28"/>
    <w:rsid w:val="009365B5"/>
    <w:rsid w:val="0093775D"/>
    <w:rsid w:val="00937F6B"/>
    <w:rsid w:val="00942888"/>
    <w:rsid w:val="0094399F"/>
    <w:rsid w:val="00944748"/>
    <w:rsid w:val="00944AA8"/>
    <w:rsid w:val="009463A4"/>
    <w:rsid w:val="009469C1"/>
    <w:rsid w:val="00947FE9"/>
    <w:rsid w:val="00950FC5"/>
    <w:rsid w:val="009519C9"/>
    <w:rsid w:val="00951A3E"/>
    <w:rsid w:val="00951BFA"/>
    <w:rsid w:val="00951F1B"/>
    <w:rsid w:val="00956390"/>
    <w:rsid w:val="00964FF6"/>
    <w:rsid w:val="0097039A"/>
    <w:rsid w:val="009710B5"/>
    <w:rsid w:val="009714D4"/>
    <w:rsid w:val="00972D94"/>
    <w:rsid w:val="00975A5B"/>
    <w:rsid w:val="00976AC9"/>
    <w:rsid w:val="00980974"/>
    <w:rsid w:val="0098220F"/>
    <w:rsid w:val="00985524"/>
    <w:rsid w:val="00985DD4"/>
    <w:rsid w:val="009876BE"/>
    <w:rsid w:val="00987D4E"/>
    <w:rsid w:val="00991414"/>
    <w:rsid w:val="0099260C"/>
    <w:rsid w:val="009974AA"/>
    <w:rsid w:val="009A2DFE"/>
    <w:rsid w:val="009A5324"/>
    <w:rsid w:val="009A681D"/>
    <w:rsid w:val="009A6D08"/>
    <w:rsid w:val="009B0D48"/>
    <w:rsid w:val="009B436E"/>
    <w:rsid w:val="009C37CF"/>
    <w:rsid w:val="009C57D5"/>
    <w:rsid w:val="009C5A18"/>
    <w:rsid w:val="009C699B"/>
    <w:rsid w:val="009C77BB"/>
    <w:rsid w:val="009D0B86"/>
    <w:rsid w:val="009D49BC"/>
    <w:rsid w:val="009D4AE5"/>
    <w:rsid w:val="009D61E9"/>
    <w:rsid w:val="009D7443"/>
    <w:rsid w:val="009D76BF"/>
    <w:rsid w:val="009E0D5B"/>
    <w:rsid w:val="009E1558"/>
    <w:rsid w:val="009E1718"/>
    <w:rsid w:val="009E2F56"/>
    <w:rsid w:val="009E6EF2"/>
    <w:rsid w:val="00A02B5E"/>
    <w:rsid w:val="00A02E9D"/>
    <w:rsid w:val="00A03626"/>
    <w:rsid w:val="00A05330"/>
    <w:rsid w:val="00A05B32"/>
    <w:rsid w:val="00A05DE6"/>
    <w:rsid w:val="00A10C2B"/>
    <w:rsid w:val="00A11AC8"/>
    <w:rsid w:val="00A14405"/>
    <w:rsid w:val="00A14FBD"/>
    <w:rsid w:val="00A1561C"/>
    <w:rsid w:val="00A20981"/>
    <w:rsid w:val="00A20BB1"/>
    <w:rsid w:val="00A217D9"/>
    <w:rsid w:val="00A264D6"/>
    <w:rsid w:val="00A34F5A"/>
    <w:rsid w:val="00A36A4E"/>
    <w:rsid w:val="00A36A6B"/>
    <w:rsid w:val="00A37215"/>
    <w:rsid w:val="00A42898"/>
    <w:rsid w:val="00A42F06"/>
    <w:rsid w:val="00A445D2"/>
    <w:rsid w:val="00A4463A"/>
    <w:rsid w:val="00A44674"/>
    <w:rsid w:val="00A47215"/>
    <w:rsid w:val="00A475ED"/>
    <w:rsid w:val="00A47700"/>
    <w:rsid w:val="00A53FC4"/>
    <w:rsid w:val="00A561C6"/>
    <w:rsid w:val="00A56268"/>
    <w:rsid w:val="00A578BC"/>
    <w:rsid w:val="00A600A7"/>
    <w:rsid w:val="00A60C11"/>
    <w:rsid w:val="00A62AA8"/>
    <w:rsid w:val="00A62AA9"/>
    <w:rsid w:val="00A63D2A"/>
    <w:rsid w:val="00A646CF"/>
    <w:rsid w:val="00A71811"/>
    <w:rsid w:val="00A72529"/>
    <w:rsid w:val="00A7355B"/>
    <w:rsid w:val="00A7551E"/>
    <w:rsid w:val="00A75619"/>
    <w:rsid w:val="00A80E05"/>
    <w:rsid w:val="00A81D9D"/>
    <w:rsid w:val="00A86AB5"/>
    <w:rsid w:val="00A87CC3"/>
    <w:rsid w:val="00A87EC1"/>
    <w:rsid w:val="00A91087"/>
    <w:rsid w:val="00A910F5"/>
    <w:rsid w:val="00A91BDE"/>
    <w:rsid w:val="00A91BEB"/>
    <w:rsid w:val="00A92A30"/>
    <w:rsid w:val="00A93026"/>
    <w:rsid w:val="00A93419"/>
    <w:rsid w:val="00A9657F"/>
    <w:rsid w:val="00A978BF"/>
    <w:rsid w:val="00A97B6C"/>
    <w:rsid w:val="00AA08BD"/>
    <w:rsid w:val="00AA1154"/>
    <w:rsid w:val="00AA4523"/>
    <w:rsid w:val="00AA4913"/>
    <w:rsid w:val="00AA4F9D"/>
    <w:rsid w:val="00AA5935"/>
    <w:rsid w:val="00AA6138"/>
    <w:rsid w:val="00AA6478"/>
    <w:rsid w:val="00AA75CF"/>
    <w:rsid w:val="00AB08D0"/>
    <w:rsid w:val="00AB1147"/>
    <w:rsid w:val="00AB1190"/>
    <w:rsid w:val="00AB1430"/>
    <w:rsid w:val="00AB2974"/>
    <w:rsid w:val="00AB5EEE"/>
    <w:rsid w:val="00AB6ACE"/>
    <w:rsid w:val="00AC052F"/>
    <w:rsid w:val="00AC3C8F"/>
    <w:rsid w:val="00AC5701"/>
    <w:rsid w:val="00AC5A3A"/>
    <w:rsid w:val="00AC60E7"/>
    <w:rsid w:val="00AC78A3"/>
    <w:rsid w:val="00AD358F"/>
    <w:rsid w:val="00AD3777"/>
    <w:rsid w:val="00AD4485"/>
    <w:rsid w:val="00AD4CBE"/>
    <w:rsid w:val="00AD6D51"/>
    <w:rsid w:val="00AD7E13"/>
    <w:rsid w:val="00AE1370"/>
    <w:rsid w:val="00AE28DB"/>
    <w:rsid w:val="00AE7392"/>
    <w:rsid w:val="00AF1FE9"/>
    <w:rsid w:val="00AF5F0A"/>
    <w:rsid w:val="00AF6C30"/>
    <w:rsid w:val="00AF79AC"/>
    <w:rsid w:val="00B00CC6"/>
    <w:rsid w:val="00B02D0B"/>
    <w:rsid w:val="00B03AC7"/>
    <w:rsid w:val="00B05CA7"/>
    <w:rsid w:val="00B05CBA"/>
    <w:rsid w:val="00B06F6E"/>
    <w:rsid w:val="00B07A9F"/>
    <w:rsid w:val="00B106BD"/>
    <w:rsid w:val="00B11C28"/>
    <w:rsid w:val="00B13EC2"/>
    <w:rsid w:val="00B15382"/>
    <w:rsid w:val="00B2319E"/>
    <w:rsid w:val="00B24872"/>
    <w:rsid w:val="00B261CC"/>
    <w:rsid w:val="00B2727A"/>
    <w:rsid w:val="00B32757"/>
    <w:rsid w:val="00B333FA"/>
    <w:rsid w:val="00B34E32"/>
    <w:rsid w:val="00B40D52"/>
    <w:rsid w:val="00B41909"/>
    <w:rsid w:val="00B41C14"/>
    <w:rsid w:val="00B42838"/>
    <w:rsid w:val="00B42F41"/>
    <w:rsid w:val="00B45981"/>
    <w:rsid w:val="00B515E8"/>
    <w:rsid w:val="00B55658"/>
    <w:rsid w:val="00B5580D"/>
    <w:rsid w:val="00B55ECD"/>
    <w:rsid w:val="00B5694F"/>
    <w:rsid w:val="00B627A6"/>
    <w:rsid w:val="00B62D5D"/>
    <w:rsid w:val="00B64E3E"/>
    <w:rsid w:val="00B65E59"/>
    <w:rsid w:val="00B66124"/>
    <w:rsid w:val="00B70902"/>
    <w:rsid w:val="00B70B80"/>
    <w:rsid w:val="00B71FCA"/>
    <w:rsid w:val="00B75E2C"/>
    <w:rsid w:val="00B7620D"/>
    <w:rsid w:val="00B776E4"/>
    <w:rsid w:val="00B80ACF"/>
    <w:rsid w:val="00B82FA5"/>
    <w:rsid w:val="00B84D8C"/>
    <w:rsid w:val="00B854DB"/>
    <w:rsid w:val="00B864D9"/>
    <w:rsid w:val="00B87D9C"/>
    <w:rsid w:val="00B903CC"/>
    <w:rsid w:val="00B904BB"/>
    <w:rsid w:val="00B90654"/>
    <w:rsid w:val="00B94245"/>
    <w:rsid w:val="00B95328"/>
    <w:rsid w:val="00B9559D"/>
    <w:rsid w:val="00B9635D"/>
    <w:rsid w:val="00B96770"/>
    <w:rsid w:val="00B9717F"/>
    <w:rsid w:val="00BA44C0"/>
    <w:rsid w:val="00BA4711"/>
    <w:rsid w:val="00BA728A"/>
    <w:rsid w:val="00BA756F"/>
    <w:rsid w:val="00BA7A43"/>
    <w:rsid w:val="00BB0057"/>
    <w:rsid w:val="00BB08D7"/>
    <w:rsid w:val="00BB47CA"/>
    <w:rsid w:val="00BB5029"/>
    <w:rsid w:val="00BB523E"/>
    <w:rsid w:val="00BB6A08"/>
    <w:rsid w:val="00BB741F"/>
    <w:rsid w:val="00BB7582"/>
    <w:rsid w:val="00BC3204"/>
    <w:rsid w:val="00BC3C24"/>
    <w:rsid w:val="00BC4E15"/>
    <w:rsid w:val="00BC5B6D"/>
    <w:rsid w:val="00BC5E76"/>
    <w:rsid w:val="00BC7EA2"/>
    <w:rsid w:val="00BD053A"/>
    <w:rsid w:val="00BD08FC"/>
    <w:rsid w:val="00BD0DD7"/>
    <w:rsid w:val="00BD1400"/>
    <w:rsid w:val="00BD239E"/>
    <w:rsid w:val="00BD2861"/>
    <w:rsid w:val="00BD2E9B"/>
    <w:rsid w:val="00BD605C"/>
    <w:rsid w:val="00BD61D9"/>
    <w:rsid w:val="00BD65C7"/>
    <w:rsid w:val="00BD7EE8"/>
    <w:rsid w:val="00BE2A76"/>
    <w:rsid w:val="00BE62D7"/>
    <w:rsid w:val="00BE6543"/>
    <w:rsid w:val="00BF0276"/>
    <w:rsid w:val="00BF2624"/>
    <w:rsid w:val="00BF3851"/>
    <w:rsid w:val="00BF6652"/>
    <w:rsid w:val="00BF755B"/>
    <w:rsid w:val="00C0080F"/>
    <w:rsid w:val="00C009D4"/>
    <w:rsid w:val="00C0228E"/>
    <w:rsid w:val="00C022FE"/>
    <w:rsid w:val="00C062E3"/>
    <w:rsid w:val="00C06716"/>
    <w:rsid w:val="00C06CF4"/>
    <w:rsid w:val="00C070CC"/>
    <w:rsid w:val="00C1113B"/>
    <w:rsid w:val="00C12592"/>
    <w:rsid w:val="00C15736"/>
    <w:rsid w:val="00C15A1B"/>
    <w:rsid w:val="00C15F62"/>
    <w:rsid w:val="00C229C7"/>
    <w:rsid w:val="00C23372"/>
    <w:rsid w:val="00C23C6F"/>
    <w:rsid w:val="00C2485F"/>
    <w:rsid w:val="00C24B54"/>
    <w:rsid w:val="00C26055"/>
    <w:rsid w:val="00C26127"/>
    <w:rsid w:val="00C26C20"/>
    <w:rsid w:val="00C30D20"/>
    <w:rsid w:val="00C33EEE"/>
    <w:rsid w:val="00C35085"/>
    <w:rsid w:val="00C3655E"/>
    <w:rsid w:val="00C371E5"/>
    <w:rsid w:val="00C40513"/>
    <w:rsid w:val="00C415BF"/>
    <w:rsid w:val="00C42A95"/>
    <w:rsid w:val="00C46EE0"/>
    <w:rsid w:val="00C52723"/>
    <w:rsid w:val="00C5333C"/>
    <w:rsid w:val="00C5446A"/>
    <w:rsid w:val="00C556D9"/>
    <w:rsid w:val="00C5619A"/>
    <w:rsid w:val="00C578C2"/>
    <w:rsid w:val="00C62C0E"/>
    <w:rsid w:val="00C6318E"/>
    <w:rsid w:val="00C64C2F"/>
    <w:rsid w:val="00C654A1"/>
    <w:rsid w:val="00C65694"/>
    <w:rsid w:val="00C65969"/>
    <w:rsid w:val="00C65E60"/>
    <w:rsid w:val="00C66A2C"/>
    <w:rsid w:val="00C67B41"/>
    <w:rsid w:val="00C67BAF"/>
    <w:rsid w:val="00C7056A"/>
    <w:rsid w:val="00C73AB2"/>
    <w:rsid w:val="00C80C9C"/>
    <w:rsid w:val="00C81A3D"/>
    <w:rsid w:val="00C81B8C"/>
    <w:rsid w:val="00C8249F"/>
    <w:rsid w:val="00C826B2"/>
    <w:rsid w:val="00C84827"/>
    <w:rsid w:val="00C850EB"/>
    <w:rsid w:val="00C867E2"/>
    <w:rsid w:val="00C9111D"/>
    <w:rsid w:val="00C91D10"/>
    <w:rsid w:val="00C9233E"/>
    <w:rsid w:val="00C94F7F"/>
    <w:rsid w:val="00C95B2B"/>
    <w:rsid w:val="00C96CCC"/>
    <w:rsid w:val="00C97A5A"/>
    <w:rsid w:val="00CA295B"/>
    <w:rsid w:val="00CA414A"/>
    <w:rsid w:val="00CA5809"/>
    <w:rsid w:val="00CA5B3D"/>
    <w:rsid w:val="00CA6C9D"/>
    <w:rsid w:val="00CA6D4E"/>
    <w:rsid w:val="00CA797A"/>
    <w:rsid w:val="00CB146D"/>
    <w:rsid w:val="00CB2593"/>
    <w:rsid w:val="00CB3BB5"/>
    <w:rsid w:val="00CB3D95"/>
    <w:rsid w:val="00CB51CA"/>
    <w:rsid w:val="00CC0170"/>
    <w:rsid w:val="00CC0887"/>
    <w:rsid w:val="00CC1DB1"/>
    <w:rsid w:val="00CC2D37"/>
    <w:rsid w:val="00CC2F16"/>
    <w:rsid w:val="00CC39E8"/>
    <w:rsid w:val="00CC4777"/>
    <w:rsid w:val="00CC5EDE"/>
    <w:rsid w:val="00CC6481"/>
    <w:rsid w:val="00CC68E0"/>
    <w:rsid w:val="00CC78CA"/>
    <w:rsid w:val="00CD036B"/>
    <w:rsid w:val="00CD3418"/>
    <w:rsid w:val="00CD44EB"/>
    <w:rsid w:val="00CD717D"/>
    <w:rsid w:val="00CD7890"/>
    <w:rsid w:val="00CE29CD"/>
    <w:rsid w:val="00CE2E1E"/>
    <w:rsid w:val="00CE462A"/>
    <w:rsid w:val="00CE5A52"/>
    <w:rsid w:val="00CF2132"/>
    <w:rsid w:val="00CF2278"/>
    <w:rsid w:val="00CF2F6E"/>
    <w:rsid w:val="00CF4017"/>
    <w:rsid w:val="00CF41B9"/>
    <w:rsid w:val="00CF41CA"/>
    <w:rsid w:val="00CF5EA1"/>
    <w:rsid w:val="00CF6CE0"/>
    <w:rsid w:val="00CF7AF3"/>
    <w:rsid w:val="00CF7C26"/>
    <w:rsid w:val="00D0247A"/>
    <w:rsid w:val="00D05D60"/>
    <w:rsid w:val="00D0766D"/>
    <w:rsid w:val="00D11436"/>
    <w:rsid w:val="00D1206E"/>
    <w:rsid w:val="00D15708"/>
    <w:rsid w:val="00D160D3"/>
    <w:rsid w:val="00D16948"/>
    <w:rsid w:val="00D22BA4"/>
    <w:rsid w:val="00D24612"/>
    <w:rsid w:val="00D259C1"/>
    <w:rsid w:val="00D26ADA"/>
    <w:rsid w:val="00D274B5"/>
    <w:rsid w:val="00D30943"/>
    <w:rsid w:val="00D3197D"/>
    <w:rsid w:val="00D33BDE"/>
    <w:rsid w:val="00D35A78"/>
    <w:rsid w:val="00D371C8"/>
    <w:rsid w:val="00D40BB2"/>
    <w:rsid w:val="00D4151C"/>
    <w:rsid w:val="00D42984"/>
    <w:rsid w:val="00D434EE"/>
    <w:rsid w:val="00D4376A"/>
    <w:rsid w:val="00D44A2D"/>
    <w:rsid w:val="00D458D8"/>
    <w:rsid w:val="00D470FA"/>
    <w:rsid w:val="00D50144"/>
    <w:rsid w:val="00D502DF"/>
    <w:rsid w:val="00D555A1"/>
    <w:rsid w:val="00D558F6"/>
    <w:rsid w:val="00D56C3D"/>
    <w:rsid w:val="00D6317E"/>
    <w:rsid w:val="00D63837"/>
    <w:rsid w:val="00D6385F"/>
    <w:rsid w:val="00D63EA7"/>
    <w:rsid w:val="00D648F5"/>
    <w:rsid w:val="00D64DC2"/>
    <w:rsid w:val="00D64F65"/>
    <w:rsid w:val="00D656E7"/>
    <w:rsid w:val="00D663E0"/>
    <w:rsid w:val="00D74127"/>
    <w:rsid w:val="00D8360D"/>
    <w:rsid w:val="00D851FC"/>
    <w:rsid w:val="00D87BDD"/>
    <w:rsid w:val="00D91F35"/>
    <w:rsid w:val="00D94614"/>
    <w:rsid w:val="00D94FD5"/>
    <w:rsid w:val="00D952FE"/>
    <w:rsid w:val="00DA060C"/>
    <w:rsid w:val="00DA18F0"/>
    <w:rsid w:val="00DA45AE"/>
    <w:rsid w:val="00DA46CA"/>
    <w:rsid w:val="00DA7192"/>
    <w:rsid w:val="00DB1111"/>
    <w:rsid w:val="00DB18AB"/>
    <w:rsid w:val="00DB1AF5"/>
    <w:rsid w:val="00DB21D9"/>
    <w:rsid w:val="00DB264E"/>
    <w:rsid w:val="00DB313F"/>
    <w:rsid w:val="00DB3CFE"/>
    <w:rsid w:val="00DB5E75"/>
    <w:rsid w:val="00DC011E"/>
    <w:rsid w:val="00DC0F6C"/>
    <w:rsid w:val="00DC16E5"/>
    <w:rsid w:val="00DC1769"/>
    <w:rsid w:val="00DC1FC3"/>
    <w:rsid w:val="00DC2138"/>
    <w:rsid w:val="00DC5D4E"/>
    <w:rsid w:val="00DC646A"/>
    <w:rsid w:val="00DD10B2"/>
    <w:rsid w:val="00DD31C1"/>
    <w:rsid w:val="00DD33FD"/>
    <w:rsid w:val="00DD38FD"/>
    <w:rsid w:val="00DD6762"/>
    <w:rsid w:val="00DD7585"/>
    <w:rsid w:val="00DE13A3"/>
    <w:rsid w:val="00DE1BAB"/>
    <w:rsid w:val="00DF17E7"/>
    <w:rsid w:val="00DF21EB"/>
    <w:rsid w:val="00DF2840"/>
    <w:rsid w:val="00DF2D1B"/>
    <w:rsid w:val="00DF59EF"/>
    <w:rsid w:val="00DF640E"/>
    <w:rsid w:val="00DF7301"/>
    <w:rsid w:val="00E0100B"/>
    <w:rsid w:val="00E0127D"/>
    <w:rsid w:val="00E0191B"/>
    <w:rsid w:val="00E02737"/>
    <w:rsid w:val="00E02EBB"/>
    <w:rsid w:val="00E0310B"/>
    <w:rsid w:val="00E0374B"/>
    <w:rsid w:val="00E044B3"/>
    <w:rsid w:val="00E0502A"/>
    <w:rsid w:val="00E06D94"/>
    <w:rsid w:val="00E07D23"/>
    <w:rsid w:val="00E10AB3"/>
    <w:rsid w:val="00E16644"/>
    <w:rsid w:val="00E20E70"/>
    <w:rsid w:val="00E2148A"/>
    <w:rsid w:val="00E23250"/>
    <w:rsid w:val="00E23993"/>
    <w:rsid w:val="00E25B68"/>
    <w:rsid w:val="00E305E8"/>
    <w:rsid w:val="00E318BA"/>
    <w:rsid w:val="00E3641D"/>
    <w:rsid w:val="00E423CD"/>
    <w:rsid w:val="00E44635"/>
    <w:rsid w:val="00E4517F"/>
    <w:rsid w:val="00E45578"/>
    <w:rsid w:val="00E4696F"/>
    <w:rsid w:val="00E47719"/>
    <w:rsid w:val="00E51623"/>
    <w:rsid w:val="00E537A4"/>
    <w:rsid w:val="00E54D10"/>
    <w:rsid w:val="00E55831"/>
    <w:rsid w:val="00E56E95"/>
    <w:rsid w:val="00E605E1"/>
    <w:rsid w:val="00E60E9B"/>
    <w:rsid w:val="00E6146A"/>
    <w:rsid w:val="00E62AF5"/>
    <w:rsid w:val="00E65BF9"/>
    <w:rsid w:val="00E673C9"/>
    <w:rsid w:val="00E71F75"/>
    <w:rsid w:val="00E72ADB"/>
    <w:rsid w:val="00E74CE2"/>
    <w:rsid w:val="00E76FBB"/>
    <w:rsid w:val="00E77AC7"/>
    <w:rsid w:val="00E80B76"/>
    <w:rsid w:val="00E83F58"/>
    <w:rsid w:val="00E84003"/>
    <w:rsid w:val="00E847EF"/>
    <w:rsid w:val="00E87EBE"/>
    <w:rsid w:val="00E93664"/>
    <w:rsid w:val="00E9388B"/>
    <w:rsid w:val="00E97BC2"/>
    <w:rsid w:val="00E97D81"/>
    <w:rsid w:val="00EA0E0E"/>
    <w:rsid w:val="00EB0D9D"/>
    <w:rsid w:val="00EB269B"/>
    <w:rsid w:val="00EB27F0"/>
    <w:rsid w:val="00EB3437"/>
    <w:rsid w:val="00EC0E39"/>
    <w:rsid w:val="00EC10FC"/>
    <w:rsid w:val="00EC16A1"/>
    <w:rsid w:val="00EC1F5C"/>
    <w:rsid w:val="00EC1FBE"/>
    <w:rsid w:val="00EC2978"/>
    <w:rsid w:val="00EC3FEF"/>
    <w:rsid w:val="00EC7735"/>
    <w:rsid w:val="00EC7D8A"/>
    <w:rsid w:val="00ED0F93"/>
    <w:rsid w:val="00ED13B5"/>
    <w:rsid w:val="00ED206C"/>
    <w:rsid w:val="00ED2491"/>
    <w:rsid w:val="00ED646F"/>
    <w:rsid w:val="00ED673D"/>
    <w:rsid w:val="00ED7172"/>
    <w:rsid w:val="00ED7231"/>
    <w:rsid w:val="00EE0041"/>
    <w:rsid w:val="00EE29B9"/>
    <w:rsid w:val="00EE3BEC"/>
    <w:rsid w:val="00EE4037"/>
    <w:rsid w:val="00EE416D"/>
    <w:rsid w:val="00EE5F31"/>
    <w:rsid w:val="00EE695A"/>
    <w:rsid w:val="00EF56B5"/>
    <w:rsid w:val="00F00301"/>
    <w:rsid w:val="00F004EE"/>
    <w:rsid w:val="00F040ED"/>
    <w:rsid w:val="00F07C1C"/>
    <w:rsid w:val="00F10931"/>
    <w:rsid w:val="00F14125"/>
    <w:rsid w:val="00F148E0"/>
    <w:rsid w:val="00F2376F"/>
    <w:rsid w:val="00F23B01"/>
    <w:rsid w:val="00F2418B"/>
    <w:rsid w:val="00F25CE1"/>
    <w:rsid w:val="00F264F6"/>
    <w:rsid w:val="00F27069"/>
    <w:rsid w:val="00F27F3D"/>
    <w:rsid w:val="00F30232"/>
    <w:rsid w:val="00F30618"/>
    <w:rsid w:val="00F32A09"/>
    <w:rsid w:val="00F32DAC"/>
    <w:rsid w:val="00F33D13"/>
    <w:rsid w:val="00F3475C"/>
    <w:rsid w:val="00F347E0"/>
    <w:rsid w:val="00F356C7"/>
    <w:rsid w:val="00F37680"/>
    <w:rsid w:val="00F40AF1"/>
    <w:rsid w:val="00F417EA"/>
    <w:rsid w:val="00F41A3B"/>
    <w:rsid w:val="00F4248C"/>
    <w:rsid w:val="00F42970"/>
    <w:rsid w:val="00F42E23"/>
    <w:rsid w:val="00F4398C"/>
    <w:rsid w:val="00F439F5"/>
    <w:rsid w:val="00F45EEE"/>
    <w:rsid w:val="00F461A3"/>
    <w:rsid w:val="00F461F0"/>
    <w:rsid w:val="00F477B6"/>
    <w:rsid w:val="00F47D87"/>
    <w:rsid w:val="00F51DCA"/>
    <w:rsid w:val="00F51E9C"/>
    <w:rsid w:val="00F523CA"/>
    <w:rsid w:val="00F5322A"/>
    <w:rsid w:val="00F534FC"/>
    <w:rsid w:val="00F53C78"/>
    <w:rsid w:val="00F601DA"/>
    <w:rsid w:val="00F616B3"/>
    <w:rsid w:val="00F617E3"/>
    <w:rsid w:val="00F649B7"/>
    <w:rsid w:val="00F65F70"/>
    <w:rsid w:val="00F747B2"/>
    <w:rsid w:val="00F74A9D"/>
    <w:rsid w:val="00F775AE"/>
    <w:rsid w:val="00F826F3"/>
    <w:rsid w:val="00F82A85"/>
    <w:rsid w:val="00F82AD6"/>
    <w:rsid w:val="00F83A6A"/>
    <w:rsid w:val="00F85219"/>
    <w:rsid w:val="00F85236"/>
    <w:rsid w:val="00F87EF6"/>
    <w:rsid w:val="00F90215"/>
    <w:rsid w:val="00F912B4"/>
    <w:rsid w:val="00F92226"/>
    <w:rsid w:val="00F92A83"/>
    <w:rsid w:val="00F9415C"/>
    <w:rsid w:val="00F955A9"/>
    <w:rsid w:val="00FA0753"/>
    <w:rsid w:val="00FA188B"/>
    <w:rsid w:val="00FA6659"/>
    <w:rsid w:val="00FA6E54"/>
    <w:rsid w:val="00FB0D4C"/>
    <w:rsid w:val="00FB2965"/>
    <w:rsid w:val="00FB29A0"/>
    <w:rsid w:val="00FB2A55"/>
    <w:rsid w:val="00FB4CAA"/>
    <w:rsid w:val="00FC57BC"/>
    <w:rsid w:val="00FC7065"/>
    <w:rsid w:val="00FD1C67"/>
    <w:rsid w:val="00FD4676"/>
    <w:rsid w:val="00FD4953"/>
    <w:rsid w:val="00FD65DF"/>
    <w:rsid w:val="00FD6CE4"/>
    <w:rsid w:val="00FD6D6E"/>
    <w:rsid w:val="00FE5BDF"/>
    <w:rsid w:val="00FE73F9"/>
    <w:rsid w:val="00FE79CC"/>
    <w:rsid w:val="00FF09C9"/>
    <w:rsid w:val="00FF2B99"/>
    <w:rsid w:val="00FF386F"/>
    <w:rsid w:val="00FF6322"/>
    <w:rsid w:val="00FF6F19"/>
    <w:rsid w:val="0375AEF9"/>
    <w:rsid w:val="03EC79D4"/>
    <w:rsid w:val="0987C017"/>
    <w:rsid w:val="23319FE1"/>
    <w:rsid w:val="2AB4878B"/>
    <w:rsid w:val="2FB629A4"/>
    <w:rsid w:val="30780C39"/>
    <w:rsid w:val="31ACF34E"/>
    <w:rsid w:val="33D60B6C"/>
    <w:rsid w:val="445FF1A9"/>
    <w:rsid w:val="4760F116"/>
    <w:rsid w:val="48DB550D"/>
    <w:rsid w:val="4C728382"/>
    <w:rsid w:val="4E110AEC"/>
    <w:rsid w:val="525850A9"/>
    <w:rsid w:val="5CE4243F"/>
    <w:rsid w:val="5E0C0EE2"/>
    <w:rsid w:val="624C922C"/>
    <w:rsid w:val="67D21BD4"/>
    <w:rsid w:val="6AA9C2D5"/>
    <w:rsid w:val="6E029AB0"/>
    <w:rsid w:val="71DBD2BB"/>
    <w:rsid w:val="71E7A314"/>
    <w:rsid w:val="78AC575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DEFFAC"/>
  <w15:docId w15:val="{8F6B9F18-3B1D-4A04-A67E-0752E8365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Title" w:locked="0" w:uiPriority="0"/>
    <w:lsdException w:name="Default Paragraph Font" w:locked="0" w:uiPriority="0"/>
    <w:lsdException w:name="Body Text" w:locked="0" w:uiPriority="0" w:qFormat="1"/>
    <w:lsdException w:name="Body Text Indent" w:locked="0" w:uiPriority="0"/>
    <w:lsdException w:name="Subtitle" w:locked="0" w:uiPriority="0" w:qFormat="1"/>
    <w:lsdException w:name="HTML Top of Form" w:locked="0" w:uiPriority="0"/>
    <w:lsdException w:name="HTML Bottom of Form" w:locked="0" w:uiPriority="0"/>
    <w:lsdException w:name="HTML Acronym" w:uiPriority="19"/>
    <w:lsdException w:name="HTML Address" w:uiPriority="19"/>
    <w:lsdException w:name="Normal Table" w:locked="0" w:semiHidden="1" w:uiPriority="0" w:unhideWhenUsed="1"/>
    <w:lsdException w:name="No List" w:locked="0"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customStyle="1" w:styleId="EndNoteBibliographyTitle">
    <w:name w:val="EndNote Bibliography Title"/>
    <w:basedOn w:val="Normal"/>
    <w:link w:val="EndNoteBibliographyTitleChar"/>
    <w:rsid w:val="00307C99"/>
    <w:pPr>
      <w:jc w:val="center"/>
    </w:pPr>
    <w:rPr>
      <w:noProof/>
      <w:sz w:val="18"/>
      <w:lang w:val="en-US"/>
    </w:rPr>
  </w:style>
  <w:style w:type="character" w:customStyle="1" w:styleId="EndNoteBibliographyTitleChar">
    <w:name w:val="EndNote Bibliography Title Char"/>
    <w:basedOn w:val="BodyTextChar"/>
    <w:link w:val="EndNoteBibliographyTitle"/>
    <w:rsid w:val="00307C99"/>
    <w:rPr>
      <w:noProof/>
      <w:sz w:val="18"/>
      <w:lang w:val="en-US" w:eastAsia="en-US"/>
    </w:rPr>
  </w:style>
  <w:style w:type="paragraph" w:customStyle="1" w:styleId="EndNoteBibliography">
    <w:name w:val="EndNote Bibliography"/>
    <w:basedOn w:val="Normal"/>
    <w:link w:val="EndNoteBibliographyChar"/>
    <w:rsid w:val="00307C99"/>
    <w:rPr>
      <w:noProof/>
      <w:sz w:val="18"/>
      <w:lang w:val="en-US"/>
    </w:rPr>
  </w:style>
  <w:style w:type="character" w:customStyle="1" w:styleId="EndNoteBibliographyChar">
    <w:name w:val="EndNote Bibliography Char"/>
    <w:basedOn w:val="BodyTextChar"/>
    <w:link w:val="EndNoteBibliography"/>
    <w:rsid w:val="00307C99"/>
    <w:rPr>
      <w:noProof/>
      <w:sz w:val="18"/>
      <w:lang w:val="en-US" w:eastAsia="en-US"/>
    </w:rPr>
  </w:style>
  <w:style w:type="character" w:styleId="PlaceholderText">
    <w:name w:val="Placeholder Text"/>
    <w:basedOn w:val="DefaultParagraphFont"/>
    <w:uiPriority w:val="99"/>
    <w:semiHidden/>
    <w:locked/>
    <w:rsid w:val="0073364D"/>
    <w:rPr>
      <w:color w:val="666666"/>
    </w:rPr>
  </w:style>
  <w:style w:type="paragraph" w:customStyle="1" w:styleId="Body">
    <w:name w:val="Body"/>
    <w:rsid w:val="00C9111D"/>
    <w:pPr>
      <w:spacing w:before="120" w:after="120"/>
    </w:pPr>
    <w:rPr>
      <w:rFonts w:ascii="Calibri" w:hAnsi="Calibri"/>
      <w:sz w:val="24"/>
      <w:lang w:val="en-CA" w:eastAsia="en-US"/>
    </w:rPr>
  </w:style>
  <w:style w:type="paragraph" w:styleId="Revision">
    <w:name w:val="Revision"/>
    <w:hidden/>
    <w:uiPriority w:val="99"/>
    <w:semiHidden/>
    <w:rsid w:val="008E2A15"/>
    <w:rPr>
      <w:sz w:val="22"/>
      <w:lang w:eastAsia="en-US"/>
    </w:rPr>
  </w:style>
  <w:style w:type="character" w:customStyle="1" w:styleId="cf01">
    <w:name w:val="cf01"/>
    <w:basedOn w:val="DefaultParagraphFont"/>
    <w:rsid w:val="00182816"/>
    <w:rPr>
      <w:rFonts w:ascii="Segoe UI" w:hAnsi="Segoe UI" w:cs="Segoe UI" w:hint="default"/>
      <w:sz w:val="18"/>
      <w:szCs w:val="18"/>
    </w:rPr>
  </w:style>
  <w:style w:type="character" w:styleId="CommentReference">
    <w:name w:val="annotation reference"/>
    <w:basedOn w:val="DefaultParagraphFont"/>
    <w:uiPriority w:val="49"/>
    <w:locked/>
    <w:rsid w:val="00884A3C"/>
    <w:rPr>
      <w:sz w:val="16"/>
      <w:szCs w:val="16"/>
    </w:rPr>
  </w:style>
  <w:style w:type="paragraph" w:styleId="CommentText">
    <w:name w:val="annotation text"/>
    <w:basedOn w:val="Normal"/>
    <w:link w:val="CommentTextChar"/>
    <w:uiPriority w:val="49"/>
    <w:locked/>
    <w:rsid w:val="00884A3C"/>
    <w:rPr>
      <w:sz w:val="20"/>
    </w:rPr>
  </w:style>
  <w:style w:type="character" w:customStyle="1" w:styleId="CommentTextChar">
    <w:name w:val="Comment Text Char"/>
    <w:basedOn w:val="DefaultParagraphFont"/>
    <w:link w:val="CommentText"/>
    <w:uiPriority w:val="49"/>
    <w:rsid w:val="00884A3C"/>
    <w:rPr>
      <w:lang w:eastAsia="en-US"/>
    </w:rPr>
  </w:style>
  <w:style w:type="paragraph" w:styleId="CommentSubject">
    <w:name w:val="annotation subject"/>
    <w:basedOn w:val="CommentText"/>
    <w:next w:val="CommentText"/>
    <w:link w:val="CommentSubjectChar"/>
    <w:uiPriority w:val="49"/>
    <w:locked/>
    <w:rsid w:val="00884A3C"/>
    <w:rPr>
      <w:b/>
      <w:bCs/>
    </w:rPr>
  </w:style>
  <w:style w:type="character" w:customStyle="1" w:styleId="CommentSubjectChar">
    <w:name w:val="Comment Subject Char"/>
    <w:basedOn w:val="CommentTextChar"/>
    <w:link w:val="CommentSubject"/>
    <w:uiPriority w:val="49"/>
    <w:rsid w:val="00884A3C"/>
    <w:rPr>
      <w:b/>
      <w:bCs/>
      <w:lang w:eastAsia="en-US"/>
    </w:rPr>
  </w:style>
  <w:style w:type="character" w:styleId="Hyperlink">
    <w:name w:val="Hyperlink"/>
    <w:basedOn w:val="DefaultParagraphFont"/>
    <w:uiPriority w:val="49"/>
    <w:locked/>
    <w:rsid w:val="00AF6C30"/>
    <w:rPr>
      <w:color w:val="0000FF" w:themeColor="hyperlink"/>
      <w:u w:val="single"/>
    </w:rPr>
  </w:style>
  <w:style w:type="character" w:styleId="UnresolvedMention">
    <w:name w:val="Unresolved Mention"/>
    <w:basedOn w:val="DefaultParagraphFont"/>
    <w:uiPriority w:val="99"/>
    <w:semiHidden/>
    <w:unhideWhenUsed/>
    <w:rsid w:val="00AF6C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B19CCF8173644CBBA7A9B345CA8B25" ma:contentTypeVersion="13" ma:contentTypeDescription="Create a new document." ma:contentTypeScope="" ma:versionID="e78c6ca5fbbec9fc1c9c0fe9b1bbb663">
  <xsd:schema xmlns:xsd="http://www.w3.org/2001/XMLSchema" xmlns:xs="http://www.w3.org/2001/XMLSchema" xmlns:p="http://schemas.microsoft.com/office/2006/metadata/properties" xmlns:ns2="b4860600-e716-44e4-ba75-72479fd06da5" xmlns:ns3="1c5cb865-169c-48f5-a71e-32648589bf6e" targetNamespace="http://schemas.microsoft.com/office/2006/metadata/properties" ma:root="true" ma:fieldsID="5cff3883b46b6df740551dc8687ef853" ns2:_="" ns3:_="">
    <xsd:import namespace="b4860600-e716-44e4-ba75-72479fd06da5"/>
    <xsd:import namespace="1c5cb865-169c-48f5-a71e-32648589bf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60600-e716-44e4-ba75-72479fd06d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ccba4f5-1086-4102-94a5-26fdaf44cbf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5cb865-169c-48f5-a71e-32648589bf6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5fc070c-9568-4f09-8e0f-7925f6cce3bb}" ma:internalName="TaxCatchAll" ma:showField="CatchAllData" ma:web="1c5cb865-169c-48f5-a71e-32648589bf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c5cb865-169c-48f5-a71e-32648589bf6e" xsi:nil="true"/>
    <lcf76f155ced4ddcb4097134ff3c332f xmlns="b4860600-e716-44e4-ba75-72479fd06da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B267E9A0-1AAC-47A2-B33A-D549785A6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60600-e716-44e4-ba75-72479fd06da5"/>
    <ds:schemaRef ds:uri="1c5cb865-169c-48f5-a71e-32648589bf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40334A-122A-4877-AE5D-C3A0EC2DDD8B}">
  <ds:schemaRefs>
    <ds:schemaRef ds:uri="http://schemas.microsoft.com/office/2006/metadata/properties"/>
    <ds:schemaRef ds:uri="http://schemas.microsoft.com/office/infopath/2007/PartnerControls"/>
    <ds:schemaRef ds:uri="1c5cb865-169c-48f5-a71e-32648589bf6e"/>
    <ds:schemaRef ds:uri="b4860600-e716-44e4-ba75-72479fd06da5"/>
  </ds:schemaRefs>
</ds:datastoreItem>
</file>

<file path=customXml/itemProps3.xml><?xml version="1.0" encoding="utf-8"?>
<ds:datastoreItem xmlns:ds="http://schemas.openxmlformats.org/officeDocument/2006/customXml" ds:itemID="{A531571D-D0B1-4EF0-87EF-6AADB17A12D2}">
  <ds:schemaRefs>
    <ds:schemaRef ds:uri="http://schemas.microsoft.com/sharepoint/v3/contenttype/forms"/>
  </ds:schemaRefs>
</ds:datastoreItem>
</file>

<file path=customXml/itemProps4.xml><?xml version="1.0" encoding="utf-8"?>
<ds:datastoreItem xmlns:ds="http://schemas.openxmlformats.org/officeDocument/2006/customXml" ds:itemID="{51823C9C-7F25-4F27-9FBC-F8768B34B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41</TotalTime>
  <Pages>7</Pages>
  <Words>3964</Words>
  <Characters>42514</Characters>
  <Application>Microsoft Office Word</Application>
  <DocSecurity>0</DocSecurity>
  <Lines>354</Lines>
  <Paragraphs>92</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46386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subject/>
  <dc:creator>Gemma Anna Ruffino</dc:creator>
  <cp:keywords/>
  <cp:lastModifiedBy>Lal, Sreeyuth</cp:lastModifiedBy>
  <cp:revision>5</cp:revision>
  <cp:lastPrinted>2024-03-20T01:52:00Z</cp:lastPrinted>
  <dcterms:created xsi:type="dcterms:W3CDTF">2024-05-28T16:08:00Z</dcterms:created>
  <dcterms:modified xsi:type="dcterms:W3CDTF">2024-06-13T19:55:00Z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lassificationContentMarkingHeaderShapeIds">
    <vt:lpwstr>31104c5d,2f08e1b9,784d41a6</vt:lpwstr>
  </property>
  <property fmtid="{D5CDD505-2E9C-101B-9397-08002B2CF9AE}" pid="12" name="ClassificationContentMarkingHeaderFontProps">
    <vt:lpwstr>#000000,10,Calibri</vt:lpwstr>
  </property>
  <property fmtid="{D5CDD505-2E9C-101B-9397-08002B2CF9AE}" pid="13" name="ClassificationContentMarkingHeaderText">
    <vt:lpwstr>OFFICIAL USE ONLY / À USAGE EXCLUSIF</vt:lpwstr>
  </property>
  <property fmtid="{D5CDD505-2E9C-101B-9397-08002B2CF9AE}" pid="14" name="MSIP_Label_047d1604-a11e-4c33-b65a-00a6c0f6fd4a_Enabled">
    <vt:lpwstr>true</vt:lpwstr>
  </property>
  <property fmtid="{D5CDD505-2E9C-101B-9397-08002B2CF9AE}" pid="15" name="MSIP_Label_047d1604-a11e-4c33-b65a-00a6c0f6fd4a_SetDate">
    <vt:lpwstr>2024-05-08T19:34:24Z</vt:lpwstr>
  </property>
  <property fmtid="{D5CDD505-2E9C-101B-9397-08002B2CF9AE}" pid="16" name="MSIP_Label_047d1604-a11e-4c33-b65a-00a6c0f6fd4a_Method">
    <vt:lpwstr>Privileged</vt:lpwstr>
  </property>
  <property fmtid="{D5CDD505-2E9C-101B-9397-08002B2CF9AE}" pid="17" name="MSIP_Label_047d1604-a11e-4c33-b65a-00a6c0f6fd4a_Name">
    <vt:lpwstr>OFFICIAL USE ONLY</vt:lpwstr>
  </property>
  <property fmtid="{D5CDD505-2E9C-101B-9397-08002B2CF9AE}" pid="18" name="MSIP_Label_047d1604-a11e-4c33-b65a-00a6c0f6fd4a_SiteId">
    <vt:lpwstr>a483a0b6-671f-4e86-a04d-998385c0e199</vt:lpwstr>
  </property>
  <property fmtid="{D5CDD505-2E9C-101B-9397-08002B2CF9AE}" pid="19" name="MSIP_Label_047d1604-a11e-4c33-b65a-00a6c0f6fd4a_ActionId">
    <vt:lpwstr>c2e0e9ee-155b-409a-a24b-a446b8474a71</vt:lpwstr>
  </property>
  <property fmtid="{D5CDD505-2E9C-101B-9397-08002B2CF9AE}" pid="20" name="MSIP_Label_047d1604-a11e-4c33-b65a-00a6c0f6fd4a_ContentBits">
    <vt:lpwstr>1</vt:lpwstr>
  </property>
  <property fmtid="{D5CDD505-2E9C-101B-9397-08002B2CF9AE}" pid="21" name="ContentTypeId">
    <vt:lpwstr>0x0101008EB19CCF8173644CBBA7A9B345CA8B25</vt:lpwstr>
  </property>
</Properties>
</file>