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764C8" w14:textId="77777777" w:rsidR="001D018F" w:rsidRPr="001D018F" w:rsidRDefault="001D018F" w:rsidP="001D018F">
      <w:pPr>
        <w:pStyle w:val="Podtytu"/>
        <w:rPr>
          <w:rFonts w:ascii="Times New Roman Bold" w:hAnsi="Times New Roman Bold" w:cs="Times New Roman"/>
          <w:i w:val="0"/>
          <w:caps/>
          <w:szCs w:val="20"/>
        </w:rPr>
      </w:pPr>
      <w:r w:rsidRPr="001D018F">
        <w:rPr>
          <w:rFonts w:ascii="Times New Roman Bold" w:hAnsi="Times New Roman Bold" w:cs="Times New Roman"/>
          <w:i w:val="0"/>
          <w:caps/>
          <w:szCs w:val="20"/>
        </w:rPr>
        <w:t>Determining Emergency Planning Zone size through</w:t>
      </w:r>
    </w:p>
    <w:p w14:paraId="74322B70" w14:textId="77777777" w:rsidR="001D018F" w:rsidRPr="001D018F" w:rsidRDefault="001D018F" w:rsidP="001D018F">
      <w:pPr>
        <w:pStyle w:val="Podtytu"/>
        <w:rPr>
          <w:rFonts w:ascii="Times New Roman Bold" w:hAnsi="Times New Roman Bold" w:cs="Times New Roman"/>
          <w:i w:val="0"/>
          <w:caps/>
          <w:szCs w:val="20"/>
        </w:rPr>
      </w:pPr>
      <w:r w:rsidRPr="001D018F">
        <w:rPr>
          <w:rFonts w:ascii="Times New Roman Bold" w:hAnsi="Times New Roman Bold" w:cs="Times New Roman"/>
          <w:i w:val="0"/>
          <w:caps/>
          <w:szCs w:val="20"/>
        </w:rPr>
        <w:t>JRODOS calculated radiation dose consequences in</w:t>
      </w:r>
    </w:p>
    <w:p w14:paraId="3988D660" w14:textId="77777777" w:rsidR="001D018F" w:rsidRDefault="001D018F" w:rsidP="001D018F">
      <w:pPr>
        <w:pStyle w:val="Podtytu"/>
        <w:rPr>
          <w:rFonts w:ascii="Times New Roman Bold" w:hAnsi="Times New Roman Bold" w:cs="Times New Roman"/>
          <w:i w:val="0"/>
          <w:caps/>
          <w:szCs w:val="20"/>
        </w:rPr>
      </w:pPr>
      <w:r w:rsidRPr="001D018F">
        <w:rPr>
          <w:rFonts w:ascii="Times New Roman Bold" w:hAnsi="Times New Roman Bold" w:cs="Times New Roman"/>
          <w:i w:val="0"/>
          <w:caps/>
          <w:szCs w:val="20"/>
        </w:rPr>
        <w:t>High-Temperature Gas-Cooled Reactors</w:t>
      </w:r>
    </w:p>
    <w:p w14:paraId="4D1B799F" w14:textId="77777777" w:rsidR="00802381" w:rsidRDefault="00802381" w:rsidP="00537496">
      <w:pPr>
        <w:pStyle w:val="Authornameandaffiliation"/>
      </w:pPr>
    </w:p>
    <w:p w14:paraId="32159D0F" w14:textId="348AD30C" w:rsidR="003B5E0E" w:rsidRDefault="001D018F" w:rsidP="00537496">
      <w:pPr>
        <w:pStyle w:val="Authornameandaffiliation"/>
      </w:pPr>
      <w:r>
        <w:t>KOPKA</w:t>
      </w:r>
      <w:r w:rsidR="00A51A48">
        <w:t>,</w:t>
      </w:r>
      <w:r>
        <w:t xml:space="preserve"> Piotr</w:t>
      </w:r>
    </w:p>
    <w:p w14:paraId="77A38F34" w14:textId="58B9AD3C" w:rsidR="000D142E" w:rsidRDefault="000D142E" w:rsidP="00537496">
      <w:pPr>
        <w:pStyle w:val="Authornameandaffiliation"/>
      </w:pPr>
      <w:r>
        <w:t>National Centre for Nuclear Research</w:t>
      </w:r>
    </w:p>
    <w:p w14:paraId="338AF0D1" w14:textId="77777777" w:rsidR="001D018F" w:rsidRPr="00FF386F" w:rsidRDefault="001D018F" w:rsidP="001D018F">
      <w:pPr>
        <w:pStyle w:val="Authornameandaffiliation"/>
      </w:pPr>
      <w:proofErr w:type="spellStart"/>
      <w:r>
        <w:t>Otwock-Swierk</w:t>
      </w:r>
      <w:proofErr w:type="spellEnd"/>
      <w:r>
        <w:t>, Poland</w:t>
      </w:r>
    </w:p>
    <w:p w14:paraId="0080899C" w14:textId="59B9DB3E" w:rsidR="00FF386F" w:rsidRDefault="00FF386F" w:rsidP="00537496">
      <w:pPr>
        <w:pStyle w:val="Authornameandaffiliation"/>
      </w:pPr>
      <w:r>
        <w:t xml:space="preserve">Email: </w:t>
      </w:r>
      <w:r w:rsidR="001D018F">
        <w:t>Piotr.kopka</w:t>
      </w:r>
      <w:r>
        <w:t>@</w:t>
      </w:r>
      <w:r w:rsidR="001D018F">
        <w:t>ncbj.gov.pl</w:t>
      </w:r>
    </w:p>
    <w:p w14:paraId="5E2BDA1F" w14:textId="77777777" w:rsidR="00FF386F" w:rsidRDefault="00FF386F" w:rsidP="00537496">
      <w:pPr>
        <w:pStyle w:val="Authornameandaffiliation"/>
      </w:pPr>
    </w:p>
    <w:p w14:paraId="1C16986E" w14:textId="4CCF47E1" w:rsidR="001D018F" w:rsidRPr="001D018F" w:rsidRDefault="001D018F" w:rsidP="00537496">
      <w:pPr>
        <w:pStyle w:val="Authornameandaffiliation"/>
        <w:rPr>
          <w:lang w:val="pl-PL"/>
        </w:rPr>
      </w:pPr>
      <w:r w:rsidRPr="001D018F">
        <w:rPr>
          <w:lang w:val="pl-PL"/>
        </w:rPr>
        <w:t>SKRZYPEK, Maciej , SKRZYPEK, Eleonora, KASZKO</w:t>
      </w:r>
      <w:r w:rsidR="00A51A48">
        <w:rPr>
          <w:lang w:val="pl-PL"/>
        </w:rPr>
        <w:t>,</w:t>
      </w:r>
      <w:r w:rsidRPr="001D018F">
        <w:rPr>
          <w:lang w:val="pl-PL"/>
        </w:rPr>
        <w:t xml:space="preserve"> A</w:t>
      </w:r>
      <w:r>
        <w:rPr>
          <w:lang w:val="pl-PL"/>
        </w:rPr>
        <w:t>leksiej</w:t>
      </w:r>
    </w:p>
    <w:p w14:paraId="0597D23A" w14:textId="77777777" w:rsidR="001D018F" w:rsidRDefault="001D018F" w:rsidP="00537496">
      <w:pPr>
        <w:pStyle w:val="Authornameandaffiliation"/>
      </w:pPr>
      <w:r>
        <w:t>National Centre for Nuclear Research</w:t>
      </w:r>
      <w:r w:rsidRPr="00FF386F">
        <w:t xml:space="preserve"> </w:t>
      </w:r>
    </w:p>
    <w:p w14:paraId="5D980831" w14:textId="11541F34" w:rsidR="00FF386F" w:rsidRPr="00FF386F" w:rsidRDefault="001D018F" w:rsidP="00537496">
      <w:pPr>
        <w:pStyle w:val="Authornameandaffiliation"/>
      </w:pPr>
      <w:proofErr w:type="spellStart"/>
      <w:r>
        <w:t>Otwock-Swierk</w:t>
      </w:r>
      <w:proofErr w:type="spellEnd"/>
      <w:r>
        <w:t>, Poland</w:t>
      </w:r>
    </w:p>
    <w:p w14:paraId="05F9E6A8" w14:textId="77777777" w:rsidR="001D018F" w:rsidRDefault="001D018F" w:rsidP="001D018F">
      <w:pPr>
        <w:pStyle w:val="Authornameandaffiliation"/>
        <w:ind w:left="0"/>
      </w:pPr>
    </w:p>
    <w:p w14:paraId="230D4575" w14:textId="77777777" w:rsidR="00647F33" w:rsidRDefault="00647F33" w:rsidP="00537496">
      <w:pPr>
        <w:pStyle w:val="Authornameandaffiliation"/>
        <w:rPr>
          <w:b/>
        </w:rPr>
      </w:pPr>
      <w:r w:rsidRPr="00647F33">
        <w:rPr>
          <w:b/>
        </w:rPr>
        <w:t>Abstract</w:t>
      </w:r>
    </w:p>
    <w:p w14:paraId="000AC4E8" w14:textId="77777777" w:rsidR="001D018F" w:rsidRPr="00647F33" w:rsidRDefault="001D018F" w:rsidP="00537496">
      <w:pPr>
        <w:pStyle w:val="Authornameandaffiliation"/>
        <w:rPr>
          <w:b/>
        </w:rPr>
      </w:pPr>
    </w:p>
    <w:p w14:paraId="4F2E62A2" w14:textId="5CF14D74" w:rsidR="00647F33" w:rsidRPr="00AC70EC" w:rsidRDefault="001D018F" w:rsidP="002114C1">
      <w:pPr>
        <w:pStyle w:val="Authornameandaffiliation"/>
        <w:ind w:left="0" w:firstLine="567"/>
        <w:jc w:val="both"/>
        <w:rPr>
          <w:sz w:val="18"/>
          <w:szCs w:val="18"/>
        </w:rPr>
      </w:pPr>
      <w:r w:rsidRPr="00AC70EC">
        <w:rPr>
          <w:sz w:val="18"/>
          <w:szCs w:val="18"/>
        </w:rPr>
        <w:t xml:space="preserve">The conceptual design of the High-Temperature Gas-Cooled Reactor (HTGR) research reactor was developed by the team at the Division of Nuclear Energy and Environmental Analysis of the National Centre for Nuclear Research (NCBJ). Emergency Preparedness and Response (EPR) analysis is essential, leading to the designation of an Emergency Planning Zone (EPZ), which is crucial for advancing the project. Due to characteristics like the effective heat removal by HTGR cores and the significant reduction of dust-containing </w:t>
      </w:r>
      <w:proofErr w:type="spellStart"/>
      <w:r w:rsidRPr="00AC70EC">
        <w:rPr>
          <w:sz w:val="18"/>
          <w:szCs w:val="18"/>
        </w:rPr>
        <w:t>sorbed</w:t>
      </w:r>
      <w:proofErr w:type="spellEnd"/>
      <w:r w:rsidRPr="00AC70EC">
        <w:rPr>
          <w:sz w:val="18"/>
          <w:szCs w:val="18"/>
        </w:rPr>
        <w:t xml:space="preserve"> fission products by TRISO particles, the EPZ size is reduced. These zones are established based on safety analysis results, considering potential emergency scenarios with the worst possible consequences and probability of occurrence equa</w:t>
      </w:r>
      <w:r w:rsidR="00AC70EC" w:rsidRPr="00AC70EC">
        <w:rPr>
          <w:sz w:val="18"/>
          <w:szCs w:val="18"/>
        </w:rPr>
        <w:t>l to or greater than once in 10</w:t>
      </w:r>
      <w:r w:rsidRPr="00AC70EC">
        <w:rPr>
          <w:sz w:val="18"/>
          <w:szCs w:val="18"/>
          <w:vertAlign w:val="superscript"/>
        </w:rPr>
        <w:t xml:space="preserve">7 </w:t>
      </w:r>
      <w:r w:rsidRPr="00AC70EC">
        <w:rPr>
          <w:sz w:val="18"/>
          <w:szCs w:val="18"/>
        </w:rPr>
        <w:t>years calculated using severe accident code (MELCOR). Radiological analysis, utilizing JRODOS, was conducted for various accident scenarios (e.g., D-LOFC), incorporating a range of weather scenarios. The analysis demonstrated that the limited radionuclide inventory available for release and specific security-enhancing rector design inherently mitigates the dose consequences. Statistical analyses were performed for the surrounding NCBJ institute area, highlighting the distribution and risk factors for populated areas. The observed decrease in consequences indicates that smaller EPZs could be viable without raising risks to public safety.</w:t>
      </w:r>
    </w:p>
    <w:p w14:paraId="03C6D75B" w14:textId="77777777" w:rsidR="00647F33" w:rsidRDefault="00F523CA" w:rsidP="00537496">
      <w:pPr>
        <w:pStyle w:val="Nagwek2"/>
        <w:numPr>
          <w:ilvl w:val="1"/>
          <w:numId w:val="10"/>
        </w:numPr>
      </w:pPr>
      <w:r>
        <w:t>INTRODUCTION</w:t>
      </w:r>
    </w:p>
    <w:p w14:paraId="55E857AE" w14:textId="0B33ABCF" w:rsidR="00F26380" w:rsidRDefault="00F26380" w:rsidP="00F26380">
      <w:pPr>
        <w:pStyle w:val="Tekstpodstawowy"/>
      </w:pPr>
      <w:r>
        <w:t xml:space="preserve">The National Centre for Nuclear Research (NCBJ) in </w:t>
      </w:r>
      <w:proofErr w:type="spellStart"/>
      <w:r>
        <w:t>Świerk</w:t>
      </w:r>
      <w:proofErr w:type="spellEnd"/>
      <w:r>
        <w:t>, Poland, has engaged in various national and international projects, such as HTR-PL, GEMINI Plus, and GOSPOSTRATEG-HTR, focusing on the development of small-scale High-Temperature Gas-cooled Reactor (HTGR) technology. The primary goal is to replace existing fossil fuel plants in the chemical and petrochemical industries with nuclear reactors, aiming to decrease CO2 emissions in Poland and Europe in the near future.</w:t>
      </w:r>
    </w:p>
    <w:p w14:paraId="4D7895B0" w14:textId="77777777" w:rsidR="00F26380" w:rsidRDefault="00F26380" w:rsidP="00F26380">
      <w:pPr>
        <w:pStyle w:val="Tekstpodstawowy"/>
      </w:pPr>
      <w:r>
        <w:t xml:space="preserve">As part of the GOSPOSTRATEG-HTR project, the pre-conceptual design of the 40 </w:t>
      </w:r>
      <w:proofErr w:type="spellStart"/>
      <w:r>
        <w:t>MWth</w:t>
      </w:r>
      <w:proofErr w:type="spellEnd"/>
      <w:r>
        <w:t xml:space="preserve"> research High-Temperature Gas-cooled Reactor (HTGR) named </w:t>
      </w:r>
      <w:proofErr w:type="spellStart"/>
      <w:r>
        <w:t>TeResa</w:t>
      </w:r>
      <w:proofErr w:type="spellEnd"/>
      <w:r>
        <w:t xml:space="preserve"> was developed, featuring 31 fuel blocks in a single layer [1]. However, during subsequent design phases, it was determined that the maximum thermal power should be reduced to 30 </w:t>
      </w:r>
      <w:proofErr w:type="spellStart"/>
      <w:r>
        <w:t>MWth</w:t>
      </w:r>
      <w:proofErr w:type="spellEnd"/>
      <w:r>
        <w:t xml:space="preserve">. Consequently, a new design was introduced under the feminine name POLA [2]. Unlike </w:t>
      </w:r>
      <w:proofErr w:type="spellStart"/>
      <w:r>
        <w:t>TeResa</w:t>
      </w:r>
      <w:proofErr w:type="spellEnd"/>
      <w:r>
        <w:t xml:space="preserve">, POLA incorporates only 19 fuel blocks in a single layer within the core. The design of HTGR-POLA prioritizes safety, emphasizing efficient heat removal from the core during accident conditions rather than focusing solely on </w:t>
      </w:r>
      <w:proofErr w:type="spellStart"/>
      <w:r>
        <w:t>neutronic</w:t>
      </w:r>
      <w:proofErr w:type="spellEnd"/>
      <w:r>
        <w:t xml:space="preserve"> characteristics. Consequently, the HTGR-POLA configuration is characterized by its thin and tall structure, resulting in a large height-to-diameter ratio (H/D = 2.169) and a significant surface-to-volume ratio, facilitating optimal passive cooling during accidents. The core of HTGR-POLA comprises fuel columns arranged in a triangular grid with uniform pitch, forming three rings around the central fuel column, with a 2 mm gap width between individual columns. Each fuel column consists of six fuel blocks, including standard blocks and blocks featuring dedicated channels for reactor reactivity control systems such as Control Rods (CR) and the Reserve Shutdown System (RSS). Notably, the reactor operates in cogeneration mode, producing electricity up to 10 </w:t>
      </w:r>
      <w:proofErr w:type="spellStart"/>
      <w:r>
        <w:t>MWe</w:t>
      </w:r>
      <w:proofErr w:type="spellEnd"/>
      <w:r>
        <w:t xml:space="preserve">, high-temperature heat up to 25 t/h, and district heat for NCBJ's purposes up to 16.5 </w:t>
      </w:r>
      <w:proofErr w:type="spellStart"/>
      <w:r>
        <w:t>MWth</w:t>
      </w:r>
      <w:proofErr w:type="spellEnd"/>
      <w:r>
        <w:t>.</w:t>
      </w:r>
    </w:p>
    <w:p w14:paraId="08A49F9D" w14:textId="36A47DA1" w:rsidR="006942D9" w:rsidRPr="00AD2D2F" w:rsidRDefault="00F26380" w:rsidP="00F26380">
      <w:pPr>
        <w:pStyle w:val="Tekstpodstawowy"/>
      </w:pPr>
      <w:r>
        <w:t xml:space="preserve">This research aimed to assess the radiological impacts of limiting accidents for HTGR technologies. The goal involved identifying the limiting accident, estimating the accident source term, and conducting dispersion and dose consequence calculations using JRODOS. The study focused on the research type, specifically the High-Temperature Gas-cooled Reactor (HTGR). Source term estimates were derived from the results of the MELCOR code, including initial radionuclide inventories and release rates. These source terms were used as </w:t>
      </w:r>
      <w:r>
        <w:lastRenderedPageBreak/>
        <w:t>inputs for dispersion and dose calculations, which will be implemented by the JRODOS system. After calculating the doses, significa</w:t>
      </w:r>
      <w:r>
        <w:t>nt EPZ zones will be designate</w:t>
      </w:r>
      <w:r w:rsidR="004B4DA9" w:rsidRPr="00AD2D2F">
        <w:t>d.</w:t>
      </w:r>
    </w:p>
    <w:p w14:paraId="4AE21A52" w14:textId="631A12AF" w:rsidR="00B812E8" w:rsidRDefault="00127B6E" w:rsidP="00127B6E">
      <w:pPr>
        <w:pStyle w:val="Nagwek2"/>
        <w:numPr>
          <w:ilvl w:val="1"/>
          <w:numId w:val="10"/>
        </w:numPr>
      </w:pPr>
      <w:r w:rsidRPr="00127B6E">
        <w:t xml:space="preserve">POSTULATED SEVERE </w:t>
      </w:r>
      <w:r>
        <w:t xml:space="preserve">accident </w:t>
      </w:r>
      <w:r w:rsidRPr="00127B6E">
        <w:t>OF THE HTGR REACTOR</w:t>
      </w:r>
    </w:p>
    <w:p w14:paraId="04EA86FE" w14:textId="680DF3F8" w:rsidR="004B4DA9" w:rsidRPr="00C33806" w:rsidRDefault="00C33806" w:rsidP="00AD2D2F">
      <w:pPr>
        <w:pStyle w:val="Tekstpodstawowy"/>
      </w:pPr>
      <w:r w:rsidRPr="00C33806">
        <w:t>Analysed High-Temperature Gas-cooled Reactor (HTGR) [1] with prismatic fuel assemblies and TRISO fuel is similar to the High-Temperature Engineering Test Reactor (HTTR) operated by the Japan Atomic Energy Research Institute (JAERI) [3].  The Depressurized</w:t>
      </w:r>
      <w:r w:rsidR="00F26380">
        <w:t xml:space="preserve"> Loss of Forced Cooling (DLOFC) </w:t>
      </w:r>
      <w:r w:rsidRPr="00C33806">
        <w:t xml:space="preserve"> accident is a commonly studied Design Basis Accident (DBA) and poses significant challenges to reactor safety measures. It's a focal concern because it leads to higher maximum fuel temperatures than other DBAs. When a large 65 mm break occurs, the reactor rapidly loses pressure, causing the coolant to escape from the reactor coolant loop, thus compromising the ability to cool the heated structures within the reactor core. Within a short timeframe of approximately 500 seconds, the system undergoes nearly complete depressurization, with flow through the break coming to a halt.[4]</w:t>
      </w:r>
      <w:r w:rsidR="004B4DA9" w:rsidRPr="00C33806">
        <w:t xml:space="preserve">Following SCRAM (Safety Control Rods Actuation Mechanism), reactor power is dictated by decay heat curves derived from data provided by NRG and computed using 11-group calculations. These calculations stem from </w:t>
      </w:r>
      <w:proofErr w:type="spellStart"/>
      <w:r w:rsidR="004B4DA9" w:rsidRPr="00C33806">
        <w:t>neutronic</w:t>
      </w:r>
      <w:proofErr w:type="spellEnd"/>
      <w:r w:rsidR="004B4DA9" w:rsidRPr="00C33806">
        <w:t xml:space="preserve"> simulations using the MELCOR code, which furnishes constants for neutron precursors groups.</w:t>
      </w:r>
    </w:p>
    <w:p w14:paraId="2C8F946E" w14:textId="5DC05877" w:rsidR="004B4DA9" w:rsidRDefault="004B4DA9" w:rsidP="00AD2D2F">
      <w:pPr>
        <w:pStyle w:val="Tekstpodstawowy"/>
      </w:pPr>
      <w:r>
        <w:t xml:space="preserve">Post-reactor shutdown, decay heat is transferred from the core to the Reactor Pressure Vessel through conduction, convection, and radiation. In </w:t>
      </w:r>
      <w:r w:rsidR="008A5E1C">
        <w:t>HTGR</w:t>
      </w:r>
      <w:r>
        <w:t xml:space="preserve"> cores, conduction primarily facilitates heat transfer. Unlike water reactors, solid structures within the core </w:t>
      </w:r>
      <w:r w:rsidR="00347C4E">
        <w:t>extract</w:t>
      </w:r>
      <w:r>
        <w:t xml:space="preserve"> heat. The graphite blocks absorb heat from the fuel pellets and transfer it through helium gaps to the </w:t>
      </w:r>
      <w:r w:rsidR="00347C4E">
        <w:t>core's outer walls</w:t>
      </w:r>
      <w:r>
        <w:t>. T</w:t>
      </w:r>
      <w:r w:rsidR="00347C4E">
        <w:t>he reactor cavity cooling system (RCCS) cools the reactor vessel</w:t>
      </w:r>
      <w:r>
        <w:t>. Due to the high heat capacity of graphite, the core's temperature rises relatively slowly, thereby moderating the maximum fuel temperature.</w:t>
      </w:r>
      <w:r w:rsidR="00B26E04">
        <w:t xml:space="preserve"> The safety and licensing experience of the HTTR provides a relevant foundation for estimating radionuclide release fractions in the worst-case reactor accident scenarios. Initially, the Japanese regulator reviewed JAERI's proposal, which suggested that 30% of noble gases and 15% of iodine would be</w:t>
      </w:r>
      <w:r w:rsidR="00C33806">
        <w:t xml:space="preserve"> released to the environment [5</w:t>
      </w:r>
      <w:r w:rsidR="00B26E04">
        <w:t>]. These estimates assumed that all Oxygen entering the core would directly attack the fuel rather than oxidize other graphite structures within the reactor vessel.</w:t>
      </w:r>
    </w:p>
    <w:p w14:paraId="6092E1C1" w14:textId="629D6918" w:rsidR="0024638B" w:rsidRDefault="002114C1" w:rsidP="00AD2D2F">
      <w:pPr>
        <w:pStyle w:val="Tekstpodstawowy"/>
      </w:pPr>
      <w:r>
        <w:t>However, the Japanese regulator did not accept these estimates due to insufficient supporting evidence, leading to more conservative radionuclide release fractions based on the experience wi</w:t>
      </w:r>
      <w:r w:rsidR="00C33806">
        <w:t>th Light Water Reactors (LWR) [5</w:t>
      </w:r>
      <w:r>
        <w:t xml:space="preserve">]. A study by Idaho National Laboratory also provided source terms for a different HTGR accident scenario without significant fuel failure, specifically a D-LOFC with </w:t>
      </w:r>
      <w:r w:rsidR="00B851D7">
        <w:t>s</w:t>
      </w:r>
      <w:r w:rsidR="00C33806">
        <w:t>cram and without air ingress [6</w:t>
      </w:r>
      <w:r>
        <w:t xml:space="preserve">]. In this study, release fractions for each chemical group were calculated based on 95% confidence long-term releases and then scaled relative to the assumed 15% release of </w:t>
      </w:r>
      <w:r w:rsidRPr="00591B53">
        <w:rPr>
          <w:vertAlign w:val="superscript"/>
        </w:rPr>
        <w:t>131</w:t>
      </w:r>
      <w:r>
        <w:t>I</w:t>
      </w:r>
      <w:r w:rsidR="0024638B">
        <w:t xml:space="preserve"> </w:t>
      </w:r>
      <w:r>
        <w:t xml:space="preserve">The original release fractions proposed by MELCOR simulations were considered appropriate for this study. The release fractions for all relevant elements in the HTGR </w:t>
      </w:r>
      <w:r w:rsidR="00AD2D2F">
        <w:t>accident are summarized in Table</w:t>
      </w:r>
      <w:r>
        <w:t xml:space="preserve"> 1.</w:t>
      </w:r>
    </w:p>
    <w:p w14:paraId="7A6F19F6" w14:textId="77777777" w:rsidR="0020464D" w:rsidRPr="00AD2D2F" w:rsidRDefault="0020464D" w:rsidP="0024638B">
      <w:pPr>
        <w:pStyle w:val="Tekstpodstawowy"/>
        <w:rPr>
          <w:sz w:val="16"/>
          <w:szCs w:val="16"/>
        </w:rPr>
      </w:pPr>
    </w:p>
    <w:p w14:paraId="29274546" w14:textId="28D8E03E" w:rsidR="00B26E04" w:rsidRPr="002114C1" w:rsidRDefault="00B26E04" w:rsidP="00B26E04">
      <w:pPr>
        <w:pStyle w:val="Tekstpodstawowy"/>
        <w:ind w:firstLine="0"/>
        <w:rPr>
          <w:i/>
        </w:rPr>
      </w:pPr>
      <w:r>
        <w:t>TABLE 1</w:t>
      </w:r>
      <w:r w:rsidR="006E03B7">
        <w:t xml:space="preserve">. </w:t>
      </w:r>
      <w:r w:rsidRPr="002114C1">
        <w:rPr>
          <w:i/>
          <w:color w:val="0D0D0D"/>
          <w:shd w:val="clear" w:color="auto" w:fill="FFFFFF"/>
        </w:rPr>
        <w:t>Source term for HTGR</w:t>
      </w:r>
      <w:r w:rsidR="006E03B7" w:rsidRPr="002114C1">
        <w:rPr>
          <w:i/>
          <w:color w:val="0D0D0D"/>
          <w:shd w:val="clear" w:color="auto" w:fill="FFFFFF"/>
        </w:rPr>
        <w:t xml:space="preserve"> </w:t>
      </w:r>
      <w:proofErr w:type="spellStart"/>
      <w:r w:rsidR="006E03B7" w:rsidRPr="002114C1">
        <w:rPr>
          <w:i/>
          <w:color w:val="0D0D0D"/>
          <w:shd w:val="clear" w:color="auto" w:fill="FFFFFF"/>
        </w:rPr>
        <w:t>TeResa</w:t>
      </w:r>
      <w:proofErr w:type="spellEnd"/>
      <w:r w:rsidR="006E03B7" w:rsidRPr="002114C1">
        <w:rPr>
          <w:i/>
          <w:color w:val="0D0D0D"/>
          <w:shd w:val="clear" w:color="auto" w:fill="FFFFFF"/>
        </w:rPr>
        <w:t xml:space="preserve"> after </w:t>
      </w:r>
      <w:r w:rsidR="006E03B7" w:rsidRPr="002114C1">
        <w:rPr>
          <w:i/>
        </w:rPr>
        <w:t xml:space="preserve">DLOFC accident. Data </w:t>
      </w:r>
      <w:r w:rsidR="00347C4E" w:rsidRPr="002114C1">
        <w:rPr>
          <w:i/>
        </w:rPr>
        <w:t>is calculated</w:t>
      </w:r>
      <w:r w:rsidR="006E03B7" w:rsidRPr="002114C1">
        <w:rPr>
          <w:i/>
        </w:rPr>
        <w:t xml:space="preserve"> using </w:t>
      </w:r>
      <w:r w:rsidR="00347C4E" w:rsidRPr="002114C1">
        <w:rPr>
          <w:i/>
        </w:rPr>
        <w:t xml:space="preserve">the </w:t>
      </w:r>
      <w:r w:rsidR="006E03B7" w:rsidRPr="002114C1">
        <w:rPr>
          <w:i/>
        </w:rPr>
        <w:t xml:space="preserve">MELCOR code. </w:t>
      </w:r>
    </w:p>
    <w:tbl>
      <w:tblPr>
        <w:tblW w:w="6075" w:type="dxa"/>
        <w:jc w:val="center"/>
        <w:shd w:val="clear" w:color="auto" w:fill="FFFFFF" w:themeFill="background1"/>
        <w:tblLook w:val="04A0" w:firstRow="1" w:lastRow="0" w:firstColumn="1" w:lastColumn="0" w:noHBand="0" w:noVBand="1"/>
      </w:tblPr>
      <w:tblGrid>
        <w:gridCol w:w="960"/>
        <w:gridCol w:w="1046"/>
        <w:gridCol w:w="1046"/>
        <w:gridCol w:w="960"/>
        <w:gridCol w:w="1046"/>
        <w:gridCol w:w="1017"/>
      </w:tblGrid>
      <w:tr w:rsidR="00751767" w:rsidRPr="00751767" w14:paraId="7B288A5F" w14:textId="77777777" w:rsidTr="00751767">
        <w:trPr>
          <w:trHeight w:val="300"/>
          <w:jc w:val="center"/>
        </w:trPr>
        <w:tc>
          <w:tcPr>
            <w:tcW w:w="960" w:type="dxa"/>
            <w:tcBorders>
              <w:top w:val="single" w:sz="4" w:space="0" w:color="auto"/>
              <w:left w:val="nil"/>
              <w:bottom w:val="nil"/>
              <w:right w:val="nil"/>
            </w:tcBorders>
            <w:shd w:val="clear" w:color="auto" w:fill="FFFFFF" w:themeFill="background1"/>
            <w:noWrap/>
            <w:vAlign w:val="bottom"/>
            <w:hideMark/>
          </w:tcPr>
          <w:p w14:paraId="321112F0" w14:textId="77777777" w:rsidR="00B26E04" w:rsidRPr="00751767" w:rsidRDefault="00B26E04" w:rsidP="00DC1546">
            <w:pPr>
              <w:overflowPunct/>
              <w:autoSpaceDE/>
              <w:autoSpaceDN/>
              <w:adjustRightInd/>
              <w:textAlignment w:val="auto"/>
              <w:rPr>
                <w:b/>
                <w:bCs/>
                <w:sz w:val="20"/>
                <w:lang w:eastAsia="en-GB"/>
              </w:rPr>
            </w:pPr>
            <w:r w:rsidRPr="00751767">
              <w:rPr>
                <w:b/>
                <w:bCs/>
                <w:sz w:val="20"/>
                <w:lang w:eastAsia="en-GB"/>
              </w:rPr>
              <w:t>Isotope</w:t>
            </w:r>
          </w:p>
        </w:tc>
        <w:tc>
          <w:tcPr>
            <w:tcW w:w="1046" w:type="dxa"/>
            <w:tcBorders>
              <w:top w:val="single" w:sz="4" w:space="0" w:color="auto"/>
              <w:left w:val="nil"/>
              <w:bottom w:val="nil"/>
              <w:right w:val="nil"/>
            </w:tcBorders>
            <w:shd w:val="clear" w:color="auto" w:fill="FFFFFF" w:themeFill="background1"/>
            <w:noWrap/>
            <w:vAlign w:val="bottom"/>
            <w:hideMark/>
          </w:tcPr>
          <w:p w14:paraId="541053E8" w14:textId="77777777" w:rsidR="00B26E04" w:rsidRPr="00751767" w:rsidRDefault="00B26E04" w:rsidP="00DC1546">
            <w:pPr>
              <w:overflowPunct/>
              <w:autoSpaceDE/>
              <w:autoSpaceDN/>
              <w:adjustRightInd/>
              <w:jc w:val="center"/>
              <w:textAlignment w:val="auto"/>
              <w:rPr>
                <w:b/>
                <w:bCs/>
                <w:sz w:val="20"/>
                <w:lang w:eastAsia="en-GB"/>
              </w:rPr>
            </w:pPr>
            <w:r w:rsidRPr="00751767">
              <w:rPr>
                <w:b/>
                <w:bCs/>
                <w:sz w:val="20"/>
                <w:lang w:eastAsia="en-GB"/>
              </w:rPr>
              <w:t>[Ci]</w:t>
            </w:r>
          </w:p>
        </w:tc>
        <w:tc>
          <w:tcPr>
            <w:tcW w:w="1046" w:type="dxa"/>
            <w:tcBorders>
              <w:top w:val="single" w:sz="4" w:space="0" w:color="auto"/>
              <w:left w:val="nil"/>
              <w:bottom w:val="nil"/>
              <w:right w:val="nil"/>
            </w:tcBorders>
            <w:shd w:val="clear" w:color="auto" w:fill="FFFFFF" w:themeFill="background1"/>
            <w:noWrap/>
            <w:vAlign w:val="bottom"/>
            <w:hideMark/>
          </w:tcPr>
          <w:p w14:paraId="116FD981" w14:textId="77777777" w:rsidR="00B26E04" w:rsidRPr="00751767" w:rsidRDefault="00B26E04" w:rsidP="00DC1546">
            <w:pPr>
              <w:overflowPunct/>
              <w:autoSpaceDE/>
              <w:autoSpaceDN/>
              <w:adjustRightInd/>
              <w:jc w:val="center"/>
              <w:textAlignment w:val="auto"/>
              <w:rPr>
                <w:b/>
                <w:bCs/>
                <w:sz w:val="20"/>
                <w:lang w:eastAsia="en-GB"/>
              </w:rPr>
            </w:pPr>
            <w:r w:rsidRPr="00751767">
              <w:rPr>
                <w:b/>
                <w:bCs/>
                <w:sz w:val="20"/>
                <w:lang w:eastAsia="en-GB"/>
              </w:rPr>
              <w:t>[</w:t>
            </w:r>
            <w:proofErr w:type="spellStart"/>
            <w:r w:rsidRPr="00751767">
              <w:rPr>
                <w:b/>
                <w:bCs/>
                <w:sz w:val="20"/>
                <w:lang w:eastAsia="en-GB"/>
              </w:rPr>
              <w:t>Bq</w:t>
            </w:r>
            <w:proofErr w:type="spellEnd"/>
            <w:r w:rsidRPr="00751767">
              <w:rPr>
                <w:b/>
                <w:bCs/>
                <w:sz w:val="20"/>
                <w:lang w:eastAsia="en-GB"/>
              </w:rPr>
              <w:t>]</w:t>
            </w:r>
          </w:p>
        </w:tc>
        <w:tc>
          <w:tcPr>
            <w:tcW w:w="960" w:type="dxa"/>
            <w:tcBorders>
              <w:top w:val="single" w:sz="4" w:space="0" w:color="auto"/>
              <w:left w:val="nil"/>
              <w:bottom w:val="nil"/>
              <w:right w:val="nil"/>
            </w:tcBorders>
            <w:shd w:val="clear" w:color="auto" w:fill="FFFFFF" w:themeFill="background1"/>
            <w:noWrap/>
            <w:vAlign w:val="bottom"/>
            <w:hideMark/>
          </w:tcPr>
          <w:p w14:paraId="0AF7E4C3" w14:textId="77777777" w:rsidR="00B26E04" w:rsidRPr="00751767" w:rsidRDefault="00B26E04" w:rsidP="00DC1546">
            <w:pPr>
              <w:overflowPunct/>
              <w:autoSpaceDE/>
              <w:autoSpaceDN/>
              <w:adjustRightInd/>
              <w:textAlignment w:val="auto"/>
              <w:rPr>
                <w:b/>
                <w:bCs/>
                <w:sz w:val="20"/>
                <w:lang w:eastAsia="en-GB"/>
              </w:rPr>
            </w:pPr>
            <w:r w:rsidRPr="00751767">
              <w:rPr>
                <w:b/>
                <w:bCs/>
                <w:sz w:val="20"/>
                <w:lang w:eastAsia="en-GB"/>
              </w:rPr>
              <w:t>Isotope</w:t>
            </w:r>
          </w:p>
        </w:tc>
        <w:tc>
          <w:tcPr>
            <w:tcW w:w="1046" w:type="dxa"/>
            <w:tcBorders>
              <w:top w:val="single" w:sz="4" w:space="0" w:color="auto"/>
              <w:left w:val="nil"/>
              <w:bottom w:val="nil"/>
              <w:right w:val="nil"/>
            </w:tcBorders>
            <w:shd w:val="clear" w:color="auto" w:fill="FFFFFF" w:themeFill="background1"/>
            <w:noWrap/>
            <w:vAlign w:val="bottom"/>
            <w:hideMark/>
          </w:tcPr>
          <w:p w14:paraId="630FB779" w14:textId="77777777" w:rsidR="00B26E04" w:rsidRPr="00751767" w:rsidRDefault="00B26E04" w:rsidP="00DC1546">
            <w:pPr>
              <w:overflowPunct/>
              <w:autoSpaceDE/>
              <w:autoSpaceDN/>
              <w:adjustRightInd/>
              <w:jc w:val="center"/>
              <w:textAlignment w:val="auto"/>
              <w:rPr>
                <w:b/>
                <w:bCs/>
                <w:sz w:val="20"/>
                <w:lang w:eastAsia="en-GB"/>
              </w:rPr>
            </w:pPr>
            <w:r w:rsidRPr="00751767">
              <w:rPr>
                <w:b/>
                <w:bCs/>
                <w:sz w:val="20"/>
                <w:lang w:eastAsia="en-GB"/>
              </w:rPr>
              <w:t>[Ci]</w:t>
            </w:r>
          </w:p>
        </w:tc>
        <w:tc>
          <w:tcPr>
            <w:tcW w:w="1017" w:type="dxa"/>
            <w:tcBorders>
              <w:top w:val="single" w:sz="4" w:space="0" w:color="auto"/>
              <w:left w:val="nil"/>
              <w:bottom w:val="nil"/>
              <w:right w:val="nil"/>
            </w:tcBorders>
            <w:shd w:val="clear" w:color="auto" w:fill="FFFFFF" w:themeFill="background1"/>
            <w:noWrap/>
            <w:vAlign w:val="bottom"/>
            <w:hideMark/>
          </w:tcPr>
          <w:p w14:paraId="6CFE845B" w14:textId="77777777" w:rsidR="00B26E04" w:rsidRPr="00751767" w:rsidRDefault="00B26E04" w:rsidP="00DC1546">
            <w:pPr>
              <w:overflowPunct/>
              <w:autoSpaceDE/>
              <w:autoSpaceDN/>
              <w:adjustRightInd/>
              <w:jc w:val="center"/>
              <w:textAlignment w:val="auto"/>
              <w:rPr>
                <w:b/>
                <w:bCs/>
                <w:sz w:val="20"/>
                <w:lang w:eastAsia="en-GB"/>
              </w:rPr>
            </w:pPr>
            <w:r w:rsidRPr="00751767">
              <w:rPr>
                <w:b/>
                <w:bCs/>
                <w:sz w:val="20"/>
                <w:lang w:eastAsia="en-GB"/>
              </w:rPr>
              <w:t>[</w:t>
            </w:r>
            <w:proofErr w:type="spellStart"/>
            <w:r w:rsidRPr="00751767">
              <w:rPr>
                <w:b/>
                <w:bCs/>
                <w:sz w:val="20"/>
                <w:lang w:eastAsia="en-GB"/>
              </w:rPr>
              <w:t>Bq</w:t>
            </w:r>
            <w:proofErr w:type="spellEnd"/>
            <w:r w:rsidRPr="00751767">
              <w:rPr>
                <w:b/>
                <w:bCs/>
                <w:sz w:val="20"/>
                <w:lang w:eastAsia="en-GB"/>
              </w:rPr>
              <w:t>]</w:t>
            </w:r>
          </w:p>
        </w:tc>
      </w:tr>
      <w:tr w:rsidR="00751767" w:rsidRPr="00751767" w14:paraId="1AAB8115" w14:textId="77777777" w:rsidTr="00751767">
        <w:trPr>
          <w:trHeight w:val="300"/>
          <w:jc w:val="center"/>
        </w:trPr>
        <w:tc>
          <w:tcPr>
            <w:tcW w:w="960" w:type="dxa"/>
            <w:tcBorders>
              <w:top w:val="single" w:sz="4" w:space="0" w:color="auto"/>
              <w:left w:val="nil"/>
              <w:bottom w:val="single" w:sz="4" w:space="0" w:color="auto"/>
              <w:right w:val="nil"/>
            </w:tcBorders>
            <w:shd w:val="clear" w:color="auto" w:fill="FFFFFF" w:themeFill="background1"/>
            <w:noWrap/>
            <w:vAlign w:val="bottom"/>
            <w:hideMark/>
          </w:tcPr>
          <w:p w14:paraId="5D514D54"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Ag110m</w:t>
            </w:r>
          </w:p>
        </w:tc>
        <w:tc>
          <w:tcPr>
            <w:tcW w:w="1046" w:type="dxa"/>
            <w:tcBorders>
              <w:top w:val="single" w:sz="4" w:space="0" w:color="auto"/>
              <w:left w:val="nil"/>
              <w:bottom w:val="single" w:sz="4" w:space="0" w:color="auto"/>
              <w:right w:val="nil"/>
            </w:tcBorders>
            <w:shd w:val="clear" w:color="auto" w:fill="FFFFFF" w:themeFill="background1"/>
            <w:noWrap/>
            <w:vAlign w:val="bottom"/>
            <w:hideMark/>
          </w:tcPr>
          <w:p w14:paraId="1310823C"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4,42E-03</w:t>
            </w:r>
          </w:p>
        </w:tc>
        <w:tc>
          <w:tcPr>
            <w:tcW w:w="1046" w:type="dxa"/>
            <w:tcBorders>
              <w:top w:val="single" w:sz="4" w:space="0" w:color="auto"/>
              <w:left w:val="nil"/>
              <w:bottom w:val="single" w:sz="4" w:space="0" w:color="auto"/>
              <w:right w:val="nil"/>
            </w:tcBorders>
            <w:shd w:val="clear" w:color="auto" w:fill="FFFFFF" w:themeFill="background1"/>
            <w:noWrap/>
            <w:vAlign w:val="bottom"/>
            <w:hideMark/>
          </w:tcPr>
          <w:p w14:paraId="7B60EECA"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1,64E+08</w:t>
            </w:r>
          </w:p>
        </w:tc>
        <w:tc>
          <w:tcPr>
            <w:tcW w:w="960" w:type="dxa"/>
            <w:tcBorders>
              <w:top w:val="single" w:sz="4" w:space="0" w:color="auto"/>
              <w:left w:val="nil"/>
              <w:bottom w:val="single" w:sz="4" w:space="0" w:color="auto"/>
              <w:right w:val="nil"/>
            </w:tcBorders>
            <w:shd w:val="clear" w:color="auto" w:fill="FFFFFF" w:themeFill="background1"/>
            <w:noWrap/>
            <w:vAlign w:val="bottom"/>
            <w:hideMark/>
          </w:tcPr>
          <w:p w14:paraId="50B5C806"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Kr85m</w:t>
            </w:r>
          </w:p>
        </w:tc>
        <w:tc>
          <w:tcPr>
            <w:tcW w:w="1046" w:type="dxa"/>
            <w:tcBorders>
              <w:top w:val="single" w:sz="4" w:space="0" w:color="auto"/>
              <w:left w:val="nil"/>
              <w:bottom w:val="single" w:sz="4" w:space="0" w:color="auto"/>
              <w:right w:val="nil"/>
            </w:tcBorders>
            <w:shd w:val="clear" w:color="auto" w:fill="FFFFFF" w:themeFill="background1"/>
            <w:noWrap/>
            <w:vAlign w:val="bottom"/>
            <w:hideMark/>
          </w:tcPr>
          <w:p w14:paraId="68C765C5"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1,43E+00</w:t>
            </w:r>
          </w:p>
        </w:tc>
        <w:tc>
          <w:tcPr>
            <w:tcW w:w="1017" w:type="dxa"/>
            <w:tcBorders>
              <w:top w:val="single" w:sz="4" w:space="0" w:color="auto"/>
              <w:left w:val="nil"/>
              <w:bottom w:val="single" w:sz="4" w:space="0" w:color="auto"/>
              <w:right w:val="nil"/>
            </w:tcBorders>
            <w:shd w:val="clear" w:color="auto" w:fill="FFFFFF" w:themeFill="background1"/>
            <w:noWrap/>
            <w:vAlign w:val="bottom"/>
            <w:hideMark/>
          </w:tcPr>
          <w:p w14:paraId="44981D5E"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5,29E+10</w:t>
            </w:r>
          </w:p>
        </w:tc>
      </w:tr>
      <w:tr w:rsidR="00751767" w:rsidRPr="00751767" w14:paraId="227420EF" w14:textId="77777777" w:rsidTr="00751767">
        <w:trPr>
          <w:trHeight w:val="300"/>
          <w:jc w:val="center"/>
        </w:trPr>
        <w:tc>
          <w:tcPr>
            <w:tcW w:w="960" w:type="dxa"/>
            <w:tcBorders>
              <w:top w:val="nil"/>
              <w:left w:val="nil"/>
              <w:bottom w:val="single" w:sz="4" w:space="0" w:color="auto"/>
              <w:right w:val="nil"/>
            </w:tcBorders>
            <w:shd w:val="clear" w:color="auto" w:fill="FFFFFF" w:themeFill="background1"/>
            <w:noWrap/>
            <w:vAlign w:val="bottom"/>
            <w:hideMark/>
          </w:tcPr>
          <w:p w14:paraId="4083C59D"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Ba139</w:t>
            </w:r>
          </w:p>
        </w:tc>
        <w:tc>
          <w:tcPr>
            <w:tcW w:w="1046" w:type="dxa"/>
            <w:tcBorders>
              <w:top w:val="nil"/>
              <w:left w:val="nil"/>
              <w:bottom w:val="single" w:sz="4" w:space="0" w:color="auto"/>
              <w:right w:val="nil"/>
            </w:tcBorders>
            <w:shd w:val="clear" w:color="auto" w:fill="FFFFFF" w:themeFill="background1"/>
            <w:noWrap/>
            <w:vAlign w:val="bottom"/>
            <w:hideMark/>
          </w:tcPr>
          <w:p w14:paraId="1A4100B6"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2,12E-04</w:t>
            </w:r>
          </w:p>
        </w:tc>
        <w:tc>
          <w:tcPr>
            <w:tcW w:w="1046" w:type="dxa"/>
            <w:tcBorders>
              <w:top w:val="nil"/>
              <w:left w:val="nil"/>
              <w:bottom w:val="single" w:sz="4" w:space="0" w:color="auto"/>
              <w:right w:val="nil"/>
            </w:tcBorders>
            <w:shd w:val="clear" w:color="auto" w:fill="FFFFFF" w:themeFill="background1"/>
            <w:noWrap/>
            <w:vAlign w:val="bottom"/>
            <w:hideMark/>
          </w:tcPr>
          <w:p w14:paraId="4AC51671"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7,84E+06</w:t>
            </w:r>
          </w:p>
        </w:tc>
        <w:tc>
          <w:tcPr>
            <w:tcW w:w="960" w:type="dxa"/>
            <w:tcBorders>
              <w:top w:val="nil"/>
              <w:left w:val="nil"/>
              <w:bottom w:val="single" w:sz="4" w:space="0" w:color="auto"/>
              <w:right w:val="nil"/>
            </w:tcBorders>
            <w:shd w:val="clear" w:color="auto" w:fill="FFFFFF" w:themeFill="background1"/>
            <w:noWrap/>
            <w:vAlign w:val="bottom"/>
            <w:hideMark/>
          </w:tcPr>
          <w:p w14:paraId="05FABC1B"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Kr87</w:t>
            </w:r>
          </w:p>
        </w:tc>
        <w:tc>
          <w:tcPr>
            <w:tcW w:w="1046" w:type="dxa"/>
            <w:tcBorders>
              <w:top w:val="nil"/>
              <w:left w:val="nil"/>
              <w:bottom w:val="single" w:sz="4" w:space="0" w:color="auto"/>
              <w:right w:val="nil"/>
            </w:tcBorders>
            <w:shd w:val="clear" w:color="auto" w:fill="FFFFFF" w:themeFill="background1"/>
            <w:noWrap/>
            <w:vAlign w:val="bottom"/>
            <w:hideMark/>
          </w:tcPr>
          <w:p w14:paraId="7F0EFD1F"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2,88E+00</w:t>
            </w:r>
          </w:p>
        </w:tc>
        <w:tc>
          <w:tcPr>
            <w:tcW w:w="1017" w:type="dxa"/>
            <w:tcBorders>
              <w:top w:val="nil"/>
              <w:left w:val="nil"/>
              <w:bottom w:val="single" w:sz="4" w:space="0" w:color="auto"/>
              <w:right w:val="nil"/>
            </w:tcBorders>
            <w:shd w:val="clear" w:color="auto" w:fill="FFFFFF" w:themeFill="background1"/>
            <w:noWrap/>
            <w:vAlign w:val="bottom"/>
            <w:hideMark/>
          </w:tcPr>
          <w:p w14:paraId="7D1179A1"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1,07E+11</w:t>
            </w:r>
          </w:p>
        </w:tc>
      </w:tr>
      <w:tr w:rsidR="00751767" w:rsidRPr="00751767" w14:paraId="27EBBD8D" w14:textId="77777777" w:rsidTr="00751767">
        <w:trPr>
          <w:trHeight w:val="300"/>
          <w:jc w:val="center"/>
        </w:trPr>
        <w:tc>
          <w:tcPr>
            <w:tcW w:w="960" w:type="dxa"/>
            <w:tcBorders>
              <w:top w:val="nil"/>
              <w:left w:val="nil"/>
              <w:bottom w:val="single" w:sz="4" w:space="0" w:color="auto"/>
              <w:right w:val="nil"/>
            </w:tcBorders>
            <w:shd w:val="clear" w:color="auto" w:fill="FFFFFF" w:themeFill="background1"/>
            <w:noWrap/>
            <w:vAlign w:val="bottom"/>
            <w:hideMark/>
          </w:tcPr>
          <w:p w14:paraId="5C2025A6"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Ba140</w:t>
            </w:r>
          </w:p>
        </w:tc>
        <w:tc>
          <w:tcPr>
            <w:tcW w:w="1046" w:type="dxa"/>
            <w:tcBorders>
              <w:top w:val="nil"/>
              <w:left w:val="nil"/>
              <w:bottom w:val="single" w:sz="4" w:space="0" w:color="auto"/>
              <w:right w:val="nil"/>
            </w:tcBorders>
            <w:shd w:val="clear" w:color="auto" w:fill="FFFFFF" w:themeFill="background1"/>
            <w:noWrap/>
            <w:vAlign w:val="bottom"/>
            <w:hideMark/>
          </w:tcPr>
          <w:p w14:paraId="58512D51"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2,16E-04</w:t>
            </w:r>
          </w:p>
        </w:tc>
        <w:tc>
          <w:tcPr>
            <w:tcW w:w="1046" w:type="dxa"/>
            <w:tcBorders>
              <w:top w:val="nil"/>
              <w:left w:val="nil"/>
              <w:bottom w:val="single" w:sz="4" w:space="0" w:color="auto"/>
              <w:right w:val="nil"/>
            </w:tcBorders>
            <w:shd w:val="clear" w:color="auto" w:fill="FFFFFF" w:themeFill="background1"/>
            <w:noWrap/>
            <w:vAlign w:val="bottom"/>
            <w:hideMark/>
          </w:tcPr>
          <w:p w14:paraId="3D44585D"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7,99E+06</w:t>
            </w:r>
          </w:p>
        </w:tc>
        <w:tc>
          <w:tcPr>
            <w:tcW w:w="960" w:type="dxa"/>
            <w:tcBorders>
              <w:top w:val="nil"/>
              <w:left w:val="nil"/>
              <w:bottom w:val="single" w:sz="4" w:space="0" w:color="auto"/>
              <w:right w:val="nil"/>
            </w:tcBorders>
            <w:shd w:val="clear" w:color="auto" w:fill="FFFFFF" w:themeFill="background1"/>
            <w:noWrap/>
            <w:vAlign w:val="bottom"/>
            <w:hideMark/>
          </w:tcPr>
          <w:p w14:paraId="01FEBCC2"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Kr88</w:t>
            </w:r>
          </w:p>
        </w:tc>
        <w:tc>
          <w:tcPr>
            <w:tcW w:w="1046" w:type="dxa"/>
            <w:tcBorders>
              <w:top w:val="nil"/>
              <w:left w:val="nil"/>
              <w:bottom w:val="single" w:sz="4" w:space="0" w:color="auto"/>
              <w:right w:val="nil"/>
            </w:tcBorders>
            <w:shd w:val="clear" w:color="auto" w:fill="FFFFFF" w:themeFill="background1"/>
            <w:noWrap/>
            <w:vAlign w:val="bottom"/>
            <w:hideMark/>
          </w:tcPr>
          <w:p w14:paraId="249C1134"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3,59E+00</w:t>
            </w:r>
          </w:p>
        </w:tc>
        <w:tc>
          <w:tcPr>
            <w:tcW w:w="1017" w:type="dxa"/>
            <w:tcBorders>
              <w:top w:val="nil"/>
              <w:left w:val="nil"/>
              <w:bottom w:val="single" w:sz="4" w:space="0" w:color="auto"/>
              <w:right w:val="nil"/>
            </w:tcBorders>
            <w:shd w:val="clear" w:color="auto" w:fill="FFFFFF" w:themeFill="background1"/>
            <w:noWrap/>
            <w:vAlign w:val="bottom"/>
            <w:hideMark/>
          </w:tcPr>
          <w:p w14:paraId="124CD09C"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1,33E+11</w:t>
            </w:r>
          </w:p>
        </w:tc>
      </w:tr>
      <w:tr w:rsidR="00751767" w:rsidRPr="00751767" w14:paraId="66B13B66" w14:textId="77777777" w:rsidTr="00751767">
        <w:trPr>
          <w:trHeight w:val="300"/>
          <w:jc w:val="center"/>
        </w:trPr>
        <w:tc>
          <w:tcPr>
            <w:tcW w:w="960" w:type="dxa"/>
            <w:tcBorders>
              <w:top w:val="nil"/>
              <w:left w:val="nil"/>
              <w:bottom w:val="single" w:sz="4" w:space="0" w:color="auto"/>
              <w:right w:val="nil"/>
            </w:tcBorders>
            <w:shd w:val="clear" w:color="auto" w:fill="FFFFFF" w:themeFill="background1"/>
            <w:noWrap/>
            <w:vAlign w:val="bottom"/>
            <w:hideMark/>
          </w:tcPr>
          <w:p w14:paraId="19D38BA3"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Cs134</w:t>
            </w:r>
          </w:p>
        </w:tc>
        <w:tc>
          <w:tcPr>
            <w:tcW w:w="1046" w:type="dxa"/>
            <w:tcBorders>
              <w:top w:val="nil"/>
              <w:left w:val="nil"/>
              <w:bottom w:val="single" w:sz="4" w:space="0" w:color="auto"/>
              <w:right w:val="nil"/>
            </w:tcBorders>
            <w:shd w:val="clear" w:color="auto" w:fill="FFFFFF" w:themeFill="background1"/>
            <w:noWrap/>
            <w:vAlign w:val="bottom"/>
            <w:hideMark/>
          </w:tcPr>
          <w:p w14:paraId="63A0B5A5"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5,25E+00</w:t>
            </w:r>
          </w:p>
        </w:tc>
        <w:tc>
          <w:tcPr>
            <w:tcW w:w="1046" w:type="dxa"/>
            <w:tcBorders>
              <w:top w:val="nil"/>
              <w:left w:val="nil"/>
              <w:bottom w:val="single" w:sz="4" w:space="0" w:color="auto"/>
              <w:right w:val="nil"/>
            </w:tcBorders>
            <w:shd w:val="clear" w:color="auto" w:fill="FFFFFF" w:themeFill="background1"/>
            <w:noWrap/>
            <w:vAlign w:val="bottom"/>
            <w:hideMark/>
          </w:tcPr>
          <w:p w14:paraId="27655515"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1,94E+11</w:t>
            </w:r>
          </w:p>
        </w:tc>
        <w:tc>
          <w:tcPr>
            <w:tcW w:w="960" w:type="dxa"/>
            <w:tcBorders>
              <w:top w:val="nil"/>
              <w:left w:val="nil"/>
              <w:bottom w:val="single" w:sz="4" w:space="0" w:color="auto"/>
              <w:right w:val="nil"/>
            </w:tcBorders>
            <w:shd w:val="clear" w:color="auto" w:fill="FFFFFF" w:themeFill="background1"/>
            <w:noWrap/>
            <w:vAlign w:val="bottom"/>
            <w:hideMark/>
          </w:tcPr>
          <w:p w14:paraId="757DCDCF"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Rb86</w:t>
            </w:r>
          </w:p>
        </w:tc>
        <w:tc>
          <w:tcPr>
            <w:tcW w:w="1046" w:type="dxa"/>
            <w:tcBorders>
              <w:top w:val="nil"/>
              <w:left w:val="nil"/>
              <w:bottom w:val="single" w:sz="4" w:space="0" w:color="auto"/>
              <w:right w:val="nil"/>
            </w:tcBorders>
            <w:shd w:val="clear" w:color="auto" w:fill="FFFFFF" w:themeFill="background1"/>
            <w:noWrap/>
            <w:vAlign w:val="bottom"/>
            <w:hideMark/>
          </w:tcPr>
          <w:p w14:paraId="764D6D77"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6,24E-02</w:t>
            </w:r>
          </w:p>
        </w:tc>
        <w:tc>
          <w:tcPr>
            <w:tcW w:w="1017" w:type="dxa"/>
            <w:tcBorders>
              <w:top w:val="nil"/>
              <w:left w:val="nil"/>
              <w:bottom w:val="single" w:sz="4" w:space="0" w:color="auto"/>
              <w:right w:val="nil"/>
            </w:tcBorders>
            <w:shd w:val="clear" w:color="auto" w:fill="FFFFFF" w:themeFill="background1"/>
            <w:noWrap/>
            <w:vAlign w:val="bottom"/>
            <w:hideMark/>
          </w:tcPr>
          <w:p w14:paraId="136D6465"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2,31E+09</w:t>
            </w:r>
          </w:p>
        </w:tc>
      </w:tr>
      <w:tr w:rsidR="00751767" w:rsidRPr="00751767" w14:paraId="4957AE23" w14:textId="77777777" w:rsidTr="00751767">
        <w:trPr>
          <w:trHeight w:val="300"/>
          <w:jc w:val="center"/>
        </w:trPr>
        <w:tc>
          <w:tcPr>
            <w:tcW w:w="960" w:type="dxa"/>
            <w:tcBorders>
              <w:top w:val="nil"/>
              <w:left w:val="nil"/>
              <w:bottom w:val="single" w:sz="4" w:space="0" w:color="auto"/>
              <w:right w:val="nil"/>
            </w:tcBorders>
            <w:shd w:val="clear" w:color="auto" w:fill="FFFFFF" w:themeFill="background1"/>
            <w:noWrap/>
            <w:vAlign w:val="bottom"/>
            <w:hideMark/>
          </w:tcPr>
          <w:p w14:paraId="3840A78C"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Cs136</w:t>
            </w:r>
          </w:p>
        </w:tc>
        <w:tc>
          <w:tcPr>
            <w:tcW w:w="1046" w:type="dxa"/>
            <w:tcBorders>
              <w:top w:val="nil"/>
              <w:left w:val="nil"/>
              <w:bottom w:val="single" w:sz="4" w:space="0" w:color="auto"/>
              <w:right w:val="nil"/>
            </w:tcBorders>
            <w:shd w:val="clear" w:color="auto" w:fill="FFFFFF" w:themeFill="background1"/>
            <w:noWrap/>
            <w:vAlign w:val="bottom"/>
            <w:hideMark/>
          </w:tcPr>
          <w:p w14:paraId="23688A7D"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1,20E+00</w:t>
            </w:r>
          </w:p>
        </w:tc>
        <w:tc>
          <w:tcPr>
            <w:tcW w:w="1046" w:type="dxa"/>
            <w:tcBorders>
              <w:top w:val="nil"/>
              <w:left w:val="nil"/>
              <w:bottom w:val="single" w:sz="4" w:space="0" w:color="auto"/>
              <w:right w:val="nil"/>
            </w:tcBorders>
            <w:shd w:val="clear" w:color="auto" w:fill="FFFFFF" w:themeFill="background1"/>
            <w:noWrap/>
            <w:vAlign w:val="bottom"/>
            <w:hideMark/>
          </w:tcPr>
          <w:p w14:paraId="7C95B513"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4,44E+10</w:t>
            </w:r>
          </w:p>
        </w:tc>
        <w:tc>
          <w:tcPr>
            <w:tcW w:w="960" w:type="dxa"/>
            <w:tcBorders>
              <w:top w:val="nil"/>
              <w:left w:val="nil"/>
              <w:bottom w:val="single" w:sz="4" w:space="0" w:color="auto"/>
              <w:right w:val="nil"/>
            </w:tcBorders>
            <w:shd w:val="clear" w:color="auto" w:fill="FFFFFF" w:themeFill="background1"/>
            <w:noWrap/>
            <w:vAlign w:val="bottom"/>
            <w:hideMark/>
          </w:tcPr>
          <w:p w14:paraId="165087AD"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Rb88</w:t>
            </w:r>
          </w:p>
        </w:tc>
        <w:tc>
          <w:tcPr>
            <w:tcW w:w="1046" w:type="dxa"/>
            <w:tcBorders>
              <w:top w:val="nil"/>
              <w:left w:val="nil"/>
              <w:bottom w:val="single" w:sz="4" w:space="0" w:color="auto"/>
              <w:right w:val="nil"/>
            </w:tcBorders>
            <w:shd w:val="clear" w:color="auto" w:fill="FFFFFF" w:themeFill="background1"/>
            <w:noWrap/>
            <w:vAlign w:val="bottom"/>
            <w:hideMark/>
          </w:tcPr>
          <w:p w14:paraId="2A71AF5F"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6,37E+01</w:t>
            </w:r>
          </w:p>
        </w:tc>
        <w:tc>
          <w:tcPr>
            <w:tcW w:w="1017" w:type="dxa"/>
            <w:tcBorders>
              <w:top w:val="nil"/>
              <w:left w:val="nil"/>
              <w:bottom w:val="single" w:sz="4" w:space="0" w:color="auto"/>
              <w:right w:val="nil"/>
            </w:tcBorders>
            <w:shd w:val="clear" w:color="auto" w:fill="FFFFFF" w:themeFill="background1"/>
            <w:noWrap/>
            <w:vAlign w:val="bottom"/>
            <w:hideMark/>
          </w:tcPr>
          <w:p w14:paraId="666199D7"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2,36E+12</w:t>
            </w:r>
          </w:p>
        </w:tc>
      </w:tr>
      <w:tr w:rsidR="00751767" w:rsidRPr="00751767" w14:paraId="39CCCFC4" w14:textId="77777777" w:rsidTr="00751767">
        <w:trPr>
          <w:trHeight w:val="300"/>
          <w:jc w:val="center"/>
        </w:trPr>
        <w:tc>
          <w:tcPr>
            <w:tcW w:w="960" w:type="dxa"/>
            <w:tcBorders>
              <w:top w:val="nil"/>
              <w:left w:val="nil"/>
              <w:bottom w:val="single" w:sz="4" w:space="0" w:color="auto"/>
              <w:right w:val="nil"/>
            </w:tcBorders>
            <w:shd w:val="clear" w:color="auto" w:fill="FFFFFF" w:themeFill="background1"/>
            <w:noWrap/>
            <w:vAlign w:val="bottom"/>
            <w:hideMark/>
          </w:tcPr>
          <w:p w14:paraId="43C0572C"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Cs137</w:t>
            </w:r>
          </w:p>
        </w:tc>
        <w:tc>
          <w:tcPr>
            <w:tcW w:w="1046" w:type="dxa"/>
            <w:tcBorders>
              <w:top w:val="nil"/>
              <w:left w:val="nil"/>
              <w:bottom w:val="single" w:sz="4" w:space="0" w:color="auto"/>
              <w:right w:val="nil"/>
            </w:tcBorders>
            <w:shd w:val="clear" w:color="auto" w:fill="FFFFFF" w:themeFill="background1"/>
            <w:noWrap/>
            <w:vAlign w:val="bottom"/>
            <w:hideMark/>
          </w:tcPr>
          <w:p w14:paraId="44DD0063"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6,97E+00</w:t>
            </w:r>
          </w:p>
        </w:tc>
        <w:tc>
          <w:tcPr>
            <w:tcW w:w="1046" w:type="dxa"/>
            <w:tcBorders>
              <w:top w:val="nil"/>
              <w:left w:val="nil"/>
              <w:bottom w:val="single" w:sz="4" w:space="0" w:color="auto"/>
              <w:right w:val="nil"/>
            </w:tcBorders>
            <w:shd w:val="clear" w:color="auto" w:fill="FFFFFF" w:themeFill="background1"/>
            <w:noWrap/>
            <w:vAlign w:val="bottom"/>
            <w:hideMark/>
          </w:tcPr>
          <w:p w14:paraId="6D64A1CA"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2,58E+11</w:t>
            </w:r>
          </w:p>
        </w:tc>
        <w:tc>
          <w:tcPr>
            <w:tcW w:w="960" w:type="dxa"/>
            <w:tcBorders>
              <w:top w:val="nil"/>
              <w:left w:val="nil"/>
              <w:bottom w:val="single" w:sz="4" w:space="0" w:color="auto"/>
              <w:right w:val="nil"/>
            </w:tcBorders>
            <w:shd w:val="clear" w:color="auto" w:fill="FFFFFF" w:themeFill="background1"/>
            <w:noWrap/>
            <w:vAlign w:val="bottom"/>
            <w:hideMark/>
          </w:tcPr>
          <w:p w14:paraId="489FBBB1"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Sr89</w:t>
            </w:r>
          </w:p>
        </w:tc>
        <w:tc>
          <w:tcPr>
            <w:tcW w:w="1046" w:type="dxa"/>
            <w:tcBorders>
              <w:top w:val="nil"/>
              <w:left w:val="nil"/>
              <w:bottom w:val="single" w:sz="4" w:space="0" w:color="auto"/>
              <w:right w:val="nil"/>
            </w:tcBorders>
            <w:shd w:val="clear" w:color="auto" w:fill="FFFFFF" w:themeFill="background1"/>
            <w:noWrap/>
            <w:vAlign w:val="bottom"/>
            <w:hideMark/>
          </w:tcPr>
          <w:p w14:paraId="32F05223"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1,61E-04</w:t>
            </w:r>
          </w:p>
        </w:tc>
        <w:tc>
          <w:tcPr>
            <w:tcW w:w="1017" w:type="dxa"/>
            <w:tcBorders>
              <w:top w:val="nil"/>
              <w:left w:val="nil"/>
              <w:bottom w:val="single" w:sz="4" w:space="0" w:color="auto"/>
              <w:right w:val="nil"/>
            </w:tcBorders>
            <w:shd w:val="clear" w:color="auto" w:fill="FFFFFF" w:themeFill="background1"/>
            <w:noWrap/>
            <w:vAlign w:val="bottom"/>
            <w:hideMark/>
          </w:tcPr>
          <w:p w14:paraId="488BE494"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5,96E+06</w:t>
            </w:r>
          </w:p>
        </w:tc>
      </w:tr>
      <w:tr w:rsidR="00751767" w:rsidRPr="00751767" w14:paraId="14F51B2B" w14:textId="77777777" w:rsidTr="00751767">
        <w:trPr>
          <w:trHeight w:val="300"/>
          <w:jc w:val="center"/>
        </w:trPr>
        <w:tc>
          <w:tcPr>
            <w:tcW w:w="960" w:type="dxa"/>
            <w:tcBorders>
              <w:top w:val="nil"/>
              <w:left w:val="nil"/>
              <w:bottom w:val="single" w:sz="4" w:space="0" w:color="auto"/>
              <w:right w:val="nil"/>
            </w:tcBorders>
            <w:shd w:val="clear" w:color="auto" w:fill="FFFFFF" w:themeFill="background1"/>
            <w:noWrap/>
            <w:vAlign w:val="bottom"/>
            <w:hideMark/>
          </w:tcPr>
          <w:p w14:paraId="014B6F6B"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I131</w:t>
            </w:r>
          </w:p>
        </w:tc>
        <w:tc>
          <w:tcPr>
            <w:tcW w:w="1046" w:type="dxa"/>
            <w:tcBorders>
              <w:top w:val="nil"/>
              <w:left w:val="nil"/>
              <w:bottom w:val="single" w:sz="4" w:space="0" w:color="auto"/>
              <w:right w:val="nil"/>
            </w:tcBorders>
            <w:shd w:val="clear" w:color="auto" w:fill="FFFFFF" w:themeFill="background1"/>
            <w:noWrap/>
            <w:vAlign w:val="bottom"/>
            <w:hideMark/>
          </w:tcPr>
          <w:p w14:paraId="45FE0DD9"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8,03E-01</w:t>
            </w:r>
          </w:p>
        </w:tc>
        <w:tc>
          <w:tcPr>
            <w:tcW w:w="1046" w:type="dxa"/>
            <w:tcBorders>
              <w:top w:val="nil"/>
              <w:left w:val="nil"/>
              <w:bottom w:val="single" w:sz="4" w:space="0" w:color="auto"/>
              <w:right w:val="nil"/>
            </w:tcBorders>
            <w:shd w:val="clear" w:color="auto" w:fill="FFFFFF" w:themeFill="background1"/>
            <w:noWrap/>
            <w:vAlign w:val="bottom"/>
            <w:hideMark/>
          </w:tcPr>
          <w:p w14:paraId="3E661D98"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2,97E+10</w:t>
            </w:r>
          </w:p>
        </w:tc>
        <w:tc>
          <w:tcPr>
            <w:tcW w:w="960" w:type="dxa"/>
            <w:tcBorders>
              <w:top w:val="nil"/>
              <w:left w:val="nil"/>
              <w:bottom w:val="single" w:sz="4" w:space="0" w:color="auto"/>
              <w:right w:val="nil"/>
            </w:tcBorders>
            <w:shd w:val="clear" w:color="auto" w:fill="FFFFFF" w:themeFill="background1"/>
            <w:noWrap/>
            <w:vAlign w:val="bottom"/>
            <w:hideMark/>
          </w:tcPr>
          <w:p w14:paraId="6E8A1467"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Sr90</w:t>
            </w:r>
          </w:p>
        </w:tc>
        <w:tc>
          <w:tcPr>
            <w:tcW w:w="1046" w:type="dxa"/>
            <w:tcBorders>
              <w:top w:val="nil"/>
              <w:left w:val="nil"/>
              <w:bottom w:val="single" w:sz="4" w:space="0" w:color="auto"/>
              <w:right w:val="nil"/>
            </w:tcBorders>
            <w:shd w:val="clear" w:color="auto" w:fill="FFFFFF" w:themeFill="background1"/>
            <w:noWrap/>
            <w:vAlign w:val="bottom"/>
            <w:hideMark/>
          </w:tcPr>
          <w:p w14:paraId="423D987F"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1,56E-05</w:t>
            </w:r>
          </w:p>
        </w:tc>
        <w:tc>
          <w:tcPr>
            <w:tcW w:w="1017" w:type="dxa"/>
            <w:tcBorders>
              <w:top w:val="nil"/>
              <w:left w:val="nil"/>
              <w:bottom w:val="single" w:sz="4" w:space="0" w:color="auto"/>
              <w:right w:val="nil"/>
            </w:tcBorders>
            <w:shd w:val="clear" w:color="auto" w:fill="FFFFFF" w:themeFill="background1"/>
            <w:noWrap/>
            <w:vAlign w:val="bottom"/>
            <w:hideMark/>
          </w:tcPr>
          <w:p w14:paraId="50101B53"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5,77E+05</w:t>
            </w:r>
          </w:p>
        </w:tc>
      </w:tr>
      <w:tr w:rsidR="00751767" w:rsidRPr="00751767" w14:paraId="62883329" w14:textId="77777777" w:rsidTr="00751767">
        <w:trPr>
          <w:trHeight w:val="300"/>
          <w:jc w:val="center"/>
        </w:trPr>
        <w:tc>
          <w:tcPr>
            <w:tcW w:w="960" w:type="dxa"/>
            <w:tcBorders>
              <w:top w:val="nil"/>
              <w:left w:val="nil"/>
              <w:bottom w:val="single" w:sz="4" w:space="0" w:color="auto"/>
              <w:right w:val="nil"/>
            </w:tcBorders>
            <w:shd w:val="clear" w:color="auto" w:fill="FFFFFF" w:themeFill="background1"/>
            <w:noWrap/>
            <w:vAlign w:val="bottom"/>
            <w:hideMark/>
          </w:tcPr>
          <w:p w14:paraId="1A1FF633"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I132</w:t>
            </w:r>
          </w:p>
        </w:tc>
        <w:tc>
          <w:tcPr>
            <w:tcW w:w="1046" w:type="dxa"/>
            <w:tcBorders>
              <w:top w:val="nil"/>
              <w:left w:val="nil"/>
              <w:bottom w:val="single" w:sz="4" w:space="0" w:color="auto"/>
              <w:right w:val="nil"/>
            </w:tcBorders>
            <w:shd w:val="clear" w:color="auto" w:fill="FFFFFF" w:themeFill="background1"/>
            <w:noWrap/>
            <w:vAlign w:val="bottom"/>
            <w:hideMark/>
          </w:tcPr>
          <w:p w14:paraId="5734B122"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1,04E+00</w:t>
            </w:r>
          </w:p>
        </w:tc>
        <w:tc>
          <w:tcPr>
            <w:tcW w:w="1046" w:type="dxa"/>
            <w:tcBorders>
              <w:top w:val="nil"/>
              <w:left w:val="nil"/>
              <w:bottom w:val="single" w:sz="4" w:space="0" w:color="auto"/>
              <w:right w:val="nil"/>
            </w:tcBorders>
            <w:shd w:val="clear" w:color="auto" w:fill="FFFFFF" w:themeFill="background1"/>
            <w:noWrap/>
            <w:vAlign w:val="bottom"/>
            <w:hideMark/>
          </w:tcPr>
          <w:p w14:paraId="1B7C3E72"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3,85E+10</w:t>
            </w:r>
          </w:p>
        </w:tc>
        <w:tc>
          <w:tcPr>
            <w:tcW w:w="960" w:type="dxa"/>
            <w:tcBorders>
              <w:top w:val="nil"/>
              <w:left w:val="nil"/>
              <w:bottom w:val="single" w:sz="4" w:space="0" w:color="auto"/>
              <w:right w:val="nil"/>
            </w:tcBorders>
            <w:shd w:val="clear" w:color="auto" w:fill="FFFFFF" w:themeFill="background1"/>
            <w:noWrap/>
            <w:vAlign w:val="bottom"/>
            <w:hideMark/>
          </w:tcPr>
          <w:p w14:paraId="08744DC5"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Sr91</w:t>
            </w:r>
          </w:p>
        </w:tc>
        <w:tc>
          <w:tcPr>
            <w:tcW w:w="1046" w:type="dxa"/>
            <w:tcBorders>
              <w:top w:val="nil"/>
              <w:left w:val="nil"/>
              <w:bottom w:val="single" w:sz="4" w:space="0" w:color="auto"/>
              <w:right w:val="nil"/>
            </w:tcBorders>
            <w:shd w:val="clear" w:color="auto" w:fill="FFFFFF" w:themeFill="background1"/>
            <w:noWrap/>
            <w:vAlign w:val="bottom"/>
            <w:hideMark/>
          </w:tcPr>
          <w:p w14:paraId="70D83470"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2,00E-04</w:t>
            </w:r>
          </w:p>
        </w:tc>
        <w:tc>
          <w:tcPr>
            <w:tcW w:w="1017" w:type="dxa"/>
            <w:tcBorders>
              <w:top w:val="nil"/>
              <w:left w:val="nil"/>
              <w:bottom w:val="single" w:sz="4" w:space="0" w:color="auto"/>
              <w:right w:val="nil"/>
            </w:tcBorders>
            <w:shd w:val="clear" w:color="auto" w:fill="FFFFFF" w:themeFill="background1"/>
            <w:noWrap/>
            <w:vAlign w:val="bottom"/>
            <w:hideMark/>
          </w:tcPr>
          <w:p w14:paraId="31609D88"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7,40E+06</w:t>
            </w:r>
          </w:p>
        </w:tc>
      </w:tr>
      <w:tr w:rsidR="00751767" w:rsidRPr="00751767" w14:paraId="46FD9EFF" w14:textId="77777777" w:rsidTr="00751767">
        <w:trPr>
          <w:trHeight w:val="300"/>
          <w:jc w:val="center"/>
        </w:trPr>
        <w:tc>
          <w:tcPr>
            <w:tcW w:w="960" w:type="dxa"/>
            <w:tcBorders>
              <w:top w:val="nil"/>
              <w:left w:val="nil"/>
              <w:bottom w:val="single" w:sz="4" w:space="0" w:color="auto"/>
              <w:right w:val="nil"/>
            </w:tcBorders>
            <w:shd w:val="clear" w:color="auto" w:fill="FFFFFF" w:themeFill="background1"/>
            <w:noWrap/>
            <w:vAlign w:val="bottom"/>
            <w:hideMark/>
          </w:tcPr>
          <w:p w14:paraId="1E1F940C"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I133</w:t>
            </w:r>
          </w:p>
        </w:tc>
        <w:tc>
          <w:tcPr>
            <w:tcW w:w="1046" w:type="dxa"/>
            <w:tcBorders>
              <w:top w:val="nil"/>
              <w:left w:val="nil"/>
              <w:bottom w:val="single" w:sz="4" w:space="0" w:color="auto"/>
              <w:right w:val="nil"/>
            </w:tcBorders>
            <w:shd w:val="clear" w:color="auto" w:fill="FFFFFF" w:themeFill="background1"/>
            <w:noWrap/>
            <w:vAlign w:val="bottom"/>
            <w:hideMark/>
          </w:tcPr>
          <w:p w14:paraId="3C7F5645"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1,21E+00</w:t>
            </w:r>
          </w:p>
        </w:tc>
        <w:tc>
          <w:tcPr>
            <w:tcW w:w="1046" w:type="dxa"/>
            <w:tcBorders>
              <w:top w:val="nil"/>
              <w:left w:val="nil"/>
              <w:bottom w:val="single" w:sz="4" w:space="0" w:color="auto"/>
              <w:right w:val="nil"/>
            </w:tcBorders>
            <w:shd w:val="clear" w:color="auto" w:fill="FFFFFF" w:themeFill="background1"/>
            <w:noWrap/>
            <w:vAlign w:val="bottom"/>
            <w:hideMark/>
          </w:tcPr>
          <w:p w14:paraId="7C1D5A99"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4,48E+10</w:t>
            </w:r>
          </w:p>
        </w:tc>
        <w:tc>
          <w:tcPr>
            <w:tcW w:w="960" w:type="dxa"/>
            <w:tcBorders>
              <w:top w:val="nil"/>
              <w:left w:val="nil"/>
              <w:bottom w:val="single" w:sz="4" w:space="0" w:color="auto"/>
              <w:right w:val="nil"/>
            </w:tcBorders>
            <w:shd w:val="clear" w:color="auto" w:fill="FFFFFF" w:themeFill="background1"/>
            <w:noWrap/>
            <w:vAlign w:val="bottom"/>
            <w:hideMark/>
          </w:tcPr>
          <w:p w14:paraId="0D298F01"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Sr92</w:t>
            </w:r>
          </w:p>
        </w:tc>
        <w:tc>
          <w:tcPr>
            <w:tcW w:w="1046" w:type="dxa"/>
            <w:tcBorders>
              <w:top w:val="nil"/>
              <w:left w:val="nil"/>
              <w:bottom w:val="single" w:sz="4" w:space="0" w:color="auto"/>
              <w:right w:val="nil"/>
            </w:tcBorders>
            <w:shd w:val="clear" w:color="auto" w:fill="FFFFFF" w:themeFill="background1"/>
            <w:noWrap/>
            <w:vAlign w:val="bottom"/>
            <w:hideMark/>
          </w:tcPr>
          <w:p w14:paraId="0E5FD0BD"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2,06E-04</w:t>
            </w:r>
          </w:p>
        </w:tc>
        <w:tc>
          <w:tcPr>
            <w:tcW w:w="1017" w:type="dxa"/>
            <w:tcBorders>
              <w:top w:val="nil"/>
              <w:left w:val="nil"/>
              <w:bottom w:val="single" w:sz="4" w:space="0" w:color="auto"/>
              <w:right w:val="nil"/>
            </w:tcBorders>
            <w:shd w:val="clear" w:color="auto" w:fill="FFFFFF" w:themeFill="background1"/>
            <w:noWrap/>
            <w:vAlign w:val="bottom"/>
            <w:hideMark/>
          </w:tcPr>
          <w:p w14:paraId="0CD79F0E"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7,62E+06</w:t>
            </w:r>
          </w:p>
        </w:tc>
      </w:tr>
      <w:tr w:rsidR="00751767" w:rsidRPr="00751767" w14:paraId="31402AC9" w14:textId="77777777" w:rsidTr="00751767">
        <w:trPr>
          <w:trHeight w:val="300"/>
          <w:jc w:val="center"/>
        </w:trPr>
        <w:tc>
          <w:tcPr>
            <w:tcW w:w="960" w:type="dxa"/>
            <w:tcBorders>
              <w:top w:val="nil"/>
              <w:left w:val="nil"/>
              <w:bottom w:val="single" w:sz="4" w:space="0" w:color="auto"/>
              <w:right w:val="nil"/>
            </w:tcBorders>
            <w:shd w:val="clear" w:color="auto" w:fill="FFFFFF" w:themeFill="background1"/>
            <w:noWrap/>
            <w:vAlign w:val="bottom"/>
            <w:hideMark/>
          </w:tcPr>
          <w:p w14:paraId="0AC97E59"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I134</w:t>
            </w:r>
          </w:p>
        </w:tc>
        <w:tc>
          <w:tcPr>
            <w:tcW w:w="1046" w:type="dxa"/>
            <w:tcBorders>
              <w:top w:val="nil"/>
              <w:left w:val="nil"/>
              <w:bottom w:val="single" w:sz="4" w:space="0" w:color="auto"/>
              <w:right w:val="nil"/>
            </w:tcBorders>
            <w:shd w:val="clear" w:color="auto" w:fill="FFFFFF" w:themeFill="background1"/>
            <w:noWrap/>
            <w:vAlign w:val="bottom"/>
            <w:hideMark/>
          </w:tcPr>
          <w:p w14:paraId="6F00CA69"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1,25E+00</w:t>
            </w:r>
          </w:p>
        </w:tc>
        <w:tc>
          <w:tcPr>
            <w:tcW w:w="1046" w:type="dxa"/>
            <w:tcBorders>
              <w:top w:val="nil"/>
              <w:left w:val="nil"/>
              <w:bottom w:val="single" w:sz="4" w:space="0" w:color="auto"/>
              <w:right w:val="nil"/>
            </w:tcBorders>
            <w:shd w:val="clear" w:color="auto" w:fill="FFFFFF" w:themeFill="background1"/>
            <w:noWrap/>
            <w:vAlign w:val="bottom"/>
            <w:hideMark/>
          </w:tcPr>
          <w:p w14:paraId="0C621330"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4,63E+10</w:t>
            </w:r>
          </w:p>
        </w:tc>
        <w:tc>
          <w:tcPr>
            <w:tcW w:w="960" w:type="dxa"/>
            <w:tcBorders>
              <w:top w:val="nil"/>
              <w:left w:val="nil"/>
              <w:bottom w:val="single" w:sz="4" w:space="0" w:color="auto"/>
              <w:right w:val="nil"/>
            </w:tcBorders>
            <w:shd w:val="clear" w:color="auto" w:fill="FFFFFF" w:themeFill="background1"/>
            <w:noWrap/>
            <w:vAlign w:val="bottom"/>
            <w:hideMark/>
          </w:tcPr>
          <w:p w14:paraId="2986C16D"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Xe131m</w:t>
            </w:r>
          </w:p>
        </w:tc>
        <w:tc>
          <w:tcPr>
            <w:tcW w:w="1046" w:type="dxa"/>
            <w:tcBorders>
              <w:top w:val="nil"/>
              <w:left w:val="nil"/>
              <w:bottom w:val="single" w:sz="4" w:space="0" w:color="auto"/>
              <w:right w:val="nil"/>
            </w:tcBorders>
            <w:shd w:val="clear" w:color="auto" w:fill="FFFFFF" w:themeFill="background1"/>
            <w:noWrap/>
            <w:vAlign w:val="bottom"/>
            <w:hideMark/>
          </w:tcPr>
          <w:p w14:paraId="31B733C9"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4,22E-02</w:t>
            </w:r>
          </w:p>
        </w:tc>
        <w:tc>
          <w:tcPr>
            <w:tcW w:w="1017" w:type="dxa"/>
            <w:tcBorders>
              <w:top w:val="nil"/>
              <w:left w:val="nil"/>
              <w:bottom w:val="single" w:sz="4" w:space="0" w:color="auto"/>
              <w:right w:val="nil"/>
            </w:tcBorders>
            <w:shd w:val="clear" w:color="auto" w:fill="FFFFFF" w:themeFill="background1"/>
            <w:noWrap/>
            <w:vAlign w:val="bottom"/>
            <w:hideMark/>
          </w:tcPr>
          <w:p w14:paraId="5C4A80E8"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1,56E+09</w:t>
            </w:r>
          </w:p>
        </w:tc>
      </w:tr>
      <w:tr w:rsidR="00751767" w:rsidRPr="00751767" w14:paraId="41575EF4" w14:textId="77777777" w:rsidTr="00751767">
        <w:trPr>
          <w:trHeight w:val="300"/>
          <w:jc w:val="center"/>
        </w:trPr>
        <w:tc>
          <w:tcPr>
            <w:tcW w:w="960" w:type="dxa"/>
            <w:tcBorders>
              <w:top w:val="nil"/>
              <w:left w:val="nil"/>
              <w:bottom w:val="single" w:sz="4" w:space="0" w:color="auto"/>
              <w:right w:val="nil"/>
            </w:tcBorders>
            <w:shd w:val="clear" w:color="auto" w:fill="FFFFFF" w:themeFill="background1"/>
            <w:noWrap/>
            <w:vAlign w:val="bottom"/>
            <w:hideMark/>
          </w:tcPr>
          <w:p w14:paraId="05B62715"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I135</w:t>
            </w:r>
          </w:p>
        </w:tc>
        <w:tc>
          <w:tcPr>
            <w:tcW w:w="1046" w:type="dxa"/>
            <w:tcBorders>
              <w:top w:val="nil"/>
              <w:left w:val="nil"/>
              <w:bottom w:val="single" w:sz="4" w:space="0" w:color="auto"/>
              <w:right w:val="nil"/>
            </w:tcBorders>
            <w:shd w:val="clear" w:color="auto" w:fill="FFFFFF" w:themeFill="background1"/>
            <w:noWrap/>
            <w:vAlign w:val="bottom"/>
            <w:hideMark/>
          </w:tcPr>
          <w:p w14:paraId="3805FDBD"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1,10E+00</w:t>
            </w:r>
          </w:p>
        </w:tc>
        <w:tc>
          <w:tcPr>
            <w:tcW w:w="1046" w:type="dxa"/>
            <w:tcBorders>
              <w:top w:val="nil"/>
              <w:left w:val="nil"/>
              <w:bottom w:val="single" w:sz="4" w:space="0" w:color="auto"/>
              <w:right w:val="nil"/>
            </w:tcBorders>
            <w:shd w:val="clear" w:color="auto" w:fill="FFFFFF" w:themeFill="background1"/>
            <w:noWrap/>
            <w:vAlign w:val="bottom"/>
            <w:hideMark/>
          </w:tcPr>
          <w:p w14:paraId="58E3FC79"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4,07E+10</w:t>
            </w:r>
          </w:p>
        </w:tc>
        <w:tc>
          <w:tcPr>
            <w:tcW w:w="960" w:type="dxa"/>
            <w:tcBorders>
              <w:top w:val="nil"/>
              <w:left w:val="nil"/>
              <w:bottom w:val="single" w:sz="4" w:space="0" w:color="auto"/>
              <w:right w:val="nil"/>
            </w:tcBorders>
            <w:shd w:val="clear" w:color="auto" w:fill="FFFFFF" w:themeFill="background1"/>
            <w:noWrap/>
            <w:vAlign w:val="bottom"/>
            <w:hideMark/>
          </w:tcPr>
          <w:p w14:paraId="3D598C5E"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Xe133</w:t>
            </w:r>
          </w:p>
        </w:tc>
        <w:tc>
          <w:tcPr>
            <w:tcW w:w="1046" w:type="dxa"/>
            <w:tcBorders>
              <w:top w:val="nil"/>
              <w:left w:val="nil"/>
              <w:bottom w:val="single" w:sz="4" w:space="0" w:color="auto"/>
              <w:right w:val="nil"/>
            </w:tcBorders>
            <w:shd w:val="clear" w:color="auto" w:fill="FFFFFF" w:themeFill="background1"/>
            <w:noWrap/>
            <w:vAlign w:val="bottom"/>
            <w:hideMark/>
          </w:tcPr>
          <w:p w14:paraId="2F6AC6E5"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5,59E+00</w:t>
            </w:r>
          </w:p>
        </w:tc>
        <w:tc>
          <w:tcPr>
            <w:tcW w:w="1017" w:type="dxa"/>
            <w:tcBorders>
              <w:top w:val="nil"/>
              <w:left w:val="nil"/>
              <w:bottom w:val="single" w:sz="4" w:space="0" w:color="auto"/>
              <w:right w:val="nil"/>
            </w:tcBorders>
            <w:shd w:val="clear" w:color="auto" w:fill="FFFFFF" w:themeFill="background1"/>
            <w:noWrap/>
            <w:vAlign w:val="bottom"/>
            <w:hideMark/>
          </w:tcPr>
          <w:p w14:paraId="2E5D0361"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2,07E+11</w:t>
            </w:r>
          </w:p>
        </w:tc>
      </w:tr>
      <w:tr w:rsidR="00751767" w:rsidRPr="00751767" w14:paraId="4E9ED6E2" w14:textId="77777777" w:rsidTr="00751767">
        <w:trPr>
          <w:trHeight w:val="300"/>
          <w:jc w:val="center"/>
        </w:trPr>
        <w:tc>
          <w:tcPr>
            <w:tcW w:w="960" w:type="dxa"/>
            <w:tcBorders>
              <w:top w:val="nil"/>
              <w:left w:val="nil"/>
              <w:bottom w:val="single" w:sz="4" w:space="0" w:color="auto"/>
              <w:right w:val="nil"/>
            </w:tcBorders>
            <w:shd w:val="clear" w:color="auto" w:fill="FFFFFF" w:themeFill="background1"/>
            <w:noWrap/>
            <w:vAlign w:val="bottom"/>
            <w:hideMark/>
          </w:tcPr>
          <w:p w14:paraId="4FE291C1"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Kr83m</w:t>
            </w:r>
          </w:p>
        </w:tc>
        <w:tc>
          <w:tcPr>
            <w:tcW w:w="1046" w:type="dxa"/>
            <w:tcBorders>
              <w:top w:val="nil"/>
              <w:left w:val="nil"/>
              <w:bottom w:val="single" w:sz="4" w:space="0" w:color="auto"/>
              <w:right w:val="nil"/>
            </w:tcBorders>
            <w:shd w:val="clear" w:color="auto" w:fill="FFFFFF" w:themeFill="background1"/>
            <w:noWrap/>
            <w:vAlign w:val="bottom"/>
            <w:hideMark/>
          </w:tcPr>
          <w:p w14:paraId="41FE6E28"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5,89E-01</w:t>
            </w:r>
          </w:p>
        </w:tc>
        <w:tc>
          <w:tcPr>
            <w:tcW w:w="1046" w:type="dxa"/>
            <w:tcBorders>
              <w:top w:val="nil"/>
              <w:left w:val="nil"/>
              <w:bottom w:val="single" w:sz="4" w:space="0" w:color="auto"/>
              <w:right w:val="nil"/>
            </w:tcBorders>
            <w:shd w:val="clear" w:color="auto" w:fill="FFFFFF" w:themeFill="background1"/>
            <w:noWrap/>
            <w:vAlign w:val="bottom"/>
            <w:hideMark/>
          </w:tcPr>
          <w:p w14:paraId="58D4D497"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2,18E+10</w:t>
            </w:r>
          </w:p>
        </w:tc>
        <w:tc>
          <w:tcPr>
            <w:tcW w:w="960" w:type="dxa"/>
            <w:tcBorders>
              <w:top w:val="nil"/>
              <w:left w:val="nil"/>
              <w:bottom w:val="single" w:sz="4" w:space="0" w:color="auto"/>
              <w:right w:val="nil"/>
            </w:tcBorders>
            <w:shd w:val="clear" w:color="auto" w:fill="FFFFFF" w:themeFill="background1"/>
            <w:noWrap/>
            <w:vAlign w:val="bottom"/>
            <w:hideMark/>
          </w:tcPr>
          <w:p w14:paraId="77EC7972"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Xe133m</w:t>
            </w:r>
          </w:p>
        </w:tc>
        <w:tc>
          <w:tcPr>
            <w:tcW w:w="1046" w:type="dxa"/>
            <w:tcBorders>
              <w:top w:val="nil"/>
              <w:left w:val="nil"/>
              <w:bottom w:val="single" w:sz="4" w:space="0" w:color="auto"/>
              <w:right w:val="nil"/>
            </w:tcBorders>
            <w:shd w:val="clear" w:color="auto" w:fill="FFFFFF" w:themeFill="background1"/>
            <w:noWrap/>
            <w:vAlign w:val="bottom"/>
            <w:hideMark/>
          </w:tcPr>
          <w:p w14:paraId="45FC0D64"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1,80E-01</w:t>
            </w:r>
          </w:p>
        </w:tc>
        <w:tc>
          <w:tcPr>
            <w:tcW w:w="1017" w:type="dxa"/>
            <w:tcBorders>
              <w:top w:val="nil"/>
              <w:left w:val="nil"/>
              <w:bottom w:val="single" w:sz="4" w:space="0" w:color="auto"/>
              <w:right w:val="nil"/>
            </w:tcBorders>
            <w:shd w:val="clear" w:color="auto" w:fill="FFFFFF" w:themeFill="background1"/>
            <w:noWrap/>
            <w:vAlign w:val="bottom"/>
            <w:hideMark/>
          </w:tcPr>
          <w:p w14:paraId="719A7C48"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6,66E+09</w:t>
            </w:r>
          </w:p>
        </w:tc>
      </w:tr>
      <w:tr w:rsidR="00751767" w:rsidRPr="00751767" w14:paraId="3EB561B9" w14:textId="77777777" w:rsidTr="00751767">
        <w:trPr>
          <w:trHeight w:val="70"/>
          <w:jc w:val="center"/>
        </w:trPr>
        <w:tc>
          <w:tcPr>
            <w:tcW w:w="960" w:type="dxa"/>
            <w:tcBorders>
              <w:top w:val="nil"/>
              <w:left w:val="nil"/>
              <w:bottom w:val="single" w:sz="4" w:space="0" w:color="auto"/>
              <w:right w:val="nil"/>
            </w:tcBorders>
            <w:shd w:val="clear" w:color="auto" w:fill="FFFFFF" w:themeFill="background1"/>
            <w:noWrap/>
            <w:vAlign w:val="bottom"/>
            <w:hideMark/>
          </w:tcPr>
          <w:p w14:paraId="3EA67857"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Kr85</w:t>
            </w:r>
          </w:p>
        </w:tc>
        <w:tc>
          <w:tcPr>
            <w:tcW w:w="1046" w:type="dxa"/>
            <w:tcBorders>
              <w:top w:val="nil"/>
              <w:left w:val="nil"/>
              <w:bottom w:val="single" w:sz="4" w:space="0" w:color="auto"/>
              <w:right w:val="nil"/>
            </w:tcBorders>
            <w:shd w:val="clear" w:color="auto" w:fill="FFFFFF" w:themeFill="background1"/>
            <w:noWrap/>
            <w:vAlign w:val="bottom"/>
            <w:hideMark/>
          </w:tcPr>
          <w:p w14:paraId="13636C16"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6,90E-02</w:t>
            </w:r>
          </w:p>
        </w:tc>
        <w:tc>
          <w:tcPr>
            <w:tcW w:w="1046" w:type="dxa"/>
            <w:tcBorders>
              <w:top w:val="nil"/>
              <w:left w:val="nil"/>
              <w:bottom w:val="single" w:sz="4" w:space="0" w:color="auto"/>
              <w:right w:val="nil"/>
            </w:tcBorders>
            <w:shd w:val="clear" w:color="auto" w:fill="FFFFFF" w:themeFill="background1"/>
            <w:noWrap/>
            <w:vAlign w:val="bottom"/>
            <w:hideMark/>
          </w:tcPr>
          <w:p w14:paraId="68365098"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2,55E+09</w:t>
            </w:r>
          </w:p>
        </w:tc>
        <w:tc>
          <w:tcPr>
            <w:tcW w:w="960" w:type="dxa"/>
            <w:tcBorders>
              <w:top w:val="nil"/>
              <w:left w:val="nil"/>
              <w:bottom w:val="single" w:sz="4" w:space="0" w:color="auto"/>
              <w:right w:val="nil"/>
            </w:tcBorders>
            <w:shd w:val="clear" w:color="auto" w:fill="FFFFFF" w:themeFill="background1"/>
            <w:noWrap/>
            <w:vAlign w:val="bottom"/>
            <w:hideMark/>
          </w:tcPr>
          <w:p w14:paraId="06BED7CD" w14:textId="77777777" w:rsidR="00B26E04" w:rsidRPr="00751767" w:rsidRDefault="00B26E04" w:rsidP="00DC1546">
            <w:pPr>
              <w:overflowPunct/>
              <w:autoSpaceDE/>
              <w:autoSpaceDN/>
              <w:adjustRightInd/>
              <w:textAlignment w:val="auto"/>
              <w:rPr>
                <w:sz w:val="20"/>
                <w:lang w:eastAsia="en-GB"/>
              </w:rPr>
            </w:pPr>
            <w:r w:rsidRPr="00751767">
              <w:rPr>
                <w:sz w:val="20"/>
                <w:lang w:eastAsia="en-GB"/>
              </w:rPr>
              <w:t>Xe135</w:t>
            </w:r>
          </w:p>
        </w:tc>
        <w:tc>
          <w:tcPr>
            <w:tcW w:w="1046" w:type="dxa"/>
            <w:tcBorders>
              <w:top w:val="nil"/>
              <w:left w:val="nil"/>
              <w:bottom w:val="single" w:sz="4" w:space="0" w:color="auto"/>
              <w:right w:val="nil"/>
            </w:tcBorders>
            <w:shd w:val="clear" w:color="auto" w:fill="FFFFFF" w:themeFill="background1"/>
            <w:noWrap/>
            <w:vAlign w:val="bottom"/>
            <w:hideMark/>
          </w:tcPr>
          <w:p w14:paraId="62697B42"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1,91E+00</w:t>
            </w:r>
          </w:p>
        </w:tc>
        <w:tc>
          <w:tcPr>
            <w:tcW w:w="1017" w:type="dxa"/>
            <w:tcBorders>
              <w:top w:val="nil"/>
              <w:left w:val="nil"/>
              <w:bottom w:val="single" w:sz="4" w:space="0" w:color="auto"/>
              <w:right w:val="nil"/>
            </w:tcBorders>
            <w:shd w:val="clear" w:color="auto" w:fill="FFFFFF" w:themeFill="background1"/>
            <w:noWrap/>
            <w:vAlign w:val="bottom"/>
            <w:hideMark/>
          </w:tcPr>
          <w:p w14:paraId="03AA7E21" w14:textId="77777777" w:rsidR="00B26E04" w:rsidRPr="00751767" w:rsidRDefault="00B26E04" w:rsidP="00DC1546">
            <w:pPr>
              <w:overflowPunct/>
              <w:autoSpaceDE/>
              <w:autoSpaceDN/>
              <w:adjustRightInd/>
              <w:jc w:val="center"/>
              <w:textAlignment w:val="auto"/>
              <w:rPr>
                <w:sz w:val="20"/>
                <w:lang w:eastAsia="en-GB"/>
              </w:rPr>
            </w:pPr>
            <w:r w:rsidRPr="00751767">
              <w:rPr>
                <w:sz w:val="20"/>
                <w:lang w:eastAsia="en-GB"/>
              </w:rPr>
              <w:t>7,07E+10</w:t>
            </w:r>
          </w:p>
        </w:tc>
      </w:tr>
    </w:tbl>
    <w:p w14:paraId="4B30AE07" w14:textId="4FA41E8D" w:rsidR="00067759" w:rsidRPr="004B4DA9" w:rsidRDefault="004B4DA9" w:rsidP="004B4DA9">
      <w:pPr>
        <w:pStyle w:val="Nagwek2"/>
        <w:numPr>
          <w:ilvl w:val="1"/>
          <w:numId w:val="10"/>
        </w:numPr>
      </w:pPr>
      <w:r w:rsidRPr="004B4DA9">
        <w:lastRenderedPageBreak/>
        <w:t>JRODOS (Rea</w:t>
      </w:r>
      <w:r>
        <w:t>l-time On-line DecisiOn Support</w:t>
      </w:r>
      <w:r w:rsidR="00347C4E">
        <w:t>)</w:t>
      </w:r>
      <w:r>
        <w:t xml:space="preserve"> </w:t>
      </w:r>
    </w:p>
    <w:p w14:paraId="138F0D6A" w14:textId="77777777" w:rsidR="00F26380" w:rsidRDefault="00F26380" w:rsidP="00F26380">
      <w:pPr>
        <w:pStyle w:val="Tekstpodstawowy"/>
      </w:pPr>
      <w:r>
        <w:t xml:space="preserve">The JRODOS system, developed within various </w:t>
      </w:r>
      <w:proofErr w:type="spellStart"/>
      <w:r>
        <w:t>Euroatom</w:t>
      </w:r>
      <w:proofErr w:type="spellEnd"/>
      <w:r>
        <w:t xml:space="preserve"> projects [7, 8, 9], constitutes a sophisticated computational tool applicable within national or regional emergency control </w:t>
      </w:r>
      <w:proofErr w:type="spellStart"/>
      <w:r>
        <w:t>centers</w:t>
      </w:r>
      <w:proofErr w:type="spellEnd"/>
      <w:r>
        <w:t xml:space="preserve"> across all stages of a nuclear incident. Its primary objective is to assist decision-makers in implementing a diverse array of measures aimed at mitigating the repercussions stemming from the release of radioactive substances into the environment after a nuclear mishap. To ensure its efficacy, the system necessitates seamless integration with meteorological services and radiological monitoring networks, alongside customization to suit local, regional, and national contexts.</w:t>
      </w:r>
    </w:p>
    <w:p w14:paraId="72024863" w14:textId="77777777" w:rsidR="00F26380" w:rsidRDefault="00F26380" w:rsidP="00F26380">
      <w:pPr>
        <w:pStyle w:val="Tekstpodstawowy"/>
      </w:pPr>
      <w:r>
        <w:t xml:space="preserve">In the event of an inadvertent atmospheric release, the system can function either diagnostically, utilizing real-time local meteorological data sourced from monitoring masts, or </w:t>
      </w:r>
      <w:proofErr w:type="spellStart"/>
      <w:r>
        <w:t>prognostically</w:t>
      </w:r>
      <w:proofErr w:type="spellEnd"/>
      <w:r>
        <w:t xml:space="preserve">, employing a suite of atmospheric dispersion models spanning from local to continental scales. The local-scale models (LSMC) embedded within the JRODOS system encompass the meteorological pre-processor RMPP [10], the puff diffusion model RIMPUFF [11, 8, 12], and the </w:t>
      </w:r>
      <w:proofErr w:type="spellStart"/>
      <w:r>
        <w:t>Lagrangian</w:t>
      </w:r>
      <w:proofErr w:type="spellEnd"/>
      <w:r>
        <w:t xml:space="preserve"> model </w:t>
      </w:r>
      <w:proofErr w:type="spellStart"/>
      <w:r>
        <w:t>Dipcot</w:t>
      </w:r>
      <w:proofErr w:type="spellEnd"/>
      <w:r>
        <w:t xml:space="preserve"> [13]. For long-range dispersion, options include the Eulerian model MATCH [14, 15, 16] and, with certain constraints, the </w:t>
      </w:r>
      <w:proofErr w:type="spellStart"/>
      <w:r>
        <w:t>Lagrangian</w:t>
      </w:r>
      <w:proofErr w:type="spellEnd"/>
      <w:r>
        <w:t xml:space="preserve"> DWD-L LASAT [17]. The atmospheric dispersion models within the JRODOS system have been validated through numerous experiments and exercises [18, 15].</w:t>
      </w:r>
    </w:p>
    <w:p w14:paraId="5C9FF699" w14:textId="77777777" w:rsidR="00F26380" w:rsidRDefault="00F26380" w:rsidP="00F26380">
      <w:pPr>
        <w:pStyle w:val="Tekstpodstawowy"/>
      </w:pPr>
      <w:r>
        <w:t xml:space="preserve">The </w:t>
      </w:r>
      <w:proofErr w:type="spellStart"/>
      <w:r>
        <w:t>modeling</w:t>
      </w:r>
      <w:proofErr w:type="spellEnd"/>
      <w:r>
        <w:t xml:space="preserve"> of radionuclide transfer from the cloud to ground deposition and subsequently to food products is facilitated by the Food Dose Module Terrestrial (FDMT) [19]. Activity concentration calculations are performed in the deposition module DEPOM based on the outputs of the atmospheric dispersion model. The food chain transfer module is contingent upon regional attributes relating to climate and agriculture, necessitating customization of model parameters. This is achieved through delineating </w:t>
      </w:r>
      <w:proofErr w:type="spellStart"/>
      <w:r>
        <w:t>radioecological</w:t>
      </w:r>
      <w:proofErr w:type="spellEnd"/>
      <w:r>
        <w:t xml:space="preserve"> regions outlining predominant agricultural practices, vegetation cycles, harvesting periods, dietary habits, food, and feed sources, among other factors.</w:t>
      </w:r>
    </w:p>
    <w:p w14:paraId="7FC43680" w14:textId="77777777" w:rsidR="00F26380" w:rsidRDefault="00F26380" w:rsidP="00F26380">
      <w:pPr>
        <w:pStyle w:val="Tekstpodstawowy"/>
      </w:pPr>
      <w:r>
        <w:t xml:space="preserve">It is necessary to establish reference meteorological conditions to perform calculations regarding the transport of radionuclides following a potential severe accident. For the National Centre for Nuclear Research location, meteorological measurement data from the weather station in the </w:t>
      </w:r>
      <w:proofErr w:type="spellStart"/>
      <w:r>
        <w:t>Okęcie</w:t>
      </w:r>
      <w:proofErr w:type="spellEnd"/>
      <w:r>
        <w:t xml:space="preserve"> area were used. The wind rose is presented in Fig. 1. Atmospheric dispersion data for this location, collected over a period of 10 years, outlines temperature-based release characteristics. The standard deviation of the wind direction was averaged over 0.5-hour periods. For this study, the adult dose was determined based on a residence time of 7 days from the start of the release. We can observe two predominant wind directions: from the west and the southeast.</w:t>
      </w:r>
    </w:p>
    <w:p w14:paraId="12271A08" w14:textId="77777777" w:rsidR="002114C1" w:rsidRDefault="002114C1" w:rsidP="002114C1">
      <w:pPr>
        <w:pStyle w:val="Tekstpodstawowy"/>
        <w:jc w:val="center"/>
        <w:rPr>
          <w:color w:val="0D0D0D"/>
          <w:shd w:val="clear" w:color="auto" w:fill="FFFFFF"/>
        </w:rPr>
      </w:pPr>
      <w:r>
        <w:rPr>
          <w:noProof/>
          <w:color w:val="0D0D0D"/>
          <w:shd w:val="clear" w:color="auto" w:fill="FFFFFF"/>
          <w:lang w:eastAsia="en-GB"/>
        </w:rPr>
        <w:drawing>
          <wp:inline distT="0" distB="0" distL="0" distR="0" wp14:anchorId="03B5DED7" wp14:editId="41D2DDCD">
            <wp:extent cx="3276600" cy="3276600"/>
            <wp:effectExtent l="0" t="0" r="0" b="0"/>
            <wp:docPr id="1" name="Obraz 1" descr="C:\Users\henryk\Downloads\windrose_plo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k\Downloads\windrose_plot.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5512" cy="3275512"/>
                    </a:xfrm>
                    <a:prstGeom prst="rect">
                      <a:avLst/>
                    </a:prstGeom>
                    <a:noFill/>
                    <a:ln>
                      <a:noFill/>
                    </a:ln>
                  </pic:spPr>
                </pic:pic>
              </a:graphicData>
            </a:graphic>
          </wp:inline>
        </w:drawing>
      </w:r>
    </w:p>
    <w:p w14:paraId="011E552A" w14:textId="3E66A484" w:rsidR="002114C1" w:rsidRPr="00F26380" w:rsidRDefault="002114C1" w:rsidP="002114C1">
      <w:pPr>
        <w:pStyle w:val="Tekstpodstawowy"/>
        <w:ind w:firstLine="0"/>
        <w:jc w:val="left"/>
        <w:rPr>
          <w:i/>
          <w:color w:val="0D0D0D"/>
          <w:shd w:val="clear" w:color="auto" w:fill="FFFFFF"/>
        </w:rPr>
      </w:pPr>
      <w:r>
        <w:rPr>
          <w:color w:val="0D0D0D"/>
          <w:shd w:val="clear" w:color="auto" w:fill="FFFFFF"/>
        </w:rPr>
        <w:t xml:space="preserve">FIG1. </w:t>
      </w:r>
      <w:r w:rsidRPr="00F26380">
        <w:rPr>
          <w:i/>
          <w:color w:val="0D0D0D"/>
          <w:sz w:val="18"/>
          <w:szCs w:val="18"/>
          <w:shd w:val="clear" w:color="auto" w:fill="FFFFFF"/>
        </w:rPr>
        <w:t xml:space="preserve">Wind rose from the </w:t>
      </w:r>
      <w:proofErr w:type="spellStart"/>
      <w:r w:rsidRPr="00F26380">
        <w:rPr>
          <w:i/>
          <w:color w:val="0D0D0D"/>
          <w:sz w:val="18"/>
          <w:szCs w:val="18"/>
          <w:shd w:val="clear" w:color="auto" w:fill="FFFFFF"/>
        </w:rPr>
        <w:t>Otwock</w:t>
      </w:r>
      <w:proofErr w:type="spellEnd"/>
      <w:r w:rsidRPr="00F26380">
        <w:rPr>
          <w:i/>
          <w:color w:val="0D0D0D"/>
          <w:sz w:val="18"/>
          <w:szCs w:val="18"/>
          <w:shd w:val="clear" w:color="auto" w:fill="FFFFFF"/>
        </w:rPr>
        <w:t xml:space="preserve"> </w:t>
      </w:r>
      <w:proofErr w:type="spellStart"/>
      <w:r w:rsidRPr="00F26380">
        <w:rPr>
          <w:i/>
          <w:color w:val="0D0D0D"/>
          <w:sz w:val="18"/>
          <w:szCs w:val="18"/>
          <w:shd w:val="clear" w:color="auto" w:fill="FFFFFF"/>
        </w:rPr>
        <w:t>Swierk</w:t>
      </w:r>
      <w:proofErr w:type="spellEnd"/>
      <w:r w:rsidRPr="00F26380">
        <w:rPr>
          <w:i/>
          <w:color w:val="0D0D0D"/>
          <w:sz w:val="18"/>
          <w:szCs w:val="18"/>
          <w:shd w:val="clear" w:color="auto" w:fill="FFFFFF"/>
        </w:rPr>
        <w:t xml:space="preserve"> location. Observation data from a period of 10 years</w:t>
      </w:r>
      <w:r w:rsidR="00F26380">
        <w:rPr>
          <w:i/>
          <w:color w:val="0D0D0D"/>
          <w:sz w:val="18"/>
          <w:szCs w:val="18"/>
          <w:shd w:val="clear" w:color="auto" w:fill="FFFFFF"/>
        </w:rPr>
        <w:t>.</w:t>
      </w:r>
      <w:r w:rsidRPr="00F26380">
        <w:rPr>
          <w:i/>
          <w:color w:val="0D0D0D"/>
          <w:shd w:val="clear" w:color="auto" w:fill="FFFFFF"/>
        </w:rPr>
        <w:t xml:space="preserve"> </w:t>
      </w:r>
    </w:p>
    <w:p w14:paraId="31736332" w14:textId="77777777" w:rsidR="00AD2D2F" w:rsidRDefault="00AD2D2F" w:rsidP="002C0D55">
      <w:pPr>
        <w:pStyle w:val="Tekstpodstawowy"/>
        <w:ind w:firstLine="0"/>
      </w:pPr>
    </w:p>
    <w:p w14:paraId="3988A32A" w14:textId="101A7253" w:rsidR="00591F6C" w:rsidRPr="00DE79D8" w:rsidRDefault="002C0D55" w:rsidP="002C0D55">
      <w:pPr>
        <w:pStyle w:val="Tekstpodstawowy"/>
        <w:ind w:firstLine="0"/>
        <w:rPr>
          <w:i/>
          <w:color w:val="0D0D0D"/>
          <w:shd w:val="clear" w:color="auto" w:fill="FFFFFF"/>
        </w:rPr>
      </w:pPr>
      <w:r>
        <w:lastRenderedPageBreak/>
        <w:t>TABLE 2.</w:t>
      </w:r>
      <w:r>
        <w:tab/>
      </w:r>
      <w:r w:rsidRPr="002114C1">
        <w:rPr>
          <w:i/>
          <w:color w:val="0D0D0D"/>
          <w:shd w:val="clear" w:color="auto" w:fill="FFFFFF"/>
        </w:rPr>
        <w:t>Postulated worst/conservative weather conditions</w:t>
      </w:r>
      <w:r w:rsidR="006E03B7" w:rsidRPr="002114C1">
        <w:rPr>
          <w:i/>
          <w:color w:val="0D0D0D"/>
          <w:shd w:val="clear" w:color="auto" w:fill="FFFFFF"/>
        </w:rPr>
        <w:t xml:space="preserve"> obtained from measurement data and literature</w:t>
      </w:r>
    </w:p>
    <w:tbl>
      <w:tblPr>
        <w:tblW w:w="7962" w:type="dxa"/>
        <w:jc w:val="center"/>
        <w:tblLook w:val="04A0" w:firstRow="1" w:lastRow="0" w:firstColumn="1" w:lastColumn="0" w:noHBand="0" w:noVBand="1"/>
      </w:tblPr>
      <w:tblGrid>
        <w:gridCol w:w="1600"/>
        <w:gridCol w:w="960"/>
        <w:gridCol w:w="1036"/>
        <w:gridCol w:w="966"/>
        <w:gridCol w:w="1540"/>
        <w:gridCol w:w="1860"/>
      </w:tblGrid>
      <w:tr w:rsidR="00591F6C" w:rsidRPr="00591F6C" w14:paraId="1AC0598B" w14:textId="77777777" w:rsidTr="002114C1">
        <w:trPr>
          <w:trHeight w:val="915"/>
          <w:jc w:val="center"/>
        </w:trPr>
        <w:tc>
          <w:tcPr>
            <w:tcW w:w="1600" w:type="dxa"/>
            <w:tcBorders>
              <w:top w:val="single" w:sz="4" w:space="0" w:color="auto"/>
              <w:left w:val="nil"/>
              <w:bottom w:val="nil"/>
              <w:right w:val="nil"/>
            </w:tcBorders>
            <w:shd w:val="clear" w:color="auto" w:fill="auto"/>
            <w:vAlign w:val="center"/>
            <w:hideMark/>
          </w:tcPr>
          <w:p w14:paraId="5A33C335" w14:textId="77777777" w:rsidR="00591F6C" w:rsidRPr="00751767" w:rsidRDefault="00591F6C" w:rsidP="00591F6C">
            <w:pPr>
              <w:overflowPunct/>
              <w:autoSpaceDE/>
              <w:autoSpaceDN/>
              <w:adjustRightInd/>
              <w:jc w:val="center"/>
              <w:textAlignment w:val="auto"/>
              <w:rPr>
                <w:b/>
                <w:bCs/>
                <w:color w:val="000000"/>
                <w:sz w:val="20"/>
                <w:lang w:eastAsia="en-GB"/>
              </w:rPr>
            </w:pPr>
            <w:r w:rsidRPr="00751767">
              <w:rPr>
                <w:b/>
                <w:bCs/>
                <w:color w:val="000000"/>
                <w:sz w:val="20"/>
                <w:lang w:eastAsia="en-GB"/>
              </w:rPr>
              <w:t>Weather scenario name</w:t>
            </w:r>
          </w:p>
        </w:tc>
        <w:tc>
          <w:tcPr>
            <w:tcW w:w="960" w:type="dxa"/>
            <w:tcBorders>
              <w:top w:val="single" w:sz="4" w:space="0" w:color="auto"/>
              <w:left w:val="nil"/>
              <w:bottom w:val="nil"/>
              <w:right w:val="nil"/>
            </w:tcBorders>
            <w:shd w:val="clear" w:color="auto" w:fill="auto"/>
            <w:vAlign w:val="center"/>
            <w:hideMark/>
          </w:tcPr>
          <w:p w14:paraId="0ED4A372" w14:textId="77777777" w:rsidR="00591F6C" w:rsidRPr="00751767" w:rsidRDefault="00591F6C" w:rsidP="00591F6C">
            <w:pPr>
              <w:overflowPunct/>
              <w:autoSpaceDE/>
              <w:autoSpaceDN/>
              <w:adjustRightInd/>
              <w:jc w:val="center"/>
              <w:textAlignment w:val="auto"/>
              <w:rPr>
                <w:b/>
                <w:bCs/>
                <w:color w:val="000000"/>
                <w:sz w:val="20"/>
                <w:lang w:eastAsia="en-GB"/>
              </w:rPr>
            </w:pPr>
            <w:r w:rsidRPr="00751767">
              <w:rPr>
                <w:b/>
                <w:bCs/>
                <w:color w:val="000000"/>
                <w:sz w:val="20"/>
                <w:lang w:eastAsia="en-GB"/>
              </w:rPr>
              <w:t>Wind Speed [m/s]</w:t>
            </w:r>
          </w:p>
        </w:tc>
        <w:tc>
          <w:tcPr>
            <w:tcW w:w="1036" w:type="dxa"/>
            <w:tcBorders>
              <w:top w:val="single" w:sz="4" w:space="0" w:color="auto"/>
              <w:left w:val="nil"/>
              <w:bottom w:val="nil"/>
              <w:right w:val="nil"/>
            </w:tcBorders>
            <w:shd w:val="clear" w:color="auto" w:fill="auto"/>
            <w:vAlign w:val="center"/>
            <w:hideMark/>
          </w:tcPr>
          <w:p w14:paraId="0E8F0211" w14:textId="77777777" w:rsidR="00591F6C" w:rsidRPr="00751767" w:rsidRDefault="00591F6C" w:rsidP="00591F6C">
            <w:pPr>
              <w:overflowPunct/>
              <w:autoSpaceDE/>
              <w:autoSpaceDN/>
              <w:adjustRightInd/>
              <w:jc w:val="center"/>
              <w:textAlignment w:val="auto"/>
              <w:rPr>
                <w:b/>
                <w:bCs/>
                <w:color w:val="000000"/>
                <w:sz w:val="20"/>
                <w:lang w:eastAsia="en-GB"/>
              </w:rPr>
            </w:pPr>
            <w:r w:rsidRPr="00751767">
              <w:rPr>
                <w:b/>
                <w:bCs/>
                <w:color w:val="000000"/>
                <w:sz w:val="20"/>
                <w:lang w:eastAsia="en-GB"/>
              </w:rPr>
              <w:t xml:space="preserve">Wind direction </w:t>
            </w:r>
          </w:p>
        </w:tc>
        <w:tc>
          <w:tcPr>
            <w:tcW w:w="966" w:type="dxa"/>
            <w:tcBorders>
              <w:top w:val="single" w:sz="4" w:space="0" w:color="auto"/>
              <w:left w:val="nil"/>
              <w:bottom w:val="nil"/>
              <w:right w:val="nil"/>
            </w:tcBorders>
            <w:shd w:val="clear" w:color="auto" w:fill="auto"/>
            <w:vAlign w:val="center"/>
            <w:hideMark/>
          </w:tcPr>
          <w:p w14:paraId="1F4EFBC0" w14:textId="77777777" w:rsidR="00591F6C" w:rsidRPr="00751767" w:rsidRDefault="00591F6C" w:rsidP="00591F6C">
            <w:pPr>
              <w:overflowPunct/>
              <w:autoSpaceDE/>
              <w:autoSpaceDN/>
              <w:adjustRightInd/>
              <w:jc w:val="center"/>
              <w:textAlignment w:val="auto"/>
              <w:rPr>
                <w:b/>
                <w:bCs/>
                <w:color w:val="000000"/>
                <w:sz w:val="20"/>
                <w:lang w:eastAsia="en-GB"/>
              </w:rPr>
            </w:pPr>
            <w:proofErr w:type="spellStart"/>
            <w:r w:rsidRPr="00751767">
              <w:rPr>
                <w:b/>
                <w:bCs/>
                <w:color w:val="000000"/>
                <w:sz w:val="20"/>
                <w:lang w:eastAsia="en-GB"/>
              </w:rPr>
              <w:t>Pasquill</w:t>
            </w:r>
            <w:proofErr w:type="spellEnd"/>
            <w:r w:rsidRPr="00751767">
              <w:rPr>
                <w:b/>
                <w:bCs/>
                <w:color w:val="000000"/>
                <w:sz w:val="20"/>
                <w:lang w:eastAsia="en-GB"/>
              </w:rPr>
              <w:t xml:space="preserve"> Stability Classes</w:t>
            </w:r>
          </w:p>
        </w:tc>
        <w:tc>
          <w:tcPr>
            <w:tcW w:w="1540" w:type="dxa"/>
            <w:tcBorders>
              <w:top w:val="single" w:sz="4" w:space="0" w:color="auto"/>
              <w:left w:val="nil"/>
              <w:bottom w:val="nil"/>
              <w:right w:val="nil"/>
            </w:tcBorders>
            <w:shd w:val="clear" w:color="auto" w:fill="auto"/>
            <w:vAlign w:val="center"/>
            <w:hideMark/>
          </w:tcPr>
          <w:p w14:paraId="341CC9B8" w14:textId="77777777" w:rsidR="00591F6C" w:rsidRPr="00751767" w:rsidRDefault="00591F6C" w:rsidP="00591F6C">
            <w:pPr>
              <w:overflowPunct/>
              <w:autoSpaceDE/>
              <w:autoSpaceDN/>
              <w:adjustRightInd/>
              <w:jc w:val="center"/>
              <w:textAlignment w:val="auto"/>
              <w:rPr>
                <w:b/>
                <w:bCs/>
                <w:color w:val="000000"/>
                <w:sz w:val="20"/>
                <w:lang w:eastAsia="en-GB"/>
              </w:rPr>
            </w:pPr>
            <w:r w:rsidRPr="00751767">
              <w:rPr>
                <w:b/>
                <w:bCs/>
                <w:color w:val="000000"/>
                <w:sz w:val="20"/>
                <w:lang w:eastAsia="en-GB"/>
              </w:rPr>
              <w:t>Total rainfall</w:t>
            </w:r>
            <w:r w:rsidRPr="00751767">
              <w:rPr>
                <w:b/>
                <w:bCs/>
                <w:color w:val="000000"/>
                <w:sz w:val="20"/>
                <w:lang w:eastAsia="en-GB"/>
              </w:rPr>
              <w:br/>
              <w:t>6h [mm]</w:t>
            </w:r>
          </w:p>
        </w:tc>
        <w:tc>
          <w:tcPr>
            <w:tcW w:w="1860" w:type="dxa"/>
            <w:tcBorders>
              <w:top w:val="single" w:sz="4" w:space="0" w:color="auto"/>
              <w:left w:val="nil"/>
              <w:bottom w:val="nil"/>
              <w:right w:val="nil"/>
            </w:tcBorders>
            <w:shd w:val="clear" w:color="auto" w:fill="auto"/>
            <w:vAlign w:val="center"/>
            <w:hideMark/>
          </w:tcPr>
          <w:p w14:paraId="4F7370EF" w14:textId="77777777" w:rsidR="00591F6C" w:rsidRPr="00751767" w:rsidRDefault="00591F6C" w:rsidP="00591F6C">
            <w:pPr>
              <w:overflowPunct/>
              <w:autoSpaceDE/>
              <w:autoSpaceDN/>
              <w:adjustRightInd/>
              <w:jc w:val="center"/>
              <w:textAlignment w:val="auto"/>
              <w:rPr>
                <w:b/>
                <w:bCs/>
                <w:color w:val="000000"/>
                <w:sz w:val="20"/>
                <w:lang w:eastAsia="en-GB"/>
              </w:rPr>
            </w:pPr>
            <w:r w:rsidRPr="00751767">
              <w:rPr>
                <w:b/>
                <w:bCs/>
                <w:color w:val="000000"/>
                <w:sz w:val="20"/>
                <w:lang w:eastAsia="en-GB"/>
              </w:rPr>
              <w:t>Reference</w:t>
            </w:r>
          </w:p>
        </w:tc>
      </w:tr>
      <w:tr w:rsidR="00591F6C" w:rsidRPr="00591F6C" w14:paraId="10C6F1A8" w14:textId="77777777" w:rsidTr="002114C1">
        <w:trPr>
          <w:trHeight w:val="300"/>
          <w:jc w:val="center"/>
        </w:trPr>
        <w:tc>
          <w:tcPr>
            <w:tcW w:w="1600" w:type="dxa"/>
            <w:tcBorders>
              <w:top w:val="single" w:sz="4" w:space="0" w:color="auto"/>
              <w:left w:val="nil"/>
              <w:bottom w:val="nil"/>
              <w:right w:val="nil"/>
            </w:tcBorders>
            <w:shd w:val="clear" w:color="auto" w:fill="auto"/>
            <w:noWrap/>
            <w:vAlign w:val="bottom"/>
            <w:hideMark/>
          </w:tcPr>
          <w:p w14:paraId="6037DF5E" w14:textId="77777777" w:rsidR="00591F6C" w:rsidRPr="00751767" w:rsidRDefault="00591F6C" w:rsidP="00591F6C">
            <w:pPr>
              <w:overflowPunct/>
              <w:autoSpaceDE/>
              <w:autoSpaceDN/>
              <w:adjustRightInd/>
              <w:textAlignment w:val="auto"/>
              <w:rPr>
                <w:color w:val="000000"/>
                <w:sz w:val="20"/>
                <w:lang w:eastAsia="en-GB"/>
              </w:rPr>
            </w:pPr>
            <w:r w:rsidRPr="00751767">
              <w:rPr>
                <w:color w:val="000000"/>
                <w:sz w:val="20"/>
                <w:lang w:eastAsia="en-GB"/>
              </w:rPr>
              <w:t>EPA_1</w:t>
            </w:r>
          </w:p>
        </w:tc>
        <w:tc>
          <w:tcPr>
            <w:tcW w:w="960" w:type="dxa"/>
            <w:tcBorders>
              <w:top w:val="single" w:sz="4" w:space="0" w:color="auto"/>
              <w:left w:val="nil"/>
              <w:bottom w:val="nil"/>
              <w:right w:val="nil"/>
            </w:tcBorders>
            <w:shd w:val="clear" w:color="auto" w:fill="auto"/>
            <w:noWrap/>
            <w:vAlign w:val="bottom"/>
            <w:hideMark/>
          </w:tcPr>
          <w:p w14:paraId="5A8109FD" w14:textId="77777777" w:rsidR="00591F6C" w:rsidRPr="00751767" w:rsidRDefault="00591F6C" w:rsidP="00591F6C">
            <w:pPr>
              <w:overflowPunct/>
              <w:autoSpaceDE/>
              <w:autoSpaceDN/>
              <w:adjustRightInd/>
              <w:jc w:val="center"/>
              <w:textAlignment w:val="auto"/>
              <w:rPr>
                <w:color w:val="000000"/>
                <w:sz w:val="20"/>
                <w:lang w:eastAsia="en-GB"/>
              </w:rPr>
            </w:pPr>
            <w:r w:rsidRPr="00751767">
              <w:rPr>
                <w:color w:val="000000"/>
                <w:sz w:val="20"/>
                <w:lang w:eastAsia="en-GB"/>
              </w:rPr>
              <w:t>1,50</w:t>
            </w:r>
          </w:p>
        </w:tc>
        <w:tc>
          <w:tcPr>
            <w:tcW w:w="1036" w:type="dxa"/>
            <w:tcBorders>
              <w:top w:val="single" w:sz="4" w:space="0" w:color="auto"/>
              <w:left w:val="nil"/>
              <w:bottom w:val="nil"/>
              <w:right w:val="nil"/>
            </w:tcBorders>
            <w:shd w:val="clear" w:color="auto" w:fill="auto"/>
            <w:noWrap/>
            <w:vAlign w:val="bottom"/>
            <w:hideMark/>
          </w:tcPr>
          <w:p w14:paraId="23691DE2" w14:textId="77777777" w:rsidR="00591F6C" w:rsidRPr="00751767" w:rsidRDefault="00591F6C" w:rsidP="00591F6C">
            <w:pPr>
              <w:overflowPunct/>
              <w:autoSpaceDE/>
              <w:autoSpaceDN/>
              <w:adjustRightInd/>
              <w:jc w:val="center"/>
              <w:textAlignment w:val="auto"/>
              <w:rPr>
                <w:color w:val="000000"/>
                <w:sz w:val="20"/>
                <w:lang w:eastAsia="en-GB"/>
              </w:rPr>
            </w:pPr>
            <w:r w:rsidRPr="00751767">
              <w:rPr>
                <w:color w:val="000000"/>
                <w:sz w:val="20"/>
                <w:lang w:eastAsia="en-GB"/>
              </w:rPr>
              <w:t>275,00</w:t>
            </w:r>
          </w:p>
        </w:tc>
        <w:tc>
          <w:tcPr>
            <w:tcW w:w="966" w:type="dxa"/>
            <w:tcBorders>
              <w:top w:val="single" w:sz="4" w:space="0" w:color="auto"/>
              <w:left w:val="nil"/>
              <w:bottom w:val="nil"/>
              <w:right w:val="nil"/>
            </w:tcBorders>
            <w:shd w:val="clear" w:color="auto" w:fill="auto"/>
            <w:noWrap/>
            <w:vAlign w:val="bottom"/>
            <w:hideMark/>
          </w:tcPr>
          <w:p w14:paraId="12AC1AF4" w14:textId="77777777" w:rsidR="00591F6C" w:rsidRPr="00751767" w:rsidRDefault="00591F6C" w:rsidP="00591F6C">
            <w:pPr>
              <w:overflowPunct/>
              <w:autoSpaceDE/>
              <w:autoSpaceDN/>
              <w:adjustRightInd/>
              <w:jc w:val="center"/>
              <w:textAlignment w:val="auto"/>
              <w:rPr>
                <w:color w:val="000000"/>
                <w:sz w:val="20"/>
                <w:lang w:eastAsia="en-GB"/>
              </w:rPr>
            </w:pPr>
            <w:r w:rsidRPr="00751767">
              <w:rPr>
                <w:color w:val="000000"/>
                <w:sz w:val="20"/>
                <w:lang w:eastAsia="en-GB"/>
              </w:rPr>
              <w:t>F</w:t>
            </w:r>
          </w:p>
        </w:tc>
        <w:tc>
          <w:tcPr>
            <w:tcW w:w="1540" w:type="dxa"/>
            <w:tcBorders>
              <w:top w:val="single" w:sz="4" w:space="0" w:color="auto"/>
              <w:left w:val="nil"/>
              <w:bottom w:val="nil"/>
              <w:right w:val="nil"/>
            </w:tcBorders>
            <w:shd w:val="clear" w:color="auto" w:fill="auto"/>
            <w:noWrap/>
            <w:vAlign w:val="bottom"/>
            <w:hideMark/>
          </w:tcPr>
          <w:p w14:paraId="6F92D0CA" w14:textId="77777777" w:rsidR="00591F6C" w:rsidRPr="00751767" w:rsidRDefault="00591F6C" w:rsidP="00591F6C">
            <w:pPr>
              <w:overflowPunct/>
              <w:autoSpaceDE/>
              <w:autoSpaceDN/>
              <w:adjustRightInd/>
              <w:jc w:val="center"/>
              <w:textAlignment w:val="auto"/>
              <w:rPr>
                <w:color w:val="000000"/>
                <w:sz w:val="20"/>
                <w:lang w:eastAsia="en-GB"/>
              </w:rPr>
            </w:pPr>
            <w:r w:rsidRPr="00751767">
              <w:rPr>
                <w:color w:val="000000"/>
                <w:sz w:val="20"/>
                <w:lang w:eastAsia="en-GB"/>
              </w:rPr>
              <w:t>0,00</w:t>
            </w:r>
          </w:p>
        </w:tc>
        <w:tc>
          <w:tcPr>
            <w:tcW w:w="1860" w:type="dxa"/>
            <w:tcBorders>
              <w:top w:val="single" w:sz="4" w:space="0" w:color="auto"/>
              <w:left w:val="nil"/>
              <w:bottom w:val="nil"/>
              <w:right w:val="nil"/>
            </w:tcBorders>
            <w:shd w:val="clear" w:color="auto" w:fill="auto"/>
            <w:noWrap/>
            <w:vAlign w:val="bottom"/>
            <w:hideMark/>
          </w:tcPr>
          <w:p w14:paraId="6E60C087" w14:textId="5BA70457" w:rsidR="00591F6C" w:rsidRPr="00751767" w:rsidRDefault="00591F6C" w:rsidP="00EB5CA3">
            <w:pPr>
              <w:overflowPunct/>
              <w:autoSpaceDE/>
              <w:autoSpaceDN/>
              <w:adjustRightInd/>
              <w:jc w:val="center"/>
              <w:textAlignment w:val="auto"/>
              <w:rPr>
                <w:color w:val="000000"/>
                <w:sz w:val="20"/>
                <w:lang w:eastAsia="en-GB"/>
              </w:rPr>
            </w:pPr>
            <w:r w:rsidRPr="00751767">
              <w:rPr>
                <w:color w:val="000000"/>
                <w:sz w:val="20"/>
                <w:lang w:eastAsia="en-GB"/>
              </w:rPr>
              <w:t>[</w:t>
            </w:r>
            <w:r w:rsidR="00EB5CA3">
              <w:rPr>
                <w:color w:val="000000"/>
                <w:sz w:val="20"/>
                <w:lang w:eastAsia="en-GB"/>
              </w:rPr>
              <w:t>18</w:t>
            </w:r>
            <w:r w:rsidRPr="00751767">
              <w:rPr>
                <w:color w:val="000000"/>
                <w:sz w:val="20"/>
                <w:lang w:eastAsia="en-GB"/>
              </w:rPr>
              <w:t>]</w:t>
            </w:r>
          </w:p>
        </w:tc>
      </w:tr>
      <w:tr w:rsidR="00591F6C" w:rsidRPr="00591F6C" w14:paraId="3D1C3EAA" w14:textId="77777777" w:rsidTr="002114C1">
        <w:trPr>
          <w:trHeight w:val="300"/>
          <w:jc w:val="center"/>
        </w:trPr>
        <w:tc>
          <w:tcPr>
            <w:tcW w:w="1600" w:type="dxa"/>
            <w:tcBorders>
              <w:top w:val="nil"/>
              <w:left w:val="nil"/>
              <w:bottom w:val="nil"/>
              <w:right w:val="nil"/>
            </w:tcBorders>
            <w:shd w:val="clear" w:color="auto" w:fill="auto"/>
            <w:noWrap/>
            <w:vAlign w:val="bottom"/>
            <w:hideMark/>
          </w:tcPr>
          <w:p w14:paraId="3B318230" w14:textId="77777777" w:rsidR="00591F6C" w:rsidRPr="00751767" w:rsidRDefault="00591F6C" w:rsidP="00591F6C">
            <w:pPr>
              <w:overflowPunct/>
              <w:autoSpaceDE/>
              <w:autoSpaceDN/>
              <w:adjustRightInd/>
              <w:textAlignment w:val="auto"/>
              <w:rPr>
                <w:color w:val="000000"/>
                <w:sz w:val="20"/>
                <w:lang w:eastAsia="en-GB"/>
              </w:rPr>
            </w:pPr>
            <w:r w:rsidRPr="00751767">
              <w:rPr>
                <w:color w:val="000000"/>
                <w:sz w:val="20"/>
                <w:lang w:eastAsia="en-GB"/>
              </w:rPr>
              <w:t>EPA_2</w:t>
            </w:r>
          </w:p>
        </w:tc>
        <w:tc>
          <w:tcPr>
            <w:tcW w:w="960" w:type="dxa"/>
            <w:tcBorders>
              <w:top w:val="nil"/>
              <w:left w:val="nil"/>
              <w:bottom w:val="nil"/>
              <w:right w:val="nil"/>
            </w:tcBorders>
            <w:shd w:val="clear" w:color="auto" w:fill="auto"/>
            <w:noWrap/>
            <w:vAlign w:val="bottom"/>
            <w:hideMark/>
          </w:tcPr>
          <w:p w14:paraId="755C4234" w14:textId="77777777" w:rsidR="00591F6C" w:rsidRPr="00751767" w:rsidRDefault="00591F6C" w:rsidP="00591F6C">
            <w:pPr>
              <w:overflowPunct/>
              <w:autoSpaceDE/>
              <w:autoSpaceDN/>
              <w:adjustRightInd/>
              <w:jc w:val="center"/>
              <w:textAlignment w:val="auto"/>
              <w:rPr>
                <w:color w:val="000000"/>
                <w:sz w:val="20"/>
                <w:lang w:eastAsia="en-GB"/>
              </w:rPr>
            </w:pPr>
            <w:r w:rsidRPr="00751767">
              <w:rPr>
                <w:color w:val="000000"/>
                <w:sz w:val="20"/>
                <w:lang w:eastAsia="en-GB"/>
              </w:rPr>
              <w:t>3,00</w:t>
            </w:r>
          </w:p>
        </w:tc>
        <w:tc>
          <w:tcPr>
            <w:tcW w:w="1036" w:type="dxa"/>
            <w:tcBorders>
              <w:top w:val="nil"/>
              <w:left w:val="nil"/>
              <w:bottom w:val="nil"/>
              <w:right w:val="nil"/>
            </w:tcBorders>
            <w:shd w:val="clear" w:color="auto" w:fill="auto"/>
            <w:noWrap/>
            <w:vAlign w:val="bottom"/>
            <w:hideMark/>
          </w:tcPr>
          <w:p w14:paraId="6F64ABC4" w14:textId="77777777" w:rsidR="00591F6C" w:rsidRPr="00751767" w:rsidRDefault="00591F6C" w:rsidP="00591F6C">
            <w:pPr>
              <w:overflowPunct/>
              <w:autoSpaceDE/>
              <w:autoSpaceDN/>
              <w:adjustRightInd/>
              <w:jc w:val="center"/>
              <w:textAlignment w:val="auto"/>
              <w:rPr>
                <w:color w:val="000000"/>
                <w:sz w:val="20"/>
                <w:lang w:eastAsia="en-GB"/>
              </w:rPr>
            </w:pPr>
            <w:r w:rsidRPr="00751767">
              <w:rPr>
                <w:color w:val="000000"/>
                <w:sz w:val="20"/>
                <w:lang w:eastAsia="en-GB"/>
              </w:rPr>
              <w:t>275,00</w:t>
            </w:r>
          </w:p>
        </w:tc>
        <w:tc>
          <w:tcPr>
            <w:tcW w:w="966" w:type="dxa"/>
            <w:tcBorders>
              <w:top w:val="nil"/>
              <w:left w:val="nil"/>
              <w:bottom w:val="nil"/>
              <w:right w:val="nil"/>
            </w:tcBorders>
            <w:shd w:val="clear" w:color="auto" w:fill="auto"/>
            <w:noWrap/>
            <w:vAlign w:val="bottom"/>
            <w:hideMark/>
          </w:tcPr>
          <w:p w14:paraId="041E672F" w14:textId="77777777" w:rsidR="00591F6C" w:rsidRPr="00751767" w:rsidRDefault="00591F6C" w:rsidP="00591F6C">
            <w:pPr>
              <w:overflowPunct/>
              <w:autoSpaceDE/>
              <w:autoSpaceDN/>
              <w:adjustRightInd/>
              <w:jc w:val="center"/>
              <w:textAlignment w:val="auto"/>
              <w:rPr>
                <w:color w:val="000000"/>
                <w:sz w:val="20"/>
                <w:lang w:eastAsia="en-GB"/>
              </w:rPr>
            </w:pPr>
            <w:r w:rsidRPr="00751767">
              <w:rPr>
                <w:color w:val="000000"/>
                <w:sz w:val="20"/>
                <w:lang w:eastAsia="en-GB"/>
              </w:rPr>
              <w:t>D</w:t>
            </w:r>
          </w:p>
        </w:tc>
        <w:tc>
          <w:tcPr>
            <w:tcW w:w="1540" w:type="dxa"/>
            <w:tcBorders>
              <w:top w:val="nil"/>
              <w:left w:val="nil"/>
              <w:bottom w:val="nil"/>
              <w:right w:val="nil"/>
            </w:tcBorders>
            <w:shd w:val="clear" w:color="auto" w:fill="auto"/>
            <w:noWrap/>
            <w:vAlign w:val="bottom"/>
            <w:hideMark/>
          </w:tcPr>
          <w:p w14:paraId="1D69159F" w14:textId="77777777" w:rsidR="00591F6C" w:rsidRPr="00751767" w:rsidRDefault="00591F6C" w:rsidP="00591F6C">
            <w:pPr>
              <w:overflowPunct/>
              <w:autoSpaceDE/>
              <w:autoSpaceDN/>
              <w:adjustRightInd/>
              <w:jc w:val="center"/>
              <w:textAlignment w:val="auto"/>
              <w:rPr>
                <w:color w:val="000000"/>
                <w:sz w:val="20"/>
                <w:lang w:eastAsia="en-GB"/>
              </w:rPr>
            </w:pPr>
            <w:r w:rsidRPr="00751767">
              <w:rPr>
                <w:color w:val="000000"/>
                <w:sz w:val="20"/>
                <w:lang w:eastAsia="en-GB"/>
              </w:rPr>
              <w:t>0,00</w:t>
            </w:r>
          </w:p>
        </w:tc>
        <w:tc>
          <w:tcPr>
            <w:tcW w:w="1860" w:type="dxa"/>
            <w:tcBorders>
              <w:top w:val="nil"/>
              <w:left w:val="nil"/>
              <w:bottom w:val="nil"/>
              <w:right w:val="nil"/>
            </w:tcBorders>
            <w:shd w:val="clear" w:color="auto" w:fill="auto"/>
            <w:noWrap/>
            <w:vAlign w:val="bottom"/>
            <w:hideMark/>
          </w:tcPr>
          <w:p w14:paraId="636F3A4B" w14:textId="0B841FA2" w:rsidR="00591F6C" w:rsidRPr="00751767" w:rsidRDefault="00591F6C" w:rsidP="00EB5CA3">
            <w:pPr>
              <w:overflowPunct/>
              <w:autoSpaceDE/>
              <w:autoSpaceDN/>
              <w:adjustRightInd/>
              <w:jc w:val="center"/>
              <w:textAlignment w:val="auto"/>
              <w:rPr>
                <w:color w:val="000000"/>
                <w:sz w:val="20"/>
                <w:lang w:eastAsia="en-GB"/>
              </w:rPr>
            </w:pPr>
            <w:r w:rsidRPr="00751767">
              <w:rPr>
                <w:color w:val="000000"/>
                <w:sz w:val="20"/>
                <w:lang w:eastAsia="en-GB"/>
              </w:rPr>
              <w:t>[</w:t>
            </w:r>
            <w:r w:rsidR="00EB5CA3">
              <w:rPr>
                <w:color w:val="000000"/>
                <w:sz w:val="20"/>
                <w:lang w:eastAsia="en-GB"/>
              </w:rPr>
              <w:t>18</w:t>
            </w:r>
            <w:r w:rsidRPr="00751767">
              <w:rPr>
                <w:color w:val="000000"/>
                <w:sz w:val="20"/>
                <w:lang w:eastAsia="en-GB"/>
              </w:rPr>
              <w:t>]</w:t>
            </w:r>
          </w:p>
        </w:tc>
      </w:tr>
      <w:tr w:rsidR="00591F6C" w:rsidRPr="00591F6C" w14:paraId="1730B770" w14:textId="77777777" w:rsidTr="002114C1">
        <w:trPr>
          <w:trHeight w:val="300"/>
          <w:jc w:val="center"/>
        </w:trPr>
        <w:tc>
          <w:tcPr>
            <w:tcW w:w="1600" w:type="dxa"/>
            <w:tcBorders>
              <w:top w:val="nil"/>
              <w:left w:val="nil"/>
              <w:bottom w:val="nil"/>
              <w:right w:val="nil"/>
            </w:tcBorders>
            <w:shd w:val="clear" w:color="auto" w:fill="auto"/>
            <w:noWrap/>
            <w:vAlign w:val="bottom"/>
            <w:hideMark/>
          </w:tcPr>
          <w:p w14:paraId="7F9CDD6A" w14:textId="77777777" w:rsidR="00591F6C" w:rsidRPr="00751767" w:rsidRDefault="00591F6C" w:rsidP="00591F6C">
            <w:pPr>
              <w:overflowPunct/>
              <w:autoSpaceDE/>
              <w:autoSpaceDN/>
              <w:adjustRightInd/>
              <w:textAlignment w:val="auto"/>
              <w:rPr>
                <w:color w:val="000000"/>
                <w:sz w:val="20"/>
                <w:lang w:eastAsia="en-GB"/>
              </w:rPr>
            </w:pPr>
            <w:proofErr w:type="spellStart"/>
            <w:r w:rsidRPr="00751767">
              <w:rPr>
                <w:color w:val="000000"/>
                <w:sz w:val="20"/>
                <w:lang w:eastAsia="en-GB"/>
              </w:rPr>
              <w:t>Mdata_Comm</w:t>
            </w:r>
            <w:proofErr w:type="spellEnd"/>
          </w:p>
        </w:tc>
        <w:tc>
          <w:tcPr>
            <w:tcW w:w="960" w:type="dxa"/>
            <w:tcBorders>
              <w:top w:val="nil"/>
              <w:left w:val="nil"/>
              <w:bottom w:val="nil"/>
              <w:right w:val="nil"/>
            </w:tcBorders>
            <w:shd w:val="clear" w:color="auto" w:fill="auto"/>
            <w:noWrap/>
            <w:vAlign w:val="bottom"/>
            <w:hideMark/>
          </w:tcPr>
          <w:p w14:paraId="3FE72DA9" w14:textId="77777777" w:rsidR="00591F6C" w:rsidRPr="00751767" w:rsidRDefault="00591F6C" w:rsidP="00591F6C">
            <w:pPr>
              <w:overflowPunct/>
              <w:autoSpaceDE/>
              <w:autoSpaceDN/>
              <w:adjustRightInd/>
              <w:jc w:val="center"/>
              <w:textAlignment w:val="auto"/>
              <w:rPr>
                <w:color w:val="000000"/>
                <w:sz w:val="20"/>
                <w:lang w:eastAsia="en-GB"/>
              </w:rPr>
            </w:pPr>
            <w:r w:rsidRPr="00751767">
              <w:rPr>
                <w:color w:val="000000"/>
                <w:sz w:val="20"/>
                <w:lang w:eastAsia="en-GB"/>
              </w:rPr>
              <w:t>3,90</w:t>
            </w:r>
          </w:p>
        </w:tc>
        <w:tc>
          <w:tcPr>
            <w:tcW w:w="1036" w:type="dxa"/>
            <w:tcBorders>
              <w:top w:val="nil"/>
              <w:left w:val="nil"/>
              <w:bottom w:val="nil"/>
              <w:right w:val="nil"/>
            </w:tcBorders>
            <w:shd w:val="clear" w:color="auto" w:fill="auto"/>
            <w:noWrap/>
            <w:vAlign w:val="bottom"/>
            <w:hideMark/>
          </w:tcPr>
          <w:p w14:paraId="22CF7381" w14:textId="77777777" w:rsidR="00591F6C" w:rsidRPr="00751767" w:rsidRDefault="00591F6C" w:rsidP="00591F6C">
            <w:pPr>
              <w:overflowPunct/>
              <w:autoSpaceDE/>
              <w:autoSpaceDN/>
              <w:adjustRightInd/>
              <w:jc w:val="center"/>
              <w:textAlignment w:val="auto"/>
              <w:rPr>
                <w:color w:val="000000"/>
                <w:sz w:val="20"/>
                <w:lang w:eastAsia="en-GB"/>
              </w:rPr>
            </w:pPr>
            <w:r w:rsidRPr="00751767">
              <w:rPr>
                <w:color w:val="000000"/>
                <w:sz w:val="20"/>
                <w:lang w:eastAsia="en-GB"/>
              </w:rPr>
              <w:t>273,00</w:t>
            </w:r>
          </w:p>
        </w:tc>
        <w:tc>
          <w:tcPr>
            <w:tcW w:w="966" w:type="dxa"/>
            <w:tcBorders>
              <w:top w:val="nil"/>
              <w:left w:val="nil"/>
              <w:bottom w:val="nil"/>
              <w:right w:val="nil"/>
            </w:tcBorders>
            <w:shd w:val="clear" w:color="auto" w:fill="auto"/>
            <w:noWrap/>
            <w:vAlign w:val="bottom"/>
            <w:hideMark/>
          </w:tcPr>
          <w:p w14:paraId="0B8EDDCE" w14:textId="77777777" w:rsidR="00591F6C" w:rsidRPr="00751767" w:rsidRDefault="00591F6C" w:rsidP="00591F6C">
            <w:pPr>
              <w:overflowPunct/>
              <w:autoSpaceDE/>
              <w:autoSpaceDN/>
              <w:adjustRightInd/>
              <w:jc w:val="center"/>
              <w:textAlignment w:val="auto"/>
              <w:rPr>
                <w:color w:val="000000"/>
                <w:sz w:val="20"/>
                <w:lang w:eastAsia="en-GB"/>
              </w:rPr>
            </w:pPr>
            <w:r w:rsidRPr="00751767">
              <w:rPr>
                <w:color w:val="000000"/>
                <w:sz w:val="20"/>
                <w:lang w:eastAsia="en-GB"/>
              </w:rPr>
              <w:t>C</w:t>
            </w:r>
          </w:p>
        </w:tc>
        <w:tc>
          <w:tcPr>
            <w:tcW w:w="1540" w:type="dxa"/>
            <w:tcBorders>
              <w:top w:val="nil"/>
              <w:left w:val="nil"/>
              <w:bottom w:val="nil"/>
              <w:right w:val="nil"/>
            </w:tcBorders>
            <w:shd w:val="clear" w:color="auto" w:fill="auto"/>
            <w:noWrap/>
            <w:vAlign w:val="bottom"/>
            <w:hideMark/>
          </w:tcPr>
          <w:p w14:paraId="02DFD552" w14:textId="77777777" w:rsidR="00591F6C" w:rsidRPr="00751767" w:rsidRDefault="00591F6C" w:rsidP="00591F6C">
            <w:pPr>
              <w:overflowPunct/>
              <w:autoSpaceDE/>
              <w:autoSpaceDN/>
              <w:adjustRightInd/>
              <w:jc w:val="center"/>
              <w:textAlignment w:val="auto"/>
              <w:rPr>
                <w:color w:val="000000"/>
                <w:sz w:val="20"/>
                <w:lang w:eastAsia="en-GB"/>
              </w:rPr>
            </w:pPr>
            <w:r w:rsidRPr="00751767">
              <w:rPr>
                <w:color w:val="000000"/>
                <w:sz w:val="20"/>
                <w:lang w:eastAsia="en-GB"/>
              </w:rPr>
              <w:t>0,10</w:t>
            </w:r>
          </w:p>
        </w:tc>
        <w:tc>
          <w:tcPr>
            <w:tcW w:w="1860" w:type="dxa"/>
            <w:tcBorders>
              <w:top w:val="nil"/>
              <w:left w:val="nil"/>
              <w:bottom w:val="nil"/>
              <w:right w:val="nil"/>
            </w:tcBorders>
            <w:shd w:val="clear" w:color="auto" w:fill="auto"/>
            <w:noWrap/>
            <w:vAlign w:val="bottom"/>
            <w:hideMark/>
          </w:tcPr>
          <w:p w14:paraId="60076814" w14:textId="1006E5E2" w:rsidR="00591F6C" w:rsidRPr="00751767" w:rsidRDefault="00EB5CA3" w:rsidP="00591F6C">
            <w:pPr>
              <w:overflowPunct/>
              <w:autoSpaceDE/>
              <w:autoSpaceDN/>
              <w:adjustRightInd/>
              <w:jc w:val="center"/>
              <w:textAlignment w:val="auto"/>
              <w:rPr>
                <w:color w:val="000000"/>
                <w:sz w:val="20"/>
                <w:lang w:eastAsia="en-GB"/>
              </w:rPr>
            </w:pPr>
            <w:r>
              <w:rPr>
                <w:color w:val="000000"/>
                <w:sz w:val="20"/>
                <w:lang w:eastAsia="en-GB"/>
              </w:rPr>
              <w:t>Fig</w:t>
            </w:r>
            <w:r w:rsidR="00591F6C" w:rsidRPr="00751767">
              <w:rPr>
                <w:color w:val="000000"/>
                <w:sz w:val="20"/>
                <w:lang w:eastAsia="en-GB"/>
              </w:rPr>
              <w:t>.1</w:t>
            </w:r>
          </w:p>
        </w:tc>
      </w:tr>
      <w:tr w:rsidR="00591F6C" w:rsidRPr="00591F6C" w14:paraId="1D467420" w14:textId="77777777" w:rsidTr="002114C1">
        <w:trPr>
          <w:trHeight w:val="300"/>
          <w:jc w:val="center"/>
        </w:trPr>
        <w:tc>
          <w:tcPr>
            <w:tcW w:w="1600" w:type="dxa"/>
            <w:tcBorders>
              <w:top w:val="nil"/>
              <w:left w:val="nil"/>
              <w:bottom w:val="nil"/>
              <w:right w:val="nil"/>
            </w:tcBorders>
            <w:shd w:val="clear" w:color="auto" w:fill="auto"/>
            <w:noWrap/>
            <w:vAlign w:val="bottom"/>
            <w:hideMark/>
          </w:tcPr>
          <w:p w14:paraId="42FA0AF2" w14:textId="77777777" w:rsidR="00591F6C" w:rsidRPr="00751767" w:rsidRDefault="00591F6C" w:rsidP="00591F6C">
            <w:pPr>
              <w:overflowPunct/>
              <w:autoSpaceDE/>
              <w:autoSpaceDN/>
              <w:adjustRightInd/>
              <w:textAlignment w:val="auto"/>
              <w:rPr>
                <w:color w:val="000000"/>
                <w:sz w:val="20"/>
                <w:lang w:eastAsia="en-GB"/>
              </w:rPr>
            </w:pPr>
            <w:proofErr w:type="spellStart"/>
            <w:r w:rsidRPr="00751767">
              <w:rPr>
                <w:color w:val="000000"/>
                <w:sz w:val="20"/>
                <w:lang w:eastAsia="en-GB"/>
              </w:rPr>
              <w:t>Mdata_Wwind</w:t>
            </w:r>
            <w:proofErr w:type="spellEnd"/>
          </w:p>
        </w:tc>
        <w:tc>
          <w:tcPr>
            <w:tcW w:w="960" w:type="dxa"/>
            <w:tcBorders>
              <w:top w:val="nil"/>
              <w:left w:val="nil"/>
              <w:bottom w:val="nil"/>
              <w:right w:val="nil"/>
            </w:tcBorders>
            <w:shd w:val="clear" w:color="auto" w:fill="auto"/>
            <w:noWrap/>
            <w:vAlign w:val="bottom"/>
            <w:hideMark/>
          </w:tcPr>
          <w:p w14:paraId="0D82B5CB" w14:textId="77777777" w:rsidR="00591F6C" w:rsidRPr="00751767" w:rsidRDefault="00591F6C" w:rsidP="00591F6C">
            <w:pPr>
              <w:overflowPunct/>
              <w:autoSpaceDE/>
              <w:autoSpaceDN/>
              <w:adjustRightInd/>
              <w:jc w:val="center"/>
              <w:textAlignment w:val="auto"/>
              <w:rPr>
                <w:color w:val="000000"/>
                <w:sz w:val="20"/>
                <w:lang w:eastAsia="en-GB"/>
              </w:rPr>
            </w:pPr>
            <w:r w:rsidRPr="00751767">
              <w:rPr>
                <w:color w:val="000000"/>
                <w:sz w:val="20"/>
                <w:lang w:eastAsia="en-GB"/>
              </w:rPr>
              <w:t>0,10</w:t>
            </w:r>
          </w:p>
        </w:tc>
        <w:tc>
          <w:tcPr>
            <w:tcW w:w="1036" w:type="dxa"/>
            <w:tcBorders>
              <w:top w:val="nil"/>
              <w:left w:val="nil"/>
              <w:bottom w:val="nil"/>
              <w:right w:val="nil"/>
            </w:tcBorders>
            <w:shd w:val="clear" w:color="auto" w:fill="auto"/>
            <w:noWrap/>
            <w:vAlign w:val="bottom"/>
            <w:hideMark/>
          </w:tcPr>
          <w:p w14:paraId="6A84D1FC" w14:textId="77777777" w:rsidR="00591F6C" w:rsidRPr="00751767" w:rsidRDefault="00591F6C" w:rsidP="00591F6C">
            <w:pPr>
              <w:overflowPunct/>
              <w:autoSpaceDE/>
              <w:autoSpaceDN/>
              <w:adjustRightInd/>
              <w:jc w:val="center"/>
              <w:textAlignment w:val="auto"/>
              <w:rPr>
                <w:color w:val="000000"/>
                <w:sz w:val="20"/>
                <w:lang w:eastAsia="en-GB"/>
              </w:rPr>
            </w:pPr>
            <w:r w:rsidRPr="00751767">
              <w:rPr>
                <w:color w:val="000000"/>
                <w:sz w:val="20"/>
                <w:lang w:eastAsia="en-GB"/>
              </w:rPr>
              <w:t>130,00</w:t>
            </w:r>
          </w:p>
        </w:tc>
        <w:tc>
          <w:tcPr>
            <w:tcW w:w="966" w:type="dxa"/>
            <w:tcBorders>
              <w:top w:val="nil"/>
              <w:left w:val="nil"/>
              <w:bottom w:val="nil"/>
              <w:right w:val="nil"/>
            </w:tcBorders>
            <w:shd w:val="clear" w:color="auto" w:fill="auto"/>
            <w:noWrap/>
            <w:vAlign w:val="bottom"/>
            <w:hideMark/>
          </w:tcPr>
          <w:p w14:paraId="047894F4" w14:textId="77777777" w:rsidR="00591F6C" w:rsidRPr="00751767" w:rsidRDefault="00591F6C" w:rsidP="00591F6C">
            <w:pPr>
              <w:overflowPunct/>
              <w:autoSpaceDE/>
              <w:autoSpaceDN/>
              <w:adjustRightInd/>
              <w:jc w:val="center"/>
              <w:textAlignment w:val="auto"/>
              <w:rPr>
                <w:color w:val="000000"/>
                <w:sz w:val="20"/>
                <w:lang w:eastAsia="en-GB"/>
              </w:rPr>
            </w:pPr>
            <w:r w:rsidRPr="00751767">
              <w:rPr>
                <w:color w:val="000000"/>
                <w:sz w:val="20"/>
                <w:lang w:eastAsia="en-GB"/>
              </w:rPr>
              <w:t>A</w:t>
            </w:r>
          </w:p>
        </w:tc>
        <w:tc>
          <w:tcPr>
            <w:tcW w:w="1540" w:type="dxa"/>
            <w:tcBorders>
              <w:top w:val="nil"/>
              <w:left w:val="nil"/>
              <w:bottom w:val="nil"/>
              <w:right w:val="nil"/>
            </w:tcBorders>
            <w:shd w:val="clear" w:color="auto" w:fill="auto"/>
            <w:noWrap/>
            <w:vAlign w:val="bottom"/>
            <w:hideMark/>
          </w:tcPr>
          <w:p w14:paraId="20F71767" w14:textId="77777777" w:rsidR="00591F6C" w:rsidRPr="00751767" w:rsidRDefault="00591F6C" w:rsidP="00591F6C">
            <w:pPr>
              <w:overflowPunct/>
              <w:autoSpaceDE/>
              <w:autoSpaceDN/>
              <w:adjustRightInd/>
              <w:jc w:val="center"/>
              <w:textAlignment w:val="auto"/>
              <w:rPr>
                <w:color w:val="000000"/>
                <w:sz w:val="20"/>
                <w:lang w:eastAsia="en-GB"/>
              </w:rPr>
            </w:pPr>
            <w:r w:rsidRPr="00751767">
              <w:rPr>
                <w:color w:val="000000"/>
                <w:sz w:val="20"/>
                <w:lang w:eastAsia="en-GB"/>
              </w:rPr>
              <w:t>0,00</w:t>
            </w:r>
          </w:p>
        </w:tc>
        <w:tc>
          <w:tcPr>
            <w:tcW w:w="1860" w:type="dxa"/>
            <w:tcBorders>
              <w:top w:val="nil"/>
              <w:left w:val="nil"/>
              <w:bottom w:val="nil"/>
              <w:right w:val="nil"/>
            </w:tcBorders>
            <w:shd w:val="clear" w:color="auto" w:fill="auto"/>
            <w:noWrap/>
            <w:vAlign w:val="bottom"/>
            <w:hideMark/>
          </w:tcPr>
          <w:p w14:paraId="42499E30" w14:textId="707CE3DC" w:rsidR="00591F6C" w:rsidRPr="00751767" w:rsidRDefault="00EB5CA3" w:rsidP="00591F6C">
            <w:pPr>
              <w:overflowPunct/>
              <w:autoSpaceDE/>
              <w:autoSpaceDN/>
              <w:adjustRightInd/>
              <w:jc w:val="center"/>
              <w:textAlignment w:val="auto"/>
              <w:rPr>
                <w:color w:val="000000"/>
                <w:sz w:val="20"/>
                <w:lang w:eastAsia="en-GB"/>
              </w:rPr>
            </w:pPr>
            <w:r>
              <w:rPr>
                <w:color w:val="000000"/>
                <w:sz w:val="20"/>
                <w:lang w:eastAsia="en-GB"/>
              </w:rPr>
              <w:t>Fig</w:t>
            </w:r>
            <w:r w:rsidR="00591F6C" w:rsidRPr="00751767">
              <w:rPr>
                <w:color w:val="000000"/>
                <w:sz w:val="20"/>
                <w:lang w:eastAsia="en-GB"/>
              </w:rPr>
              <w:t>.1</w:t>
            </w:r>
          </w:p>
        </w:tc>
      </w:tr>
      <w:tr w:rsidR="00591F6C" w:rsidRPr="00591F6C" w14:paraId="24800C63" w14:textId="77777777" w:rsidTr="002114C1">
        <w:trPr>
          <w:trHeight w:val="300"/>
          <w:jc w:val="center"/>
        </w:trPr>
        <w:tc>
          <w:tcPr>
            <w:tcW w:w="1600" w:type="dxa"/>
            <w:tcBorders>
              <w:top w:val="nil"/>
              <w:left w:val="nil"/>
              <w:bottom w:val="single" w:sz="4" w:space="0" w:color="auto"/>
              <w:right w:val="nil"/>
            </w:tcBorders>
            <w:shd w:val="clear" w:color="auto" w:fill="auto"/>
            <w:noWrap/>
            <w:vAlign w:val="bottom"/>
            <w:hideMark/>
          </w:tcPr>
          <w:p w14:paraId="32E1BD8D" w14:textId="77777777" w:rsidR="00591F6C" w:rsidRPr="00751767" w:rsidRDefault="00591F6C" w:rsidP="00591F6C">
            <w:pPr>
              <w:overflowPunct/>
              <w:autoSpaceDE/>
              <w:autoSpaceDN/>
              <w:adjustRightInd/>
              <w:textAlignment w:val="auto"/>
              <w:rPr>
                <w:color w:val="000000"/>
                <w:sz w:val="20"/>
                <w:lang w:eastAsia="en-GB"/>
              </w:rPr>
            </w:pPr>
            <w:proofErr w:type="spellStart"/>
            <w:r w:rsidRPr="00751767">
              <w:rPr>
                <w:color w:val="000000"/>
                <w:sz w:val="20"/>
                <w:lang w:eastAsia="en-GB"/>
              </w:rPr>
              <w:t>Mdata_Swind</w:t>
            </w:r>
            <w:proofErr w:type="spellEnd"/>
          </w:p>
        </w:tc>
        <w:tc>
          <w:tcPr>
            <w:tcW w:w="960" w:type="dxa"/>
            <w:tcBorders>
              <w:top w:val="nil"/>
              <w:left w:val="nil"/>
              <w:bottom w:val="single" w:sz="4" w:space="0" w:color="auto"/>
              <w:right w:val="nil"/>
            </w:tcBorders>
            <w:shd w:val="clear" w:color="auto" w:fill="auto"/>
            <w:noWrap/>
            <w:vAlign w:val="bottom"/>
            <w:hideMark/>
          </w:tcPr>
          <w:p w14:paraId="1931A078" w14:textId="77777777" w:rsidR="00591F6C" w:rsidRPr="00751767" w:rsidRDefault="00591F6C" w:rsidP="00591F6C">
            <w:pPr>
              <w:overflowPunct/>
              <w:autoSpaceDE/>
              <w:autoSpaceDN/>
              <w:adjustRightInd/>
              <w:jc w:val="center"/>
              <w:textAlignment w:val="auto"/>
              <w:rPr>
                <w:color w:val="000000"/>
                <w:sz w:val="20"/>
                <w:lang w:eastAsia="en-GB"/>
              </w:rPr>
            </w:pPr>
            <w:r w:rsidRPr="00751767">
              <w:rPr>
                <w:color w:val="000000"/>
                <w:sz w:val="20"/>
                <w:lang w:eastAsia="en-GB"/>
              </w:rPr>
              <w:t>15,00</w:t>
            </w:r>
          </w:p>
        </w:tc>
        <w:tc>
          <w:tcPr>
            <w:tcW w:w="1036" w:type="dxa"/>
            <w:tcBorders>
              <w:top w:val="nil"/>
              <w:left w:val="nil"/>
              <w:bottom w:val="single" w:sz="4" w:space="0" w:color="auto"/>
              <w:right w:val="nil"/>
            </w:tcBorders>
            <w:shd w:val="clear" w:color="auto" w:fill="auto"/>
            <w:noWrap/>
            <w:vAlign w:val="bottom"/>
            <w:hideMark/>
          </w:tcPr>
          <w:p w14:paraId="1FE5D1B2" w14:textId="77777777" w:rsidR="00591F6C" w:rsidRPr="00751767" w:rsidRDefault="00591F6C" w:rsidP="00591F6C">
            <w:pPr>
              <w:overflowPunct/>
              <w:autoSpaceDE/>
              <w:autoSpaceDN/>
              <w:adjustRightInd/>
              <w:jc w:val="center"/>
              <w:textAlignment w:val="auto"/>
              <w:rPr>
                <w:color w:val="000000"/>
                <w:sz w:val="20"/>
                <w:lang w:eastAsia="en-GB"/>
              </w:rPr>
            </w:pPr>
            <w:r w:rsidRPr="00751767">
              <w:rPr>
                <w:color w:val="000000"/>
                <w:sz w:val="20"/>
                <w:lang w:eastAsia="en-GB"/>
              </w:rPr>
              <w:t>270,00</w:t>
            </w:r>
          </w:p>
        </w:tc>
        <w:tc>
          <w:tcPr>
            <w:tcW w:w="966" w:type="dxa"/>
            <w:tcBorders>
              <w:top w:val="nil"/>
              <w:left w:val="nil"/>
              <w:bottom w:val="single" w:sz="4" w:space="0" w:color="auto"/>
              <w:right w:val="nil"/>
            </w:tcBorders>
            <w:shd w:val="clear" w:color="auto" w:fill="auto"/>
            <w:noWrap/>
            <w:vAlign w:val="bottom"/>
            <w:hideMark/>
          </w:tcPr>
          <w:p w14:paraId="4EAA52AF" w14:textId="77777777" w:rsidR="00591F6C" w:rsidRPr="00751767" w:rsidRDefault="00591F6C" w:rsidP="00591F6C">
            <w:pPr>
              <w:overflowPunct/>
              <w:autoSpaceDE/>
              <w:autoSpaceDN/>
              <w:adjustRightInd/>
              <w:jc w:val="center"/>
              <w:textAlignment w:val="auto"/>
              <w:rPr>
                <w:color w:val="000000"/>
                <w:sz w:val="20"/>
                <w:lang w:eastAsia="en-GB"/>
              </w:rPr>
            </w:pPr>
            <w:r w:rsidRPr="00751767">
              <w:rPr>
                <w:color w:val="000000"/>
                <w:sz w:val="20"/>
                <w:lang w:eastAsia="en-GB"/>
              </w:rPr>
              <w:t>D</w:t>
            </w:r>
          </w:p>
        </w:tc>
        <w:tc>
          <w:tcPr>
            <w:tcW w:w="1540" w:type="dxa"/>
            <w:tcBorders>
              <w:top w:val="nil"/>
              <w:left w:val="nil"/>
              <w:bottom w:val="single" w:sz="4" w:space="0" w:color="auto"/>
              <w:right w:val="nil"/>
            </w:tcBorders>
            <w:shd w:val="clear" w:color="auto" w:fill="auto"/>
            <w:noWrap/>
            <w:vAlign w:val="bottom"/>
            <w:hideMark/>
          </w:tcPr>
          <w:p w14:paraId="7732E62D" w14:textId="77777777" w:rsidR="00591F6C" w:rsidRPr="00751767" w:rsidRDefault="00591F6C" w:rsidP="00591F6C">
            <w:pPr>
              <w:overflowPunct/>
              <w:autoSpaceDE/>
              <w:autoSpaceDN/>
              <w:adjustRightInd/>
              <w:jc w:val="center"/>
              <w:textAlignment w:val="auto"/>
              <w:rPr>
                <w:color w:val="000000"/>
                <w:sz w:val="20"/>
                <w:lang w:eastAsia="en-GB"/>
              </w:rPr>
            </w:pPr>
            <w:r w:rsidRPr="00751767">
              <w:rPr>
                <w:color w:val="000000"/>
                <w:sz w:val="20"/>
                <w:lang w:eastAsia="en-GB"/>
              </w:rPr>
              <w:t>6,00</w:t>
            </w:r>
          </w:p>
        </w:tc>
        <w:tc>
          <w:tcPr>
            <w:tcW w:w="1860" w:type="dxa"/>
            <w:tcBorders>
              <w:top w:val="nil"/>
              <w:left w:val="nil"/>
              <w:bottom w:val="single" w:sz="4" w:space="0" w:color="auto"/>
              <w:right w:val="nil"/>
            </w:tcBorders>
            <w:shd w:val="clear" w:color="auto" w:fill="auto"/>
            <w:noWrap/>
            <w:vAlign w:val="bottom"/>
            <w:hideMark/>
          </w:tcPr>
          <w:p w14:paraId="76B54E0C" w14:textId="7D5C519B" w:rsidR="00591F6C" w:rsidRPr="00751767" w:rsidRDefault="00EB5CA3" w:rsidP="00591F6C">
            <w:pPr>
              <w:overflowPunct/>
              <w:autoSpaceDE/>
              <w:autoSpaceDN/>
              <w:adjustRightInd/>
              <w:jc w:val="center"/>
              <w:textAlignment w:val="auto"/>
              <w:rPr>
                <w:color w:val="000000"/>
                <w:sz w:val="20"/>
                <w:lang w:eastAsia="en-GB"/>
              </w:rPr>
            </w:pPr>
            <w:r>
              <w:rPr>
                <w:color w:val="000000"/>
                <w:sz w:val="20"/>
                <w:lang w:eastAsia="en-GB"/>
              </w:rPr>
              <w:t>Fig</w:t>
            </w:r>
            <w:r w:rsidR="00591F6C" w:rsidRPr="00751767">
              <w:rPr>
                <w:color w:val="000000"/>
                <w:sz w:val="20"/>
                <w:lang w:eastAsia="en-GB"/>
              </w:rPr>
              <w:t>.1</w:t>
            </w:r>
          </w:p>
        </w:tc>
      </w:tr>
    </w:tbl>
    <w:p w14:paraId="1DE0D3F7" w14:textId="0AA9DB78" w:rsidR="0082353F" w:rsidRDefault="002114C1" w:rsidP="00F26380">
      <w:pPr>
        <w:pStyle w:val="Tekstpodstawowy"/>
        <w:ind w:firstLine="0"/>
        <w:rPr>
          <w:noProof/>
          <w:color w:val="0D0D0D"/>
          <w:shd w:val="clear" w:color="auto" w:fill="FFFFFF"/>
          <w:lang w:eastAsia="en-GB"/>
        </w:rPr>
      </w:pPr>
      <w:r>
        <w:t xml:space="preserve">The most common potential weather scenario </w:t>
      </w:r>
      <w:proofErr w:type="spellStart"/>
      <w:r w:rsidR="00A51A48" w:rsidRPr="00A51A48">
        <w:rPr>
          <w:i/>
        </w:rPr>
        <w:t>Mdata_Comm</w:t>
      </w:r>
      <w:proofErr w:type="spellEnd"/>
      <w:r w:rsidR="00A51A48">
        <w:t xml:space="preserve"> was identified</w:t>
      </w:r>
      <w:r>
        <w:t xml:space="preserve">, along with two extreme cases derived from the data. The </w:t>
      </w:r>
      <w:proofErr w:type="spellStart"/>
      <w:r w:rsidRPr="00A51A48">
        <w:rPr>
          <w:i/>
        </w:rPr>
        <w:t>Mdata_Wwind</w:t>
      </w:r>
      <w:proofErr w:type="spellEnd"/>
      <w:r>
        <w:t xml:space="preserve"> scenario represents historical data with very weak winds (average 0.1 m/s), while the </w:t>
      </w:r>
      <w:proofErr w:type="spellStart"/>
      <w:r w:rsidRPr="00A51A48">
        <w:rPr>
          <w:i/>
        </w:rPr>
        <w:t>Mdata_Swind</w:t>
      </w:r>
      <w:proofErr w:type="spellEnd"/>
      <w:r>
        <w:t xml:space="preserve"> scenario features very strong winds and precipitation. Stability classes and wind directions were determined based on the measured data. Additionally, two reference scenarios representing the worst weather conditions for the transport of toxic gase</w:t>
      </w:r>
      <w:r w:rsidR="00C33806">
        <w:t>s, as recommended by the EPA [20</w:t>
      </w:r>
      <w:r>
        <w:t>], were included. The wind direction most frequently observed at this location was considered for these scenarios.</w:t>
      </w:r>
      <w:r w:rsidRPr="009D1D84">
        <w:t xml:space="preserve"> </w:t>
      </w:r>
      <w:r>
        <w:t xml:space="preserve">The summarized parameters of the weather conditions for the proposed scenarios are shown in </w:t>
      </w:r>
      <w:r w:rsidR="0020464D">
        <w:t>Table</w:t>
      </w:r>
      <w:r>
        <w:t xml:space="preserve"> 2.</w:t>
      </w:r>
    </w:p>
    <w:p w14:paraId="4E52B33B" w14:textId="3528BF11" w:rsidR="00780A5A" w:rsidRDefault="004B4DA9" w:rsidP="004B4DA9">
      <w:pPr>
        <w:pStyle w:val="Nagwek2"/>
        <w:numPr>
          <w:ilvl w:val="1"/>
          <w:numId w:val="10"/>
        </w:numPr>
      </w:pPr>
      <w:r w:rsidRPr="001D018F">
        <w:t>Emergency Planning Zone</w:t>
      </w:r>
    </w:p>
    <w:p w14:paraId="73BF2CF7" w14:textId="2BF990D1" w:rsidR="0020464D" w:rsidRDefault="00780A5A" w:rsidP="007E4AAB">
      <w:pPr>
        <w:pStyle w:val="Tekstpodstawowy"/>
      </w:pPr>
      <w:r>
        <w:t xml:space="preserve">Determining the emergency planning zone area and extended distances, such as extended planning and ingestion and commodities control planning, around an organizational unit performing activities classified under Category I or II hazards, is crucial for ensuring the safety of the general population residing in the adjacent areas. Category II includes the commissioning, operation, and decommissioning of a nuclear facility, such as a reactor with a thermal power between 2 MW and 100 MW, </w:t>
      </w:r>
      <w:r w:rsidR="00347C4E">
        <w:t>encompassing</w:t>
      </w:r>
      <w:r>
        <w:t xml:space="preserve"> most SMR reactors</w:t>
      </w:r>
      <w:r w:rsidR="007E4AAB">
        <w:t xml:space="preserve">. </w:t>
      </w:r>
      <w:r w:rsidR="008F799F">
        <w:t>The President of the National Atomic Energy Agency (PAA) is the main authority in the government responsible for nuclear safety and radiological protection</w:t>
      </w:r>
      <w:r w:rsidR="004A0B9D">
        <w:t xml:space="preserve"> [</w:t>
      </w:r>
      <w:r w:rsidR="00B851D7">
        <w:t>2</w:t>
      </w:r>
      <w:r w:rsidR="00C33806">
        <w:t>1</w:t>
      </w:r>
      <w:r w:rsidR="004A0B9D">
        <w:t>]</w:t>
      </w:r>
      <w:r w:rsidR="008F799F">
        <w:t>. According to PAA guidelines for Category II facilities, which include research reactors, fuel processing plants, isotopic enrichment and nuclear fuel production facilities, and radioactive waste repositories, specific zones with defined limits are assessed:</w:t>
      </w:r>
      <w:r w:rsidR="007E4AAB">
        <w:t xml:space="preserve"> </w:t>
      </w:r>
    </w:p>
    <w:p w14:paraId="401B9451" w14:textId="77777777" w:rsidR="0020464D" w:rsidRDefault="008F799F" w:rsidP="00A51A48">
      <w:pPr>
        <w:pStyle w:val="Tekstpodstawowy"/>
        <w:numPr>
          <w:ilvl w:val="0"/>
          <w:numId w:val="39"/>
        </w:numPr>
      </w:pPr>
      <w:r>
        <w:t xml:space="preserve">The Urgent Protective Action Planning Zone (UPZ): An external zone designated for immediate intervention planning. This zone encompasses effective doses from both external and internal exposure, excluding the ingestion of </w:t>
      </w:r>
      <w:bookmarkStart w:id="0" w:name="_GoBack"/>
      <w:bookmarkEnd w:id="0"/>
      <w:r>
        <w:t xml:space="preserve">radioactive substances (≥ 100 </w:t>
      </w:r>
      <w:proofErr w:type="spellStart"/>
      <w:r>
        <w:t>mSv</w:t>
      </w:r>
      <w:proofErr w:type="spellEnd"/>
      <w:r>
        <w:t xml:space="preserve">) and an equivalent dose to the thyroid from the ingestion of radioactive iodine isotopes (≥ 50 </w:t>
      </w:r>
      <w:proofErr w:type="spellStart"/>
      <w:r>
        <w:t>mSv</w:t>
      </w:r>
      <w:proofErr w:type="spellEnd"/>
      <w:r>
        <w:t>).</w:t>
      </w:r>
      <w:r w:rsidR="007E4AAB">
        <w:t xml:space="preserve"> </w:t>
      </w:r>
    </w:p>
    <w:p w14:paraId="4348A60B" w14:textId="77777777" w:rsidR="0020464D" w:rsidRDefault="008F799F" w:rsidP="00A51A48">
      <w:pPr>
        <w:pStyle w:val="Tekstpodstawowy"/>
        <w:numPr>
          <w:ilvl w:val="0"/>
          <w:numId w:val="39"/>
        </w:numPr>
      </w:pPr>
      <w:r>
        <w:t xml:space="preserve">The Extended Planning Distance (EPD): A zone for expanded planning, which involves an effective dose greater than or equal to 100 </w:t>
      </w:r>
      <w:proofErr w:type="spellStart"/>
      <w:r>
        <w:t>mSv</w:t>
      </w:r>
      <w:proofErr w:type="spellEnd"/>
      <w:r>
        <w:t xml:space="preserve"> from both external and internal exposure, including the ingestion of radioactive substances.</w:t>
      </w:r>
      <w:r w:rsidR="007E4AAB">
        <w:t xml:space="preserve"> </w:t>
      </w:r>
    </w:p>
    <w:p w14:paraId="5DB28970" w14:textId="6784552B" w:rsidR="0082353F" w:rsidRDefault="008F799F" w:rsidP="00A51A48">
      <w:pPr>
        <w:pStyle w:val="Tekstpodstawowy"/>
        <w:numPr>
          <w:ilvl w:val="0"/>
          <w:numId w:val="39"/>
        </w:numPr>
      </w:pPr>
      <w:r>
        <w:t xml:space="preserve">The Ingestion and Commodities Planning Distance (UCPD): A zone for consumption planning and commodity control, which includes a dose of 10 </w:t>
      </w:r>
      <w:proofErr w:type="spellStart"/>
      <w:r>
        <w:t>mSv</w:t>
      </w:r>
      <w:proofErr w:type="spellEnd"/>
      <w:r>
        <w:t xml:space="preserve"> or more from the ingestion of food and drinking water, considering the local dietary habits of the population in the area.</w:t>
      </w:r>
      <w:r w:rsidR="007E4AAB">
        <w:t xml:space="preserve"> </w:t>
      </w:r>
    </w:p>
    <w:p w14:paraId="2A65005C" w14:textId="3D8329B8" w:rsidR="003D0E5C" w:rsidRDefault="003D0E5C" w:rsidP="003D0E5C">
      <w:pPr>
        <w:pStyle w:val="Nagwek2"/>
        <w:numPr>
          <w:ilvl w:val="1"/>
          <w:numId w:val="10"/>
        </w:numPr>
      </w:pPr>
      <w:r>
        <w:t>RESULTS</w:t>
      </w:r>
    </w:p>
    <w:p w14:paraId="052ADB2B" w14:textId="48A750FA" w:rsidR="0047212B" w:rsidRDefault="00822717" w:rsidP="00751767">
      <w:pPr>
        <w:pStyle w:val="Tekstpodstawowy"/>
      </w:pPr>
      <w:r>
        <w:t xml:space="preserve">Fig. 2 illustrates the values of the equivalent dose to the thyroid resulting from ingesting radioactive iodine isotopes, specifically for the HTGR </w:t>
      </w:r>
      <w:proofErr w:type="spellStart"/>
      <w:r>
        <w:t>TeResa</w:t>
      </w:r>
      <w:proofErr w:type="spellEnd"/>
      <w:r>
        <w:t xml:space="preserve"> reactor located in </w:t>
      </w:r>
      <w:proofErr w:type="spellStart"/>
      <w:r>
        <w:t>Świerk</w:t>
      </w:r>
      <w:proofErr w:type="spellEnd"/>
      <w:r>
        <w:t xml:space="preserve">, under the meteorological conditions outlined in Table 2. The variations in the directions of the prevailing winds are due to the methodology employed in selecting these conditions; however, these variations do not significantly impact the distances obtained. Table 3 presents the maximum dose values, and since the limit values were exceeded only for the </w:t>
      </w:r>
      <w:proofErr w:type="spellStart"/>
      <w:r>
        <w:t>Mdata_Wwind</w:t>
      </w:r>
      <w:proofErr w:type="spellEnd"/>
      <w:r>
        <w:t xml:space="preserve"> condition, the table shows the distance to the value of 1 </w:t>
      </w:r>
      <w:proofErr w:type="spellStart"/>
      <w:r>
        <w:t>mSv</w:t>
      </w:r>
      <w:proofErr w:type="spellEnd"/>
      <w:r>
        <w:t xml:space="preserve">. The predetermined threshold values were exceeded for the weather scenario named </w:t>
      </w:r>
      <w:proofErr w:type="spellStart"/>
      <w:r>
        <w:t>Mdata_Wwind</w:t>
      </w:r>
      <w:proofErr w:type="spellEnd"/>
      <w:r>
        <w:t>, which assumes very weak wind conditions and a stability class of A. The resulting zones were calculated as follows: the Urgent Protective Action Planning Zone (UPZ) extended to 141 meters, and the Ingestion and Commodities Planning Distance (ICPD) reached 70 meters.</w:t>
      </w:r>
      <w:r>
        <w:t xml:space="preserve"> </w:t>
      </w:r>
      <w:r w:rsidRPr="00822717">
        <w:t>This underscores the importance of accurately specifying weather conditions</w:t>
      </w:r>
      <w:r>
        <w:t xml:space="preserve"> when</w:t>
      </w:r>
    </w:p>
    <w:p w14:paraId="64442950" w14:textId="03946B9E" w:rsidR="00B26E04" w:rsidRDefault="00B26E04" w:rsidP="00B26E04">
      <w:pPr>
        <w:pStyle w:val="NormalnyWeb"/>
        <w:jc w:val="center"/>
      </w:pPr>
      <w:r>
        <w:rPr>
          <w:noProof/>
        </w:rPr>
        <w:lastRenderedPageBreak/>
        <w:drawing>
          <wp:inline distT="0" distB="0" distL="0" distR="0" wp14:anchorId="6E4E5440" wp14:editId="24C11807">
            <wp:extent cx="2512337" cy="1897699"/>
            <wp:effectExtent l="0" t="0" r="2540" b="7620"/>
            <wp:docPr id="2" name="Obraz 2" descr="C:\Users\henryk\Desktop\Vienna2024\EP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k\Desktop\Vienna2024\EPA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7113" cy="1901306"/>
                    </a:xfrm>
                    <a:prstGeom prst="rect">
                      <a:avLst/>
                    </a:prstGeom>
                    <a:noFill/>
                    <a:ln>
                      <a:noFill/>
                    </a:ln>
                  </pic:spPr>
                </pic:pic>
              </a:graphicData>
            </a:graphic>
          </wp:inline>
        </w:drawing>
      </w:r>
      <w:r>
        <w:rPr>
          <w:noProof/>
        </w:rPr>
        <w:t xml:space="preserve">  </w:t>
      </w:r>
      <w:r>
        <w:rPr>
          <w:noProof/>
        </w:rPr>
        <w:drawing>
          <wp:inline distT="0" distB="0" distL="0" distR="0" wp14:anchorId="686ACCEA" wp14:editId="676756D6">
            <wp:extent cx="2515353" cy="1901228"/>
            <wp:effectExtent l="0" t="0" r="0" b="3810"/>
            <wp:docPr id="3" name="Obraz 3" descr="C:\Users\henryk\Desktop\Vienna2024\EP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nryk\Desktop\Vienna2024\EPA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8472" cy="1903586"/>
                    </a:xfrm>
                    <a:prstGeom prst="rect">
                      <a:avLst/>
                    </a:prstGeom>
                    <a:noFill/>
                    <a:ln>
                      <a:noFill/>
                    </a:ln>
                  </pic:spPr>
                </pic:pic>
              </a:graphicData>
            </a:graphic>
          </wp:inline>
        </w:drawing>
      </w:r>
    </w:p>
    <w:p w14:paraId="32D8D3D6" w14:textId="6A7AC996" w:rsidR="007C09DA" w:rsidRDefault="00B26E04" w:rsidP="00B26E04">
      <w:pPr>
        <w:pStyle w:val="NormalnyWeb"/>
        <w:jc w:val="center"/>
      </w:pPr>
      <w:r>
        <w:rPr>
          <w:noProof/>
        </w:rPr>
        <w:drawing>
          <wp:inline distT="0" distB="0" distL="0" distR="0" wp14:anchorId="1113ACE5" wp14:editId="45DCE719">
            <wp:extent cx="2467069" cy="1872958"/>
            <wp:effectExtent l="0" t="0" r="0" b="0"/>
            <wp:docPr id="4" name="Obraz 4" descr="C:\Users\henryk\Desktop\Vienna2024\Mdata_Co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nryk\Desktop\Vienna2024\Mdata_Com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8921" cy="1874364"/>
                    </a:xfrm>
                    <a:prstGeom prst="rect">
                      <a:avLst/>
                    </a:prstGeom>
                    <a:noFill/>
                    <a:ln>
                      <a:noFill/>
                    </a:ln>
                  </pic:spPr>
                </pic:pic>
              </a:graphicData>
            </a:graphic>
          </wp:inline>
        </w:drawing>
      </w:r>
      <w:r>
        <w:rPr>
          <w:noProof/>
        </w:rPr>
        <w:t xml:space="preserve">  </w:t>
      </w:r>
      <w:r>
        <w:rPr>
          <w:noProof/>
        </w:rPr>
        <w:drawing>
          <wp:inline distT="0" distB="0" distL="0" distR="0" wp14:anchorId="37F64F06" wp14:editId="2EF0A9A1">
            <wp:extent cx="2447925" cy="1871648"/>
            <wp:effectExtent l="0" t="0" r="0" b="0"/>
            <wp:docPr id="5" name="Obraz 5" descr="C:\Users\henryk\Desktop\Vienna2024\Mdata_Ww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nryk\Desktop\Vienna2024\Mdata_Wwin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0118" cy="1873325"/>
                    </a:xfrm>
                    <a:prstGeom prst="rect">
                      <a:avLst/>
                    </a:prstGeom>
                    <a:noFill/>
                    <a:ln>
                      <a:noFill/>
                    </a:ln>
                  </pic:spPr>
                </pic:pic>
              </a:graphicData>
            </a:graphic>
          </wp:inline>
        </w:drawing>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7C09DA" w14:paraId="4ACA3226" w14:textId="77777777" w:rsidTr="006865A8">
        <w:tc>
          <w:tcPr>
            <w:tcW w:w="9243" w:type="dxa"/>
          </w:tcPr>
          <w:p w14:paraId="0FA8D3D0" w14:textId="77777777" w:rsidR="00B26E04" w:rsidRPr="002114C1" w:rsidRDefault="00B26E04" w:rsidP="00B26E04">
            <w:pPr>
              <w:pStyle w:val="Tekstpodstawowy"/>
              <w:ind w:firstLine="0"/>
              <w:jc w:val="left"/>
              <w:rPr>
                <w:i/>
                <w:color w:val="0D0D0D"/>
                <w:sz w:val="18"/>
                <w:szCs w:val="18"/>
                <w:shd w:val="clear" w:color="auto" w:fill="FFFFFF"/>
              </w:rPr>
            </w:pPr>
            <w:r>
              <w:rPr>
                <w:color w:val="0D0D0D"/>
                <w:shd w:val="clear" w:color="auto" w:fill="FFFFFF"/>
              </w:rPr>
              <w:t>FIG2.</w:t>
            </w:r>
            <w:r w:rsidRPr="002114C1">
              <w:rPr>
                <w:color w:val="0D0D0D"/>
                <w:sz w:val="18"/>
                <w:szCs w:val="18"/>
                <w:shd w:val="clear" w:color="auto" w:fill="FFFFFF"/>
              </w:rPr>
              <w:t xml:space="preserve"> </w:t>
            </w:r>
            <w:r w:rsidRPr="002114C1">
              <w:rPr>
                <w:i/>
                <w:sz w:val="18"/>
                <w:szCs w:val="18"/>
              </w:rPr>
              <w:t>Total dose map from all pathways for thyroid exposure due to all iodine isotopes for a 1-year-old child over a 7-day period, based on the scenarios in Table 2. The results were generated using the JRODOS system.</w:t>
            </w:r>
          </w:p>
          <w:p w14:paraId="3F841FF1" w14:textId="683A4A16" w:rsidR="007C09DA" w:rsidRPr="006865A8" w:rsidRDefault="007C09DA" w:rsidP="00B26E04">
            <w:pPr>
              <w:pStyle w:val="Tekstpodstawowy"/>
              <w:ind w:firstLine="0"/>
              <w:rPr>
                <w:i/>
              </w:rPr>
            </w:pPr>
          </w:p>
        </w:tc>
      </w:tr>
    </w:tbl>
    <w:p w14:paraId="359C187D" w14:textId="208C299B" w:rsidR="007A47E9" w:rsidRDefault="007A47E9" w:rsidP="0047212B">
      <w:pPr>
        <w:pStyle w:val="Tekstpodstawowy"/>
        <w:ind w:firstLine="0"/>
      </w:pPr>
    </w:p>
    <w:p w14:paraId="41A320D9" w14:textId="00EA689D" w:rsidR="00B26E04" w:rsidRPr="002114C1" w:rsidRDefault="007A47E9" w:rsidP="0047212B">
      <w:pPr>
        <w:pStyle w:val="Tekstpodstawowy"/>
        <w:ind w:firstLine="0"/>
        <w:rPr>
          <w:i/>
        </w:rPr>
      </w:pPr>
      <w:r>
        <w:t>TABLE 3.</w:t>
      </w:r>
      <w:r>
        <w:tab/>
      </w:r>
      <w:r w:rsidR="00AE70F3" w:rsidRPr="002114C1">
        <w:rPr>
          <w:i/>
          <w:color w:val="0D0D0D"/>
          <w:sz w:val="18"/>
          <w:szCs w:val="18"/>
          <w:shd w:val="clear" w:color="auto" w:fill="FFFFFF"/>
        </w:rPr>
        <w:t>Maximum values</w:t>
      </w:r>
      <w:r w:rsidR="002114C1" w:rsidRPr="002114C1">
        <w:rPr>
          <w:i/>
          <w:color w:val="0D0D0D"/>
          <w:sz w:val="18"/>
          <w:szCs w:val="18"/>
          <w:shd w:val="clear" w:color="auto" w:fill="FFFFFF"/>
        </w:rPr>
        <w:t xml:space="preserve"> (MD) </w:t>
      </w:r>
      <w:r w:rsidR="00AE70F3" w:rsidRPr="002114C1">
        <w:rPr>
          <w:i/>
          <w:color w:val="0D0D0D"/>
          <w:sz w:val="18"/>
          <w:szCs w:val="18"/>
          <w:shd w:val="clear" w:color="auto" w:fill="FFFFFF"/>
        </w:rPr>
        <w:t xml:space="preserve"> ​​of different doses for different types of scenarios. The dose types correspond to the specific zones described in the </w:t>
      </w:r>
      <w:r w:rsidR="00EB5CA3">
        <w:rPr>
          <w:i/>
          <w:color w:val="0D0D0D"/>
          <w:sz w:val="18"/>
          <w:szCs w:val="18"/>
          <w:shd w:val="clear" w:color="auto" w:fill="FFFFFF"/>
        </w:rPr>
        <w:t>Section</w:t>
      </w:r>
      <w:r w:rsidR="002114C1" w:rsidRPr="002114C1">
        <w:rPr>
          <w:i/>
          <w:color w:val="0D0D0D"/>
          <w:sz w:val="18"/>
          <w:szCs w:val="18"/>
          <w:shd w:val="clear" w:color="auto" w:fill="FFFFFF"/>
        </w:rPr>
        <w:t xml:space="preserve"> 4</w:t>
      </w:r>
      <w:r w:rsidR="00AE70F3" w:rsidRPr="002114C1">
        <w:rPr>
          <w:i/>
          <w:color w:val="0D0D0D"/>
          <w:sz w:val="18"/>
          <w:szCs w:val="18"/>
          <w:shd w:val="clear" w:color="auto" w:fill="FFFFFF"/>
        </w:rPr>
        <w:t xml:space="preserve">. Additionally, the maximum distance </w:t>
      </w:r>
      <w:r w:rsidR="002114C1" w:rsidRPr="002114C1">
        <w:rPr>
          <w:i/>
          <w:color w:val="0D0D0D"/>
          <w:sz w:val="18"/>
          <w:szCs w:val="18"/>
          <w:shd w:val="clear" w:color="auto" w:fill="FFFFFF"/>
        </w:rPr>
        <w:t xml:space="preserve">(DIS) </w:t>
      </w:r>
      <w:r w:rsidR="00AE70F3" w:rsidRPr="002114C1">
        <w:rPr>
          <w:i/>
          <w:color w:val="0D0D0D"/>
          <w:sz w:val="18"/>
          <w:szCs w:val="18"/>
          <w:shd w:val="clear" w:color="auto" w:fill="FFFFFF"/>
        </w:rPr>
        <w:t>obtained to a dose of 1mSv is presented.</w:t>
      </w:r>
      <w:r w:rsidR="00A51A48" w:rsidRPr="00A51A48">
        <w:t xml:space="preserve"> </w:t>
      </w:r>
      <w:r w:rsidR="00A51A48" w:rsidRPr="00A51A48">
        <w:rPr>
          <w:i/>
          <w:color w:val="0D0D0D"/>
          <w:sz w:val="18"/>
          <w:szCs w:val="18"/>
          <w:shd w:val="clear" w:color="auto" w:fill="FFFFFF"/>
        </w:rPr>
        <w:t xml:space="preserve">Red </w:t>
      </w:r>
      <w:proofErr w:type="spellStart"/>
      <w:r w:rsidR="00A51A48" w:rsidRPr="00A51A48">
        <w:rPr>
          <w:i/>
          <w:color w:val="0D0D0D"/>
          <w:sz w:val="18"/>
          <w:szCs w:val="18"/>
          <w:shd w:val="clear" w:color="auto" w:fill="FFFFFF"/>
        </w:rPr>
        <w:t>color</w:t>
      </w:r>
      <w:proofErr w:type="spellEnd"/>
      <w:r w:rsidR="00A51A48" w:rsidRPr="00A51A48">
        <w:rPr>
          <w:i/>
          <w:color w:val="0D0D0D"/>
          <w:sz w:val="18"/>
          <w:szCs w:val="18"/>
          <w:shd w:val="clear" w:color="auto" w:fill="FFFFFF"/>
        </w:rPr>
        <w:t xml:space="preserve"> means the values are above the limits</w:t>
      </w:r>
      <w:r w:rsidR="00A51A48">
        <w:rPr>
          <w:i/>
          <w:color w:val="0D0D0D"/>
          <w:sz w:val="18"/>
          <w:szCs w:val="18"/>
          <w:shd w:val="clear" w:color="auto" w:fill="FFFFFF"/>
        </w:rPr>
        <w:t xml:space="preserve"> from Section 4</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3"/>
      </w:tblGrid>
      <w:tr w:rsidR="007C09DA" w14:paraId="15153113" w14:textId="77777777" w:rsidTr="00294709">
        <w:tc>
          <w:tcPr>
            <w:tcW w:w="9243" w:type="dxa"/>
          </w:tcPr>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828"/>
              <w:gridCol w:w="845"/>
              <w:gridCol w:w="856"/>
              <w:gridCol w:w="567"/>
              <w:gridCol w:w="850"/>
              <w:gridCol w:w="567"/>
              <w:gridCol w:w="851"/>
              <w:gridCol w:w="709"/>
              <w:gridCol w:w="992"/>
              <w:gridCol w:w="800"/>
            </w:tblGrid>
            <w:tr w:rsidR="00294709" w:rsidRPr="006021E5" w14:paraId="1416ADBF" w14:textId="77777777" w:rsidTr="00751767">
              <w:trPr>
                <w:trHeight w:val="300"/>
              </w:trPr>
              <w:tc>
                <w:tcPr>
                  <w:tcW w:w="1152" w:type="dxa"/>
                  <w:shd w:val="clear" w:color="auto" w:fill="auto"/>
                  <w:noWrap/>
                  <w:vAlign w:val="center"/>
                  <w:hideMark/>
                </w:tcPr>
                <w:p w14:paraId="70818BFE" w14:textId="77777777" w:rsidR="00FE309A" w:rsidRPr="00AE70F3" w:rsidRDefault="00FE309A" w:rsidP="00FE309A">
                  <w:pPr>
                    <w:overflowPunct/>
                    <w:autoSpaceDE/>
                    <w:autoSpaceDN/>
                    <w:adjustRightInd/>
                    <w:textAlignment w:val="auto"/>
                    <w:rPr>
                      <w:color w:val="000000"/>
                      <w:sz w:val="18"/>
                      <w:szCs w:val="18"/>
                      <w:lang w:eastAsia="en-GB"/>
                    </w:rPr>
                  </w:pPr>
                  <w:r w:rsidRPr="00AE70F3">
                    <w:rPr>
                      <w:color w:val="000000"/>
                      <w:sz w:val="18"/>
                      <w:szCs w:val="18"/>
                      <w:lang w:eastAsia="en-GB"/>
                    </w:rPr>
                    <w:t> </w:t>
                  </w:r>
                </w:p>
              </w:tc>
              <w:tc>
                <w:tcPr>
                  <w:tcW w:w="1673" w:type="dxa"/>
                  <w:gridSpan w:val="2"/>
                  <w:shd w:val="clear" w:color="auto" w:fill="auto"/>
                  <w:noWrap/>
                  <w:vAlign w:val="center"/>
                  <w:hideMark/>
                </w:tcPr>
                <w:p w14:paraId="34E47181" w14:textId="77777777" w:rsidR="00FE309A" w:rsidRPr="002114C1" w:rsidRDefault="00FE309A" w:rsidP="00FE309A">
                  <w:pPr>
                    <w:overflowPunct/>
                    <w:autoSpaceDE/>
                    <w:autoSpaceDN/>
                    <w:adjustRightInd/>
                    <w:jc w:val="center"/>
                    <w:textAlignment w:val="auto"/>
                    <w:rPr>
                      <w:b/>
                      <w:color w:val="000000"/>
                      <w:sz w:val="18"/>
                      <w:szCs w:val="18"/>
                      <w:lang w:eastAsia="en-GB"/>
                    </w:rPr>
                  </w:pPr>
                  <w:r w:rsidRPr="002114C1">
                    <w:rPr>
                      <w:b/>
                      <w:color w:val="000000"/>
                      <w:sz w:val="18"/>
                      <w:szCs w:val="18"/>
                      <w:lang w:eastAsia="en-GB"/>
                    </w:rPr>
                    <w:t>EPA_1</w:t>
                  </w:r>
                </w:p>
              </w:tc>
              <w:tc>
                <w:tcPr>
                  <w:tcW w:w="1423" w:type="dxa"/>
                  <w:gridSpan w:val="2"/>
                  <w:shd w:val="clear" w:color="auto" w:fill="auto"/>
                  <w:noWrap/>
                  <w:vAlign w:val="center"/>
                  <w:hideMark/>
                </w:tcPr>
                <w:p w14:paraId="3AE340CC" w14:textId="77777777" w:rsidR="00FE309A" w:rsidRPr="002114C1" w:rsidRDefault="00FE309A" w:rsidP="00FE309A">
                  <w:pPr>
                    <w:overflowPunct/>
                    <w:autoSpaceDE/>
                    <w:autoSpaceDN/>
                    <w:adjustRightInd/>
                    <w:jc w:val="center"/>
                    <w:textAlignment w:val="auto"/>
                    <w:rPr>
                      <w:b/>
                      <w:color w:val="000000"/>
                      <w:sz w:val="18"/>
                      <w:szCs w:val="18"/>
                      <w:lang w:eastAsia="en-GB"/>
                    </w:rPr>
                  </w:pPr>
                  <w:r w:rsidRPr="002114C1">
                    <w:rPr>
                      <w:b/>
                      <w:color w:val="000000"/>
                      <w:sz w:val="18"/>
                      <w:szCs w:val="18"/>
                      <w:lang w:eastAsia="en-GB"/>
                    </w:rPr>
                    <w:t>EPA_2</w:t>
                  </w:r>
                </w:p>
              </w:tc>
              <w:tc>
                <w:tcPr>
                  <w:tcW w:w="1417" w:type="dxa"/>
                  <w:gridSpan w:val="2"/>
                  <w:shd w:val="clear" w:color="auto" w:fill="auto"/>
                  <w:noWrap/>
                  <w:vAlign w:val="center"/>
                  <w:hideMark/>
                </w:tcPr>
                <w:p w14:paraId="3B39B145" w14:textId="77777777" w:rsidR="00FE309A" w:rsidRPr="002114C1" w:rsidRDefault="00FE309A" w:rsidP="00FE309A">
                  <w:pPr>
                    <w:overflowPunct/>
                    <w:autoSpaceDE/>
                    <w:autoSpaceDN/>
                    <w:adjustRightInd/>
                    <w:jc w:val="center"/>
                    <w:textAlignment w:val="auto"/>
                    <w:rPr>
                      <w:b/>
                      <w:color w:val="000000"/>
                      <w:sz w:val="18"/>
                      <w:szCs w:val="18"/>
                      <w:lang w:eastAsia="en-GB"/>
                    </w:rPr>
                  </w:pPr>
                  <w:proofErr w:type="spellStart"/>
                  <w:r w:rsidRPr="002114C1">
                    <w:rPr>
                      <w:b/>
                      <w:color w:val="000000"/>
                      <w:sz w:val="18"/>
                      <w:szCs w:val="18"/>
                      <w:lang w:eastAsia="en-GB"/>
                    </w:rPr>
                    <w:t>Mdata_Comm</w:t>
                  </w:r>
                  <w:proofErr w:type="spellEnd"/>
                </w:p>
              </w:tc>
              <w:tc>
                <w:tcPr>
                  <w:tcW w:w="1560" w:type="dxa"/>
                  <w:gridSpan w:val="2"/>
                  <w:shd w:val="clear" w:color="auto" w:fill="auto"/>
                  <w:noWrap/>
                  <w:vAlign w:val="center"/>
                  <w:hideMark/>
                </w:tcPr>
                <w:p w14:paraId="2F5271C5" w14:textId="77777777" w:rsidR="00FE309A" w:rsidRPr="002114C1" w:rsidRDefault="00FE309A" w:rsidP="00FE309A">
                  <w:pPr>
                    <w:overflowPunct/>
                    <w:autoSpaceDE/>
                    <w:autoSpaceDN/>
                    <w:adjustRightInd/>
                    <w:jc w:val="center"/>
                    <w:textAlignment w:val="auto"/>
                    <w:rPr>
                      <w:b/>
                      <w:color w:val="000000"/>
                      <w:sz w:val="18"/>
                      <w:szCs w:val="18"/>
                      <w:lang w:eastAsia="en-GB"/>
                    </w:rPr>
                  </w:pPr>
                  <w:proofErr w:type="spellStart"/>
                  <w:r w:rsidRPr="002114C1">
                    <w:rPr>
                      <w:b/>
                      <w:color w:val="000000"/>
                      <w:sz w:val="18"/>
                      <w:szCs w:val="18"/>
                      <w:lang w:eastAsia="en-GB"/>
                    </w:rPr>
                    <w:t>Mdata_Wwind</w:t>
                  </w:r>
                  <w:proofErr w:type="spellEnd"/>
                </w:p>
              </w:tc>
              <w:tc>
                <w:tcPr>
                  <w:tcW w:w="1792" w:type="dxa"/>
                  <w:gridSpan w:val="2"/>
                  <w:shd w:val="clear" w:color="auto" w:fill="auto"/>
                  <w:noWrap/>
                  <w:vAlign w:val="center"/>
                  <w:hideMark/>
                </w:tcPr>
                <w:p w14:paraId="08E353E8" w14:textId="77777777" w:rsidR="00FE309A" w:rsidRPr="002114C1" w:rsidRDefault="00FE309A" w:rsidP="00FE309A">
                  <w:pPr>
                    <w:overflowPunct/>
                    <w:autoSpaceDE/>
                    <w:autoSpaceDN/>
                    <w:adjustRightInd/>
                    <w:jc w:val="center"/>
                    <w:textAlignment w:val="auto"/>
                    <w:rPr>
                      <w:b/>
                      <w:color w:val="000000"/>
                      <w:sz w:val="18"/>
                      <w:szCs w:val="18"/>
                      <w:lang w:eastAsia="en-GB"/>
                    </w:rPr>
                  </w:pPr>
                  <w:proofErr w:type="spellStart"/>
                  <w:r w:rsidRPr="002114C1">
                    <w:rPr>
                      <w:b/>
                      <w:color w:val="000000"/>
                      <w:sz w:val="18"/>
                      <w:szCs w:val="18"/>
                      <w:lang w:eastAsia="en-GB"/>
                    </w:rPr>
                    <w:t>Mdata_Swind</w:t>
                  </w:r>
                  <w:proofErr w:type="spellEnd"/>
                </w:p>
              </w:tc>
            </w:tr>
            <w:tr w:rsidR="00AA1A9D" w:rsidRPr="006021E5" w14:paraId="2C825705" w14:textId="77777777" w:rsidTr="002114C1">
              <w:trPr>
                <w:trHeight w:val="424"/>
              </w:trPr>
              <w:tc>
                <w:tcPr>
                  <w:tcW w:w="1152" w:type="dxa"/>
                  <w:shd w:val="clear" w:color="auto" w:fill="auto"/>
                  <w:noWrap/>
                  <w:vAlign w:val="center"/>
                  <w:hideMark/>
                </w:tcPr>
                <w:p w14:paraId="45143049" w14:textId="46450227" w:rsidR="00FE309A" w:rsidRPr="00AE70F3" w:rsidRDefault="00FE309A" w:rsidP="004857DC">
                  <w:pPr>
                    <w:overflowPunct/>
                    <w:autoSpaceDE/>
                    <w:autoSpaceDN/>
                    <w:adjustRightInd/>
                    <w:jc w:val="center"/>
                    <w:textAlignment w:val="auto"/>
                    <w:rPr>
                      <w:color w:val="000000"/>
                      <w:sz w:val="18"/>
                      <w:szCs w:val="18"/>
                      <w:lang w:eastAsia="en-GB"/>
                    </w:rPr>
                  </w:pPr>
                  <w:r w:rsidRPr="00AE70F3">
                    <w:rPr>
                      <w:color w:val="000000"/>
                      <w:sz w:val="18"/>
                      <w:szCs w:val="18"/>
                      <w:lang w:eastAsia="en-GB"/>
                    </w:rPr>
                    <w:t xml:space="preserve">Dose type </w:t>
                  </w:r>
                </w:p>
              </w:tc>
              <w:tc>
                <w:tcPr>
                  <w:tcW w:w="828" w:type="dxa"/>
                  <w:shd w:val="clear" w:color="auto" w:fill="auto"/>
                  <w:vAlign w:val="center"/>
                  <w:hideMark/>
                </w:tcPr>
                <w:p w14:paraId="6B0695BF" w14:textId="77777777" w:rsidR="002114C1" w:rsidRDefault="002114C1" w:rsidP="00FE309A">
                  <w:pPr>
                    <w:overflowPunct/>
                    <w:autoSpaceDE/>
                    <w:autoSpaceDN/>
                    <w:adjustRightInd/>
                    <w:jc w:val="center"/>
                    <w:textAlignment w:val="auto"/>
                    <w:rPr>
                      <w:color w:val="000000"/>
                      <w:sz w:val="18"/>
                      <w:szCs w:val="18"/>
                      <w:lang w:eastAsia="en-GB"/>
                    </w:rPr>
                  </w:pPr>
                  <w:r>
                    <w:rPr>
                      <w:color w:val="000000"/>
                      <w:sz w:val="18"/>
                      <w:szCs w:val="18"/>
                      <w:lang w:eastAsia="en-GB"/>
                    </w:rPr>
                    <w:t>MD</w:t>
                  </w:r>
                </w:p>
                <w:p w14:paraId="328D2754" w14:textId="76ABB5B9" w:rsidR="00FE309A" w:rsidRPr="00AE70F3" w:rsidRDefault="004857DC" w:rsidP="00FE309A">
                  <w:pPr>
                    <w:overflowPunct/>
                    <w:autoSpaceDE/>
                    <w:autoSpaceDN/>
                    <w:adjustRightInd/>
                    <w:jc w:val="center"/>
                    <w:textAlignment w:val="auto"/>
                    <w:rPr>
                      <w:color w:val="000000"/>
                      <w:sz w:val="18"/>
                      <w:szCs w:val="18"/>
                      <w:lang w:eastAsia="en-GB"/>
                    </w:rPr>
                  </w:pPr>
                  <w:r w:rsidRPr="00AE70F3">
                    <w:rPr>
                      <w:color w:val="000000"/>
                      <w:sz w:val="18"/>
                      <w:szCs w:val="18"/>
                      <w:lang w:eastAsia="en-GB"/>
                    </w:rPr>
                    <w:t>[</w:t>
                  </w:r>
                  <w:proofErr w:type="spellStart"/>
                  <w:r w:rsidRPr="00AE70F3">
                    <w:rPr>
                      <w:color w:val="000000"/>
                      <w:sz w:val="18"/>
                      <w:szCs w:val="18"/>
                      <w:lang w:eastAsia="en-GB"/>
                    </w:rPr>
                    <w:t>mSv</w:t>
                  </w:r>
                  <w:proofErr w:type="spellEnd"/>
                  <w:r w:rsidRPr="00AE70F3">
                    <w:rPr>
                      <w:color w:val="000000"/>
                      <w:sz w:val="18"/>
                      <w:szCs w:val="18"/>
                      <w:lang w:eastAsia="en-GB"/>
                    </w:rPr>
                    <w:t>]</w:t>
                  </w:r>
                </w:p>
              </w:tc>
              <w:tc>
                <w:tcPr>
                  <w:tcW w:w="845" w:type="dxa"/>
                  <w:shd w:val="clear" w:color="auto" w:fill="auto"/>
                  <w:vAlign w:val="center"/>
                  <w:hideMark/>
                </w:tcPr>
                <w:p w14:paraId="18353F4D" w14:textId="78ED8741" w:rsidR="00AA1A9D" w:rsidRPr="00AE70F3" w:rsidRDefault="002114C1" w:rsidP="00AA1A9D">
                  <w:pPr>
                    <w:overflowPunct/>
                    <w:autoSpaceDE/>
                    <w:autoSpaceDN/>
                    <w:adjustRightInd/>
                    <w:jc w:val="center"/>
                    <w:textAlignment w:val="auto"/>
                    <w:rPr>
                      <w:color w:val="000000"/>
                      <w:sz w:val="18"/>
                      <w:szCs w:val="18"/>
                      <w:lang w:eastAsia="en-GB"/>
                    </w:rPr>
                  </w:pPr>
                  <w:r>
                    <w:rPr>
                      <w:color w:val="000000"/>
                      <w:sz w:val="18"/>
                      <w:szCs w:val="18"/>
                      <w:lang w:eastAsia="en-GB"/>
                    </w:rPr>
                    <w:t>DIS</w:t>
                  </w:r>
                </w:p>
                <w:p w14:paraId="6C2A8DF1" w14:textId="4DCA314F" w:rsidR="00FE309A" w:rsidRPr="00AE70F3" w:rsidRDefault="00AA1A9D" w:rsidP="00AA1A9D">
                  <w:pPr>
                    <w:overflowPunct/>
                    <w:autoSpaceDE/>
                    <w:autoSpaceDN/>
                    <w:adjustRightInd/>
                    <w:jc w:val="center"/>
                    <w:textAlignment w:val="auto"/>
                    <w:rPr>
                      <w:color w:val="000000"/>
                      <w:sz w:val="18"/>
                      <w:szCs w:val="18"/>
                      <w:lang w:eastAsia="en-GB"/>
                    </w:rPr>
                  </w:pPr>
                  <w:r w:rsidRPr="00AE70F3">
                    <w:rPr>
                      <w:color w:val="000000"/>
                      <w:sz w:val="18"/>
                      <w:szCs w:val="18"/>
                      <w:lang w:eastAsia="en-GB"/>
                    </w:rPr>
                    <w:t>[km]</w:t>
                  </w:r>
                </w:p>
              </w:tc>
              <w:tc>
                <w:tcPr>
                  <w:tcW w:w="856" w:type="dxa"/>
                  <w:shd w:val="clear" w:color="auto" w:fill="auto"/>
                  <w:vAlign w:val="center"/>
                  <w:hideMark/>
                </w:tcPr>
                <w:p w14:paraId="37943AE1" w14:textId="5AA3EBBA" w:rsidR="00FE309A" w:rsidRPr="00AE70F3" w:rsidRDefault="002114C1" w:rsidP="00FE309A">
                  <w:pPr>
                    <w:overflowPunct/>
                    <w:autoSpaceDE/>
                    <w:autoSpaceDN/>
                    <w:adjustRightInd/>
                    <w:jc w:val="center"/>
                    <w:textAlignment w:val="auto"/>
                    <w:rPr>
                      <w:color w:val="000000"/>
                      <w:sz w:val="18"/>
                      <w:szCs w:val="18"/>
                      <w:lang w:eastAsia="en-GB"/>
                    </w:rPr>
                  </w:pPr>
                  <w:r>
                    <w:rPr>
                      <w:color w:val="000000"/>
                      <w:sz w:val="18"/>
                      <w:szCs w:val="18"/>
                      <w:lang w:eastAsia="en-GB"/>
                    </w:rPr>
                    <w:t>MD</w:t>
                  </w:r>
                  <w:r w:rsidR="004857DC" w:rsidRPr="00AE70F3">
                    <w:rPr>
                      <w:color w:val="000000"/>
                      <w:sz w:val="18"/>
                      <w:szCs w:val="18"/>
                      <w:lang w:eastAsia="en-GB"/>
                    </w:rPr>
                    <w:t xml:space="preserve"> [</w:t>
                  </w:r>
                  <w:proofErr w:type="spellStart"/>
                  <w:r w:rsidR="004857DC" w:rsidRPr="00AE70F3">
                    <w:rPr>
                      <w:color w:val="000000"/>
                      <w:sz w:val="18"/>
                      <w:szCs w:val="18"/>
                      <w:lang w:eastAsia="en-GB"/>
                    </w:rPr>
                    <w:t>mSv</w:t>
                  </w:r>
                  <w:proofErr w:type="spellEnd"/>
                  <w:r w:rsidR="004857DC" w:rsidRPr="00AE70F3">
                    <w:rPr>
                      <w:color w:val="000000"/>
                      <w:sz w:val="18"/>
                      <w:szCs w:val="18"/>
                      <w:lang w:eastAsia="en-GB"/>
                    </w:rPr>
                    <w:t>]</w:t>
                  </w:r>
                </w:p>
              </w:tc>
              <w:tc>
                <w:tcPr>
                  <w:tcW w:w="567" w:type="dxa"/>
                  <w:shd w:val="clear" w:color="auto" w:fill="auto"/>
                  <w:vAlign w:val="center"/>
                  <w:hideMark/>
                </w:tcPr>
                <w:p w14:paraId="37850A10" w14:textId="141B78A1" w:rsidR="002114C1" w:rsidRPr="00AE70F3" w:rsidRDefault="002114C1" w:rsidP="002114C1">
                  <w:pPr>
                    <w:overflowPunct/>
                    <w:autoSpaceDE/>
                    <w:autoSpaceDN/>
                    <w:adjustRightInd/>
                    <w:jc w:val="center"/>
                    <w:textAlignment w:val="auto"/>
                    <w:rPr>
                      <w:color w:val="000000"/>
                      <w:sz w:val="18"/>
                      <w:szCs w:val="18"/>
                      <w:lang w:eastAsia="en-GB"/>
                    </w:rPr>
                  </w:pPr>
                  <w:r>
                    <w:rPr>
                      <w:color w:val="000000"/>
                      <w:sz w:val="18"/>
                      <w:szCs w:val="18"/>
                      <w:lang w:eastAsia="en-GB"/>
                    </w:rPr>
                    <w:t>DIS</w:t>
                  </w:r>
                </w:p>
                <w:p w14:paraId="4CA3ABF8" w14:textId="05DFDE95" w:rsidR="00AA1A9D" w:rsidRPr="00AE70F3" w:rsidRDefault="002114C1" w:rsidP="002114C1">
                  <w:pPr>
                    <w:overflowPunct/>
                    <w:autoSpaceDE/>
                    <w:autoSpaceDN/>
                    <w:adjustRightInd/>
                    <w:jc w:val="center"/>
                    <w:textAlignment w:val="auto"/>
                    <w:rPr>
                      <w:color w:val="000000"/>
                      <w:sz w:val="18"/>
                      <w:szCs w:val="18"/>
                      <w:lang w:eastAsia="en-GB"/>
                    </w:rPr>
                  </w:pPr>
                  <w:r w:rsidRPr="00AE70F3">
                    <w:rPr>
                      <w:color w:val="000000"/>
                      <w:sz w:val="18"/>
                      <w:szCs w:val="18"/>
                      <w:lang w:eastAsia="en-GB"/>
                    </w:rPr>
                    <w:t>[km]</w:t>
                  </w:r>
                </w:p>
              </w:tc>
              <w:tc>
                <w:tcPr>
                  <w:tcW w:w="850" w:type="dxa"/>
                  <w:shd w:val="clear" w:color="auto" w:fill="auto"/>
                  <w:vAlign w:val="center"/>
                  <w:hideMark/>
                </w:tcPr>
                <w:p w14:paraId="3E0927F4" w14:textId="0B5DAE41" w:rsidR="00FE309A" w:rsidRPr="00AE70F3" w:rsidRDefault="002114C1" w:rsidP="00FE309A">
                  <w:pPr>
                    <w:overflowPunct/>
                    <w:autoSpaceDE/>
                    <w:autoSpaceDN/>
                    <w:adjustRightInd/>
                    <w:jc w:val="center"/>
                    <w:textAlignment w:val="auto"/>
                    <w:rPr>
                      <w:color w:val="000000"/>
                      <w:sz w:val="18"/>
                      <w:szCs w:val="18"/>
                      <w:lang w:eastAsia="en-GB"/>
                    </w:rPr>
                  </w:pPr>
                  <w:r>
                    <w:rPr>
                      <w:color w:val="000000"/>
                      <w:sz w:val="18"/>
                      <w:szCs w:val="18"/>
                      <w:lang w:eastAsia="en-GB"/>
                    </w:rPr>
                    <w:t>MD</w:t>
                  </w:r>
                  <w:r w:rsidR="004857DC" w:rsidRPr="00AE70F3">
                    <w:rPr>
                      <w:color w:val="000000"/>
                      <w:sz w:val="18"/>
                      <w:szCs w:val="18"/>
                      <w:lang w:eastAsia="en-GB"/>
                    </w:rPr>
                    <w:t xml:space="preserve"> [</w:t>
                  </w:r>
                  <w:proofErr w:type="spellStart"/>
                  <w:r w:rsidR="004857DC" w:rsidRPr="00AE70F3">
                    <w:rPr>
                      <w:color w:val="000000"/>
                      <w:sz w:val="18"/>
                      <w:szCs w:val="18"/>
                      <w:lang w:eastAsia="en-GB"/>
                    </w:rPr>
                    <w:t>mSv</w:t>
                  </w:r>
                  <w:proofErr w:type="spellEnd"/>
                  <w:r w:rsidR="004857DC" w:rsidRPr="00AE70F3">
                    <w:rPr>
                      <w:color w:val="000000"/>
                      <w:sz w:val="18"/>
                      <w:szCs w:val="18"/>
                      <w:lang w:eastAsia="en-GB"/>
                    </w:rPr>
                    <w:t>]</w:t>
                  </w:r>
                </w:p>
              </w:tc>
              <w:tc>
                <w:tcPr>
                  <w:tcW w:w="567" w:type="dxa"/>
                  <w:shd w:val="clear" w:color="auto" w:fill="auto"/>
                  <w:vAlign w:val="center"/>
                  <w:hideMark/>
                </w:tcPr>
                <w:p w14:paraId="042CFF92" w14:textId="30BB9B1D" w:rsidR="00AA1A9D" w:rsidRPr="00AE70F3" w:rsidRDefault="002114C1" w:rsidP="00AA1A9D">
                  <w:pPr>
                    <w:overflowPunct/>
                    <w:autoSpaceDE/>
                    <w:autoSpaceDN/>
                    <w:adjustRightInd/>
                    <w:jc w:val="center"/>
                    <w:textAlignment w:val="auto"/>
                    <w:rPr>
                      <w:color w:val="000000"/>
                      <w:sz w:val="18"/>
                      <w:szCs w:val="18"/>
                      <w:lang w:eastAsia="en-GB"/>
                    </w:rPr>
                  </w:pPr>
                  <w:r>
                    <w:rPr>
                      <w:color w:val="000000"/>
                      <w:sz w:val="18"/>
                      <w:szCs w:val="18"/>
                      <w:lang w:eastAsia="en-GB"/>
                    </w:rPr>
                    <w:t>DIS</w:t>
                  </w:r>
                </w:p>
                <w:p w14:paraId="004E93D6" w14:textId="4D553378" w:rsidR="00FE309A" w:rsidRPr="00AE70F3" w:rsidRDefault="00AA1A9D" w:rsidP="00AA1A9D">
                  <w:pPr>
                    <w:overflowPunct/>
                    <w:autoSpaceDE/>
                    <w:autoSpaceDN/>
                    <w:adjustRightInd/>
                    <w:jc w:val="center"/>
                    <w:textAlignment w:val="auto"/>
                    <w:rPr>
                      <w:color w:val="000000"/>
                      <w:sz w:val="18"/>
                      <w:szCs w:val="18"/>
                      <w:lang w:eastAsia="en-GB"/>
                    </w:rPr>
                  </w:pPr>
                  <w:r w:rsidRPr="00AE70F3">
                    <w:rPr>
                      <w:color w:val="000000"/>
                      <w:sz w:val="18"/>
                      <w:szCs w:val="18"/>
                      <w:lang w:eastAsia="en-GB"/>
                    </w:rPr>
                    <w:t>[km]</w:t>
                  </w:r>
                </w:p>
              </w:tc>
              <w:tc>
                <w:tcPr>
                  <w:tcW w:w="851" w:type="dxa"/>
                  <w:shd w:val="clear" w:color="auto" w:fill="auto"/>
                  <w:vAlign w:val="center"/>
                  <w:hideMark/>
                </w:tcPr>
                <w:p w14:paraId="618A2433" w14:textId="13704B5A" w:rsidR="00FE309A" w:rsidRPr="00AE70F3" w:rsidRDefault="00751767" w:rsidP="00FE309A">
                  <w:pPr>
                    <w:overflowPunct/>
                    <w:autoSpaceDE/>
                    <w:autoSpaceDN/>
                    <w:adjustRightInd/>
                    <w:jc w:val="center"/>
                    <w:textAlignment w:val="auto"/>
                    <w:rPr>
                      <w:color w:val="000000"/>
                      <w:sz w:val="18"/>
                      <w:szCs w:val="18"/>
                      <w:lang w:eastAsia="en-GB"/>
                    </w:rPr>
                  </w:pPr>
                  <w:r>
                    <w:rPr>
                      <w:color w:val="000000"/>
                      <w:sz w:val="18"/>
                      <w:szCs w:val="18"/>
                      <w:lang w:eastAsia="en-GB"/>
                    </w:rPr>
                    <w:t>MD</w:t>
                  </w:r>
                  <w:r w:rsidR="004857DC" w:rsidRPr="00AE70F3">
                    <w:rPr>
                      <w:color w:val="000000"/>
                      <w:sz w:val="18"/>
                      <w:szCs w:val="18"/>
                      <w:lang w:eastAsia="en-GB"/>
                    </w:rPr>
                    <w:t xml:space="preserve"> [</w:t>
                  </w:r>
                  <w:proofErr w:type="spellStart"/>
                  <w:r w:rsidR="004857DC" w:rsidRPr="00AE70F3">
                    <w:rPr>
                      <w:color w:val="000000"/>
                      <w:sz w:val="18"/>
                      <w:szCs w:val="18"/>
                      <w:lang w:eastAsia="en-GB"/>
                    </w:rPr>
                    <w:t>mSv</w:t>
                  </w:r>
                  <w:proofErr w:type="spellEnd"/>
                  <w:r w:rsidR="004857DC" w:rsidRPr="00AE70F3">
                    <w:rPr>
                      <w:color w:val="000000"/>
                      <w:sz w:val="18"/>
                      <w:szCs w:val="18"/>
                      <w:lang w:eastAsia="en-GB"/>
                    </w:rPr>
                    <w:t>]</w:t>
                  </w:r>
                </w:p>
              </w:tc>
              <w:tc>
                <w:tcPr>
                  <w:tcW w:w="709" w:type="dxa"/>
                  <w:shd w:val="clear" w:color="auto" w:fill="auto"/>
                  <w:vAlign w:val="center"/>
                  <w:hideMark/>
                </w:tcPr>
                <w:p w14:paraId="0B9B9FDC" w14:textId="3EC9A99C" w:rsidR="00A428B7" w:rsidRPr="00AE70F3" w:rsidRDefault="002114C1" w:rsidP="00AA1A9D">
                  <w:pPr>
                    <w:overflowPunct/>
                    <w:autoSpaceDE/>
                    <w:autoSpaceDN/>
                    <w:adjustRightInd/>
                    <w:jc w:val="center"/>
                    <w:textAlignment w:val="auto"/>
                    <w:rPr>
                      <w:color w:val="000000"/>
                      <w:sz w:val="18"/>
                      <w:szCs w:val="18"/>
                      <w:lang w:eastAsia="en-GB"/>
                    </w:rPr>
                  </w:pPr>
                  <w:r>
                    <w:rPr>
                      <w:color w:val="000000"/>
                      <w:sz w:val="18"/>
                      <w:szCs w:val="18"/>
                      <w:lang w:eastAsia="en-GB"/>
                    </w:rPr>
                    <w:t>DIS</w:t>
                  </w:r>
                  <w:r w:rsidRPr="00AE70F3">
                    <w:rPr>
                      <w:color w:val="000000"/>
                      <w:sz w:val="18"/>
                      <w:szCs w:val="18"/>
                      <w:lang w:eastAsia="en-GB"/>
                    </w:rPr>
                    <w:t xml:space="preserve"> </w:t>
                  </w:r>
                  <w:r w:rsidR="00AA1A9D" w:rsidRPr="00AE70F3">
                    <w:rPr>
                      <w:color w:val="000000"/>
                      <w:sz w:val="18"/>
                      <w:szCs w:val="18"/>
                      <w:lang w:eastAsia="en-GB"/>
                    </w:rPr>
                    <w:t>[km]</w:t>
                  </w:r>
                </w:p>
              </w:tc>
              <w:tc>
                <w:tcPr>
                  <w:tcW w:w="992" w:type="dxa"/>
                  <w:shd w:val="clear" w:color="auto" w:fill="auto"/>
                  <w:vAlign w:val="center"/>
                  <w:hideMark/>
                </w:tcPr>
                <w:p w14:paraId="6C5068ED" w14:textId="1CACDA04" w:rsidR="00FE309A" w:rsidRPr="00AE70F3" w:rsidRDefault="002114C1" w:rsidP="00FE309A">
                  <w:pPr>
                    <w:overflowPunct/>
                    <w:autoSpaceDE/>
                    <w:autoSpaceDN/>
                    <w:adjustRightInd/>
                    <w:jc w:val="center"/>
                    <w:textAlignment w:val="auto"/>
                    <w:rPr>
                      <w:color w:val="000000"/>
                      <w:sz w:val="18"/>
                      <w:szCs w:val="18"/>
                      <w:lang w:eastAsia="en-GB"/>
                    </w:rPr>
                  </w:pPr>
                  <w:r>
                    <w:rPr>
                      <w:color w:val="000000"/>
                      <w:sz w:val="18"/>
                      <w:szCs w:val="18"/>
                      <w:lang w:eastAsia="en-GB"/>
                    </w:rPr>
                    <w:t>MD</w:t>
                  </w:r>
                  <w:r w:rsidR="004857DC" w:rsidRPr="00AE70F3">
                    <w:rPr>
                      <w:color w:val="000000"/>
                      <w:sz w:val="18"/>
                      <w:szCs w:val="18"/>
                      <w:lang w:eastAsia="en-GB"/>
                    </w:rPr>
                    <w:t xml:space="preserve"> [</w:t>
                  </w:r>
                  <w:proofErr w:type="spellStart"/>
                  <w:r w:rsidR="004857DC" w:rsidRPr="00AE70F3">
                    <w:rPr>
                      <w:color w:val="000000"/>
                      <w:sz w:val="18"/>
                      <w:szCs w:val="18"/>
                      <w:lang w:eastAsia="en-GB"/>
                    </w:rPr>
                    <w:t>mSv</w:t>
                  </w:r>
                  <w:proofErr w:type="spellEnd"/>
                  <w:r w:rsidR="004857DC" w:rsidRPr="00AE70F3">
                    <w:rPr>
                      <w:color w:val="000000"/>
                      <w:sz w:val="18"/>
                      <w:szCs w:val="18"/>
                      <w:lang w:eastAsia="en-GB"/>
                    </w:rPr>
                    <w:t>]</w:t>
                  </w:r>
                </w:p>
              </w:tc>
              <w:tc>
                <w:tcPr>
                  <w:tcW w:w="800" w:type="dxa"/>
                  <w:shd w:val="clear" w:color="auto" w:fill="auto"/>
                  <w:vAlign w:val="center"/>
                  <w:hideMark/>
                </w:tcPr>
                <w:p w14:paraId="38CF4F8A" w14:textId="621C1961" w:rsidR="00AA1A9D" w:rsidRPr="00AE70F3" w:rsidRDefault="002114C1" w:rsidP="00AA1A9D">
                  <w:pPr>
                    <w:overflowPunct/>
                    <w:autoSpaceDE/>
                    <w:autoSpaceDN/>
                    <w:adjustRightInd/>
                    <w:jc w:val="center"/>
                    <w:textAlignment w:val="auto"/>
                    <w:rPr>
                      <w:color w:val="000000"/>
                      <w:sz w:val="18"/>
                      <w:szCs w:val="18"/>
                      <w:lang w:eastAsia="en-GB"/>
                    </w:rPr>
                  </w:pPr>
                  <w:r>
                    <w:rPr>
                      <w:color w:val="000000"/>
                      <w:sz w:val="18"/>
                      <w:szCs w:val="18"/>
                      <w:lang w:eastAsia="en-GB"/>
                    </w:rPr>
                    <w:t>DIS</w:t>
                  </w:r>
                </w:p>
                <w:p w14:paraId="63D63A2A" w14:textId="042B2D44" w:rsidR="00FE309A" w:rsidRPr="00AE70F3" w:rsidRDefault="00AA1A9D" w:rsidP="00AA1A9D">
                  <w:pPr>
                    <w:overflowPunct/>
                    <w:autoSpaceDE/>
                    <w:autoSpaceDN/>
                    <w:adjustRightInd/>
                    <w:jc w:val="center"/>
                    <w:textAlignment w:val="auto"/>
                    <w:rPr>
                      <w:color w:val="000000"/>
                      <w:sz w:val="18"/>
                      <w:szCs w:val="18"/>
                      <w:lang w:eastAsia="en-GB"/>
                    </w:rPr>
                  </w:pPr>
                  <w:r w:rsidRPr="00AE70F3">
                    <w:rPr>
                      <w:color w:val="000000"/>
                      <w:sz w:val="18"/>
                      <w:szCs w:val="18"/>
                      <w:lang w:eastAsia="en-GB"/>
                    </w:rPr>
                    <w:t>[km]</w:t>
                  </w:r>
                </w:p>
              </w:tc>
            </w:tr>
            <w:tr w:rsidR="00AA1A9D" w:rsidRPr="006021E5" w14:paraId="3AF674A7" w14:textId="77777777" w:rsidTr="002114C1">
              <w:trPr>
                <w:trHeight w:val="1037"/>
              </w:trPr>
              <w:tc>
                <w:tcPr>
                  <w:tcW w:w="1152" w:type="dxa"/>
                  <w:shd w:val="clear" w:color="auto" w:fill="auto"/>
                  <w:vAlign w:val="center"/>
                  <w:hideMark/>
                </w:tcPr>
                <w:p w14:paraId="16BD557A" w14:textId="77777777" w:rsidR="00FE309A" w:rsidRPr="00AE70F3" w:rsidRDefault="00785236" w:rsidP="00FE309A">
                  <w:pPr>
                    <w:overflowPunct/>
                    <w:autoSpaceDE/>
                    <w:autoSpaceDN/>
                    <w:adjustRightInd/>
                    <w:textAlignment w:val="auto"/>
                    <w:rPr>
                      <w:color w:val="000000"/>
                      <w:sz w:val="18"/>
                      <w:szCs w:val="18"/>
                      <w:lang w:eastAsia="en-GB"/>
                    </w:rPr>
                  </w:pPr>
                  <w:r w:rsidRPr="00AE70F3">
                    <w:rPr>
                      <w:color w:val="000000"/>
                      <w:sz w:val="18"/>
                      <w:szCs w:val="18"/>
                      <w:lang w:eastAsia="en-GB"/>
                    </w:rPr>
                    <w:t>Total effective dose from all exposure except ingestion</w:t>
                  </w:r>
                </w:p>
                <w:p w14:paraId="1F5114AA" w14:textId="5A5F57EF" w:rsidR="00785236" w:rsidRPr="00AE70F3" w:rsidRDefault="00785236" w:rsidP="00FE309A">
                  <w:pPr>
                    <w:overflowPunct/>
                    <w:autoSpaceDE/>
                    <w:autoSpaceDN/>
                    <w:adjustRightInd/>
                    <w:textAlignment w:val="auto"/>
                    <w:rPr>
                      <w:color w:val="000000"/>
                      <w:sz w:val="18"/>
                      <w:szCs w:val="18"/>
                      <w:lang w:eastAsia="en-GB"/>
                    </w:rPr>
                  </w:pPr>
                </w:p>
              </w:tc>
              <w:tc>
                <w:tcPr>
                  <w:tcW w:w="828" w:type="dxa"/>
                  <w:shd w:val="clear" w:color="auto" w:fill="auto"/>
                  <w:noWrap/>
                  <w:vAlign w:val="center"/>
                  <w:hideMark/>
                </w:tcPr>
                <w:p w14:paraId="049279EE" w14:textId="48D6244A" w:rsidR="00FE309A"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7.46E-2</w:t>
                  </w:r>
                </w:p>
              </w:tc>
              <w:tc>
                <w:tcPr>
                  <w:tcW w:w="845" w:type="dxa"/>
                  <w:shd w:val="clear" w:color="auto" w:fill="auto"/>
                  <w:noWrap/>
                  <w:vAlign w:val="center"/>
                  <w:hideMark/>
                </w:tcPr>
                <w:p w14:paraId="025C4D79" w14:textId="5C91D199" w:rsidR="00FE309A"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w:t>
                  </w:r>
                </w:p>
              </w:tc>
              <w:tc>
                <w:tcPr>
                  <w:tcW w:w="856" w:type="dxa"/>
                  <w:shd w:val="clear" w:color="auto" w:fill="auto"/>
                  <w:noWrap/>
                  <w:vAlign w:val="center"/>
                  <w:hideMark/>
                </w:tcPr>
                <w:p w14:paraId="2A14BC4D" w14:textId="05D9853E" w:rsidR="00FE309A"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1.65E-2</w:t>
                  </w:r>
                </w:p>
              </w:tc>
              <w:tc>
                <w:tcPr>
                  <w:tcW w:w="567" w:type="dxa"/>
                  <w:shd w:val="clear" w:color="auto" w:fill="auto"/>
                  <w:noWrap/>
                  <w:vAlign w:val="center"/>
                  <w:hideMark/>
                </w:tcPr>
                <w:p w14:paraId="7888A94B" w14:textId="59A36DED" w:rsidR="00FE309A"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w:t>
                  </w:r>
                </w:p>
              </w:tc>
              <w:tc>
                <w:tcPr>
                  <w:tcW w:w="850" w:type="dxa"/>
                  <w:shd w:val="clear" w:color="auto" w:fill="auto"/>
                  <w:noWrap/>
                  <w:vAlign w:val="center"/>
                  <w:hideMark/>
                </w:tcPr>
                <w:p w14:paraId="2DD3927D" w14:textId="05637E02" w:rsidR="00FE309A"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5.69E-3</w:t>
                  </w:r>
                </w:p>
              </w:tc>
              <w:tc>
                <w:tcPr>
                  <w:tcW w:w="567" w:type="dxa"/>
                  <w:shd w:val="clear" w:color="auto" w:fill="auto"/>
                  <w:noWrap/>
                  <w:vAlign w:val="center"/>
                  <w:hideMark/>
                </w:tcPr>
                <w:p w14:paraId="28A7A2FF" w14:textId="730310F0" w:rsidR="00FE309A"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w:t>
                  </w:r>
                </w:p>
              </w:tc>
              <w:tc>
                <w:tcPr>
                  <w:tcW w:w="851" w:type="dxa"/>
                  <w:shd w:val="clear" w:color="auto" w:fill="auto"/>
                  <w:noWrap/>
                  <w:vAlign w:val="center"/>
                  <w:hideMark/>
                </w:tcPr>
                <w:p w14:paraId="4224E575" w14:textId="7D2DBA60" w:rsidR="00FE309A"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1.25E0</w:t>
                  </w:r>
                </w:p>
              </w:tc>
              <w:tc>
                <w:tcPr>
                  <w:tcW w:w="709" w:type="dxa"/>
                  <w:shd w:val="clear" w:color="auto" w:fill="auto"/>
                  <w:noWrap/>
                  <w:vAlign w:val="center"/>
                  <w:hideMark/>
                </w:tcPr>
                <w:p w14:paraId="1C8384A9" w14:textId="3DFA3DE7" w:rsidR="00FE309A" w:rsidRPr="00AE70F3" w:rsidRDefault="00294709" w:rsidP="00AA1A9D">
                  <w:pPr>
                    <w:overflowPunct/>
                    <w:autoSpaceDE/>
                    <w:autoSpaceDN/>
                    <w:adjustRightInd/>
                    <w:jc w:val="right"/>
                    <w:textAlignment w:val="auto"/>
                    <w:rPr>
                      <w:color w:val="000000"/>
                      <w:sz w:val="18"/>
                      <w:szCs w:val="18"/>
                      <w:lang w:eastAsia="en-GB"/>
                    </w:rPr>
                  </w:pPr>
                  <w:r w:rsidRPr="00AE70F3">
                    <w:rPr>
                      <w:color w:val="000000"/>
                      <w:sz w:val="18"/>
                      <w:szCs w:val="18"/>
                      <w:lang w:eastAsia="en-GB"/>
                    </w:rPr>
                    <w:t>0.05</w:t>
                  </w:r>
                </w:p>
              </w:tc>
              <w:tc>
                <w:tcPr>
                  <w:tcW w:w="992" w:type="dxa"/>
                  <w:shd w:val="clear" w:color="auto" w:fill="auto"/>
                  <w:noWrap/>
                  <w:vAlign w:val="center"/>
                  <w:hideMark/>
                </w:tcPr>
                <w:p w14:paraId="7C8501FC" w14:textId="7B532B3B" w:rsidR="00FE309A"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2.77E-3</w:t>
                  </w:r>
                </w:p>
              </w:tc>
              <w:tc>
                <w:tcPr>
                  <w:tcW w:w="800" w:type="dxa"/>
                  <w:shd w:val="clear" w:color="auto" w:fill="auto"/>
                  <w:noWrap/>
                  <w:vAlign w:val="center"/>
                  <w:hideMark/>
                </w:tcPr>
                <w:p w14:paraId="15AA2267" w14:textId="54A4B16C" w:rsidR="00FE309A"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w:t>
                  </w:r>
                </w:p>
              </w:tc>
            </w:tr>
            <w:tr w:rsidR="00AA1A9D" w:rsidRPr="006021E5" w14:paraId="3E7EAD9A" w14:textId="77777777" w:rsidTr="002114C1">
              <w:trPr>
                <w:trHeight w:val="941"/>
              </w:trPr>
              <w:tc>
                <w:tcPr>
                  <w:tcW w:w="1152" w:type="dxa"/>
                  <w:shd w:val="clear" w:color="auto" w:fill="auto"/>
                  <w:vAlign w:val="center"/>
                  <w:hideMark/>
                </w:tcPr>
                <w:p w14:paraId="79D49740" w14:textId="77777777" w:rsidR="00FE309A" w:rsidRPr="00AE70F3" w:rsidRDefault="00785236" w:rsidP="00785236">
                  <w:pPr>
                    <w:overflowPunct/>
                    <w:autoSpaceDE/>
                    <w:autoSpaceDN/>
                    <w:adjustRightInd/>
                    <w:textAlignment w:val="auto"/>
                    <w:rPr>
                      <w:color w:val="000000"/>
                      <w:sz w:val="18"/>
                      <w:szCs w:val="18"/>
                      <w:lang w:eastAsia="en-GB"/>
                    </w:rPr>
                  </w:pPr>
                  <w:r w:rsidRPr="00AE70F3">
                    <w:rPr>
                      <w:color w:val="000000"/>
                      <w:sz w:val="18"/>
                      <w:szCs w:val="18"/>
                      <w:lang w:eastAsia="en-GB"/>
                    </w:rPr>
                    <w:t>Total dose from all pathways Thyroid iodine</w:t>
                  </w:r>
                </w:p>
                <w:p w14:paraId="1BE5FD17" w14:textId="4FDDD0FF" w:rsidR="007A47E9" w:rsidRPr="00AE70F3" w:rsidRDefault="007A47E9" w:rsidP="00785236">
                  <w:pPr>
                    <w:overflowPunct/>
                    <w:autoSpaceDE/>
                    <w:autoSpaceDN/>
                    <w:adjustRightInd/>
                    <w:textAlignment w:val="auto"/>
                    <w:rPr>
                      <w:color w:val="000000"/>
                      <w:sz w:val="18"/>
                      <w:szCs w:val="18"/>
                      <w:lang w:eastAsia="en-GB"/>
                    </w:rPr>
                  </w:pPr>
                </w:p>
              </w:tc>
              <w:tc>
                <w:tcPr>
                  <w:tcW w:w="828" w:type="dxa"/>
                  <w:shd w:val="clear" w:color="auto" w:fill="auto"/>
                  <w:noWrap/>
                  <w:vAlign w:val="center"/>
                  <w:hideMark/>
                </w:tcPr>
                <w:p w14:paraId="612B2DB3" w14:textId="40291731" w:rsidR="00FE309A"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7.60E0</w:t>
                  </w:r>
                </w:p>
              </w:tc>
              <w:tc>
                <w:tcPr>
                  <w:tcW w:w="845" w:type="dxa"/>
                  <w:shd w:val="clear" w:color="auto" w:fill="auto"/>
                  <w:noWrap/>
                  <w:vAlign w:val="center"/>
                  <w:hideMark/>
                </w:tcPr>
                <w:p w14:paraId="50851DC5" w14:textId="1CC5955C" w:rsidR="00FE309A" w:rsidRPr="00AE70F3" w:rsidRDefault="00294709" w:rsidP="00AA1A9D">
                  <w:pPr>
                    <w:overflowPunct/>
                    <w:autoSpaceDE/>
                    <w:autoSpaceDN/>
                    <w:adjustRightInd/>
                    <w:jc w:val="right"/>
                    <w:textAlignment w:val="auto"/>
                    <w:rPr>
                      <w:color w:val="000000"/>
                      <w:sz w:val="18"/>
                      <w:szCs w:val="18"/>
                      <w:lang w:eastAsia="en-GB"/>
                    </w:rPr>
                  </w:pPr>
                  <w:r w:rsidRPr="00AE70F3">
                    <w:rPr>
                      <w:color w:val="000000"/>
                      <w:sz w:val="18"/>
                      <w:szCs w:val="18"/>
                      <w:lang w:eastAsia="en-GB"/>
                    </w:rPr>
                    <w:t>1.1</w:t>
                  </w:r>
                </w:p>
              </w:tc>
              <w:tc>
                <w:tcPr>
                  <w:tcW w:w="856" w:type="dxa"/>
                  <w:shd w:val="clear" w:color="auto" w:fill="auto"/>
                  <w:noWrap/>
                  <w:vAlign w:val="center"/>
                  <w:hideMark/>
                </w:tcPr>
                <w:p w14:paraId="1DD3DE11" w14:textId="0162A380" w:rsidR="00FE309A"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1.56E0</w:t>
                  </w:r>
                </w:p>
              </w:tc>
              <w:tc>
                <w:tcPr>
                  <w:tcW w:w="567" w:type="dxa"/>
                  <w:shd w:val="clear" w:color="auto" w:fill="auto"/>
                  <w:noWrap/>
                  <w:vAlign w:val="center"/>
                  <w:hideMark/>
                </w:tcPr>
                <w:p w14:paraId="63FB014C" w14:textId="525A547B" w:rsidR="00FE309A" w:rsidRPr="00AE70F3" w:rsidRDefault="00294709" w:rsidP="00AA1A9D">
                  <w:pPr>
                    <w:overflowPunct/>
                    <w:autoSpaceDE/>
                    <w:autoSpaceDN/>
                    <w:adjustRightInd/>
                    <w:jc w:val="right"/>
                    <w:textAlignment w:val="auto"/>
                    <w:rPr>
                      <w:color w:val="000000"/>
                      <w:sz w:val="18"/>
                      <w:szCs w:val="18"/>
                      <w:lang w:eastAsia="en-GB"/>
                    </w:rPr>
                  </w:pPr>
                  <w:r w:rsidRPr="00AE70F3">
                    <w:rPr>
                      <w:color w:val="000000"/>
                      <w:sz w:val="18"/>
                      <w:szCs w:val="18"/>
                      <w:lang w:eastAsia="en-GB"/>
                    </w:rPr>
                    <w:t xml:space="preserve">0.3 </w:t>
                  </w:r>
                </w:p>
              </w:tc>
              <w:tc>
                <w:tcPr>
                  <w:tcW w:w="850" w:type="dxa"/>
                  <w:shd w:val="clear" w:color="auto" w:fill="auto"/>
                  <w:noWrap/>
                  <w:vAlign w:val="center"/>
                  <w:hideMark/>
                </w:tcPr>
                <w:p w14:paraId="2F6DB99F" w14:textId="4CF31223" w:rsidR="00FE309A"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6.17E-1</w:t>
                  </w:r>
                </w:p>
              </w:tc>
              <w:tc>
                <w:tcPr>
                  <w:tcW w:w="567" w:type="dxa"/>
                  <w:shd w:val="clear" w:color="auto" w:fill="auto"/>
                  <w:noWrap/>
                  <w:vAlign w:val="center"/>
                  <w:hideMark/>
                </w:tcPr>
                <w:p w14:paraId="1F76C9A7" w14:textId="54595A38" w:rsidR="00FE309A"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w:t>
                  </w:r>
                </w:p>
              </w:tc>
              <w:tc>
                <w:tcPr>
                  <w:tcW w:w="851" w:type="dxa"/>
                  <w:shd w:val="clear" w:color="auto" w:fill="auto"/>
                  <w:noWrap/>
                  <w:vAlign w:val="center"/>
                  <w:hideMark/>
                </w:tcPr>
                <w:p w14:paraId="2B22CAAF" w14:textId="76C298D0" w:rsidR="00FE309A" w:rsidRPr="00AE70F3" w:rsidRDefault="00294709" w:rsidP="00FE309A">
                  <w:pPr>
                    <w:overflowPunct/>
                    <w:autoSpaceDE/>
                    <w:autoSpaceDN/>
                    <w:adjustRightInd/>
                    <w:jc w:val="right"/>
                    <w:textAlignment w:val="auto"/>
                    <w:rPr>
                      <w:color w:val="000000"/>
                      <w:sz w:val="18"/>
                      <w:szCs w:val="18"/>
                      <w:lang w:eastAsia="en-GB"/>
                    </w:rPr>
                  </w:pPr>
                  <w:r w:rsidRPr="00AE70F3">
                    <w:rPr>
                      <w:color w:val="FF0000"/>
                      <w:sz w:val="18"/>
                      <w:szCs w:val="18"/>
                      <w:lang w:eastAsia="en-GB"/>
                    </w:rPr>
                    <w:t>1.05E2</w:t>
                  </w:r>
                </w:p>
              </w:tc>
              <w:tc>
                <w:tcPr>
                  <w:tcW w:w="709" w:type="dxa"/>
                  <w:shd w:val="clear" w:color="auto" w:fill="auto"/>
                  <w:noWrap/>
                  <w:vAlign w:val="center"/>
                  <w:hideMark/>
                </w:tcPr>
                <w:p w14:paraId="70C66C32" w14:textId="05D495A6" w:rsidR="00FE309A" w:rsidRPr="00AE70F3" w:rsidRDefault="00294709" w:rsidP="00AA1A9D">
                  <w:pPr>
                    <w:overflowPunct/>
                    <w:autoSpaceDE/>
                    <w:autoSpaceDN/>
                    <w:adjustRightInd/>
                    <w:jc w:val="right"/>
                    <w:textAlignment w:val="auto"/>
                    <w:rPr>
                      <w:color w:val="000000"/>
                      <w:sz w:val="18"/>
                      <w:szCs w:val="18"/>
                      <w:lang w:eastAsia="en-GB"/>
                    </w:rPr>
                  </w:pPr>
                  <w:r w:rsidRPr="00AE70F3">
                    <w:rPr>
                      <w:color w:val="000000"/>
                      <w:sz w:val="18"/>
                      <w:szCs w:val="18"/>
                      <w:lang w:eastAsia="en-GB"/>
                    </w:rPr>
                    <w:t>1.212</w:t>
                  </w:r>
                </w:p>
              </w:tc>
              <w:tc>
                <w:tcPr>
                  <w:tcW w:w="992" w:type="dxa"/>
                  <w:shd w:val="clear" w:color="auto" w:fill="auto"/>
                  <w:noWrap/>
                  <w:vAlign w:val="center"/>
                  <w:hideMark/>
                </w:tcPr>
                <w:p w14:paraId="0731A517" w14:textId="70512154" w:rsidR="00FE309A"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6.19E-2</w:t>
                  </w:r>
                </w:p>
              </w:tc>
              <w:tc>
                <w:tcPr>
                  <w:tcW w:w="800" w:type="dxa"/>
                  <w:shd w:val="clear" w:color="auto" w:fill="auto"/>
                  <w:noWrap/>
                  <w:vAlign w:val="center"/>
                  <w:hideMark/>
                </w:tcPr>
                <w:p w14:paraId="16971EA0" w14:textId="5D83B8DE" w:rsidR="00FE309A"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w:t>
                  </w:r>
                </w:p>
              </w:tc>
            </w:tr>
            <w:tr w:rsidR="00294709" w:rsidRPr="006021E5" w14:paraId="7446A18B" w14:textId="77777777" w:rsidTr="002114C1">
              <w:trPr>
                <w:trHeight w:val="960"/>
              </w:trPr>
              <w:tc>
                <w:tcPr>
                  <w:tcW w:w="1152" w:type="dxa"/>
                  <w:shd w:val="clear" w:color="auto" w:fill="auto"/>
                  <w:vAlign w:val="center"/>
                </w:tcPr>
                <w:p w14:paraId="42D6EA8F" w14:textId="42B51B6B" w:rsidR="006021E5" w:rsidRPr="00AE70F3" w:rsidRDefault="006021E5" w:rsidP="006021E5">
                  <w:pPr>
                    <w:overflowPunct/>
                    <w:autoSpaceDE/>
                    <w:autoSpaceDN/>
                    <w:adjustRightInd/>
                    <w:textAlignment w:val="auto"/>
                    <w:rPr>
                      <w:color w:val="000000"/>
                      <w:sz w:val="18"/>
                      <w:szCs w:val="18"/>
                      <w:lang w:eastAsia="en-GB"/>
                    </w:rPr>
                  </w:pPr>
                  <w:r w:rsidRPr="00AE70F3">
                    <w:rPr>
                      <w:color w:val="000000"/>
                      <w:sz w:val="18"/>
                      <w:szCs w:val="18"/>
                      <w:lang w:eastAsia="en-GB"/>
                    </w:rPr>
                    <w:t>Total dose from all pathways</w:t>
                  </w:r>
                </w:p>
              </w:tc>
              <w:tc>
                <w:tcPr>
                  <w:tcW w:w="828" w:type="dxa"/>
                  <w:shd w:val="clear" w:color="auto" w:fill="auto"/>
                  <w:noWrap/>
                  <w:vAlign w:val="center"/>
                </w:tcPr>
                <w:p w14:paraId="49F13BDA" w14:textId="0DDB142F" w:rsidR="007A47E9"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9.29E-1</w:t>
                  </w:r>
                </w:p>
              </w:tc>
              <w:tc>
                <w:tcPr>
                  <w:tcW w:w="845" w:type="dxa"/>
                  <w:shd w:val="clear" w:color="auto" w:fill="auto"/>
                  <w:noWrap/>
                  <w:vAlign w:val="center"/>
                </w:tcPr>
                <w:p w14:paraId="4691F41C" w14:textId="259A4D3B" w:rsidR="007A47E9"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w:t>
                  </w:r>
                </w:p>
              </w:tc>
              <w:tc>
                <w:tcPr>
                  <w:tcW w:w="856" w:type="dxa"/>
                  <w:shd w:val="clear" w:color="auto" w:fill="auto"/>
                  <w:noWrap/>
                  <w:vAlign w:val="center"/>
                </w:tcPr>
                <w:p w14:paraId="684EAECF" w14:textId="0D7D9DAE" w:rsidR="007A47E9"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1.99E-1</w:t>
                  </w:r>
                </w:p>
              </w:tc>
              <w:tc>
                <w:tcPr>
                  <w:tcW w:w="567" w:type="dxa"/>
                  <w:shd w:val="clear" w:color="auto" w:fill="auto"/>
                  <w:noWrap/>
                  <w:vAlign w:val="center"/>
                </w:tcPr>
                <w:p w14:paraId="2D9536D5" w14:textId="082E8646" w:rsidR="007A47E9"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w:t>
                  </w:r>
                </w:p>
              </w:tc>
              <w:tc>
                <w:tcPr>
                  <w:tcW w:w="850" w:type="dxa"/>
                  <w:shd w:val="clear" w:color="auto" w:fill="auto"/>
                  <w:noWrap/>
                  <w:vAlign w:val="center"/>
                </w:tcPr>
                <w:p w14:paraId="506557FA" w14:textId="2A0DD6D4" w:rsidR="007A47E9"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8.88E-2</w:t>
                  </w:r>
                </w:p>
              </w:tc>
              <w:tc>
                <w:tcPr>
                  <w:tcW w:w="567" w:type="dxa"/>
                  <w:shd w:val="clear" w:color="auto" w:fill="auto"/>
                  <w:noWrap/>
                  <w:vAlign w:val="center"/>
                </w:tcPr>
                <w:p w14:paraId="5AED006A" w14:textId="7690C19D" w:rsidR="007A47E9"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w:t>
                  </w:r>
                </w:p>
              </w:tc>
              <w:tc>
                <w:tcPr>
                  <w:tcW w:w="851" w:type="dxa"/>
                  <w:shd w:val="clear" w:color="auto" w:fill="auto"/>
                  <w:noWrap/>
                  <w:vAlign w:val="center"/>
                </w:tcPr>
                <w:p w14:paraId="5135C03E" w14:textId="29A9E085" w:rsidR="007A47E9"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1.45E1</w:t>
                  </w:r>
                </w:p>
              </w:tc>
              <w:tc>
                <w:tcPr>
                  <w:tcW w:w="709" w:type="dxa"/>
                  <w:shd w:val="clear" w:color="auto" w:fill="auto"/>
                  <w:noWrap/>
                  <w:vAlign w:val="center"/>
                </w:tcPr>
                <w:p w14:paraId="161CED48" w14:textId="075D56FB" w:rsidR="007A47E9" w:rsidRPr="00AE70F3" w:rsidRDefault="00294709" w:rsidP="00AA1A9D">
                  <w:pPr>
                    <w:overflowPunct/>
                    <w:autoSpaceDE/>
                    <w:autoSpaceDN/>
                    <w:adjustRightInd/>
                    <w:jc w:val="right"/>
                    <w:textAlignment w:val="auto"/>
                    <w:rPr>
                      <w:color w:val="000000"/>
                      <w:sz w:val="18"/>
                      <w:szCs w:val="18"/>
                      <w:lang w:eastAsia="en-GB"/>
                    </w:rPr>
                  </w:pPr>
                  <w:r w:rsidRPr="00AE70F3">
                    <w:rPr>
                      <w:color w:val="000000"/>
                      <w:sz w:val="18"/>
                      <w:szCs w:val="18"/>
                      <w:lang w:eastAsia="en-GB"/>
                    </w:rPr>
                    <w:t>0.494</w:t>
                  </w:r>
                </w:p>
              </w:tc>
              <w:tc>
                <w:tcPr>
                  <w:tcW w:w="992" w:type="dxa"/>
                  <w:shd w:val="clear" w:color="auto" w:fill="auto"/>
                  <w:noWrap/>
                  <w:vAlign w:val="center"/>
                </w:tcPr>
                <w:p w14:paraId="6EC7A611" w14:textId="46F853B7" w:rsidR="007A47E9"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1.21E-2</w:t>
                  </w:r>
                </w:p>
              </w:tc>
              <w:tc>
                <w:tcPr>
                  <w:tcW w:w="800" w:type="dxa"/>
                  <w:shd w:val="clear" w:color="auto" w:fill="auto"/>
                  <w:noWrap/>
                  <w:vAlign w:val="center"/>
                </w:tcPr>
                <w:p w14:paraId="7C3ABBE1" w14:textId="499A486C" w:rsidR="007A47E9"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w:t>
                  </w:r>
                </w:p>
              </w:tc>
            </w:tr>
            <w:tr w:rsidR="00294709" w:rsidRPr="006021E5" w14:paraId="12821AD5" w14:textId="77777777" w:rsidTr="002114C1">
              <w:trPr>
                <w:trHeight w:val="786"/>
              </w:trPr>
              <w:tc>
                <w:tcPr>
                  <w:tcW w:w="1152" w:type="dxa"/>
                  <w:shd w:val="clear" w:color="auto" w:fill="auto"/>
                  <w:vAlign w:val="center"/>
                </w:tcPr>
                <w:p w14:paraId="38E9A51F" w14:textId="77777777" w:rsidR="006021E5" w:rsidRPr="00AE70F3" w:rsidRDefault="006021E5" w:rsidP="00785236">
                  <w:pPr>
                    <w:overflowPunct/>
                    <w:autoSpaceDE/>
                    <w:autoSpaceDN/>
                    <w:adjustRightInd/>
                    <w:textAlignment w:val="auto"/>
                    <w:rPr>
                      <w:color w:val="000000"/>
                      <w:sz w:val="18"/>
                      <w:szCs w:val="18"/>
                      <w:lang w:eastAsia="en-GB"/>
                    </w:rPr>
                  </w:pPr>
                </w:p>
                <w:p w14:paraId="6038851A" w14:textId="439B54B2" w:rsidR="007A47E9" w:rsidRPr="00AE70F3" w:rsidRDefault="006021E5" w:rsidP="00785236">
                  <w:pPr>
                    <w:overflowPunct/>
                    <w:autoSpaceDE/>
                    <w:autoSpaceDN/>
                    <w:adjustRightInd/>
                    <w:textAlignment w:val="auto"/>
                    <w:rPr>
                      <w:color w:val="000000"/>
                      <w:sz w:val="18"/>
                      <w:szCs w:val="18"/>
                      <w:lang w:eastAsia="en-GB"/>
                    </w:rPr>
                  </w:pPr>
                  <w:r w:rsidRPr="00AE70F3">
                    <w:rPr>
                      <w:color w:val="000000"/>
                      <w:sz w:val="18"/>
                      <w:szCs w:val="18"/>
                      <w:lang w:eastAsia="en-GB"/>
                    </w:rPr>
                    <w:t>Ingestion dose all nuclides</w:t>
                  </w:r>
                </w:p>
                <w:p w14:paraId="5603B807" w14:textId="39392476" w:rsidR="006021E5" w:rsidRPr="00AE70F3" w:rsidRDefault="006021E5" w:rsidP="00785236">
                  <w:pPr>
                    <w:overflowPunct/>
                    <w:autoSpaceDE/>
                    <w:autoSpaceDN/>
                    <w:adjustRightInd/>
                    <w:textAlignment w:val="auto"/>
                    <w:rPr>
                      <w:color w:val="000000"/>
                      <w:sz w:val="18"/>
                      <w:szCs w:val="18"/>
                      <w:lang w:eastAsia="en-GB"/>
                    </w:rPr>
                  </w:pPr>
                </w:p>
              </w:tc>
              <w:tc>
                <w:tcPr>
                  <w:tcW w:w="828" w:type="dxa"/>
                  <w:shd w:val="clear" w:color="auto" w:fill="auto"/>
                  <w:noWrap/>
                  <w:vAlign w:val="center"/>
                </w:tcPr>
                <w:p w14:paraId="67B7BD7B" w14:textId="7B75A9D8" w:rsidR="007A47E9"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8.53E-1</w:t>
                  </w:r>
                </w:p>
              </w:tc>
              <w:tc>
                <w:tcPr>
                  <w:tcW w:w="845" w:type="dxa"/>
                  <w:shd w:val="clear" w:color="auto" w:fill="auto"/>
                  <w:noWrap/>
                  <w:vAlign w:val="center"/>
                </w:tcPr>
                <w:p w14:paraId="0EED08D4" w14:textId="0BD9CCA7" w:rsidR="007A47E9"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w:t>
                  </w:r>
                </w:p>
              </w:tc>
              <w:tc>
                <w:tcPr>
                  <w:tcW w:w="856" w:type="dxa"/>
                  <w:shd w:val="clear" w:color="auto" w:fill="auto"/>
                  <w:noWrap/>
                  <w:vAlign w:val="center"/>
                </w:tcPr>
                <w:p w14:paraId="36786B22" w14:textId="3E4DD89A" w:rsidR="007A47E9"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1.82E-1</w:t>
                  </w:r>
                </w:p>
              </w:tc>
              <w:tc>
                <w:tcPr>
                  <w:tcW w:w="567" w:type="dxa"/>
                  <w:shd w:val="clear" w:color="auto" w:fill="auto"/>
                  <w:noWrap/>
                  <w:vAlign w:val="center"/>
                </w:tcPr>
                <w:p w14:paraId="44B2C115" w14:textId="22BE4121" w:rsidR="007A47E9"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w:t>
                  </w:r>
                </w:p>
              </w:tc>
              <w:tc>
                <w:tcPr>
                  <w:tcW w:w="850" w:type="dxa"/>
                  <w:shd w:val="clear" w:color="auto" w:fill="auto"/>
                  <w:noWrap/>
                  <w:vAlign w:val="center"/>
                </w:tcPr>
                <w:p w14:paraId="18A61248" w14:textId="57ADC345" w:rsidR="007A47E9"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8.20E-2</w:t>
                  </w:r>
                </w:p>
              </w:tc>
              <w:tc>
                <w:tcPr>
                  <w:tcW w:w="567" w:type="dxa"/>
                  <w:shd w:val="clear" w:color="auto" w:fill="auto"/>
                  <w:noWrap/>
                  <w:vAlign w:val="center"/>
                </w:tcPr>
                <w:p w14:paraId="36180ADB" w14:textId="02B6FA55" w:rsidR="007A47E9"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w:t>
                  </w:r>
                </w:p>
              </w:tc>
              <w:tc>
                <w:tcPr>
                  <w:tcW w:w="851" w:type="dxa"/>
                  <w:shd w:val="clear" w:color="auto" w:fill="auto"/>
                  <w:noWrap/>
                  <w:vAlign w:val="center"/>
                </w:tcPr>
                <w:p w14:paraId="53653DF6" w14:textId="0A734236" w:rsidR="007A47E9" w:rsidRPr="00AE70F3" w:rsidRDefault="00294709" w:rsidP="00FE309A">
                  <w:pPr>
                    <w:overflowPunct/>
                    <w:autoSpaceDE/>
                    <w:autoSpaceDN/>
                    <w:adjustRightInd/>
                    <w:jc w:val="right"/>
                    <w:textAlignment w:val="auto"/>
                    <w:rPr>
                      <w:color w:val="000000"/>
                      <w:sz w:val="18"/>
                      <w:szCs w:val="18"/>
                      <w:lang w:eastAsia="en-GB"/>
                    </w:rPr>
                  </w:pPr>
                  <w:r w:rsidRPr="00AE70F3">
                    <w:rPr>
                      <w:color w:val="FF0000"/>
                      <w:sz w:val="18"/>
                      <w:szCs w:val="18"/>
                      <w:lang w:eastAsia="en-GB"/>
                    </w:rPr>
                    <w:t>1.32E1</w:t>
                  </w:r>
                </w:p>
              </w:tc>
              <w:tc>
                <w:tcPr>
                  <w:tcW w:w="709" w:type="dxa"/>
                  <w:shd w:val="clear" w:color="auto" w:fill="auto"/>
                  <w:noWrap/>
                  <w:vAlign w:val="center"/>
                </w:tcPr>
                <w:p w14:paraId="6E06EE5D" w14:textId="25354323" w:rsidR="007A47E9" w:rsidRPr="00AE70F3" w:rsidRDefault="00294709" w:rsidP="00AA1A9D">
                  <w:pPr>
                    <w:overflowPunct/>
                    <w:autoSpaceDE/>
                    <w:autoSpaceDN/>
                    <w:adjustRightInd/>
                    <w:jc w:val="right"/>
                    <w:textAlignment w:val="auto"/>
                    <w:rPr>
                      <w:color w:val="000000"/>
                      <w:sz w:val="18"/>
                      <w:szCs w:val="18"/>
                      <w:lang w:eastAsia="en-GB"/>
                    </w:rPr>
                  </w:pPr>
                  <w:r w:rsidRPr="00AE70F3">
                    <w:rPr>
                      <w:color w:val="000000"/>
                      <w:sz w:val="18"/>
                      <w:szCs w:val="18"/>
                      <w:lang w:eastAsia="en-GB"/>
                    </w:rPr>
                    <w:t>0.458</w:t>
                  </w:r>
                </w:p>
              </w:tc>
              <w:tc>
                <w:tcPr>
                  <w:tcW w:w="992" w:type="dxa"/>
                  <w:shd w:val="clear" w:color="auto" w:fill="auto"/>
                  <w:noWrap/>
                  <w:vAlign w:val="center"/>
                </w:tcPr>
                <w:p w14:paraId="1AF36A7C" w14:textId="1F915C91" w:rsidR="007A47E9"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9.32E-3</w:t>
                  </w:r>
                </w:p>
              </w:tc>
              <w:tc>
                <w:tcPr>
                  <w:tcW w:w="800" w:type="dxa"/>
                  <w:shd w:val="clear" w:color="auto" w:fill="auto"/>
                  <w:noWrap/>
                  <w:vAlign w:val="center"/>
                </w:tcPr>
                <w:p w14:paraId="0748E4E7" w14:textId="54EAE77D" w:rsidR="007A47E9" w:rsidRPr="00AE70F3" w:rsidRDefault="00294709" w:rsidP="00FE309A">
                  <w:pPr>
                    <w:overflowPunct/>
                    <w:autoSpaceDE/>
                    <w:autoSpaceDN/>
                    <w:adjustRightInd/>
                    <w:jc w:val="right"/>
                    <w:textAlignment w:val="auto"/>
                    <w:rPr>
                      <w:color w:val="000000"/>
                      <w:sz w:val="18"/>
                      <w:szCs w:val="18"/>
                      <w:lang w:eastAsia="en-GB"/>
                    </w:rPr>
                  </w:pPr>
                  <w:r w:rsidRPr="00AE70F3">
                    <w:rPr>
                      <w:color w:val="000000"/>
                      <w:sz w:val="18"/>
                      <w:szCs w:val="18"/>
                      <w:lang w:eastAsia="en-GB"/>
                    </w:rPr>
                    <w:t>-</w:t>
                  </w:r>
                </w:p>
              </w:tc>
            </w:tr>
          </w:tbl>
          <w:p w14:paraId="70194912" w14:textId="3A7083E5" w:rsidR="00883CE5" w:rsidRPr="007E4AAB" w:rsidRDefault="00883CE5" w:rsidP="00AA1A9D">
            <w:pPr>
              <w:pStyle w:val="Tekstpodstawowy"/>
              <w:ind w:firstLine="0"/>
            </w:pPr>
          </w:p>
        </w:tc>
      </w:tr>
    </w:tbl>
    <w:p w14:paraId="3AF64FAF" w14:textId="211C3E14" w:rsidR="002114C1" w:rsidRPr="002114C1" w:rsidRDefault="00822717" w:rsidP="002114C1">
      <w:pPr>
        <w:pStyle w:val="Tekstpodstawowy"/>
        <w:ind w:firstLine="0"/>
      </w:pPr>
      <w:r w:rsidRPr="00822717">
        <w:lastRenderedPageBreak/>
        <w:t xml:space="preserve">determining safe distances and zones around nuclear installations. The data highlights the critical role meteorological factors play in establishing safety parameters, as these conditions directly influence the dispersion of radionuclides and, consequently, the exposure risks to the public. The highest dose, reaching 1.05E2 </w:t>
      </w:r>
      <w:proofErr w:type="spellStart"/>
      <w:r w:rsidRPr="00822717">
        <w:t>mSv</w:t>
      </w:r>
      <w:proofErr w:type="spellEnd"/>
      <w:r w:rsidRPr="00822717">
        <w:t xml:space="preserve">, was observed in the </w:t>
      </w:r>
      <w:proofErr w:type="spellStart"/>
      <w:r w:rsidRPr="00822717">
        <w:t>Mdata_Wwind</w:t>
      </w:r>
      <w:proofErr w:type="spellEnd"/>
      <w:r w:rsidRPr="00822717">
        <w:t xml:space="preserve"> scenario. However, the maximum distance to the 1 </w:t>
      </w:r>
      <w:proofErr w:type="spellStart"/>
      <w:r w:rsidRPr="00822717">
        <w:t>mSv</w:t>
      </w:r>
      <w:proofErr w:type="spellEnd"/>
      <w:r w:rsidRPr="00822717">
        <w:t xml:space="preserve"> threshold was similar for both the EPA_1 and </w:t>
      </w:r>
      <w:proofErr w:type="spellStart"/>
      <w:r w:rsidRPr="00822717">
        <w:t>Mdata_Wwind</w:t>
      </w:r>
      <w:proofErr w:type="spellEnd"/>
      <w:r w:rsidRPr="00822717">
        <w:t xml:space="preserve"> scenarios. For reactors with higher power and larger radionuclide inventories, the critical dose will likely predominantly affect the thyroid due to iodine exposure. Although no dose limits were exceeded, it is evident that the distances vary significantly depending on the selected weather conditions.</w:t>
      </w:r>
    </w:p>
    <w:p w14:paraId="69E50E49" w14:textId="5123B0BF" w:rsidR="003D0E5C" w:rsidRDefault="003D0E5C" w:rsidP="003D0E5C">
      <w:pPr>
        <w:pStyle w:val="Nagwek2"/>
        <w:numPr>
          <w:ilvl w:val="1"/>
          <w:numId w:val="10"/>
        </w:numPr>
      </w:pPr>
      <w:r>
        <w:t>SUMMARY AND CONCLUSIONS</w:t>
      </w:r>
    </w:p>
    <w:p w14:paraId="2AC8E95A" w14:textId="77777777" w:rsidR="00DE79D8" w:rsidRDefault="00DE79D8" w:rsidP="00DE79D8">
      <w:pPr>
        <w:pStyle w:val="Tekstpodstawowy"/>
      </w:pPr>
      <w:r>
        <w:t>Selecting an appropriate weather scenario is crucial when calculating zones and areas. A conservative approach, such as stability class A and an average wind speed of around 0.1 m/s, significantly impacts the obtained dose values and potential distances. The weather conditions scenario should be chosen with great care, as it can be a critical and potentially contentious point between the investor and the regulator. A prudent solution would be for the regulator to define precise weather scenarios, which may vary for different locations. This would eliminate issues with the interpretation of so-called worst-case weather scenarios.</w:t>
      </w:r>
    </w:p>
    <w:p w14:paraId="1F23897A" w14:textId="77777777" w:rsidR="00DE79D8" w:rsidRDefault="00DE79D8" w:rsidP="00DE79D8">
      <w:pPr>
        <w:pStyle w:val="Tekstpodstawowy"/>
      </w:pPr>
      <w:r>
        <w:t xml:space="preserve">For the HTGR </w:t>
      </w:r>
      <w:proofErr w:type="spellStart"/>
      <w:r>
        <w:t>TeResa</w:t>
      </w:r>
      <w:proofErr w:type="spellEnd"/>
      <w:r>
        <w:t xml:space="preserve"> reactor, the threshold dose values for zones, including UPZ and ICPD, were reached only for scenarios with very weak wind (about 0.1 m/s) and the corresponding </w:t>
      </w:r>
      <w:proofErr w:type="spellStart"/>
      <w:r>
        <w:t>Pasquill</w:t>
      </w:r>
      <w:proofErr w:type="spellEnd"/>
      <w:r>
        <w:t xml:space="preserve"> A stability class. This is due to the reactor's low power and the technologies employed in this reactor (e.g., TRISO fuel). A key element is the precise determination of the source term, which significantly influences the determination of zones and areas. The source term obtained from simulations using the MELCOR code is significantly smaller than that proposed in publications for HTGR reactors. However, the source term from these publications is estimated and, as stated by the authors, very conservative. Several elements were conservatively estimated to have release fractions similar to that of iodine, including </w:t>
      </w:r>
      <w:proofErr w:type="spellStart"/>
      <w:r>
        <w:t>cesium</w:t>
      </w:r>
      <w:proofErr w:type="spellEnd"/>
      <w:r>
        <w:t>, tellurium, and strontium. The publication notes that some elements should have much lower fractional releases than 15%, although this was not specified in JAERI's published assumptions.</w:t>
      </w:r>
    </w:p>
    <w:p w14:paraId="799F6B64" w14:textId="77777777" w:rsidR="00DE79D8" w:rsidRDefault="00DE79D8" w:rsidP="00DE79D8">
      <w:pPr>
        <w:pStyle w:val="Tekstpodstawowy"/>
      </w:pPr>
      <w:r>
        <w:t>Further insights are provided by a study from the Idaho National Laboratory, which examines source terms for a different HTGR accident scenario involving a D-LOFC with scram but without air ingress. This study calculated the release fraction for each chemical group based on the 95% confidence long-term releases and then scaled these values relative to the assumed 15% release of iodine-131. It is essential to conduct precise calculations and verify whether the proposed source term corresponds to the worst possible predicted accident using the best and most recent computational codes. Simulations with a code competitive to MELCOR would allow for accurate verification of the obtained source term. For HTGR reactors with relatively low power, it is recommended that precise calculations of radionuclide transport following severe accidents in the immediate vicinity be conducted utilizing CFD-class codes. This would enable a more accurate determination of potential hazards.</w:t>
      </w:r>
    </w:p>
    <w:p w14:paraId="13E58D13" w14:textId="06CB2D68" w:rsidR="00F26380" w:rsidRDefault="00F26380" w:rsidP="00DE79D8">
      <w:pPr>
        <w:pStyle w:val="Tekstpodstawowy"/>
      </w:pPr>
      <w:r w:rsidRPr="00F26380">
        <w:t xml:space="preserve">Due to the planned large number of Small Modular Reactor (SMR) installations, it seems that the IAEA should provide specific recommendations. The authors of the article recommend establishing a precise list of required weather conditions for </w:t>
      </w:r>
      <w:r>
        <w:t xml:space="preserve">which Emergency Planning Zones </w:t>
      </w:r>
      <w:r w:rsidRPr="00F26380">
        <w:t>and distances should be calculated, to prevent the possibility of selecting con</w:t>
      </w:r>
      <w:r>
        <w:t xml:space="preserve">ditions that are "too </w:t>
      </w:r>
      <w:proofErr w:type="spellStart"/>
      <w:r>
        <w:t>favorable</w:t>
      </w:r>
      <w:proofErr w:type="spellEnd"/>
      <w:r w:rsidRPr="00F26380">
        <w:t>"</w:t>
      </w:r>
      <w:r>
        <w:t>.</w:t>
      </w:r>
      <w:r w:rsidRPr="00F26380">
        <w:t xml:space="preserve"> It also appears appropriate to divide areas of interest into groups with similar weather conditions. Similar to the weather conditions recommended by the EPA for dispersion models, such recommendations should also be provided for the analysis of severe accidents, considering the specifics of releases in nuclear installations.</w:t>
      </w:r>
    </w:p>
    <w:p w14:paraId="15F4F300" w14:textId="7B321741" w:rsidR="00285755" w:rsidRDefault="00F26380" w:rsidP="00F26380">
      <w:pPr>
        <w:pStyle w:val="Otherunnumberedheadings"/>
        <w:tabs>
          <w:tab w:val="center" w:pos="4513"/>
          <w:tab w:val="left" w:pos="7440"/>
        </w:tabs>
        <w:jc w:val="left"/>
      </w:pPr>
      <w:r>
        <w:tab/>
      </w:r>
      <w:r w:rsidR="00285755" w:rsidRPr="00285755">
        <w:t>ACKNOWLEDGEMENTS</w:t>
      </w:r>
      <w:r>
        <w:tab/>
      </w:r>
    </w:p>
    <w:p w14:paraId="061D5B1B" w14:textId="08D52361" w:rsidR="00DE79D8" w:rsidRPr="00F26380" w:rsidRDefault="000D142E" w:rsidP="00DE79D8">
      <w:pPr>
        <w:pStyle w:val="Tekstpodstawowy"/>
        <w:rPr>
          <w:sz w:val="16"/>
        </w:rPr>
      </w:pPr>
      <w:r w:rsidRPr="00F26380">
        <w:rPr>
          <w:sz w:val="16"/>
        </w:rPr>
        <w:t>This work was supported under the project “Technical description of the HTGR gas-cooled high-temperature research nuclear reactor” (Contract No 1/HTGR/2021/14) funded by the Ministry of Education and Science (</w:t>
      </w:r>
      <w:proofErr w:type="spellStart"/>
      <w:r w:rsidRPr="00F26380">
        <w:rPr>
          <w:sz w:val="16"/>
        </w:rPr>
        <w:t>MEiN</w:t>
      </w:r>
      <w:proofErr w:type="spellEnd"/>
      <w:r w:rsidRPr="00F26380">
        <w:rPr>
          <w:sz w:val="16"/>
        </w:rPr>
        <w:t xml:space="preserve">) of Poland (2021-24). Part of the calculations were carried out using the HPC cluster of the </w:t>
      </w:r>
      <w:proofErr w:type="spellStart"/>
      <w:r w:rsidRPr="00F26380">
        <w:rPr>
          <w:sz w:val="16"/>
        </w:rPr>
        <w:t>Swierk</w:t>
      </w:r>
      <w:proofErr w:type="spellEnd"/>
      <w:r w:rsidRPr="00F26380">
        <w:rPr>
          <w:sz w:val="16"/>
        </w:rPr>
        <w:t xml:space="preserve"> Computing Centre (CIS), National Centre for Nuclear Research (NCBJ), Poland. This work is part of the studies in the strategic Polish program of scientific research and development work “Social and economic development of Poland in the conditions of globalizing markets GOSPOSTRATEG”, part of “Preparation of legal, organizational and technical instruments for the HTR implementation” financed by the National Centre for Research and Development (</w:t>
      </w:r>
      <w:proofErr w:type="spellStart"/>
      <w:r w:rsidRPr="00F26380">
        <w:rPr>
          <w:sz w:val="16"/>
        </w:rPr>
        <w:t>NCBiR</w:t>
      </w:r>
      <w:proofErr w:type="spellEnd"/>
      <w:r w:rsidRPr="00F26380">
        <w:rPr>
          <w:sz w:val="16"/>
        </w:rPr>
        <w:t>) in Poland.</w:t>
      </w:r>
    </w:p>
    <w:p w14:paraId="32B76F9D" w14:textId="77777777" w:rsidR="00D26ADA" w:rsidRDefault="00D26ADA" w:rsidP="00537496">
      <w:pPr>
        <w:pStyle w:val="Otherunnumberedheadings"/>
      </w:pPr>
      <w:r>
        <w:lastRenderedPageBreak/>
        <w:t>References</w:t>
      </w:r>
    </w:p>
    <w:p w14:paraId="0678E72E" w14:textId="5FFDF2FD" w:rsidR="00AE70F3" w:rsidRDefault="00AE70F3" w:rsidP="00AD2D2F">
      <w:pPr>
        <w:pStyle w:val="NormalnyWeb"/>
        <w:numPr>
          <w:ilvl w:val="0"/>
          <w:numId w:val="38"/>
        </w:numPr>
        <w:spacing w:after="120" w:afterAutospacing="0"/>
        <w:ind w:left="714" w:hanging="357"/>
        <w:jc w:val="both"/>
        <w:rPr>
          <w:sz w:val="18"/>
          <w:szCs w:val="18"/>
        </w:rPr>
      </w:pPr>
      <w:r w:rsidRPr="00AE70F3">
        <w:rPr>
          <w:sz w:val="18"/>
          <w:szCs w:val="18"/>
        </w:rPr>
        <w:t xml:space="preserve">SKRZYPEK, E., MUSZYŃSKI, D., SKRZYPEK, M., DARNOWSKI, P., MALESA, J., "Pre-conceptual Design of the Research High-Temperature Gas-Cooled Reactor </w:t>
      </w:r>
      <w:proofErr w:type="spellStart"/>
      <w:r w:rsidRPr="00AE70F3">
        <w:rPr>
          <w:sz w:val="18"/>
          <w:szCs w:val="18"/>
        </w:rPr>
        <w:t>TeResa</w:t>
      </w:r>
      <w:proofErr w:type="spellEnd"/>
      <w:r w:rsidRPr="00AE70F3">
        <w:rPr>
          <w:sz w:val="18"/>
          <w:szCs w:val="18"/>
        </w:rPr>
        <w:t xml:space="preserve"> for Non-Electrical Applications", Energies, 15(6), 2084 (2022).</w:t>
      </w:r>
    </w:p>
    <w:p w14:paraId="2C5FC13B" w14:textId="590DA022" w:rsidR="00B851D7" w:rsidRPr="00B851D7" w:rsidRDefault="00B851D7" w:rsidP="00AD2D2F">
      <w:pPr>
        <w:pStyle w:val="NormalnyWeb"/>
        <w:numPr>
          <w:ilvl w:val="0"/>
          <w:numId w:val="38"/>
        </w:numPr>
        <w:spacing w:after="120" w:afterAutospacing="0"/>
        <w:ind w:left="714" w:hanging="357"/>
        <w:jc w:val="both"/>
        <w:rPr>
          <w:sz w:val="18"/>
          <w:szCs w:val="18"/>
        </w:rPr>
      </w:pPr>
      <w:r>
        <w:rPr>
          <w:sz w:val="18"/>
          <w:szCs w:val="18"/>
        </w:rPr>
        <w:t>DĄBROWSKI, M., et al., “</w:t>
      </w:r>
      <w:r w:rsidRPr="00B851D7">
        <w:rPr>
          <w:sz w:val="18"/>
          <w:szCs w:val="18"/>
        </w:rPr>
        <w:t>Concept of the polish high temperature gas-cooled reactor HTGR-POLA</w:t>
      </w:r>
      <w:r>
        <w:rPr>
          <w:sz w:val="18"/>
          <w:szCs w:val="18"/>
        </w:rPr>
        <w:t>”</w:t>
      </w:r>
      <w:r w:rsidRPr="00B851D7">
        <w:rPr>
          <w:sz w:val="18"/>
          <w:szCs w:val="18"/>
        </w:rPr>
        <w:t>,</w:t>
      </w:r>
      <w:r>
        <w:rPr>
          <w:sz w:val="18"/>
          <w:szCs w:val="18"/>
        </w:rPr>
        <w:t xml:space="preserve"> </w:t>
      </w:r>
      <w:r w:rsidRPr="00B851D7">
        <w:rPr>
          <w:sz w:val="18"/>
          <w:szCs w:val="18"/>
        </w:rPr>
        <w:t>Nuclear Engineering and Design, Volume 424, 2024,</w:t>
      </w:r>
    </w:p>
    <w:p w14:paraId="6749795E" w14:textId="33D5989A" w:rsidR="00AE70F3" w:rsidRDefault="00AE70F3" w:rsidP="00AD2D2F">
      <w:pPr>
        <w:pStyle w:val="NormalnyWeb"/>
        <w:numPr>
          <w:ilvl w:val="0"/>
          <w:numId w:val="38"/>
        </w:numPr>
        <w:spacing w:after="120" w:afterAutospacing="0"/>
        <w:ind w:left="714" w:hanging="357"/>
        <w:jc w:val="both"/>
        <w:rPr>
          <w:sz w:val="18"/>
          <w:szCs w:val="18"/>
        </w:rPr>
      </w:pPr>
      <w:r w:rsidRPr="00AE70F3">
        <w:rPr>
          <w:sz w:val="18"/>
          <w:szCs w:val="18"/>
        </w:rPr>
        <w:t>KUNITOMI, K., SHIOZAWA, S., "High Temperature Engineering Test Reactor (HTTR)", Japan Atomic Energy Research Institute (JAERI) (2004).</w:t>
      </w:r>
    </w:p>
    <w:p w14:paraId="244C27E2" w14:textId="6318470F" w:rsidR="00C33806" w:rsidRPr="00AE70F3" w:rsidRDefault="00C33806" w:rsidP="00AD2D2F">
      <w:pPr>
        <w:pStyle w:val="NormalnyWeb"/>
        <w:numPr>
          <w:ilvl w:val="0"/>
          <w:numId w:val="38"/>
        </w:numPr>
        <w:spacing w:after="120" w:afterAutospacing="0"/>
        <w:ind w:left="714" w:hanging="357"/>
        <w:jc w:val="both"/>
        <w:rPr>
          <w:sz w:val="18"/>
          <w:szCs w:val="18"/>
        </w:rPr>
      </w:pPr>
      <w:r>
        <w:rPr>
          <w:sz w:val="18"/>
          <w:szCs w:val="18"/>
        </w:rPr>
        <w:t>SKRZYPEK, M., et al., “</w:t>
      </w:r>
      <w:r w:rsidRPr="00C33806">
        <w:rPr>
          <w:sz w:val="18"/>
          <w:szCs w:val="18"/>
        </w:rPr>
        <w:t>Study on the DLOFC accident of the GEMINI+ conceptual design of HTGR reactor with MELCOR and SPECTRA</w:t>
      </w:r>
      <w:r>
        <w:rPr>
          <w:sz w:val="18"/>
          <w:szCs w:val="18"/>
        </w:rPr>
        <w:t>” J. Phys.: Conf. Ser. 2048, 2021</w:t>
      </w:r>
    </w:p>
    <w:p w14:paraId="08C20B0E" w14:textId="2B80E89E" w:rsidR="00AE70F3" w:rsidRPr="00AE70F3" w:rsidRDefault="00AE70F3" w:rsidP="00AD2D2F">
      <w:pPr>
        <w:pStyle w:val="NormalnyWeb"/>
        <w:numPr>
          <w:ilvl w:val="0"/>
          <w:numId w:val="38"/>
        </w:numPr>
        <w:spacing w:after="120" w:afterAutospacing="0"/>
        <w:ind w:left="714" w:hanging="357"/>
        <w:jc w:val="both"/>
        <w:rPr>
          <w:sz w:val="18"/>
          <w:szCs w:val="18"/>
        </w:rPr>
      </w:pPr>
      <w:r w:rsidRPr="00AE70F3">
        <w:rPr>
          <w:sz w:val="18"/>
          <w:szCs w:val="18"/>
        </w:rPr>
        <w:t>KUNITOMI, K., et al., "Safety and Licensing Experience of the HTTR" (2004).</w:t>
      </w:r>
    </w:p>
    <w:p w14:paraId="172ECDE3" w14:textId="0B68B53E" w:rsidR="00AE70F3" w:rsidRPr="00AE70F3" w:rsidRDefault="00AE70F3" w:rsidP="00AD2D2F">
      <w:pPr>
        <w:pStyle w:val="NormalnyWeb"/>
        <w:numPr>
          <w:ilvl w:val="0"/>
          <w:numId w:val="38"/>
        </w:numPr>
        <w:spacing w:after="120" w:afterAutospacing="0"/>
        <w:ind w:left="714" w:hanging="357"/>
        <w:jc w:val="both"/>
        <w:rPr>
          <w:sz w:val="18"/>
          <w:szCs w:val="18"/>
        </w:rPr>
      </w:pPr>
      <w:r w:rsidRPr="00AE70F3">
        <w:rPr>
          <w:sz w:val="18"/>
          <w:szCs w:val="18"/>
        </w:rPr>
        <w:t>IDAHO NATIONAL LABORATORY, "Source Terms for a Different HTGR Accident" (2012).</w:t>
      </w:r>
    </w:p>
    <w:p w14:paraId="799D40F9" w14:textId="4AFDB5B5" w:rsidR="00AE70F3" w:rsidRPr="00AE70F3" w:rsidRDefault="00AE70F3" w:rsidP="00AD2D2F">
      <w:pPr>
        <w:pStyle w:val="NormalnyWeb"/>
        <w:numPr>
          <w:ilvl w:val="0"/>
          <w:numId w:val="38"/>
        </w:numPr>
        <w:spacing w:after="120" w:afterAutospacing="0"/>
        <w:ind w:left="714" w:hanging="357"/>
        <w:jc w:val="both"/>
        <w:rPr>
          <w:sz w:val="18"/>
          <w:szCs w:val="18"/>
        </w:rPr>
      </w:pPr>
      <w:r w:rsidRPr="00AE70F3">
        <w:rPr>
          <w:sz w:val="18"/>
          <w:szCs w:val="18"/>
        </w:rPr>
        <w:t>SINKKO, K., MIKKELSEN, T., PÄSLER-SAUER, J., "RODOS: Decision Support System for Off-site Nuclear Emergency Management in Europe", Radioprotection, 35(1), 81-87 (2000).</w:t>
      </w:r>
    </w:p>
    <w:p w14:paraId="20D2838D" w14:textId="0230C4B6" w:rsidR="00AE70F3" w:rsidRPr="00AE70F3" w:rsidRDefault="00AE70F3" w:rsidP="00AD2D2F">
      <w:pPr>
        <w:pStyle w:val="NormalnyWeb"/>
        <w:numPr>
          <w:ilvl w:val="0"/>
          <w:numId w:val="38"/>
        </w:numPr>
        <w:spacing w:after="120" w:afterAutospacing="0"/>
        <w:ind w:left="714" w:hanging="357"/>
        <w:jc w:val="both"/>
        <w:rPr>
          <w:sz w:val="18"/>
          <w:szCs w:val="18"/>
        </w:rPr>
      </w:pPr>
      <w:r w:rsidRPr="00AE70F3">
        <w:rPr>
          <w:sz w:val="18"/>
          <w:szCs w:val="18"/>
        </w:rPr>
        <w:t>EHRHARDT, J., WEIS, A., "Development of RODOS, a Comprehensive Decision Support System for Nuclear Emergencies in Europe—An Overview", Radiation Protection Dosimetry, 50(2-4), 195-203 (1993).</w:t>
      </w:r>
    </w:p>
    <w:p w14:paraId="470D6BB3" w14:textId="23F7396F" w:rsidR="00AE70F3" w:rsidRPr="00AE70F3" w:rsidRDefault="00AE70F3" w:rsidP="00AD2D2F">
      <w:pPr>
        <w:pStyle w:val="NormalnyWeb"/>
        <w:numPr>
          <w:ilvl w:val="0"/>
          <w:numId w:val="38"/>
        </w:numPr>
        <w:spacing w:after="120" w:afterAutospacing="0"/>
        <w:ind w:left="714" w:hanging="357"/>
        <w:jc w:val="both"/>
        <w:rPr>
          <w:sz w:val="18"/>
          <w:szCs w:val="18"/>
        </w:rPr>
      </w:pPr>
      <w:r w:rsidRPr="00AE70F3">
        <w:rPr>
          <w:sz w:val="18"/>
          <w:szCs w:val="18"/>
        </w:rPr>
        <w:t>BARESCUT, J., LARIVIERE, D., STOCKI, T., RASKOB, W., TRYBUSHNYI, D., IEVDIN, I., ZHELEZNYAK, M., "JRODOS: Platform for Improved Long Term Countermeasures Modelling and Management", Radioprotection, 46(6), S731-S736 (2011).</w:t>
      </w:r>
    </w:p>
    <w:p w14:paraId="68E983B2" w14:textId="5E631D75" w:rsidR="00AE70F3" w:rsidRPr="00AE70F3" w:rsidRDefault="00AE70F3" w:rsidP="00AD2D2F">
      <w:pPr>
        <w:pStyle w:val="NormalnyWeb"/>
        <w:numPr>
          <w:ilvl w:val="0"/>
          <w:numId w:val="38"/>
        </w:numPr>
        <w:spacing w:after="120" w:afterAutospacing="0"/>
        <w:ind w:left="714" w:hanging="357"/>
        <w:jc w:val="both"/>
        <w:rPr>
          <w:sz w:val="18"/>
          <w:szCs w:val="18"/>
        </w:rPr>
      </w:pPr>
      <w:r w:rsidRPr="00AE70F3">
        <w:rPr>
          <w:sz w:val="18"/>
          <w:szCs w:val="18"/>
        </w:rPr>
        <w:t>ANDRONOPOULOS, S., BARTZIS, J. G., GARIAZZO, C., DE SMET, K., "The RODOS Meteorological Pre-processor RMPP", Radiation Protection Dosimetry, 134(3-4), 173-179 (2009).</w:t>
      </w:r>
    </w:p>
    <w:p w14:paraId="616E436A" w14:textId="3DAADAC7" w:rsidR="00AE70F3" w:rsidRPr="00AE70F3" w:rsidRDefault="00AE70F3" w:rsidP="00AD2D2F">
      <w:pPr>
        <w:pStyle w:val="NormalnyWeb"/>
        <w:numPr>
          <w:ilvl w:val="0"/>
          <w:numId w:val="38"/>
        </w:numPr>
        <w:spacing w:after="120" w:afterAutospacing="0"/>
        <w:ind w:left="714" w:hanging="357"/>
        <w:jc w:val="both"/>
        <w:rPr>
          <w:sz w:val="18"/>
          <w:szCs w:val="18"/>
        </w:rPr>
      </w:pPr>
      <w:r w:rsidRPr="00AE70F3">
        <w:rPr>
          <w:sz w:val="18"/>
          <w:szCs w:val="18"/>
        </w:rPr>
        <w:t xml:space="preserve">THYKIER-NIELSEN, S., MIKKELSEN, T., ASTRUP, P., "Description of the Atmospheric Dispersion Module RIMPUFF", </w:t>
      </w:r>
      <w:proofErr w:type="spellStart"/>
      <w:r w:rsidRPr="00AE70F3">
        <w:rPr>
          <w:sz w:val="18"/>
          <w:szCs w:val="18"/>
        </w:rPr>
        <w:t>Riso</w:t>
      </w:r>
      <w:proofErr w:type="spellEnd"/>
      <w:r w:rsidRPr="00AE70F3">
        <w:rPr>
          <w:sz w:val="18"/>
          <w:szCs w:val="18"/>
        </w:rPr>
        <w:t xml:space="preserve"> National Laboratory, Riso-R-995(EN) (1999).</w:t>
      </w:r>
    </w:p>
    <w:p w14:paraId="5E1D2E18" w14:textId="5E97C900" w:rsidR="00AE70F3" w:rsidRPr="00AE70F3" w:rsidRDefault="00AE70F3" w:rsidP="00AD2D2F">
      <w:pPr>
        <w:pStyle w:val="NormalnyWeb"/>
        <w:numPr>
          <w:ilvl w:val="0"/>
          <w:numId w:val="38"/>
        </w:numPr>
        <w:spacing w:after="120" w:afterAutospacing="0"/>
        <w:ind w:left="714" w:hanging="357"/>
        <w:jc w:val="both"/>
        <w:rPr>
          <w:sz w:val="18"/>
          <w:szCs w:val="18"/>
        </w:rPr>
      </w:pPr>
      <w:r w:rsidRPr="00AE70F3">
        <w:rPr>
          <w:sz w:val="18"/>
          <w:szCs w:val="18"/>
        </w:rPr>
        <w:t>EHRHARDT, J., WEIS, A., "RODOS: Decision Support System for Off-site Nuclear Emergency Management in Europe", European Commission, Brussels (1997).</w:t>
      </w:r>
    </w:p>
    <w:p w14:paraId="207E40D6" w14:textId="0006F47F" w:rsidR="00AE70F3" w:rsidRPr="00AE70F3" w:rsidRDefault="00AE70F3" w:rsidP="00AD2D2F">
      <w:pPr>
        <w:pStyle w:val="NormalnyWeb"/>
        <w:numPr>
          <w:ilvl w:val="0"/>
          <w:numId w:val="38"/>
        </w:numPr>
        <w:spacing w:after="120" w:afterAutospacing="0"/>
        <w:ind w:left="714" w:hanging="357"/>
        <w:jc w:val="both"/>
        <w:rPr>
          <w:sz w:val="18"/>
          <w:szCs w:val="18"/>
        </w:rPr>
      </w:pPr>
      <w:r w:rsidRPr="00AE70F3">
        <w:rPr>
          <w:sz w:val="18"/>
          <w:szCs w:val="18"/>
        </w:rPr>
        <w:t>ANDRONOPOULOS, S., BARTZIS, J. G., GARIAZZO, C., DE SMET, K., "RODOS: Real-time On-line Decision Support System for Off-site Emergency Management After Nuclear Accidents", Radioprotection, 44(5), 879-884 (2009).</w:t>
      </w:r>
    </w:p>
    <w:p w14:paraId="268A1DB9" w14:textId="25DE6A67" w:rsidR="00AE70F3" w:rsidRPr="00AE70F3" w:rsidRDefault="00AE70F3" w:rsidP="00AD2D2F">
      <w:pPr>
        <w:pStyle w:val="NormalnyWeb"/>
        <w:numPr>
          <w:ilvl w:val="0"/>
          <w:numId w:val="38"/>
        </w:numPr>
        <w:spacing w:after="120" w:afterAutospacing="0"/>
        <w:ind w:left="714" w:hanging="357"/>
        <w:jc w:val="both"/>
        <w:rPr>
          <w:sz w:val="18"/>
          <w:szCs w:val="18"/>
        </w:rPr>
      </w:pPr>
      <w:r w:rsidRPr="00AE70F3">
        <w:rPr>
          <w:sz w:val="18"/>
          <w:szCs w:val="18"/>
        </w:rPr>
        <w:t>ROBERTSON, L., LANGNER, J., ENGARDT, M., "An Eulerian Limited-area Atmospheric Transport Model", Journal of Applied Meteorology, 38(2), 190-210 (1999).</w:t>
      </w:r>
    </w:p>
    <w:p w14:paraId="1BA2FCBB" w14:textId="5C30DFBC" w:rsidR="00AE70F3" w:rsidRPr="00AE70F3" w:rsidRDefault="00AE70F3" w:rsidP="00AD2D2F">
      <w:pPr>
        <w:pStyle w:val="NormalnyWeb"/>
        <w:numPr>
          <w:ilvl w:val="0"/>
          <w:numId w:val="38"/>
        </w:numPr>
        <w:spacing w:after="120" w:afterAutospacing="0"/>
        <w:ind w:left="714" w:hanging="357"/>
        <w:jc w:val="both"/>
        <w:rPr>
          <w:sz w:val="18"/>
          <w:szCs w:val="18"/>
        </w:rPr>
      </w:pPr>
      <w:r w:rsidRPr="00AE70F3">
        <w:rPr>
          <w:sz w:val="18"/>
          <w:szCs w:val="18"/>
        </w:rPr>
        <w:t>RASKOB, W., GERING, F., "MATCH: A Model for Long-range Atmospheric Transport of Radionuclides", Radiation Protection Dosimetry, 141(1), 17-22 (2010).</w:t>
      </w:r>
    </w:p>
    <w:p w14:paraId="56C64017" w14:textId="60A4C915" w:rsidR="00AE70F3" w:rsidRPr="00AE70F3" w:rsidRDefault="00AE70F3" w:rsidP="00AD2D2F">
      <w:pPr>
        <w:pStyle w:val="NormalnyWeb"/>
        <w:numPr>
          <w:ilvl w:val="0"/>
          <w:numId w:val="38"/>
        </w:numPr>
        <w:spacing w:after="120" w:afterAutospacing="0"/>
        <w:ind w:left="714" w:hanging="357"/>
        <w:jc w:val="both"/>
        <w:rPr>
          <w:sz w:val="18"/>
          <w:szCs w:val="18"/>
        </w:rPr>
      </w:pPr>
      <w:r w:rsidRPr="00AE70F3">
        <w:rPr>
          <w:sz w:val="18"/>
          <w:szCs w:val="18"/>
        </w:rPr>
        <w:t xml:space="preserve">PERSSON, C., GIDHAGEN, L., "The MATCH Model—Meteorological Synthesizing Dispersion Model, Applied to Air Pollution from Road Traffic in Stockholm", Proceedings from the 20th NATO/CCMS International Technical Meeting on Air Pollution </w:t>
      </w:r>
      <w:proofErr w:type="spellStart"/>
      <w:r w:rsidRPr="00AE70F3">
        <w:rPr>
          <w:sz w:val="18"/>
          <w:szCs w:val="18"/>
        </w:rPr>
        <w:t>Modeling</w:t>
      </w:r>
      <w:proofErr w:type="spellEnd"/>
      <w:r w:rsidRPr="00AE70F3">
        <w:rPr>
          <w:sz w:val="18"/>
          <w:szCs w:val="18"/>
        </w:rPr>
        <w:t xml:space="preserve"> and Its Application, Valencia, Spain, 1994.</w:t>
      </w:r>
    </w:p>
    <w:p w14:paraId="0E958800" w14:textId="6A010D27" w:rsidR="00AE70F3" w:rsidRPr="00AE70F3" w:rsidRDefault="00AE70F3" w:rsidP="00AD2D2F">
      <w:pPr>
        <w:pStyle w:val="NormalnyWeb"/>
        <w:numPr>
          <w:ilvl w:val="0"/>
          <w:numId w:val="38"/>
        </w:numPr>
        <w:spacing w:after="120" w:afterAutospacing="0"/>
        <w:ind w:left="714" w:hanging="357"/>
        <w:jc w:val="both"/>
        <w:rPr>
          <w:sz w:val="18"/>
          <w:szCs w:val="18"/>
        </w:rPr>
      </w:pPr>
      <w:r w:rsidRPr="00AE70F3">
        <w:rPr>
          <w:sz w:val="18"/>
          <w:szCs w:val="18"/>
        </w:rPr>
        <w:t xml:space="preserve">JANICKE, U., JANICKE, L., "Dispersion </w:t>
      </w:r>
      <w:proofErr w:type="spellStart"/>
      <w:r w:rsidRPr="00AE70F3">
        <w:rPr>
          <w:sz w:val="18"/>
          <w:szCs w:val="18"/>
        </w:rPr>
        <w:t>Modeling</w:t>
      </w:r>
      <w:proofErr w:type="spellEnd"/>
      <w:r w:rsidRPr="00AE70F3">
        <w:rPr>
          <w:sz w:val="18"/>
          <w:szCs w:val="18"/>
        </w:rPr>
        <w:t xml:space="preserve"> with the </w:t>
      </w:r>
      <w:proofErr w:type="spellStart"/>
      <w:r w:rsidRPr="00AE70F3">
        <w:rPr>
          <w:sz w:val="18"/>
          <w:szCs w:val="18"/>
        </w:rPr>
        <w:t>Lagrangian</w:t>
      </w:r>
      <w:proofErr w:type="spellEnd"/>
      <w:r w:rsidRPr="00AE70F3">
        <w:rPr>
          <w:sz w:val="18"/>
          <w:szCs w:val="18"/>
        </w:rPr>
        <w:t xml:space="preserve"> Particle Model LASAT", Proceedings of the International Workshop on Long-Range Transport and Environ</w:t>
      </w:r>
      <w:r w:rsidR="00DE79D8">
        <w:rPr>
          <w:sz w:val="18"/>
          <w:szCs w:val="18"/>
        </w:rPr>
        <w:t>mental Impact Assessment</w:t>
      </w:r>
      <w:r w:rsidRPr="00AE70F3">
        <w:rPr>
          <w:sz w:val="18"/>
          <w:szCs w:val="18"/>
        </w:rPr>
        <w:t>, Austria, 2003.</w:t>
      </w:r>
    </w:p>
    <w:p w14:paraId="198F3315" w14:textId="55970754" w:rsidR="00AE70F3" w:rsidRPr="00AE70F3" w:rsidRDefault="00AE70F3" w:rsidP="00AD2D2F">
      <w:pPr>
        <w:pStyle w:val="NormalnyWeb"/>
        <w:numPr>
          <w:ilvl w:val="0"/>
          <w:numId w:val="38"/>
        </w:numPr>
        <w:spacing w:after="120" w:afterAutospacing="0"/>
        <w:ind w:left="714" w:hanging="357"/>
        <w:jc w:val="both"/>
        <w:rPr>
          <w:sz w:val="18"/>
          <w:szCs w:val="18"/>
        </w:rPr>
      </w:pPr>
      <w:r w:rsidRPr="00AE70F3">
        <w:rPr>
          <w:sz w:val="18"/>
          <w:szCs w:val="18"/>
        </w:rPr>
        <w:t>CONNAN, O., HÉBERT, D., LAURENT, O., "Comparison of Different Atmospheric Dispersion Models for Radiological Emergency Preparedness", Journal of Environmental Radioactivity, 124, 15-29 (2013).</w:t>
      </w:r>
    </w:p>
    <w:p w14:paraId="25A76042" w14:textId="1E00F61D" w:rsidR="00AE70F3" w:rsidRPr="00AE70F3" w:rsidRDefault="00AE70F3" w:rsidP="00AD2D2F">
      <w:pPr>
        <w:pStyle w:val="NormalnyWeb"/>
        <w:numPr>
          <w:ilvl w:val="0"/>
          <w:numId w:val="38"/>
        </w:numPr>
        <w:spacing w:after="120" w:afterAutospacing="0"/>
        <w:ind w:left="714" w:hanging="357"/>
        <w:jc w:val="both"/>
        <w:rPr>
          <w:sz w:val="18"/>
          <w:szCs w:val="18"/>
        </w:rPr>
      </w:pPr>
      <w:r w:rsidRPr="00AE70F3">
        <w:rPr>
          <w:sz w:val="18"/>
          <w:szCs w:val="18"/>
        </w:rPr>
        <w:t>MÜLLER, H., PRÖHL, G., "ECOSYS-87: A Dynamic Model for Assessing Radiological Consequences of Nuclear Accidents", Health Physics, 57(6), 883-898 (1999).</w:t>
      </w:r>
    </w:p>
    <w:p w14:paraId="21247D39" w14:textId="1B17B99A" w:rsidR="00AE70F3" w:rsidRPr="00AE70F3" w:rsidRDefault="00AE70F3" w:rsidP="00AD2D2F">
      <w:pPr>
        <w:pStyle w:val="NormalnyWeb"/>
        <w:numPr>
          <w:ilvl w:val="0"/>
          <w:numId w:val="38"/>
        </w:numPr>
        <w:spacing w:after="120" w:afterAutospacing="0"/>
        <w:ind w:left="714" w:hanging="357"/>
        <w:jc w:val="both"/>
        <w:rPr>
          <w:sz w:val="18"/>
          <w:szCs w:val="18"/>
        </w:rPr>
      </w:pPr>
      <w:r w:rsidRPr="00AD2D2F">
        <w:rPr>
          <w:sz w:val="18"/>
          <w:szCs w:val="18"/>
        </w:rPr>
        <w:t>US EPA: “</w:t>
      </w:r>
      <w:r w:rsidRPr="00AE70F3">
        <w:rPr>
          <w:sz w:val="18"/>
          <w:szCs w:val="18"/>
        </w:rPr>
        <w:t>Risk Management Program Guidance for Offsite Consequence Analysis</w:t>
      </w:r>
      <w:r>
        <w:rPr>
          <w:sz w:val="18"/>
          <w:szCs w:val="18"/>
        </w:rPr>
        <w:t>”</w:t>
      </w:r>
      <w:r w:rsidRPr="00AE70F3">
        <w:rPr>
          <w:sz w:val="18"/>
          <w:szCs w:val="18"/>
        </w:rPr>
        <w:t xml:space="preserve"> (2009).</w:t>
      </w:r>
    </w:p>
    <w:p w14:paraId="0FE4C4DC" w14:textId="5306E0DE" w:rsidR="00AE70F3" w:rsidRPr="00AE70F3" w:rsidRDefault="00AE70F3" w:rsidP="00AD2D2F">
      <w:pPr>
        <w:pStyle w:val="NormalnyWeb"/>
        <w:numPr>
          <w:ilvl w:val="0"/>
          <w:numId w:val="38"/>
        </w:numPr>
        <w:spacing w:after="120" w:afterAutospacing="0"/>
        <w:ind w:left="714" w:hanging="357"/>
        <w:jc w:val="both"/>
        <w:rPr>
          <w:sz w:val="18"/>
          <w:szCs w:val="18"/>
          <w:lang w:val="pl-PL"/>
        </w:rPr>
      </w:pPr>
      <w:r w:rsidRPr="00AE70F3">
        <w:rPr>
          <w:sz w:val="18"/>
          <w:szCs w:val="18"/>
          <w:lang w:val="pl-PL"/>
        </w:rPr>
        <w:t>PREZES PAŃSTWOWEJ AGENCJI ATOMISTYKI, "Wyznaczanie Stref Planowania Awaryjnego Oraz Rozszerzających Je Dystansów Wokół Jednostki Organizacyjnej Wykonującej Działalność Zakwalifikowaną do I Lub II Kategorii Zagrożeń: Zalecenia Organizacyjno-Techniczne", Warszawa (2021).</w:t>
      </w:r>
    </w:p>
    <w:p w14:paraId="5660D488" w14:textId="03BF30CE" w:rsidR="00AE70F3" w:rsidRPr="00AE70F3" w:rsidRDefault="00AE70F3" w:rsidP="00AD2D2F">
      <w:pPr>
        <w:pStyle w:val="NormalnyWeb"/>
        <w:numPr>
          <w:ilvl w:val="0"/>
          <w:numId w:val="38"/>
        </w:numPr>
        <w:spacing w:after="120" w:afterAutospacing="0"/>
        <w:ind w:left="714" w:hanging="357"/>
        <w:jc w:val="both"/>
        <w:rPr>
          <w:sz w:val="18"/>
          <w:szCs w:val="18"/>
        </w:rPr>
      </w:pPr>
      <w:r w:rsidRPr="00AE70F3">
        <w:rPr>
          <w:sz w:val="18"/>
          <w:szCs w:val="18"/>
        </w:rPr>
        <w:t>HUMMEL, D. W., CHOUHAN, S., LEBEL, L., MORREALE, A. C., "Radiation Dose Consequences of Postulated Limiting Accidents in Small Modular Reactors to Inform Emergency Planning Zone Size Requirements", (2020).</w:t>
      </w:r>
    </w:p>
    <w:p w14:paraId="5BC6507A" w14:textId="25EE6CC9" w:rsidR="00AE70F3" w:rsidRPr="00AE70F3" w:rsidRDefault="00AE70F3" w:rsidP="00AD2D2F">
      <w:pPr>
        <w:pStyle w:val="NormalnyWeb"/>
        <w:numPr>
          <w:ilvl w:val="0"/>
          <w:numId w:val="38"/>
        </w:numPr>
        <w:spacing w:after="120" w:afterAutospacing="0"/>
        <w:ind w:left="714" w:hanging="357"/>
        <w:jc w:val="both"/>
        <w:rPr>
          <w:sz w:val="18"/>
          <w:szCs w:val="18"/>
        </w:rPr>
      </w:pPr>
      <w:r w:rsidRPr="00AE70F3">
        <w:rPr>
          <w:sz w:val="18"/>
          <w:szCs w:val="18"/>
        </w:rPr>
        <w:t>LOWRY, P., "Scoping Analysis of Source Term and Functional Containment Attenuation Factors", Idaho National Lab. (INL), Idaho Falls, ID, United States (2012).</w:t>
      </w:r>
    </w:p>
    <w:p w14:paraId="6A018E9C" w14:textId="50B0114C" w:rsidR="007E4AAB" w:rsidRPr="00745E7F" w:rsidRDefault="007E4AAB" w:rsidP="00745E7F">
      <w:pPr>
        <w:pStyle w:val="Tekstpodstawowy"/>
        <w:ind w:firstLine="0"/>
        <w:rPr>
          <w:lang w:val="en-US"/>
        </w:rPr>
      </w:pPr>
    </w:p>
    <w:sectPr w:rsidR="007E4AAB" w:rsidRPr="00745E7F" w:rsidSect="0026525A">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359D2" w14:textId="77777777" w:rsidR="001057BB" w:rsidRDefault="001057BB">
      <w:r>
        <w:separator/>
      </w:r>
    </w:p>
  </w:endnote>
  <w:endnote w:type="continuationSeparator" w:id="0">
    <w:p w14:paraId="228E8260" w14:textId="77777777" w:rsidR="001057BB" w:rsidRDefault="0010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23C87142"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822717">
      <w:rPr>
        <w:rFonts w:ascii="Times New Roman" w:hAnsi="Times New Roman" w:cs="Times New Roman"/>
        <w:noProof/>
        <w:sz w:val="20"/>
      </w:rPr>
      <w:t>5</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30DFC" w14:textId="77777777" w:rsidR="001057BB" w:rsidRDefault="001057BB">
      <w:r>
        <w:t>___________________________________________________________________________</w:t>
      </w:r>
    </w:p>
  </w:footnote>
  <w:footnote w:type="continuationSeparator" w:id="0">
    <w:p w14:paraId="3140C056" w14:textId="77777777" w:rsidR="001057BB" w:rsidRDefault="001057BB">
      <w:r>
        <w:t>___________________________________________________________________________</w:t>
      </w:r>
    </w:p>
  </w:footnote>
  <w:footnote w:type="continuationNotice" w:id="1">
    <w:p w14:paraId="7CAA1BD8" w14:textId="77777777" w:rsidR="001057BB" w:rsidRDefault="001057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2EF17" w14:textId="2F209E90" w:rsidR="00037321" w:rsidRPr="000D142E" w:rsidRDefault="000D142E" w:rsidP="000D142E">
    <w:pPr>
      <w:pStyle w:val="Authornameandaffiliation"/>
      <w:jc w:val="center"/>
      <w:rPr>
        <w:lang w:val="en-GB"/>
      </w:rPr>
    </w:pPr>
    <w:r w:rsidRPr="000D142E">
      <w:rPr>
        <w:lang w:val="en-GB"/>
      </w:rPr>
      <w:t xml:space="preserve">KOPKA, P </w:t>
    </w:r>
    <w:r w:rsidR="00AC5A3A" w:rsidRPr="000D142E">
      <w:rPr>
        <w:lang w:val="en-GB"/>
      </w:rPr>
      <w:t xml:space="preserve"> </w:t>
    </w:r>
    <w:r w:rsidRPr="009E1558">
      <w:rPr>
        <w:b/>
        <w:color w:val="BFBFBF" w:themeColor="background1" w:themeShade="BF"/>
        <w:sz w:val="16"/>
        <w:szCs w:val="16"/>
      </w:rPr>
      <w:t>et 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Nagwek9"/>
            <w:spacing w:before="0" w:after="10"/>
          </w:pPr>
        </w:p>
      </w:tc>
      <w:tc>
        <w:tcPr>
          <w:tcW w:w="5702" w:type="dxa"/>
          <w:vMerge/>
          <w:vAlign w:val="bottom"/>
        </w:tcPr>
        <w:p w14:paraId="313FA1D9" w14:textId="77777777" w:rsidR="00E20E70" w:rsidRDefault="00E20E70">
          <w:pPr>
            <w:pStyle w:val="Nagwek9"/>
            <w:spacing w:before="0" w:after="10"/>
          </w:pPr>
        </w:p>
      </w:tc>
    </w:tr>
  </w:tbl>
  <w:p w14:paraId="7A0C2B4B" w14:textId="77777777" w:rsidR="00E20E70" w:rsidRDefault="00E20E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E2F"/>
    <w:multiLevelType w:val="multilevel"/>
    <w:tmpl w:val="0809001D"/>
    <w:name w:val="HeadingTemplate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3172F0"/>
    <w:multiLevelType w:val="hybridMultilevel"/>
    <w:tmpl w:val="780A81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166E1D"/>
    <w:multiLevelType w:val="hybridMultilevel"/>
    <w:tmpl w:val="43F2FDE4"/>
    <w:name w:val="HeadingTemplate23"/>
    <w:lvl w:ilvl="0" w:tplc="341C8D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9">
    <w:nsid w:val="33587003"/>
    <w:multiLevelType w:val="hybridMultilevel"/>
    <w:tmpl w:val="CBF4E5E6"/>
    <w:lvl w:ilvl="0" w:tplc="B652F8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nsid w:val="572A31ED"/>
    <w:multiLevelType w:val="hybridMultilevel"/>
    <w:tmpl w:val="3104B9A6"/>
    <w:lvl w:ilvl="0" w:tplc="B652F8E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4C25EE"/>
    <w:multiLevelType w:val="hybridMultilevel"/>
    <w:tmpl w:val="18D4BBD4"/>
    <w:name w:val="HeadingTemplate224"/>
    <w:lvl w:ilvl="0" w:tplc="B652F8E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Nagwek2"/>
      <w:suff w:val="space"/>
      <w:lvlText w:val="%1%2."/>
      <w:lvlJc w:val="left"/>
      <w:pPr>
        <w:ind w:left="0" w:firstLine="0"/>
      </w:pPr>
      <w:rPr>
        <w:rFonts w:hint="default"/>
        <w:color w:val="auto"/>
      </w:rPr>
    </w:lvl>
    <w:lvl w:ilvl="2">
      <w:start w:val="1"/>
      <w:numFmt w:val="decimal"/>
      <w:lvlRestart w:val="0"/>
      <w:pStyle w:val="Nagwek3"/>
      <w:lvlText w:val="%1%2.%3."/>
      <w:lvlJc w:val="left"/>
      <w:pPr>
        <w:ind w:left="0" w:firstLine="0"/>
      </w:pPr>
      <w:rPr>
        <w:rFonts w:hint="default"/>
      </w:rPr>
    </w:lvl>
    <w:lvl w:ilvl="3">
      <w:start w:val="1"/>
      <w:numFmt w:val="decimal"/>
      <w:lvlRestart w:val="0"/>
      <w:pStyle w:val="Nagwek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7">
    <w:nsid w:val="74E41CCE"/>
    <w:multiLevelType w:val="multilevel"/>
    <w:tmpl w:val="0809001D"/>
    <w:name w:val="HeadingTemplate2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6"/>
  </w:num>
  <w:num w:numId="3">
    <w:abstractNumId w:val="16"/>
  </w:num>
  <w:num w:numId="4">
    <w:abstractNumId w:val="16"/>
  </w:num>
  <w:num w:numId="5">
    <w:abstractNumId w:val="16"/>
  </w:num>
  <w:num w:numId="6">
    <w:abstractNumId w:val="8"/>
  </w:num>
  <w:num w:numId="7">
    <w:abstractNumId w:val="13"/>
  </w:num>
  <w:num w:numId="8">
    <w:abstractNumId w:val="18"/>
  </w:num>
  <w:num w:numId="9">
    <w:abstractNumId w:val="2"/>
  </w:num>
  <w:num w:numId="10">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Nagwek2"/>
        <w:lvlText w:val="%1%2."/>
        <w:lvlJc w:val="left"/>
        <w:pPr>
          <w:ind w:left="0" w:firstLine="0"/>
        </w:pPr>
        <w:rPr>
          <w:rFonts w:hint="default"/>
          <w:color w:val="auto"/>
        </w:rPr>
      </w:lvl>
    </w:lvlOverride>
    <w:lvlOverride w:ilvl="2">
      <w:lvl w:ilvl="2">
        <w:start w:val="1"/>
        <w:numFmt w:val="decimal"/>
        <w:lvlRestart w:val="0"/>
        <w:pStyle w:val="Nagwek3"/>
        <w:lvlText w:val="%1%2.%3."/>
        <w:lvlJc w:val="left"/>
        <w:pPr>
          <w:ind w:left="0" w:firstLine="0"/>
        </w:pPr>
        <w:rPr>
          <w:rFonts w:hint="default"/>
        </w:rPr>
      </w:lvl>
    </w:lvlOverride>
    <w:lvlOverride w:ilvl="3">
      <w:lvl w:ilvl="3">
        <w:start w:val="1"/>
        <w:numFmt w:val="none"/>
        <w:lvlRestart w:val="0"/>
        <w:pStyle w:val="Nagwek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6"/>
  </w:num>
  <w:num w:numId="12">
    <w:abstractNumId w:val="16"/>
  </w:num>
  <w:num w:numId="13">
    <w:abstractNumId w:val="16"/>
  </w:num>
  <w:num w:numId="14">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Nagwek2"/>
        <w:suff w:val="space"/>
        <w:lvlText w:val="%1%2."/>
        <w:lvlJc w:val="left"/>
        <w:pPr>
          <w:ind w:left="0" w:firstLine="0"/>
        </w:pPr>
        <w:rPr>
          <w:rFonts w:hint="default"/>
          <w:color w:val="auto"/>
        </w:rPr>
      </w:lvl>
    </w:lvlOverride>
    <w:lvlOverride w:ilvl="2">
      <w:lvl w:ilvl="2">
        <w:start w:val="1"/>
        <w:numFmt w:val="decimal"/>
        <w:lvlRestart w:val="0"/>
        <w:pStyle w:val="Nagwek3"/>
        <w:suff w:val="space"/>
        <w:lvlText w:val="%1%2.%3."/>
        <w:lvlJc w:val="left"/>
        <w:pPr>
          <w:ind w:left="0" w:firstLine="0"/>
        </w:pPr>
        <w:rPr>
          <w:rFonts w:hint="default"/>
        </w:rPr>
      </w:lvl>
    </w:lvlOverride>
    <w:lvlOverride w:ilvl="3">
      <w:lvl w:ilvl="3">
        <w:start w:val="1"/>
        <w:numFmt w:val="decimal"/>
        <w:lvlRestart w:val="0"/>
        <w:pStyle w:val="Nagwek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6"/>
  </w:num>
  <w:num w:numId="16">
    <w:abstractNumId w:val="16"/>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16"/>
  </w:num>
  <w:num w:numId="22">
    <w:abstractNumId w:val="4"/>
  </w:num>
  <w:num w:numId="23">
    <w:abstractNumId w:val="1"/>
  </w:num>
  <w:num w:numId="24">
    <w:abstractNumId w:val="15"/>
  </w:num>
  <w:num w:numId="25">
    <w:abstractNumId w:val="16"/>
  </w:num>
  <w:num w:numId="26">
    <w:abstractNumId w:val="16"/>
  </w:num>
  <w:num w:numId="27">
    <w:abstractNumId w:val="16"/>
  </w:num>
  <w:num w:numId="28">
    <w:abstractNumId w:val="16"/>
  </w:num>
  <w:num w:numId="29">
    <w:abstractNumId w:val="16"/>
  </w:num>
  <w:num w:numId="30">
    <w:abstractNumId w:val="10"/>
  </w:num>
  <w:num w:numId="31">
    <w:abstractNumId w:val="10"/>
  </w:num>
  <w:num w:numId="32">
    <w:abstractNumId w:val="16"/>
  </w:num>
  <w:num w:numId="33">
    <w:abstractNumId w:val="0"/>
  </w:num>
  <w:num w:numId="34">
    <w:abstractNumId w:val="17"/>
  </w:num>
  <w:num w:numId="35">
    <w:abstractNumId w:val="14"/>
  </w:num>
  <w:num w:numId="36">
    <w:abstractNumId w:val="5"/>
  </w:num>
  <w:num w:numId="37">
    <w:abstractNumId w:val="12"/>
  </w:num>
  <w:num w:numId="38">
    <w:abstractNumId w:val="9"/>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K1tDQDQgtLYyNDIyUdpeDU4uLM/DyQAqNaAHVc6aUsAAAA"/>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3128"/>
    <w:rsid w:val="000229AB"/>
    <w:rsid w:val="0002569A"/>
    <w:rsid w:val="00037321"/>
    <w:rsid w:val="00067759"/>
    <w:rsid w:val="00081B3B"/>
    <w:rsid w:val="000A0299"/>
    <w:rsid w:val="000C6F25"/>
    <w:rsid w:val="000D142E"/>
    <w:rsid w:val="000F7E94"/>
    <w:rsid w:val="001057BB"/>
    <w:rsid w:val="001119D6"/>
    <w:rsid w:val="00112341"/>
    <w:rsid w:val="00127B6E"/>
    <w:rsid w:val="001308F2"/>
    <w:rsid w:val="001313E8"/>
    <w:rsid w:val="001B6FE0"/>
    <w:rsid w:val="001C58F5"/>
    <w:rsid w:val="001D018F"/>
    <w:rsid w:val="001D1D49"/>
    <w:rsid w:val="001D5CEE"/>
    <w:rsid w:val="0020464D"/>
    <w:rsid w:val="002071D9"/>
    <w:rsid w:val="002114C1"/>
    <w:rsid w:val="0024638B"/>
    <w:rsid w:val="00254AFE"/>
    <w:rsid w:val="00254F62"/>
    <w:rsid w:val="00256822"/>
    <w:rsid w:val="00263BFA"/>
    <w:rsid w:val="0026525A"/>
    <w:rsid w:val="00274790"/>
    <w:rsid w:val="00285755"/>
    <w:rsid w:val="00294709"/>
    <w:rsid w:val="002A1F9C"/>
    <w:rsid w:val="002B29C2"/>
    <w:rsid w:val="002C0D55"/>
    <w:rsid w:val="002C4208"/>
    <w:rsid w:val="003251DF"/>
    <w:rsid w:val="00347C4E"/>
    <w:rsid w:val="0035135D"/>
    <w:rsid w:val="00352DE1"/>
    <w:rsid w:val="003728E6"/>
    <w:rsid w:val="003B5849"/>
    <w:rsid w:val="003B5E0E"/>
    <w:rsid w:val="003D0E5C"/>
    <w:rsid w:val="003D255A"/>
    <w:rsid w:val="00406D27"/>
    <w:rsid w:val="00416949"/>
    <w:rsid w:val="004368D3"/>
    <w:rsid w:val="004370D8"/>
    <w:rsid w:val="0047212B"/>
    <w:rsid w:val="00472C43"/>
    <w:rsid w:val="004857DC"/>
    <w:rsid w:val="004A0B9D"/>
    <w:rsid w:val="004B4DA9"/>
    <w:rsid w:val="00537137"/>
    <w:rsid w:val="00537496"/>
    <w:rsid w:val="00544ED3"/>
    <w:rsid w:val="0055557E"/>
    <w:rsid w:val="0058477B"/>
    <w:rsid w:val="0058654F"/>
    <w:rsid w:val="00591B53"/>
    <w:rsid w:val="00591F6C"/>
    <w:rsid w:val="00596ACA"/>
    <w:rsid w:val="005974DE"/>
    <w:rsid w:val="005B4EFB"/>
    <w:rsid w:val="005C73AE"/>
    <w:rsid w:val="005E39BC"/>
    <w:rsid w:val="005F00A0"/>
    <w:rsid w:val="006021E5"/>
    <w:rsid w:val="0063420F"/>
    <w:rsid w:val="00647F33"/>
    <w:rsid w:val="00662532"/>
    <w:rsid w:val="006865A8"/>
    <w:rsid w:val="006942D9"/>
    <w:rsid w:val="006B2274"/>
    <w:rsid w:val="006E03B7"/>
    <w:rsid w:val="00717C6F"/>
    <w:rsid w:val="007445DA"/>
    <w:rsid w:val="00745E7F"/>
    <w:rsid w:val="00751767"/>
    <w:rsid w:val="00754204"/>
    <w:rsid w:val="00780A5A"/>
    <w:rsid w:val="00785236"/>
    <w:rsid w:val="007A47E9"/>
    <w:rsid w:val="007B4FD1"/>
    <w:rsid w:val="007C09DA"/>
    <w:rsid w:val="007E4AAB"/>
    <w:rsid w:val="007E767B"/>
    <w:rsid w:val="00802381"/>
    <w:rsid w:val="00822717"/>
    <w:rsid w:val="0082353F"/>
    <w:rsid w:val="00842A20"/>
    <w:rsid w:val="00883848"/>
    <w:rsid w:val="00883CE5"/>
    <w:rsid w:val="00896B97"/>
    <w:rsid w:val="00897ED5"/>
    <w:rsid w:val="008A3336"/>
    <w:rsid w:val="008A5E1C"/>
    <w:rsid w:val="008B6BB9"/>
    <w:rsid w:val="008E25ED"/>
    <w:rsid w:val="008F799F"/>
    <w:rsid w:val="00911543"/>
    <w:rsid w:val="009519C9"/>
    <w:rsid w:val="009D0B86"/>
    <w:rsid w:val="009D1D84"/>
    <w:rsid w:val="009E0D5B"/>
    <w:rsid w:val="009E1558"/>
    <w:rsid w:val="009E410D"/>
    <w:rsid w:val="00A37B6D"/>
    <w:rsid w:val="00A42898"/>
    <w:rsid w:val="00A428B7"/>
    <w:rsid w:val="00A51A48"/>
    <w:rsid w:val="00A61D9C"/>
    <w:rsid w:val="00A85BE6"/>
    <w:rsid w:val="00AA1A9D"/>
    <w:rsid w:val="00AB6ACE"/>
    <w:rsid w:val="00AC5A3A"/>
    <w:rsid w:val="00AC70EC"/>
    <w:rsid w:val="00AD2D2F"/>
    <w:rsid w:val="00AE70F3"/>
    <w:rsid w:val="00AF57B5"/>
    <w:rsid w:val="00B26E04"/>
    <w:rsid w:val="00B812E8"/>
    <w:rsid w:val="00B82FA5"/>
    <w:rsid w:val="00B851D7"/>
    <w:rsid w:val="00B869C8"/>
    <w:rsid w:val="00BC73A4"/>
    <w:rsid w:val="00BD1400"/>
    <w:rsid w:val="00BD605C"/>
    <w:rsid w:val="00BE2A76"/>
    <w:rsid w:val="00C164F0"/>
    <w:rsid w:val="00C32C57"/>
    <w:rsid w:val="00C33806"/>
    <w:rsid w:val="00C65227"/>
    <w:rsid w:val="00C65E60"/>
    <w:rsid w:val="00CE5A52"/>
    <w:rsid w:val="00CF0DF1"/>
    <w:rsid w:val="00CF7AF3"/>
    <w:rsid w:val="00D26ADA"/>
    <w:rsid w:val="00D35A78"/>
    <w:rsid w:val="00D555A1"/>
    <w:rsid w:val="00D64DC2"/>
    <w:rsid w:val="00DA00F2"/>
    <w:rsid w:val="00DA10D3"/>
    <w:rsid w:val="00DA46CA"/>
    <w:rsid w:val="00DB1DF0"/>
    <w:rsid w:val="00DC74C2"/>
    <w:rsid w:val="00DE79D8"/>
    <w:rsid w:val="00DF21EB"/>
    <w:rsid w:val="00E17BE8"/>
    <w:rsid w:val="00E20E70"/>
    <w:rsid w:val="00E25B68"/>
    <w:rsid w:val="00E26715"/>
    <w:rsid w:val="00E3688B"/>
    <w:rsid w:val="00E84003"/>
    <w:rsid w:val="00EA0F77"/>
    <w:rsid w:val="00EB5CA3"/>
    <w:rsid w:val="00EC10FC"/>
    <w:rsid w:val="00EE0041"/>
    <w:rsid w:val="00EE29B9"/>
    <w:rsid w:val="00EE4539"/>
    <w:rsid w:val="00F004EE"/>
    <w:rsid w:val="00F26380"/>
    <w:rsid w:val="00F42E23"/>
    <w:rsid w:val="00F45EEE"/>
    <w:rsid w:val="00F51E9C"/>
    <w:rsid w:val="00F523CA"/>
    <w:rsid w:val="00F6217A"/>
    <w:rsid w:val="00F74A9D"/>
    <w:rsid w:val="00FE309A"/>
    <w:rsid w:val="00FF04AE"/>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49" w:defSemiHidden="1" w:defUnhideWhenUsed="1" w:defQFormat="0" w:count="267">
    <w:lsdException w:name="Normal" w:locked="0" w:semiHidden="0" w:unhideWhenUsed="0"/>
    <w:lsdException w:name="heading 1" w:locked="0" w:semiHidden="0" w:uiPriority="0" w:unhideWhenUsed="0" w:qFormat="1"/>
    <w:lsdException w:name="heading 2" w:locked="0" w:semiHidden="0" w:uiPriority="4" w:unhideWhenUsed="0" w:qFormat="1"/>
    <w:lsdException w:name="heading 3" w:locked="0" w:semiHidden="0" w:uiPriority="4" w:unhideWhenUsed="0" w:qFormat="1"/>
    <w:lsdException w:name="heading 4" w:locked="0" w:semiHidden="0" w:uiPriority="4" w:unhideWhenUsed="0" w:qFormat="1"/>
    <w:lsdException w:name="heading 5" w:locked="0" w:semiHidden="0" w:uiPriority="0" w:unhideWhenUsed="0"/>
    <w:lsdException w:name="heading 6" w:locked="0" w:semiHidden="0" w:uiPriority="0" w:unhideWhenUsed="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lsdException w:name="footnote reference" w:locked="0" w:uiPriority="0"/>
    <w:lsdException w:name="List Bullet" w:locked="0"/>
    <w:lsdException w:name="List Number" w:semiHidden="0" w:unhideWhenUsed="0"/>
    <w:lsdException w:name="List 4" w:semiHidden="0" w:unhideWhenUsed="0"/>
    <w:lsdException w:name="List 5" w:semiHidden="0" w:unhideWhenUsed="0"/>
    <w:lsdException w:name="Title" w:locked="0" w:semiHidden="0" w:uiPriority="0" w:unhideWhenUsed="0"/>
    <w:lsdException w:name="Default Paragraph Font" w:locked="0" w:uiPriority="0"/>
    <w:lsdException w:name="Body Text" w:locked="0" w:uiPriority="0" w:qFormat="1"/>
    <w:lsdException w:name="Body Text Indent" w:locked="0" w:uiPriority="0"/>
    <w:lsdException w:name="Subtitle" w:locked="0" w:semiHidden="0" w:uiPriority="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locked="0" w:semiHidden="0" w:uiPriority="0" w:unhideWhenUsed="0"/>
    <w:lsdException w:name="Table Theme" w:uiPriority="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ny">
    <w:name w:val="Normal"/>
    <w:uiPriority w:val="49"/>
    <w:rsid w:val="00CF7AF3"/>
    <w:pPr>
      <w:overflowPunct w:val="0"/>
      <w:autoSpaceDE w:val="0"/>
      <w:autoSpaceDN w:val="0"/>
      <w:adjustRightInd w:val="0"/>
      <w:textAlignment w:val="baseline"/>
    </w:pPr>
    <w:rPr>
      <w:sz w:val="22"/>
      <w:lang w:eastAsia="en-US"/>
    </w:rPr>
  </w:style>
  <w:style w:type="paragraph" w:styleId="Nagwek1">
    <w:name w:val="heading 1"/>
    <w:aliases w:val="Paper title"/>
    <w:next w:val="Podtytu"/>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Nagwek2">
    <w:name w:val="heading 2"/>
    <w:aliases w:val="1st level paper heading"/>
    <w:next w:val="Tekstpodstawowy"/>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Nagwek3">
    <w:name w:val="heading 3"/>
    <w:aliases w:val="2nd level paper heading"/>
    <w:next w:val="Tekstpodstawowy"/>
    <w:uiPriority w:val="4"/>
    <w:qFormat/>
    <w:rsid w:val="00897ED5"/>
    <w:pPr>
      <w:widowControl w:val="0"/>
      <w:numPr>
        <w:ilvl w:val="2"/>
        <w:numId w:val="12"/>
      </w:numPr>
      <w:spacing w:before="240" w:after="240" w:line="240" w:lineRule="exact"/>
      <w:outlineLvl w:val="2"/>
    </w:pPr>
    <w:rPr>
      <w:b/>
      <w:lang w:eastAsia="en-US"/>
    </w:rPr>
  </w:style>
  <w:style w:type="paragraph" w:styleId="Nagwek4">
    <w:name w:val="heading 4"/>
    <w:aliases w:val="3rd level paper heading"/>
    <w:basedOn w:val="Normalny"/>
    <w:next w:val="Tekstpodstawowy"/>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Nagwek5">
    <w:name w:val="heading 5"/>
    <w:basedOn w:val="Normalny"/>
    <w:next w:val="Normalny"/>
    <w:uiPriority w:val="19"/>
    <w:locked/>
    <w:pPr>
      <w:overflowPunct/>
      <w:autoSpaceDE/>
      <w:autoSpaceDN/>
      <w:adjustRightInd/>
      <w:spacing w:before="240" w:after="60"/>
      <w:textAlignment w:val="auto"/>
      <w:outlineLvl w:val="4"/>
    </w:pPr>
    <w:rPr>
      <w:b/>
      <w:bCs/>
      <w:i/>
      <w:iCs/>
      <w:sz w:val="26"/>
      <w:szCs w:val="26"/>
      <w:lang w:val="en-US"/>
    </w:rPr>
  </w:style>
  <w:style w:type="paragraph" w:styleId="Nagwek6">
    <w:name w:val="heading 6"/>
    <w:basedOn w:val="Normalny"/>
    <w:next w:val="Normalny"/>
    <w:uiPriority w:val="19"/>
    <w:locked/>
    <w:pPr>
      <w:overflowPunct/>
      <w:autoSpaceDE/>
      <w:autoSpaceDN/>
      <w:adjustRightInd/>
      <w:spacing w:before="240" w:after="60"/>
      <w:textAlignment w:val="auto"/>
      <w:outlineLvl w:val="5"/>
    </w:pPr>
    <w:rPr>
      <w:b/>
      <w:bCs/>
      <w:szCs w:val="22"/>
      <w:lang w:val="en-US"/>
    </w:rPr>
  </w:style>
  <w:style w:type="paragraph" w:styleId="Nagwek7">
    <w:name w:val="heading 7"/>
    <w:basedOn w:val="Normalny"/>
    <w:next w:val="Normalny"/>
    <w:uiPriority w:val="19"/>
    <w:locked/>
    <w:pPr>
      <w:overflowPunct/>
      <w:autoSpaceDE/>
      <w:autoSpaceDN/>
      <w:adjustRightInd/>
      <w:spacing w:before="240" w:after="60"/>
      <w:textAlignment w:val="auto"/>
      <w:outlineLvl w:val="6"/>
    </w:pPr>
    <w:rPr>
      <w:szCs w:val="24"/>
      <w:lang w:val="en-US"/>
    </w:rPr>
  </w:style>
  <w:style w:type="paragraph" w:styleId="Nagwek8">
    <w:name w:val="heading 8"/>
    <w:basedOn w:val="Normalny"/>
    <w:next w:val="Normalny"/>
    <w:uiPriority w:val="19"/>
    <w:locked/>
    <w:pPr>
      <w:overflowPunct/>
      <w:autoSpaceDE/>
      <w:autoSpaceDN/>
      <w:adjustRightInd/>
      <w:spacing w:before="240" w:after="60"/>
      <w:textAlignment w:val="auto"/>
      <w:outlineLvl w:val="7"/>
    </w:pPr>
    <w:rPr>
      <w:i/>
      <w:iCs/>
      <w:szCs w:val="24"/>
      <w:lang w:val="en-US"/>
    </w:rPr>
  </w:style>
  <w:style w:type="paragraph" w:styleId="Nagwek9">
    <w:name w:val="heading 9"/>
    <w:basedOn w:val="Normalny"/>
    <w:next w:val="Normalny"/>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link w:val="TekstpodstawowyZnak"/>
    <w:qFormat/>
    <w:rsid w:val="00647F33"/>
    <w:pPr>
      <w:spacing w:line="260" w:lineRule="atLeast"/>
      <w:ind w:firstLine="567"/>
      <w:contextualSpacing/>
      <w:jc w:val="both"/>
    </w:pPr>
    <w:rPr>
      <w:lang w:eastAsia="en-US"/>
    </w:rPr>
  </w:style>
  <w:style w:type="paragraph" w:styleId="Tekstpodstawowywcity">
    <w:name w:val="Body Text Indent"/>
    <w:basedOn w:val="Tekstpodstawowy"/>
    <w:uiPriority w:val="49"/>
    <w:locked/>
    <w:pPr>
      <w:ind w:left="1134" w:hanging="675"/>
    </w:pPr>
  </w:style>
  <w:style w:type="paragraph" w:customStyle="1" w:styleId="BodyTextMultiline">
    <w:name w:val="Body Text Multiline"/>
    <w:basedOn w:val="Tekstpodstawowy"/>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egenda">
    <w:name w:val="caption"/>
    <w:next w:val="Normalny"/>
    <w:uiPriority w:val="49"/>
    <w:pPr>
      <w:spacing w:after="85"/>
    </w:pPr>
    <w:rPr>
      <w:bCs/>
      <w:sz w:val="18"/>
      <w:lang w:val="en-US" w:eastAsia="en-US"/>
    </w:rPr>
  </w:style>
  <w:style w:type="paragraph" w:styleId="Stopka">
    <w:name w:val="footer"/>
    <w:basedOn w:val="Normalny"/>
    <w:link w:val="StopkaZnak"/>
    <w:uiPriority w:val="99"/>
    <w:locked/>
    <w:pPr>
      <w:overflowPunct/>
      <w:autoSpaceDE/>
      <w:autoSpaceDN/>
      <w:adjustRightInd/>
      <w:textAlignment w:val="auto"/>
    </w:pPr>
    <w:rPr>
      <w:sz w:val="2"/>
      <w:lang w:val="en-US"/>
    </w:rPr>
  </w:style>
  <w:style w:type="paragraph" w:styleId="Tekstprzypisudolnego">
    <w:name w:val="footnote text"/>
    <w:semiHidden/>
    <w:locked/>
    <w:pPr>
      <w:tabs>
        <w:tab w:val="left" w:pos="459"/>
      </w:tabs>
      <w:spacing w:before="142"/>
      <w:ind w:left="459"/>
      <w:jc w:val="both"/>
    </w:pPr>
    <w:rPr>
      <w:sz w:val="18"/>
      <w:lang w:eastAsia="en-US"/>
    </w:rPr>
  </w:style>
  <w:style w:type="paragraph" w:styleId="Nagwek">
    <w:name w:val="header"/>
    <w:next w:val="Tekstpodstawowy"/>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Tekstpodstawowy"/>
    <w:uiPriority w:val="6"/>
    <w:qFormat/>
    <w:rsid w:val="00717C6F"/>
    <w:pPr>
      <w:numPr>
        <w:numId w:val="20"/>
      </w:numPr>
      <w:ind w:left="709"/>
    </w:pPr>
  </w:style>
  <w:style w:type="paragraph" w:customStyle="1" w:styleId="ListNumbered">
    <w:name w:val="List Numbered"/>
    <w:basedOn w:val="Tekstpodstawowy"/>
    <w:uiPriority w:val="5"/>
    <w:qFormat/>
    <w:locked/>
    <w:rsid w:val="00717C6F"/>
    <w:pPr>
      <w:numPr>
        <w:numId w:val="22"/>
      </w:numPr>
    </w:pPr>
  </w:style>
  <w:style w:type="paragraph" w:styleId="Tytu">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ny"/>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ny"/>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ny"/>
    <w:uiPriority w:val="49"/>
    <w:locked/>
    <w:pPr>
      <w:keepNext/>
      <w:spacing w:after="10"/>
    </w:pPr>
    <w:rPr>
      <w:rFonts w:ascii="Arial" w:hAnsi="Arial"/>
      <w:b/>
      <w:sz w:val="13"/>
    </w:rPr>
  </w:style>
  <w:style w:type="paragraph" w:customStyle="1" w:styleId="zyxP1Footer">
    <w:name w:val="zyxP1_Footer"/>
    <w:basedOn w:val="Normalny"/>
    <w:uiPriority w:val="49"/>
    <w:locked/>
    <w:pPr>
      <w:widowControl w:val="0"/>
      <w:spacing w:line="160" w:lineRule="exact"/>
      <w:ind w:left="108"/>
    </w:pPr>
    <w:rPr>
      <w:sz w:val="14"/>
    </w:rPr>
  </w:style>
  <w:style w:type="paragraph" w:customStyle="1" w:styleId="zyxSensitivity">
    <w:name w:val="zyxSensitivity"/>
    <w:basedOn w:val="Normalny"/>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ny"/>
    <w:uiPriority w:val="49"/>
    <w:locked/>
    <w:pPr>
      <w:keepNext/>
      <w:spacing w:line="420" w:lineRule="exact"/>
    </w:pPr>
    <w:rPr>
      <w:rFonts w:ascii="Arial" w:hAnsi="Arial"/>
      <w:sz w:val="40"/>
    </w:rPr>
  </w:style>
  <w:style w:type="character" w:styleId="Odwoanieprzypisudolnego">
    <w:name w:val="footnote reference"/>
    <w:basedOn w:val="Domylnaczcionkaakapitu"/>
    <w:semiHidden/>
    <w:locked/>
    <w:rPr>
      <w:vertAlign w:val="superscript"/>
    </w:rPr>
  </w:style>
  <w:style w:type="paragraph" w:styleId="Podtytu">
    <w:name w:val="Subtitle"/>
    <w:next w:val="Tekstpodstawowy"/>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Tekstpodstawowy"/>
    <w:uiPriority w:val="49"/>
    <w:locked/>
    <w:pPr>
      <w:spacing w:line="280" w:lineRule="exact"/>
      <w:jc w:val="right"/>
    </w:pPr>
    <w:rPr>
      <w:rFonts w:ascii="Arial" w:hAnsi="Arial" w:cs="Arial"/>
      <w:b/>
      <w:bCs/>
      <w:caps/>
      <w:sz w:val="24"/>
    </w:rPr>
  </w:style>
  <w:style w:type="paragraph" w:customStyle="1" w:styleId="zyxClassification2">
    <w:name w:val="zyxClassification2"/>
    <w:basedOn w:val="Stopk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StopkaZnak">
    <w:name w:val="Stopka Znak"/>
    <w:basedOn w:val="Domylnaczcionkaakapitu"/>
    <w:link w:val="Stopka"/>
    <w:uiPriority w:val="99"/>
    <w:rsid w:val="00037321"/>
    <w:rPr>
      <w:sz w:val="2"/>
      <w:lang w:val="en-US" w:eastAsia="en-US"/>
    </w:rPr>
  </w:style>
  <w:style w:type="paragraph" w:customStyle="1" w:styleId="Runninghead">
    <w:name w:val="Running head"/>
    <w:basedOn w:val="Normalny"/>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omylnaczcionkaakapitu"/>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TekstpodstawowyZnak">
    <w:name w:val="Tekst podstawowy Znak"/>
    <w:basedOn w:val="Domylnaczcionkaakapitu"/>
    <w:link w:val="Tekstpodstawowy"/>
    <w:rsid w:val="00647F33"/>
    <w:rPr>
      <w:lang w:eastAsia="en-US"/>
    </w:rPr>
  </w:style>
  <w:style w:type="character" w:customStyle="1" w:styleId="AuthornameandaffiliationChar">
    <w:name w:val="Author name and affiliation Char"/>
    <w:basedOn w:val="TekstpodstawowyZnak"/>
    <w:link w:val="Authornameandaffiliation"/>
    <w:uiPriority w:val="49"/>
    <w:rsid w:val="00647F33"/>
    <w:rPr>
      <w:lang w:val="en-US" w:eastAsia="en-US"/>
    </w:rPr>
  </w:style>
  <w:style w:type="table" w:styleId="Tabela-Siatka">
    <w:name w:val="Table Grid"/>
    <w:basedOn w:val="Standardowy"/>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kstdymka">
    <w:name w:val="Balloon Text"/>
    <w:basedOn w:val="Normalny"/>
    <w:link w:val="TekstdymkaZnak"/>
    <w:uiPriority w:val="49"/>
    <w:locked/>
    <w:rsid w:val="005F00A0"/>
    <w:rPr>
      <w:rFonts w:ascii="Tahoma" w:hAnsi="Tahoma" w:cs="Tahoma"/>
      <w:sz w:val="16"/>
      <w:szCs w:val="16"/>
    </w:rPr>
  </w:style>
  <w:style w:type="character" w:customStyle="1" w:styleId="TekstdymkaZnak">
    <w:name w:val="Tekst dymka Znak"/>
    <w:basedOn w:val="Domylnaczcionkaakapitu"/>
    <w:link w:val="Tekstdymka"/>
    <w:uiPriority w:val="49"/>
    <w:rsid w:val="005F00A0"/>
    <w:rPr>
      <w:rFonts w:ascii="Tahoma" w:hAnsi="Tahoma" w:cs="Tahoma"/>
      <w:sz w:val="16"/>
      <w:szCs w:val="16"/>
      <w:lang w:eastAsia="en-US"/>
    </w:rPr>
  </w:style>
  <w:style w:type="paragraph" w:customStyle="1" w:styleId="Figurecaption">
    <w:name w:val="Figure caption"/>
    <w:basedOn w:val="Tekstpodstawowy"/>
    <w:link w:val="FigurecaptionChar"/>
    <w:uiPriority w:val="49"/>
    <w:qFormat/>
    <w:locked/>
    <w:rsid w:val="00717C6F"/>
    <w:pPr>
      <w:jc w:val="center"/>
    </w:pPr>
    <w:rPr>
      <w:i/>
      <w:sz w:val="18"/>
    </w:rPr>
  </w:style>
  <w:style w:type="paragraph" w:customStyle="1" w:styleId="Otherunnumberedheadings">
    <w:name w:val="Other unnumbered headings"/>
    <w:next w:val="Tekstpodstawowy"/>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TekstpodstawowyZnak"/>
    <w:link w:val="Figurecaption"/>
    <w:uiPriority w:val="49"/>
    <w:rsid w:val="00717C6F"/>
    <w:rPr>
      <w:i/>
      <w:sz w:val="18"/>
      <w:lang w:eastAsia="en-US"/>
    </w:rPr>
  </w:style>
  <w:style w:type="paragraph" w:customStyle="1" w:styleId="Referencelist">
    <w:name w:val="Reference list"/>
    <w:basedOn w:val="Tekstpodstawowy"/>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TekstpodstawowyZnak"/>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TekstpodstawowyZnak"/>
    <w:link w:val="Referencelist"/>
    <w:uiPriority w:val="49"/>
    <w:rsid w:val="009E0D5B"/>
    <w:rPr>
      <w:sz w:val="18"/>
      <w:szCs w:val="18"/>
      <w:lang w:eastAsia="en-US"/>
    </w:rPr>
  </w:style>
  <w:style w:type="paragraph" w:customStyle="1" w:styleId="Tabletext">
    <w:name w:val="Table text"/>
    <w:basedOn w:val="Tekstpodstawowy"/>
    <w:link w:val="TabletextChar"/>
    <w:uiPriority w:val="49"/>
    <w:qFormat/>
    <w:rsid w:val="00883848"/>
    <w:pPr>
      <w:ind w:firstLine="0"/>
    </w:pPr>
  </w:style>
  <w:style w:type="character" w:customStyle="1" w:styleId="TabletextChar">
    <w:name w:val="Table text Char"/>
    <w:basedOn w:val="TekstpodstawowyZnak"/>
    <w:link w:val="Tabletext"/>
    <w:uiPriority w:val="49"/>
    <w:rsid w:val="00883848"/>
    <w:rPr>
      <w:lang w:eastAsia="en-US"/>
    </w:rPr>
  </w:style>
  <w:style w:type="paragraph" w:styleId="NormalnyWeb">
    <w:name w:val="Normal (Web)"/>
    <w:basedOn w:val="Normalny"/>
    <w:uiPriority w:val="99"/>
    <w:unhideWhenUsed/>
    <w:locked/>
    <w:rsid w:val="00FE309A"/>
    <w:pPr>
      <w:overflowPunct/>
      <w:autoSpaceDE/>
      <w:autoSpaceDN/>
      <w:adjustRightInd/>
      <w:spacing w:before="100" w:beforeAutospacing="1" w:after="100" w:afterAutospacing="1"/>
      <w:textAlignment w:val="auto"/>
    </w:pPr>
    <w:rPr>
      <w:sz w:val="24"/>
      <w:szCs w:val="24"/>
      <w:lang w:eastAsia="en-GB"/>
    </w:rPr>
  </w:style>
  <w:style w:type="character" w:styleId="Odwoaniedokomentarza">
    <w:name w:val="annotation reference"/>
    <w:basedOn w:val="Domylnaczcionkaakapitu"/>
    <w:uiPriority w:val="49"/>
    <w:semiHidden/>
    <w:unhideWhenUsed/>
    <w:locked/>
    <w:rsid w:val="00347C4E"/>
    <w:rPr>
      <w:sz w:val="16"/>
      <w:szCs w:val="16"/>
    </w:rPr>
  </w:style>
  <w:style w:type="paragraph" w:styleId="Tekstkomentarza">
    <w:name w:val="annotation text"/>
    <w:basedOn w:val="Normalny"/>
    <w:link w:val="TekstkomentarzaZnak"/>
    <w:uiPriority w:val="49"/>
    <w:semiHidden/>
    <w:unhideWhenUsed/>
    <w:locked/>
    <w:rsid w:val="00347C4E"/>
    <w:rPr>
      <w:sz w:val="20"/>
    </w:rPr>
  </w:style>
  <w:style w:type="character" w:customStyle="1" w:styleId="TekstkomentarzaZnak">
    <w:name w:val="Tekst komentarza Znak"/>
    <w:basedOn w:val="Domylnaczcionkaakapitu"/>
    <w:link w:val="Tekstkomentarza"/>
    <w:uiPriority w:val="49"/>
    <w:semiHidden/>
    <w:rsid w:val="00347C4E"/>
    <w:rPr>
      <w:lang w:eastAsia="en-US"/>
    </w:rPr>
  </w:style>
  <w:style w:type="paragraph" w:styleId="Tematkomentarza">
    <w:name w:val="annotation subject"/>
    <w:basedOn w:val="Tekstkomentarza"/>
    <w:next w:val="Tekstkomentarza"/>
    <w:link w:val="TematkomentarzaZnak"/>
    <w:uiPriority w:val="49"/>
    <w:semiHidden/>
    <w:unhideWhenUsed/>
    <w:locked/>
    <w:rsid w:val="00347C4E"/>
    <w:rPr>
      <w:b/>
      <w:bCs/>
    </w:rPr>
  </w:style>
  <w:style w:type="character" w:customStyle="1" w:styleId="TematkomentarzaZnak">
    <w:name w:val="Temat komentarza Znak"/>
    <w:basedOn w:val="TekstkomentarzaZnak"/>
    <w:link w:val="Tematkomentarza"/>
    <w:uiPriority w:val="49"/>
    <w:semiHidden/>
    <w:rsid w:val="00347C4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49" w:defSemiHidden="1" w:defUnhideWhenUsed="1" w:defQFormat="0" w:count="267">
    <w:lsdException w:name="Normal" w:locked="0" w:semiHidden="0" w:unhideWhenUsed="0"/>
    <w:lsdException w:name="heading 1" w:locked="0" w:semiHidden="0" w:uiPriority="0" w:unhideWhenUsed="0" w:qFormat="1"/>
    <w:lsdException w:name="heading 2" w:locked="0" w:semiHidden="0" w:uiPriority="4" w:unhideWhenUsed="0" w:qFormat="1"/>
    <w:lsdException w:name="heading 3" w:locked="0" w:semiHidden="0" w:uiPriority="4" w:unhideWhenUsed="0" w:qFormat="1"/>
    <w:lsdException w:name="heading 4" w:locked="0" w:semiHidden="0" w:uiPriority="4" w:unhideWhenUsed="0" w:qFormat="1"/>
    <w:lsdException w:name="heading 5" w:locked="0" w:semiHidden="0" w:uiPriority="0" w:unhideWhenUsed="0"/>
    <w:lsdException w:name="heading 6" w:locked="0" w:semiHidden="0" w:uiPriority="0" w:unhideWhenUsed="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lsdException w:name="footnote reference" w:locked="0" w:uiPriority="0"/>
    <w:lsdException w:name="List Bullet" w:locked="0"/>
    <w:lsdException w:name="List Number" w:semiHidden="0" w:unhideWhenUsed="0"/>
    <w:lsdException w:name="List 4" w:semiHidden="0" w:unhideWhenUsed="0"/>
    <w:lsdException w:name="List 5" w:semiHidden="0" w:unhideWhenUsed="0"/>
    <w:lsdException w:name="Title" w:locked="0" w:semiHidden="0" w:uiPriority="0" w:unhideWhenUsed="0"/>
    <w:lsdException w:name="Default Paragraph Font" w:locked="0" w:uiPriority="0"/>
    <w:lsdException w:name="Body Text" w:locked="0" w:uiPriority="0" w:qFormat="1"/>
    <w:lsdException w:name="Body Text Indent" w:locked="0" w:uiPriority="0"/>
    <w:lsdException w:name="Subtitle" w:locked="0" w:semiHidden="0" w:uiPriority="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HTML Top of Form" w:locked="0" w:uiPriority="0"/>
    <w:lsdException w:name="HTML Bottom of Form" w:locked="0" w:uiPriority="0"/>
    <w:lsdException w:name="Normal (Web)" w:uiPriority="99"/>
    <w:lsdException w:name="HTML Acronym" w:uiPriority="19"/>
    <w:lsdException w:name="HTML Address" w:uiPriority="1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locked="0" w:semiHidden="0" w:uiPriority="0" w:unhideWhenUsed="0"/>
    <w:lsdException w:name="Table Theme" w:uiPriority="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ny">
    <w:name w:val="Normal"/>
    <w:uiPriority w:val="49"/>
    <w:rsid w:val="00CF7AF3"/>
    <w:pPr>
      <w:overflowPunct w:val="0"/>
      <w:autoSpaceDE w:val="0"/>
      <w:autoSpaceDN w:val="0"/>
      <w:adjustRightInd w:val="0"/>
      <w:textAlignment w:val="baseline"/>
    </w:pPr>
    <w:rPr>
      <w:sz w:val="22"/>
      <w:lang w:eastAsia="en-US"/>
    </w:rPr>
  </w:style>
  <w:style w:type="paragraph" w:styleId="Nagwek1">
    <w:name w:val="heading 1"/>
    <w:aliases w:val="Paper title"/>
    <w:next w:val="Podtytu"/>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Nagwek2">
    <w:name w:val="heading 2"/>
    <w:aliases w:val="1st level paper heading"/>
    <w:next w:val="Tekstpodstawowy"/>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Nagwek3">
    <w:name w:val="heading 3"/>
    <w:aliases w:val="2nd level paper heading"/>
    <w:next w:val="Tekstpodstawowy"/>
    <w:uiPriority w:val="4"/>
    <w:qFormat/>
    <w:rsid w:val="00897ED5"/>
    <w:pPr>
      <w:widowControl w:val="0"/>
      <w:numPr>
        <w:ilvl w:val="2"/>
        <w:numId w:val="12"/>
      </w:numPr>
      <w:spacing w:before="240" w:after="240" w:line="240" w:lineRule="exact"/>
      <w:outlineLvl w:val="2"/>
    </w:pPr>
    <w:rPr>
      <w:b/>
      <w:lang w:eastAsia="en-US"/>
    </w:rPr>
  </w:style>
  <w:style w:type="paragraph" w:styleId="Nagwek4">
    <w:name w:val="heading 4"/>
    <w:aliases w:val="3rd level paper heading"/>
    <w:basedOn w:val="Normalny"/>
    <w:next w:val="Tekstpodstawowy"/>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Nagwek5">
    <w:name w:val="heading 5"/>
    <w:basedOn w:val="Normalny"/>
    <w:next w:val="Normalny"/>
    <w:uiPriority w:val="19"/>
    <w:locked/>
    <w:pPr>
      <w:overflowPunct/>
      <w:autoSpaceDE/>
      <w:autoSpaceDN/>
      <w:adjustRightInd/>
      <w:spacing w:before="240" w:after="60"/>
      <w:textAlignment w:val="auto"/>
      <w:outlineLvl w:val="4"/>
    </w:pPr>
    <w:rPr>
      <w:b/>
      <w:bCs/>
      <w:i/>
      <w:iCs/>
      <w:sz w:val="26"/>
      <w:szCs w:val="26"/>
      <w:lang w:val="en-US"/>
    </w:rPr>
  </w:style>
  <w:style w:type="paragraph" w:styleId="Nagwek6">
    <w:name w:val="heading 6"/>
    <w:basedOn w:val="Normalny"/>
    <w:next w:val="Normalny"/>
    <w:uiPriority w:val="19"/>
    <w:locked/>
    <w:pPr>
      <w:overflowPunct/>
      <w:autoSpaceDE/>
      <w:autoSpaceDN/>
      <w:adjustRightInd/>
      <w:spacing w:before="240" w:after="60"/>
      <w:textAlignment w:val="auto"/>
      <w:outlineLvl w:val="5"/>
    </w:pPr>
    <w:rPr>
      <w:b/>
      <w:bCs/>
      <w:szCs w:val="22"/>
      <w:lang w:val="en-US"/>
    </w:rPr>
  </w:style>
  <w:style w:type="paragraph" w:styleId="Nagwek7">
    <w:name w:val="heading 7"/>
    <w:basedOn w:val="Normalny"/>
    <w:next w:val="Normalny"/>
    <w:uiPriority w:val="19"/>
    <w:locked/>
    <w:pPr>
      <w:overflowPunct/>
      <w:autoSpaceDE/>
      <w:autoSpaceDN/>
      <w:adjustRightInd/>
      <w:spacing w:before="240" w:after="60"/>
      <w:textAlignment w:val="auto"/>
      <w:outlineLvl w:val="6"/>
    </w:pPr>
    <w:rPr>
      <w:szCs w:val="24"/>
      <w:lang w:val="en-US"/>
    </w:rPr>
  </w:style>
  <w:style w:type="paragraph" w:styleId="Nagwek8">
    <w:name w:val="heading 8"/>
    <w:basedOn w:val="Normalny"/>
    <w:next w:val="Normalny"/>
    <w:uiPriority w:val="19"/>
    <w:locked/>
    <w:pPr>
      <w:overflowPunct/>
      <w:autoSpaceDE/>
      <w:autoSpaceDN/>
      <w:adjustRightInd/>
      <w:spacing w:before="240" w:after="60"/>
      <w:textAlignment w:val="auto"/>
      <w:outlineLvl w:val="7"/>
    </w:pPr>
    <w:rPr>
      <w:i/>
      <w:iCs/>
      <w:szCs w:val="24"/>
      <w:lang w:val="en-US"/>
    </w:rPr>
  </w:style>
  <w:style w:type="paragraph" w:styleId="Nagwek9">
    <w:name w:val="heading 9"/>
    <w:basedOn w:val="Normalny"/>
    <w:next w:val="Normalny"/>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link w:val="TekstpodstawowyZnak"/>
    <w:qFormat/>
    <w:rsid w:val="00647F33"/>
    <w:pPr>
      <w:spacing w:line="260" w:lineRule="atLeast"/>
      <w:ind w:firstLine="567"/>
      <w:contextualSpacing/>
      <w:jc w:val="both"/>
    </w:pPr>
    <w:rPr>
      <w:lang w:eastAsia="en-US"/>
    </w:rPr>
  </w:style>
  <w:style w:type="paragraph" w:styleId="Tekstpodstawowywcity">
    <w:name w:val="Body Text Indent"/>
    <w:basedOn w:val="Tekstpodstawowy"/>
    <w:uiPriority w:val="49"/>
    <w:locked/>
    <w:pPr>
      <w:ind w:left="1134" w:hanging="675"/>
    </w:pPr>
  </w:style>
  <w:style w:type="paragraph" w:customStyle="1" w:styleId="BodyTextMultiline">
    <w:name w:val="Body Text Multiline"/>
    <w:basedOn w:val="Tekstpodstawowy"/>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egenda">
    <w:name w:val="caption"/>
    <w:next w:val="Normalny"/>
    <w:uiPriority w:val="49"/>
    <w:pPr>
      <w:spacing w:after="85"/>
    </w:pPr>
    <w:rPr>
      <w:bCs/>
      <w:sz w:val="18"/>
      <w:lang w:val="en-US" w:eastAsia="en-US"/>
    </w:rPr>
  </w:style>
  <w:style w:type="paragraph" w:styleId="Stopka">
    <w:name w:val="footer"/>
    <w:basedOn w:val="Normalny"/>
    <w:link w:val="StopkaZnak"/>
    <w:uiPriority w:val="99"/>
    <w:locked/>
    <w:pPr>
      <w:overflowPunct/>
      <w:autoSpaceDE/>
      <w:autoSpaceDN/>
      <w:adjustRightInd/>
      <w:textAlignment w:val="auto"/>
    </w:pPr>
    <w:rPr>
      <w:sz w:val="2"/>
      <w:lang w:val="en-US"/>
    </w:rPr>
  </w:style>
  <w:style w:type="paragraph" w:styleId="Tekstprzypisudolnego">
    <w:name w:val="footnote text"/>
    <w:semiHidden/>
    <w:locked/>
    <w:pPr>
      <w:tabs>
        <w:tab w:val="left" w:pos="459"/>
      </w:tabs>
      <w:spacing w:before="142"/>
      <w:ind w:left="459"/>
      <w:jc w:val="both"/>
    </w:pPr>
    <w:rPr>
      <w:sz w:val="18"/>
      <w:lang w:eastAsia="en-US"/>
    </w:rPr>
  </w:style>
  <w:style w:type="paragraph" w:styleId="Nagwek">
    <w:name w:val="header"/>
    <w:next w:val="Tekstpodstawowy"/>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Tekstpodstawowy"/>
    <w:uiPriority w:val="6"/>
    <w:qFormat/>
    <w:rsid w:val="00717C6F"/>
    <w:pPr>
      <w:numPr>
        <w:numId w:val="20"/>
      </w:numPr>
      <w:ind w:left="709"/>
    </w:pPr>
  </w:style>
  <w:style w:type="paragraph" w:customStyle="1" w:styleId="ListNumbered">
    <w:name w:val="List Numbered"/>
    <w:basedOn w:val="Tekstpodstawowy"/>
    <w:uiPriority w:val="5"/>
    <w:qFormat/>
    <w:locked/>
    <w:rsid w:val="00717C6F"/>
    <w:pPr>
      <w:numPr>
        <w:numId w:val="22"/>
      </w:numPr>
    </w:pPr>
  </w:style>
  <w:style w:type="paragraph" w:styleId="Tytu">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ny"/>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ny"/>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ny"/>
    <w:uiPriority w:val="49"/>
    <w:locked/>
    <w:pPr>
      <w:keepNext/>
      <w:spacing w:after="10"/>
    </w:pPr>
    <w:rPr>
      <w:rFonts w:ascii="Arial" w:hAnsi="Arial"/>
      <w:b/>
      <w:sz w:val="13"/>
    </w:rPr>
  </w:style>
  <w:style w:type="paragraph" w:customStyle="1" w:styleId="zyxP1Footer">
    <w:name w:val="zyxP1_Footer"/>
    <w:basedOn w:val="Normalny"/>
    <w:uiPriority w:val="49"/>
    <w:locked/>
    <w:pPr>
      <w:widowControl w:val="0"/>
      <w:spacing w:line="160" w:lineRule="exact"/>
      <w:ind w:left="108"/>
    </w:pPr>
    <w:rPr>
      <w:sz w:val="14"/>
    </w:rPr>
  </w:style>
  <w:style w:type="paragraph" w:customStyle="1" w:styleId="zyxSensitivity">
    <w:name w:val="zyxSensitivity"/>
    <w:basedOn w:val="Normalny"/>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ny"/>
    <w:uiPriority w:val="49"/>
    <w:locked/>
    <w:pPr>
      <w:keepNext/>
      <w:spacing w:line="420" w:lineRule="exact"/>
    </w:pPr>
    <w:rPr>
      <w:rFonts w:ascii="Arial" w:hAnsi="Arial"/>
      <w:sz w:val="40"/>
    </w:rPr>
  </w:style>
  <w:style w:type="character" w:styleId="Odwoanieprzypisudolnego">
    <w:name w:val="footnote reference"/>
    <w:basedOn w:val="Domylnaczcionkaakapitu"/>
    <w:semiHidden/>
    <w:locked/>
    <w:rPr>
      <w:vertAlign w:val="superscript"/>
    </w:rPr>
  </w:style>
  <w:style w:type="paragraph" w:styleId="Podtytu">
    <w:name w:val="Subtitle"/>
    <w:next w:val="Tekstpodstawowy"/>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Tekstpodstawowy"/>
    <w:uiPriority w:val="49"/>
    <w:locked/>
    <w:pPr>
      <w:spacing w:line="280" w:lineRule="exact"/>
      <w:jc w:val="right"/>
    </w:pPr>
    <w:rPr>
      <w:rFonts w:ascii="Arial" w:hAnsi="Arial" w:cs="Arial"/>
      <w:b/>
      <w:bCs/>
      <w:caps/>
      <w:sz w:val="24"/>
    </w:rPr>
  </w:style>
  <w:style w:type="paragraph" w:customStyle="1" w:styleId="zyxClassification2">
    <w:name w:val="zyxClassification2"/>
    <w:basedOn w:val="Stopk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StopkaZnak">
    <w:name w:val="Stopka Znak"/>
    <w:basedOn w:val="Domylnaczcionkaakapitu"/>
    <w:link w:val="Stopka"/>
    <w:uiPriority w:val="99"/>
    <w:rsid w:val="00037321"/>
    <w:rPr>
      <w:sz w:val="2"/>
      <w:lang w:val="en-US" w:eastAsia="en-US"/>
    </w:rPr>
  </w:style>
  <w:style w:type="paragraph" w:customStyle="1" w:styleId="Runninghead">
    <w:name w:val="Running head"/>
    <w:basedOn w:val="Normalny"/>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omylnaczcionkaakapitu"/>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TekstpodstawowyZnak">
    <w:name w:val="Tekst podstawowy Znak"/>
    <w:basedOn w:val="Domylnaczcionkaakapitu"/>
    <w:link w:val="Tekstpodstawowy"/>
    <w:rsid w:val="00647F33"/>
    <w:rPr>
      <w:lang w:eastAsia="en-US"/>
    </w:rPr>
  </w:style>
  <w:style w:type="character" w:customStyle="1" w:styleId="AuthornameandaffiliationChar">
    <w:name w:val="Author name and affiliation Char"/>
    <w:basedOn w:val="TekstpodstawowyZnak"/>
    <w:link w:val="Authornameandaffiliation"/>
    <w:uiPriority w:val="49"/>
    <w:rsid w:val="00647F33"/>
    <w:rPr>
      <w:lang w:val="en-US" w:eastAsia="en-US"/>
    </w:rPr>
  </w:style>
  <w:style w:type="table" w:styleId="Tabela-Siatka">
    <w:name w:val="Table Grid"/>
    <w:basedOn w:val="Standardowy"/>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kstdymka">
    <w:name w:val="Balloon Text"/>
    <w:basedOn w:val="Normalny"/>
    <w:link w:val="TekstdymkaZnak"/>
    <w:uiPriority w:val="49"/>
    <w:locked/>
    <w:rsid w:val="005F00A0"/>
    <w:rPr>
      <w:rFonts w:ascii="Tahoma" w:hAnsi="Tahoma" w:cs="Tahoma"/>
      <w:sz w:val="16"/>
      <w:szCs w:val="16"/>
    </w:rPr>
  </w:style>
  <w:style w:type="character" w:customStyle="1" w:styleId="TekstdymkaZnak">
    <w:name w:val="Tekst dymka Znak"/>
    <w:basedOn w:val="Domylnaczcionkaakapitu"/>
    <w:link w:val="Tekstdymka"/>
    <w:uiPriority w:val="49"/>
    <w:rsid w:val="005F00A0"/>
    <w:rPr>
      <w:rFonts w:ascii="Tahoma" w:hAnsi="Tahoma" w:cs="Tahoma"/>
      <w:sz w:val="16"/>
      <w:szCs w:val="16"/>
      <w:lang w:eastAsia="en-US"/>
    </w:rPr>
  </w:style>
  <w:style w:type="paragraph" w:customStyle="1" w:styleId="Figurecaption">
    <w:name w:val="Figure caption"/>
    <w:basedOn w:val="Tekstpodstawowy"/>
    <w:link w:val="FigurecaptionChar"/>
    <w:uiPriority w:val="49"/>
    <w:qFormat/>
    <w:locked/>
    <w:rsid w:val="00717C6F"/>
    <w:pPr>
      <w:jc w:val="center"/>
    </w:pPr>
    <w:rPr>
      <w:i/>
      <w:sz w:val="18"/>
    </w:rPr>
  </w:style>
  <w:style w:type="paragraph" w:customStyle="1" w:styleId="Otherunnumberedheadings">
    <w:name w:val="Other unnumbered headings"/>
    <w:next w:val="Tekstpodstawowy"/>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TekstpodstawowyZnak"/>
    <w:link w:val="Figurecaption"/>
    <w:uiPriority w:val="49"/>
    <w:rsid w:val="00717C6F"/>
    <w:rPr>
      <w:i/>
      <w:sz w:val="18"/>
      <w:lang w:eastAsia="en-US"/>
    </w:rPr>
  </w:style>
  <w:style w:type="paragraph" w:customStyle="1" w:styleId="Referencelist">
    <w:name w:val="Reference list"/>
    <w:basedOn w:val="Tekstpodstawowy"/>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TekstpodstawowyZnak"/>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TekstpodstawowyZnak"/>
    <w:link w:val="Referencelist"/>
    <w:uiPriority w:val="49"/>
    <w:rsid w:val="009E0D5B"/>
    <w:rPr>
      <w:sz w:val="18"/>
      <w:szCs w:val="18"/>
      <w:lang w:eastAsia="en-US"/>
    </w:rPr>
  </w:style>
  <w:style w:type="paragraph" w:customStyle="1" w:styleId="Tabletext">
    <w:name w:val="Table text"/>
    <w:basedOn w:val="Tekstpodstawowy"/>
    <w:link w:val="TabletextChar"/>
    <w:uiPriority w:val="49"/>
    <w:qFormat/>
    <w:rsid w:val="00883848"/>
    <w:pPr>
      <w:ind w:firstLine="0"/>
    </w:pPr>
  </w:style>
  <w:style w:type="character" w:customStyle="1" w:styleId="TabletextChar">
    <w:name w:val="Table text Char"/>
    <w:basedOn w:val="TekstpodstawowyZnak"/>
    <w:link w:val="Tabletext"/>
    <w:uiPriority w:val="49"/>
    <w:rsid w:val="00883848"/>
    <w:rPr>
      <w:lang w:eastAsia="en-US"/>
    </w:rPr>
  </w:style>
  <w:style w:type="paragraph" w:styleId="NormalnyWeb">
    <w:name w:val="Normal (Web)"/>
    <w:basedOn w:val="Normalny"/>
    <w:uiPriority w:val="99"/>
    <w:unhideWhenUsed/>
    <w:locked/>
    <w:rsid w:val="00FE309A"/>
    <w:pPr>
      <w:overflowPunct/>
      <w:autoSpaceDE/>
      <w:autoSpaceDN/>
      <w:adjustRightInd/>
      <w:spacing w:before="100" w:beforeAutospacing="1" w:after="100" w:afterAutospacing="1"/>
      <w:textAlignment w:val="auto"/>
    </w:pPr>
    <w:rPr>
      <w:sz w:val="24"/>
      <w:szCs w:val="24"/>
      <w:lang w:eastAsia="en-GB"/>
    </w:rPr>
  </w:style>
  <w:style w:type="character" w:styleId="Odwoaniedokomentarza">
    <w:name w:val="annotation reference"/>
    <w:basedOn w:val="Domylnaczcionkaakapitu"/>
    <w:uiPriority w:val="49"/>
    <w:semiHidden/>
    <w:unhideWhenUsed/>
    <w:locked/>
    <w:rsid w:val="00347C4E"/>
    <w:rPr>
      <w:sz w:val="16"/>
      <w:szCs w:val="16"/>
    </w:rPr>
  </w:style>
  <w:style w:type="paragraph" w:styleId="Tekstkomentarza">
    <w:name w:val="annotation text"/>
    <w:basedOn w:val="Normalny"/>
    <w:link w:val="TekstkomentarzaZnak"/>
    <w:uiPriority w:val="49"/>
    <w:semiHidden/>
    <w:unhideWhenUsed/>
    <w:locked/>
    <w:rsid w:val="00347C4E"/>
    <w:rPr>
      <w:sz w:val="20"/>
    </w:rPr>
  </w:style>
  <w:style w:type="character" w:customStyle="1" w:styleId="TekstkomentarzaZnak">
    <w:name w:val="Tekst komentarza Znak"/>
    <w:basedOn w:val="Domylnaczcionkaakapitu"/>
    <w:link w:val="Tekstkomentarza"/>
    <w:uiPriority w:val="49"/>
    <w:semiHidden/>
    <w:rsid w:val="00347C4E"/>
    <w:rPr>
      <w:lang w:eastAsia="en-US"/>
    </w:rPr>
  </w:style>
  <w:style w:type="paragraph" w:styleId="Tematkomentarza">
    <w:name w:val="annotation subject"/>
    <w:basedOn w:val="Tekstkomentarza"/>
    <w:next w:val="Tekstkomentarza"/>
    <w:link w:val="TematkomentarzaZnak"/>
    <w:uiPriority w:val="49"/>
    <w:semiHidden/>
    <w:unhideWhenUsed/>
    <w:locked/>
    <w:rsid w:val="00347C4E"/>
    <w:rPr>
      <w:b/>
      <w:bCs/>
    </w:rPr>
  </w:style>
  <w:style w:type="character" w:customStyle="1" w:styleId="TematkomentarzaZnak">
    <w:name w:val="Temat komentarza Znak"/>
    <w:basedOn w:val="TekstkomentarzaZnak"/>
    <w:link w:val="Tematkomentarza"/>
    <w:uiPriority w:val="49"/>
    <w:semiHidden/>
    <w:rsid w:val="00347C4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635">
      <w:bodyDiv w:val="1"/>
      <w:marLeft w:val="0"/>
      <w:marRight w:val="0"/>
      <w:marTop w:val="0"/>
      <w:marBottom w:val="0"/>
      <w:divBdr>
        <w:top w:val="none" w:sz="0" w:space="0" w:color="auto"/>
        <w:left w:val="none" w:sz="0" w:space="0" w:color="auto"/>
        <w:bottom w:val="none" w:sz="0" w:space="0" w:color="auto"/>
        <w:right w:val="none" w:sz="0" w:space="0" w:color="auto"/>
      </w:divBdr>
    </w:div>
    <w:div w:id="15817934">
      <w:bodyDiv w:val="1"/>
      <w:marLeft w:val="0"/>
      <w:marRight w:val="0"/>
      <w:marTop w:val="0"/>
      <w:marBottom w:val="0"/>
      <w:divBdr>
        <w:top w:val="none" w:sz="0" w:space="0" w:color="auto"/>
        <w:left w:val="none" w:sz="0" w:space="0" w:color="auto"/>
        <w:bottom w:val="none" w:sz="0" w:space="0" w:color="auto"/>
        <w:right w:val="none" w:sz="0" w:space="0" w:color="auto"/>
      </w:divBdr>
    </w:div>
    <w:div w:id="205803196">
      <w:bodyDiv w:val="1"/>
      <w:marLeft w:val="0"/>
      <w:marRight w:val="0"/>
      <w:marTop w:val="0"/>
      <w:marBottom w:val="0"/>
      <w:divBdr>
        <w:top w:val="none" w:sz="0" w:space="0" w:color="auto"/>
        <w:left w:val="none" w:sz="0" w:space="0" w:color="auto"/>
        <w:bottom w:val="none" w:sz="0" w:space="0" w:color="auto"/>
        <w:right w:val="none" w:sz="0" w:space="0" w:color="auto"/>
      </w:divBdr>
    </w:div>
    <w:div w:id="235017427">
      <w:bodyDiv w:val="1"/>
      <w:marLeft w:val="0"/>
      <w:marRight w:val="0"/>
      <w:marTop w:val="0"/>
      <w:marBottom w:val="0"/>
      <w:divBdr>
        <w:top w:val="none" w:sz="0" w:space="0" w:color="auto"/>
        <w:left w:val="none" w:sz="0" w:space="0" w:color="auto"/>
        <w:bottom w:val="none" w:sz="0" w:space="0" w:color="auto"/>
        <w:right w:val="none" w:sz="0" w:space="0" w:color="auto"/>
      </w:divBdr>
    </w:div>
    <w:div w:id="248933528">
      <w:bodyDiv w:val="1"/>
      <w:marLeft w:val="0"/>
      <w:marRight w:val="0"/>
      <w:marTop w:val="0"/>
      <w:marBottom w:val="0"/>
      <w:divBdr>
        <w:top w:val="none" w:sz="0" w:space="0" w:color="auto"/>
        <w:left w:val="none" w:sz="0" w:space="0" w:color="auto"/>
        <w:bottom w:val="none" w:sz="0" w:space="0" w:color="auto"/>
        <w:right w:val="none" w:sz="0" w:space="0" w:color="auto"/>
      </w:divBdr>
      <w:divsChild>
        <w:div w:id="1017971382">
          <w:marLeft w:val="0"/>
          <w:marRight w:val="0"/>
          <w:marTop w:val="0"/>
          <w:marBottom w:val="0"/>
          <w:divBdr>
            <w:top w:val="none" w:sz="0" w:space="0" w:color="auto"/>
            <w:left w:val="none" w:sz="0" w:space="0" w:color="auto"/>
            <w:bottom w:val="none" w:sz="0" w:space="0" w:color="auto"/>
            <w:right w:val="none" w:sz="0" w:space="0" w:color="auto"/>
          </w:divBdr>
          <w:divsChild>
            <w:div w:id="1210341640">
              <w:marLeft w:val="0"/>
              <w:marRight w:val="0"/>
              <w:marTop w:val="0"/>
              <w:marBottom w:val="0"/>
              <w:divBdr>
                <w:top w:val="none" w:sz="0" w:space="0" w:color="auto"/>
                <w:left w:val="none" w:sz="0" w:space="0" w:color="auto"/>
                <w:bottom w:val="none" w:sz="0" w:space="0" w:color="auto"/>
                <w:right w:val="none" w:sz="0" w:space="0" w:color="auto"/>
              </w:divBdr>
              <w:divsChild>
                <w:div w:id="1118991527">
                  <w:marLeft w:val="0"/>
                  <w:marRight w:val="0"/>
                  <w:marTop w:val="0"/>
                  <w:marBottom w:val="0"/>
                  <w:divBdr>
                    <w:top w:val="none" w:sz="0" w:space="0" w:color="auto"/>
                    <w:left w:val="none" w:sz="0" w:space="0" w:color="auto"/>
                    <w:bottom w:val="none" w:sz="0" w:space="0" w:color="auto"/>
                    <w:right w:val="none" w:sz="0" w:space="0" w:color="auto"/>
                  </w:divBdr>
                  <w:divsChild>
                    <w:div w:id="1696689535">
                      <w:marLeft w:val="0"/>
                      <w:marRight w:val="0"/>
                      <w:marTop w:val="0"/>
                      <w:marBottom w:val="0"/>
                      <w:divBdr>
                        <w:top w:val="none" w:sz="0" w:space="0" w:color="auto"/>
                        <w:left w:val="none" w:sz="0" w:space="0" w:color="auto"/>
                        <w:bottom w:val="none" w:sz="0" w:space="0" w:color="auto"/>
                        <w:right w:val="none" w:sz="0" w:space="0" w:color="auto"/>
                      </w:divBdr>
                      <w:divsChild>
                        <w:div w:id="1906452682">
                          <w:marLeft w:val="0"/>
                          <w:marRight w:val="0"/>
                          <w:marTop w:val="0"/>
                          <w:marBottom w:val="0"/>
                          <w:divBdr>
                            <w:top w:val="none" w:sz="0" w:space="0" w:color="auto"/>
                            <w:left w:val="none" w:sz="0" w:space="0" w:color="auto"/>
                            <w:bottom w:val="none" w:sz="0" w:space="0" w:color="auto"/>
                            <w:right w:val="none" w:sz="0" w:space="0" w:color="auto"/>
                          </w:divBdr>
                          <w:divsChild>
                            <w:div w:id="9078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290100">
      <w:bodyDiv w:val="1"/>
      <w:marLeft w:val="0"/>
      <w:marRight w:val="0"/>
      <w:marTop w:val="0"/>
      <w:marBottom w:val="0"/>
      <w:divBdr>
        <w:top w:val="none" w:sz="0" w:space="0" w:color="auto"/>
        <w:left w:val="none" w:sz="0" w:space="0" w:color="auto"/>
        <w:bottom w:val="none" w:sz="0" w:space="0" w:color="auto"/>
        <w:right w:val="none" w:sz="0" w:space="0" w:color="auto"/>
      </w:divBdr>
    </w:div>
    <w:div w:id="291134046">
      <w:bodyDiv w:val="1"/>
      <w:marLeft w:val="0"/>
      <w:marRight w:val="0"/>
      <w:marTop w:val="0"/>
      <w:marBottom w:val="0"/>
      <w:divBdr>
        <w:top w:val="none" w:sz="0" w:space="0" w:color="auto"/>
        <w:left w:val="none" w:sz="0" w:space="0" w:color="auto"/>
        <w:bottom w:val="none" w:sz="0" w:space="0" w:color="auto"/>
        <w:right w:val="none" w:sz="0" w:space="0" w:color="auto"/>
      </w:divBdr>
    </w:div>
    <w:div w:id="334067798">
      <w:bodyDiv w:val="1"/>
      <w:marLeft w:val="0"/>
      <w:marRight w:val="0"/>
      <w:marTop w:val="0"/>
      <w:marBottom w:val="0"/>
      <w:divBdr>
        <w:top w:val="none" w:sz="0" w:space="0" w:color="auto"/>
        <w:left w:val="none" w:sz="0" w:space="0" w:color="auto"/>
        <w:bottom w:val="none" w:sz="0" w:space="0" w:color="auto"/>
        <w:right w:val="none" w:sz="0" w:space="0" w:color="auto"/>
      </w:divBdr>
    </w:div>
    <w:div w:id="407503722">
      <w:bodyDiv w:val="1"/>
      <w:marLeft w:val="0"/>
      <w:marRight w:val="0"/>
      <w:marTop w:val="0"/>
      <w:marBottom w:val="0"/>
      <w:divBdr>
        <w:top w:val="none" w:sz="0" w:space="0" w:color="auto"/>
        <w:left w:val="none" w:sz="0" w:space="0" w:color="auto"/>
        <w:bottom w:val="none" w:sz="0" w:space="0" w:color="auto"/>
        <w:right w:val="none" w:sz="0" w:space="0" w:color="auto"/>
      </w:divBdr>
    </w:div>
    <w:div w:id="461004156">
      <w:bodyDiv w:val="1"/>
      <w:marLeft w:val="0"/>
      <w:marRight w:val="0"/>
      <w:marTop w:val="0"/>
      <w:marBottom w:val="0"/>
      <w:divBdr>
        <w:top w:val="none" w:sz="0" w:space="0" w:color="auto"/>
        <w:left w:val="none" w:sz="0" w:space="0" w:color="auto"/>
        <w:bottom w:val="none" w:sz="0" w:space="0" w:color="auto"/>
        <w:right w:val="none" w:sz="0" w:space="0" w:color="auto"/>
      </w:divBdr>
    </w:div>
    <w:div w:id="536047273">
      <w:bodyDiv w:val="1"/>
      <w:marLeft w:val="0"/>
      <w:marRight w:val="0"/>
      <w:marTop w:val="0"/>
      <w:marBottom w:val="0"/>
      <w:divBdr>
        <w:top w:val="none" w:sz="0" w:space="0" w:color="auto"/>
        <w:left w:val="none" w:sz="0" w:space="0" w:color="auto"/>
        <w:bottom w:val="none" w:sz="0" w:space="0" w:color="auto"/>
        <w:right w:val="none" w:sz="0" w:space="0" w:color="auto"/>
      </w:divBdr>
    </w:div>
    <w:div w:id="592129488">
      <w:bodyDiv w:val="1"/>
      <w:marLeft w:val="0"/>
      <w:marRight w:val="0"/>
      <w:marTop w:val="0"/>
      <w:marBottom w:val="0"/>
      <w:divBdr>
        <w:top w:val="none" w:sz="0" w:space="0" w:color="auto"/>
        <w:left w:val="none" w:sz="0" w:space="0" w:color="auto"/>
        <w:bottom w:val="none" w:sz="0" w:space="0" w:color="auto"/>
        <w:right w:val="none" w:sz="0" w:space="0" w:color="auto"/>
      </w:divBdr>
    </w:div>
    <w:div w:id="720399631">
      <w:bodyDiv w:val="1"/>
      <w:marLeft w:val="0"/>
      <w:marRight w:val="0"/>
      <w:marTop w:val="0"/>
      <w:marBottom w:val="0"/>
      <w:divBdr>
        <w:top w:val="none" w:sz="0" w:space="0" w:color="auto"/>
        <w:left w:val="none" w:sz="0" w:space="0" w:color="auto"/>
        <w:bottom w:val="none" w:sz="0" w:space="0" w:color="auto"/>
        <w:right w:val="none" w:sz="0" w:space="0" w:color="auto"/>
      </w:divBdr>
    </w:div>
    <w:div w:id="749084040">
      <w:bodyDiv w:val="1"/>
      <w:marLeft w:val="0"/>
      <w:marRight w:val="0"/>
      <w:marTop w:val="0"/>
      <w:marBottom w:val="0"/>
      <w:divBdr>
        <w:top w:val="none" w:sz="0" w:space="0" w:color="auto"/>
        <w:left w:val="none" w:sz="0" w:space="0" w:color="auto"/>
        <w:bottom w:val="none" w:sz="0" w:space="0" w:color="auto"/>
        <w:right w:val="none" w:sz="0" w:space="0" w:color="auto"/>
      </w:divBdr>
      <w:divsChild>
        <w:div w:id="1937135817">
          <w:marLeft w:val="0"/>
          <w:marRight w:val="0"/>
          <w:marTop w:val="0"/>
          <w:marBottom w:val="0"/>
          <w:divBdr>
            <w:top w:val="none" w:sz="0" w:space="0" w:color="auto"/>
            <w:left w:val="none" w:sz="0" w:space="0" w:color="auto"/>
            <w:bottom w:val="none" w:sz="0" w:space="0" w:color="auto"/>
            <w:right w:val="none" w:sz="0" w:space="0" w:color="auto"/>
          </w:divBdr>
          <w:divsChild>
            <w:div w:id="502428660">
              <w:marLeft w:val="0"/>
              <w:marRight w:val="0"/>
              <w:marTop w:val="0"/>
              <w:marBottom w:val="0"/>
              <w:divBdr>
                <w:top w:val="none" w:sz="0" w:space="0" w:color="auto"/>
                <w:left w:val="none" w:sz="0" w:space="0" w:color="auto"/>
                <w:bottom w:val="none" w:sz="0" w:space="0" w:color="auto"/>
                <w:right w:val="none" w:sz="0" w:space="0" w:color="auto"/>
              </w:divBdr>
              <w:divsChild>
                <w:div w:id="1097407821">
                  <w:marLeft w:val="0"/>
                  <w:marRight w:val="0"/>
                  <w:marTop w:val="0"/>
                  <w:marBottom w:val="0"/>
                  <w:divBdr>
                    <w:top w:val="none" w:sz="0" w:space="0" w:color="auto"/>
                    <w:left w:val="none" w:sz="0" w:space="0" w:color="auto"/>
                    <w:bottom w:val="none" w:sz="0" w:space="0" w:color="auto"/>
                    <w:right w:val="none" w:sz="0" w:space="0" w:color="auto"/>
                  </w:divBdr>
                  <w:divsChild>
                    <w:div w:id="1990474171">
                      <w:marLeft w:val="0"/>
                      <w:marRight w:val="0"/>
                      <w:marTop w:val="0"/>
                      <w:marBottom w:val="0"/>
                      <w:divBdr>
                        <w:top w:val="none" w:sz="0" w:space="0" w:color="auto"/>
                        <w:left w:val="none" w:sz="0" w:space="0" w:color="auto"/>
                        <w:bottom w:val="none" w:sz="0" w:space="0" w:color="auto"/>
                        <w:right w:val="none" w:sz="0" w:space="0" w:color="auto"/>
                      </w:divBdr>
                      <w:divsChild>
                        <w:div w:id="1907647341">
                          <w:marLeft w:val="0"/>
                          <w:marRight w:val="0"/>
                          <w:marTop w:val="0"/>
                          <w:marBottom w:val="0"/>
                          <w:divBdr>
                            <w:top w:val="none" w:sz="0" w:space="0" w:color="auto"/>
                            <w:left w:val="none" w:sz="0" w:space="0" w:color="auto"/>
                            <w:bottom w:val="none" w:sz="0" w:space="0" w:color="auto"/>
                            <w:right w:val="none" w:sz="0" w:space="0" w:color="auto"/>
                          </w:divBdr>
                          <w:divsChild>
                            <w:div w:id="11246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667454">
      <w:bodyDiv w:val="1"/>
      <w:marLeft w:val="0"/>
      <w:marRight w:val="0"/>
      <w:marTop w:val="0"/>
      <w:marBottom w:val="0"/>
      <w:divBdr>
        <w:top w:val="none" w:sz="0" w:space="0" w:color="auto"/>
        <w:left w:val="none" w:sz="0" w:space="0" w:color="auto"/>
        <w:bottom w:val="none" w:sz="0" w:space="0" w:color="auto"/>
        <w:right w:val="none" w:sz="0" w:space="0" w:color="auto"/>
      </w:divBdr>
    </w:div>
    <w:div w:id="1048339183">
      <w:bodyDiv w:val="1"/>
      <w:marLeft w:val="0"/>
      <w:marRight w:val="0"/>
      <w:marTop w:val="0"/>
      <w:marBottom w:val="0"/>
      <w:divBdr>
        <w:top w:val="none" w:sz="0" w:space="0" w:color="auto"/>
        <w:left w:val="none" w:sz="0" w:space="0" w:color="auto"/>
        <w:bottom w:val="none" w:sz="0" w:space="0" w:color="auto"/>
        <w:right w:val="none" w:sz="0" w:space="0" w:color="auto"/>
      </w:divBdr>
    </w:div>
    <w:div w:id="1071777696">
      <w:bodyDiv w:val="1"/>
      <w:marLeft w:val="0"/>
      <w:marRight w:val="0"/>
      <w:marTop w:val="0"/>
      <w:marBottom w:val="0"/>
      <w:divBdr>
        <w:top w:val="none" w:sz="0" w:space="0" w:color="auto"/>
        <w:left w:val="none" w:sz="0" w:space="0" w:color="auto"/>
        <w:bottom w:val="none" w:sz="0" w:space="0" w:color="auto"/>
        <w:right w:val="none" w:sz="0" w:space="0" w:color="auto"/>
      </w:divBdr>
    </w:div>
    <w:div w:id="1260984998">
      <w:bodyDiv w:val="1"/>
      <w:marLeft w:val="0"/>
      <w:marRight w:val="0"/>
      <w:marTop w:val="0"/>
      <w:marBottom w:val="0"/>
      <w:divBdr>
        <w:top w:val="none" w:sz="0" w:space="0" w:color="auto"/>
        <w:left w:val="none" w:sz="0" w:space="0" w:color="auto"/>
        <w:bottom w:val="none" w:sz="0" w:space="0" w:color="auto"/>
        <w:right w:val="none" w:sz="0" w:space="0" w:color="auto"/>
      </w:divBdr>
    </w:div>
    <w:div w:id="1275747401">
      <w:bodyDiv w:val="1"/>
      <w:marLeft w:val="0"/>
      <w:marRight w:val="0"/>
      <w:marTop w:val="0"/>
      <w:marBottom w:val="0"/>
      <w:divBdr>
        <w:top w:val="none" w:sz="0" w:space="0" w:color="auto"/>
        <w:left w:val="none" w:sz="0" w:space="0" w:color="auto"/>
        <w:bottom w:val="none" w:sz="0" w:space="0" w:color="auto"/>
        <w:right w:val="none" w:sz="0" w:space="0" w:color="auto"/>
      </w:divBdr>
    </w:div>
    <w:div w:id="1324434891">
      <w:bodyDiv w:val="1"/>
      <w:marLeft w:val="0"/>
      <w:marRight w:val="0"/>
      <w:marTop w:val="0"/>
      <w:marBottom w:val="0"/>
      <w:divBdr>
        <w:top w:val="none" w:sz="0" w:space="0" w:color="auto"/>
        <w:left w:val="none" w:sz="0" w:space="0" w:color="auto"/>
        <w:bottom w:val="none" w:sz="0" w:space="0" w:color="auto"/>
        <w:right w:val="none" w:sz="0" w:space="0" w:color="auto"/>
      </w:divBdr>
    </w:div>
    <w:div w:id="1532840249">
      <w:bodyDiv w:val="1"/>
      <w:marLeft w:val="0"/>
      <w:marRight w:val="0"/>
      <w:marTop w:val="0"/>
      <w:marBottom w:val="0"/>
      <w:divBdr>
        <w:top w:val="none" w:sz="0" w:space="0" w:color="auto"/>
        <w:left w:val="none" w:sz="0" w:space="0" w:color="auto"/>
        <w:bottom w:val="none" w:sz="0" w:space="0" w:color="auto"/>
        <w:right w:val="none" w:sz="0" w:space="0" w:color="auto"/>
      </w:divBdr>
    </w:div>
    <w:div w:id="1558322138">
      <w:bodyDiv w:val="1"/>
      <w:marLeft w:val="0"/>
      <w:marRight w:val="0"/>
      <w:marTop w:val="0"/>
      <w:marBottom w:val="0"/>
      <w:divBdr>
        <w:top w:val="none" w:sz="0" w:space="0" w:color="auto"/>
        <w:left w:val="none" w:sz="0" w:space="0" w:color="auto"/>
        <w:bottom w:val="none" w:sz="0" w:space="0" w:color="auto"/>
        <w:right w:val="none" w:sz="0" w:space="0" w:color="auto"/>
      </w:divBdr>
    </w:div>
    <w:div w:id="1561672979">
      <w:bodyDiv w:val="1"/>
      <w:marLeft w:val="0"/>
      <w:marRight w:val="0"/>
      <w:marTop w:val="0"/>
      <w:marBottom w:val="0"/>
      <w:divBdr>
        <w:top w:val="none" w:sz="0" w:space="0" w:color="auto"/>
        <w:left w:val="none" w:sz="0" w:space="0" w:color="auto"/>
        <w:bottom w:val="none" w:sz="0" w:space="0" w:color="auto"/>
        <w:right w:val="none" w:sz="0" w:space="0" w:color="auto"/>
      </w:divBdr>
    </w:div>
    <w:div w:id="1767966395">
      <w:bodyDiv w:val="1"/>
      <w:marLeft w:val="0"/>
      <w:marRight w:val="0"/>
      <w:marTop w:val="0"/>
      <w:marBottom w:val="0"/>
      <w:divBdr>
        <w:top w:val="none" w:sz="0" w:space="0" w:color="auto"/>
        <w:left w:val="none" w:sz="0" w:space="0" w:color="auto"/>
        <w:bottom w:val="none" w:sz="0" w:space="0" w:color="auto"/>
        <w:right w:val="none" w:sz="0" w:space="0" w:color="auto"/>
      </w:divBdr>
    </w:div>
    <w:div w:id="1804616721">
      <w:bodyDiv w:val="1"/>
      <w:marLeft w:val="0"/>
      <w:marRight w:val="0"/>
      <w:marTop w:val="0"/>
      <w:marBottom w:val="0"/>
      <w:divBdr>
        <w:top w:val="none" w:sz="0" w:space="0" w:color="auto"/>
        <w:left w:val="none" w:sz="0" w:space="0" w:color="auto"/>
        <w:bottom w:val="none" w:sz="0" w:space="0" w:color="auto"/>
        <w:right w:val="none" w:sz="0" w:space="0" w:color="auto"/>
      </w:divBdr>
    </w:div>
    <w:div w:id="1806198867">
      <w:bodyDiv w:val="1"/>
      <w:marLeft w:val="0"/>
      <w:marRight w:val="0"/>
      <w:marTop w:val="0"/>
      <w:marBottom w:val="0"/>
      <w:divBdr>
        <w:top w:val="none" w:sz="0" w:space="0" w:color="auto"/>
        <w:left w:val="none" w:sz="0" w:space="0" w:color="auto"/>
        <w:bottom w:val="none" w:sz="0" w:space="0" w:color="auto"/>
        <w:right w:val="none" w:sz="0" w:space="0" w:color="auto"/>
      </w:divBdr>
    </w:div>
    <w:div w:id="1826312929">
      <w:bodyDiv w:val="1"/>
      <w:marLeft w:val="0"/>
      <w:marRight w:val="0"/>
      <w:marTop w:val="0"/>
      <w:marBottom w:val="0"/>
      <w:divBdr>
        <w:top w:val="none" w:sz="0" w:space="0" w:color="auto"/>
        <w:left w:val="none" w:sz="0" w:space="0" w:color="auto"/>
        <w:bottom w:val="none" w:sz="0" w:space="0" w:color="auto"/>
        <w:right w:val="none" w:sz="0" w:space="0" w:color="auto"/>
      </w:divBdr>
    </w:div>
    <w:div w:id="1882552391">
      <w:bodyDiv w:val="1"/>
      <w:marLeft w:val="0"/>
      <w:marRight w:val="0"/>
      <w:marTop w:val="0"/>
      <w:marBottom w:val="0"/>
      <w:divBdr>
        <w:top w:val="none" w:sz="0" w:space="0" w:color="auto"/>
        <w:left w:val="none" w:sz="0" w:space="0" w:color="auto"/>
        <w:bottom w:val="none" w:sz="0" w:space="0" w:color="auto"/>
        <w:right w:val="none" w:sz="0" w:space="0" w:color="auto"/>
      </w:divBdr>
    </w:div>
    <w:div w:id="1926720045">
      <w:bodyDiv w:val="1"/>
      <w:marLeft w:val="0"/>
      <w:marRight w:val="0"/>
      <w:marTop w:val="0"/>
      <w:marBottom w:val="0"/>
      <w:divBdr>
        <w:top w:val="none" w:sz="0" w:space="0" w:color="auto"/>
        <w:left w:val="none" w:sz="0" w:space="0" w:color="auto"/>
        <w:bottom w:val="none" w:sz="0" w:space="0" w:color="auto"/>
        <w:right w:val="none" w:sz="0" w:space="0" w:color="auto"/>
      </w:divBdr>
    </w:div>
    <w:div w:id="1983802767">
      <w:bodyDiv w:val="1"/>
      <w:marLeft w:val="0"/>
      <w:marRight w:val="0"/>
      <w:marTop w:val="0"/>
      <w:marBottom w:val="0"/>
      <w:divBdr>
        <w:top w:val="none" w:sz="0" w:space="0" w:color="auto"/>
        <w:left w:val="none" w:sz="0" w:space="0" w:color="auto"/>
        <w:bottom w:val="none" w:sz="0" w:space="0" w:color="auto"/>
        <w:right w:val="none" w:sz="0" w:space="0" w:color="auto"/>
      </w:divBdr>
    </w:div>
    <w:div w:id="20253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4CF8DCA5-8DBE-4CF6-8BC0-60F13571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5</TotalTime>
  <Pages>7</Pages>
  <Words>3786</Words>
  <Characters>21582</Characters>
  <Application>Microsoft Office Word</Application>
  <DocSecurity>0</DocSecurity>
  <Lines>179</Lines>
  <Paragraphs>50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henryk</cp:lastModifiedBy>
  <cp:revision>3</cp:revision>
  <cp:lastPrinted>2024-03-19T13:52:00Z</cp:lastPrinted>
  <dcterms:created xsi:type="dcterms:W3CDTF">2024-08-05T09:55:00Z</dcterms:created>
  <dcterms:modified xsi:type="dcterms:W3CDTF">2024-08-05T09:59:00Z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endeley Document_1">
    <vt:lpwstr>True</vt:lpwstr>
  </property>
  <property fmtid="{D5CDD505-2E9C-101B-9397-08002B2CF9AE}" pid="12" name="Mendeley Citation Style_1">
    <vt:lpwstr>http://www.zotero.org/styles/ieee</vt:lpwstr>
  </property>
  <property fmtid="{D5CDD505-2E9C-101B-9397-08002B2CF9AE}" pid="13" name="Mendeley Unique User Id_1">
    <vt:lpwstr>92ee4bed-81cf-3d51-8e9a-25e89dc02144</vt:lpwstr>
  </property>
</Properties>
</file>