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DFA9" w14:textId="77777777" w:rsidR="005E3B00" w:rsidRDefault="00FD3D5F" w:rsidP="005E3B00">
      <w:pPr>
        <w:pStyle w:val="Title"/>
        <w:rPr>
          <w:rFonts w:ascii="Times New Roman Bold" w:hAnsi="Times New Roman Bold" w:hint="eastAsia"/>
          <w:caps/>
          <w:noProof/>
        </w:rPr>
      </w:pPr>
      <w:r w:rsidRPr="005E3B00">
        <w:rPr>
          <w:rFonts w:ascii="Times New Roman Bold" w:hAnsi="Times New Roman Bold"/>
          <w:caps/>
          <w:noProof/>
        </w:rPr>
        <w:t>Independe</w:t>
      </w:r>
      <w:r w:rsidR="005F5B99" w:rsidRPr="005E3B00">
        <w:rPr>
          <w:rFonts w:ascii="Times New Roman Bold" w:hAnsi="Times New Roman Bold"/>
          <w:caps/>
          <w:noProof/>
        </w:rPr>
        <w:t>n</w:t>
      </w:r>
      <w:r w:rsidRPr="005E3B00">
        <w:rPr>
          <w:rFonts w:ascii="Times New Roman Bold" w:hAnsi="Times New Roman Bold"/>
          <w:caps/>
          <w:noProof/>
        </w:rPr>
        <w:t>c</w:t>
      </w:r>
      <w:r w:rsidR="005F5B99" w:rsidRPr="005E3B00">
        <w:rPr>
          <w:rFonts w:ascii="Times New Roman Bold" w:hAnsi="Times New Roman Bold"/>
          <w:caps/>
          <w:noProof/>
        </w:rPr>
        <w:t>e</w:t>
      </w:r>
      <w:r w:rsidRPr="005E3B00">
        <w:rPr>
          <w:rFonts w:ascii="Times New Roman Bold" w:hAnsi="Times New Roman Bold"/>
          <w:caps/>
          <w:noProof/>
        </w:rPr>
        <w:t xml:space="preserve"> of Multi Module Small </w:t>
      </w:r>
    </w:p>
    <w:p w14:paraId="21C1C878" w14:textId="77777777" w:rsidR="005E3B00" w:rsidRDefault="00FD3D5F" w:rsidP="005E3B00">
      <w:pPr>
        <w:pStyle w:val="Title"/>
        <w:rPr>
          <w:rFonts w:ascii="Times New Roman Bold" w:hAnsi="Times New Roman Bold" w:hint="eastAsia"/>
          <w:caps/>
          <w:noProof/>
        </w:rPr>
      </w:pPr>
      <w:r w:rsidRPr="005E3B00">
        <w:rPr>
          <w:rFonts w:ascii="Times New Roman Bold" w:hAnsi="Times New Roman Bold"/>
          <w:caps/>
          <w:noProof/>
        </w:rPr>
        <w:t>Modular Reactor as Acceptance Criteria</w:t>
      </w:r>
      <w:r w:rsidR="00483C39" w:rsidRPr="005E3B00">
        <w:rPr>
          <w:rFonts w:ascii="Times New Roman Bold" w:hAnsi="Times New Roman Bold"/>
          <w:caps/>
          <w:noProof/>
        </w:rPr>
        <w:t xml:space="preserve"> </w:t>
      </w:r>
    </w:p>
    <w:p w14:paraId="4FDCFE1A" w14:textId="77777777" w:rsidR="005E3B00" w:rsidRDefault="00483C39" w:rsidP="005E3B00">
      <w:pPr>
        <w:pStyle w:val="Title"/>
        <w:rPr>
          <w:rFonts w:ascii="Times New Roman Bold" w:hAnsi="Times New Roman Bold" w:hint="eastAsia"/>
          <w:caps/>
          <w:noProof/>
        </w:rPr>
      </w:pPr>
      <w:r w:rsidRPr="005E3B00">
        <w:rPr>
          <w:rFonts w:ascii="Times New Roman Bold" w:hAnsi="Times New Roman Bold"/>
          <w:caps/>
          <w:noProof/>
        </w:rPr>
        <w:t xml:space="preserve">in Determining Adequate Emergency </w:t>
      </w:r>
    </w:p>
    <w:p w14:paraId="3DA85708" w14:textId="22346A41" w:rsidR="003E3821" w:rsidRPr="005E3B00" w:rsidRDefault="00483C39" w:rsidP="005E3B00">
      <w:pPr>
        <w:pStyle w:val="Title"/>
        <w:rPr>
          <w:rFonts w:ascii="Times New Roman Bold" w:hAnsi="Times New Roman Bold" w:hint="eastAsia"/>
          <w:caps/>
          <w:noProof/>
          <w:sz w:val="22"/>
          <w:szCs w:val="18"/>
        </w:rPr>
      </w:pPr>
      <w:r w:rsidRPr="005E3B00">
        <w:rPr>
          <w:rFonts w:ascii="Times New Roman Bold" w:hAnsi="Times New Roman Bold"/>
          <w:caps/>
          <w:noProof/>
        </w:rPr>
        <w:t xml:space="preserve">Planning Zone </w:t>
      </w:r>
      <w:r w:rsidR="00487C0E" w:rsidRPr="005E3B00">
        <w:rPr>
          <w:rFonts w:ascii="Times New Roman Bold" w:hAnsi="Times New Roman Bold"/>
          <w:caps/>
          <w:noProof/>
        </w:rPr>
        <w:t>in Indonesia</w:t>
      </w:r>
      <w:r w:rsidRPr="005E3B00">
        <w:rPr>
          <w:rFonts w:ascii="Times New Roman Bold" w:hAnsi="Times New Roman Bold"/>
          <w:caps/>
          <w:noProof/>
        </w:rPr>
        <w:t xml:space="preserve"> </w:t>
      </w:r>
    </w:p>
    <w:p w14:paraId="0AC01787" w14:textId="77777777" w:rsidR="005E3B00" w:rsidRDefault="00114B83" w:rsidP="005E3B00">
      <w:pPr>
        <w:pStyle w:val="Subtitle"/>
        <w:spacing w:before="0" w:beforeAutospacing="0" w:after="0" w:afterAutospacing="0"/>
        <w:rPr>
          <w:noProof/>
          <w:lang w:val="id-ID"/>
        </w:rPr>
      </w:pPr>
      <w:r w:rsidRPr="00781FDC">
        <w:rPr>
          <w:noProof/>
          <w:lang w:val="id-ID"/>
        </w:rPr>
        <w:t>Muhammad Rifqi Harahap</w:t>
      </w:r>
    </w:p>
    <w:p w14:paraId="46EFE5B1" w14:textId="61C7CD92" w:rsidR="005E3B00" w:rsidRDefault="005E3B00" w:rsidP="005E3B00">
      <w:pPr>
        <w:pStyle w:val="Subtitle"/>
        <w:spacing w:before="0" w:beforeAutospacing="0" w:after="0" w:afterAutospacing="0"/>
        <w:rPr>
          <w:lang w:val="id-ID"/>
        </w:rPr>
      </w:pPr>
      <w:r>
        <w:rPr>
          <w:lang w:val="id-ID"/>
        </w:rPr>
        <w:t>Indonesia Nuclear Energy Regulatory Agency (BAPETEN)</w:t>
      </w:r>
    </w:p>
    <w:p w14:paraId="056B5D66" w14:textId="6DB76DA2" w:rsidR="005E3B00" w:rsidRDefault="005E3B00" w:rsidP="005E3B00">
      <w:pPr>
        <w:pStyle w:val="Subtitle"/>
        <w:spacing w:before="0" w:beforeAutospacing="0" w:after="0" w:afterAutospacing="0"/>
        <w:rPr>
          <w:lang w:val="id-ID"/>
        </w:rPr>
      </w:pPr>
      <w:r>
        <w:rPr>
          <w:lang w:val="id-ID"/>
        </w:rPr>
        <w:t>Jakarta, Indonesia</w:t>
      </w:r>
    </w:p>
    <w:p w14:paraId="6142C60B" w14:textId="2F7D9732" w:rsidR="005E3B00" w:rsidRPr="005E3B00" w:rsidRDefault="00000000" w:rsidP="005E3B00">
      <w:pPr>
        <w:pStyle w:val="Subtitle"/>
        <w:spacing w:before="0" w:beforeAutospacing="0" w:after="0" w:afterAutospacing="0"/>
        <w:rPr>
          <w:lang w:val="id-ID"/>
        </w:rPr>
      </w:pPr>
      <w:hyperlink r:id="rId8" w:history="1">
        <w:r w:rsidR="005E3B00" w:rsidRPr="00781FDC">
          <w:rPr>
            <w:rStyle w:val="Hyperlink"/>
            <w:rFonts w:cs="Times New Roman"/>
            <w:i/>
            <w:noProof/>
            <w:color w:val="auto"/>
            <w:szCs w:val="20"/>
            <w:u w:val="none"/>
            <w:lang w:val="id-ID"/>
          </w:rPr>
          <w:t>m.harahap@bapeten.go.id</w:t>
        </w:r>
      </w:hyperlink>
    </w:p>
    <w:p w14:paraId="5AF9EB02" w14:textId="48DD0321" w:rsidR="005E3B00" w:rsidRDefault="00040EED" w:rsidP="005E3B00">
      <w:pPr>
        <w:pStyle w:val="Subtitle"/>
        <w:spacing w:after="0" w:afterAutospacing="0"/>
        <w:rPr>
          <w:noProof/>
        </w:rPr>
      </w:pPr>
      <w:r>
        <w:rPr>
          <w:noProof/>
        </w:rPr>
        <w:t>Rahmat Edhi Harianto</w:t>
      </w:r>
      <w:r w:rsidR="0027637F">
        <w:rPr>
          <w:noProof/>
        </w:rPr>
        <w:t xml:space="preserve">, </w:t>
      </w:r>
    </w:p>
    <w:p w14:paraId="798FDA12" w14:textId="77777777" w:rsidR="005E3B00" w:rsidRPr="005E3B00" w:rsidRDefault="005E3B00" w:rsidP="005E3B00">
      <w:pPr>
        <w:pStyle w:val="Subtitle"/>
        <w:spacing w:before="0" w:beforeAutospacing="0" w:after="0" w:afterAutospacing="0"/>
        <w:rPr>
          <w:lang w:val="id-ID"/>
        </w:rPr>
      </w:pPr>
      <w:r w:rsidRPr="005E3B00">
        <w:rPr>
          <w:lang w:val="id-ID"/>
        </w:rPr>
        <w:t>Indonesia Nuclear Energy Regulatory Agency (BAPETEN)</w:t>
      </w:r>
    </w:p>
    <w:p w14:paraId="6A39D540" w14:textId="1EADEBC9" w:rsidR="005E3B00" w:rsidRDefault="005E3B00" w:rsidP="005E3B00">
      <w:pPr>
        <w:pStyle w:val="Subtitle"/>
        <w:spacing w:before="0" w:beforeAutospacing="0" w:after="0" w:afterAutospacing="0"/>
        <w:rPr>
          <w:lang w:val="id-ID"/>
        </w:rPr>
      </w:pPr>
      <w:r w:rsidRPr="005E3B00">
        <w:rPr>
          <w:lang w:val="id-ID"/>
        </w:rPr>
        <w:t>Jakarta, Indonesia</w:t>
      </w:r>
    </w:p>
    <w:p w14:paraId="7096B2C9" w14:textId="530F5AD7" w:rsidR="00FF6CCD" w:rsidRDefault="00040EED" w:rsidP="005E3B00">
      <w:pPr>
        <w:pStyle w:val="Subtitle"/>
        <w:spacing w:after="0" w:afterAutospacing="0"/>
        <w:rPr>
          <w:noProof/>
        </w:rPr>
      </w:pPr>
      <w:r>
        <w:rPr>
          <w:noProof/>
        </w:rPr>
        <w:t>Bintoro Aji</w:t>
      </w:r>
    </w:p>
    <w:p w14:paraId="09785DF1" w14:textId="77777777" w:rsidR="005E3B00" w:rsidRPr="005E3B00" w:rsidRDefault="005E3B00" w:rsidP="005E3B00">
      <w:pPr>
        <w:pStyle w:val="Subtitle"/>
        <w:spacing w:before="0" w:beforeAutospacing="0" w:after="0" w:afterAutospacing="0"/>
        <w:rPr>
          <w:lang w:val="id-ID"/>
        </w:rPr>
      </w:pPr>
      <w:r w:rsidRPr="005E3B00">
        <w:rPr>
          <w:lang w:val="id-ID"/>
        </w:rPr>
        <w:t>Indonesia Nuclear Energy Regulatory Agency (BAPETEN)</w:t>
      </w:r>
    </w:p>
    <w:p w14:paraId="01D2A4E2" w14:textId="69B8A69D" w:rsidR="005E3B00" w:rsidRPr="005E3B00" w:rsidRDefault="005E3B00" w:rsidP="005E3B00">
      <w:pPr>
        <w:pStyle w:val="Subtitle"/>
        <w:spacing w:before="0" w:beforeAutospacing="0" w:after="0" w:afterAutospacing="0"/>
      </w:pPr>
      <w:r w:rsidRPr="005E3B00">
        <w:rPr>
          <w:lang w:val="id-ID"/>
        </w:rPr>
        <w:t>Jakarta, Indonesia</w:t>
      </w:r>
    </w:p>
    <w:p w14:paraId="46FC6436" w14:textId="77777777" w:rsidR="005E3B00" w:rsidRPr="005E3B00" w:rsidRDefault="005E3B00" w:rsidP="005E3B00">
      <w:pPr>
        <w:pStyle w:val="Subtitle"/>
        <w:spacing w:before="0" w:beforeAutospacing="0" w:after="0" w:afterAutospacing="0"/>
      </w:pPr>
    </w:p>
    <w:p w14:paraId="3D403C18" w14:textId="77777777" w:rsidR="005E3B00" w:rsidRPr="005E3B00" w:rsidRDefault="00DA6C82" w:rsidP="00BC14A4">
      <w:pPr>
        <w:pStyle w:val="abstract"/>
        <w:ind w:left="567" w:right="0" w:firstLine="0"/>
        <w:rPr>
          <w:i/>
          <w:noProof/>
          <w:sz w:val="20"/>
          <w:szCs w:val="20"/>
        </w:rPr>
      </w:pPr>
      <w:r w:rsidRPr="005E3B00">
        <w:rPr>
          <w:b/>
          <w:i/>
          <w:noProof/>
          <w:sz w:val="20"/>
          <w:szCs w:val="20"/>
          <w:lang w:val="id-ID"/>
        </w:rPr>
        <w:t>Abstra</w:t>
      </w:r>
      <w:r w:rsidRPr="005E3B00">
        <w:rPr>
          <w:b/>
          <w:i/>
          <w:noProof/>
          <w:sz w:val="20"/>
          <w:szCs w:val="20"/>
        </w:rPr>
        <w:t>ct</w:t>
      </w:r>
      <w:r w:rsidRPr="005E3B00">
        <w:rPr>
          <w:b/>
          <w:i/>
          <w:noProof/>
          <w:sz w:val="20"/>
          <w:szCs w:val="20"/>
          <w:lang w:val="id-ID"/>
        </w:rPr>
        <w:t>.</w:t>
      </w:r>
      <w:r w:rsidR="0096088F" w:rsidRPr="005E3B00">
        <w:rPr>
          <w:i/>
          <w:noProof/>
          <w:sz w:val="20"/>
          <w:szCs w:val="20"/>
        </w:rPr>
        <w:t xml:space="preserve"> </w:t>
      </w:r>
    </w:p>
    <w:p w14:paraId="6C1783F2" w14:textId="3A75335D" w:rsidR="00DA6C82" w:rsidRPr="005E3B00" w:rsidRDefault="005F5B99" w:rsidP="00BC14A4">
      <w:pPr>
        <w:pStyle w:val="abstract"/>
        <w:tabs>
          <w:tab w:val="left" w:pos="8647"/>
        </w:tabs>
        <w:ind w:left="0" w:right="0"/>
        <w:rPr>
          <w:bCs/>
          <w:i/>
          <w:noProof/>
          <w:sz w:val="20"/>
          <w:szCs w:val="20"/>
          <w:lang w:val="id-ID"/>
        </w:rPr>
      </w:pPr>
      <w:r w:rsidRPr="001236A3">
        <w:rPr>
          <w:i/>
          <w:noProof/>
          <w:szCs w:val="18"/>
        </w:rPr>
        <w:t>In recent developments, nuclear reactor design has adopted a multi-module design for small modular reactors (SMRs), which consist of several uniform reactor modules placed adjacent to each other inside a reactor building. Determining the Emergency Planning Zone (EPZ) for multi-module SMRs poses some challenges, as there is a risk of all reactor modules failing simultaneously. Several considerations should be applied, such as shared systems, propagation risk between modules, simultaneous hazards on several modules, and collocation within the same sites. These considerations imply that the independence between modules in multi-module design affects EPZ determination. This study aims to formulate adequate acceptance criteria for evaluating multi-module SMR EPZ by defining module independence. The study then attempts to review and compare the acceptance criteria regarding independence stated in existing safety provisions in Indonesia with IAEA standards, and also utilizes regulatory practices implemented by regulatory bodies in other countries. From the review, it was discovered that independence could be defined when there is no interconnection between individual modules in the form of shared safety significant SSC, shared power generation systems, and located within a considerable seismic separation. Furthermore, in evaluating multi-module SMR EPZ, independence between any individual modules can be adopted as the acceptance criteria for EPZ determination</w:t>
      </w:r>
      <w:r w:rsidR="00FD3D5F" w:rsidRPr="001236A3">
        <w:rPr>
          <w:i/>
          <w:noProof/>
          <w:szCs w:val="18"/>
        </w:rPr>
        <w:t>.</w:t>
      </w:r>
    </w:p>
    <w:p w14:paraId="63E15947" w14:textId="209484E9" w:rsidR="003E3821" w:rsidRPr="00483C39" w:rsidRDefault="00483C39" w:rsidP="00B85495">
      <w:pPr>
        <w:pStyle w:val="Heading1"/>
        <w:rPr>
          <w:noProof/>
        </w:rPr>
      </w:pPr>
      <w:r>
        <w:rPr>
          <w:noProof/>
        </w:rPr>
        <w:t>BACKGROUND AND OBJECTIVES</w:t>
      </w:r>
    </w:p>
    <w:p w14:paraId="3D65A1F2" w14:textId="77777777" w:rsidR="005F5B99" w:rsidRDefault="005F5B99" w:rsidP="005F5B99">
      <w:pPr>
        <w:widowControl/>
        <w:wordWrap/>
      </w:pPr>
      <w:r>
        <w:t xml:space="preserve">Indonesia has attracted many SMR vendors and designers. Vendors such as </w:t>
      </w:r>
      <w:proofErr w:type="spellStart"/>
      <w:r>
        <w:t>Thorcon</w:t>
      </w:r>
      <w:proofErr w:type="spellEnd"/>
      <w:r>
        <w:t xml:space="preserve"> Power, Seaborg Technologies, </w:t>
      </w:r>
      <w:proofErr w:type="spellStart"/>
      <w:r>
        <w:t>NuScale</w:t>
      </w:r>
      <w:proofErr w:type="spellEnd"/>
      <w:r>
        <w:t xml:space="preserve"> Power, and Copenhagen Atomics have already requested an audience with the Indonesian Nuclear Energy Regulatory Agency (BAPETEN) regarding the design safety, security, and safeguards. Although these vendors have different kinds of SMR technology, the designs share some similarities in using multiple reactor modules.</w:t>
      </w:r>
    </w:p>
    <w:p w14:paraId="1F73CCC2" w14:textId="77777777" w:rsidR="005F5B99" w:rsidRDefault="005F5B99" w:rsidP="005F5B99">
      <w:pPr>
        <w:widowControl/>
        <w:wordWrap/>
      </w:pPr>
      <w:r>
        <w:t>SMRs with a multiple-module design, or multi-module SMRs, are defined differently from multi-unit NPPs according to the SMR Regulators’ Forum Design and Safety Analysis Working Group Report on Multi-unit and Multi-Module Aspects Specific to SMRs. In this report, a multi-module is defined as a unit of reactor that includes more than one nuclear reactor and allows several modules to be in close proximity to the same infrastructure. These modules could be deployed with shared structures, systems, and components (SSCs) and operate independently from each other. These modules could also be identical to each other.</w:t>
      </w:r>
    </w:p>
    <w:p w14:paraId="53AF59BD" w14:textId="77777777" w:rsidR="005F5B99" w:rsidRPr="005F5B99" w:rsidRDefault="005F5B99" w:rsidP="005F5B99">
      <w:pPr>
        <w:widowControl/>
        <w:wordWrap/>
        <w:rPr>
          <w:rFonts w:cs="Times New Roman"/>
          <w:noProof/>
          <w:szCs w:val="24"/>
        </w:rPr>
      </w:pPr>
      <w:r>
        <w:t>The SMR Regulators’ Forum report also specifies several safety aspects relevant to multi-module SMRs. These aspects consist of defense in depth, internal and external hazards, selecting initiating events, shared SSCs, risk assessment, human factors, and emergency preparedness</w:t>
      </w:r>
      <w:r w:rsidR="00786646">
        <w:rPr>
          <w:rFonts w:cs="Times New Roman"/>
          <w:noProof/>
          <w:szCs w:val="24"/>
        </w:rPr>
        <w:t xml:space="preserve"> </w:t>
      </w:r>
      <w:r w:rsidR="00786646">
        <w:rPr>
          <w:rFonts w:cs="Times New Roman"/>
          <w:noProof/>
          <w:szCs w:val="24"/>
        </w:rPr>
        <w:fldChar w:fldCharType="begin" w:fldLock="1"/>
      </w:r>
      <w:r w:rsidR="00643E8D">
        <w:rPr>
          <w:rFonts w:cs="Times New Roman"/>
          <w:noProof/>
          <w:szCs w:val="24"/>
        </w:rPr>
        <w:instrText xml:space="preserve">ADDIN CSL_CITATION {"citationItems":[{"id":"ITEM-1","itemData":{"abstract":"The IAEA SMR Regulators’ Forum was formed in 2014 to identify, improve understanding of and address key regulatory challenges that may emerge in future SMR regulatory discussions. This will help enhance safety, improve efficiency in SMR regulation, including licensing, and enable regulators to make informed changes, if necessary, to their requirements and regulatory practices. The Forum entered its second phase in 2017, following up on the work carried out in the previous years. The three topics covered in the second phase are: </w:instrText>
      </w:r>
      <w:r w:rsidR="00643E8D">
        <w:rPr>
          <w:rFonts w:cs="Times New Roman"/>
          <w:noProof/>
          <w:szCs w:val="24"/>
        </w:rPr>
        <w:instrText xml:space="preserve"> licensing issues </w:instrText>
      </w:r>
      <w:r w:rsidR="00643E8D">
        <w:rPr>
          <w:rFonts w:cs="Times New Roman"/>
          <w:noProof/>
          <w:szCs w:val="24"/>
        </w:rPr>
        <w:instrText xml:space="preserve"> design and safety analysis </w:instrText>
      </w:r>
      <w:r w:rsidR="00643E8D">
        <w:rPr>
          <w:rFonts w:cs="Times New Roman"/>
          <w:noProof/>
          <w:szCs w:val="24"/>
        </w:rPr>
        <w:instrText> manufacturing, commissioning and operations This report concerns design and safety analysis issues specific to multi-unit/multi-module SMR facilities. A relatively large number of SMR designs envision deployment of their reactors on multiple units/multiple modules configurations in order to better respond to the evolving energy demands and enhance operational flexibility. The current operational experience with multi-unit nuclear power plants indicates that they may require specific considerations for nuclear safety, emphasized by the lessons learned from the multi-unit Fukushima Daiichi nuclear accident. In this context the design and safety analysis working group considers that the specific safety considerations for safety of multi unit/multi module SMRs are important and relevant for the scope of the SMR Regulators’ Forum. It is also consistent with the approach outlined in the pilot project report of SMR Regulator’s Forum which \\identified the concept of “multi-module” specific to SMRs. The design and safety analysis working group note that multi unit/module SMRs may use shared systems to a greater extent that multi-unit NPPs because of their compact configuration and close proximity, and this may impact among others, the selection of initiating events, internal and external hazards, the approach to shared systems, defence in depth, human factors engineering and risk assessment. This report was developed based on information, insights, and experience gained from the regulatory activities of the SMR Regulators’ Forum members. It is considered to be generally consistent with existing IAEA documents but may deviate in some cases. This report is intended to provide useful information to regulators and industry in the development, deployment and oversight of SMRs.","author":[{"dropping-particle":"","family":"Small Modular Reactors Regulators’ Forum","given":"","non-dropping-particle":"","parse-names":false,"suffix":""}],"id":"ITEM-1","issue":"December","issued":{"date-parts":[["2019"]]},"publisher-place":"Viena","title":"Small Modular Reactors Regulators’ Forum: Design and Safety Analysis Working Group Report on Multi-unit/Multi-module aspects specific to SMRs INTERIM REPORT","type":"report"},"uris":["http://www.mendeley.com/documents/?uuid=d85d1d0a-c107-41a1-ba24-54b73bddb96a"]}],"mendeley":{"formattedCitation":"[1]","plainTextFormattedCitation":"[1]","previouslyFormattedCitation":"[1]"},"properties":{"noteIndex":0},"schema":"https://github.com/citation-style-language/schema/raw/master/csl-citation.json"}</w:instrText>
      </w:r>
      <w:r w:rsidR="00786646">
        <w:rPr>
          <w:rFonts w:cs="Times New Roman"/>
          <w:noProof/>
          <w:szCs w:val="24"/>
        </w:rPr>
        <w:fldChar w:fldCharType="separate"/>
      </w:r>
      <w:r w:rsidR="00FD3D5F" w:rsidRPr="00FD3D5F">
        <w:rPr>
          <w:rFonts w:cs="Times New Roman"/>
          <w:noProof/>
          <w:szCs w:val="24"/>
        </w:rPr>
        <w:t>[1]</w:t>
      </w:r>
      <w:r w:rsidR="00786646">
        <w:rPr>
          <w:rFonts w:cs="Times New Roman"/>
          <w:noProof/>
          <w:szCs w:val="24"/>
        </w:rPr>
        <w:fldChar w:fldCharType="end"/>
      </w:r>
      <w:r w:rsidR="00595203">
        <w:rPr>
          <w:rFonts w:cs="Times New Roman"/>
          <w:noProof/>
          <w:szCs w:val="24"/>
        </w:rPr>
        <w:t xml:space="preserve">. </w:t>
      </w:r>
      <w:r w:rsidRPr="005F5B99">
        <w:rPr>
          <w:rFonts w:cs="Times New Roman"/>
          <w:noProof/>
          <w:szCs w:val="24"/>
        </w:rPr>
        <w:t>From these aspects, emergency preparedness and response are then studied and reviewed by BAPETEN. Multi-module SMRs in this case could affect the Emergency Planning Zone (EPZ) by the number of reactor modules designed to be built on the site. Even though multi-module SMR design proposes more safety features with a smaller EPZ size, the determination of EPZ size should be reviewed so that the agreed-upon EPZ is more assuring for both the regulatory body and the designer.</w:t>
      </w:r>
    </w:p>
    <w:p w14:paraId="264062F6" w14:textId="77777777" w:rsidR="005F5B99" w:rsidRPr="005F5B99" w:rsidRDefault="005F5B99" w:rsidP="005F5B99">
      <w:pPr>
        <w:widowControl/>
        <w:wordWrap/>
        <w:rPr>
          <w:rFonts w:cs="Times New Roman"/>
          <w:bCs/>
          <w:noProof/>
          <w:szCs w:val="24"/>
        </w:rPr>
      </w:pPr>
      <w:r w:rsidRPr="005F5B99">
        <w:rPr>
          <w:rFonts w:cs="Times New Roman"/>
          <w:noProof/>
          <w:szCs w:val="24"/>
        </w:rPr>
        <w:lastRenderedPageBreak/>
        <w:t>Multi-module SMR design consists of several small reactor modules located in close proximity within the same infrastructure. Determining the EPZ for multi-module SMRs poses some challenges where multi-module SMRs have a risk in which all reactor modules fail simultaneously. In this case, the design should present a sensible safety analysis for its accident scenario and postulated radioactive release. For determining the EPZ, several considerations should be applied, such as shared systems, propagation risk between modules, simultaneous hazards on several modules, and collocation within the same sites</w:t>
      </w:r>
      <w:r w:rsidR="00786646">
        <w:rPr>
          <w:rFonts w:cs="Times New Roman"/>
          <w:bCs/>
          <w:noProof/>
          <w:szCs w:val="24"/>
        </w:rPr>
        <w:t xml:space="preserve"> </w:t>
      </w:r>
      <w:r w:rsidR="00786646">
        <w:rPr>
          <w:rFonts w:cs="Times New Roman"/>
          <w:bCs/>
          <w:noProof/>
          <w:szCs w:val="24"/>
        </w:rPr>
        <w:fldChar w:fldCharType="begin" w:fldLock="1"/>
      </w:r>
      <w:r w:rsidR="00643E8D">
        <w:rPr>
          <w:rFonts w:cs="Times New Roman"/>
          <w:bCs/>
          <w:noProof/>
          <w:szCs w:val="24"/>
        </w:rPr>
        <w:instrText>ADDIN CSL_CITATION {"citationItems":[{"id":"ITEM-1","itemData":{"author":[{"dropping-particle":"","family":"Ilvonen","given":"Mikko","non-dropping-particle":"","parse-names":false,"suffix":""}],"id":"ITEM-1","issued":{"date-parts":[["2022"]]},"publisher-place":"Espoo","title":"Review of SMR Siting and Emergency Preparedness","type":"report"},"uris":["http://www.mendeley.com/documents/?uuid=4901b9c3-7cca-44ea-aed4-dc7578c698ab"]}],"mendeley":{"formattedCitation":"[2]","plainTextFormattedCitation":"[2]","previouslyFormattedCitation":"[2]"},"properties":{"noteIndex":0},"schema":"https://github.com/citation-style-language/schema/raw/master/csl-citation.json"}</w:instrText>
      </w:r>
      <w:r w:rsidR="00786646">
        <w:rPr>
          <w:rFonts w:cs="Times New Roman"/>
          <w:bCs/>
          <w:noProof/>
          <w:szCs w:val="24"/>
        </w:rPr>
        <w:fldChar w:fldCharType="separate"/>
      </w:r>
      <w:r w:rsidR="00FD3D5F" w:rsidRPr="00FD3D5F">
        <w:rPr>
          <w:rFonts w:cs="Times New Roman"/>
          <w:bCs/>
          <w:noProof/>
          <w:szCs w:val="24"/>
        </w:rPr>
        <w:t>[2]</w:t>
      </w:r>
      <w:r w:rsidR="00786646">
        <w:rPr>
          <w:rFonts w:cs="Times New Roman"/>
          <w:bCs/>
          <w:noProof/>
          <w:szCs w:val="24"/>
        </w:rPr>
        <w:fldChar w:fldCharType="end"/>
      </w:r>
      <w:r w:rsidR="00E721C9">
        <w:rPr>
          <w:rFonts w:cs="Times New Roman"/>
          <w:bCs/>
          <w:noProof/>
          <w:szCs w:val="24"/>
        </w:rPr>
        <w:t xml:space="preserve">. </w:t>
      </w:r>
      <w:r w:rsidRPr="005F5B99">
        <w:rPr>
          <w:rFonts w:cs="Times New Roman"/>
          <w:bCs/>
          <w:noProof/>
          <w:szCs w:val="24"/>
        </w:rPr>
        <w:t>These considerations imply that independence between modules in multi-module design affects EPZ determination. Hence, independence should be defined for multi-module SMRs in regulating their EPZ determination.</w:t>
      </w:r>
    </w:p>
    <w:p w14:paraId="53C7EB43" w14:textId="092A32FA" w:rsidR="00F10C07" w:rsidRDefault="005F5B99" w:rsidP="005F5B99">
      <w:pPr>
        <w:widowControl/>
        <w:wordWrap/>
        <w:rPr>
          <w:rFonts w:cs="Times New Roman"/>
          <w:noProof/>
          <w:szCs w:val="24"/>
        </w:rPr>
      </w:pPr>
      <w:r w:rsidRPr="005F5B99">
        <w:rPr>
          <w:rFonts w:cs="Times New Roman"/>
          <w:bCs/>
          <w:noProof/>
          <w:szCs w:val="24"/>
        </w:rPr>
        <w:t>This study aims to formulate adequate acceptance criteria for evaluating multi-module SMR EPZ by defining module independence. This study then tries to review and compare the acceptance criteria regarding independence stated in existing safety provisions in Indonesia with IAEA standards and also utilizes regulatory practices implemented by regulatory bodies in other countries. The review and comparison conducted in this paper consist of determining the proper limitation on multi-module SMR independence and determining adequate EPZ acceptance criteria for independent multi-module SMRs and non-independent multi-module SMRs.</w:t>
      </w:r>
      <w:r w:rsidR="00183712">
        <w:rPr>
          <w:rFonts w:cs="Times New Roman"/>
          <w:noProof/>
          <w:szCs w:val="24"/>
        </w:rPr>
        <w:t xml:space="preserve"> </w:t>
      </w:r>
    </w:p>
    <w:p w14:paraId="32895E27" w14:textId="2C149CE1" w:rsidR="003924B5" w:rsidRDefault="002929E3" w:rsidP="00101323">
      <w:pPr>
        <w:pStyle w:val="Heading1"/>
        <w:rPr>
          <w:noProof/>
        </w:rPr>
      </w:pPr>
      <w:r>
        <w:rPr>
          <w:noProof/>
        </w:rPr>
        <w:t xml:space="preserve">METHODOLOGY </w:t>
      </w:r>
    </w:p>
    <w:p w14:paraId="4C6F70CA" w14:textId="230CED08" w:rsidR="00CF2DB1" w:rsidRPr="00CF2DB1" w:rsidRDefault="005F5B99" w:rsidP="00CF2DB1">
      <w:pPr>
        <w:widowControl/>
        <w:wordWrap/>
        <w:rPr>
          <w:rFonts w:cs="Times New Roman"/>
          <w:bCs/>
          <w:noProof/>
          <w:szCs w:val="24"/>
        </w:rPr>
      </w:pPr>
      <w:r w:rsidRPr="005F5B99">
        <w:rPr>
          <w:rFonts w:cs="Times New Roman"/>
          <w:bCs/>
          <w:noProof/>
          <w:szCs w:val="24"/>
        </w:rPr>
        <w:t>This study was carried out using descriptive-qualitative and comparative-analytic methods. The descriptive-qualitative method is used in conducting discussions and studies carried out on main references. The comparative-analytic method is used in evaluating the gaps in Indonesian Regulation in Determining EPZ for Nuclear Power Reactors based on Indonesian Regulation Analysis and Evaluation Guidelines using the Effectivity Assessment on Implementing Regulations, specifically relevance aspects. The relevance aspect analyzed in this study pertains to the relevance of Indonesian Regulation towards multi-module SMR technological advancement. The evaluation results are then analyzed further to formulate solutions and recommendations for enrichment or preparation of applicable laws and national standards</w:t>
      </w:r>
      <w:r w:rsidR="00786646">
        <w:rPr>
          <w:rFonts w:cs="Times New Roman"/>
          <w:bCs/>
          <w:noProof/>
          <w:szCs w:val="24"/>
        </w:rPr>
        <w:t xml:space="preserve"> </w:t>
      </w:r>
      <w:r w:rsidR="002F0834">
        <w:rPr>
          <w:rFonts w:cs="Times New Roman"/>
          <w:bCs/>
          <w:noProof/>
          <w:szCs w:val="24"/>
        </w:rPr>
        <w:fldChar w:fldCharType="begin" w:fldLock="1"/>
      </w:r>
      <w:r w:rsidR="00643E8D">
        <w:rPr>
          <w:rFonts w:cs="Times New Roman"/>
          <w:bCs/>
          <w:noProof/>
          <w:szCs w:val="24"/>
        </w:rPr>
        <w:instrText>ADDIN CSL_CITATION {"citationItems":[{"id":"ITEM-1","itemData":{"author":[{"dropping-particle":"","family":"Indonesia National Legal Development Agency","given":"","non-dropping-particle":"","parse-names":false,"suffix":""}],"id":"ITEM-1","issue":"10","issued":{"date-parts":[["2019"]]},"publisher":"National Legal Development Agency","publisher-place":"Jakarta","title":"Law Analysis and Evalutaion Guideline No. PHN-01.HN.01.03 of 2019","type":"article"},"uris":["http://www.mendeley.com/documents/?uuid=3e102f6c-4e1e-41f4-90c4-62fa0b50f580"]}],"mendeley":{"formattedCitation":"[3]","plainTextFormattedCitation":"[3]","previouslyFormattedCitation":"[3]"},"properties":{"noteIndex":0},"schema":"https://github.com/citation-style-language/schema/raw/master/csl-citation.json"}</w:instrText>
      </w:r>
      <w:r w:rsidR="002F0834">
        <w:rPr>
          <w:rFonts w:cs="Times New Roman"/>
          <w:bCs/>
          <w:noProof/>
          <w:szCs w:val="24"/>
        </w:rPr>
        <w:fldChar w:fldCharType="separate"/>
      </w:r>
      <w:r w:rsidR="00FD3D5F" w:rsidRPr="00FD3D5F">
        <w:rPr>
          <w:rFonts w:cs="Times New Roman"/>
          <w:bCs/>
          <w:noProof/>
          <w:szCs w:val="24"/>
        </w:rPr>
        <w:t>[3]</w:t>
      </w:r>
      <w:r w:rsidR="002F0834">
        <w:rPr>
          <w:rFonts w:cs="Times New Roman"/>
          <w:bCs/>
          <w:noProof/>
          <w:szCs w:val="24"/>
        </w:rPr>
        <w:fldChar w:fldCharType="end"/>
      </w:r>
      <w:r w:rsidR="00CF2DB1" w:rsidRPr="00CF2DB1">
        <w:rPr>
          <w:rFonts w:cs="Times New Roman"/>
          <w:bCs/>
          <w:noProof/>
          <w:szCs w:val="24"/>
        </w:rPr>
        <w:t>.</w:t>
      </w:r>
    </w:p>
    <w:p w14:paraId="2D181E55" w14:textId="77777777" w:rsidR="005F5B99" w:rsidRPr="005F5B99" w:rsidRDefault="005F5B99" w:rsidP="005F5B99">
      <w:pPr>
        <w:widowControl/>
        <w:wordWrap/>
        <w:rPr>
          <w:rFonts w:cs="Times New Roman"/>
          <w:bCs/>
          <w:noProof/>
          <w:szCs w:val="24"/>
        </w:rPr>
      </w:pPr>
      <w:r w:rsidRPr="005F5B99">
        <w:rPr>
          <w:rFonts w:cs="Times New Roman"/>
          <w:bCs/>
          <w:noProof/>
          <w:szCs w:val="24"/>
        </w:rPr>
        <w:t>Literature review was carried out for the main references, which consist of Indonesian nuclear regulation, IAEA safety standards, and foreign nuclear regulation and regulatory guides. This paper referred to the United States Nuclear Regulatory Commission (US-NRC) and the Canadian Nuclear Safety Commission (CNSC) regulations in order to benchmark the existing regulation in Indonesia with regulatory bodies that already have some experience in handling multi-module SMR design certification with different approaches.</w:t>
      </w:r>
    </w:p>
    <w:p w14:paraId="33446C0D" w14:textId="57D05063" w:rsidR="009970D5" w:rsidRDefault="005F5B99" w:rsidP="005F5B99">
      <w:pPr>
        <w:widowControl/>
        <w:wordWrap/>
        <w:rPr>
          <w:rFonts w:cs="Times New Roman"/>
          <w:bCs/>
          <w:noProof/>
          <w:szCs w:val="24"/>
        </w:rPr>
      </w:pPr>
      <w:r w:rsidRPr="005F5B99">
        <w:rPr>
          <w:rFonts w:cs="Times New Roman"/>
          <w:bCs/>
          <w:noProof/>
          <w:szCs w:val="24"/>
        </w:rPr>
        <w:t>This review was then used to describe and summarize the main concerns and important points in defining independence in determining the EPZ for multi-module SMRs. The main concern, which will be described and summarized, focuses on how independence of the modules in multi-module design affects the source term determination and EPZ acceptance criteria for determining adequate EPZ. These two concerns were selected because technological advancements applied in SMRs claim the possibility of decreasing EPZ by reducing the source term and using an advanced probabilistic approach in determining EPZ.</w:t>
      </w:r>
      <w:r w:rsidR="009970D5" w:rsidRPr="00CF2DB1">
        <w:rPr>
          <w:rFonts w:cs="Times New Roman"/>
          <w:bCs/>
          <w:noProof/>
          <w:szCs w:val="24"/>
        </w:rPr>
        <w:t xml:space="preserve"> </w:t>
      </w:r>
    </w:p>
    <w:p w14:paraId="19254883" w14:textId="1D0FD5B2" w:rsidR="009970D5" w:rsidRDefault="009970D5" w:rsidP="009970D5">
      <w:pPr>
        <w:pStyle w:val="Heading1"/>
        <w:rPr>
          <w:noProof/>
        </w:rPr>
      </w:pPr>
      <w:r>
        <w:rPr>
          <w:noProof/>
        </w:rPr>
        <w:t>LITERATURE REVIEW</w:t>
      </w:r>
    </w:p>
    <w:p w14:paraId="041E77B8" w14:textId="77777777" w:rsidR="00797DD1" w:rsidRDefault="00797DD1" w:rsidP="00241468">
      <w:pPr>
        <w:pStyle w:val="Heading2"/>
        <w:rPr>
          <w:noProof/>
        </w:rPr>
      </w:pPr>
      <w:r>
        <w:rPr>
          <w:noProof/>
        </w:rPr>
        <w:t>General Concept of Emergency Planning Zone Determination</w:t>
      </w:r>
    </w:p>
    <w:p w14:paraId="1FE372EF" w14:textId="735E109C" w:rsidR="00797DD1" w:rsidRDefault="005D1EB1" w:rsidP="00797DD1">
      <w:pPr>
        <w:widowControl/>
        <w:wordWrap/>
        <w:rPr>
          <w:rFonts w:cs="Times New Roman"/>
          <w:bCs/>
          <w:noProof/>
          <w:szCs w:val="24"/>
        </w:rPr>
      </w:pPr>
      <w:r w:rsidRPr="005D1EB1">
        <w:rPr>
          <w:rFonts w:cs="Times New Roman"/>
          <w:bCs/>
          <w:noProof/>
          <w:szCs w:val="24"/>
        </w:rPr>
        <w:t xml:space="preserve">Appendix I in the IAEA EPR-NPP Public Protective Actions 2013, titled 'Actions to Protect the Public in an Emergency due to Severe Conditions at a Light Water Reactor,' presents the methodology suggested for determining the EPZ. This methodology is based on the conservative severe accident scenario used in large LWRs and utilizes a deterministic approach in calculating and analyzing the EPZ. The result of this methodology is the suggested emergency zone planning zone. </w:t>
      </w:r>
      <w:r w:rsidR="001236A3">
        <w:rPr>
          <w:rFonts w:cs="Times New Roman"/>
          <w:bCs/>
          <w:noProof/>
          <w:szCs w:val="24"/>
        </w:rPr>
        <w:t xml:space="preserve">Fig. 1 </w:t>
      </w:r>
      <w:r w:rsidR="00507059">
        <w:rPr>
          <w:rFonts w:cs="Times New Roman"/>
          <w:bCs/>
          <w:noProof/>
          <w:szCs w:val="24"/>
        </w:rPr>
        <w:t xml:space="preserve"> </w:t>
      </w:r>
      <w:r w:rsidRPr="005D1EB1">
        <w:rPr>
          <w:rFonts w:cs="Times New Roman"/>
          <w:bCs/>
          <w:noProof/>
          <w:szCs w:val="24"/>
        </w:rPr>
        <w:t>reflects the methodology outlined in this document.</w:t>
      </w:r>
      <w:r w:rsidR="00797DD1">
        <w:rPr>
          <w:rFonts w:cs="Times New Roman"/>
          <w:bCs/>
          <w:noProof/>
          <w:szCs w:val="24"/>
        </w:rPr>
        <w:t xml:space="preserve"> </w:t>
      </w:r>
      <w:r w:rsidR="00797DD1">
        <w:rPr>
          <w:rFonts w:cs="Times New Roman"/>
          <w:bCs/>
          <w:noProof/>
          <w:szCs w:val="24"/>
        </w:rPr>
        <w:fldChar w:fldCharType="begin" w:fldLock="1"/>
      </w:r>
      <w:r w:rsidR="00643E8D">
        <w:rPr>
          <w:rFonts w:cs="Times New Roman"/>
          <w:bCs/>
          <w:noProof/>
          <w:szCs w:val="24"/>
        </w:rPr>
        <w:instrText>ADDIN CSL_CITATION {"citationItems":[{"id":"ITEM-1","itemData":{"author":[{"dropping-particle":"","family":"IAEA","given":"","non-dropping-particle":"","parse-names":false,"suffix":""}],"id":"ITEM-1","issued":{"date-parts":[["2013"]]},"publisher":"IAEA","publisher-place":"Viena","title":"Actions to Protect the Public in an Emergency due to Severe Conditions at a Light Water Reactor","type":"report","volume":"3"},"uris":["http://www.mendeley.com/documents/?uuid=ec62fe6a-1884-4e9d-8d66-8f2671e12c1a"]}],"mendeley":{"formattedCitation":"[4]","plainTextFormattedCitation":"[4]","previouslyFormattedCitation":"[4]"},"properties":{"noteIndex":0},"schema":"https://github.com/citation-style-language/schema/raw/master/csl-citation.json"}</w:instrText>
      </w:r>
      <w:r w:rsidR="00797DD1">
        <w:rPr>
          <w:rFonts w:cs="Times New Roman"/>
          <w:bCs/>
          <w:noProof/>
          <w:szCs w:val="24"/>
        </w:rPr>
        <w:fldChar w:fldCharType="separate"/>
      </w:r>
      <w:r w:rsidR="00FD3D5F" w:rsidRPr="00FD3D5F">
        <w:rPr>
          <w:rFonts w:cs="Times New Roman"/>
          <w:bCs/>
          <w:noProof/>
          <w:szCs w:val="24"/>
        </w:rPr>
        <w:t>[4]</w:t>
      </w:r>
      <w:r w:rsidR="00797DD1">
        <w:rPr>
          <w:rFonts w:cs="Times New Roman"/>
          <w:bCs/>
          <w:noProof/>
          <w:szCs w:val="24"/>
        </w:rPr>
        <w:fldChar w:fldCharType="end"/>
      </w:r>
      <w:r w:rsidR="00797DD1">
        <w:rPr>
          <w:rFonts w:cs="Times New Roman"/>
          <w:bCs/>
          <w:noProof/>
          <w:szCs w:val="24"/>
        </w:rPr>
        <w:t>.</w:t>
      </w:r>
    </w:p>
    <w:p w14:paraId="65A1AEDB" w14:textId="77777777" w:rsidR="001236A3" w:rsidRDefault="001236A3" w:rsidP="001236A3">
      <w:pPr>
        <w:keepNext/>
        <w:widowControl/>
        <w:wordWrap/>
        <w:ind w:firstLine="0"/>
        <w:jc w:val="center"/>
      </w:pPr>
      <w:r>
        <w:rPr>
          <w:noProof/>
        </w:rPr>
        <w:lastRenderedPageBreak/>
        <w:drawing>
          <wp:inline distT="0" distB="0" distL="0" distR="0" wp14:anchorId="608C7193" wp14:editId="2E344D85">
            <wp:extent cx="4090468" cy="3482340"/>
            <wp:effectExtent l="0" t="0" r="5715" b="3810"/>
            <wp:docPr id="1350291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91693" name="Picture 1350291693"/>
                    <pic:cNvPicPr/>
                  </pic:nvPicPr>
                  <pic:blipFill>
                    <a:blip r:embed="rId9">
                      <a:extLst>
                        <a:ext uri="{28A0092B-C50C-407E-A947-70E740481C1C}">
                          <a14:useLocalDpi xmlns:a14="http://schemas.microsoft.com/office/drawing/2010/main" val="0"/>
                        </a:ext>
                      </a:extLst>
                    </a:blip>
                    <a:stretch>
                      <a:fillRect/>
                    </a:stretch>
                  </pic:blipFill>
                  <pic:spPr>
                    <a:xfrm>
                      <a:off x="0" y="0"/>
                      <a:ext cx="4112955" cy="3501484"/>
                    </a:xfrm>
                    <a:prstGeom prst="rect">
                      <a:avLst/>
                    </a:prstGeom>
                  </pic:spPr>
                </pic:pic>
              </a:graphicData>
            </a:graphic>
          </wp:inline>
        </w:drawing>
      </w:r>
    </w:p>
    <w:p w14:paraId="6183E3A0" w14:textId="0CE491E0" w:rsidR="004A7137" w:rsidRPr="001236A3" w:rsidRDefault="001236A3" w:rsidP="001236A3">
      <w:pPr>
        <w:pStyle w:val="Caption"/>
        <w:rPr>
          <w:i/>
        </w:rPr>
      </w:pPr>
      <w:bookmarkStart w:id="0" w:name="_Ref173920635"/>
      <w:r w:rsidRPr="001236A3">
        <w:rPr>
          <w:i/>
        </w:rPr>
        <w:t xml:space="preserve">FIG. </w:t>
      </w:r>
      <w:r w:rsidRPr="001236A3">
        <w:rPr>
          <w:i/>
        </w:rPr>
        <w:fldChar w:fldCharType="begin"/>
      </w:r>
      <w:r w:rsidRPr="001236A3">
        <w:rPr>
          <w:i/>
        </w:rPr>
        <w:instrText xml:space="preserve"> SEQ FIG. \* ARABIC </w:instrText>
      </w:r>
      <w:r w:rsidRPr="001236A3">
        <w:rPr>
          <w:i/>
        </w:rPr>
        <w:fldChar w:fldCharType="separate"/>
      </w:r>
      <w:r w:rsidRPr="001236A3">
        <w:rPr>
          <w:i/>
          <w:noProof/>
        </w:rPr>
        <w:t>1</w:t>
      </w:r>
      <w:r w:rsidRPr="001236A3">
        <w:rPr>
          <w:i/>
        </w:rPr>
        <w:fldChar w:fldCharType="end"/>
      </w:r>
      <w:bookmarkEnd w:id="0"/>
      <w:r>
        <w:rPr>
          <w:i/>
        </w:rPr>
        <w:t>.</w:t>
      </w:r>
      <w:r w:rsidRPr="001236A3">
        <w:rPr>
          <w:i/>
        </w:rPr>
        <w:t xml:space="preserve"> Workflow of determining EPZ in NPP [4]</w:t>
      </w:r>
    </w:p>
    <w:p w14:paraId="3C834F52" w14:textId="2CC140ED" w:rsidR="005D1EB1" w:rsidRDefault="001236A3" w:rsidP="005D1EB1">
      <w:pPr>
        <w:widowControl/>
        <w:wordWrap/>
        <w:rPr>
          <w:rFonts w:cs="Times New Roman"/>
          <w:bCs/>
          <w:noProof/>
          <w:szCs w:val="24"/>
        </w:rPr>
      </w:pPr>
      <w:r>
        <w:rPr>
          <w:rFonts w:cs="Times New Roman"/>
          <w:bCs/>
          <w:noProof/>
          <w:szCs w:val="24"/>
        </w:rPr>
        <w:t xml:space="preserve">Fig. 1 </w:t>
      </w:r>
      <w:r w:rsidR="005D1EB1" w:rsidRPr="005D1EB1">
        <w:rPr>
          <w:rFonts w:cs="Times New Roman"/>
          <w:bCs/>
          <w:noProof/>
          <w:szCs w:val="24"/>
        </w:rPr>
        <w:t>depicts the EPZ determination process, which involves gathering various data and information beforehand. The colors in the diagram represent different sources from which the data and information can be obtained. Yellow indicates site-specific data, blue signifies design-specific data for the reactor design, and gray indicates data obtained through analysis and evaluation by combining specific site data and reactor design-specific data. Turquoise represents existing regulations regarding general dose criteria. The results of the analysis are reflected in purple and green.</w:t>
      </w:r>
    </w:p>
    <w:p w14:paraId="10CE33BA" w14:textId="77777777" w:rsidR="005D1EB1" w:rsidRPr="005D1EB1" w:rsidRDefault="005D1EB1" w:rsidP="005D1EB1">
      <w:pPr>
        <w:widowControl/>
        <w:wordWrap/>
        <w:rPr>
          <w:rFonts w:cs="Times New Roman"/>
          <w:bCs/>
          <w:noProof/>
          <w:szCs w:val="24"/>
        </w:rPr>
      </w:pPr>
      <w:r w:rsidRPr="005D1EB1">
        <w:rPr>
          <w:rFonts w:cs="Times New Roman"/>
          <w:bCs/>
          <w:noProof/>
          <w:szCs w:val="24"/>
        </w:rPr>
        <w:t>Determining the EPZ requires comprehensive data and information regarding the site characteristics of the plant and detailed information regarding plant design. Plant design is necessary to estimate the risk level that could occur in an accident scenario, leading to radioactive release. In this case, accident scenarios and radioactive releases can be analyzed and postulated using safety analysis to determine the source term in the form of magnitude and the composition of radionuclides released from the reactor. The source term heavily depends on the plant design, which can vary between different designs, safety features, and layouts.</w:t>
      </w:r>
    </w:p>
    <w:p w14:paraId="374D3540" w14:textId="0C854B62" w:rsidR="00797DD1" w:rsidRDefault="005D1EB1" w:rsidP="005D1EB1">
      <w:pPr>
        <w:widowControl/>
        <w:wordWrap/>
        <w:rPr>
          <w:rFonts w:cs="Times New Roman"/>
          <w:bCs/>
          <w:noProof/>
          <w:szCs w:val="24"/>
        </w:rPr>
      </w:pPr>
      <w:r w:rsidRPr="005D1EB1">
        <w:rPr>
          <w:rFonts w:cs="Times New Roman"/>
          <w:bCs/>
          <w:noProof/>
          <w:szCs w:val="24"/>
        </w:rPr>
        <w:t xml:space="preserve">The source term is then used to calculate the offsite consequences using meteorological data from site characteristics to evaluate how far the radioactive release would spread offsite from the plant. If the radioactive release from the source term could spread offsite from the plant, the effective dose received within the radioactive release distance and the frequency of the occurrences of the released scenario are then calculated and evaluated to determine the EPZ for the plant. </w:t>
      </w:r>
      <w:r w:rsidR="00587CFF">
        <w:rPr>
          <w:rFonts w:cs="Times New Roman"/>
          <w:bCs/>
          <w:noProof/>
          <w:szCs w:val="24"/>
        </w:rPr>
        <w:fldChar w:fldCharType="begin" w:fldLock="1"/>
      </w:r>
      <w:r w:rsidR="008D11E6">
        <w:rPr>
          <w:rFonts w:cs="Times New Roman"/>
          <w:bCs/>
          <w:noProof/>
          <w:szCs w:val="24"/>
        </w:rPr>
        <w:instrText>ADDIN CSL_CITATION {"citationItems":[{"id":"ITEM-1","itemData":{"author":[{"dropping-particle":"","family":"Park","given":"Sunghyun","non-dropping-particle":"","parse-names":false,"suffix":""},{"dropping-particle":"","family":"Moon","given":"Horim","non-dropping-particle":"","parse-names":false,"suffix":""},{"dropping-particle":"","family":"Lee","given":"Sangwon","non-dropping-particle":"","parse-names":false,"suffix":""}],"id":"ITEM-1","issued":{"date-parts":[["2023"]]},"page":"18-20","title":"Review of Accident Screening Criteria for Evaluating SMR EPZ","type":"article-journal"},"uris":["http://www.mendeley.com/documents/?uuid=df67d54a-0e4a-4df6-a912-03a3d9bd55ee"]}],"mendeley":{"formattedCitation":"[5]","plainTextFormattedCitation":"[5]","previouslyFormattedCitation":"[5]"},"properties":{"noteIndex":0},"schema":"https://github.com/citation-style-language/schema/raw/master/csl-citation.json"}</w:instrText>
      </w:r>
      <w:r w:rsidR="00587CFF">
        <w:rPr>
          <w:rFonts w:cs="Times New Roman"/>
          <w:bCs/>
          <w:noProof/>
          <w:szCs w:val="24"/>
        </w:rPr>
        <w:fldChar w:fldCharType="separate"/>
      </w:r>
      <w:r w:rsidR="00587CFF" w:rsidRPr="00587CFF">
        <w:rPr>
          <w:rFonts w:cs="Times New Roman"/>
          <w:bCs/>
          <w:noProof/>
          <w:szCs w:val="24"/>
        </w:rPr>
        <w:t>[5]</w:t>
      </w:r>
      <w:r w:rsidR="00587CFF">
        <w:rPr>
          <w:rFonts w:cs="Times New Roman"/>
          <w:bCs/>
          <w:noProof/>
          <w:szCs w:val="24"/>
        </w:rPr>
        <w:fldChar w:fldCharType="end"/>
      </w:r>
      <w:r w:rsidR="00797DD1">
        <w:rPr>
          <w:rFonts w:cs="Times New Roman"/>
          <w:bCs/>
          <w:noProof/>
          <w:szCs w:val="24"/>
        </w:rPr>
        <w:t xml:space="preserve">. </w:t>
      </w:r>
    </w:p>
    <w:p w14:paraId="45D0010C" w14:textId="2EFD1C4D" w:rsidR="00156364" w:rsidRDefault="00156364" w:rsidP="00241468">
      <w:pPr>
        <w:pStyle w:val="Heading2"/>
        <w:rPr>
          <w:noProof/>
        </w:rPr>
      </w:pPr>
      <w:r>
        <w:rPr>
          <w:noProof/>
        </w:rPr>
        <w:t>Indonesian Nuclear Regulation</w:t>
      </w:r>
    </w:p>
    <w:p w14:paraId="1DCFFE32" w14:textId="77777777" w:rsidR="005D1EB1" w:rsidRPr="005D1EB1" w:rsidRDefault="005D1EB1" w:rsidP="005D1EB1">
      <w:pPr>
        <w:widowControl/>
        <w:wordWrap/>
        <w:rPr>
          <w:rFonts w:cs="Times New Roman"/>
          <w:bCs/>
          <w:noProof/>
          <w:szCs w:val="24"/>
        </w:rPr>
      </w:pPr>
      <w:r w:rsidRPr="005D1EB1">
        <w:rPr>
          <w:rFonts w:cs="Times New Roman"/>
          <w:bCs/>
          <w:noProof/>
          <w:szCs w:val="24"/>
        </w:rPr>
        <w:t>In preparing nuclear installation sites, the Indonesia Nuclear Energy Regulatory Agency (BAPETEN) regulates the determination of emergency planning zones in two BAPETEN Chairman Regulations (BCR). These regulations are BAPETEN Chairman Regulation No. 1 of 2010 on Nuclear Emergency Preparedness and Response Programme and BAPETEN Chairman Regulation No. 4 of 2019 on Nuclear Installation Site Evaluation on Airborne and Waterborne Radioactive Material Dispersion Aspects.</w:t>
      </w:r>
    </w:p>
    <w:p w14:paraId="6AFFCFF4" w14:textId="77777777" w:rsidR="005D1EB1" w:rsidRPr="005D1EB1" w:rsidRDefault="005D1EB1" w:rsidP="005D1EB1">
      <w:pPr>
        <w:widowControl/>
        <w:wordWrap/>
        <w:rPr>
          <w:rFonts w:cs="Times New Roman"/>
          <w:bCs/>
          <w:noProof/>
          <w:szCs w:val="24"/>
        </w:rPr>
      </w:pPr>
      <w:r w:rsidRPr="005D1EB1">
        <w:rPr>
          <w:rFonts w:cs="Times New Roman"/>
          <w:bCs/>
          <w:noProof/>
          <w:szCs w:val="24"/>
        </w:rPr>
        <w:t xml:space="preserve">Determining EPZ according to Indonesian regulation consists of four steps based on BCR No. 4 of 2019. These steps include collecting data and information for modeling radioactive material dispersion, evaluating radiological consequences for residents, and determining an emergency preparedness program. BCR No. 4 of </w:t>
      </w:r>
      <w:r w:rsidRPr="005D1EB1">
        <w:rPr>
          <w:rFonts w:cs="Times New Roman"/>
          <w:bCs/>
          <w:noProof/>
          <w:szCs w:val="24"/>
        </w:rPr>
        <w:lastRenderedPageBreak/>
        <w:t>2019 regulates the determination of the source term in collecting data and information for modeling the dispersion of radioactive material.</w:t>
      </w:r>
    </w:p>
    <w:p w14:paraId="24162B6E" w14:textId="77777777" w:rsidR="005D1EB1" w:rsidRPr="005D1EB1" w:rsidRDefault="005D1EB1" w:rsidP="005D1EB1">
      <w:pPr>
        <w:widowControl/>
        <w:wordWrap/>
        <w:rPr>
          <w:rFonts w:cs="Times New Roman"/>
          <w:bCs/>
          <w:noProof/>
          <w:szCs w:val="24"/>
        </w:rPr>
      </w:pPr>
      <w:r w:rsidRPr="005D1EB1">
        <w:rPr>
          <w:rFonts w:cs="Times New Roman"/>
          <w:bCs/>
          <w:noProof/>
          <w:szCs w:val="24"/>
        </w:rPr>
        <w:t>Both of these regulations apply to EPZ determination for all types of reactors without any exemption for recent technological advancements. Acceptance criteria for EPZ in BCR No. 1 of 2010 are determined with respect to reactor thermal power and radioactive release modeling in BCR No. 4 of 2019. However, there are still some issues regarding these main concerns for SMR designs that employ multiple module reactors.</w:t>
      </w:r>
    </w:p>
    <w:p w14:paraId="35DEDE61" w14:textId="13485FCF" w:rsidR="00485BF8" w:rsidRDefault="005D1EB1" w:rsidP="005D1EB1">
      <w:pPr>
        <w:widowControl/>
        <w:wordWrap/>
        <w:rPr>
          <w:rFonts w:cs="Times New Roman"/>
          <w:bCs/>
          <w:noProof/>
          <w:szCs w:val="24"/>
        </w:rPr>
      </w:pPr>
      <w:r w:rsidRPr="005D1EB1">
        <w:rPr>
          <w:rFonts w:cs="Times New Roman"/>
          <w:bCs/>
          <w:noProof/>
          <w:szCs w:val="24"/>
        </w:rPr>
        <w:t>In this regard, multi-module SMRs are likely to face regulatory disputes in determining the EPZ. The EPZ acceptance criteria are categorized by reactor thermal power. This acceptance criteria could face issues when applied to evaluating a multi-module SMR EPZ with a total power output in the range of 100–1000 MWth, which consists of several reactor modules with thermal power less than 100 MWth. Additional provisions to clarify this issue should then be proposed.</w:t>
      </w:r>
      <w:r w:rsidR="00485BF8">
        <w:rPr>
          <w:rFonts w:cs="Times New Roman"/>
          <w:bCs/>
          <w:noProof/>
          <w:szCs w:val="24"/>
        </w:rPr>
        <w:t xml:space="preserve"> </w:t>
      </w:r>
    </w:p>
    <w:p w14:paraId="3D98571E" w14:textId="67364529" w:rsidR="00077A21" w:rsidRDefault="00077A21" w:rsidP="00241468">
      <w:pPr>
        <w:pStyle w:val="Heading2"/>
        <w:rPr>
          <w:noProof/>
        </w:rPr>
      </w:pPr>
      <w:r>
        <w:rPr>
          <w:noProof/>
        </w:rPr>
        <w:t xml:space="preserve">IAEA </w:t>
      </w:r>
      <w:r w:rsidR="00E31696">
        <w:rPr>
          <w:noProof/>
        </w:rPr>
        <w:t xml:space="preserve">Safety </w:t>
      </w:r>
      <w:r>
        <w:rPr>
          <w:noProof/>
        </w:rPr>
        <w:t>Standards</w:t>
      </w:r>
    </w:p>
    <w:p w14:paraId="32558166" w14:textId="56A249A8" w:rsidR="005D1EB1" w:rsidRPr="005D1EB1" w:rsidRDefault="005D1EB1" w:rsidP="005D1EB1">
      <w:pPr>
        <w:widowControl/>
        <w:wordWrap/>
        <w:rPr>
          <w:rFonts w:cs="Times New Roman"/>
          <w:bCs/>
          <w:noProof/>
          <w:szCs w:val="24"/>
        </w:rPr>
      </w:pPr>
      <w:r w:rsidRPr="005D1EB1">
        <w:rPr>
          <w:rFonts w:cs="Times New Roman"/>
          <w:bCs/>
          <w:noProof/>
          <w:szCs w:val="24"/>
        </w:rPr>
        <w:t>IAEA published General Safety Requirement Part 7 on Preparedness and Response for a Nuclear or Radiological Emergency as a requirement for formulating the Nuclear Emergency Preparedness Programme in nuclear facilities and radioactive material utilization facilities. This safety requirement emphasizes the importance of performing hazard assessments of nuclear facilities, which are necessary to provide a graded approach basis for preparing the emergency preparedness and response programme</w:t>
      </w:r>
      <w:r w:rsidR="00E517B0">
        <w:rPr>
          <w:rFonts w:cs="Times New Roman"/>
          <w:bCs/>
          <w:noProof/>
          <w:szCs w:val="24"/>
        </w:rPr>
        <w:t xml:space="preserve"> </w:t>
      </w:r>
      <w:r w:rsidR="00E517B0">
        <w:rPr>
          <w:rFonts w:cs="Times New Roman"/>
          <w:bCs/>
          <w:noProof/>
          <w:szCs w:val="24"/>
        </w:rPr>
        <w:fldChar w:fldCharType="begin" w:fldLock="1"/>
      </w:r>
      <w:r w:rsidR="008D11E6">
        <w:rPr>
          <w:rFonts w:cs="Times New Roman"/>
          <w:bCs/>
          <w:noProof/>
          <w:szCs w:val="24"/>
        </w:rPr>
        <w:instrText>ADDIN CSL_CITATION {"citationItems":[{"id":"ITEM-1","itemData":{"ISBN":"978–92–0–107410–2","ISSN":"0017-9078","abstract":"Organizations responsible for the management of emergencies (including conventional emergencies) recognize that good preparedness in advance of any emergency can substantially improve the emergency response. One of the most important elements of emergency preparedness is the coordination of arrangements among the different bodies involved to ensure clear lines of responsibility and authority.","author":[{"dropping-particle":"","family":"IAEA","given":"","non-dropping-particle":"","parse-names":false,"suffix":""}],"id":"ITEM-1","issued":{"date-parts":[["2015"]]},"number-of-pages":"102","publisher-place":"Vienna","title":"General Safety Requirements No.7 Preparedness and Response for a Nuclear or Radiological Emergency","type":"report"},"uris":["http://www.mendeley.com/documents/?uuid=15fd2e8a-88f0-4ade-9402-32ad7e73ad0c"]}],"mendeley":{"formattedCitation":"[6]","plainTextFormattedCitation":"[6]","previouslyFormattedCitation":"[6]"},"properties":{"noteIndex":0},"schema":"https://github.com/citation-style-language/schema/raw/master/csl-citation.json"}</w:instrText>
      </w:r>
      <w:r w:rsidR="00E517B0">
        <w:rPr>
          <w:rFonts w:cs="Times New Roman"/>
          <w:bCs/>
          <w:noProof/>
          <w:szCs w:val="24"/>
        </w:rPr>
        <w:fldChar w:fldCharType="separate"/>
      </w:r>
      <w:r w:rsidR="00587CFF" w:rsidRPr="00587CFF">
        <w:rPr>
          <w:rFonts w:cs="Times New Roman"/>
          <w:bCs/>
          <w:noProof/>
          <w:szCs w:val="24"/>
        </w:rPr>
        <w:t>[6]</w:t>
      </w:r>
      <w:r w:rsidR="00E517B0">
        <w:rPr>
          <w:rFonts w:cs="Times New Roman"/>
          <w:bCs/>
          <w:noProof/>
          <w:szCs w:val="24"/>
        </w:rPr>
        <w:fldChar w:fldCharType="end"/>
      </w:r>
      <w:r w:rsidR="00A25A35">
        <w:rPr>
          <w:rFonts w:cs="Times New Roman"/>
          <w:bCs/>
          <w:noProof/>
          <w:szCs w:val="24"/>
        </w:rPr>
        <w:t xml:space="preserve">. </w:t>
      </w:r>
      <w:r w:rsidRPr="005D1EB1">
        <w:rPr>
          <w:rFonts w:cs="Times New Roman"/>
          <w:bCs/>
          <w:noProof/>
          <w:szCs w:val="24"/>
        </w:rPr>
        <w:t>However, this requirement does not provide detailed provisions for performing hazard assessments. In response, IAEA published the EPR-NPP Public Protective Actions 2013, titled 'Actions to Protect the Public in an Emergency due to Severe Conditions at a Light Water Reactor.' IAEA has yet to publish other safety standards or related documents that provide safety provisions for determining multi-module SMR EPZ.</w:t>
      </w:r>
    </w:p>
    <w:p w14:paraId="2CF3E5C6" w14:textId="667A16CF" w:rsidR="005D1EB1" w:rsidRDefault="005D1EB1" w:rsidP="005D1EB1">
      <w:pPr>
        <w:widowControl/>
        <w:wordWrap/>
      </w:pPr>
      <w:r w:rsidRPr="005D1EB1">
        <w:rPr>
          <w:rFonts w:cs="Times New Roman"/>
          <w:bCs/>
          <w:noProof/>
          <w:szCs w:val="24"/>
        </w:rPr>
        <w:t>In light of this, IAEA formed the IAEA SMR Regulators’ Forum to assess and formulate appropriate provisions. The forum finds that the existing IAEA safety standards and related documents are sufficient to determine the EPZ of SMRs. EPZ determination for multi-module SMR design is one of the concerns discussed in the SMR Regulators’ Forum Report. The size of the EPZ for multi-module design may be impacted by the number that will be built at the site</w:t>
      </w:r>
      <w:r w:rsidR="00E517B0">
        <w:rPr>
          <w:rFonts w:cs="Times New Roman"/>
          <w:bCs/>
          <w:noProof/>
          <w:szCs w:val="24"/>
        </w:rPr>
        <w:t xml:space="preserve"> </w:t>
      </w:r>
      <w:r w:rsidR="00E517B0">
        <w:rPr>
          <w:rFonts w:cs="Times New Roman"/>
          <w:bCs/>
          <w:noProof/>
          <w:szCs w:val="24"/>
        </w:rPr>
        <w:fldChar w:fldCharType="begin" w:fldLock="1"/>
      </w:r>
      <w:r w:rsidR="008D11E6">
        <w:rPr>
          <w:rFonts w:cs="Times New Roman"/>
          <w:bCs/>
          <w:noProof/>
          <w:szCs w:val="24"/>
        </w:rPr>
        <w:instrText>ADDIN CSL_CITATION {"citationItems":[{"id":"ITEM-1","itemData":{"author":[{"dropping-particle":"","family":"Small Modular Reactors Regulators’ Forum","given":"","non-dropping-particle":"","parse-names":false,"suffix":""}],"id":"ITEM-1","issue":"January","issued":{"date-parts":[["2018"]]},"publisher-place":"Vienna","title":"SMR Regulators' Forum Pilot Project Report: Report from Working Group on Emergency Planning Zone","type":"report"},"uris":["http://www.mendeley.com/documents/?uuid=08869018-f64a-43b5-b45a-4a07c82356db"]}],"mendeley":{"formattedCitation":"[7]","plainTextFormattedCitation":"[7]","previouslyFormattedCitation":"[7]"},"properties":{"noteIndex":0},"schema":"https://github.com/citation-style-language/schema/raw/master/csl-citation.json"}</w:instrText>
      </w:r>
      <w:r w:rsidR="00E517B0">
        <w:rPr>
          <w:rFonts w:cs="Times New Roman"/>
          <w:bCs/>
          <w:noProof/>
          <w:szCs w:val="24"/>
        </w:rPr>
        <w:fldChar w:fldCharType="separate"/>
      </w:r>
      <w:r w:rsidR="00587CFF" w:rsidRPr="00587CFF">
        <w:rPr>
          <w:rFonts w:cs="Times New Roman"/>
          <w:bCs/>
          <w:noProof/>
          <w:szCs w:val="24"/>
        </w:rPr>
        <w:t>[7]</w:t>
      </w:r>
      <w:r w:rsidR="00E517B0">
        <w:rPr>
          <w:rFonts w:cs="Times New Roman"/>
          <w:bCs/>
          <w:noProof/>
          <w:szCs w:val="24"/>
        </w:rPr>
        <w:fldChar w:fldCharType="end"/>
      </w:r>
      <w:r w:rsidR="004A4222">
        <w:t>.</w:t>
      </w:r>
      <w:r w:rsidR="002B4789">
        <w:t xml:space="preserve"> </w:t>
      </w:r>
      <w:r>
        <w:t>A large-scale offsite radioactive release for multi-module SMRs could be less possible if the design allows for independent operation of each individual module.</w:t>
      </w:r>
    </w:p>
    <w:p w14:paraId="31B8B9EE" w14:textId="13A64DB9" w:rsidR="00CC525A" w:rsidRDefault="005D1EB1" w:rsidP="005D1EB1">
      <w:pPr>
        <w:widowControl/>
        <w:wordWrap/>
        <w:rPr>
          <w:rFonts w:cs="Times New Roman"/>
          <w:bCs/>
          <w:noProof/>
          <w:szCs w:val="24"/>
        </w:rPr>
      </w:pPr>
      <w:r>
        <w:t xml:space="preserve">IAEA also published the IAEA TECDOC 1652, titled 'Small Reactors without On-site </w:t>
      </w:r>
      <w:proofErr w:type="spellStart"/>
      <w:r>
        <w:t>Refuelling</w:t>
      </w:r>
      <w:proofErr w:type="spellEnd"/>
      <w:r>
        <w:t>: Neutronic Characteristics, Emergency Planning and Development Scenarios,' to propose a risk-informed, performance-based methodology for determining EPZ. In this methodology, the first proposed approach is to estimate the EPZ for each reactor individually based on safety performance, considering applied safety innovations and technological advancements. The second proposed approach is to estimate the frequency of exceeding the generic dose criteria for all accident scenarios. Using this methodology can enable a risk-informed, performance-based licensing approach for SMRs. Additionally, this methodology can redefine the EPZ radius without compromising the level of risk.</w:t>
      </w:r>
      <w:r>
        <w:rPr>
          <w:rFonts w:cs="Times New Roman"/>
          <w:bCs/>
          <w:noProof/>
          <w:szCs w:val="24"/>
        </w:rPr>
        <w:t xml:space="preserve"> </w:t>
      </w:r>
      <w:r w:rsidR="00E517B0">
        <w:rPr>
          <w:rFonts w:cs="Times New Roman"/>
          <w:bCs/>
          <w:noProof/>
          <w:szCs w:val="24"/>
        </w:rPr>
        <w:fldChar w:fldCharType="begin" w:fldLock="1"/>
      </w:r>
      <w:r w:rsidR="008D11E6">
        <w:rPr>
          <w:rFonts w:cs="Times New Roman"/>
          <w:bCs/>
          <w:noProof/>
          <w:szCs w:val="24"/>
        </w:rPr>
        <w:instrText>ADDIN CSL_CITATION {"citationItems":[{"id":"ITEM-1","itemData":{"ISBN":"9789201068101","author":[{"dropping-particle":"","family":"IAEA","given":"","non-dropping-particle":"","parse-names":false,"suffix":""}],"id":"ITEM-1","issued":{"date-parts":[["2010"]]},"publisher-place":"Vienna","title":"TECDOC 1652 Small Reactors Without On-site Refuelling: Neutron Characteristics, Emergency Planning and Development Scenarios","type":"report"},"uris":["http://www.mendeley.com/documents/?uuid=5434acc5-e34b-4796-9b57-726169e17297"]}],"mendeley":{"formattedCitation":"[8]","plainTextFormattedCitation":"[8]","previouslyFormattedCitation":"[8]"},"properties":{"noteIndex":0},"schema":"https://github.com/citation-style-language/schema/raw/master/csl-citation.json"}</w:instrText>
      </w:r>
      <w:r w:rsidR="00E517B0">
        <w:rPr>
          <w:rFonts w:cs="Times New Roman"/>
          <w:bCs/>
          <w:noProof/>
          <w:szCs w:val="24"/>
        </w:rPr>
        <w:fldChar w:fldCharType="separate"/>
      </w:r>
      <w:r w:rsidR="00587CFF" w:rsidRPr="00587CFF">
        <w:rPr>
          <w:rFonts w:cs="Times New Roman"/>
          <w:bCs/>
          <w:noProof/>
          <w:szCs w:val="24"/>
        </w:rPr>
        <w:t>[8]</w:t>
      </w:r>
      <w:r w:rsidR="00E517B0">
        <w:rPr>
          <w:rFonts w:cs="Times New Roman"/>
          <w:bCs/>
          <w:noProof/>
          <w:szCs w:val="24"/>
        </w:rPr>
        <w:fldChar w:fldCharType="end"/>
      </w:r>
      <w:r w:rsidR="00F55BEA">
        <w:rPr>
          <w:rFonts w:cs="Times New Roman"/>
          <w:bCs/>
          <w:noProof/>
          <w:szCs w:val="24"/>
        </w:rPr>
        <w:t>.</w:t>
      </w:r>
    </w:p>
    <w:p w14:paraId="3EA2C479" w14:textId="3E9FB0FE" w:rsidR="00F55BEA" w:rsidRDefault="008712EB" w:rsidP="00241468">
      <w:pPr>
        <w:pStyle w:val="Heading2"/>
        <w:rPr>
          <w:noProof/>
        </w:rPr>
      </w:pPr>
      <w:r>
        <w:rPr>
          <w:noProof/>
        </w:rPr>
        <w:t>Determining EPZ</w:t>
      </w:r>
      <w:r w:rsidR="00900724">
        <w:rPr>
          <w:noProof/>
        </w:rPr>
        <w:t xml:space="preserve"> in </w:t>
      </w:r>
      <w:r>
        <w:rPr>
          <w:noProof/>
        </w:rPr>
        <w:t>United States</w:t>
      </w:r>
    </w:p>
    <w:p w14:paraId="36314AAE" w14:textId="77777777" w:rsidR="00692D2F" w:rsidRPr="00692D2F" w:rsidRDefault="00692D2F" w:rsidP="00692D2F">
      <w:pPr>
        <w:widowControl/>
        <w:wordWrap/>
        <w:rPr>
          <w:rFonts w:cs="Times New Roman"/>
          <w:bCs/>
          <w:noProof/>
          <w:szCs w:val="24"/>
        </w:rPr>
      </w:pPr>
      <w:r w:rsidRPr="00692D2F">
        <w:rPr>
          <w:rFonts w:cs="Times New Roman"/>
          <w:bCs/>
          <w:noProof/>
          <w:szCs w:val="24"/>
        </w:rPr>
        <w:t>In determining the EPZ, the United States stipulates provisions within the source term regulation framework. Source term, as defined in 10 CFR 50.2, refers to 'the magnitude and mix of the radionuclides released from the fuel, expressed as fractions of the fission product inventory in the fuel, as well as their physical and chemical form, and the timing of their release.' The source term is then specified into an accident source term for analyzing large radioactive releases, taking into account the safety and containment performance of the design.</w:t>
      </w:r>
    </w:p>
    <w:p w14:paraId="69376B2A" w14:textId="66BB8BA0" w:rsidR="0052473D" w:rsidRDefault="00692D2F" w:rsidP="00692D2F">
      <w:pPr>
        <w:widowControl/>
        <w:wordWrap/>
      </w:pPr>
      <w:r w:rsidRPr="00692D2F">
        <w:rPr>
          <w:rFonts w:cs="Times New Roman"/>
          <w:bCs/>
          <w:noProof/>
          <w:szCs w:val="24"/>
        </w:rPr>
        <w:t xml:space="preserve">For multi-module SMR designs, the United States already regulates the EPZ within 10 CFR 52.47. This regulation mandates that every difference and configuration in operating the modules must be accounted for in the safety analysis to ensure the safe operation of any module. Furthermore, 10 CFR 100.11 stipulates requirements regarding the consideration of independence between all operating modules. For independent modules, the EPZ must be fulfilled with respect to each reactor individually. This results in EPZs that overlay the EPZ area calculated for each module. If the modules are interconnected, the EPZ calculation shall be based upon the assumption that all reactor modules release postulated fission products simultaneously. This requirement provides sufficient clarity to be adapted as a requirement for multi-module SMR EPZ. However, to adopt this </w:t>
      </w:r>
      <w:r w:rsidRPr="00692D2F">
        <w:rPr>
          <w:rFonts w:cs="Times New Roman"/>
          <w:bCs/>
          <w:noProof/>
          <w:szCs w:val="24"/>
        </w:rPr>
        <w:lastRenderedPageBreak/>
        <w:t>requirement, BAPETEN still needs to determine the boundaries for independence and interconnection between all reactor modules.</w:t>
      </w:r>
      <w:r w:rsidR="0052473D">
        <w:t xml:space="preserve"> </w:t>
      </w:r>
    </w:p>
    <w:p w14:paraId="065BEB08" w14:textId="615D2739" w:rsidR="008712EB" w:rsidRDefault="008712EB" w:rsidP="00241468">
      <w:pPr>
        <w:pStyle w:val="Heading2"/>
      </w:pPr>
      <w:r>
        <w:t>Determining EPZ in Canada</w:t>
      </w:r>
    </w:p>
    <w:p w14:paraId="2E418A1A" w14:textId="79485DDC" w:rsidR="00E664CC" w:rsidRDefault="00692D2F" w:rsidP="00C14A04">
      <w:pPr>
        <w:widowControl/>
        <w:wordWrap/>
        <w:rPr>
          <w:lang w:val="en-ID" w:eastAsia="en-US"/>
        </w:rPr>
      </w:pPr>
      <w:r w:rsidRPr="00692D2F">
        <w:rPr>
          <w:lang w:val="en-ID" w:eastAsia="en-US"/>
        </w:rPr>
        <w:t>In Canada, the Canadian Nuclear Safety Commission (CNSC) regulates the determination of EPZ using a risk-informed approach. The CNSC sets requirements and provides guidance on how to meet them, and the applicant or licensee may present a case to demonstrate that the intent of a requirement is addressed by other means. Such a case must be supported with suitable evidence. This regulation provides flexibility for every reactor type and design to demonstrate their determined EPZ, including multi-module designs. Additionally, Canada does not have any regulations regarding a minimum EPZ size. The EPZ is treated as a result of safety analyses in combination with the protection strategy used by offsite stakeholders</w:t>
      </w:r>
      <w:r w:rsidR="002F0834">
        <w:rPr>
          <w:lang w:val="en-ID" w:eastAsia="en-US"/>
        </w:rPr>
        <w:t xml:space="preserve"> </w:t>
      </w:r>
      <w:r w:rsidR="002F0834">
        <w:rPr>
          <w:lang w:val="en-ID" w:eastAsia="en-US"/>
        </w:rPr>
        <w:fldChar w:fldCharType="begin" w:fldLock="1"/>
      </w:r>
      <w:r w:rsidR="008D11E6">
        <w:rPr>
          <w:lang w:val="en-ID" w:eastAsia="en-US"/>
        </w:rPr>
        <w:instrText>ADDIN CSL_CITATION {"citationItems":[{"id":"ITEM-1","itemData":{"author":[{"dropping-particle":"","family":"Kelk","given":"Rainer","non-dropping-particle":"","parse-names":false,"suffix":""},{"dropping-particle":"","family":"Murad","given":"Afeef","non-dropping-particle":"","parse-names":false,"suffix":""},{"dropping-particle":"","family":"Oliveira","given":"Rodrigo","non-dropping-particle":"De","parse-names":false,"suffix":""},{"dropping-particle":"","family":"Jeltsov","given":"Marti","non-dropping-particle":"","parse-names":false,"suffix":""}],"id":"ITEM-1","issued":{"date-parts":[["2020"]]},"number-of-pages":"17-18","publisher-place":"Tallin","title":"Emergency Planning Zones for Small Modular Reactors","type":"report"},"uris":["http://www.mendeley.com/documents/?uuid=d68dabf9-1de6-4813-ae12-f4e77c65ad2c"]}],"mendeley":{"formattedCitation":"[9]","plainTextFormattedCitation":"[9]","previouslyFormattedCitation":"[9]"},"properties":{"noteIndex":0},"schema":"https://github.com/citation-style-language/schema/raw/master/csl-citation.json"}</w:instrText>
      </w:r>
      <w:r w:rsidR="002F0834">
        <w:rPr>
          <w:lang w:val="en-ID" w:eastAsia="en-US"/>
        </w:rPr>
        <w:fldChar w:fldCharType="separate"/>
      </w:r>
      <w:r w:rsidR="00587CFF" w:rsidRPr="00587CFF">
        <w:rPr>
          <w:noProof/>
          <w:lang w:val="en-ID" w:eastAsia="en-US"/>
        </w:rPr>
        <w:t>[9]</w:t>
      </w:r>
      <w:r w:rsidR="002F0834">
        <w:rPr>
          <w:lang w:val="en-ID" w:eastAsia="en-US"/>
        </w:rPr>
        <w:fldChar w:fldCharType="end"/>
      </w:r>
      <w:r w:rsidR="00C14A04">
        <w:rPr>
          <w:lang w:val="en-ID" w:eastAsia="en-US"/>
        </w:rPr>
        <w:t xml:space="preserve">. </w:t>
      </w:r>
    </w:p>
    <w:p w14:paraId="03390521" w14:textId="4478E44B" w:rsidR="00CA5012" w:rsidRPr="00E664CC" w:rsidRDefault="00CA5012" w:rsidP="00C14A04">
      <w:pPr>
        <w:widowControl/>
        <w:wordWrap/>
        <w:rPr>
          <w:lang w:val="en-ID" w:eastAsia="en-US"/>
        </w:rPr>
      </w:pPr>
      <w:r>
        <w:rPr>
          <w:lang w:val="en-ID" w:eastAsia="en-US"/>
        </w:rPr>
        <w:t>In Canada, sizing of the EPZ falls under province’s authority in collaboration with multiple supporting organization. Province authority then assessed the safety analyses, dose assessment, and other external factor such as demography and geography.</w:t>
      </w:r>
    </w:p>
    <w:p w14:paraId="5503D297" w14:textId="77777777" w:rsidR="00BE707C" w:rsidRPr="00BE707C" w:rsidRDefault="00BE707C" w:rsidP="00BE707C">
      <w:pPr>
        <w:pStyle w:val="NoSpacing"/>
        <w:ind w:firstLine="0"/>
        <w:rPr>
          <w:lang w:val="en-ID" w:eastAsia="en-US"/>
        </w:rPr>
      </w:pPr>
    </w:p>
    <w:p w14:paraId="528ACEF7" w14:textId="64BF8E60" w:rsidR="003E3821" w:rsidRPr="009A39D6" w:rsidRDefault="009A39D6" w:rsidP="0061699C">
      <w:pPr>
        <w:pStyle w:val="Heading1"/>
        <w:rPr>
          <w:noProof/>
        </w:rPr>
      </w:pPr>
      <w:r>
        <w:rPr>
          <w:noProof/>
        </w:rPr>
        <w:t>FINDINGS AND DISCUSSION</w:t>
      </w:r>
    </w:p>
    <w:p w14:paraId="7D5CAC01" w14:textId="3D71E8F7" w:rsidR="00692D2F" w:rsidRDefault="00692D2F" w:rsidP="00692D2F">
      <w:r w:rsidRPr="00692D2F">
        <w:t>For multi-module SMR designs, independence is a key feature to ensure that the risk posed by the design can be isolated within one module, simplifying risk mitigation efforts. Although there is still a possibility of accidents occurring in multiple or all modules for independent designs, the probability of such events is low and may even be negligible</w:t>
      </w:r>
      <w:r w:rsidR="002F0834">
        <w:t xml:space="preserve"> </w:t>
      </w:r>
      <w:r w:rsidR="002F0834">
        <w:fldChar w:fldCharType="begin" w:fldLock="1"/>
      </w:r>
      <w:r w:rsidR="008D11E6">
        <w:instrText>ADDIN CSL_CITATION {"citationItems":[{"id":"ITEM-1","itemData":{"author":[{"dropping-particle":"","family":"Kim","given":"Kilyoo","non-dropping-particle":"","parse-names":false,"suffix":""},{"dropping-particle":"","family":"Kim","given":"Sangbaik","non-dropping-particle":"","parse-names":false,"suffix":""},{"dropping-particle":"","family":"Han","given":"Seokjung","non-dropping-particle":"","parse-names":false,"suffix":""},{"dropping-particle":"","family":"Natto","given":"Omar","non-dropping-particle":"","parse-names":false,"suffix":""}],"id":"ITEM-1","issue":"Mm","issued":{"date-parts":[["2021"]]},"page":"21-22","title":"A Study of Emergency Planning Zone ( EPZ ) Establishment for A Multi-Module SMR","type":"article-journal"},"uris":["http://www.mendeley.com/documents/?uuid=7bac69b2-0f1c-4aa4-9f04-2a3cc9bf6cd1"]}],"mendeley":{"formattedCitation":"[10]","plainTextFormattedCitation":"[10]","previouslyFormattedCitation":"[10]"},"properties":{"noteIndex":0},"schema":"https://github.com/citation-style-language/schema/raw/master/csl-citation.json"}</w:instrText>
      </w:r>
      <w:r w:rsidR="002F0834">
        <w:fldChar w:fldCharType="separate"/>
      </w:r>
      <w:r w:rsidR="00587CFF" w:rsidRPr="00587CFF">
        <w:rPr>
          <w:noProof/>
        </w:rPr>
        <w:t>[10]</w:t>
      </w:r>
      <w:r w:rsidR="002F0834">
        <w:fldChar w:fldCharType="end"/>
      </w:r>
      <w:r w:rsidR="00052EDA">
        <w:t xml:space="preserve">. </w:t>
      </w:r>
      <w:r>
        <w:t>Despite the importance of module independence in determining EPZ for multi-module SMR designs, there has been a lack of studies or papers discussing module independence in this context.</w:t>
      </w:r>
    </w:p>
    <w:p w14:paraId="113AD02F" w14:textId="77777777" w:rsidR="00692D2F" w:rsidRDefault="00692D2F" w:rsidP="00692D2F">
      <w:r>
        <w:t>Indonesia's regulations already use reactor thermal power as a means to scale EPZ according to BCR No. 1 of 2010. However, independence of the modules should be defined and explained concisely to ensure proper determination of EPZ for multi-module SMRs. This means that EPZ criteria for multi-module SMRs could be categorized based on the total power output spectrum with larger EPZ size, or categorized based on the individual power output spectrum with a lower EPZ. BAPETEN, as Indonesia's regulatory body, should define the level of independence of individual modules in multi-module SMR designs to categorize them within the individual power output spectrum.</w:t>
      </w:r>
    </w:p>
    <w:p w14:paraId="7FEAEF5B" w14:textId="521A2B98" w:rsidR="00F71929" w:rsidRDefault="00692D2F" w:rsidP="00692D2F">
      <w:r>
        <w:t>Reactor modules in multi-module designs can be arranged as either modules that operate integrally with shared SSCs and interconnected systems to maximize economic viability, or as independent individual modules that operate using each module's own SSCs. Independence between individual reactor modules is a key difference that can affect consequences when an initiating event occurs. Although probabilistic safety assessment for multi-unit reactors could be used to approach risk quantification for multi-module designs regardless of their arrangement, this method is still in development. Therefore, independence of multi-module reactors could be an additional consideration for determining the EPZ. Independence could be the parameter that distinguishes which design arrangement EPZ should be classified using total power output or using the overlaid EPZ of each individual module's thermal power output</w:t>
      </w:r>
      <w:r w:rsidR="00E517B0">
        <w:t xml:space="preserve"> </w:t>
      </w:r>
      <w:r w:rsidR="00E517B0">
        <w:fldChar w:fldCharType="begin" w:fldLock="1"/>
      </w:r>
      <w:r w:rsidR="008D11E6">
        <w:instrText>ADDIN CSL_CITATION {"citationItems":[{"id":"ITEM-1","itemData":{"author":[{"dropping-particle":"","family":"Kelk","given":"Rainer","non-dropping-particle":"","parse-names":false,"suffix":""},{"dropping-particle":"","family":"Murad","given":"Afeef","non-dropping-particle":"","parse-names":false,"suffix":""},{"dropping-particle":"","family":"Oliveira","given":"Rodrigo","non-dropping-particle":"De","parse-names":false,"suffix":""},{"dropping-particle":"","family":"Jeltsov","given":"Marti","non-dropping-particle":"","parse-names":false,"suffix":""}],"id":"ITEM-1","issued":{"date-parts":[["2020"]]},"number-of-pages":"17-18","publisher-place":"Tallin","title":"Emergency Planning Zones for Small Modular Reactors","type":"report"},"uris":["http://www.mendeley.com/documents/?uuid=d68dabf9-1de6-4813-ae12-f4e77c65ad2c"]}],"mendeley":{"formattedCitation":"[9]","plainTextFormattedCitation":"[9]","previouslyFormattedCitation":"[9]"},"properties":{"noteIndex":0},"schema":"https://github.com/citation-style-language/schema/raw/master/csl-citation.json"}</w:instrText>
      </w:r>
      <w:r w:rsidR="00E517B0">
        <w:fldChar w:fldCharType="separate"/>
      </w:r>
      <w:r w:rsidR="00587CFF" w:rsidRPr="00587CFF">
        <w:rPr>
          <w:noProof/>
        </w:rPr>
        <w:t>[9]</w:t>
      </w:r>
      <w:r w:rsidR="00E517B0">
        <w:fldChar w:fldCharType="end"/>
      </w:r>
      <w:r w:rsidR="00F71929">
        <w:t xml:space="preserve">. </w:t>
      </w:r>
    </w:p>
    <w:p w14:paraId="25EE12E4" w14:textId="5438EF15" w:rsidR="00B625A0" w:rsidRDefault="00692D2F" w:rsidP="00E202A7">
      <w:r w:rsidRPr="00692D2F">
        <w:t>Several recommendations exist to define parameters regarding independence for multi-module reactors. According to US-NRC, safety-significant SSCs should not be shared between individual reactor modules for the design to be considered independent. If SSCs are shared between individual reactor modules, the design must demonstrate that the shared SSCs will not degrade the safety function of the design. For multi-module SMR designs, at least two shared SSCs should be considered: sharing of the balance of plant system and sharing of the reactor building system</w:t>
      </w:r>
      <w:r w:rsidR="00210DF5">
        <w:t xml:space="preserve"> </w:t>
      </w:r>
      <w:r w:rsidR="00210DF5">
        <w:fldChar w:fldCharType="begin" w:fldLock="1"/>
      </w:r>
      <w:r w:rsidR="008D11E6">
        <w:instrText>ADDIN CSL_CITATION {"citationItems":[{"id":"ITEM-1","itemData":{"author":[{"dropping-particle":"","family":"Nuclear Energy Institute","given":"","non-dropping-particle":"","parse-names":false,"suffix":""}],"id":"ITEM-1","issued":{"date-parts":[["2012"]]},"publisher-place":"Washington D.C.","title":"Position Paper Small Modular Reactor Source Terms","type":"report"},"uris":["http://www.mendeley.com/documents/?uuid=645685ea-8613-496d-9372-9e6d2b02839e"]}],"mendeley":{"formattedCitation":"[11]","plainTextFormattedCitation":"[11]","previouslyFormattedCitation":"[11]"},"properties":{"noteIndex":0},"schema":"https://github.com/citation-style-language/schema/raw/master/csl-citation.json"}</w:instrText>
      </w:r>
      <w:r w:rsidR="00210DF5">
        <w:fldChar w:fldCharType="separate"/>
      </w:r>
      <w:r w:rsidR="00587CFF" w:rsidRPr="00587CFF">
        <w:rPr>
          <w:noProof/>
        </w:rPr>
        <w:t>[11]</w:t>
      </w:r>
      <w:r w:rsidR="00210DF5">
        <w:fldChar w:fldCharType="end"/>
      </w:r>
      <w:r w:rsidR="00B625A0">
        <w:t>.</w:t>
      </w:r>
    </w:p>
    <w:p w14:paraId="08B3922B" w14:textId="5C14ECDA" w:rsidR="005561A5" w:rsidRDefault="00692D2F" w:rsidP="00E202A7">
      <w:r w:rsidRPr="00692D2F">
        <w:t>One example of limiting the sharing of power generation systems among individual modules is to avoid accumulating the total thermal power output in only one system. This configuration could pose additional risks in terms of complexity, interdependency, common cause failure, loss of redundancy, and synchronization to reach balanced load. Thus, if the design employs sharing of the balance of plant, then the source term and EPZ acceptance criteria should be classified using total power output</w:t>
      </w:r>
      <w:r w:rsidR="002F0834">
        <w:t xml:space="preserve"> </w:t>
      </w:r>
      <w:r w:rsidR="002F0834">
        <w:fldChar w:fldCharType="begin" w:fldLock="1"/>
      </w:r>
      <w:r w:rsidR="008D11E6">
        <w:instrText>ADDIN CSL_CITATION {"citationItems":[{"id":"ITEM-1","itemData":{"abstract":"In this advance technology descend and population blast, continuously increasing the power requirement to full fill this requirement increasing power generation. Power generation process lead to consider on the health and safety of people. In this paper show the details of hazard identification and its assessment and with controls parameter such as Hazard Control-controlling of hazards and associated risks with the hazard. Control Measures-providing information on training, supervision on the hazard, education, analysing the risks, controls measure for the employees affected by the hazards with evaluation of hazard. In thermal power plant used coal as a fuel, this type of power plant which is driven by steam and generates electricity by expanding the steam in the boilers and connect turbines to the generators which converts mechanical energy into electrical energy. This type of affect the accidents, injury to human lives, damage to property and environment becomes quite high. For protecting plant from such condition, risk assessment required is must. from the result, we finding operating modes of design and determined the hazard rankings method and applications to find the optimal method safety management, along with the elimination of the source of the hazard effects. Furthermore, an example is shown how to do or calculate the quantitative risk assessment for the various hazards that comes across various operations in hydrocarbon industry.","author":[{"dropping-particle":"","family":"Rath","given":"Susanta Kumar","non-dropping-particle":"","parse-names":false,"suffix":""},{"dropping-particle":"","family":"Khutey","given":"Rupesh Kumar","non-dropping-particle":"","parse-names":false,"suffix":""},{"dropping-particle":"","family":"Gautam","given":"Prayaal","non-dropping-particle":"","parse-names":false,"suffix":""},{"dropping-particle":"","family":"Srivastava","given":"Akash","non-dropping-particle":"","parse-names":false,"suffix":""},{"dropping-particle":"","family":"Singh","given":"Vikash Kumar","non-dropping-particle":"","parse-names":false,"suffix":""}],"container-title":"Www.Ijres.Org","id":"ITEM-1","issue":"8","issued":{"date-parts":[["2022"]]},"page":"177-185","title":"Identification Hazards and Risk Assessment in Power Plant","type":"article-journal","volume":"ISSN"},"uris":["http://www.mendeley.com/documents/?uuid=6429a326-41f4-4385-83b3-268b4cd2f037"]}],"mendeley":{"formattedCitation":"[12]","plainTextFormattedCitation":"[12]","previouslyFormattedCitation":"[12]"},"properties":{"noteIndex":0},"schema":"https://github.com/citation-style-language/schema/raw/master/csl-citation.json"}</w:instrText>
      </w:r>
      <w:r w:rsidR="002F0834">
        <w:fldChar w:fldCharType="separate"/>
      </w:r>
      <w:r w:rsidR="00587CFF" w:rsidRPr="00587CFF">
        <w:rPr>
          <w:noProof/>
        </w:rPr>
        <w:t>[12]</w:t>
      </w:r>
      <w:r w:rsidR="002F0834">
        <w:fldChar w:fldCharType="end"/>
      </w:r>
      <w:r w:rsidR="00B625A0">
        <w:t xml:space="preserve">. </w:t>
      </w:r>
    </w:p>
    <w:p w14:paraId="657AB955" w14:textId="1902F21A" w:rsidR="00B625A0" w:rsidRDefault="003E203A" w:rsidP="00E202A7">
      <w:r w:rsidRPr="003E203A">
        <w:lastRenderedPageBreak/>
        <w:t>Multi-module designs also allow reactors to be located in close proximity to each other within reactor buildings. To demonstrate independence for each individual reactor, the design must show that each reactor, along with its safety systems, is located within a considerable seismic separation. This ensures that the close proximity of each individual reactor will not compromise the safety of other reactors in the event of a seismic event</w:t>
      </w:r>
      <w:r w:rsidR="00210DF5">
        <w:t xml:space="preserve"> </w:t>
      </w:r>
      <w:r w:rsidR="00210DF5">
        <w:fldChar w:fldCharType="begin" w:fldLock="1"/>
      </w:r>
      <w:r w:rsidR="008D11E6">
        <w:instrText>ADDIN CSL_CITATION {"citationItems":[{"id":"ITEM-1","itemData":{"author":[{"dropping-particle":"","family":"American Society of Civil Engineers","given":"","non-dropping-particle":"","parse-names":false,"suffix":""}],"id":"ITEM-1","issued":{"date-parts":[["2019"]]},"publisher":"American Society of Civil Engineers","publisher-place":"Reston, Virginia","title":"ASCE SEI 43-19 Seismic Design Criteria for Structures, Systems, and Components in Nuclear Facilities.pdf","type":"report"},"uris":["http://www.mendeley.com/documents/?uuid=d1a9bb9a-cc78-4e60-94e4-1a28c74dd012"]}],"mendeley":{"formattedCitation":"[13]","plainTextFormattedCitation":"[13]","previouslyFormattedCitation":"[13]"},"properties":{"noteIndex":0},"schema":"https://github.com/citation-style-language/schema/raw/master/csl-citation.json"}</w:instrText>
      </w:r>
      <w:r w:rsidR="00210DF5">
        <w:fldChar w:fldCharType="separate"/>
      </w:r>
      <w:r w:rsidR="00587CFF" w:rsidRPr="00587CFF">
        <w:rPr>
          <w:noProof/>
        </w:rPr>
        <w:t>[13]</w:t>
      </w:r>
      <w:r w:rsidR="00210DF5">
        <w:fldChar w:fldCharType="end"/>
      </w:r>
      <w:r w:rsidR="009706FA">
        <w:t>.</w:t>
      </w:r>
    </w:p>
    <w:p w14:paraId="0293A62B" w14:textId="77777777" w:rsidR="00CA5012" w:rsidRDefault="00CA5012" w:rsidP="00E202A7"/>
    <w:p w14:paraId="5D271DBB" w14:textId="1CE77A56" w:rsidR="003E3821" w:rsidRPr="009A39D6" w:rsidRDefault="009A39D6" w:rsidP="0061699C">
      <w:pPr>
        <w:pStyle w:val="Heading1"/>
        <w:rPr>
          <w:noProof/>
        </w:rPr>
      </w:pPr>
      <w:r>
        <w:rPr>
          <w:noProof/>
        </w:rPr>
        <w:t>CONCLUSION</w:t>
      </w:r>
    </w:p>
    <w:p w14:paraId="60817463" w14:textId="77777777" w:rsidR="003E203A" w:rsidRPr="003E203A" w:rsidRDefault="003E203A" w:rsidP="003E203A">
      <w:pPr>
        <w:rPr>
          <w:rFonts w:cs="Times New Roman"/>
          <w:noProof/>
          <w:szCs w:val="24"/>
        </w:rPr>
      </w:pPr>
      <w:r w:rsidRPr="003E203A">
        <w:rPr>
          <w:rFonts w:cs="Times New Roman"/>
          <w:noProof/>
          <w:szCs w:val="24"/>
        </w:rPr>
        <w:t>When evaluating multi-module SMR EPZ, independence between individual modules can be adopted as the acceptance criteria for EPZ determination. This consideration is crucial to ensure that the release of radioactive material from one module in any accident scenario does not affect other modules. It also implies that any interconnection, including shared safety-significant SSCs and unconsidered close proximity of components between modules, could compromise the independence of the multi-module SMR source term and acceptance criteria. Interconnections may lead to the source term determination considering the design as one large reactor system.</w:t>
      </w:r>
    </w:p>
    <w:p w14:paraId="64E3AA9C" w14:textId="777EB4D8" w:rsidR="00225103" w:rsidRDefault="003E203A" w:rsidP="003E203A">
      <w:pPr>
        <w:rPr>
          <w:rFonts w:cs="Times New Roman"/>
          <w:noProof/>
          <w:szCs w:val="24"/>
        </w:rPr>
      </w:pPr>
      <w:r w:rsidRPr="003E203A">
        <w:rPr>
          <w:rFonts w:cs="Times New Roman"/>
          <w:noProof/>
          <w:szCs w:val="24"/>
        </w:rPr>
        <w:t>BAPETEN, with its existing power classification for EPZ acceptance criteria, could apply independence consideration in EPZ acceptance criteria for multi-module SMR EPZ. By applying this independence consideration, the EPZ radius of independent multi-module SMRs would differ from the EPZ radius of interconnected multi-module SMRs. In an independent SMR design, the EPZ could be accepted as the overlay radius of each individual EPZ. Conversely, the EPZ for interconnected designs should be accepted as one large reactor unit. This approach ensures that the EPZ acceptance criteria still credit the technological advancement without compromising the risk level of the design.</w:t>
      </w:r>
      <w:r w:rsidR="002424A1">
        <w:rPr>
          <w:rFonts w:cs="Times New Roman"/>
          <w:noProof/>
          <w:szCs w:val="24"/>
        </w:rPr>
        <w:t>.</w:t>
      </w:r>
    </w:p>
    <w:p w14:paraId="42110F02" w14:textId="77777777" w:rsidR="004E6C16" w:rsidRDefault="004E6C16" w:rsidP="004E6C16">
      <w:pPr>
        <w:rPr>
          <w:noProof/>
          <w:lang w:val="id-ID"/>
        </w:rPr>
      </w:pPr>
    </w:p>
    <w:p w14:paraId="0409E1BD" w14:textId="2EE9DDDC" w:rsidR="00065D1E" w:rsidRPr="00BC14A4" w:rsidRDefault="009A39D6" w:rsidP="00BC14A4">
      <w:pPr>
        <w:pStyle w:val="Heading1"/>
        <w:numPr>
          <w:ilvl w:val="0"/>
          <w:numId w:val="0"/>
        </w:numPr>
        <w:ind w:left="567"/>
        <w:jc w:val="center"/>
        <w:rPr>
          <w:b/>
          <w:bCs/>
          <w:noProof/>
        </w:rPr>
      </w:pPr>
      <w:r w:rsidRPr="00BC14A4">
        <w:rPr>
          <w:b/>
          <w:bCs/>
          <w:noProof/>
        </w:rPr>
        <w:t>ACKNOWLEDGEMENT</w:t>
      </w:r>
    </w:p>
    <w:p w14:paraId="3A4074B3" w14:textId="3742247A" w:rsidR="002C4942" w:rsidRDefault="002C4942" w:rsidP="002C4942">
      <w:pPr>
        <w:ind w:firstLine="284"/>
        <w:rPr>
          <w:kern w:val="0"/>
          <w:szCs w:val="20"/>
          <w:lang w:val="id-ID"/>
        </w:rPr>
      </w:pPr>
      <w:r w:rsidRPr="002C4942">
        <w:rPr>
          <w:noProof/>
          <w:lang w:val="id-ID"/>
        </w:rPr>
        <w:t xml:space="preserve">This </w:t>
      </w:r>
      <w:r>
        <w:rPr>
          <w:noProof/>
        </w:rPr>
        <w:t xml:space="preserve">study </w:t>
      </w:r>
      <w:r w:rsidRPr="002C4942">
        <w:rPr>
          <w:noProof/>
          <w:lang w:val="id-ID"/>
        </w:rPr>
        <w:t xml:space="preserve">was supported by the </w:t>
      </w:r>
      <w:bookmarkStart w:id="1" w:name="_Hlk159832822"/>
      <w:r>
        <w:rPr>
          <w:noProof/>
        </w:rPr>
        <w:t>Centre of Regulatory Safety Assessment of Nuclear Installation and Material</w:t>
      </w:r>
      <w:bookmarkEnd w:id="1"/>
      <w:r w:rsidRPr="002C4942">
        <w:rPr>
          <w:noProof/>
          <w:lang w:val="id-ID"/>
        </w:rPr>
        <w:t>, Nuclear</w:t>
      </w:r>
      <w:r>
        <w:rPr>
          <w:noProof/>
        </w:rPr>
        <w:t>,</w:t>
      </w:r>
      <w:r w:rsidRPr="002C4942">
        <w:rPr>
          <w:noProof/>
          <w:lang w:val="id-ID"/>
        </w:rPr>
        <w:t xml:space="preserve"> Energy Regulatory Agency (BAPETEN), which we are gratefully acknowledged.</w:t>
      </w:r>
      <w:r>
        <w:rPr>
          <w:noProof/>
        </w:rPr>
        <w:t xml:space="preserve"> </w:t>
      </w:r>
      <w:r>
        <w:t xml:space="preserve">The authors also highly appreciate the valuable presentation and discussion related to the multi-module SMR EPZ determination given by Dr. Muhammad Budi Setiawan from the </w:t>
      </w:r>
      <w:r w:rsidR="00D53504">
        <w:t xml:space="preserve">Research Center of Nuclear Reactor Technology </w:t>
      </w:r>
      <w:r>
        <w:t xml:space="preserve">of </w:t>
      </w:r>
      <w:r w:rsidR="00D53504">
        <w:t xml:space="preserve">National </w:t>
      </w:r>
      <w:proofErr w:type="spellStart"/>
      <w:r w:rsidR="00D53504">
        <w:t>Risearch</w:t>
      </w:r>
      <w:proofErr w:type="spellEnd"/>
      <w:r w:rsidR="00D53504">
        <w:t xml:space="preserve"> and Innovation Agency (BRIN)</w:t>
      </w:r>
      <w:r>
        <w:t>.</w:t>
      </w:r>
    </w:p>
    <w:p w14:paraId="10C4E6A4" w14:textId="39A0376C" w:rsidR="00995324" w:rsidRPr="00BC14A4" w:rsidRDefault="00D53504" w:rsidP="00BC14A4">
      <w:pPr>
        <w:pStyle w:val="Heading1"/>
        <w:numPr>
          <w:ilvl w:val="0"/>
          <w:numId w:val="0"/>
        </w:numPr>
        <w:ind w:left="567"/>
        <w:jc w:val="center"/>
        <w:rPr>
          <w:b/>
          <w:bCs/>
          <w:noProof/>
        </w:rPr>
      </w:pPr>
      <w:r w:rsidRPr="00BC14A4">
        <w:rPr>
          <w:b/>
          <w:bCs/>
          <w:noProof/>
        </w:rPr>
        <w:t>REFERENCES</w:t>
      </w:r>
    </w:p>
    <w:p w14:paraId="2697D278" w14:textId="7BEDDE3B" w:rsidR="008D11E6" w:rsidRPr="008D11E6" w:rsidRDefault="00134C1F" w:rsidP="00E00FA4">
      <w:pPr>
        <w:wordWrap/>
        <w:adjustRightInd w:val="0"/>
        <w:spacing w:before="0" w:beforeAutospacing="0" w:after="0" w:afterAutospacing="0"/>
        <w:ind w:left="640" w:hanging="640"/>
        <w:rPr>
          <w:rFonts w:cs="Times New Roman"/>
          <w:noProof/>
          <w:kern w:val="0"/>
          <w:szCs w:val="24"/>
        </w:rPr>
      </w:pPr>
      <w:r w:rsidRPr="00781FDC">
        <w:rPr>
          <w:rFonts w:cs="Times New Roman"/>
          <w:noProof/>
          <w:szCs w:val="24"/>
          <w:lang w:val="id-ID"/>
        </w:rPr>
        <w:fldChar w:fldCharType="begin" w:fldLock="1"/>
      </w:r>
      <w:r w:rsidRPr="00781FDC">
        <w:rPr>
          <w:rFonts w:cs="Times New Roman"/>
          <w:noProof/>
          <w:szCs w:val="24"/>
          <w:lang w:val="id-ID"/>
        </w:rPr>
        <w:instrText xml:space="preserve">ADDIN Mendeley Bibliography CSL_BIBLIOGRAPHY </w:instrText>
      </w:r>
      <w:r w:rsidRPr="00781FDC">
        <w:rPr>
          <w:rFonts w:cs="Times New Roman"/>
          <w:noProof/>
          <w:szCs w:val="24"/>
          <w:lang w:val="id-ID"/>
        </w:rPr>
        <w:fldChar w:fldCharType="separate"/>
      </w:r>
      <w:r w:rsidR="008D11E6" w:rsidRPr="008D11E6">
        <w:rPr>
          <w:rFonts w:cs="Times New Roman"/>
          <w:noProof/>
          <w:kern w:val="0"/>
          <w:szCs w:val="24"/>
        </w:rPr>
        <w:t>[1]</w:t>
      </w:r>
      <w:r w:rsidR="008D11E6" w:rsidRPr="008D11E6">
        <w:rPr>
          <w:rFonts w:cs="Times New Roman"/>
          <w:noProof/>
          <w:kern w:val="0"/>
          <w:szCs w:val="24"/>
        </w:rPr>
        <w:tab/>
        <w:t>SMALL MODULAR REACTORS REGULATORS’ FORUM, Small Modular Reactors Regulators’ Forum: Design and Safety Analysis Working Group Report on Multi-Unit/Multi-Module Aspects Specific to SMRs INTERIM REPORT, Viena (2019).</w:t>
      </w:r>
    </w:p>
    <w:p w14:paraId="29720C2E"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[2]</w:t>
      </w:r>
      <w:r w:rsidRPr="008D11E6">
        <w:rPr>
          <w:rFonts w:cs="Times New Roman"/>
          <w:noProof/>
          <w:kern w:val="0"/>
          <w:szCs w:val="24"/>
        </w:rPr>
        <w:tab/>
        <w:t>ILVONEN, M., Review of SMR Siting and Emergency Preparedness, Espoo (2022).</w:t>
      </w:r>
    </w:p>
    <w:p w14:paraId="1749F83C"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[3]</w:t>
      </w:r>
      <w:r w:rsidRPr="008D11E6">
        <w:rPr>
          <w:rFonts w:cs="Times New Roman"/>
          <w:noProof/>
          <w:kern w:val="0"/>
          <w:szCs w:val="24"/>
        </w:rPr>
        <w:tab/>
        <w:t>INDONESIA NATIONAL LEGAL DEVELOPMENT AGENCY, Law Analysis and Evalutaion Guideline No. PHN-01.HN.01.03 of 2019, National Legal Development Agency, Jakarta (2019).</w:t>
      </w:r>
    </w:p>
    <w:p w14:paraId="0BC4E021"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[4]</w:t>
      </w:r>
      <w:r w:rsidRPr="008D11E6">
        <w:rPr>
          <w:rFonts w:cs="Times New Roman"/>
          <w:noProof/>
          <w:kern w:val="0"/>
          <w:szCs w:val="24"/>
        </w:rPr>
        <w:tab/>
        <w:t>IAEA, Actions to Protect the Public in an Emergency Due to Severe Conditions at a Light Water Reactor, Vol. 3, IAEA, Viena (2013).</w:t>
      </w:r>
    </w:p>
    <w:p w14:paraId="1AD70CA9"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[5]</w:t>
      </w:r>
      <w:r w:rsidRPr="008D11E6">
        <w:rPr>
          <w:rFonts w:cs="Times New Roman"/>
          <w:noProof/>
          <w:kern w:val="0"/>
          <w:szCs w:val="24"/>
        </w:rPr>
        <w:tab/>
        <w:t>PARK, S., MOON, H., LEE, S., Review of Accident Screening Criteria for Evaluating SMR EPZ, (2023) 18.</w:t>
      </w:r>
    </w:p>
    <w:p w14:paraId="470D6B7D"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[6]</w:t>
      </w:r>
      <w:r w:rsidRPr="008D11E6">
        <w:rPr>
          <w:rFonts w:cs="Times New Roman"/>
          <w:noProof/>
          <w:kern w:val="0"/>
          <w:szCs w:val="24"/>
        </w:rPr>
        <w:tab/>
        <w:t>IAEA, General Safety Requirements No.7 Preparedness and Response for a Nuclear or Radiological Emergency, Vienna (2015) 102 pp.</w:t>
      </w:r>
    </w:p>
    <w:p w14:paraId="68E167CF"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[7]</w:t>
      </w:r>
      <w:r w:rsidRPr="008D11E6">
        <w:rPr>
          <w:rFonts w:cs="Times New Roman"/>
          <w:noProof/>
          <w:kern w:val="0"/>
          <w:szCs w:val="24"/>
        </w:rPr>
        <w:tab/>
        <w:t>SMALL MODULAR REACTORS REGULATORS’ FORUM, SMR Regulators’ Forum Pilot Project Report: Report from Working Group on Emergency Planning Zone, Vienna (2018).</w:t>
      </w:r>
    </w:p>
    <w:p w14:paraId="2A586264"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[8]</w:t>
      </w:r>
      <w:r w:rsidRPr="008D11E6">
        <w:rPr>
          <w:rFonts w:cs="Times New Roman"/>
          <w:noProof/>
          <w:kern w:val="0"/>
          <w:szCs w:val="24"/>
        </w:rPr>
        <w:tab/>
        <w:t>IAEA, TECDOC 1652 Small Reactors Without On-Site Refuelling: Neutron Characteristics, Emergency Planning and Development Scenarios, Vienna (2010).</w:t>
      </w:r>
    </w:p>
    <w:p w14:paraId="1BC36947"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[9]</w:t>
      </w:r>
      <w:r w:rsidRPr="008D11E6">
        <w:rPr>
          <w:rFonts w:cs="Times New Roman"/>
          <w:noProof/>
          <w:kern w:val="0"/>
          <w:szCs w:val="24"/>
        </w:rPr>
        <w:tab/>
        <w:t>KELK, R., MURAD, A., DE OLIVEIRA, R., JELTSOV, M., Emergency Planning Zones for Small Modular Reactors, Tallin (2020) 17–18 pp.</w:t>
      </w:r>
    </w:p>
    <w:p w14:paraId="32AA7F31"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[10]</w:t>
      </w:r>
      <w:r w:rsidRPr="008D11E6">
        <w:rPr>
          <w:rFonts w:cs="Times New Roman"/>
          <w:noProof/>
          <w:kern w:val="0"/>
          <w:szCs w:val="24"/>
        </w:rPr>
        <w:tab/>
        <w:t>KIM, K., KIM, S., HAN, S., NATTO, O., A Study of Emergency Planning Zone ( EPZ ) Establishment for A Multi-Module SMR, Mm (2021) 21.</w:t>
      </w:r>
    </w:p>
    <w:p w14:paraId="51DE4FB2"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[11]</w:t>
      </w:r>
      <w:r w:rsidRPr="008D11E6">
        <w:rPr>
          <w:rFonts w:cs="Times New Roman"/>
          <w:noProof/>
          <w:kern w:val="0"/>
          <w:szCs w:val="24"/>
        </w:rPr>
        <w:tab/>
        <w:t xml:space="preserve">NUCLEAR ENERGY INSTITUTE, Position Paper Small Modular Reactor Source Terms, Washington </w:t>
      </w:r>
      <w:r w:rsidRPr="008D11E6">
        <w:rPr>
          <w:rFonts w:cs="Times New Roman"/>
          <w:noProof/>
          <w:kern w:val="0"/>
          <w:szCs w:val="24"/>
        </w:rPr>
        <w:lastRenderedPageBreak/>
        <w:t>D.C. (2012).</w:t>
      </w:r>
    </w:p>
    <w:p w14:paraId="58A431C9" w14:textId="77777777" w:rsidR="008D11E6" w:rsidRPr="008D11E6" w:rsidRDefault="008D11E6" w:rsidP="00E00FA4">
      <w:pPr>
        <w:wordWrap/>
        <w:adjustRightInd w:val="0"/>
        <w:spacing w:before="0" w:beforeAutospacing="0" w:after="0" w:afterAutospacing="0"/>
        <w:ind w:left="640" w:hanging="640"/>
        <w:rPr>
          <w:rFonts w:cs="Times New Roman"/>
          <w:noProof/>
          <w:kern w:val="0"/>
          <w:szCs w:val="24"/>
        </w:rPr>
      </w:pPr>
      <w:r w:rsidRPr="008D11E6">
        <w:rPr>
          <w:rFonts w:cs="Times New Roman"/>
          <w:noProof/>
          <w:kern w:val="0"/>
          <w:szCs w:val="24"/>
        </w:rPr>
        <w:t>[12]</w:t>
      </w:r>
      <w:r w:rsidRPr="008D11E6">
        <w:rPr>
          <w:rFonts w:cs="Times New Roman"/>
          <w:noProof/>
          <w:kern w:val="0"/>
          <w:szCs w:val="24"/>
        </w:rPr>
        <w:tab/>
        <w:t xml:space="preserve">RATH, S.K., KHUTEY, R.K., GAUTAM, P., SRIVASTAVA, A., SINGH, V.K., Identification Hazards and Risk Assessment in Power Plant, Www.Ijres.Org </w:t>
      </w:r>
      <w:r w:rsidRPr="008D11E6">
        <w:rPr>
          <w:rFonts w:cs="Times New Roman"/>
          <w:b/>
          <w:bCs/>
          <w:noProof/>
          <w:kern w:val="0"/>
          <w:szCs w:val="24"/>
        </w:rPr>
        <w:t>ISSN</w:t>
      </w:r>
      <w:r w:rsidRPr="008D11E6">
        <w:rPr>
          <w:rFonts w:cs="Times New Roman"/>
          <w:noProof/>
          <w:kern w:val="0"/>
          <w:szCs w:val="24"/>
        </w:rPr>
        <w:t xml:space="preserve"> 8 (2022) 177.</w:t>
      </w:r>
    </w:p>
    <w:p w14:paraId="2E16C8DB" w14:textId="77777777" w:rsidR="008D11E6" w:rsidRPr="008D11E6" w:rsidRDefault="008D11E6" w:rsidP="00E00FA4">
      <w:pPr>
        <w:wordWrap/>
        <w:adjustRightInd w:val="0"/>
        <w:spacing w:before="0" w:beforeAutospacing="0" w:after="0" w:afterAutospacing="0"/>
        <w:ind w:left="640" w:hanging="640"/>
        <w:rPr>
          <w:rFonts w:cs="Times New Roman"/>
          <w:noProof/>
        </w:rPr>
      </w:pPr>
      <w:r w:rsidRPr="008D11E6">
        <w:rPr>
          <w:rFonts w:cs="Times New Roman"/>
          <w:noProof/>
          <w:kern w:val="0"/>
          <w:szCs w:val="24"/>
        </w:rPr>
        <w:t>[13]</w:t>
      </w:r>
      <w:r w:rsidRPr="008D11E6">
        <w:rPr>
          <w:rFonts w:cs="Times New Roman"/>
          <w:noProof/>
          <w:kern w:val="0"/>
          <w:szCs w:val="24"/>
        </w:rPr>
        <w:tab/>
        <w:t>AMERICAN SOCIETY OF CIVIL ENGINEERS, ASCE SEI 43-19 Seismic Design Criteria for Structures, Systems, and Components in Nuclear Facilities.Pdf, American Society of Civil Engineers, Reston, Virginia (2019).</w:t>
      </w:r>
    </w:p>
    <w:p w14:paraId="45A64B36" w14:textId="0AD0659D" w:rsidR="003E3821" w:rsidRPr="00781FDC" w:rsidRDefault="00134C1F" w:rsidP="00E00FA4">
      <w:pPr>
        <w:widowControl/>
        <w:wordWrap/>
        <w:spacing w:before="0" w:beforeAutospacing="0" w:after="0" w:afterAutospacing="0"/>
        <w:rPr>
          <w:rFonts w:cs="Times New Roman"/>
          <w:noProof/>
          <w:szCs w:val="24"/>
          <w:lang w:val="id-ID"/>
        </w:rPr>
      </w:pPr>
      <w:r w:rsidRPr="00781FDC">
        <w:rPr>
          <w:rFonts w:cs="Times New Roman"/>
          <w:noProof/>
          <w:szCs w:val="24"/>
          <w:lang w:val="id-ID"/>
        </w:rPr>
        <w:fldChar w:fldCharType="end"/>
      </w:r>
    </w:p>
    <w:sectPr w:rsidR="003E3821" w:rsidRPr="00781FDC" w:rsidSect="00045C67">
      <w:headerReference w:type="even" r:id="rId10"/>
      <w:headerReference w:type="default" r:id="rId11"/>
      <w:pgSz w:w="11900" w:h="16840"/>
      <w:pgMar w:top="1440" w:right="1440" w:bottom="1440" w:left="1440" w:header="53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E9081" w14:textId="77777777" w:rsidR="006A4CE2" w:rsidRDefault="006A4CE2" w:rsidP="00045C67">
      <w:pPr>
        <w:spacing w:before="0" w:after="0"/>
      </w:pPr>
      <w:r>
        <w:separator/>
      </w:r>
    </w:p>
  </w:endnote>
  <w:endnote w:type="continuationSeparator" w:id="0">
    <w:p w14:paraId="7FDB86A8" w14:textId="77777777" w:rsidR="006A4CE2" w:rsidRDefault="006A4CE2" w:rsidP="00045C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BE449" w14:textId="77777777" w:rsidR="006A4CE2" w:rsidRDefault="006A4CE2" w:rsidP="00045C67">
      <w:pPr>
        <w:spacing w:before="0" w:after="0"/>
      </w:pPr>
      <w:r>
        <w:separator/>
      </w:r>
    </w:p>
  </w:footnote>
  <w:footnote w:type="continuationSeparator" w:id="0">
    <w:p w14:paraId="69C3818D" w14:textId="77777777" w:rsidR="006A4CE2" w:rsidRDefault="006A4CE2" w:rsidP="00045C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B882" w14:textId="02E0CF2B" w:rsidR="00045C67" w:rsidRDefault="00045C67" w:rsidP="00045C67">
    <w:pPr>
      <w:pStyle w:val="Runninghead"/>
    </w:pPr>
    <w:r>
      <w:tab/>
      <w:t>IAEA-CN-</w:t>
    </w:r>
    <w:r w:rsidR="00B259C0">
      <w:t>111</w:t>
    </w:r>
  </w:p>
  <w:p w14:paraId="449E34BB" w14:textId="42AACF1F" w:rsidR="00045C67" w:rsidRPr="00045C67" w:rsidRDefault="00045C67" w:rsidP="00045C67">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 xml:space="preserve">t bold capitals, </w:t>
    </w:r>
    <w:proofErr w:type="spellStart"/>
    <w:r w:rsidRPr="009E1558">
      <w:rPr>
        <w:color w:val="BFBFBF" w:themeColor="background1" w:themeShade="BF"/>
        <w:sz w:val="16"/>
        <w:szCs w:val="16"/>
      </w:rPr>
      <w:t>centred</w:t>
    </w:r>
    <w:proofErr w:type="spellEnd"/>
    <w:r w:rsidRPr="00AC5A3A">
      <w:rPr>
        <w:color w:val="BFBFBF" w:themeColor="background1" w:themeShade="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0E666" w14:textId="7E55AF2E" w:rsidR="00045C67" w:rsidRDefault="00045C67" w:rsidP="00045C67">
    <w:pPr>
      <w:pStyle w:val="Runninghead"/>
    </w:pPr>
    <w:r>
      <w:t>Muhammad Rifqi Harahap et al.</w:t>
    </w:r>
  </w:p>
  <w:p w14:paraId="4A838D9A" w14:textId="77777777" w:rsidR="00045C67" w:rsidRPr="009E1558" w:rsidRDefault="00045C67" w:rsidP="00045C67">
    <w:pPr>
      <w:spacing w:before="0" w:beforeAutospacing="0" w:after="0" w:afterAutospacing="0"/>
      <w:jc w:val="center"/>
      <w:rPr>
        <w:color w:val="BFBFBF" w:themeColor="background1" w:themeShade="BF"/>
        <w:sz w:val="16"/>
        <w:szCs w:val="16"/>
      </w:rPr>
    </w:pPr>
    <w:r>
      <w:rPr>
        <w:color w:val="BFBFBF" w:themeColor="background1" w:themeShade="BF"/>
        <w:sz w:val="16"/>
        <w:szCs w:val="16"/>
      </w:rPr>
      <w:t>[</w:t>
    </w:r>
    <w:r w:rsidRPr="009E1558">
      <w:rPr>
        <w:color w:val="BFBFBF" w:themeColor="background1" w:themeShade="BF"/>
        <w:sz w:val="16"/>
        <w:szCs w:val="16"/>
      </w:rPr>
      <w:t>Left hand page running head is author’s name in Times New Roman 8 p</w:t>
    </w:r>
    <w:r>
      <w:rPr>
        <w:color w:val="BFBFBF" w:themeColor="background1" w:themeShade="BF"/>
        <w:sz w:val="16"/>
        <w:szCs w:val="16"/>
      </w:rPr>
      <w:t>oin</w:t>
    </w:r>
    <w:r w:rsidRPr="009E1558">
      <w:rPr>
        <w:color w:val="BFBFBF" w:themeColor="background1" w:themeShade="BF"/>
        <w:sz w:val="16"/>
        <w:szCs w:val="16"/>
      </w:rPr>
      <w:t xml:space="preserve">t bold capitals, </w:t>
    </w:r>
    <w:proofErr w:type="spellStart"/>
    <w:r w:rsidRPr="009E1558">
      <w:rPr>
        <w:color w:val="BFBFBF" w:themeColor="background1" w:themeShade="BF"/>
        <w:sz w:val="16"/>
        <w:szCs w:val="16"/>
      </w:rPr>
      <w:t>centred</w:t>
    </w:r>
    <w:proofErr w:type="spellEnd"/>
    <w:r>
      <w:rPr>
        <w:color w:val="BFBFBF" w:themeColor="background1" w:themeShade="BF"/>
        <w:sz w:val="16"/>
        <w:szCs w:val="16"/>
      </w:rPr>
      <w:t>. F</w:t>
    </w:r>
    <w:r w:rsidRPr="009E1558">
      <w:rPr>
        <w:color w:val="BFBFBF" w:themeColor="background1" w:themeShade="BF"/>
        <w:sz w:val="16"/>
        <w:szCs w:val="16"/>
      </w:rPr>
      <w:t xml:space="preserve">or more </w:t>
    </w:r>
    <w:r>
      <w:rPr>
        <w:color w:val="BFBFBF" w:themeColor="background1" w:themeShade="BF"/>
        <w:sz w:val="16"/>
        <w:szCs w:val="16"/>
      </w:rPr>
      <w:t xml:space="preserve">than two </w:t>
    </w:r>
    <w:r w:rsidRPr="009E1558">
      <w:rPr>
        <w:color w:val="BFBFBF" w:themeColor="background1" w:themeShade="BF"/>
        <w:sz w:val="16"/>
        <w:szCs w:val="16"/>
      </w:rPr>
      <w:t>authors</w:t>
    </w:r>
    <w:r>
      <w:rPr>
        <w:color w:val="BFBFBF" w:themeColor="background1" w:themeShade="BF"/>
        <w:sz w:val="16"/>
        <w:szCs w:val="16"/>
      </w:rPr>
      <w:t>,</w:t>
    </w:r>
    <w:r w:rsidRPr="009E1558">
      <w:rPr>
        <w:color w:val="BFBFBF" w:themeColor="background1" w:themeShade="BF"/>
        <w:sz w:val="16"/>
        <w:szCs w:val="16"/>
      </w:rPr>
      <w:t xml:space="preserve"> write </w:t>
    </w:r>
    <w:r>
      <w:rPr>
        <w:b/>
        <w:color w:val="BFBFBF" w:themeColor="background1" w:themeShade="BF"/>
        <w:sz w:val="16"/>
        <w:szCs w:val="16"/>
      </w:rPr>
      <w:t>AUTHOR</w:t>
    </w:r>
    <w:r w:rsidRPr="009E1558">
      <w:rPr>
        <w:b/>
        <w:color w:val="BFBFBF" w:themeColor="background1" w:themeShade="BF"/>
        <w:sz w:val="16"/>
        <w:szCs w:val="16"/>
      </w:rPr>
      <w:t xml:space="preserve"> et al.</w:t>
    </w:r>
    <w:r w:rsidRPr="00AC5A3A">
      <w:rPr>
        <w:color w:val="BFBFBF" w:themeColor="background1" w:themeShade="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5"/>
    <w:multiLevelType w:val="multilevel"/>
    <w:tmpl w:val="00000005"/>
    <w:name w:val="WWNum8"/>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0000006"/>
    <w:multiLevelType w:val="multilevel"/>
    <w:tmpl w:val="00000006"/>
    <w:name w:val="WWNum10"/>
    <w:lvl w:ilvl="0">
      <w:start w:val="1"/>
      <w:numFmt w:val="lowerLetter"/>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00416D45"/>
    <w:multiLevelType w:val="hybridMultilevel"/>
    <w:tmpl w:val="129A228E"/>
    <w:lvl w:ilvl="0" w:tplc="7A5EC9BC">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177BF3"/>
    <w:multiLevelType w:val="hybridMultilevel"/>
    <w:tmpl w:val="CABE8B34"/>
    <w:lvl w:ilvl="0" w:tplc="38090011">
      <w:start w:val="1"/>
      <w:numFmt w:val="decimal"/>
      <w:lvlText w:val="%1)"/>
      <w:lvlJc w:val="left"/>
      <w:pPr>
        <w:ind w:left="1008" w:hanging="360"/>
      </w:pPr>
    </w:lvl>
    <w:lvl w:ilvl="1" w:tplc="38090019" w:tentative="1">
      <w:start w:val="1"/>
      <w:numFmt w:val="lowerLetter"/>
      <w:lvlText w:val="%2."/>
      <w:lvlJc w:val="left"/>
      <w:pPr>
        <w:ind w:left="1728" w:hanging="360"/>
      </w:pPr>
    </w:lvl>
    <w:lvl w:ilvl="2" w:tplc="3809001B" w:tentative="1">
      <w:start w:val="1"/>
      <w:numFmt w:val="lowerRoman"/>
      <w:lvlText w:val="%3."/>
      <w:lvlJc w:val="right"/>
      <w:pPr>
        <w:ind w:left="2448" w:hanging="180"/>
      </w:pPr>
    </w:lvl>
    <w:lvl w:ilvl="3" w:tplc="3809000F" w:tentative="1">
      <w:start w:val="1"/>
      <w:numFmt w:val="decimal"/>
      <w:lvlText w:val="%4."/>
      <w:lvlJc w:val="left"/>
      <w:pPr>
        <w:ind w:left="3168" w:hanging="360"/>
      </w:pPr>
    </w:lvl>
    <w:lvl w:ilvl="4" w:tplc="38090019" w:tentative="1">
      <w:start w:val="1"/>
      <w:numFmt w:val="lowerLetter"/>
      <w:lvlText w:val="%5."/>
      <w:lvlJc w:val="left"/>
      <w:pPr>
        <w:ind w:left="3888" w:hanging="360"/>
      </w:pPr>
    </w:lvl>
    <w:lvl w:ilvl="5" w:tplc="3809001B" w:tentative="1">
      <w:start w:val="1"/>
      <w:numFmt w:val="lowerRoman"/>
      <w:lvlText w:val="%6."/>
      <w:lvlJc w:val="right"/>
      <w:pPr>
        <w:ind w:left="4608" w:hanging="180"/>
      </w:pPr>
    </w:lvl>
    <w:lvl w:ilvl="6" w:tplc="3809000F" w:tentative="1">
      <w:start w:val="1"/>
      <w:numFmt w:val="decimal"/>
      <w:lvlText w:val="%7."/>
      <w:lvlJc w:val="left"/>
      <w:pPr>
        <w:ind w:left="5328" w:hanging="360"/>
      </w:pPr>
    </w:lvl>
    <w:lvl w:ilvl="7" w:tplc="38090019" w:tentative="1">
      <w:start w:val="1"/>
      <w:numFmt w:val="lowerLetter"/>
      <w:lvlText w:val="%8."/>
      <w:lvlJc w:val="left"/>
      <w:pPr>
        <w:ind w:left="6048" w:hanging="360"/>
      </w:pPr>
    </w:lvl>
    <w:lvl w:ilvl="8" w:tplc="3809001B" w:tentative="1">
      <w:start w:val="1"/>
      <w:numFmt w:val="lowerRoman"/>
      <w:lvlText w:val="%9."/>
      <w:lvlJc w:val="right"/>
      <w:pPr>
        <w:ind w:left="6768" w:hanging="180"/>
      </w:pPr>
    </w:lvl>
  </w:abstractNum>
  <w:abstractNum w:abstractNumId="5" w15:restartNumberingAfterBreak="0">
    <w:nsid w:val="1E067B09"/>
    <w:multiLevelType w:val="hybridMultilevel"/>
    <w:tmpl w:val="4718EBCE"/>
    <w:lvl w:ilvl="0" w:tplc="D8E2154C">
      <w:start w:val="1"/>
      <w:numFmt w:val="decimal"/>
      <w:lvlText w:val="%1."/>
      <w:lvlJc w:val="left"/>
      <w:pPr>
        <w:ind w:left="648" w:hanging="360"/>
      </w:pPr>
      <w:rPr>
        <w:rFonts w:hint="default"/>
        <w:b w:val="0"/>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6" w15:restartNumberingAfterBreak="0">
    <w:nsid w:val="22000E59"/>
    <w:multiLevelType w:val="multilevel"/>
    <w:tmpl w:val="CAC0D3F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4237C3B"/>
    <w:multiLevelType w:val="hybridMultilevel"/>
    <w:tmpl w:val="829C0698"/>
    <w:lvl w:ilvl="0" w:tplc="C1E2A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D26D0"/>
    <w:multiLevelType w:val="hybridMultilevel"/>
    <w:tmpl w:val="835612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B5579EE"/>
    <w:multiLevelType w:val="hybridMultilevel"/>
    <w:tmpl w:val="EB6A05E4"/>
    <w:lvl w:ilvl="0" w:tplc="38090001">
      <w:start w:val="1"/>
      <w:numFmt w:val="bullet"/>
      <w:lvlText w:val=""/>
      <w:lvlJc w:val="left"/>
      <w:pPr>
        <w:ind w:left="780" w:hanging="360"/>
      </w:pPr>
      <w:rPr>
        <w:rFonts w:ascii="Symbol" w:hAnsi="Symbol"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10" w15:restartNumberingAfterBreak="0">
    <w:nsid w:val="3CD4440C"/>
    <w:multiLevelType w:val="hybridMultilevel"/>
    <w:tmpl w:val="0E2E403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DDF46E1"/>
    <w:multiLevelType w:val="hybridMultilevel"/>
    <w:tmpl w:val="0E2E403A"/>
    <w:lvl w:ilvl="0" w:tplc="56AC613E">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43A970B7"/>
    <w:multiLevelType w:val="hybridMultilevel"/>
    <w:tmpl w:val="5FA0F4DA"/>
    <w:lvl w:ilvl="0" w:tplc="DC6A67C2">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CF1755D"/>
    <w:multiLevelType w:val="multilevel"/>
    <w:tmpl w:val="02B41A5C"/>
    <w:styleLink w:val="Rekaman"/>
    <w:lvl w:ilvl="0">
      <w:start w:val="1"/>
      <w:numFmt w:val="upperLetter"/>
      <w:lvlText w:val="%1."/>
      <w:lvlJc w:val="left"/>
      <w:pPr>
        <w:ind w:left="360" w:hanging="36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077" w:hanging="357"/>
      </w:pPr>
      <w:rPr>
        <w:rFonts w:hint="default"/>
      </w:rPr>
    </w:lvl>
    <w:lvl w:ilvl="4">
      <w:start w:val="1"/>
      <w:numFmt w:val="lowerLetter"/>
      <w:lvlText w:val="%5)"/>
      <w:lvlJc w:val="left"/>
      <w:pPr>
        <w:ind w:left="1440" w:hanging="36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347B2E"/>
    <w:multiLevelType w:val="hybridMultilevel"/>
    <w:tmpl w:val="ED3227DC"/>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786167B0"/>
    <w:multiLevelType w:val="hybridMultilevel"/>
    <w:tmpl w:val="325AF02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A8A649B"/>
    <w:multiLevelType w:val="hybridMultilevel"/>
    <w:tmpl w:val="96F83600"/>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387026178">
    <w:abstractNumId w:val="13"/>
  </w:num>
  <w:num w:numId="2" w16cid:durableId="261226607">
    <w:abstractNumId w:val="7"/>
  </w:num>
  <w:num w:numId="3" w16cid:durableId="1370256538">
    <w:abstractNumId w:val="0"/>
  </w:num>
  <w:num w:numId="4" w16cid:durableId="1869098637">
    <w:abstractNumId w:val="1"/>
  </w:num>
  <w:num w:numId="5" w16cid:durableId="1649438294">
    <w:abstractNumId w:val="2"/>
  </w:num>
  <w:num w:numId="6" w16cid:durableId="207029806">
    <w:abstractNumId w:val="8"/>
  </w:num>
  <w:num w:numId="7" w16cid:durableId="1007904224">
    <w:abstractNumId w:val="15"/>
  </w:num>
  <w:num w:numId="8" w16cid:durableId="1256983312">
    <w:abstractNumId w:val="12"/>
  </w:num>
  <w:num w:numId="9" w16cid:durableId="1363870150">
    <w:abstractNumId w:val="6"/>
  </w:num>
  <w:num w:numId="10" w16cid:durableId="332614097">
    <w:abstractNumId w:val="11"/>
  </w:num>
  <w:num w:numId="11" w16cid:durableId="1044981185">
    <w:abstractNumId w:val="10"/>
  </w:num>
  <w:num w:numId="12" w16cid:durableId="21128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9512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8840485">
    <w:abstractNumId w:val="14"/>
  </w:num>
  <w:num w:numId="15" w16cid:durableId="806239395">
    <w:abstractNumId w:val="9"/>
  </w:num>
  <w:num w:numId="16" w16cid:durableId="1609703323">
    <w:abstractNumId w:val="5"/>
  </w:num>
  <w:num w:numId="17" w16cid:durableId="242762238">
    <w:abstractNumId w:val="16"/>
  </w:num>
  <w:num w:numId="18" w16cid:durableId="625547695">
    <w:abstractNumId w:val="4"/>
  </w:num>
  <w:num w:numId="19" w16cid:durableId="1026492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665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0NLU0Mbc0NTE1N7VU0lEKTi0uzszPAykwNKoFAMNuvPwtAAAA"/>
  </w:docVars>
  <w:rsids>
    <w:rsidRoot w:val="003E3821"/>
    <w:rsid w:val="00000051"/>
    <w:rsid w:val="00006F88"/>
    <w:rsid w:val="00007AA3"/>
    <w:rsid w:val="00014908"/>
    <w:rsid w:val="0001505B"/>
    <w:rsid w:val="00026588"/>
    <w:rsid w:val="00026A9A"/>
    <w:rsid w:val="0002739B"/>
    <w:rsid w:val="0003616D"/>
    <w:rsid w:val="00037C50"/>
    <w:rsid w:val="00040EED"/>
    <w:rsid w:val="00042FC6"/>
    <w:rsid w:val="00044FE3"/>
    <w:rsid w:val="00045C67"/>
    <w:rsid w:val="00047CC3"/>
    <w:rsid w:val="00052EDA"/>
    <w:rsid w:val="00060323"/>
    <w:rsid w:val="00065D1E"/>
    <w:rsid w:val="00072307"/>
    <w:rsid w:val="00074B07"/>
    <w:rsid w:val="00074E6F"/>
    <w:rsid w:val="00075FC8"/>
    <w:rsid w:val="000772E2"/>
    <w:rsid w:val="00077A21"/>
    <w:rsid w:val="00082D85"/>
    <w:rsid w:val="00083E37"/>
    <w:rsid w:val="00083E91"/>
    <w:rsid w:val="000925B3"/>
    <w:rsid w:val="000A5370"/>
    <w:rsid w:val="000A620A"/>
    <w:rsid w:val="000A6D8E"/>
    <w:rsid w:val="000B3236"/>
    <w:rsid w:val="000B352B"/>
    <w:rsid w:val="000B50AA"/>
    <w:rsid w:val="000B6D78"/>
    <w:rsid w:val="000B770C"/>
    <w:rsid w:val="000C131F"/>
    <w:rsid w:val="000D0642"/>
    <w:rsid w:val="000D53BF"/>
    <w:rsid w:val="000D5DFE"/>
    <w:rsid w:val="000E17F5"/>
    <w:rsid w:val="000E1FF3"/>
    <w:rsid w:val="000E3552"/>
    <w:rsid w:val="000E5E2F"/>
    <w:rsid w:val="000F066F"/>
    <w:rsid w:val="00101323"/>
    <w:rsid w:val="00105DE1"/>
    <w:rsid w:val="00114B83"/>
    <w:rsid w:val="001219CF"/>
    <w:rsid w:val="001236A3"/>
    <w:rsid w:val="00131520"/>
    <w:rsid w:val="001341D5"/>
    <w:rsid w:val="0013497D"/>
    <w:rsid w:val="00134C1F"/>
    <w:rsid w:val="0014147C"/>
    <w:rsid w:val="001416E5"/>
    <w:rsid w:val="00142683"/>
    <w:rsid w:val="001454CA"/>
    <w:rsid w:val="00147DBD"/>
    <w:rsid w:val="00151D9C"/>
    <w:rsid w:val="001542CC"/>
    <w:rsid w:val="00156364"/>
    <w:rsid w:val="00167CE9"/>
    <w:rsid w:val="00180E37"/>
    <w:rsid w:val="00183712"/>
    <w:rsid w:val="0019228A"/>
    <w:rsid w:val="001935B6"/>
    <w:rsid w:val="001A6EE8"/>
    <w:rsid w:val="001A70D7"/>
    <w:rsid w:val="001C0E31"/>
    <w:rsid w:val="001C1FC4"/>
    <w:rsid w:val="001C6820"/>
    <w:rsid w:val="001C747C"/>
    <w:rsid w:val="001D133E"/>
    <w:rsid w:val="001D2F96"/>
    <w:rsid w:val="001D3D7D"/>
    <w:rsid w:val="001D6E2E"/>
    <w:rsid w:val="001E373F"/>
    <w:rsid w:val="001E3B23"/>
    <w:rsid w:val="001E4D6A"/>
    <w:rsid w:val="001F4252"/>
    <w:rsid w:val="00202015"/>
    <w:rsid w:val="00210DF5"/>
    <w:rsid w:val="0021169A"/>
    <w:rsid w:val="00212E4F"/>
    <w:rsid w:val="00213F28"/>
    <w:rsid w:val="00215EB8"/>
    <w:rsid w:val="00217358"/>
    <w:rsid w:val="002213CD"/>
    <w:rsid w:val="00225103"/>
    <w:rsid w:val="00225D13"/>
    <w:rsid w:val="002274E3"/>
    <w:rsid w:val="0023176C"/>
    <w:rsid w:val="0023360D"/>
    <w:rsid w:val="00234BCE"/>
    <w:rsid w:val="00235EFF"/>
    <w:rsid w:val="002374EC"/>
    <w:rsid w:val="00241468"/>
    <w:rsid w:val="0024228F"/>
    <w:rsid w:val="002424A1"/>
    <w:rsid w:val="002430BF"/>
    <w:rsid w:val="002510D9"/>
    <w:rsid w:val="00255019"/>
    <w:rsid w:val="00257E2D"/>
    <w:rsid w:val="002604D7"/>
    <w:rsid w:val="00260672"/>
    <w:rsid w:val="00265A27"/>
    <w:rsid w:val="00270C52"/>
    <w:rsid w:val="0027637F"/>
    <w:rsid w:val="00286891"/>
    <w:rsid w:val="00286B56"/>
    <w:rsid w:val="002929E3"/>
    <w:rsid w:val="00295594"/>
    <w:rsid w:val="00297589"/>
    <w:rsid w:val="002A2DC5"/>
    <w:rsid w:val="002A7194"/>
    <w:rsid w:val="002B2073"/>
    <w:rsid w:val="002B4789"/>
    <w:rsid w:val="002B5A80"/>
    <w:rsid w:val="002C06C1"/>
    <w:rsid w:val="002C1CAE"/>
    <w:rsid w:val="002C4942"/>
    <w:rsid w:val="002C4DC2"/>
    <w:rsid w:val="002C7A3C"/>
    <w:rsid w:val="002D2138"/>
    <w:rsid w:val="002D60C1"/>
    <w:rsid w:val="002E0C23"/>
    <w:rsid w:val="002E505E"/>
    <w:rsid w:val="002F0834"/>
    <w:rsid w:val="002F39B0"/>
    <w:rsid w:val="0030096A"/>
    <w:rsid w:val="00303002"/>
    <w:rsid w:val="0030682E"/>
    <w:rsid w:val="00307A3B"/>
    <w:rsid w:val="00311DF0"/>
    <w:rsid w:val="00315319"/>
    <w:rsid w:val="00321C48"/>
    <w:rsid w:val="0033083B"/>
    <w:rsid w:val="003340EB"/>
    <w:rsid w:val="00334D64"/>
    <w:rsid w:val="00334E04"/>
    <w:rsid w:val="00334E9A"/>
    <w:rsid w:val="00335732"/>
    <w:rsid w:val="00343CC7"/>
    <w:rsid w:val="00361390"/>
    <w:rsid w:val="00364D7D"/>
    <w:rsid w:val="0036543B"/>
    <w:rsid w:val="003736E2"/>
    <w:rsid w:val="00381DD4"/>
    <w:rsid w:val="00384396"/>
    <w:rsid w:val="00391535"/>
    <w:rsid w:val="003924B5"/>
    <w:rsid w:val="00393A91"/>
    <w:rsid w:val="00394509"/>
    <w:rsid w:val="00395F93"/>
    <w:rsid w:val="003A76FA"/>
    <w:rsid w:val="003C58D7"/>
    <w:rsid w:val="003D6CE2"/>
    <w:rsid w:val="003E203A"/>
    <w:rsid w:val="003E3821"/>
    <w:rsid w:val="003E42AE"/>
    <w:rsid w:val="003E4531"/>
    <w:rsid w:val="003E4F2B"/>
    <w:rsid w:val="003E7614"/>
    <w:rsid w:val="003F30E3"/>
    <w:rsid w:val="003F37C0"/>
    <w:rsid w:val="00406ACF"/>
    <w:rsid w:val="0040791C"/>
    <w:rsid w:val="00415B5A"/>
    <w:rsid w:val="00415CA6"/>
    <w:rsid w:val="0041615E"/>
    <w:rsid w:val="00420429"/>
    <w:rsid w:val="00422724"/>
    <w:rsid w:val="00424E96"/>
    <w:rsid w:val="00430127"/>
    <w:rsid w:val="0043563C"/>
    <w:rsid w:val="00437439"/>
    <w:rsid w:val="004439CA"/>
    <w:rsid w:val="00452DB0"/>
    <w:rsid w:val="00453F0F"/>
    <w:rsid w:val="004541A3"/>
    <w:rsid w:val="0045503F"/>
    <w:rsid w:val="00460587"/>
    <w:rsid w:val="00462596"/>
    <w:rsid w:val="004775B8"/>
    <w:rsid w:val="00481FD4"/>
    <w:rsid w:val="00483C39"/>
    <w:rsid w:val="00485BF8"/>
    <w:rsid w:val="00486ED6"/>
    <w:rsid w:val="0048731F"/>
    <w:rsid w:val="00487C0E"/>
    <w:rsid w:val="0049183D"/>
    <w:rsid w:val="00491A06"/>
    <w:rsid w:val="00491D1C"/>
    <w:rsid w:val="00491FA9"/>
    <w:rsid w:val="004928E5"/>
    <w:rsid w:val="004931DF"/>
    <w:rsid w:val="004A1D23"/>
    <w:rsid w:val="004A4222"/>
    <w:rsid w:val="004A5D17"/>
    <w:rsid w:val="004A7137"/>
    <w:rsid w:val="004A7940"/>
    <w:rsid w:val="004A7A6D"/>
    <w:rsid w:val="004B553A"/>
    <w:rsid w:val="004C13AE"/>
    <w:rsid w:val="004C33BA"/>
    <w:rsid w:val="004C4906"/>
    <w:rsid w:val="004E1FEE"/>
    <w:rsid w:val="004E4AE3"/>
    <w:rsid w:val="004E5A8B"/>
    <w:rsid w:val="004E6C16"/>
    <w:rsid w:val="004E7BFB"/>
    <w:rsid w:val="00500D4E"/>
    <w:rsid w:val="00502DFC"/>
    <w:rsid w:val="005043C9"/>
    <w:rsid w:val="00507059"/>
    <w:rsid w:val="00511344"/>
    <w:rsid w:val="005128FD"/>
    <w:rsid w:val="00520E93"/>
    <w:rsid w:val="0052473D"/>
    <w:rsid w:val="00530ECE"/>
    <w:rsid w:val="00532506"/>
    <w:rsid w:val="005427FE"/>
    <w:rsid w:val="00544445"/>
    <w:rsid w:val="00550F82"/>
    <w:rsid w:val="00552EB9"/>
    <w:rsid w:val="00555267"/>
    <w:rsid w:val="005561A5"/>
    <w:rsid w:val="00560591"/>
    <w:rsid w:val="00560E57"/>
    <w:rsid w:val="00562EA5"/>
    <w:rsid w:val="00572ACB"/>
    <w:rsid w:val="00573020"/>
    <w:rsid w:val="00575452"/>
    <w:rsid w:val="00582FB3"/>
    <w:rsid w:val="0058418C"/>
    <w:rsid w:val="00587CFF"/>
    <w:rsid w:val="0059024F"/>
    <w:rsid w:val="00595203"/>
    <w:rsid w:val="005A1814"/>
    <w:rsid w:val="005B0CC0"/>
    <w:rsid w:val="005C14AD"/>
    <w:rsid w:val="005D1190"/>
    <w:rsid w:val="005D1EB1"/>
    <w:rsid w:val="005D3B0D"/>
    <w:rsid w:val="005E2FDF"/>
    <w:rsid w:val="005E3B00"/>
    <w:rsid w:val="005F0285"/>
    <w:rsid w:val="005F2B5A"/>
    <w:rsid w:val="005F3FC3"/>
    <w:rsid w:val="005F5B99"/>
    <w:rsid w:val="005F617F"/>
    <w:rsid w:val="005F7F97"/>
    <w:rsid w:val="0060098E"/>
    <w:rsid w:val="00606DA2"/>
    <w:rsid w:val="0061699C"/>
    <w:rsid w:val="00620ACA"/>
    <w:rsid w:val="00624529"/>
    <w:rsid w:val="00627528"/>
    <w:rsid w:val="00635BC0"/>
    <w:rsid w:val="00643E8D"/>
    <w:rsid w:val="0064418A"/>
    <w:rsid w:val="0064444F"/>
    <w:rsid w:val="00650152"/>
    <w:rsid w:val="0065615E"/>
    <w:rsid w:val="00656C9C"/>
    <w:rsid w:val="00660B22"/>
    <w:rsid w:val="00661E99"/>
    <w:rsid w:val="006622DD"/>
    <w:rsid w:val="00670547"/>
    <w:rsid w:val="006710FB"/>
    <w:rsid w:val="00674212"/>
    <w:rsid w:val="00677767"/>
    <w:rsid w:val="00680F73"/>
    <w:rsid w:val="00686682"/>
    <w:rsid w:val="00692D2F"/>
    <w:rsid w:val="00693A97"/>
    <w:rsid w:val="006941F7"/>
    <w:rsid w:val="00696135"/>
    <w:rsid w:val="0069617F"/>
    <w:rsid w:val="006965E0"/>
    <w:rsid w:val="00696938"/>
    <w:rsid w:val="006A0816"/>
    <w:rsid w:val="006A2918"/>
    <w:rsid w:val="006A4CE2"/>
    <w:rsid w:val="006A7132"/>
    <w:rsid w:val="006B0D4E"/>
    <w:rsid w:val="006B1875"/>
    <w:rsid w:val="006B2CE0"/>
    <w:rsid w:val="006C2A5D"/>
    <w:rsid w:val="006C66B9"/>
    <w:rsid w:val="006C7C2B"/>
    <w:rsid w:val="006C7E58"/>
    <w:rsid w:val="006D08C2"/>
    <w:rsid w:val="006D3CF9"/>
    <w:rsid w:val="006E1A5C"/>
    <w:rsid w:val="006E2CBE"/>
    <w:rsid w:val="006E5DDD"/>
    <w:rsid w:val="006F06D2"/>
    <w:rsid w:val="006F20C3"/>
    <w:rsid w:val="007018C4"/>
    <w:rsid w:val="0073415D"/>
    <w:rsid w:val="00734EE1"/>
    <w:rsid w:val="00744EE5"/>
    <w:rsid w:val="00753E1F"/>
    <w:rsid w:val="007649C6"/>
    <w:rsid w:val="007763C9"/>
    <w:rsid w:val="00781BA8"/>
    <w:rsid w:val="00781FDC"/>
    <w:rsid w:val="00786646"/>
    <w:rsid w:val="00787C97"/>
    <w:rsid w:val="00795A5C"/>
    <w:rsid w:val="00797DD1"/>
    <w:rsid w:val="007A3E74"/>
    <w:rsid w:val="007B2031"/>
    <w:rsid w:val="007C1BF8"/>
    <w:rsid w:val="007C5396"/>
    <w:rsid w:val="007D021D"/>
    <w:rsid w:val="00804312"/>
    <w:rsid w:val="00805E0B"/>
    <w:rsid w:val="008065E5"/>
    <w:rsid w:val="00811FAD"/>
    <w:rsid w:val="00814AC6"/>
    <w:rsid w:val="00821780"/>
    <w:rsid w:val="0082261A"/>
    <w:rsid w:val="00822B23"/>
    <w:rsid w:val="00827D79"/>
    <w:rsid w:val="00831519"/>
    <w:rsid w:val="00832E4B"/>
    <w:rsid w:val="00844BD4"/>
    <w:rsid w:val="00845428"/>
    <w:rsid w:val="00847983"/>
    <w:rsid w:val="00851245"/>
    <w:rsid w:val="00852BE8"/>
    <w:rsid w:val="00853722"/>
    <w:rsid w:val="008611E8"/>
    <w:rsid w:val="00870ECA"/>
    <w:rsid w:val="008712EB"/>
    <w:rsid w:val="00872064"/>
    <w:rsid w:val="0087360A"/>
    <w:rsid w:val="00876304"/>
    <w:rsid w:val="00881DFD"/>
    <w:rsid w:val="008858E4"/>
    <w:rsid w:val="008A4132"/>
    <w:rsid w:val="008A433A"/>
    <w:rsid w:val="008A55D5"/>
    <w:rsid w:val="008A56D1"/>
    <w:rsid w:val="008C34FE"/>
    <w:rsid w:val="008C5636"/>
    <w:rsid w:val="008C5A08"/>
    <w:rsid w:val="008C7260"/>
    <w:rsid w:val="008D07CB"/>
    <w:rsid w:val="008D11E6"/>
    <w:rsid w:val="008E1E0D"/>
    <w:rsid w:val="008E49A2"/>
    <w:rsid w:val="008F4489"/>
    <w:rsid w:val="009003AF"/>
    <w:rsid w:val="00900724"/>
    <w:rsid w:val="0090332C"/>
    <w:rsid w:val="0091293D"/>
    <w:rsid w:val="009131D5"/>
    <w:rsid w:val="0091665C"/>
    <w:rsid w:val="009170FF"/>
    <w:rsid w:val="00925DB7"/>
    <w:rsid w:val="00941BE5"/>
    <w:rsid w:val="009441E5"/>
    <w:rsid w:val="00947049"/>
    <w:rsid w:val="009513C4"/>
    <w:rsid w:val="009556EE"/>
    <w:rsid w:val="0096088F"/>
    <w:rsid w:val="00964393"/>
    <w:rsid w:val="009706FA"/>
    <w:rsid w:val="00971B77"/>
    <w:rsid w:val="009720DB"/>
    <w:rsid w:val="00972538"/>
    <w:rsid w:val="00974990"/>
    <w:rsid w:val="0098283E"/>
    <w:rsid w:val="009828DD"/>
    <w:rsid w:val="00984302"/>
    <w:rsid w:val="00984EEF"/>
    <w:rsid w:val="00995324"/>
    <w:rsid w:val="009970D5"/>
    <w:rsid w:val="009A39D6"/>
    <w:rsid w:val="009B2251"/>
    <w:rsid w:val="009B3C9E"/>
    <w:rsid w:val="009B6E26"/>
    <w:rsid w:val="009B73DC"/>
    <w:rsid w:val="009C1A2F"/>
    <w:rsid w:val="009C462C"/>
    <w:rsid w:val="009C6D61"/>
    <w:rsid w:val="009D42F1"/>
    <w:rsid w:val="009E2DD4"/>
    <w:rsid w:val="009E2EBE"/>
    <w:rsid w:val="009E67D1"/>
    <w:rsid w:val="009F0FDD"/>
    <w:rsid w:val="009F2FCF"/>
    <w:rsid w:val="009F3CB1"/>
    <w:rsid w:val="009F69CC"/>
    <w:rsid w:val="00A1368F"/>
    <w:rsid w:val="00A1718B"/>
    <w:rsid w:val="00A20438"/>
    <w:rsid w:val="00A23B9F"/>
    <w:rsid w:val="00A2514B"/>
    <w:rsid w:val="00A25A35"/>
    <w:rsid w:val="00A260CC"/>
    <w:rsid w:val="00A26946"/>
    <w:rsid w:val="00A340C1"/>
    <w:rsid w:val="00A350C7"/>
    <w:rsid w:val="00A4215F"/>
    <w:rsid w:val="00A536E3"/>
    <w:rsid w:val="00A5603A"/>
    <w:rsid w:val="00A56FCB"/>
    <w:rsid w:val="00A6029A"/>
    <w:rsid w:val="00A77797"/>
    <w:rsid w:val="00A80753"/>
    <w:rsid w:val="00A833D6"/>
    <w:rsid w:val="00A83C36"/>
    <w:rsid w:val="00A84DAF"/>
    <w:rsid w:val="00A85A5F"/>
    <w:rsid w:val="00A86686"/>
    <w:rsid w:val="00A86824"/>
    <w:rsid w:val="00A872EB"/>
    <w:rsid w:val="00A8790F"/>
    <w:rsid w:val="00A96BA8"/>
    <w:rsid w:val="00AA0D7E"/>
    <w:rsid w:val="00AA3DFB"/>
    <w:rsid w:val="00AA5071"/>
    <w:rsid w:val="00AB137B"/>
    <w:rsid w:val="00AB5681"/>
    <w:rsid w:val="00AC2022"/>
    <w:rsid w:val="00AC386C"/>
    <w:rsid w:val="00AC3CD9"/>
    <w:rsid w:val="00AC5087"/>
    <w:rsid w:val="00AD078B"/>
    <w:rsid w:val="00AD5ED1"/>
    <w:rsid w:val="00AE07F1"/>
    <w:rsid w:val="00AE0CC0"/>
    <w:rsid w:val="00AE0D9F"/>
    <w:rsid w:val="00AE23C7"/>
    <w:rsid w:val="00AE3ABC"/>
    <w:rsid w:val="00AE5720"/>
    <w:rsid w:val="00AE6519"/>
    <w:rsid w:val="00AF07AF"/>
    <w:rsid w:val="00AF3726"/>
    <w:rsid w:val="00B01968"/>
    <w:rsid w:val="00B03AC4"/>
    <w:rsid w:val="00B12047"/>
    <w:rsid w:val="00B12420"/>
    <w:rsid w:val="00B23561"/>
    <w:rsid w:val="00B255A1"/>
    <w:rsid w:val="00B259C0"/>
    <w:rsid w:val="00B26333"/>
    <w:rsid w:val="00B27A14"/>
    <w:rsid w:val="00B30A87"/>
    <w:rsid w:val="00B3139F"/>
    <w:rsid w:val="00B32814"/>
    <w:rsid w:val="00B37A0E"/>
    <w:rsid w:val="00B406CF"/>
    <w:rsid w:val="00B43723"/>
    <w:rsid w:val="00B53617"/>
    <w:rsid w:val="00B53FF5"/>
    <w:rsid w:val="00B5497B"/>
    <w:rsid w:val="00B54DBC"/>
    <w:rsid w:val="00B625A0"/>
    <w:rsid w:val="00B626ED"/>
    <w:rsid w:val="00B6398D"/>
    <w:rsid w:val="00B64775"/>
    <w:rsid w:val="00B74E74"/>
    <w:rsid w:val="00B750DE"/>
    <w:rsid w:val="00B82852"/>
    <w:rsid w:val="00B82DFF"/>
    <w:rsid w:val="00B83CB5"/>
    <w:rsid w:val="00B85495"/>
    <w:rsid w:val="00B872C9"/>
    <w:rsid w:val="00BA20BB"/>
    <w:rsid w:val="00BB0EAA"/>
    <w:rsid w:val="00BC03C6"/>
    <w:rsid w:val="00BC14A4"/>
    <w:rsid w:val="00BC2DB1"/>
    <w:rsid w:val="00BC3B11"/>
    <w:rsid w:val="00BC3D6D"/>
    <w:rsid w:val="00BC6833"/>
    <w:rsid w:val="00BD28DC"/>
    <w:rsid w:val="00BE5444"/>
    <w:rsid w:val="00BE707C"/>
    <w:rsid w:val="00BE7DAA"/>
    <w:rsid w:val="00BF0B0F"/>
    <w:rsid w:val="00BF5B3D"/>
    <w:rsid w:val="00BF6A6A"/>
    <w:rsid w:val="00BF7DCC"/>
    <w:rsid w:val="00C118F9"/>
    <w:rsid w:val="00C14A04"/>
    <w:rsid w:val="00C272DC"/>
    <w:rsid w:val="00C27CA8"/>
    <w:rsid w:val="00C451EC"/>
    <w:rsid w:val="00C46DA8"/>
    <w:rsid w:val="00C66400"/>
    <w:rsid w:val="00C749EE"/>
    <w:rsid w:val="00C811CF"/>
    <w:rsid w:val="00C84402"/>
    <w:rsid w:val="00C847CB"/>
    <w:rsid w:val="00C8531B"/>
    <w:rsid w:val="00C90F50"/>
    <w:rsid w:val="00C956B5"/>
    <w:rsid w:val="00CA4945"/>
    <w:rsid w:val="00CA5012"/>
    <w:rsid w:val="00CC1430"/>
    <w:rsid w:val="00CC1BBA"/>
    <w:rsid w:val="00CC525A"/>
    <w:rsid w:val="00CC65A5"/>
    <w:rsid w:val="00CC78C4"/>
    <w:rsid w:val="00CD0ABC"/>
    <w:rsid w:val="00CD7F05"/>
    <w:rsid w:val="00CF2DB1"/>
    <w:rsid w:val="00CF690C"/>
    <w:rsid w:val="00D0045A"/>
    <w:rsid w:val="00D03A6F"/>
    <w:rsid w:val="00D10DC1"/>
    <w:rsid w:val="00D123E1"/>
    <w:rsid w:val="00D460AF"/>
    <w:rsid w:val="00D51DEE"/>
    <w:rsid w:val="00D53504"/>
    <w:rsid w:val="00D5501E"/>
    <w:rsid w:val="00D63A9F"/>
    <w:rsid w:val="00D661F5"/>
    <w:rsid w:val="00D668FE"/>
    <w:rsid w:val="00D75225"/>
    <w:rsid w:val="00D75843"/>
    <w:rsid w:val="00D76607"/>
    <w:rsid w:val="00D81A06"/>
    <w:rsid w:val="00D82346"/>
    <w:rsid w:val="00D94227"/>
    <w:rsid w:val="00D96419"/>
    <w:rsid w:val="00DA4165"/>
    <w:rsid w:val="00DA4509"/>
    <w:rsid w:val="00DA6C27"/>
    <w:rsid w:val="00DA6C82"/>
    <w:rsid w:val="00DB0B5D"/>
    <w:rsid w:val="00DB12E8"/>
    <w:rsid w:val="00DB3594"/>
    <w:rsid w:val="00DB402E"/>
    <w:rsid w:val="00DB4AF1"/>
    <w:rsid w:val="00DC0E18"/>
    <w:rsid w:val="00DC3BF5"/>
    <w:rsid w:val="00DE05F1"/>
    <w:rsid w:val="00DF094C"/>
    <w:rsid w:val="00DF2059"/>
    <w:rsid w:val="00DF309A"/>
    <w:rsid w:val="00DF3F53"/>
    <w:rsid w:val="00DF6AD8"/>
    <w:rsid w:val="00E00FA4"/>
    <w:rsid w:val="00E01440"/>
    <w:rsid w:val="00E04203"/>
    <w:rsid w:val="00E10674"/>
    <w:rsid w:val="00E10B57"/>
    <w:rsid w:val="00E12508"/>
    <w:rsid w:val="00E12FED"/>
    <w:rsid w:val="00E202A7"/>
    <w:rsid w:val="00E20375"/>
    <w:rsid w:val="00E2596C"/>
    <w:rsid w:val="00E273F3"/>
    <w:rsid w:val="00E31696"/>
    <w:rsid w:val="00E3557A"/>
    <w:rsid w:val="00E37396"/>
    <w:rsid w:val="00E43624"/>
    <w:rsid w:val="00E43DDF"/>
    <w:rsid w:val="00E460F6"/>
    <w:rsid w:val="00E47AE9"/>
    <w:rsid w:val="00E517B0"/>
    <w:rsid w:val="00E55A51"/>
    <w:rsid w:val="00E60386"/>
    <w:rsid w:val="00E63423"/>
    <w:rsid w:val="00E664CC"/>
    <w:rsid w:val="00E714E6"/>
    <w:rsid w:val="00E721C9"/>
    <w:rsid w:val="00E732F9"/>
    <w:rsid w:val="00E7414D"/>
    <w:rsid w:val="00E74978"/>
    <w:rsid w:val="00E75DD2"/>
    <w:rsid w:val="00E831F6"/>
    <w:rsid w:val="00E86D87"/>
    <w:rsid w:val="00EA07B9"/>
    <w:rsid w:val="00EA45F7"/>
    <w:rsid w:val="00EA475E"/>
    <w:rsid w:val="00EA718F"/>
    <w:rsid w:val="00EB54DD"/>
    <w:rsid w:val="00EC0107"/>
    <w:rsid w:val="00EC0EBB"/>
    <w:rsid w:val="00ED19AC"/>
    <w:rsid w:val="00ED53C8"/>
    <w:rsid w:val="00EE70FD"/>
    <w:rsid w:val="00EF3065"/>
    <w:rsid w:val="00EF317D"/>
    <w:rsid w:val="00EF5A73"/>
    <w:rsid w:val="00F039F9"/>
    <w:rsid w:val="00F10C07"/>
    <w:rsid w:val="00F15F37"/>
    <w:rsid w:val="00F21493"/>
    <w:rsid w:val="00F2395B"/>
    <w:rsid w:val="00F254F4"/>
    <w:rsid w:val="00F35360"/>
    <w:rsid w:val="00F37CAC"/>
    <w:rsid w:val="00F437B4"/>
    <w:rsid w:val="00F45918"/>
    <w:rsid w:val="00F511E2"/>
    <w:rsid w:val="00F55BEA"/>
    <w:rsid w:val="00F71929"/>
    <w:rsid w:val="00F72B91"/>
    <w:rsid w:val="00F75B93"/>
    <w:rsid w:val="00F76110"/>
    <w:rsid w:val="00F76DB7"/>
    <w:rsid w:val="00F81BD1"/>
    <w:rsid w:val="00F81EB2"/>
    <w:rsid w:val="00F84490"/>
    <w:rsid w:val="00F87C71"/>
    <w:rsid w:val="00F92B63"/>
    <w:rsid w:val="00F935AF"/>
    <w:rsid w:val="00F93CB0"/>
    <w:rsid w:val="00F93D36"/>
    <w:rsid w:val="00F97462"/>
    <w:rsid w:val="00FA2872"/>
    <w:rsid w:val="00FA5692"/>
    <w:rsid w:val="00FB1DFB"/>
    <w:rsid w:val="00FB5607"/>
    <w:rsid w:val="00FB73AA"/>
    <w:rsid w:val="00FC2257"/>
    <w:rsid w:val="00FD05D3"/>
    <w:rsid w:val="00FD1617"/>
    <w:rsid w:val="00FD3469"/>
    <w:rsid w:val="00FD3D5F"/>
    <w:rsid w:val="00FD4865"/>
    <w:rsid w:val="00FD7DE4"/>
    <w:rsid w:val="00FF5A59"/>
    <w:rsid w:val="00FF6797"/>
    <w:rsid w:val="00FF6CCD"/>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3D545"/>
  <w15:docId w15:val="{4B7200AE-B349-4C39-83BA-A3D6FF2A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A3"/>
    <w:pPr>
      <w:widowControl w:val="0"/>
      <w:wordWrap w:val="0"/>
      <w:autoSpaceDE w:val="0"/>
      <w:autoSpaceDN w:val="0"/>
      <w:spacing w:before="100" w:beforeAutospacing="1" w:after="100" w:afterAutospacing="1"/>
      <w:ind w:firstLine="567"/>
      <w:jc w:val="both"/>
    </w:pPr>
    <w:rPr>
      <w:rFonts w:ascii="Times New Roman" w:hAnsi="Times New Roman"/>
      <w:kern w:val="2"/>
      <w:sz w:val="20"/>
      <w:szCs w:val="22"/>
      <w:lang w:val="en-US"/>
    </w:rPr>
  </w:style>
  <w:style w:type="paragraph" w:styleId="Heading1">
    <w:name w:val="heading 1"/>
    <w:basedOn w:val="Normal"/>
    <w:next w:val="Normal"/>
    <w:link w:val="Heading1Char"/>
    <w:uiPriority w:val="9"/>
    <w:qFormat/>
    <w:rsid w:val="001236A3"/>
    <w:pPr>
      <w:widowControl/>
      <w:numPr>
        <w:numId w:val="9"/>
      </w:numPr>
      <w:wordWrap/>
      <w:ind w:left="567" w:hanging="567"/>
      <w:outlineLvl w:val="0"/>
    </w:pPr>
    <w:rPr>
      <w:rFonts w:cs="Times New Roman"/>
      <w:caps/>
      <w:szCs w:val="24"/>
    </w:rPr>
  </w:style>
  <w:style w:type="paragraph" w:styleId="Heading2">
    <w:name w:val="heading 2"/>
    <w:basedOn w:val="Normal"/>
    <w:next w:val="Normal"/>
    <w:link w:val="Heading2Char"/>
    <w:uiPriority w:val="9"/>
    <w:unhideWhenUsed/>
    <w:qFormat/>
    <w:rsid w:val="001236A3"/>
    <w:pPr>
      <w:keepNext/>
      <w:keepLines/>
      <w:widowControl/>
      <w:numPr>
        <w:ilvl w:val="1"/>
        <w:numId w:val="9"/>
      </w:numPr>
      <w:wordWrap/>
      <w:autoSpaceDE/>
      <w:autoSpaceDN/>
      <w:spacing w:before="240" w:beforeAutospacing="0" w:after="240" w:afterAutospacing="0" w:line="240" w:lineRule="exact"/>
      <w:ind w:left="567" w:hanging="567"/>
      <w:outlineLvl w:val="1"/>
    </w:pPr>
    <w:rPr>
      <w:rFonts w:eastAsiaTheme="majorEastAsia" w:cstheme="majorBidi"/>
      <w:b/>
      <w:kern w:val="0"/>
      <w:szCs w:val="26"/>
      <w:lang w:val="en-ID" w:eastAsia="en-US"/>
    </w:rPr>
  </w:style>
  <w:style w:type="paragraph" w:styleId="Heading3">
    <w:name w:val="heading 3"/>
    <w:basedOn w:val="Normal"/>
    <w:next w:val="Normal"/>
    <w:link w:val="Heading3Char"/>
    <w:uiPriority w:val="9"/>
    <w:unhideWhenUsed/>
    <w:qFormat/>
    <w:rsid w:val="00BC14A4"/>
    <w:pPr>
      <w:keepNext/>
      <w:keepLines/>
      <w:widowControl/>
      <w:numPr>
        <w:ilvl w:val="2"/>
        <w:numId w:val="9"/>
      </w:numPr>
      <w:wordWrap/>
      <w:autoSpaceDE/>
      <w:autoSpaceDN/>
      <w:spacing w:before="360" w:beforeAutospacing="0"/>
      <w:outlineLvl w:val="2"/>
    </w:pPr>
    <w:rPr>
      <w:rFonts w:eastAsiaTheme="majorEastAsia" w:cstheme="majorBidi"/>
      <w:b/>
      <w:kern w:val="0"/>
      <w:sz w:val="22"/>
      <w:szCs w:val="24"/>
      <w:lang w:val="en-ID" w:eastAsia="en-US"/>
    </w:rPr>
  </w:style>
  <w:style w:type="paragraph" w:styleId="Heading4">
    <w:name w:val="heading 4"/>
    <w:basedOn w:val="Normal"/>
    <w:next w:val="Normal"/>
    <w:link w:val="Heading4Char"/>
    <w:uiPriority w:val="9"/>
    <w:semiHidden/>
    <w:unhideWhenUsed/>
    <w:qFormat/>
    <w:rsid w:val="00947049"/>
    <w:pPr>
      <w:keepNext/>
      <w:keepLines/>
      <w:widowControl/>
      <w:numPr>
        <w:ilvl w:val="3"/>
        <w:numId w:val="9"/>
      </w:numPr>
      <w:wordWrap/>
      <w:autoSpaceDE/>
      <w:autoSpaceDN/>
      <w:spacing w:before="40" w:after="0"/>
      <w:outlineLvl w:val="3"/>
    </w:pPr>
    <w:rPr>
      <w:rFonts w:asciiTheme="majorHAnsi" w:eastAsiaTheme="majorEastAsia" w:hAnsiTheme="majorHAnsi" w:cstheme="majorBidi"/>
      <w:i/>
      <w:iCs/>
      <w:color w:val="2F5496" w:themeColor="accent1" w:themeShade="BF"/>
      <w:kern w:val="0"/>
      <w:sz w:val="22"/>
      <w:lang w:val="en-ID" w:eastAsia="en-US"/>
    </w:rPr>
  </w:style>
  <w:style w:type="paragraph" w:styleId="Heading5">
    <w:name w:val="heading 5"/>
    <w:basedOn w:val="Normal"/>
    <w:next w:val="Normal"/>
    <w:link w:val="Heading5Char"/>
    <w:uiPriority w:val="9"/>
    <w:semiHidden/>
    <w:unhideWhenUsed/>
    <w:qFormat/>
    <w:rsid w:val="00947049"/>
    <w:pPr>
      <w:keepNext/>
      <w:keepLines/>
      <w:widowControl/>
      <w:numPr>
        <w:ilvl w:val="4"/>
        <w:numId w:val="9"/>
      </w:numPr>
      <w:wordWrap/>
      <w:autoSpaceDE/>
      <w:autoSpaceDN/>
      <w:spacing w:before="40" w:after="0"/>
      <w:outlineLvl w:val="4"/>
    </w:pPr>
    <w:rPr>
      <w:rFonts w:asciiTheme="majorHAnsi" w:eastAsiaTheme="majorEastAsia" w:hAnsiTheme="majorHAnsi" w:cstheme="majorBidi"/>
      <w:color w:val="2F5496" w:themeColor="accent1" w:themeShade="BF"/>
      <w:kern w:val="0"/>
      <w:sz w:val="22"/>
      <w:lang w:val="en-ID" w:eastAsia="en-US"/>
    </w:rPr>
  </w:style>
  <w:style w:type="paragraph" w:styleId="Heading6">
    <w:name w:val="heading 6"/>
    <w:basedOn w:val="Normal"/>
    <w:next w:val="Normal"/>
    <w:link w:val="Heading6Char"/>
    <w:uiPriority w:val="9"/>
    <w:semiHidden/>
    <w:unhideWhenUsed/>
    <w:qFormat/>
    <w:rsid w:val="00947049"/>
    <w:pPr>
      <w:keepNext/>
      <w:keepLines/>
      <w:widowControl/>
      <w:numPr>
        <w:ilvl w:val="5"/>
        <w:numId w:val="9"/>
      </w:numPr>
      <w:wordWrap/>
      <w:autoSpaceDE/>
      <w:autoSpaceDN/>
      <w:spacing w:before="40" w:after="0"/>
      <w:outlineLvl w:val="5"/>
    </w:pPr>
    <w:rPr>
      <w:rFonts w:asciiTheme="majorHAnsi" w:eastAsiaTheme="majorEastAsia" w:hAnsiTheme="majorHAnsi" w:cstheme="majorBidi"/>
      <w:color w:val="1F3763" w:themeColor="accent1" w:themeShade="7F"/>
      <w:kern w:val="0"/>
      <w:sz w:val="22"/>
      <w:lang w:val="en-ID" w:eastAsia="en-US"/>
    </w:rPr>
  </w:style>
  <w:style w:type="paragraph" w:styleId="Heading7">
    <w:name w:val="heading 7"/>
    <w:basedOn w:val="Normal"/>
    <w:next w:val="Normal"/>
    <w:link w:val="Heading7Char"/>
    <w:uiPriority w:val="9"/>
    <w:semiHidden/>
    <w:unhideWhenUsed/>
    <w:qFormat/>
    <w:rsid w:val="00947049"/>
    <w:pPr>
      <w:keepNext/>
      <w:keepLines/>
      <w:widowControl/>
      <w:numPr>
        <w:ilvl w:val="6"/>
        <w:numId w:val="9"/>
      </w:numPr>
      <w:wordWrap/>
      <w:autoSpaceDE/>
      <w:autoSpaceDN/>
      <w:spacing w:before="40" w:after="0"/>
      <w:outlineLvl w:val="6"/>
    </w:pPr>
    <w:rPr>
      <w:rFonts w:asciiTheme="majorHAnsi" w:eastAsiaTheme="majorEastAsia" w:hAnsiTheme="majorHAnsi" w:cstheme="majorBidi"/>
      <w:i/>
      <w:iCs/>
      <w:color w:val="1F3763" w:themeColor="accent1" w:themeShade="7F"/>
      <w:kern w:val="0"/>
      <w:sz w:val="22"/>
      <w:lang w:val="en-ID" w:eastAsia="en-US"/>
    </w:rPr>
  </w:style>
  <w:style w:type="paragraph" w:styleId="Heading8">
    <w:name w:val="heading 8"/>
    <w:basedOn w:val="Normal"/>
    <w:next w:val="Normal"/>
    <w:link w:val="Heading8Char"/>
    <w:uiPriority w:val="9"/>
    <w:semiHidden/>
    <w:unhideWhenUsed/>
    <w:qFormat/>
    <w:rsid w:val="00947049"/>
    <w:pPr>
      <w:keepNext/>
      <w:keepLines/>
      <w:widowControl/>
      <w:numPr>
        <w:ilvl w:val="7"/>
        <w:numId w:val="9"/>
      </w:numPr>
      <w:wordWrap/>
      <w:autoSpaceDE/>
      <w:autoSpaceDN/>
      <w:spacing w:before="40" w:after="0"/>
      <w:outlineLvl w:val="7"/>
    </w:pPr>
    <w:rPr>
      <w:rFonts w:asciiTheme="majorHAnsi" w:eastAsiaTheme="majorEastAsia" w:hAnsiTheme="majorHAnsi" w:cstheme="majorBidi"/>
      <w:color w:val="272727" w:themeColor="text1" w:themeTint="D8"/>
      <w:kern w:val="0"/>
      <w:sz w:val="21"/>
      <w:szCs w:val="21"/>
      <w:lang w:val="en-ID" w:eastAsia="en-US"/>
    </w:rPr>
  </w:style>
  <w:style w:type="paragraph" w:styleId="Heading9">
    <w:name w:val="heading 9"/>
    <w:basedOn w:val="Normal"/>
    <w:next w:val="Normal"/>
    <w:link w:val="Heading9Char"/>
    <w:uiPriority w:val="9"/>
    <w:semiHidden/>
    <w:unhideWhenUsed/>
    <w:qFormat/>
    <w:rsid w:val="00947049"/>
    <w:pPr>
      <w:keepNext/>
      <w:keepLines/>
      <w:widowControl/>
      <w:numPr>
        <w:ilvl w:val="8"/>
        <w:numId w:val="9"/>
      </w:numPr>
      <w:wordWrap/>
      <w:autoSpaceDE/>
      <w:autoSpaceDN/>
      <w:spacing w:before="40" w:after="0"/>
      <w:outlineLvl w:val="8"/>
    </w:pPr>
    <w:rPr>
      <w:rFonts w:asciiTheme="majorHAnsi" w:eastAsiaTheme="majorEastAsia" w:hAnsiTheme="majorHAnsi" w:cstheme="majorBidi"/>
      <w:i/>
      <w:iCs/>
      <w:color w:val="272727" w:themeColor="text1" w:themeTint="D8"/>
      <w:kern w:val="0"/>
      <w:sz w:val="21"/>
      <w:szCs w:val="21"/>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ekaman">
    <w:name w:val="Rekaman"/>
    <w:uiPriority w:val="99"/>
    <w:rsid w:val="0030682E"/>
    <w:pPr>
      <w:numPr>
        <w:numId w:val="1"/>
      </w:numPr>
    </w:pPr>
  </w:style>
  <w:style w:type="character" w:styleId="Hyperlink">
    <w:name w:val="Hyperlink"/>
    <w:basedOn w:val="DefaultParagraphFont"/>
    <w:uiPriority w:val="99"/>
    <w:unhideWhenUsed/>
    <w:rsid w:val="003E3821"/>
    <w:rPr>
      <w:color w:val="0563C1" w:themeColor="hyperlink"/>
      <w:u w:val="single"/>
    </w:rPr>
  </w:style>
  <w:style w:type="table" w:styleId="TableGrid">
    <w:name w:val="Table Grid"/>
    <w:basedOn w:val="TableNormal"/>
    <w:uiPriority w:val="39"/>
    <w:rsid w:val="003E3821"/>
    <w:pPr>
      <w:jc w:val="both"/>
    </w:pPr>
    <w:rPr>
      <w:kern w:val="2"/>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3821"/>
    <w:pPr>
      <w:ind w:leftChars="400" w:left="800"/>
    </w:pPr>
  </w:style>
  <w:style w:type="paragraph" w:styleId="BalloonText">
    <w:name w:val="Balloon Text"/>
    <w:basedOn w:val="Normal"/>
    <w:link w:val="BalloonTextChar"/>
    <w:uiPriority w:val="99"/>
    <w:semiHidden/>
    <w:unhideWhenUsed/>
    <w:rsid w:val="00B549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97B"/>
    <w:rPr>
      <w:rFonts w:ascii="Tahoma" w:hAnsi="Tahoma" w:cs="Tahoma"/>
      <w:kern w:val="2"/>
      <w:sz w:val="16"/>
      <w:szCs w:val="16"/>
      <w:lang w:val="en-US"/>
    </w:rPr>
  </w:style>
  <w:style w:type="paragraph" w:customStyle="1" w:styleId="Default">
    <w:name w:val="Default"/>
    <w:rsid w:val="00995324"/>
    <w:pPr>
      <w:suppressAutoHyphens/>
    </w:pPr>
    <w:rPr>
      <w:rFonts w:ascii="Times New Roman" w:eastAsia="Calibri" w:hAnsi="Times New Roman" w:cs="Times New Roman"/>
      <w:color w:val="000000"/>
      <w:kern w:val="1"/>
      <w:lang w:val="en-US" w:eastAsia="en-US"/>
    </w:rPr>
  </w:style>
  <w:style w:type="character" w:customStyle="1" w:styleId="st">
    <w:name w:val="st"/>
    <w:basedOn w:val="DefaultParagraphFont"/>
    <w:rsid w:val="007C5396"/>
  </w:style>
  <w:style w:type="paragraph" w:styleId="Caption">
    <w:name w:val="caption"/>
    <w:basedOn w:val="Normal"/>
    <w:next w:val="Normal"/>
    <w:uiPriority w:val="35"/>
    <w:unhideWhenUsed/>
    <w:qFormat/>
    <w:rsid w:val="00D123E1"/>
    <w:pPr>
      <w:widowControl/>
      <w:wordWrap/>
      <w:autoSpaceDE/>
      <w:autoSpaceDN/>
      <w:spacing w:after="200"/>
      <w:jc w:val="center"/>
    </w:pPr>
    <w:rPr>
      <w:rFonts w:eastAsiaTheme="minorHAnsi"/>
      <w:iCs/>
      <w:kern w:val="0"/>
      <w:sz w:val="18"/>
      <w:szCs w:val="18"/>
      <w:lang w:val="en-ID" w:eastAsia="en-US"/>
    </w:rPr>
  </w:style>
  <w:style w:type="character" w:customStyle="1" w:styleId="Heading1Char">
    <w:name w:val="Heading 1 Char"/>
    <w:basedOn w:val="DefaultParagraphFont"/>
    <w:link w:val="Heading1"/>
    <w:uiPriority w:val="9"/>
    <w:rsid w:val="001236A3"/>
    <w:rPr>
      <w:rFonts w:ascii="Times New Roman" w:hAnsi="Times New Roman" w:cs="Times New Roman"/>
      <w:caps/>
      <w:kern w:val="2"/>
      <w:sz w:val="20"/>
      <w:lang w:val="en-US"/>
    </w:rPr>
  </w:style>
  <w:style w:type="character" w:customStyle="1" w:styleId="Heading2Char">
    <w:name w:val="Heading 2 Char"/>
    <w:basedOn w:val="DefaultParagraphFont"/>
    <w:link w:val="Heading2"/>
    <w:uiPriority w:val="9"/>
    <w:rsid w:val="001236A3"/>
    <w:rPr>
      <w:rFonts w:ascii="Times New Roman" w:eastAsiaTheme="majorEastAsia" w:hAnsi="Times New Roman" w:cstheme="majorBidi"/>
      <w:b/>
      <w:sz w:val="20"/>
      <w:szCs w:val="26"/>
      <w:lang w:eastAsia="en-US"/>
    </w:rPr>
  </w:style>
  <w:style w:type="character" w:customStyle="1" w:styleId="Heading3Char">
    <w:name w:val="Heading 3 Char"/>
    <w:basedOn w:val="DefaultParagraphFont"/>
    <w:link w:val="Heading3"/>
    <w:uiPriority w:val="9"/>
    <w:rsid w:val="00BC14A4"/>
    <w:rPr>
      <w:rFonts w:ascii="Times New Roman" w:eastAsiaTheme="majorEastAsia" w:hAnsi="Times New Roman" w:cstheme="majorBidi"/>
      <w:b/>
      <w:sz w:val="22"/>
      <w:lang w:eastAsia="en-US"/>
    </w:rPr>
  </w:style>
  <w:style w:type="character" w:customStyle="1" w:styleId="Heading4Char">
    <w:name w:val="Heading 4 Char"/>
    <w:basedOn w:val="DefaultParagraphFont"/>
    <w:link w:val="Heading4"/>
    <w:uiPriority w:val="9"/>
    <w:semiHidden/>
    <w:rsid w:val="00947049"/>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947049"/>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947049"/>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947049"/>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9470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47049"/>
    <w:rPr>
      <w:rFonts w:asciiTheme="majorHAnsi" w:eastAsiaTheme="majorEastAsia" w:hAnsiTheme="majorHAnsi" w:cstheme="majorBidi"/>
      <w:i/>
      <w:iCs/>
      <w:color w:val="272727" w:themeColor="text1" w:themeTint="D8"/>
      <w:sz w:val="21"/>
      <w:szCs w:val="21"/>
      <w:lang w:eastAsia="en-US"/>
    </w:rPr>
  </w:style>
  <w:style w:type="character" w:styleId="UnresolvedMention">
    <w:name w:val="Unresolved Mention"/>
    <w:basedOn w:val="DefaultParagraphFont"/>
    <w:uiPriority w:val="99"/>
    <w:semiHidden/>
    <w:unhideWhenUsed/>
    <w:rsid w:val="00D460AF"/>
    <w:rPr>
      <w:color w:val="605E5C"/>
      <w:shd w:val="clear" w:color="auto" w:fill="E1DFDD"/>
    </w:rPr>
  </w:style>
  <w:style w:type="paragraph" w:customStyle="1" w:styleId="abstract">
    <w:name w:val="abstract"/>
    <w:basedOn w:val="Normal"/>
    <w:qFormat/>
    <w:rsid w:val="00EA475E"/>
    <w:pPr>
      <w:widowControl/>
      <w:wordWrap/>
      <w:ind w:left="288" w:right="288"/>
    </w:pPr>
    <w:rPr>
      <w:rFonts w:cs="Times New Roman"/>
      <w:sz w:val="18"/>
      <w:szCs w:val="26"/>
    </w:rPr>
  </w:style>
  <w:style w:type="paragraph" w:styleId="Revision">
    <w:name w:val="Revision"/>
    <w:hidden/>
    <w:uiPriority w:val="99"/>
    <w:semiHidden/>
    <w:rsid w:val="009C462C"/>
    <w:rPr>
      <w:rFonts w:ascii="Times New Roman" w:hAnsi="Times New Roman"/>
      <w:kern w:val="2"/>
      <w:sz w:val="20"/>
      <w:szCs w:val="22"/>
      <w:lang w:val="en-US"/>
    </w:rPr>
  </w:style>
  <w:style w:type="paragraph" w:styleId="NoSpacing">
    <w:name w:val="No Spacing"/>
    <w:uiPriority w:val="1"/>
    <w:qFormat/>
    <w:rsid w:val="00BE707C"/>
    <w:pPr>
      <w:widowControl w:val="0"/>
      <w:wordWrap w:val="0"/>
      <w:autoSpaceDE w:val="0"/>
      <w:autoSpaceDN w:val="0"/>
      <w:spacing w:beforeAutospacing="1" w:afterAutospacing="1"/>
      <w:ind w:firstLine="288"/>
      <w:jc w:val="both"/>
    </w:pPr>
    <w:rPr>
      <w:rFonts w:ascii="Times New Roman" w:hAnsi="Times New Roman"/>
      <w:kern w:val="2"/>
      <w:sz w:val="20"/>
      <w:szCs w:val="22"/>
      <w:lang w:val="en-US"/>
    </w:rPr>
  </w:style>
  <w:style w:type="paragraph" w:styleId="Title">
    <w:name w:val="Title"/>
    <w:basedOn w:val="Normal"/>
    <w:next w:val="Normal"/>
    <w:link w:val="TitleChar"/>
    <w:uiPriority w:val="10"/>
    <w:qFormat/>
    <w:rsid w:val="005E3B00"/>
    <w:pPr>
      <w:ind w:left="567" w:firstLine="0"/>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E3B00"/>
    <w:rPr>
      <w:rFonts w:ascii="Times New Roman" w:eastAsiaTheme="majorEastAsia" w:hAnsi="Times New Roman" w:cstheme="majorBidi"/>
      <w:b/>
      <w:spacing w:val="-10"/>
      <w:kern w:val="28"/>
      <w:szCs w:val="56"/>
      <w:lang w:val="en-US"/>
    </w:rPr>
  </w:style>
  <w:style w:type="paragraph" w:styleId="Subtitle">
    <w:name w:val="Subtitle"/>
    <w:basedOn w:val="Normal"/>
    <w:next w:val="Normal"/>
    <w:link w:val="SubtitleChar"/>
    <w:uiPriority w:val="11"/>
    <w:qFormat/>
    <w:rsid w:val="005E3B00"/>
    <w:pPr>
      <w:numPr>
        <w:ilvl w:val="1"/>
      </w:numPr>
      <w:ind w:left="567" w:firstLine="288"/>
    </w:pPr>
    <w:rPr>
      <w:spacing w:val="15"/>
    </w:rPr>
  </w:style>
  <w:style w:type="character" w:customStyle="1" w:styleId="SubtitleChar">
    <w:name w:val="Subtitle Char"/>
    <w:basedOn w:val="DefaultParagraphFont"/>
    <w:link w:val="Subtitle"/>
    <w:uiPriority w:val="11"/>
    <w:rsid w:val="005E3B00"/>
    <w:rPr>
      <w:rFonts w:ascii="Times New Roman" w:hAnsi="Times New Roman"/>
      <w:spacing w:val="15"/>
      <w:kern w:val="2"/>
      <w:sz w:val="20"/>
      <w:szCs w:val="22"/>
      <w:lang w:val="en-US"/>
    </w:rPr>
  </w:style>
  <w:style w:type="paragraph" w:styleId="Header">
    <w:name w:val="header"/>
    <w:basedOn w:val="Normal"/>
    <w:link w:val="HeaderChar"/>
    <w:uiPriority w:val="99"/>
    <w:unhideWhenUsed/>
    <w:rsid w:val="00045C67"/>
    <w:pPr>
      <w:tabs>
        <w:tab w:val="center" w:pos="4513"/>
        <w:tab w:val="right" w:pos="9026"/>
      </w:tabs>
      <w:spacing w:before="0" w:after="0"/>
    </w:pPr>
  </w:style>
  <w:style w:type="character" w:customStyle="1" w:styleId="HeaderChar">
    <w:name w:val="Header Char"/>
    <w:basedOn w:val="DefaultParagraphFont"/>
    <w:link w:val="Header"/>
    <w:uiPriority w:val="99"/>
    <w:rsid w:val="00045C67"/>
    <w:rPr>
      <w:rFonts w:ascii="Times New Roman" w:hAnsi="Times New Roman"/>
      <w:kern w:val="2"/>
      <w:sz w:val="20"/>
      <w:szCs w:val="22"/>
      <w:lang w:val="en-US"/>
    </w:rPr>
  </w:style>
  <w:style w:type="paragraph" w:styleId="Footer">
    <w:name w:val="footer"/>
    <w:basedOn w:val="Normal"/>
    <w:link w:val="FooterChar"/>
    <w:uiPriority w:val="99"/>
    <w:unhideWhenUsed/>
    <w:rsid w:val="00045C67"/>
    <w:pPr>
      <w:tabs>
        <w:tab w:val="center" w:pos="4513"/>
        <w:tab w:val="right" w:pos="9026"/>
      </w:tabs>
      <w:spacing w:before="0" w:after="0"/>
    </w:pPr>
  </w:style>
  <w:style w:type="character" w:customStyle="1" w:styleId="FooterChar">
    <w:name w:val="Footer Char"/>
    <w:basedOn w:val="DefaultParagraphFont"/>
    <w:link w:val="Footer"/>
    <w:uiPriority w:val="99"/>
    <w:rsid w:val="00045C67"/>
    <w:rPr>
      <w:rFonts w:ascii="Times New Roman" w:hAnsi="Times New Roman"/>
      <w:kern w:val="2"/>
      <w:sz w:val="20"/>
      <w:szCs w:val="22"/>
      <w:lang w:val="en-US"/>
    </w:rPr>
  </w:style>
  <w:style w:type="paragraph" w:customStyle="1" w:styleId="Runninghead">
    <w:name w:val="Running head"/>
    <w:basedOn w:val="Normal"/>
    <w:link w:val="RunningheadChar"/>
    <w:uiPriority w:val="49"/>
    <w:qFormat/>
    <w:rsid w:val="00045C67"/>
    <w:pPr>
      <w:widowControl/>
      <w:wordWrap/>
      <w:overflowPunct w:val="0"/>
      <w:adjustRightInd w:val="0"/>
      <w:spacing w:before="0" w:beforeAutospacing="0" w:after="0" w:afterAutospacing="0"/>
      <w:ind w:firstLine="0"/>
      <w:jc w:val="center"/>
      <w:textAlignment w:val="baseline"/>
    </w:pPr>
    <w:rPr>
      <w:rFonts w:eastAsia="Times New Roman" w:cs="Times New Roman"/>
      <w:b/>
      <w:kern w:val="0"/>
      <w:sz w:val="16"/>
      <w:szCs w:val="16"/>
      <w:lang w:val="en-GB" w:eastAsia="en-US"/>
    </w:rPr>
  </w:style>
  <w:style w:type="character" w:customStyle="1" w:styleId="RunningheadChar">
    <w:name w:val="Running head Char"/>
    <w:basedOn w:val="DefaultParagraphFont"/>
    <w:link w:val="Runninghead"/>
    <w:uiPriority w:val="49"/>
    <w:rsid w:val="00045C67"/>
    <w:rPr>
      <w:rFonts w:ascii="Times New Roman" w:eastAsia="Times New Roman" w:hAnsi="Times New Roman" w:cs="Times New Roman"/>
      <w:b/>
      <w:sz w:val="16"/>
      <w:szCs w:val="16"/>
      <w:lang w:val="en-GB" w:eastAsia="en-US"/>
    </w:rPr>
  </w:style>
  <w:style w:type="paragraph" w:customStyle="1" w:styleId="zyxClassification1">
    <w:name w:val="zyxClassification1"/>
    <w:basedOn w:val="BodyText"/>
    <w:uiPriority w:val="49"/>
    <w:locked/>
    <w:rsid w:val="00045C67"/>
    <w:pPr>
      <w:widowControl/>
      <w:wordWrap/>
      <w:autoSpaceDE/>
      <w:autoSpaceDN/>
      <w:spacing w:before="0" w:beforeAutospacing="0" w:after="0" w:afterAutospacing="0" w:line="280" w:lineRule="exact"/>
      <w:contextualSpacing/>
      <w:jc w:val="right"/>
    </w:pPr>
    <w:rPr>
      <w:rFonts w:ascii="Arial" w:eastAsia="Times New Roman" w:hAnsi="Arial" w:cs="Arial"/>
      <w:b/>
      <w:bCs/>
      <w:caps/>
      <w:kern w:val="0"/>
      <w:sz w:val="24"/>
      <w:szCs w:val="20"/>
      <w:lang w:val="en-GB" w:eastAsia="en-US"/>
    </w:rPr>
  </w:style>
  <w:style w:type="paragraph" w:customStyle="1" w:styleId="zyxClassification2">
    <w:name w:val="zyxClassification2"/>
    <w:basedOn w:val="Footer"/>
    <w:uiPriority w:val="49"/>
    <w:locked/>
    <w:rsid w:val="00045C67"/>
    <w:pPr>
      <w:widowControl/>
      <w:tabs>
        <w:tab w:val="clear" w:pos="4513"/>
        <w:tab w:val="clear" w:pos="9026"/>
        <w:tab w:val="center" w:pos="4320"/>
        <w:tab w:val="right" w:pos="8640"/>
      </w:tabs>
      <w:wordWrap/>
      <w:overflowPunct w:val="0"/>
      <w:adjustRightInd w:val="0"/>
      <w:spacing w:beforeAutospacing="0" w:afterAutospacing="0"/>
      <w:jc w:val="right"/>
      <w:textAlignment w:val="baseline"/>
    </w:pPr>
    <w:rPr>
      <w:rFonts w:ascii="Arial" w:eastAsia="Times New Roman" w:hAnsi="Arial" w:cs="Arial"/>
      <w:kern w:val="0"/>
      <w:sz w:val="16"/>
      <w:szCs w:val="20"/>
      <w:lang w:val="en-GB" w:eastAsia="en-US"/>
    </w:rPr>
  </w:style>
  <w:style w:type="paragraph" w:styleId="BodyText">
    <w:name w:val="Body Text"/>
    <w:basedOn w:val="Normal"/>
    <w:link w:val="BodyTextChar"/>
    <w:uiPriority w:val="99"/>
    <w:semiHidden/>
    <w:unhideWhenUsed/>
    <w:rsid w:val="00045C67"/>
    <w:pPr>
      <w:spacing w:after="120"/>
    </w:pPr>
  </w:style>
  <w:style w:type="character" w:customStyle="1" w:styleId="BodyTextChar">
    <w:name w:val="Body Text Char"/>
    <w:basedOn w:val="DefaultParagraphFont"/>
    <w:link w:val="BodyText"/>
    <w:uiPriority w:val="99"/>
    <w:semiHidden/>
    <w:rsid w:val="00045C67"/>
    <w:rPr>
      <w:rFonts w:ascii="Times New Roman" w:hAnsi="Times New Roman"/>
      <w:kern w:val="2"/>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436986">
      <w:bodyDiv w:val="1"/>
      <w:marLeft w:val="0"/>
      <w:marRight w:val="0"/>
      <w:marTop w:val="0"/>
      <w:marBottom w:val="0"/>
      <w:divBdr>
        <w:top w:val="none" w:sz="0" w:space="0" w:color="auto"/>
        <w:left w:val="none" w:sz="0" w:space="0" w:color="auto"/>
        <w:bottom w:val="none" w:sz="0" w:space="0" w:color="auto"/>
        <w:right w:val="none" w:sz="0" w:space="0" w:color="auto"/>
      </w:divBdr>
    </w:div>
    <w:div w:id="1011565268">
      <w:bodyDiv w:val="1"/>
      <w:marLeft w:val="0"/>
      <w:marRight w:val="0"/>
      <w:marTop w:val="0"/>
      <w:marBottom w:val="0"/>
      <w:divBdr>
        <w:top w:val="none" w:sz="0" w:space="0" w:color="auto"/>
        <w:left w:val="none" w:sz="0" w:space="0" w:color="auto"/>
        <w:bottom w:val="none" w:sz="0" w:space="0" w:color="auto"/>
        <w:right w:val="none" w:sz="0" w:space="0" w:color="auto"/>
      </w:divBdr>
    </w:div>
    <w:div w:id="198642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rahap@bapeten.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5E5E-1345-492C-B4C3-671F431E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Badan Pengawas Tenaga Nuklir</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Muttaqin Margo Nirwono</dc:creator>
  <cp:keywords/>
  <dc:description/>
  <cp:lastModifiedBy>Muhammad Rifqi Harahap</cp:lastModifiedBy>
  <cp:revision>4</cp:revision>
  <cp:lastPrinted>2022-05-27T08:19:00Z</cp:lastPrinted>
  <dcterms:created xsi:type="dcterms:W3CDTF">2024-08-01T08:44:00Z</dcterms:created>
  <dcterms:modified xsi:type="dcterms:W3CDTF">2024-08-07T04:03:00Z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http://www.zotero.org/styles/council-of-science-editors</vt:lpwstr>
  </property>
  <property fmtid="{D5CDD505-2E9C-101B-9397-08002B2CF9AE}" pid="5" name="Mendeley Recent Style Name 1_1">
    <vt:lpwstr>Council of Science Editors, Citation-Sequence (numeric)</vt:lpwstr>
  </property>
  <property fmtid="{D5CDD505-2E9C-101B-9397-08002B2CF9AE}" pid="6" name="Mendeley Recent Style Id 2_1">
    <vt:lpwstr>http://www.zotero.org/styles/council-of-science-editors-brackets</vt:lpwstr>
  </property>
  <property fmtid="{D5CDD505-2E9C-101B-9397-08002B2CF9AE}" pid="7" name="Mendeley Recent Style Name 2_1">
    <vt:lpwstr>Council of Science Editors, Citation-Sequence (numeric, brackets)</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http://www.zotero.org/styles/international-atomic-energy-agency</vt:lpwstr>
  </property>
  <property fmtid="{D5CDD505-2E9C-101B-9397-08002B2CF9AE}" pid="11" name="Mendeley Recent Style Name 4_1">
    <vt:lpwstr>International Atomic Energy Agency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http://www.zotero.org/styles/springer-basic-brackets</vt:lpwstr>
  </property>
  <property fmtid="{D5CDD505-2E9C-101B-9397-08002B2CF9AE}" pid="15" name="Mendeley Recent Style Name 6_1">
    <vt:lpwstr>Springer - Basic (numeric, brackets)</vt:lpwstr>
  </property>
  <property fmtid="{D5CDD505-2E9C-101B-9397-08002B2CF9AE}" pid="16" name="Mendeley Recent Style Id 7_1">
    <vt:lpwstr>http://www.zotero.org/styles/taylor-and-francis-council-of-science-editors-author-date</vt:lpwstr>
  </property>
  <property fmtid="{D5CDD505-2E9C-101B-9397-08002B2CF9AE}" pid="17" name="Mendeley Recent Style Name 7_1">
    <vt:lpwstr>Taylor &amp; Francis - Council of Science Editors (author-date)</vt:lpwstr>
  </property>
  <property fmtid="{D5CDD505-2E9C-101B-9397-08002B2CF9AE}" pid="18" name="Mendeley Recent Style Id 8_1">
    <vt:lpwstr>http://www.zotero.org/styles/taylor-and-francis-council-of-science-editors-numeric</vt:lpwstr>
  </property>
  <property fmtid="{D5CDD505-2E9C-101B-9397-08002B2CF9AE}" pid="19" name="Mendeley Recent Style Name 8_1">
    <vt:lpwstr>Taylor &amp; Francis - Council of Science Editors (numeric)</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4bf20aa3-b622-3cc1-ac0f-ab1483630501</vt:lpwstr>
  </property>
  <property fmtid="{D5CDD505-2E9C-101B-9397-08002B2CF9AE}" pid="24" name="Mendeley Citation Style_1">
    <vt:lpwstr>http://www.zotero.org/styles/international-atomic-energy-agency</vt:lpwstr>
  </property>
  <property fmtid="{D5CDD505-2E9C-101B-9397-08002B2CF9AE}" pid="25" name="GrammarlyDocumentId">
    <vt:lpwstr>b3c73a1281253de975ec367a5407aece4fb530adb0706a846c0640a2bf7ac34b</vt:lpwstr>
  </property>
</Properties>
</file>