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501F0" w14:textId="14836305" w:rsidR="00E20E70" w:rsidRPr="00D12176" w:rsidRDefault="00A66FA3" w:rsidP="00537496">
      <w:pPr>
        <w:pStyle w:val="Heading1"/>
        <w:rPr>
          <w:lang w:val="en-GB"/>
        </w:rPr>
      </w:pPr>
      <w:r w:rsidRPr="00D12176">
        <w:rPr>
          <w:lang w:val="en-GB"/>
        </w:rPr>
        <w:t xml:space="preserve">A </w:t>
      </w:r>
      <w:r w:rsidR="007B3BD4" w:rsidRPr="00D12176">
        <w:rPr>
          <w:lang w:val="en-GB"/>
        </w:rPr>
        <w:t>Method for Sizing Emergency Planning</w:t>
      </w:r>
      <w:r w:rsidR="007B3BD4" w:rsidRPr="00D12176">
        <w:rPr>
          <w:lang w:val="en-GB"/>
        </w:rPr>
        <w:br/>
        <w:t>Zones around Small Modular Reactors</w:t>
      </w:r>
      <w:r w:rsidR="007B3BD4" w:rsidRPr="00D12176">
        <w:rPr>
          <w:lang w:val="en-GB"/>
        </w:rPr>
        <w:br/>
        <w:t>and New Reactor Technologies</w:t>
      </w:r>
    </w:p>
    <w:p w14:paraId="4D1B799F" w14:textId="77777777" w:rsidR="00802381" w:rsidRPr="00D12176" w:rsidRDefault="00802381" w:rsidP="00537496">
      <w:pPr>
        <w:pStyle w:val="Authornameandaffiliation"/>
        <w:rPr>
          <w:lang w:val="en-GB"/>
        </w:rPr>
      </w:pPr>
    </w:p>
    <w:p w14:paraId="32159D0F" w14:textId="0C422B46" w:rsidR="003B5E0E" w:rsidRPr="00D12176" w:rsidRDefault="00A66FA3" w:rsidP="00537496">
      <w:pPr>
        <w:pStyle w:val="Authornameandaffiliation"/>
        <w:rPr>
          <w:lang w:val="en-GB"/>
        </w:rPr>
      </w:pPr>
      <w:r w:rsidRPr="00D12176">
        <w:rPr>
          <w:lang w:val="en-GB"/>
        </w:rPr>
        <w:t>D. Hummel</w:t>
      </w:r>
    </w:p>
    <w:p w14:paraId="02370931" w14:textId="3474E81B" w:rsidR="00FF386F" w:rsidRPr="00D12176" w:rsidRDefault="00A66FA3" w:rsidP="00537496">
      <w:pPr>
        <w:pStyle w:val="Authornameandaffiliation"/>
        <w:rPr>
          <w:lang w:val="en-GB"/>
        </w:rPr>
      </w:pPr>
      <w:r w:rsidRPr="00D12176">
        <w:rPr>
          <w:lang w:val="en-GB"/>
        </w:rPr>
        <w:t>Canadian Nuclear Laboratories</w:t>
      </w:r>
    </w:p>
    <w:p w14:paraId="14684DE2" w14:textId="28FA5BFE" w:rsidR="00FF386F" w:rsidRPr="00D12176" w:rsidRDefault="00A66FA3" w:rsidP="00537496">
      <w:pPr>
        <w:pStyle w:val="Authornameandaffiliation"/>
        <w:rPr>
          <w:lang w:val="en-GB"/>
        </w:rPr>
      </w:pPr>
      <w:r w:rsidRPr="00D12176">
        <w:rPr>
          <w:lang w:val="en-GB"/>
        </w:rPr>
        <w:t>Deep River</w:t>
      </w:r>
      <w:r w:rsidR="00FF386F" w:rsidRPr="00D12176">
        <w:rPr>
          <w:lang w:val="en-GB"/>
        </w:rPr>
        <w:t xml:space="preserve">, </w:t>
      </w:r>
      <w:r w:rsidRPr="00D12176">
        <w:rPr>
          <w:lang w:val="en-GB"/>
        </w:rPr>
        <w:t>Canada</w:t>
      </w:r>
    </w:p>
    <w:p w14:paraId="0080899C" w14:textId="62A4FB5B" w:rsidR="00FF386F" w:rsidRPr="00D12176" w:rsidRDefault="00FF386F" w:rsidP="00537496">
      <w:pPr>
        <w:pStyle w:val="Authornameandaffiliation"/>
        <w:rPr>
          <w:lang w:val="en-GB"/>
        </w:rPr>
      </w:pPr>
      <w:r w:rsidRPr="00D12176">
        <w:rPr>
          <w:lang w:val="en-GB"/>
        </w:rPr>
        <w:t xml:space="preserve">Email: </w:t>
      </w:r>
      <w:r w:rsidR="00A66FA3" w:rsidRPr="00D12176">
        <w:rPr>
          <w:lang w:val="en-GB"/>
        </w:rPr>
        <w:t>david.hummel</w:t>
      </w:r>
      <w:r w:rsidRPr="00D12176">
        <w:rPr>
          <w:lang w:val="en-GB"/>
        </w:rPr>
        <w:t>@</w:t>
      </w:r>
      <w:r w:rsidR="00A66FA3" w:rsidRPr="00D12176">
        <w:rPr>
          <w:lang w:val="en-GB"/>
        </w:rPr>
        <w:t>cnl.ca</w:t>
      </w:r>
    </w:p>
    <w:p w14:paraId="5E2BDA1F" w14:textId="77777777" w:rsidR="00FF386F" w:rsidRPr="00D12176" w:rsidRDefault="00FF386F" w:rsidP="00537496">
      <w:pPr>
        <w:pStyle w:val="Authornameandaffiliation"/>
        <w:rPr>
          <w:lang w:val="en-GB"/>
        </w:rPr>
      </w:pPr>
    </w:p>
    <w:p w14:paraId="535BB6CC" w14:textId="5F714A9D" w:rsidR="00FF386F" w:rsidRPr="00D12176" w:rsidRDefault="00A66FA3" w:rsidP="00537496">
      <w:pPr>
        <w:pStyle w:val="Authornameandaffiliation"/>
        <w:rPr>
          <w:lang w:val="en-GB"/>
        </w:rPr>
      </w:pPr>
      <w:r w:rsidRPr="00D12176">
        <w:rPr>
          <w:lang w:val="en-GB"/>
        </w:rPr>
        <w:t>L. Lebel</w:t>
      </w:r>
    </w:p>
    <w:p w14:paraId="008085C2" w14:textId="6C0F8EE7" w:rsidR="00FF386F" w:rsidRPr="00D12176" w:rsidRDefault="00A66FA3" w:rsidP="00537496">
      <w:pPr>
        <w:pStyle w:val="Authornameandaffiliation"/>
        <w:rPr>
          <w:lang w:val="en-GB"/>
        </w:rPr>
      </w:pPr>
      <w:r w:rsidRPr="00D12176">
        <w:rPr>
          <w:lang w:val="en-GB"/>
        </w:rPr>
        <w:t>Canadian Nuclear Laboratories</w:t>
      </w:r>
    </w:p>
    <w:p w14:paraId="5D980831" w14:textId="21B9A09E" w:rsidR="00FF386F" w:rsidRPr="00D12176" w:rsidRDefault="00A66FA3" w:rsidP="00537496">
      <w:pPr>
        <w:pStyle w:val="Authornameandaffiliation"/>
        <w:rPr>
          <w:lang w:val="en-GB"/>
        </w:rPr>
      </w:pPr>
      <w:r w:rsidRPr="00D12176">
        <w:rPr>
          <w:lang w:val="en-GB"/>
        </w:rPr>
        <w:t>Deep River, Canada</w:t>
      </w:r>
    </w:p>
    <w:p w14:paraId="485ACB4F" w14:textId="77777777" w:rsidR="00A66FA3" w:rsidRPr="00D12176" w:rsidRDefault="00A66FA3" w:rsidP="00537496">
      <w:pPr>
        <w:pStyle w:val="Authornameandaffiliation"/>
        <w:rPr>
          <w:lang w:val="en-GB"/>
        </w:rPr>
      </w:pPr>
    </w:p>
    <w:p w14:paraId="6798C75E" w14:textId="1E8373C5" w:rsidR="00A66FA3" w:rsidRPr="00D12176" w:rsidRDefault="00A66FA3" w:rsidP="00537496">
      <w:pPr>
        <w:pStyle w:val="Authornameandaffiliation"/>
        <w:rPr>
          <w:lang w:val="en-GB"/>
        </w:rPr>
      </w:pPr>
      <w:r w:rsidRPr="00D12176">
        <w:rPr>
          <w:lang w:val="en-GB"/>
        </w:rPr>
        <w:t>J. Cui</w:t>
      </w:r>
    </w:p>
    <w:p w14:paraId="0DEBA12B" w14:textId="0BC75E2F" w:rsidR="00A66FA3" w:rsidRPr="00D12176" w:rsidRDefault="00A66FA3" w:rsidP="00537496">
      <w:pPr>
        <w:pStyle w:val="Authornameandaffiliation"/>
        <w:rPr>
          <w:lang w:val="en-GB"/>
        </w:rPr>
      </w:pPr>
      <w:r w:rsidRPr="00D12176">
        <w:rPr>
          <w:lang w:val="en-GB"/>
        </w:rPr>
        <w:t>Canadian Nuclear Laboratories</w:t>
      </w:r>
    </w:p>
    <w:p w14:paraId="72D256FC" w14:textId="66060840" w:rsidR="00A66FA3" w:rsidRPr="00D12176" w:rsidRDefault="00A66FA3" w:rsidP="00537496">
      <w:pPr>
        <w:pStyle w:val="Authornameandaffiliation"/>
        <w:rPr>
          <w:lang w:val="en-GB"/>
        </w:rPr>
      </w:pPr>
      <w:r w:rsidRPr="00D12176">
        <w:rPr>
          <w:lang w:val="en-GB"/>
        </w:rPr>
        <w:t>Deep River, Canada</w:t>
      </w:r>
    </w:p>
    <w:p w14:paraId="52086655" w14:textId="77777777" w:rsidR="00A66FA3" w:rsidRPr="00D12176" w:rsidRDefault="00A66FA3" w:rsidP="00537496">
      <w:pPr>
        <w:pStyle w:val="Authornameandaffiliation"/>
        <w:rPr>
          <w:lang w:val="en-GB"/>
        </w:rPr>
      </w:pPr>
    </w:p>
    <w:p w14:paraId="74EBC088" w14:textId="5278BA59" w:rsidR="00A66FA3" w:rsidRPr="00D12176" w:rsidRDefault="00A66FA3" w:rsidP="00537496">
      <w:pPr>
        <w:pStyle w:val="Authornameandaffiliation"/>
        <w:rPr>
          <w:lang w:val="en-GB"/>
        </w:rPr>
      </w:pPr>
      <w:r w:rsidRPr="00D12176">
        <w:rPr>
          <w:lang w:val="en-GB"/>
        </w:rPr>
        <w:t>S. Chouhan</w:t>
      </w:r>
    </w:p>
    <w:p w14:paraId="00B00E31" w14:textId="11F11CDC" w:rsidR="00A66FA3" w:rsidRPr="00D12176" w:rsidRDefault="00A66FA3" w:rsidP="00537496">
      <w:pPr>
        <w:pStyle w:val="Authornameandaffiliation"/>
        <w:rPr>
          <w:lang w:val="en-GB"/>
        </w:rPr>
      </w:pPr>
      <w:r w:rsidRPr="00D12176">
        <w:rPr>
          <w:lang w:val="en-GB"/>
        </w:rPr>
        <w:t>Canadian Nuclear Laboratories</w:t>
      </w:r>
    </w:p>
    <w:p w14:paraId="3D77DC95" w14:textId="065182B3" w:rsidR="00A66FA3" w:rsidRPr="00D12176" w:rsidRDefault="00A66FA3" w:rsidP="00537496">
      <w:pPr>
        <w:pStyle w:val="Authornameandaffiliation"/>
        <w:rPr>
          <w:lang w:val="en-GB"/>
        </w:rPr>
      </w:pPr>
      <w:r w:rsidRPr="00D12176">
        <w:rPr>
          <w:lang w:val="en-GB"/>
        </w:rPr>
        <w:t>Deep River, Canada</w:t>
      </w:r>
    </w:p>
    <w:p w14:paraId="2C7F19CB" w14:textId="77777777" w:rsidR="00FF386F" w:rsidRPr="00D12176" w:rsidRDefault="00FF386F" w:rsidP="00537496">
      <w:pPr>
        <w:pStyle w:val="Authornameandaffiliation"/>
        <w:rPr>
          <w:lang w:val="en-GB"/>
        </w:rPr>
      </w:pPr>
    </w:p>
    <w:p w14:paraId="230D4575" w14:textId="77777777" w:rsidR="00647F33" w:rsidRPr="00D12176" w:rsidRDefault="00647F33" w:rsidP="00537496">
      <w:pPr>
        <w:pStyle w:val="Authornameandaffiliation"/>
        <w:rPr>
          <w:b/>
          <w:lang w:val="en-GB"/>
        </w:rPr>
      </w:pPr>
      <w:r w:rsidRPr="00D12176">
        <w:rPr>
          <w:b/>
          <w:lang w:val="en-GB"/>
        </w:rPr>
        <w:t>Abstract</w:t>
      </w:r>
    </w:p>
    <w:p w14:paraId="4F2E62A2" w14:textId="77777777" w:rsidR="00647F33" w:rsidRPr="00D12176" w:rsidRDefault="00647F33" w:rsidP="00537496">
      <w:pPr>
        <w:pStyle w:val="Authornameandaffiliation"/>
        <w:rPr>
          <w:lang w:val="en-GB"/>
        </w:rPr>
      </w:pPr>
    </w:p>
    <w:p w14:paraId="418AC57B" w14:textId="1166C473" w:rsidR="00647F33" w:rsidRPr="00D12176" w:rsidRDefault="00DD3860" w:rsidP="00537496">
      <w:pPr>
        <w:pStyle w:val="Abstracttext"/>
        <w:rPr>
          <w:lang w:val="en-GB"/>
        </w:rPr>
      </w:pPr>
      <w:r w:rsidRPr="00D12176">
        <w:rPr>
          <w:lang w:val="en-GB"/>
        </w:rPr>
        <w:t xml:space="preserve">Off-site emergency protective actions are the fifth and final level of defence in depth against the consequences of nuclear accidents. The area around the site where pre-planned precautionary or urgent protective actions are ready to be taken in the event of an emergency is the emergency planning zone (EPZ). Stakeholders for small modular reactor (SMR) and advanced reactor technologies have advocated that, considering the risks relative to contemporary large nuclear power plants, the EPZ around </w:t>
      </w:r>
      <w:r w:rsidR="00CD76A0">
        <w:rPr>
          <w:lang w:val="en-GB"/>
        </w:rPr>
        <w:t xml:space="preserve">these new reactor technologies </w:t>
      </w:r>
      <w:r w:rsidRPr="00D12176">
        <w:rPr>
          <w:lang w:val="en-GB"/>
        </w:rPr>
        <w:t xml:space="preserve">may be reduced in size or outright eliminated. However, past investigations have revealed lack of clarity or uncertainty in the technical criteria that determine the necessary EPZ size. To that end, Canadian Nuclear Laboratories has been developing a decision-making framework to identify the events that should be considered in the off-site planning basis and what is the necessary extent of the urgent protective action planning zone. The proposed method is based on some principals of Level 3 probabilistic safety assessment as well as an evaluation of public health risks in units of adjusted life years. </w:t>
      </w:r>
      <w:r w:rsidR="000A1D33" w:rsidRPr="00D12176">
        <w:rPr>
          <w:lang w:val="en-GB"/>
        </w:rPr>
        <w:t>The</w:t>
      </w:r>
      <w:r w:rsidRPr="00D12176">
        <w:rPr>
          <w:lang w:val="en-GB"/>
        </w:rPr>
        <w:t xml:space="preserve"> study develops the method and demonstrates its application with a simplified case study.</w:t>
      </w:r>
    </w:p>
    <w:p w14:paraId="03C6D75B" w14:textId="590C08ED" w:rsidR="00647F33" w:rsidRPr="00D12176" w:rsidRDefault="007B3BD4" w:rsidP="00537496">
      <w:pPr>
        <w:pStyle w:val="Heading2"/>
        <w:numPr>
          <w:ilvl w:val="1"/>
          <w:numId w:val="10"/>
        </w:numPr>
      </w:pPr>
      <w:r w:rsidRPr="00D12176">
        <w:t>Introduction</w:t>
      </w:r>
    </w:p>
    <w:p w14:paraId="403ED720" w14:textId="24569E40" w:rsidR="007D1459" w:rsidRPr="00D12176" w:rsidRDefault="007D1459" w:rsidP="00537496">
      <w:pPr>
        <w:pStyle w:val="BodyText"/>
      </w:pPr>
      <w:r w:rsidRPr="00D12176">
        <w:t xml:space="preserve">Defence in depth is one of the fundamental concepts of nuclear safety. According to the IAEA, it refers to a combination of </w:t>
      </w:r>
      <w:r w:rsidR="00FE1A5B" w:rsidRPr="00D12176">
        <w:t>several</w:t>
      </w:r>
      <w:r w:rsidRPr="00D12176">
        <w:t xml:space="preserve"> consecutive and independent levels of protection that would have to fail before harmful effects could be caused to people or the environment</w:t>
      </w:r>
      <w:r w:rsidR="00C506CD" w:rsidRPr="00D12176">
        <w:t xml:space="preserve"> </w:t>
      </w:r>
      <w:r w:rsidR="00C506CD" w:rsidRPr="00D12176">
        <w:fldChar w:fldCharType="begin"/>
      </w:r>
      <w:r w:rsidR="00C506CD" w:rsidRPr="00D12176">
        <w:instrText xml:space="preserve"> REF _Ref168473501 \r \h </w:instrText>
      </w:r>
      <w:r w:rsidR="00C506CD" w:rsidRPr="00D12176">
        <w:fldChar w:fldCharType="separate"/>
      </w:r>
      <w:r w:rsidR="00303011">
        <w:t>[1]</w:t>
      </w:r>
      <w:r w:rsidR="00C506CD" w:rsidRPr="00D12176">
        <w:fldChar w:fldCharType="end"/>
      </w:r>
      <w:r w:rsidRPr="00D12176">
        <w:t xml:space="preserve">. </w:t>
      </w:r>
      <w:r w:rsidR="00FE1A5B" w:rsidRPr="00D12176">
        <w:t xml:space="preserve">The fifth, and final, level of defence mitigates the consequences of significant releases of radioactive material by implementing emergency measures outside the boundary of the licensed site. These emergency preparedness and response (EPR) measures can range from enhanced monitoring to evacuation of the population that resides near the </w:t>
      </w:r>
      <w:r w:rsidR="003A1E1C">
        <w:t>nuclear power plant (</w:t>
      </w:r>
      <w:r w:rsidR="00FE1A5B" w:rsidRPr="00D12176">
        <w:t>NPP</w:t>
      </w:r>
      <w:r w:rsidR="003A1E1C">
        <w:t>)</w:t>
      </w:r>
      <w:r w:rsidR="00FE1A5B" w:rsidRPr="00D12176">
        <w:t>.</w:t>
      </w:r>
    </w:p>
    <w:p w14:paraId="68EA98B0" w14:textId="582B84F8" w:rsidR="00FE1A5B" w:rsidRPr="00D12176" w:rsidRDefault="00FE1A5B" w:rsidP="00537496">
      <w:pPr>
        <w:pStyle w:val="BodyText"/>
      </w:pPr>
      <w:r w:rsidRPr="00D12176">
        <w:t xml:space="preserve">Discussion on EPR requirements for </w:t>
      </w:r>
      <w:r w:rsidR="00087B06">
        <w:t>small modular reactors (</w:t>
      </w:r>
      <w:r w:rsidRPr="00D12176">
        <w:t>SMRs</w:t>
      </w:r>
      <w:r w:rsidR="00087B06">
        <w:t>)</w:t>
      </w:r>
      <w:r w:rsidRPr="00D12176">
        <w:t xml:space="preserve"> commonly reference the size of the emergency planning zone (EPZ)</w:t>
      </w:r>
      <w:r w:rsidR="00C506CD" w:rsidRPr="00D12176">
        <w:t xml:space="preserve"> </w:t>
      </w:r>
      <w:r w:rsidR="00C506CD" w:rsidRPr="00D12176">
        <w:fldChar w:fldCharType="begin"/>
      </w:r>
      <w:r w:rsidR="00C506CD" w:rsidRPr="00D12176">
        <w:instrText xml:space="preserve"> REF _Ref168471271 \r \h </w:instrText>
      </w:r>
      <w:r w:rsidR="00C506CD" w:rsidRPr="00D12176">
        <w:fldChar w:fldCharType="separate"/>
      </w:r>
      <w:r w:rsidR="00303011">
        <w:t>[2]</w:t>
      </w:r>
      <w:r w:rsidR="00C506CD" w:rsidRPr="00D12176">
        <w:fldChar w:fldCharType="end"/>
      </w:r>
      <w:r w:rsidRPr="00D12176">
        <w:t xml:space="preserve">. The EPZ can be defined as the region encapsulating any advanced planning areas around a NPP where there are EPR measures ready to avoid or mitigate the consequences of an accident. There are differences in EPZ nomenclature between national jurisdictions. </w:t>
      </w:r>
      <w:r w:rsidR="000A1D33" w:rsidRPr="00D12176">
        <w:t>This</w:t>
      </w:r>
      <w:r w:rsidRPr="00D12176">
        <w:t xml:space="preserve"> </w:t>
      </w:r>
      <w:r w:rsidR="000A1D33" w:rsidRPr="00D12176">
        <w:t>study</w:t>
      </w:r>
      <w:r w:rsidRPr="00D12176">
        <w:t xml:space="preserve"> uses the definition provided in Canadian standards </w:t>
      </w:r>
      <w:r w:rsidR="00216CAA" w:rsidRPr="00D12176">
        <w:fldChar w:fldCharType="begin"/>
      </w:r>
      <w:r w:rsidR="00216CAA" w:rsidRPr="00D12176">
        <w:instrText xml:space="preserve"> REF _Ref168471879 \r \h </w:instrText>
      </w:r>
      <w:r w:rsidR="00216CAA" w:rsidRPr="00D12176">
        <w:fldChar w:fldCharType="separate"/>
      </w:r>
      <w:r w:rsidR="00303011">
        <w:t>[3]</w:t>
      </w:r>
      <w:r w:rsidR="00216CAA" w:rsidRPr="00D12176">
        <w:fldChar w:fldCharType="end"/>
      </w:r>
      <w:r w:rsidRPr="00D12176">
        <w:t xml:space="preserve"> while referencing the neare</w:t>
      </w:r>
      <w:r w:rsidR="00E60874">
        <w:t>st</w:t>
      </w:r>
      <w:r w:rsidRPr="00D12176">
        <w:t xml:space="preserve"> IAEA equivalent</w:t>
      </w:r>
      <w:r w:rsidR="00216CAA" w:rsidRPr="00D12176">
        <w:t xml:space="preserve"> </w:t>
      </w:r>
      <w:r w:rsidR="00216CAA" w:rsidRPr="00D12176">
        <w:fldChar w:fldCharType="begin"/>
      </w:r>
      <w:r w:rsidR="00216CAA" w:rsidRPr="00D12176">
        <w:instrText xml:space="preserve"> REF _Ref168473527 \r \h </w:instrText>
      </w:r>
      <w:r w:rsidR="00216CAA" w:rsidRPr="00D12176">
        <w:fldChar w:fldCharType="separate"/>
      </w:r>
      <w:r w:rsidR="00303011">
        <w:t>[4]</w:t>
      </w:r>
      <w:r w:rsidR="00216CAA" w:rsidRPr="00D12176">
        <w:fldChar w:fldCharType="end"/>
      </w:r>
      <w:r w:rsidRPr="00D12176">
        <w:t>. Four types of emergency planning zone</w:t>
      </w:r>
      <w:r w:rsidR="00332693">
        <w:t>s</w:t>
      </w:r>
      <w:r w:rsidRPr="00D12176">
        <w:t xml:space="preserve"> (or distance</w:t>
      </w:r>
      <w:r w:rsidR="00332693">
        <w:t>s</w:t>
      </w:r>
      <w:r w:rsidRPr="00D12176">
        <w:t xml:space="preserve">) </w:t>
      </w:r>
      <w:r w:rsidR="00AA79C7" w:rsidRPr="00D12176">
        <w:t>may</w:t>
      </w:r>
      <w:r w:rsidRPr="00D12176">
        <w:t xml:space="preserve"> thus </w:t>
      </w:r>
      <w:r w:rsidR="000A1D33" w:rsidRPr="00D12176">
        <w:t xml:space="preserve">be </w:t>
      </w:r>
      <w:r w:rsidRPr="00D12176">
        <w:t>considered:</w:t>
      </w:r>
    </w:p>
    <w:p w14:paraId="4EBBA767" w14:textId="656AA733" w:rsidR="00FE1A5B" w:rsidRPr="00D12176" w:rsidRDefault="00FE1A5B" w:rsidP="00FE1A5B">
      <w:pPr>
        <w:pStyle w:val="BodyText"/>
        <w:numPr>
          <w:ilvl w:val="0"/>
          <w:numId w:val="33"/>
        </w:numPr>
      </w:pPr>
      <w:r w:rsidRPr="00D12176">
        <w:rPr>
          <w:i/>
          <w:iCs/>
        </w:rPr>
        <w:t xml:space="preserve">Automatic action zone </w:t>
      </w:r>
      <w:r w:rsidRPr="00D12176">
        <w:t xml:space="preserve">(AAZ): the area immediately surrounding the NPP where pre-planned actions are taken by default upon the declaration of a general emergency and some on-site emergencies. The AAZ is analogous to the </w:t>
      </w:r>
      <w:r w:rsidRPr="00D12176">
        <w:rPr>
          <w:i/>
          <w:iCs/>
        </w:rPr>
        <w:t>precautionary action zone</w:t>
      </w:r>
      <w:r w:rsidRPr="00D12176">
        <w:t xml:space="preserve"> (PAZ) in IAEA safety standards.</w:t>
      </w:r>
    </w:p>
    <w:p w14:paraId="137F7025" w14:textId="479D3248" w:rsidR="00FE1A5B" w:rsidRPr="00D12176" w:rsidRDefault="00FE1A5B" w:rsidP="00FE1A5B">
      <w:pPr>
        <w:pStyle w:val="BodyText"/>
        <w:numPr>
          <w:ilvl w:val="0"/>
          <w:numId w:val="33"/>
        </w:numPr>
      </w:pPr>
      <w:r w:rsidRPr="00D12176">
        <w:rPr>
          <w:i/>
          <w:iCs/>
        </w:rPr>
        <w:t>Detailed planning zone</w:t>
      </w:r>
      <w:r w:rsidRPr="00D12176">
        <w:t xml:space="preserve"> (DPZ): the area around a plant, encompassing the AAZ, where pre-planned protective actions are taken as needed based on known plant conditions, predictive modelling, and environmental monitoring. The DPZ is analogous to the </w:t>
      </w:r>
      <w:r w:rsidRPr="00D12176">
        <w:rPr>
          <w:i/>
          <w:iCs/>
        </w:rPr>
        <w:t>urgent protective action zone</w:t>
      </w:r>
      <w:r w:rsidRPr="00D12176">
        <w:t xml:space="preserve"> (UPZ) in IAEA safety standards.</w:t>
      </w:r>
    </w:p>
    <w:p w14:paraId="5ABAD517" w14:textId="0D83C292" w:rsidR="00AA79C7" w:rsidRPr="00D12176" w:rsidRDefault="00AA79C7" w:rsidP="00FE1A5B">
      <w:pPr>
        <w:pStyle w:val="BodyText"/>
        <w:numPr>
          <w:ilvl w:val="0"/>
          <w:numId w:val="33"/>
        </w:numPr>
      </w:pPr>
      <w:r w:rsidRPr="00D12176">
        <w:rPr>
          <w:i/>
          <w:iCs/>
        </w:rPr>
        <w:lastRenderedPageBreak/>
        <w:t>Contingency planning zone</w:t>
      </w:r>
      <w:r w:rsidRPr="00D12176">
        <w:t xml:space="preserve"> (CPZ): a pre-designated area beyond the DPZ where contingency plans are made so that, during an emergency, protective actions can be extended beyond the DPZ as necessary. The CPZ is analogous to the </w:t>
      </w:r>
      <w:r w:rsidRPr="00D12176">
        <w:rPr>
          <w:i/>
          <w:iCs/>
        </w:rPr>
        <w:t>extended planning distance</w:t>
      </w:r>
      <w:r w:rsidRPr="00D12176">
        <w:t xml:space="preserve"> (EPD) in IAEA safety standards</w:t>
      </w:r>
      <w:r w:rsidR="0078477B" w:rsidRPr="00D12176">
        <w:t>.</w:t>
      </w:r>
    </w:p>
    <w:p w14:paraId="1C7060BC" w14:textId="025196DB" w:rsidR="00AA79C7" w:rsidRPr="00D12176" w:rsidRDefault="00AA79C7" w:rsidP="00FE1A5B">
      <w:pPr>
        <w:pStyle w:val="BodyText"/>
        <w:numPr>
          <w:ilvl w:val="0"/>
          <w:numId w:val="33"/>
        </w:numPr>
      </w:pPr>
      <w:r w:rsidRPr="00D12176">
        <w:rPr>
          <w:i/>
          <w:iCs/>
        </w:rPr>
        <w:t>Ingestion planning zone</w:t>
      </w:r>
      <w:r w:rsidRPr="00D12176">
        <w:t xml:space="preserve"> (IPZ): a pre-designated area around the NPP where plans are made to protect the food chain and restrict consumption and distribution of potentially contaminated products. The IPZ extends the furthest from the NPP site among all the different zones. It is analogous to the </w:t>
      </w:r>
      <w:r w:rsidRPr="00D12176">
        <w:rPr>
          <w:i/>
          <w:iCs/>
        </w:rPr>
        <w:t>ingestion and commodities planning distance</w:t>
      </w:r>
      <w:r w:rsidRPr="00D12176">
        <w:t xml:space="preserve"> (ICPD) in IAEA safety standards.</w:t>
      </w:r>
    </w:p>
    <w:p w14:paraId="74CD1556" w14:textId="5A6937C7" w:rsidR="00E25B68" w:rsidRPr="00D12176" w:rsidRDefault="007B3BD4" w:rsidP="0026525A">
      <w:pPr>
        <w:pStyle w:val="Heading2"/>
        <w:numPr>
          <w:ilvl w:val="1"/>
          <w:numId w:val="10"/>
        </w:numPr>
      </w:pPr>
      <w:r w:rsidRPr="00D12176">
        <w:t>Optimisation of Emergency Response Actions</w:t>
      </w:r>
    </w:p>
    <w:p w14:paraId="0CB6AE5C" w14:textId="2ABE7687" w:rsidR="007B3BD4" w:rsidRPr="00D12176" w:rsidRDefault="007B3BD4" w:rsidP="007B3BD4">
      <w:pPr>
        <w:pStyle w:val="Heading3"/>
      </w:pPr>
      <w:r w:rsidRPr="00D12176">
        <w:t>Justification</w:t>
      </w:r>
    </w:p>
    <w:p w14:paraId="74F8A5D0" w14:textId="21132F40" w:rsidR="005703EE" w:rsidRPr="00D12176" w:rsidRDefault="000A1D33" w:rsidP="000A1D33">
      <w:pPr>
        <w:pStyle w:val="BodyText"/>
      </w:pPr>
      <w:r w:rsidRPr="00D12176">
        <w:t>Safety standards describe the projected radiation doses that should be used to trigger protective actions during a nuclear emergency</w:t>
      </w:r>
      <w:r w:rsidR="00394F05">
        <w:t>, with the</w:t>
      </w:r>
      <w:r w:rsidRPr="00D12176">
        <w:t xml:space="preserve"> triggers referred to as “generic criteria” </w:t>
      </w:r>
      <w:r w:rsidR="00F30D39" w:rsidRPr="00D12176">
        <w:fldChar w:fldCharType="begin"/>
      </w:r>
      <w:r w:rsidR="00F30D39" w:rsidRPr="00D12176">
        <w:instrText xml:space="preserve"> REF _Ref168473564 \r \h </w:instrText>
      </w:r>
      <w:r w:rsidR="00F30D39" w:rsidRPr="00D12176">
        <w:fldChar w:fldCharType="separate"/>
      </w:r>
      <w:r w:rsidR="00303011">
        <w:t>[5]</w:t>
      </w:r>
      <w:r w:rsidR="00F30D39" w:rsidRPr="00D12176">
        <w:fldChar w:fldCharType="end"/>
      </w:r>
      <w:r w:rsidR="00F30D39" w:rsidRPr="00D12176">
        <w:fldChar w:fldCharType="begin"/>
      </w:r>
      <w:r w:rsidR="00F30D39" w:rsidRPr="00D12176">
        <w:instrText xml:space="preserve"> REF _Ref168472269 \r \h </w:instrText>
      </w:r>
      <w:r w:rsidR="00F30D39" w:rsidRPr="00D12176">
        <w:fldChar w:fldCharType="separate"/>
      </w:r>
      <w:r w:rsidR="00303011">
        <w:t>[6]</w:t>
      </w:r>
      <w:r w:rsidR="00F30D39" w:rsidRPr="00D12176">
        <w:fldChar w:fldCharType="end"/>
      </w:r>
      <w:r w:rsidR="00434827">
        <w:t xml:space="preserve">, </w:t>
      </w:r>
      <w:r w:rsidR="00C92E64">
        <w:t>and</w:t>
      </w:r>
      <w:r w:rsidR="00434827">
        <w:t xml:space="preserve"> </w:t>
      </w:r>
      <w:r w:rsidRPr="00D12176">
        <w:t xml:space="preserve">urgent protective actions </w:t>
      </w:r>
      <w:r w:rsidR="00EF1B00">
        <w:t>including</w:t>
      </w:r>
      <w:r w:rsidR="00434827">
        <w:t xml:space="preserve"> </w:t>
      </w:r>
      <w:r w:rsidRPr="00D12176">
        <w:t>stable iodine thyroid blocking, sheltering, and evacuation.</w:t>
      </w:r>
      <w:r w:rsidR="00C92E64">
        <w:t xml:space="preserve"> </w:t>
      </w:r>
      <w:r w:rsidRPr="00D12176">
        <w:t xml:space="preserve">Fundamental to the guidance for implementing protective actions is that they are considered justified when a net benefit is achieved, and that the net benefit should be maximised given the prevailing circumstances and taking non-radiological factors into account </w:t>
      </w:r>
      <w:r w:rsidRPr="00D12176">
        <w:fldChar w:fldCharType="begin"/>
      </w:r>
      <w:r w:rsidRPr="00D12176">
        <w:instrText xml:space="preserve"> REF _Ref168472269 \r \h </w:instrText>
      </w:r>
      <w:r w:rsidRPr="00D12176">
        <w:fldChar w:fldCharType="separate"/>
      </w:r>
      <w:r w:rsidR="00303011">
        <w:t>[6]</w:t>
      </w:r>
      <w:r w:rsidRPr="00D12176">
        <w:fldChar w:fldCharType="end"/>
      </w:r>
      <w:r w:rsidRPr="00D12176">
        <w:t>. Protective actions are almost always justified when projected doses are above the reference level of 100 mSv (acute or annual) because this is considered the lower threshold for deterministic health effects</w:t>
      </w:r>
      <w:r w:rsidR="005703EE" w:rsidRPr="00D12176">
        <w:t xml:space="preserve"> </w:t>
      </w:r>
      <w:r w:rsidR="005703EE" w:rsidRPr="00D12176">
        <w:fldChar w:fldCharType="begin"/>
      </w:r>
      <w:r w:rsidR="005703EE" w:rsidRPr="00D12176">
        <w:instrText xml:space="preserve"> REF _Ref168472600 \r \h </w:instrText>
      </w:r>
      <w:r w:rsidR="005703EE" w:rsidRPr="00D12176">
        <w:fldChar w:fldCharType="separate"/>
      </w:r>
      <w:r w:rsidR="00303011">
        <w:t>[7]</w:t>
      </w:r>
      <w:r w:rsidR="005703EE" w:rsidRPr="00D12176">
        <w:fldChar w:fldCharType="end"/>
      </w:r>
      <w:r w:rsidR="005703EE" w:rsidRPr="00D12176">
        <w:t xml:space="preserve">. The generic criteria are therefore set at or below this reference level to facilitate optimisation of protection </w:t>
      </w:r>
      <w:r w:rsidR="005703EE" w:rsidRPr="00D12176">
        <w:fldChar w:fldCharType="begin"/>
      </w:r>
      <w:r w:rsidR="005703EE" w:rsidRPr="00D12176">
        <w:instrText xml:space="preserve"> REF _Ref168472269 \r \h </w:instrText>
      </w:r>
      <w:r w:rsidR="005703EE" w:rsidRPr="00D12176">
        <w:fldChar w:fldCharType="separate"/>
      </w:r>
      <w:r w:rsidR="00303011">
        <w:t>[6]</w:t>
      </w:r>
      <w:r w:rsidR="005703EE" w:rsidRPr="00D12176">
        <w:fldChar w:fldCharType="end"/>
      </w:r>
      <w:r w:rsidR="005703EE" w:rsidRPr="00D12176">
        <w:t xml:space="preserve">. </w:t>
      </w:r>
      <w:r w:rsidR="00D31AFF">
        <w:t>O</w:t>
      </w:r>
      <w:r w:rsidR="00F915EC" w:rsidRPr="00D12176">
        <w:t xml:space="preserve">ther competing non-radiological hazards </w:t>
      </w:r>
      <w:r w:rsidR="00D31AFF">
        <w:t>could be present, including from the protective actions themselves</w:t>
      </w:r>
      <w:r w:rsidR="001439CD">
        <w:t xml:space="preserve"> </w:t>
      </w:r>
      <w:r w:rsidR="002835AB">
        <w:fldChar w:fldCharType="begin"/>
      </w:r>
      <w:r w:rsidR="002835AB">
        <w:instrText xml:space="preserve"> REF _Ref168640594 \r \h </w:instrText>
      </w:r>
      <w:r w:rsidR="002835AB">
        <w:fldChar w:fldCharType="separate"/>
      </w:r>
      <w:r w:rsidR="00303011">
        <w:t>[8]</w:t>
      </w:r>
      <w:r w:rsidR="002835AB">
        <w:fldChar w:fldCharType="end"/>
      </w:r>
      <w:r w:rsidR="002835AB">
        <w:fldChar w:fldCharType="begin"/>
      </w:r>
      <w:r w:rsidR="002835AB">
        <w:instrText xml:space="preserve"> REF _Ref168640596 \r \h </w:instrText>
      </w:r>
      <w:r w:rsidR="002835AB">
        <w:fldChar w:fldCharType="separate"/>
      </w:r>
      <w:r w:rsidR="00303011">
        <w:t>[9]</w:t>
      </w:r>
      <w:r w:rsidR="002835AB">
        <w:fldChar w:fldCharType="end"/>
      </w:r>
      <w:r w:rsidR="00234764">
        <w:t>,</w:t>
      </w:r>
      <w:r w:rsidR="00D31AFF">
        <w:t xml:space="preserve"> </w:t>
      </w:r>
      <w:r w:rsidR="00C617D4">
        <w:t>and so t</w:t>
      </w:r>
      <w:r w:rsidR="005703EE" w:rsidRPr="00D12176">
        <w:t xml:space="preserve">here is a clear need to optimise nuclear emergency protective actions. </w:t>
      </w:r>
      <w:r w:rsidR="00F54CAA">
        <w:t xml:space="preserve">Over-prescription of </w:t>
      </w:r>
      <w:r w:rsidR="00921E4D">
        <w:t xml:space="preserve">protective actions would have negative consequences if </w:t>
      </w:r>
      <w:r w:rsidR="005703EE" w:rsidRPr="00D12176">
        <w:t>the same</w:t>
      </w:r>
      <w:r w:rsidR="00071BF0">
        <w:t>-sized</w:t>
      </w:r>
      <w:r w:rsidR="005703EE" w:rsidRPr="00D12176">
        <w:t xml:space="preserve"> </w:t>
      </w:r>
      <w:r w:rsidR="00530169">
        <w:t>EPZ</w:t>
      </w:r>
      <w:r w:rsidR="005703EE" w:rsidRPr="00D12176">
        <w:t xml:space="preserve"> </w:t>
      </w:r>
      <w:r w:rsidR="00E00CC3">
        <w:t xml:space="preserve">as </w:t>
      </w:r>
      <w:r w:rsidR="005703EE" w:rsidRPr="00D12176">
        <w:t xml:space="preserve">contemporary large NPPs </w:t>
      </w:r>
      <w:r w:rsidR="00B879D9">
        <w:t>were</w:t>
      </w:r>
      <w:r w:rsidR="00E00CC3">
        <w:t xml:space="preserve"> also applied </w:t>
      </w:r>
      <w:r w:rsidR="005703EE" w:rsidRPr="00D12176">
        <w:t>to SMRs</w:t>
      </w:r>
      <w:r w:rsidR="00CD76A0">
        <w:t xml:space="preserve"> and advanced reactors</w:t>
      </w:r>
      <w:r w:rsidR="00E00CC3">
        <w:t xml:space="preserve">. </w:t>
      </w:r>
      <w:r w:rsidR="005703EE" w:rsidRPr="00D12176">
        <w:t>These consequences should be considered while also avoiding alternative frameworks that may incorrectly downplay the radiological hazard. A risk-based framework to evaluate the necessary size of the EPZ that uses a holistic measure of public health outcomes has been proposed to meet this need</w:t>
      </w:r>
      <w:r w:rsidR="00F30D39" w:rsidRPr="00D12176">
        <w:t xml:space="preserve"> </w:t>
      </w:r>
      <w:r w:rsidR="00F30D39" w:rsidRPr="00D12176">
        <w:fldChar w:fldCharType="begin"/>
      </w:r>
      <w:r w:rsidR="00F30D39" w:rsidRPr="00D12176">
        <w:instrText xml:space="preserve"> REF _Ref168473589 \r \h </w:instrText>
      </w:r>
      <w:r w:rsidR="00F30D39" w:rsidRPr="00D12176">
        <w:fldChar w:fldCharType="separate"/>
      </w:r>
      <w:r w:rsidR="00303011">
        <w:t>[10]</w:t>
      </w:r>
      <w:r w:rsidR="00F30D39" w:rsidRPr="00D12176">
        <w:fldChar w:fldCharType="end"/>
      </w:r>
      <w:r w:rsidR="005703EE" w:rsidRPr="00D12176">
        <w:t>.</w:t>
      </w:r>
    </w:p>
    <w:p w14:paraId="5FE73C50" w14:textId="33AE48BA" w:rsidR="007B3BD4" w:rsidRPr="00D12176" w:rsidRDefault="007B3BD4" w:rsidP="007B3BD4">
      <w:pPr>
        <w:pStyle w:val="Heading3"/>
      </w:pPr>
      <w:r w:rsidRPr="00D12176">
        <w:t>Measurement of Health Outcomes</w:t>
      </w:r>
    </w:p>
    <w:p w14:paraId="31D1226B" w14:textId="244668FF" w:rsidR="003A177C" w:rsidRPr="00D12176" w:rsidRDefault="008D1334" w:rsidP="007B3BD4">
      <w:pPr>
        <w:pStyle w:val="BodyText"/>
      </w:pPr>
      <w:r w:rsidRPr="00D12176">
        <w:t xml:space="preserve">Several metrics </w:t>
      </w:r>
      <w:r w:rsidR="006F219E">
        <w:t>are available</w:t>
      </w:r>
      <w:r w:rsidRPr="00D12176">
        <w:t xml:space="preserve"> to </w:t>
      </w:r>
      <w:r w:rsidR="006F219E">
        <w:t>measure</w:t>
      </w:r>
      <w:r w:rsidR="006F219E" w:rsidRPr="00D12176">
        <w:t xml:space="preserve"> </w:t>
      </w:r>
      <w:r w:rsidR="0039023A">
        <w:t xml:space="preserve">health outcome </w:t>
      </w:r>
      <w:r w:rsidRPr="00D12176">
        <w:t>optimisation</w:t>
      </w:r>
      <w:r w:rsidR="004A317B">
        <w:t xml:space="preserve"> </w:t>
      </w:r>
      <w:r w:rsidR="004A317B" w:rsidRPr="00D12176">
        <w:t>and impact</w:t>
      </w:r>
      <w:r w:rsidR="00F01627">
        <w:t>s</w:t>
      </w:r>
      <w:r w:rsidR="004A317B" w:rsidRPr="00D12176">
        <w:t xml:space="preserve"> of interventions</w:t>
      </w:r>
      <w:r w:rsidR="006F219E">
        <w:t xml:space="preserve">. </w:t>
      </w:r>
      <w:r w:rsidR="00FE481F">
        <w:t xml:space="preserve">The </w:t>
      </w:r>
      <w:r w:rsidR="00A725FE" w:rsidRPr="00D12176">
        <w:t xml:space="preserve">disability-adjusted life year (DALY) metric </w:t>
      </w:r>
      <w:r w:rsidR="00A725FE" w:rsidRPr="00D12176">
        <w:fldChar w:fldCharType="begin"/>
      </w:r>
      <w:r w:rsidR="00A725FE" w:rsidRPr="00D12176">
        <w:instrText xml:space="preserve"> REF _Ref168473608 \r \h </w:instrText>
      </w:r>
      <w:r w:rsidR="00A725FE" w:rsidRPr="00D12176">
        <w:fldChar w:fldCharType="separate"/>
      </w:r>
      <w:r w:rsidR="00303011">
        <w:t>[11]</w:t>
      </w:r>
      <w:r w:rsidR="00A725FE" w:rsidRPr="00D12176">
        <w:fldChar w:fldCharType="end"/>
      </w:r>
      <w:r w:rsidR="00A725FE">
        <w:t xml:space="preserve">, </w:t>
      </w:r>
      <w:r w:rsidR="00FE481F">
        <w:t>selected in this study</w:t>
      </w:r>
      <w:r w:rsidR="00A725FE">
        <w:t>,</w:t>
      </w:r>
      <w:r w:rsidR="00FE481F">
        <w:t xml:space="preserve"> </w:t>
      </w:r>
      <w:r w:rsidR="00A725FE">
        <w:t>has been used</w:t>
      </w:r>
      <w:r w:rsidR="007A1A66">
        <w:t xml:space="preserve"> extensively including by </w:t>
      </w:r>
      <w:r w:rsidR="0039023A">
        <w:t xml:space="preserve">the </w:t>
      </w:r>
      <w:r w:rsidR="0039023A" w:rsidRPr="00D12176">
        <w:t>World Health Organization (WHO)</w:t>
      </w:r>
      <w:r w:rsidRPr="00D12176">
        <w:t>.</w:t>
      </w:r>
      <w:r w:rsidR="00C87EC4" w:rsidRPr="00D12176">
        <w:t xml:space="preserve"> </w:t>
      </w:r>
      <w:r w:rsidR="003A177C" w:rsidRPr="00D12176">
        <w:t>DALY measures the loss of life or loss of healthy life in a population. It is calculated as the weighted sum of years of life lost (</w:t>
      </w:r>
      <m:oMath>
        <m:r>
          <w:rPr>
            <w:rFonts w:ascii="Cambria Math" w:hAnsi="Cambria Math"/>
          </w:rPr>
          <m:t>YLL</m:t>
        </m:r>
      </m:oMath>
      <w:r w:rsidR="003A177C" w:rsidRPr="00D12176">
        <w:t>) from mortality (early death) and years lived with a disability (</w:t>
      </w:r>
      <m:oMath>
        <m:r>
          <w:rPr>
            <w:rFonts w:ascii="Cambria Math" w:hAnsi="Cambria Math"/>
          </w:rPr>
          <m:t>YLD</m:t>
        </m:r>
      </m:oMath>
      <w:r w:rsidR="003A177C" w:rsidRPr="00D12176">
        <w:t xml:space="preserve">), where </w:t>
      </w:r>
      <m:oMath>
        <m:r>
          <w:rPr>
            <w:rFonts w:ascii="Cambria Math" w:hAnsi="Cambria Math"/>
          </w:rPr>
          <m:t>YLD</m:t>
        </m:r>
      </m:oMath>
      <w:r w:rsidR="003A177C" w:rsidRPr="00D12176">
        <w:t xml:space="preserve"> is equivalent to years of life with the morbidity (deterioration in health). One </w:t>
      </w:r>
      <m:oMath>
        <m:r>
          <w:rPr>
            <w:rFonts w:ascii="Cambria Math" w:hAnsi="Cambria Math"/>
          </w:rPr>
          <m:t>DALY</m:t>
        </m:r>
      </m:oMath>
      <w:r w:rsidR="003A177C" w:rsidRPr="00D12176">
        <w:t xml:space="preserve"> can be thought of as one lost year of healthy life without the burden of disease, or as a measure of the gap between current health and the ideal situation where one lives free from disease and disability </w:t>
      </w:r>
      <w:r w:rsidR="003A177C" w:rsidRPr="00D12176">
        <w:fldChar w:fldCharType="begin"/>
      </w:r>
      <w:r w:rsidR="003A177C" w:rsidRPr="00D12176">
        <w:instrText xml:space="preserve"> REF _Ref168473608 \r \h </w:instrText>
      </w:r>
      <w:r w:rsidR="003A177C" w:rsidRPr="00D12176">
        <w:fldChar w:fldCharType="separate"/>
      </w:r>
      <w:r w:rsidR="00303011">
        <w:t>[11]</w:t>
      </w:r>
      <w:r w:rsidR="003A177C" w:rsidRPr="00D12176">
        <w:fldChar w:fldCharType="end"/>
      </w:r>
      <w:r w:rsidR="003A177C" w:rsidRPr="00D12176">
        <w:t>:</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7755"/>
        <w:gridCol w:w="631"/>
      </w:tblGrid>
      <w:tr w:rsidR="003A177C" w:rsidRPr="00D12176" w14:paraId="27A85286" w14:textId="77777777" w:rsidTr="00F63BCD">
        <w:tc>
          <w:tcPr>
            <w:tcW w:w="350" w:type="pct"/>
          </w:tcPr>
          <w:p w14:paraId="02D73729" w14:textId="77777777" w:rsidR="003A177C" w:rsidRPr="00F63BCD" w:rsidRDefault="003A177C" w:rsidP="001134CE">
            <w:pPr>
              <w:pStyle w:val="Body"/>
              <w:rPr>
                <w:rFonts w:ascii="Times New Roman" w:hAnsi="Times New Roman"/>
                <w:sz w:val="20"/>
                <w:lang w:val="en-GB"/>
              </w:rPr>
            </w:pPr>
          </w:p>
        </w:tc>
        <w:tc>
          <w:tcPr>
            <w:tcW w:w="4300" w:type="pct"/>
          </w:tcPr>
          <w:p w14:paraId="156BE3C8" w14:textId="77777777" w:rsidR="003A177C" w:rsidRPr="00D12176" w:rsidRDefault="003A177C" w:rsidP="001134CE">
            <w:pPr>
              <w:pStyle w:val="Body"/>
              <w:rPr>
                <w:sz w:val="20"/>
                <w:lang w:val="en-GB"/>
              </w:rPr>
            </w:pPr>
            <m:oMathPara>
              <m:oMathParaPr>
                <m:jc m:val="center"/>
              </m:oMathParaPr>
              <m:oMath>
                <m:r>
                  <w:rPr>
                    <w:rFonts w:ascii="Cambria Math" w:hAnsi="Cambria Math"/>
                    <w:sz w:val="20"/>
                    <w:lang w:val="en-GB"/>
                  </w:rPr>
                  <m:t>DALY=YLL+YLD</m:t>
                </m:r>
              </m:oMath>
            </m:oMathPara>
          </w:p>
        </w:tc>
        <w:tc>
          <w:tcPr>
            <w:tcW w:w="350" w:type="pct"/>
            <w:vAlign w:val="center"/>
          </w:tcPr>
          <w:p w14:paraId="670E38DD" w14:textId="08F10EDF" w:rsidR="003A177C" w:rsidRPr="00D12176" w:rsidRDefault="003A177C" w:rsidP="00F63BCD">
            <w:pPr>
              <w:pStyle w:val="Body"/>
              <w:jc w:val="right"/>
              <w:rPr>
                <w:rFonts w:ascii="Times New Roman" w:hAnsi="Times New Roman"/>
                <w:sz w:val="20"/>
                <w:lang w:val="en-GB"/>
              </w:rPr>
            </w:pPr>
            <w:r w:rsidRPr="00D12176">
              <w:rPr>
                <w:rFonts w:ascii="Times New Roman" w:hAnsi="Times New Roman"/>
                <w:sz w:val="20"/>
                <w:lang w:val="en-GB"/>
              </w:rPr>
              <w:t>(</w:t>
            </w:r>
            <w:r w:rsidRPr="00D12176">
              <w:rPr>
                <w:rFonts w:ascii="Times New Roman" w:hAnsi="Times New Roman"/>
                <w:sz w:val="20"/>
                <w:lang w:val="en-GB"/>
              </w:rPr>
              <w:fldChar w:fldCharType="begin"/>
            </w:r>
            <w:r w:rsidRPr="00D12176">
              <w:rPr>
                <w:rFonts w:ascii="Times New Roman" w:hAnsi="Times New Roman"/>
                <w:sz w:val="20"/>
                <w:lang w:val="en-GB"/>
              </w:rPr>
              <w:instrText xml:space="preserve"> SEQ Equation \* ARABIC </w:instrText>
            </w:r>
            <w:r w:rsidRPr="00D12176">
              <w:rPr>
                <w:rFonts w:ascii="Times New Roman" w:hAnsi="Times New Roman"/>
                <w:sz w:val="20"/>
                <w:lang w:val="en-GB"/>
              </w:rPr>
              <w:fldChar w:fldCharType="separate"/>
            </w:r>
            <w:r w:rsidR="00303011">
              <w:rPr>
                <w:rFonts w:ascii="Times New Roman" w:hAnsi="Times New Roman"/>
                <w:noProof/>
                <w:sz w:val="20"/>
                <w:lang w:val="en-GB"/>
              </w:rPr>
              <w:t>1</w:t>
            </w:r>
            <w:r w:rsidRPr="00D12176">
              <w:rPr>
                <w:rFonts w:ascii="Times New Roman" w:hAnsi="Times New Roman"/>
                <w:sz w:val="20"/>
                <w:lang w:val="en-GB"/>
              </w:rPr>
              <w:fldChar w:fldCharType="end"/>
            </w:r>
            <w:r w:rsidRPr="00D12176">
              <w:rPr>
                <w:rFonts w:ascii="Times New Roman" w:hAnsi="Times New Roman"/>
                <w:sz w:val="20"/>
                <w:lang w:val="en-GB"/>
              </w:rPr>
              <w:t>)</w:t>
            </w:r>
          </w:p>
        </w:tc>
      </w:tr>
    </w:tbl>
    <w:p w14:paraId="671613DD" w14:textId="04494CEC" w:rsidR="007B3BD4" w:rsidRPr="00D12176" w:rsidRDefault="007B3BD4" w:rsidP="007B3BD4">
      <w:pPr>
        <w:pStyle w:val="Heading3"/>
      </w:pPr>
      <w:r w:rsidRPr="00D12176">
        <w:t>Parameterization of Consequences</w:t>
      </w:r>
    </w:p>
    <w:p w14:paraId="303EFA8C" w14:textId="0BE33654" w:rsidR="00417870" w:rsidRPr="00D12176" w:rsidRDefault="00417870" w:rsidP="007B3BD4">
      <w:pPr>
        <w:pStyle w:val="BodyText"/>
      </w:pPr>
      <w:r w:rsidRPr="00D12176">
        <w:t>Vaillant et al</w:t>
      </w:r>
      <w:r w:rsidR="00411594">
        <w:t>.</w:t>
      </w:r>
      <w:r w:rsidRPr="00D12176">
        <w:t xml:space="preserve"> </w:t>
      </w:r>
      <w:r w:rsidRPr="00D12176">
        <w:fldChar w:fldCharType="begin"/>
      </w:r>
      <w:r w:rsidRPr="00D12176">
        <w:instrText xml:space="preserve"> REF _Ref168475802 \r \h </w:instrText>
      </w:r>
      <w:r w:rsidRPr="00D12176">
        <w:fldChar w:fldCharType="separate"/>
      </w:r>
      <w:r w:rsidR="00303011">
        <w:t>[12]</w:t>
      </w:r>
      <w:r w:rsidRPr="00D12176">
        <w:fldChar w:fldCharType="end"/>
      </w:r>
      <w:r w:rsidRPr="00D12176">
        <w:t xml:space="preserve"> used the types of disease, their incidence, and their lethality fraction, as a function of the radiation dose received, that is provided by the </w:t>
      </w:r>
      <w:r w:rsidR="000B3DD9">
        <w:t>International Com</w:t>
      </w:r>
      <w:r w:rsidR="006B7376">
        <w:t>mission on Radiological Protection (</w:t>
      </w:r>
      <w:r w:rsidRPr="00D12176">
        <w:t>ICRP</w:t>
      </w:r>
      <w:r w:rsidR="006B7376">
        <w:t>)</w:t>
      </w:r>
      <w:r w:rsidRPr="00D12176">
        <w:t xml:space="preserve"> to tabulate </w:t>
      </w:r>
      <w:r w:rsidR="00411594">
        <w:t xml:space="preserve">DALY </w:t>
      </w:r>
      <w:r w:rsidRPr="00D12176">
        <w:t>values for exposure to several different organs. They combined the detriments from individual organ exposures to calculate an overall radiological determinant of 992</w:t>
      </w:r>
      <w:r w:rsidR="00EE7E7B">
        <w:t>8.625</w:t>
      </w:r>
      <w:r w:rsidRPr="00D12176">
        <w:t xml:space="preserve"> </w:t>
      </w:r>
      <m:oMath>
        <m:r>
          <w:rPr>
            <w:rFonts w:ascii="Cambria Math" w:hAnsi="Cambria Math"/>
          </w:rPr>
          <m:t>DALY</m:t>
        </m:r>
      </m:oMath>
      <w:r w:rsidRPr="00D12176">
        <w:t xml:space="preserve"> to 10,000 members of the public each receiving 1 Sv effective dose</w:t>
      </w:r>
      <w:r w:rsidR="00433A3B">
        <w:rPr>
          <w:rStyle w:val="FootnoteReference"/>
        </w:rPr>
        <w:footnoteReference w:id="2"/>
      </w:r>
      <w:r w:rsidR="00E34462">
        <w:t xml:space="preserve">. </w:t>
      </w:r>
      <w:r w:rsidR="00411594">
        <w:t xml:space="preserve">DALY </w:t>
      </w:r>
      <w:r w:rsidRPr="00D12176">
        <w:t>for exposure to other hazards are relatively well established and available in global health statistics. A commonly cited database is the results of the 2019 Global Burden of Disease Study</w:t>
      </w:r>
      <w:r w:rsidR="00E834EA" w:rsidRPr="00D12176">
        <w:t xml:space="preserve"> </w:t>
      </w:r>
      <w:r w:rsidR="00E834EA" w:rsidRPr="00D12176">
        <w:fldChar w:fldCharType="begin"/>
      </w:r>
      <w:r w:rsidR="00E834EA" w:rsidRPr="00D12176">
        <w:instrText xml:space="preserve"> REF _Ref168476460 \r \h </w:instrText>
      </w:r>
      <w:r w:rsidR="00E834EA" w:rsidRPr="00D12176">
        <w:fldChar w:fldCharType="separate"/>
      </w:r>
      <w:r w:rsidR="00303011">
        <w:t>[13]</w:t>
      </w:r>
      <w:r w:rsidR="00E834EA" w:rsidRPr="00D12176">
        <w:fldChar w:fldCharType="end"/>
      </w:r>
      <w:r w:rsidR="00B560D8" w:rsidRPr="00D12176">
        <w:t xml:space="preserve">, which contains data on many causes of death and disability, their incidence and prevalence, and the associated </w:t>
      </w:r>
      <m:oMath>
        <m:r>
          <w:rPr>
            <w:rFonts w:ascii="Cambria Math" w:hAnsi="Cambria Math"/>
          </w:rPr>
          <m:t>DALY</m:t>
        </m:r>
      </m:oMath>
      <w:r w:rsidR="00B560D8" w:rsidRPr="00D12176">
        <w:t>, as a measure of the global burden of disease (GBD).</w:t>
      </w:r>
    </w:p>
    <w:p w14:paraId="0B8F6E75" w14:textId="51C431FA" w:rsidR="00B560D8" w:rsidRPr="00D12176" w:rsidRDefault="00B560D8" w:rsidP="007B3BD4">
      <w:pPr>
        <w:pStyle w:val="BodyText"/>
      </w:pPr>
      <w:r w:rsidRPr="00D12176">
        <w:t>As a</w:t>
      </w:r>
      <w:r w:rsidR="00231D20">
        <w:t>n</w:t>
      </w:r>
      <w:r w:rsidRPr="00D12176">
        <w:t xml:space="preserve"> example of how this data may be interpreted, Adams et al. </w:t>
      </w:r>
      <w:r w:rsidR="00634DDF">
        <w:fldChar w:fldCharType="begin"/>
      </w:r>
      <w:r w:rsidR="00634DDF">
        <w:instrText xml:space="preserve"> REF _Ref168640594 \r \h </w:instrText>
      </w:r>
      <w:r w:rsidR="00634DDF">
        <w:fldChar w:fldCharType="separate"/>
      </w:r>
      <w:r w:rsidR="00303011">
        <w:t>[8]</w:t>
      </w:r>
      <w:r w:rsidR="00634DDF">
        <w:fldChar w:fldCharType="end"/>
      </w:r>
      <w:r w:rsidR="00634DDF">
        <w:t xml:space="preserve"> </w:t>
      </w:r>
      <w:r w:rsidRPr="00D12176">
        <w:t>provide</w:t>
      </w:r>
      <w:r w:rsidR="009C4E21">
        <w:t>s</w:t>
      </w:r>
      <w:r w:rsidRPr="00D12176">
        <w:t xml:space="preserve"> a</w:t>
      </w:r>
      <w:r w:rsidR="009C4E21">
        <w:t>n</w:t>
      </w:r>
      <w:r w:rsidRPr="00D12176">
        <w:t xml:space="preserve"> assessment of the health consequences from evacuations during nuclear emergencies. Adams et al. </w:t>
      </w:r>
      <w:r w:rsidR="00634DDF">
        <w:fldChar w:fldCharType="begin"/>
      </w:r>
      <w:r w:rsidR="00634DDF">
        <w:instrText xml:space="preserve"> REF _Ref168640594 \r \h </w:instrText>
      </w:r>
      <w:r w:rsidR="00634DDF">
        <w:fldChar w:fldCharType="separate"/>
      </w:r>
      <w:r w:rsidR="00303011">
        <w:t>[8]</w:t>
      </w:r>
      <w:r w:rsidR="00634DDF">
        <w:fldChar w:fldCharType="end"/>
      </w:r>
      <w:r w:rsidR="00634DDF">
        <w:t xml:space="preserve"> </w:t>
      </w:r>
      <w:r w:rsidRPr="00D12176">
        <w:t xml:space="preserve">conclude that displaced people </w:t>
      </w:r>
      <w:r w:rsidRPr="00D12176">
        <w:lastRenderedPageBreak/>
        <w:t xml:space="preserve">experience incidences of about 18% for depression, 11% for post-traumatic stress disorder, 3% for diabetes, and 2% for substance abuse. Using the </w:t>
      </w:r>
      <w:r w:rsidR="00411594">
        <w:t xml:space="preserve">DALY </w:t>
      </w:r>
      <w:r w:rsidRPr="00D12176">
        <w:t xml:space="preserve">values from the GBD database </w:t>
      </w:r>
      <w:r w:rsidRPr="00D12176">
        <w:fldChar w:fldCharType="begin"/>
      </w:r>
      <w:r w:rsidRPr="00D12176">
        <w:instrText xml:space="preserve"> REF _Ref168476460 \r \h </w:instrText>
      </w:r>
      <w:r w:rsidRPr="00D12176">
        <w:fldChar w:fldCharType="separate"/>
      </w:r>
      <w:r w:rsidR="00303011">
        <w:t>[13]</w:t>
      </w:r>
      <w:r w:rsidRPr="00D12176">
        <w:fldChar w:fldCharType="end"/>
      </w:r>
      <w:r w:rsidRPr="00D12176">
        <w:t xml:space="preserve"> and summing the individual contribut</w:t>
      </w:r>
      <w:r w:rsidR="00D37789" w:rsidRPr="00D12176">
        <w:t>ion</w:t>
      </w:r>
      <w:r w:rsidRPr="00D12176">
        <w:t xml:space="preserve">s, the permanent relocation would result in 645 </w:t>
      </w:r>
      <m:oMath>
        <m:r>
          <w:rPr>
            <w:rFonts w:ascii="Cambria Math" w:hAnsi="Cambria Math"/>
          </w:rPr>
          <m:t>DALY</m:t>
        </m:r>
      </m:oMath>
      <w:r w:rsidRPr="00D12176">
        <w:t xml:space="preserve"> per 10,000 population.</w:t>
      </w:r>
      <w:r w:rsidR="009C4E21">
        <w:t xml:space="preserve"> </w:t>
      </w:r>
      <w:r w:rsidRPr="00D12176">
        <w:t xml:space="preserve">The thesis of this work is that assessing </w:t>
      </w:r>
      <w:r w:rsidR="00411594">
        <w:t xml:space="preserve">DALY </w:t>
      </w:r>
      <w:r w:rsidRPr="00D12176">
        <w:t>for both radiological and non-radiological consequences is a possible basis for optimising the size of the EPZ. Subsequent sections demonstrate the feasibility of this optimisation basis through a simplified case study.</w:t>
      </w:r>
    </w:p>
    <w:p w14:paraId="1B297C48" w14:textId="6655719F" w:rsidR="00EE0041" w:rsidRPr="00D12176" w:rsidRDefault="007B3BD4" w:rsidP="0026525A">
      <w:pPr>
        <w:pStyle w:val="Heading2"/>
        <w:numPr>
          <w:ilvl w:val="1"/>
          <w:numId w:val="10"/>
        </w:numPr>
      </w:pPr>
      <w:r w:rsidRPr="00D12176">
        <w:t>Method</w:t>
      </w:r>
    </w:p>
    <w:p w14:paraId="6B4DB000" w14:textId="4304E42E" w:rsidR="008B6BB9" w:rsidRPr="00D12176" w:rsidRDefault="007B3BD4" w:rsidP="00537496">
      <w:pPr>
        <w:pStyle w:val="Heading3"/>
      </w:pPr>
      <w:r w:rsidRPr="00D12176">
        <w:t>Source Term Prediction</w:t>
      </w:r>
    </w:p>
    <w:p w14:paraId="531D58FA" w14:textId="6D667940" w:rsidR="0058429B" w:rsidRPr="00D12176" w:rsidRDefault="002C6B23" w:rsidP="00756BE0">
      <w:pPr>
        <w:pStyle w:val="BodyText"/>
      </w:pPr>
      <w:r w:rsidRPr="00D12176">
        <w:t>A critical component in the prediction of nuclear accident consequences is the estimation of the accident source term</w:t>
      </w:r>
      <w:r w:rsidR="00E834EA" w:rsidRPr="00D12176">
        <w:t xml:space="preserve"> </w:t>
      </w:r>
      <w:r w:rsidR="00E834EA" w:rsidRPr="00D12176">
        <w:fldChar w:fldCharType="begin"/>
      </w:r>
      <w:r w:rsidR="00E834EA" w:rsidRPr="00D12176">
        <w:instrText xml:space="preserve"> REF _Ref168477417 \r \h </w:instrText>
      </w:r>
      <w:r w:rsidR="00E834EA" w:rsidRPr="00D12176">
        <w:fldChar w:fldCharType="separate"/>
      </w:r>
      <w:r w:rsidR="00303011">
        <w:t>[14]</w:t>
      </w:r>
      <w:r w:rsidR="00E834EA" w:rsidRPr="00D12176">
        <w:fldChar w:fldCharType="end"/>
      </w:r>
      <w:r w:rsidR="007A216A">
        <w:t>, with t</w:t>
      </w:r>
      <w:r w:rsidR="00757905" w:rsidRPr="00D12176">
        <w:t>he present case study consider</w:t>
      </w:r>
      <w:r w:rsidR="007A216A">
        <w:t>ing</w:t>
      </w:r>
      <w:r w:rsidR="00757905" w:rsidRPr="00D12176">
        <w:t xml:space="preserve"> an integral pressurized water reactor (</w:t>
      </w:r>
      <w:proofErr w:type="spellStart"/>
      <w:r w:rsidR="00757905" w:rsidRPr="00D12176">
        <w:t>iPWR</w:t>
      </w:r>
      <w:proofErr w:type="spellEnd"/>
      <w:r w:rsidR="00757905" w:rsidRPr="00D12176">
        <w:t>) concept</w:t>
      </w:r>
      <w:r w:rsidR="002B46F0">
        <w:t xml:space="preserve">. </w:t>
      </w:r>
      <w:r w:rsidR="002D7C0D" w:rsidRPr="00D12176">
        <w:t>The source term calculations were performed using a recent iteration of a model of a generic</w:t>
      </w:r>
      <w:r w:rsidR="00E62476">
        <w:t xml:space="preserve"> 160 </w:t>
      </w:r>
      <w:proofErr w:type="spellStart"/>
      <w:r w:rsidR="00E62476">
        <w:t>MW</w:t>
      </w:r>
      <w:r w:rsidR="00E62476" w:rsidRPr="00E62476">
        <w:rPr>
          <w:vertAlign w:val="subscript"/>
        </w:rPr>
        <w:t>th</w:t>
      </w:r>
      <w:proofErr w:type="spellEnd"/>
      <w:r w:rsidR="002D7C0D" w:rsidRPr="00D12176">
        <w:t xml:space="preserve"> </w:t>
      </w:r>
      <w:proofErr w:type="spellStart"/>
      <w:r w:rsidR="002D7C0D" w:rsidRPr="00D12176">
        <w:t>iPWR</w:t>
      </w:r>
      <w:proofErr w:type="spellEnd"/>
      <w:r w:rsidR="002D7C0D" w:rsidRPr="00D12176">
        <w:t xml:space="preserve"> created with the computer code MELCOR</w:t>
      </w:r>
      <w:r w:rsidR="003B28D9">
        <w:rPr>
          <w:rStyle w:val="FootnoteReference"/>
        </w:rPr>
        <w:footnoteReference w:id="3"/>
      </w:r>
      <w:r w:rsidR="002D7C0D" w:rsidRPr="00D12176">
        <w:t xml:space="preserve"> </w:t>
      </w:r>
      <w:r w:rsidR="002D7C0D" w:rsidRPr="00D12176">
        <w:fldChar w:fldCharType="begin"/>
      </w:r>
      <w:r w:rsidR="002D7C0D" w:rsidRPr="00D12176">
        <w:instrText xml:space="preserve"> REF _Ref168477968 \r \h </w:instrText>
      </w:r>
      <w:r w:rsidR="002D7C0D" w:rsidRPr="00D12176">
        <w:fldChar w:fldCharType="separate"/>
      </w:r>
      <w:r w:rsidR="00303011">
        <w:t>[15]</w:t>
      </w:r>
      <w:r w:rsidR="002D7C0D" w:rsidRPr="00D12176">
        <w:fldChar w:fldCharType="end"/>
      </w:r>
      <w:r w:rsidR="00653D3C">
        <w:fldChar w:fldCharType="begin"/>
      </w:r>
      <w:r w:rsidR="00653D3C">
        <w:instrText xml:space="preserve"> REF _Ref168477990 \r \h </w:instrText>
      </w:r>
      <w:r w:rsidR="00653D3C">
        <w:fldChar w:fldCharType="separate"/>
      </w:r>
      <w:r w:rsidR="00303011">
        <w:t>[16]</w:t>
      </w:r>
      <w:r w:rsidR="00653D3C">
        <w:fldChar w:fldCharType="end"/>
      </w:r>
      <w:r w:rsidR="002D7C0D" w:rsidRPr="00D12176">
        <w:fldChar w:fldCharType="begin"/>
      </w:r>
      <w:r w:rsidR="002D7C0D" w:rsidRPr="00D12176">
        <w:instrText xml:space="preserve"> REF _Ref168478150 \r \h </w:instrText>
      </w:r>
      <w:r w:rsidR="002D7C0D" w:rsidRPr="00D12176">
        <w:fldChar w:fldCharType="separate"/>
      </w:r>
      <w:r w:rsidR="00303011">
        <w:t>[17]</w:t>
      </w:r>
      <w:r w:rsidR="002D7C0D" w:rsidRPr="00D12176">
        <w:fldChar w:fldCharType="end"/>
      </w:r>
      <w:r w:rsidR="002D7C0D" w:rsidRPr="00D12176">
        <w:t>.</w:t>
      </w:r>
      <w:r w:rsidR="00725199">
        <w:t xml:space="preserve"> Of course, </w:t>
      </w:r>
      <w:r w:rsidR="004A2164">
        <w:t xml:space="preserve">deterministic calculations </w:t>
      </w:r>
      <w:r w:rsidR="00A11B80">
        <w:t xml:space="preserve">with computer codes like MELCOR </w:t>
      </w:r>
      <w:r w:rsidR="004A2164">
        <w:t xml:space="preserve">do not </w:t>
      </w:r>
      <w:r w:rsidR="002D7C0D" w:rsidRPr="00D12176">
        <w:t>offer any insight on whether the underlying event sequences are credible</w:t>
      </w:r>
      <w:r w:rsidR="004A2164">
        <w:t xml:space="preserve">, only what the </w:t>
      </w:r>
      <w:r w:rsidR="00944FC6">
        <w:t>releases</w:t>
      </w:r>
      <w:r w:rsidR="004A2164">
        <w:t xml:space="preserve"> would be</w:t>
      </w:r>
      <w:r w:rsidR="002D7C0D" w:rsidRPr="00D12176">
        <w:t>. Optimisation of emergency preparedness for SMRs thus implies identification of relevant credible accidents in SMRs.</w:t>
      </w:r>
      <w:r w:rsidR="004A2164">
        <w:t xml:space="preserve"> </w:t>
      </w:r>
      <w:r w:rsidR="002D7C0D" w:rsidRPr="00D12176">
        <w:t>In general, the planning basis for offsite emergency response should include possible accidents that cannot be practically eliminated, as well as estimates of the probability of such accidents occurring</w:t>
      </w:r>
      <w:r w:rsidR="00F105C6">
        <w:t>, as estimated in a</w:t>
      </w:r>
      <w:r w:rsidR="002D7C0D" w:rsidRPr="00D12176">
        <w:t xml:space="preserve"> probabilistic safety assessment (PSA). </w:t>
      </w:r>
      <w:r w:rsidR="00756BE0">
        <w:t>T</w:t>
      </w:r>
      <w:r w:rsidR="0058429B" w:rsidRPr="00D12176">
        <w:t>his study posits that any risk-</w:t>
      </w:r>
      <w:r w:rsidR="0058429B" w:rsidRPr="00D12176">
        <w:rPr>
          <w:i/>
          <w:iCs/>
        </w:rPr>
        <w:t>based</w:t>
      </w:r>
      <w:r w:rsidR="0058429B" w:rsidRPr="00D12176">
        <w:t xml:space="preserve"> approach to size the EPZ (as opposed to merely risk-</w:t>
      </w:r>
      <w:r w:rsidR="0058429B" w:rsidRPr="00D12176">
        <w:rPr>
          <w:i/>
          <w:iCs/>
        </w:rPr>
        <w:t>informed</w:t>
      </w:r>
      <w:r w:rsidR="0058429B" w:rsidRPr="00D12176">
        <w:t>) would incorporate many features of Level</w:t>
      </w:r>
      <w:r w:rsidR="004C694C">
        <w:t xml:space="preserve"> 2 and Level</w:t>
      </w:r>
      <w:r w:rsidR="0058429B" w:rsidRPr="00D12176">
        <w:t xml:space="preserve"> 3 PSA</w:t>
      </w:r>
      <w:r w:rsidR="00756BE0">
        <w:t xml:space="preserve"> </w:t>
      </w:r>
      <w:r w:rsidR="00756BE0" w:rsidRPr="00D12176">
        <w:fldChar w:fldCharType="begin"/>
      </w:r>
      <w:r w:rsidR="00756BE0" w:rsidRPr="00D12176">
        <w:instrText xml:space="preserve"> REF _Ref168477417 \r \h </w:instrText>
      </w:r>
      <w:r w:rsidR="00756BE0" w:rsidRPr="00D12176">
        <w:fldChar w:fldCharType="separate"/>
      </w:r>
      <w:r w:rsidR="00303011">
        <w:t>[14]</w:t>
      </w:r>
      <w:r w:rsidR="00756BE0" w:rsidRPr="00D12176">
        <w:fldChar w:fldCharType="end"/>
      </w:r>
      <w:r w:rsidR="0058429B" w:rsidRPr="00D12176">
        <w:t>.</w:t>
      </w:r>
    </w:p>
    <w:p w14:paraId="2D72A35F" w14:textId="4D783A75" w:rsidR="0078477B" w:rsidRPr="00D12176" w:rsidRDefault="004C694C" w:rsidP="0058429B">
      <w:pPr>
        <w:pStyle w:val="BodyText"/>
      </w:pPr>
      <w:r>
        <w:t>C</w:t>
      </w:r>
      <w:r w:rsidR="0078477B" w:rsidRPr="00D12176">
        <w:t xml:space="preserve">onsidering that the generic </w:t>
      </w:r>
      <w:proofErr w:type="spellStart"/>
      <w:r w:rsidR="0078477B" w:rsidRPr="00D12176">
        <w:t>iPWR</w:t>
      </w:r>
      <w:proofErr w:type="spellEnd"/>
      <w:r w:rsidR="0078477B" w:rsidRPr="00D12176">
        <w:t xml:space="preserve"> that has been modelled in MELCOR is not based on any particular or complete design, it would not be possible to complete</w:t>
      </w:r>
      <w:r w:rsidR="0044774E">
        <w:t xml:space="preserve"> a proper Level 2 PSA</w:t>
      </w:r>
      <w:r w:rsidR="000142D8">
        <w:t>.</w:t>
      </w:r>
      <w:r w:rsidR="00FA5045">
        <w:t xml:space="preserve"> </w:t>
      </w:r>
      <w:r w:rsidR="00F44676">
        <w:t>Prototypical results</w:t>
      </w:r>
      <w:r w:rsidR="0078477B" w:rsidRPr="00D12176">
        <w:t xml:space="preserve"> were generated by assuming specific system failure frequencies </w:t>
      </w:r>
      <w:r w:rsidR="00D37789" w:rsidRPr="00D12176">
        <w:t>and the resulting</w:t>
      </w:r>
      <w:r w:rsidR="0078477B" w:rsidRPr="00D12176">
        <w:t xml:space="preserve"> frequencies of a few representative event sequencies as summarized in </w:t>
      </w:r>
      <w:r w:rsidR="009D3D1E" w:rsidRPr="00D12176">
        <w:t>Table 1.</w:t>
      </w:r>
      <w:r w:rsidR="00C66A63" w:rsidRPr="00D12176">
        <w:t xml:space="preserve"> Event sequences that result in zero releases are omitted from the table.</w:t>
      </w:r>
      <w:r w:rsidR="0073541F">
        <w:t xml:space="preserve"> </w:t>
      </w:r>
      <w:r w:rsidR="00AE1586" w:rsidRPr="00D12176">
        <w:t>A</w:t>
      </w:r>
      <w:r w:rsidR="00570C86">
        <w:t>n accidental</w:t>
      </w:r>
      <w:r w:rsidR="00AE1586" w:rsidRPr="00D12176">
        <w:t xml:space="preserve"> </w:t>
      </w:r>
      <w:r w:rsidR="00CA202E">
        <w:t>“</w:t>
      </w:r>
      <w:r w:rsidR="00AE1586" w:rsidRPr="00D12176">
        <w:t>large release</w:t>
      </w:r>
      <w:r w:rsidR="00CA202E">
        <w:t>”</w:t>
      </w:r>
      <w:r w:rsidR="00AE1586" w:rsidRPr="00D12176">
        <w:t xml:space="preserve"> </w:t>
      </w:r>
      <w:r w:rsidR="00570C86">
        <w:t>may be defined as one</w:t>
      </w:r>
      <w:r w:rsidR="00525015">
        <w:t xml:space="preserve"> </w:t>
      </w:r>
      <w:r w:rsidR="00AE1586" w:rsidRPr="00D12176">
        <w:t xml:space="preserve">greater than 100 </w:t>
      </w:r>
      <w:proofErr w:type="spellStart"/>
      <w:r w:rsidR="00AE1586" w:rsidRPr="00D12176">
        <w:t>TBq</w:t>
      </w:r>
      <w:proofErr w:type="spellEnd"/>
      <w:r w:rsidR="00AE1586" w:rsidRPr="00D12176">
        <w:t xml:space="preserve"> </w:t>
      </w:r>
      <w:r w:rsidR="00AE1586" w:rsidRPr="00D12176">
        <w:rPr>
          <w:vertAlign w:val="superscript"/>
        </w:rPr>
        <w:t>137</w:t>
      </w:r>
      <w:r w:rsidR="00AE1586" w:rsidRPr="00D12176">
        <w:t>Cs</w:t>
      </w:r>
      <w:r w:rsidR="00275833">
        <w:t xml:space="preserve">, among other </w:t>
      </w:r>
      <w:r w:rsidR="00007D6C">
        <w:t>radionuclides</w:t>
      </w:r>
      <w:r w:rsidR="00275833">
        <w:t>,</w:t>
      </w:r>
      <w:r w:rsidR="00AE1586" w:rsidRPr="00D12176">
        <w:t xml:space="preserve"> into the environment </w:t>
      </w:r>
      <w:r w:rsidR="00AE1586" w:rsidRPr="00D12176">
        <w:fldChar w:fldCharType="begin"/>
      </w:r>
      <w:r w:rsidR="00AE1586" w:rsidRPr="00D12176">
        <w:instrText xml:space="preserve"> REF _Ref168479820 \r \h </w:instrText>
      </w:r>
      <w:r w:rsidR="00AE1586" w:rsidRPr="00D12176">
        <w:fldChar w:fldCharType="separate"/>
      </w:r>
      <w:r w:rsidR="00303011">
        <w:t>[18]</w:t>
      </w:r>
      <w:r w:rsidR="00AE1586" w:rsidRPr="00D12176">
        <w:fldChar w:fldCharType="end"/>
      </w:r>
      <w:r w:rsidR="00AE1586" w:rsidRPr="00D12176">
        <w:t xml:space="preserve">. </w:t>
      </w:r>
      <w:r w:rsidR="00275833">
        <w:t>Cases with p</w:t>
      </w:r>
      <w:r w:rsidR="00AE1586" w:rsidRPr="00D12176">
        <w:t xml:space="preserve">redicted releases higher than this value have been highlighted </w:t>
      </w:r>
      <w:r w:rsidR="00AE1586" w:rsidRPr="00D12176">
        <w:rPr>
          <w:color w:val="FF0000"/>
        </w:rPr>
        <w:t>red</w:t>
      </w:r>
      <w:r w:rsidR="00AE1586" w:rsidRPr="00D12176">
        <w:t>.</w:t>
      </w:r>
    </w:p>
    <w:p w14:paraId="7A0AA7E6" w14:textId="77777777" w:rsidR="009D3D1E" w:rsidRPr="00D12176" w:rsidRDefault="009D3D1E" w:rsidP="0058429B">
      <w:pPr>
        <w:pStyle w:val="BodyText"/>
      </w:pPr>
    </w:p>
    <w:p w14:paraId="683ABF9B" w14:textId="68778CC9" w:rsidR="0078477B" w:rsidRPr="00D12176" w:rsidRDefault="0078477B" w:rsidP="0078477B">
      <w:pPr>
        <w:pStyle w:val="BodyText"/>
        <w:ind w:firstLine="0"/>
      </w:pPr>
      <w:r w:rsidRPr="00D12176">
        <w:t>TABLE 1.</w:t>
      </w:r>
      <w:r w:rsidRPr="00D12176">
        <w:tab/>
        <w:t xml:space="preserve">PERMUTATIONS OF THE </w:t>
      </w:r>
      <w:proofErr w:type="spellStart"/>
      <w:r w:rsidRPr="00D12176">
        <w:t>iPWR</w:t>
      </w:r>
      <w:proofErr w:type="spellEnd"/>
      <w:r w:rsidRPr="00D12176">
        <w:t xml:space="preserve"> STATION BLACKOUT MODELLED WITH MELCOR.</w:t>
      </w:r>
    </w:p>
    <w:p w14:paraId="2D28A194" w14:textId="77777777" w:rsidR="009D3D1E" w:rsidRDefault="009D3D1E" w:rsidP="0078477B">
      <w:pPr>
        <w:pStyle w:val="BodyText"/>
        <w:ind w:firstLine="0"/>
      </w:pPr>
    </w:p>
    <w:tbl>
      <w:tblPr>
        <w:tblStyle w:val="TableGrid"/>
        <w:tblW w:w="92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09"/>
        <w:gridCol w:w="680"/>
        <w:gridCol w:w="624"/>
        <w:gridCol w:w="624"/>
        <w:gridCol w:w="737"/>
        <w:gridCol w:w="680"/>
        <w:gridCol w:w="567"/>
        <w:gridCol w:w="709"/>
        <w:gridCol w:w="680"/>
        <w:gridCol w:w="624"/>
        <w:gridCol w:w="624"/>
        <w:gridCol w:w="737"/>
        <w:gridCol w:w="680"/>
      </w:tblGrid>
      <w:tr w:rsidR="003877EF" w14:paraId="1FD08B4B" w14:textId="77777777" w:rsidTr="00D950E1">
        <w:trPr>
          <w:jc w:val="center"/>
        </w:trPr>
        <w:tc>
          <w:tcPr>
            <w:tcW w:w="567" w:type="dxa"/>
            <w:tcBorders>
              <w:top w:val="single" w:sz="4" w:space="0" w:color="auto"/>
              <w:left w:val="single" w:sz="4" w:space="0" w:color="auto"/>
              <w:bottom w:val="single" w:sz="4" w:space="0" w:color="auto"/>
            </w:tcBorders>
            <w:vAlign w:val="center"/>
          </w:tcPr>
          <w:p w14:paraId="63F08012" w14:textId="3E0410EA" w:rsidR="00BB6FF9" w:rsidRPr="003A1E1C" w:rsidRDefault="00BB6FF9" w:rsidP="00D950E1">
            <w:pPr>
              <w:pStyle w:val="BodyText"/>
              <w:spacing w:line="240" w:lineRule="auto"/>
              <w:ind w:firstLine="0"/>
              <w:jc w:val="left"/>
              <w:rPr>
                <w:b/>
                <w:bCs/>
                <w:sz w:val="16"/>
                <w:szCs w:val="16"/>
              </w:rPr>
            </w:pPr>
            <w:r w:rsidRPr="003A1E1C">
              <w:rPr>
                <w:b/>
                <w:bCs/>
                <w:sz w:val="16"/>
                <w:szCs w:val="16"/>
              </w:rPr>
              <w:t>Case</w:t>
            </w:r>
          </w:p>
        </w:tc>
        <w:tc>
          <w:tcPr>
            <w:tcW w:w="709" w:type="dxa"/>
            <w:tcBorders>
              <w:top w:val="single" w:sz="4" w:space="0" w:color="auto"/>
              <w:bottom w:val="single" w:sz="4" w:space="0" w:color="auto"/>
            </w:tcBorders>
            <w:vAlign w:val="center"/>
          </w:tcPr>
          <w:p w14:paraId="1C6E27BB" w14:textId="3F38B736" w:rsidR="00BB6FF9" w:rsidRPr="003A1E1C" w:rsidRDefault="00BB6FF9" w:rsidP="00D950E1">
            <w:pPr>
              <w:pStyle w:val="BodyText"/>
              <w:spacing w:line="240" w:lineRule="auto"/>
              <w:ind w:firstLine="0"/>
              <w:jc w:val="center"/>
              <w:rPr>
                <w:b/>
                <w:bCs/>
                <w:sz w:val="16"/>
                <w:szCs w:val="16"/>
              </w:rPr>
            </w:pPr>
            <w:r w:rsidRPr="003A1E1C">
              <w:rPr>
                <w:b/>
                <w:bCs/>
                <w:sz w:val="16"/>
                <w:szCs w:val="16"/>
              </w:rPr>
              <w:t>SGFW</w:t>
            </w:r>
          </w:p>
        </w:tc>
        <w:tc>
          <w:tcPr>
            <w:tcW w:w="680" w:type="dxa"/>
            <w:tcBorders>
              <w:top w:val="single" w:sz="4" w:space="0" w:color="auto"/>
              <w:bottom w:val="single" w:sz="4" w:space="0" w:color="auto"/>
            </w:tcBorders>
            <w:vAlign w:val="center"/>
          </w:tcPr>
          <w:p w14:paraId="48F6E7B5" w14:textId="36CFF281" w:rsidR="00BB6FF9" w:rsidRPr="003A1E1C" w:rsidRDefault="00BB6FF9" w:rsidP="00D950E1">
            <w:pPr>
              <w:pStyle w:val="BodyText"/>
              <w:spacing w:line="240" w:lineRule="auto"/>
              <w:ind w:firstLine="0"/>
              <w:jc w:val="center"/>
              <w:rPr>
                <w:b/>
                <w:bCs/>
                <w:sz w:val="16"/>
                <w:szCs w:val="16"/>
              </w:rPr>
            </w:pPr>
            <w:r w:rsidRPr="003A1E1C">
              <w:rPr>
                <w:b/>
                <w:bCs/>
                <w:sz w:val="16"/>
                <w:szCs w:val="16"/>
              </w:rPr>
              <w:t>DHRS</w:t>
            </w:r>
          </w:p>
        </w:tc>
        <w:tc>
          <w:tcPr>
            <w:tcW w:w="624" w:type="dxa"/>
            <w:tcBorders>
              <w:top w:val="single" w:sz="4" w:space="0" w:color="auto"/>
              <w:bottom w:val="single" w:sz="4" w:space="0" w:color="auto"/>
            </w:tcBorders>
            <w:vAlign w:val="center"/>
          </w:tcPr>
          <w:p w14:paraId="4323DC20" w14:textId="3C1A4921" w:rsidR="00BB6FF9" w:rsidRPr="003A1E1C" w:rsidRDefault="00BB6FF9" w:rsidP="00D950E1">
            <w:pPr>
              <w:pStyle w:val="BodyText"/>
              <w:spacing w:line="240" w:lineRule="auto"/>
              <w:ind w:firstLine="0"/>
              <w:jc w:val="center"/>
              <w:rPr>
                <w:b/>
                <w:bCs/>
                <w:sz w:val="16"/>
                <w:szCs w:val="16"/>
              </w:rPr>
            </w:pPr>
            <w:r w:rsidRPr="003A1E1C">
              <w:rPr>
                <w:b/>
                <w:bCs/>
                <w:sz w:val="16"/>
                <w:szCs w:val="16"/>
              </w:rPr>
              <w:t xml:space="preserve">CV </w:t>
            </w:r>
            <w:proofErr w:type="spellStart"/>
            <w:r w:rsidRPr="003A1E1C">
              <w:rPr>
                <w:b/>
                <w:bCs/>
                <w:sz w:val="16"/>
                <w:szCs w:val="16"/>
              </w:rPr>
              <w:t>Brk</w:t>
            </w:r>
            <w:proofErr w:type="spellEnd"/>
            <w:r w:rsidR="00690272">
              <w:rPr>
                <w:b/>
                <w:bCs/>
                <w:sz w:val="16"/>
                <w:szCs w:val="16"/>
              </w:rPr>
              <w:t>.</w:t>
            </w:r>
            <w:r w:rsidRPr="003A1E1C">
              <w:rPr>
                <w:b/>
                <w:bCs/>
                <w:sz w:val="16"/>
                <w:szCs w:val="16"/>
              </w:rPr>
              <w:t xml:space="preserve"> [</w:t>
            </w:r>
            <w:r w:rsidR="00690272">
              <w:rPr>
                <w:b/>
                <w:bCs/>
                <w:sz w:val="16"/>
                <w:szCs w:val="16"/>
              </w:rPr>
              <w:t>c</w:t>
            </w:r>
            <w:r w:rsidRPr="003A1E1C">
              <w:rPr>
                <w:b/>
                <w:bCs/>
                <w:sz w:val="16"/>
                <w:szCs w:val="16"/>
              </w:rPr>
              <w:t>m</w:t>
            </w:r>
            <w:r w:rsidRPr="003A1E1C">
              <w:rPr>
                <w:b/>
                <w:bCs/>
                <w:sz w:val="16"/>
                <w:szCs w:val="16"/>
                <w:vertAlign w:val="superscript"/>
              </w:rPr>
              <w:t>2</w:t>
            </w:r>
            <w:r w:rsidRPr="003A1E1C">
              <w:rPr>
                <w:b/>
                <w:bCs/>
                <w:sz w:val="16"/>
                <w:szCs w:val="16"/>
              </w:rPr>
              <w:t>]</w:t>
            </w:r>
          </w:p>
        </w:tc>
        <w:tc>
          <w:tcPr>
            <w:tcW w:w="624" w:type="dxa"/>
            <w:tcBorders>
              <w:top w:val="single" w:sz="4" w:space="0" w:color="auto"/>
              <w:bottom w:val="single" w:sz="4" w:space="0" w:color="auto"/>
            </w:tcBorders>
            <w:vAlign w:val="center"/>
          </w:tcPr>
          <w:p w14:paraId="51C09B81" w14:textId="35C39259" w:rsidR="00BB6FF9" w:rsidRPr="003A1E1C" w:rsidRDefault="00BB6FF9" w:rsidP="00D950E1">
            <w:pPr>
              <w:pStyle w:val="BodyText"/>
              <w:spacing w:line="240" w:lineRule="auto"/>
              <w:ind w:firstLine="0"/>
              <w:jc w:val="center"/>
              <w:rPr>
                <w:b/>
                <w:bCs/>
                <w:sz w:val="16"/>
                <w:szCs w:val="16"/>
              </w:rPr>
            </w:pPr>
            <w:r w:rsidRPr="003A1E1C">
              <w:rPr>
                <w:b/>
                <w:bCs/>
                <w:sz w:val="16"/>
                <w:szCs w:val="16"/>
              </w:rPr>
              <w:t xml:space="preserve">OP </w:t>
            </w:r>
            <w:proofErr w:type="spellStart"/>
            <w:r w:rsidRPr="003A1E1C">
              <w:rPr>
                <w:b/>
                <w:bCs/>
                <w:sz w:val="16"/>
                <w:szCs w:val="16"/>
              </w:rPr>
              <w:t>Brk</w:t>
            </w:r>
            <w:proofErr w:type="spellEnd"/>
            <w:r w:rsidR="00690272">
              <w:rPr>
                <w:b/>
                <w:bCs/>
                <w:sz w:val="16"/>
                <w:szCs w:val="16"/>
              </w:rPr>
              <w:t>.</w:t>
            </w:r>
            <w:r w:rsidRPr="003A1E1C">
              <w:rPr>
                <w:b/>
                <w:bCs/>
                <w:sz w:val="16"/>
                <w:szCs w:val="16"/>
              </w:rPr>
              <w:t xml:space="preserve"> [</w:t>
            </w:r>
            <w:r w:rsidR="001C624B" w:rsidRPr="003A1E1C">
              <w:rPr>
                <w:b/>
                <w:bCs/>
                <w:sz w:val="16"/>
                <w:szCs w:val="16"/>
              </w:rPr>
              <w:t>c</w:t>
            </w:r>
            <w:r w:rsidRPr="003A1E1C">
              <w:rPr>
                <w:b/>
                <w:bCs/>
                <w:sz w:val="16"/>
                <w:szCs w:val="16"/>
              </w:rPr>
              <w:t>m</w:t>
            </w:r>
            <w:r w:rsidRPr="003A1E1C">
              <w:rPr>
                <w:b/>
                <w:bCs/>
                <w:sz w:val="16"/>
                <w:szCs w:val="16"/>
                <w:vertAlign w:val="superscript"/>
              </w:rPr>
              <w:t>2</w:t>
            </w:r>
            <w:r w:rsidRPr="003A1E1C">
              <w:rPr>
                <w:b/>
                <w:bCs/>
                <w:sz w:val="16"/>
                <w:szCs w:val="16"/>
              </w:rPr>
              <w:t>]</w:t>
            </w:r>
          </w:p>
        </w:tc>
        <w:tc>
          <w:tcPr>
            <w:tcW w:w="737" w:type="dxa"/>
            <w:tcBorders>
              <w:top w:val="single" w:sz="4" w:space="0" w:color="auto"/>
              <w:bottom w:val="single" w:sz="4" w:space="0" w:color="auto"/>
            </w:tcBorders>
            <w:vAlign w:val="center"/>
          </w:tcPr>
          <w:p w14:paraId="651A8292" w14:textId="209D5B1F" w:rsidR="00BB6FF9" w:rsidRPr="003A1E1C" w:rsidRDefault="00BB6FF9" w:rsidP="00D950E1">
            <w:pPr>
              <w:pStyle w:val="BodyText"/>
              <w:spacing w:line="240" w:lineRule="auto"/>
              <w:ind w:firstLine="0"/>
              <w:jc w:val="center"/>
              <w:rPr>
                <w:b/>
                <w:bCs/>
                <w:sz w:val="16"/>
                <w:szCs w:val="16"/>
              </w:rPr>
            </w:pPr>
            <w:r w:rsidRPr="003A1E1C">
              <w:rPr>
                <w:b/>
                <w:bCs/>
                <w:sz w:val="16"/>
                <w:szCs w:val="16"/>
              </w:rPr>
              <w:t>Freq.</w:t>
            </w:r>
            <w:r w:rsidR="00A65DAA" w:rsidRPr="003A1E1C">
              <w:rPr>
                <w:b/>
                <w:bCs/>
                <w:sz w:val="16"/>
                <w:szCs w:val="16"/>
              </w:rPr>
              <w:t xml:space="preserve"> </w:t>
            </w:r>
            <w:r w:rsidRPr="003A1E1C">
              <w:rPr>
                <w:b/>
                <w:bCs/>
                <w:sz w:val="16"/>
                <w:szCs w:val="16"/>
              </w:rPr>
              <w:t>[y</w:t>
            </w:r>
            <w:r w:rsidRPr="003A1E1C">
              <w:rPr>
                <w:b/>
                <w:bCs/>
                <w:sz w:val="16"/>
                <w:szCs w:val="16"/>
                <w:vertAlign w:val="superscript"/>
              </w:rPr>
              <w:t>-1</w:t>
            </w:r>
            <w:r w:rsidRPr="003A1E1C">
              <w:rPr>
                <w:b/>
                <w:bCs/>
                <w:sz w:val="16"/>
                <w:szCs w:val="16"/>
              </w:rPr>
              <w:t>]</w:t>
            </w:r>
          </w:p>
        </w:tc>
        <w:tc>
          <w:tcPr>
            <w:tcW w:w="680" w:type="dxa"/>
            <w:tcBorders>
              <w:top w:val="single" w:sz="4" w:space="0" w:color="auto"/>
              <w:bottom w:val="single" w:sz="4" w:space="0" w:color="auto"/>
              <w:right w:val="single" w:sz="4" w:space="0" w:color="auto"/>
            </w:tcBorders>
            <w:vAlign w:val="center"/>
          </w:tcPr>
          <w:p w14:paraId="45100BA8" w14:textId="49AC912F" w:rsidR="00BB6FF9" w:rsidRPr="003A1E1C" w:rsidRDefault="00BB6FF9" w:rsidP="00D950E1">
            <w:pPr>
              <w:pStyle w:val="BodyText"/>
              <w:spacing w:line="240" w:lineRule="auto"/>
              <w:ind w:firstLine="0"/>
              <w:jc w:val="center"/>
              <w:rPr>
                <w:b/>
                <w:bCs/>
                <w:sz w:val="16"/>
                <w:szCs w:val="16"/>
              </w:rPr>
            </w:pPr>
            <w:r w:rsidRPr="003A1E1C">
              <w:rPr>
                <w:b/>
                <w:bCs/>
                <w:sz w:val="16"/>
                <w:szCs w:val="16"/>
                <w:vertAlign w:val="superscript"/>
              </w:rPr>
              <w:t>137</w:t>
            </w:r>
            <w:r w:rsidRPr="003A1E1C">
              <w:rPr>
                <w:b/>
                <w:bCs/>
                <w:sz w:val="16"/>
                <w:szCs w:val="16"/>
              </w:rPr>
              <w:t>Cs [</w:t>
            </w:r>
            <w:proofErr w:type="spellStart"/>
            <w:r w:rsidRPr="003A1E1C">
              <w:rPr>
                <w:b/>
                <w:bCs/>
                <w:sz w:val="16"/>
                <w:szCs w:val="16"/>
              </w:rPr>
              <w:t>Bq</w:t>
            </w:r>
            <w:proofErr w:type="spellEnd"/>
            <w:r w:rsidRPr="003A1E1C">
              <w:rPr>
                <w:b/>
                <w:bCs/>
                <w:sz w:val="16"/>
                <w:szCs w:val="16"/>
              </w:rPr>
              <w:t>]</w:t>
            </w:r>
          </w:p>
        </w:tc>
        <w:tc>
          <w:tcPr>
            <w:tcW w:w="567" w:type="dxa"/>
            <w:tcBorders>
              <w:top w:val="single" w:sz="4" w:space="0" w:color="auto"/>
              <w:left w:val="single" w:sz="4" w:space="0" w:color="auto"/>
              <w:bottom w:val="single" w:sz="4" w:space="0" w:color="auto"/>
            </w:tcBorders>
            <w:vAlign w:val="center"/>
          </w:tcPr>
          <w:p w14:paraId="139C0619" w14:textId="2F027FFA" w:rsidR="00BB6FF9" w:rsidRPr="003A1E1C" w:rsidRDefault="00BB6FF9" w:rsidP="00D950E1">
            <w:pPr>
              <w:pStyle w:val="BodyText"/>
              <w:spacing w:line="240" w:lineRule="auto"/>
              <w:ind w:firstLine="0"/>
              <w:jc w:val="center"/>
              <w:rPr>
                <w:b/>
                <w:bCs/>
                <w:sz w:val="16"/>
                <w:szCs w:val="16"/>
              </w:rPr>
            </w:pPr>
            <w:r w:rsidRPr="003A1E1C">
              <w:rPr>
                <w:b/>
                <w:bCs/>
                <w:sz w:val="16"/>
                <w:szCs w:val="16"/>
              </w:rPr>
              <w:t>Case</w:t>
            </w:r>
          </w:p>
        </w:tc>
        <w:tc>
          <w:tcPr>
            <w:tcW w:w="709" w:type="dxa"/>
            <w:tcBorders>
              <w:top w:val="single" w:sz="4" w:space="0" w:color="auto"/>
              <w:bottom w:val="single" w:sz="4" w:space="0" w:color="auto"/>
            </w:tcBorders>
            <w:vAlign w:val="center"/>
          </w:tcPr>
          <w:p w14:paraId="3D43B7DC" w14:textId="2ED7A45F" w:rsidR="00BB6FF9" w:rsidRPr="003A1E1C" w:rsidRDefault="00BB6FF9" w:rsidP="00D950E1">
            <w:pPr>
              <w:pStyle w:val="BodyText"/>
              <w:spacing w:line="240" w:lineRule="auto"/>
              <w:ind w:firstLine="0"/>
              <w:jc w:val="center"/>
              <w:rPr>
                <w:b/>
                <w:bCs/>
                <w:sz w:val="16"/>
                <w:szCs w:val="16"/>
              </w:rPr>
            </w:pPr>
            <w:r w:rsidRPr="003A1E1C">
              <w:rPr>
                <w:b/>
                <w:bCs/>
                <w:sz w:val="16"/>
                <w:szCs w:val="16"/>
              </w:rPr>
              <w:t>SGFW</w:t>
            </w:r>
          </w:p>
        </w:tc>
        <w:tc>
          <w:tcPr>
            <w:tcW w:w="680" w:type="dxa"/>
            <w:tcBorders>
              <w:top w:val="single" w:sz="4" w:space="0" w:color="auto"/>
              <w:bottom w:val="single" w:sz="4" w:space="0" w:color="auto"/>
            </w:tcBorders>
            <w:vAlign w:val="center"/>
          </w:tcPr>
          <w:p w14:paraId="19BAAED1" w14:textId="7D470002" w:rsidR="00BB6FF9" w:rsidRPr="003A1E1C" w:rsidRDefault="00BB6FF9" w:rsidP="00D950E1">
            <w:pPr>
              <w:pStyle w:val="BodyText"/>
              <w:spacing w:line="240" w:lineRule="auto"/>
              <w:ind w:firstLine="0"/>
              <w:jc w:val="center"/>
              <w:rPr>
                <w:b/>
                <w:bCs/>
                <w:sz w:val="16"/>
                <w:szCs w:val="16"/>
              </w:rPr>
            </w:pPr>
            <w:r w:rsidRPr="003A1E1C">
              <w:rPr>
                <w:b/>
                <w:bCs/>
                <w:sz w:val="16"/>
                <w:szCs w:val="16"/>
              </w:rPr>
              <w:t>DHRS</w:t>
            </w:r>
          </w:p>
        </w:tc>
        <w:tc>
          <w:tcPr>
            <w:tcW w:w="624" w:type="dxa"/>
            <w:tcBorders>
              <w:top w:val="single" w:sz="4" w:space="0" w:color="auto"/>
              <w:bottom w:val="single" w:sz="4" w:space="0" w:color="auto"/>
            </w:tcBorders>
            <w:vAlign w:val="center"/>
          </w:tcPr>
          <w:p w14:paraId="29C3C124" w14:textId="682E564F" w:rsidR="00BB6FF9" w:rsidRPr="003A1E1C" w:rsidRDefault="00BB6FF9" w:rsidP="00D950E1">
            <w:pPr>
              <w:pStyle w:val="BodyText"/>
              <w:spacing w:line="240" w:lineRule="auto"/>
              <w:ind w:firstLine="0"/>
              <w:jc w:val="center"/>
              <w:rPr>
                <w:b/>
                <w:bCs/>
                <w:sz w:val="16"/>
                <w:szCs w:val="16"/>
              </w:rPr>
            </w:pPr>
            <w:r w:rsidRPr="003A1E1C">
              <w:rPr>
                <w:b/>
                <w:bCs/>
                <w:sz w:val="16"/>
                <w:szCs w:val="16"/>
              </w:rPr>
              <w:t xml:space="preserve">CV </w:t>
            </w:r>
            <w:proofErr w:type="spellStart"/>
            <w:r w:rsidRPr="003A1E1C">
              <w:rPr>
                <w:b/>
                <w:bCs/>
                <w:sz w:val="16"/>
                <w:szCs w:val="16"/>
              </w:rPr>
              <w:t>Brk</w:t>
            </w:r>
            <w:proofErr w:type="spellEnd"/>
            <w:r w:rsidR="00690272">
              <w:rPr>
                <w:b/>
                <w:bCs/>
                <w:sz w:val="16"/>
                <w:szCs w:val="16"/>
              </w:rPr>
              <w:t>.</w:t>
            </w:r>
            <w:r w:rsidRPr="003A1E1C">
              <w:rPr>
                <w:b/>
                <w:bCs/>
                <w:sz w:val="16"/>
                <w:szCs w:val="16"/>
              </w:rPr>
              <w:t xml:space="preserve"> [</w:t>
            </w:r>
            <w:r w:rsidR="00690272">
              <w:rPr>
                <w:b/>
                <w:bCs/>
                <w:sz w:val="16"/>
                <w:szCs w:val="16"/>
              </w:rPr>
              <w:t>c</w:t>
            </w:r>
            <w:r w:rsidRPr="003A1E1C">
              <w:rPr>
                <w:b/>
                <w:bCs/>
                <w:sz w:val="16"/>
                <w:szCs w:val="16"/>
              </w:rPr>
              <w:t>m</w:t>
            </w:r>
            <w:r w:rsidRPr="003A1E1C">
              <w:rPr>
                <w:b/>
                <w:bCs/>
                <w:sz w:val="16"/>
                <w:szCs w:val="16"/>
                <w:vertAlign w:val="superscript"/>
              </w:rPr>
              <w:t>2</w:t>
            </w:r>
            <w:r w:rsidRPr="003A1E1C">
              <w:rPr>
                <w:b/>
                <w:bCs/>
                <w:sz w:val="16"/>
                <w:szCs w:val="16"/>
              </w:rPr>
              <w:t>]</w:t>
            </w:r>
          </w:p>
        </w:tc>
        <w:tc>
          <w:tcPr>
            <w:tcW w:w="624" w:type="dxa"/>
            <w:tcBorders>
              <w:top w:val="single" w:sz="4" w:space="0" w:color="auto"/>
              <w:bottom w:val="single" w:sz="4" w:space="0" w:color="auto"/>
            </w:tcBorders>
            <w:vAlign w:val="center"/>
          </w:tcPr>
          <w:p w14:paraId="5591FFB8" w14:textId="5B8B55EA" w:rsidR="00BB6FF9" w:rsidRPr="003A1E1C" w:rsidRDefault="00BB6FF9" w:rsidP="00D950E1">
            <w:pPr>
              <w:pStyle w:val="BodyText"/>
              <w:spacing w:line="240" w:lineRule="auto"/>
              <w:ind w:firstLine="0"/>
              <w:jc w:val="center"/>
              <w:rPr>
                <w:b/>
                <w:bCs/>
                <w:sz w:val="16"/>
                <w:szCs w:val="16"/>
              </w:rPr>
            </w:pPr>
            <w:r w:rsidRPr="003A1E1C">
              <w:rPr>
                <w:b/>
                <w:bCs/>
                <w:sz w:val="16"/>
                <w:szCs w:val="16"/>
              </w:rPr>
              <w:t xml:space="preserve">OP </w:t>
            </w:r>
            <w:proofErr w:type="spellStart"/>
            <w:r w:rsidRPr="003A1E1C">
              <w:rPr>
                <w:b/>
                <w:bCs/>
                <w:sz w:val="16"/>
                <w:szCs w:val="16"/>
              </w:rPr>
              <w:t>Brk</w:t>
            </w:r>
            <w:proofErr w:type="spellEnd"/>
            <w:r w:rsidR="00690272">
              <w:rPr>
                <w:b/>
                <w:bCs/>
                <w:sz w:val="16"/>
                <w:szCs w:val="16"/>
              </w:rPr>
              <w:t>.</w:t>
            </w:r>
            <w:r w:rsidRPr="003A1E1C">
              <w:rPr>
                <w:b/>
                <w:bCs/>
                <w:sz w:val="16"/>
                <w:szCs w:val="16"/>
              </w:rPr>
              <w:t xml:space="preserve"> [</w:t>
            </w:r>
            <w:r w:rsidR="001C624B" w:rsidRPr="003A1E1C">
              <w:rPr>
                <w:b/>
                <w:bCs/>
                <w:sz w:val="16"/>
                <w:szCs w:val="16"/>
              </w:rPr>
              <w:t>c</w:t>
            </w:r>
            <w:r w:rsidRPr="003A1E1C">
              <w:rPr>
                <w:b/>
                <w:bCs/>
                <w:sz w:val="16"/>
                <w:szCs w:val="16"/>
              </w:rPr>
              <w:t>m</w:t>
            </w:r>
            <w:r w:rsidRPr="003A1E1C">
              <w:rPr>
                <w:b/>
                <w:bCs/>
                <w:sz w:val="16"/>
                <w:szCs w:val="16"/>
                <w:vertAlign w:val="superscript"/>
              </w:rPr>
              <w:t>2</w:t>
            </w:r>
            <w:r w:rsidRPr="003A1E1C">
              <w:rPr>
                <w:b/>
                <w:bCs/>
                <w:sz w:val="16"/>
                <w:szCs w:val="16"/>
              </w:rPr>
              <w:t>]</w:t>
            </w:r>
          </w:p>
        </w:tc>
        <w:tc>
          <w:tcPr>
            <w:tcW w:w="737" w:type="dxa"/>
            <w:tcBorders>
              <w:top w:val="single" w:sz="4" w:space="0" w:color="auto"/>
              <w:bottom w:val="single" w:sz="4" w:space="0" w:color="auto"/>
            </w:tcBorders>
            <w:vAlign w:val="center"/>
          </w:tcPr>
          <w:p w14:paraId="63A2AD4B" w14:textId="03E966EF" w:rsidR="00BB6FF9" w:rsidRPr="003A1E1C" w:rsidRDefault="00BB6FF9" w:rsidP="00D950E1">
            <w:pPr>
              <w:pStyle w:val="BodyText"/>
              <w:spacing w:line="240" w:lineRule="auto"/>
              <w:ind w:firstLine="0"/>
              <w:jc w:val="center"/>
              <w:rPr>
                <w:b/>
                <w:bCs/>
                <w:sz w:val="16"/>
                <w:szCs w:val="16"/>
              </w:rPr>
            </w:pPr>
            <w:r w:rsidRPr="003A1E1C">
              <w:rPr>
                <w:b/>
                <w:bCs/>
                <w:sz w:val="16"/>
                <w:szCs w:val="16"/>
              </w:rPr>
              <w:t>Freq. [y</w:t>
            </w:r>
            <w:r w:rsidRPr="003A1E1C">
              <w:rPr>
                <w:b/>
                <w:bCs/>
                <w:sz w:val="16"/>
                <w:szCs w:val="16"/>
                <w:vertAlign w:val="superscript"/>
              </w:rPr>
              <w:t>-1</w:t>
            </w:r>
            <w:r w:rsidRPr="003A1E1C">
              <w:rPr>
                <w:b/>
                <w:bCs/>
                <w:sz w:val="16"/>
                <w:szCs w:val="16"/>
              </w:rPr>
              <w:t>]</w:t>
            </w:r>
          </w:p>
        </w:tc>
        <w:tc>
          <w:tcPr>
            <w:tcW w:w="680" w:type="dxa"/>
            <w:tcBorders>
              <w:top w:val="single" w:sz="4" w:space="0" w:color="auto"/>
              <w:bottom w:val="single" w:sz="4" w:space="0" w:color="auto"/>
              <w:right w:val="single" w:sz="4" w:space="0" w:color="auto"/>
            </w:tcBorders>
            <w:vAlign w:val="center"/>
          </w:tcPr>
          <w:p w14:paraId="72DF09A2" w14:textId="6C1BE026" w:rsidR="00BB6FF9" w:rsidRPr="003A1E1C" w:rsidRDefault="00BB6FF9" w:rsidP="00D950E1">
            <w:pPr>
              <w:pStyle w:val="BodyText"/>
              <w:spacing w:line="240" w:lineRule="auto"/>
              <w:ind w:firstLine="0"/>
              <w:jc w:val="center"/>
              <w:rPr>
                <w:b/>
                <w:bCs/>
                <w:sz w:val="16"/>
                <w:szCs w:val="16"/>
              </w:rPr>
            </w:pPr>
            <w:r w:rsidRPr="003A1E1C">
              <w:rPr>
                <w:b/>
                <w:bCs/>
                <w:sz w:val="16"/>
                <w:szCs w:val="16"/>
                <w:vertAlign w:val="superscript"/>
              </w:rPr>
              <w:t>137</w:t>
            </w:r>
            <w:r w:rsidRPr="003A1E1C">
              <w:rPr>
                <w:b/>
                <w:bCs/>
                <w:sz w:val="16"/>
                <w:szCs w:val="16"/>
              </w:rPr>
              <w:t>Cs [</w:t>
            </w:r>
            <w:proofErr w:type="spellStart"/>
            <w:r w:rsidRPr="003A1E1C">
              <w:rPr>
                <w:b/>
                <w:bCs/>
                <w:sz w:val="16"/>
                <w:szCs w:val="16"/>
              </w:rPr>
              <w:t>Bq</w:t>
            </w:r>
            <w:proofErr w:type="spellEnd"/>
            <w:r w:rsidRPr="003A1E1C">
              <w:rPr>
                <w:b/>
                <w:bCs/>
                <w:sz w:val="16"/>
                <w:szCs w:val="16"/>
              </w:rPr>
              <w:t>]</w:t>
            </w:r>
          </w:p>
        </w:tc>
      </w:tr>
      <w:tr w:rsidR="00886B9C" w14:paraId="20134C7B" w14:textId="77777777" w:rsidTr="003A1E1C">
        <w:trPr>
          <w:jc w:val="center"/>
        </w:trPr>
        <w:tc>
          <w:tcPr>
            <w:tcW w:w="567" w:type="dxa"/>
            <w:tcBorders>
              <w:top w:val="single" w:sz="4" w:space="0" w:color="auto"/>
              <w:left w:val="single" w:sz="4" w:space="0" w:color="auto"/>
            </w:tcBorders>
            <w:vAlign w:val="center"/>
          </w:tcPr>
          <w:p w14:paraId="105458F1" w14:textId="6C48A771" w:rsidR="003877EF" w:rsidRPr="003A1E1C" w:rsidRDefault="003877EF" w:rsidP="003877EF">
            <w:pPr>
              <w:pStyle w:val="BodyText"/>
              <w:ind w:firstLine="0"/>
              <w:rPr>
                <w:sz w:val="16"/>
                <w:szCs w:val="16"/>
              </w:rPr>
            </w:pPr>
            <w:r w:rsidRPr="003A1E1C">
              <w:rPr>
                <w:color w:val="000000"/>
                <w:sz w:val="16"/>
                <w:szCs w:val="16"/>
              </w:rPr>
              <w:t>1A</w:t>
            </w:r>
          </w:p>
        </w:tc>
        <w:tc>
          <w:tcPr>
            <w:tcW w:w="709" w:type="dxa"/>
            <w:tcBorders>
              <w:top w:val="single" w:sz="4" w:space="0" w:color="auto"/>
            </w:tcBorders>
            <w:vAlign w:val="center"/>
          </w:tcPr>
          <w:p w14:paraId="0EE4D11F" w14:textId="3A4C9AB4" w:rsidR="003877EF" w:rsidRPr="003A1E1C" w:rsidRDefault="003877EF" w:rsidP="003877EF">
            <w:pPr>
              <w:pStyle w:val="BodyText"/>
              <w:ind w:firstLine="0"/>
              <w:rPr>
                <w:sz w:val="16"/>
                <w:szCs w:val="16"/>
              </w:rPr>
            </w:pPr>
            <w:r w:rsidRPr="003A1E1C">
              <w:rPr>
                <w:color w:val="000000"/>
                <w:sz w:val="16"/>
                <w:szCs w:val="16"/>
              </w:rPr>
              <w:t>-</w:t>
            </w:r>
          </w:p>
        </w:tc>
        <w:tc>
          <w:tcPr>
            <w:tcW w:w="680" w:type="dxa"/>
            <w:tcBorders>
              <w:top w:val="single" w:sz="4" w:space="0" w:color="auto"/>
            </w:tcBorders>
            <w:vAlign w:val="center"/>
          </w:tcPr>
          <w:p w14:paraId="7B37553F" w14:textId="27D7C096" w:rsidR="003877EF" w:rsidRPr="003A1E1C" w:rsidRDefault="003877EF" w:rsidP="003877EF">
            <w:pPr>
              <w:pStyle w:val="BodyText"/>
              <w:ind w:firstLine="0"/>
              <w:rPr>
                <w:sz w:val="16"/>
                <w:szCs w:val="16"/>
              </w:rPr>
            </w:pPr>
            <w:r w:rsidRPr="003A1E1C">
              <w:rPr>
                <w:color w:val="000000"/>
                <w:sz w:val="16"/>
                <w:szCs w:val="16"/>
              </w:rPr>
              <w:t>-</w:t>
            </w:r>
          </w:p>
        </w:tc>
        <w:tc>
          <w:tcPr>
            <w:tcW w:w="624" w:type="dxa"/>
            <w:tcBorders>
              <w:top w:val="single" w:sz="4" w:space="0" w:color="auto"/>
            </w:tcBorders>
            <w:vAlign w:val="center"/>
          </w:tcPr>
          <w:p w14:paraId="14CE3A91" w14:textId="1B040220" w:rsidR="003877EF" w:rsidRPr="003A1E1C" w:rsidRDefault="003877EF" w:rsidP="003877EF">
            <w:pPr>
              <w:pStyle w:val="BodyText"/>
              <w:ind w:firstLine="0"/>
              <w:rPr>
                <w:sz w:val="16"/>
                <w:szCs w:val="16"/>
              </w:rPr>
            </w:pPr>
            <w:r w:rsidRPr="003A1E1C">
              <w:rPr>
                <w:color w:val="000000"/>
                <w:sz w:val="16"/>
                <w:szCs w:val="16"/>
              </w:rPr>
              <w:t>-</w:t>
            </w:r>
          </w:p>
        </w:tc>
        <w:tc>
          <w:tcPr>
            <w:tcW w:w="624" w:type="dxa"/>
            <w:tcBorders>
              <w:top w:val="single" w:sz="4" w:space="0" w:color="auto"/>
            </w:tcBorders>
            <w:vAlign w:val="center"/>
          </w:tcPr>
          <w:p w14:paraId="46A976B6" w14:textId="03D251FB" w:rsidR="003877EF" w:rsidRPr="003A1E1C" w:rsidRDefault="003877EF" w:rsidP="003877EF">
            <w:pPr>
              <w:pStyle w:val="BodyText"/>
              <w:ind w:firstLine="0"/>
              <w:rPr>
                <w:sz w:val="16"/>
                <w:szCs w:val="16"/>
              </w:rPr>
            </w:pPr>
            <w:r w:rsidRPr="003A1E1C">
              <w:rPr>
                <w:color w:val="000000"/>
                <w:sz w:val="16"/>
                <w:szCs w:val="16"/>
              </w:rPr>
              <w:t>-</w:t>
            </w:r>
          </w:p>
        </w:tc>
        <w:tc>
          <w:tcPr>
            <w:tcW w:w="737" w:type="dxa"/>
            <w:tcBorders>
              <w:top w:val="single" w:sz="4" w:space="0" w:color="auto"/>
            </w:tcBorders>
            <w:vAlign w:val="center"/>
          </w:tcPr>
          <w:p w14:paraId="6E3BFA22" w14:textId="1A4ACE47" w:rsidR="003877EF" w:rsidRPr="003A1E1C" w:rsidRDefault="003877EF" w:rsidP="003877EF">
            <w:pPr>
              <w:pStyle w:val="BodyText"/>
              <w:ind w:firstLine="0"/>
              <w:rPr>
                <w:sz w:val="16"/>
                <w:szCs w:val="16"/>
              </w:rPr>
            </w:pPr>
            <w:r>
              <w:rPr>
                <w:sz w:val="16"/>
                <w:szCs w:val="16"/>
              </w:rPr>
              <w:t>1.0</w:t>
            </w:r>
            <w:r w:rsidRPr="003A1E1C">
              <w:rPr>
                <w:sz w:val="16"/>
                <w:szCs w:val="16"/>
              </w:rPr>
              <w:t>E-</w:t>
            </w:r>
            <w:r>
              <w:rPr>
                <w:sz w:val="16"/>
                <w:szCs w:val="16"/>
              </w:rPr>
              <w:t>9</w:t>
            </w:r>
          </w:p>
        </w:tc>
        <w:tc>
          <w:tcPr>
            <w:tcW w:w="680" w:type="dxa"/>
            <w:tcBorders>
              <w:top w:val="single" w:sz="4" w:space="0" w:color="auto"/>
              <w:right w:val="single" w:sz="4" w:space="0" w:color="auto"/>
            </w:tcBorders>
            <w:vAlign w:val="center"/>
          </w:tcPr>
          <w:p w14:paraId="0DF7D846" w14:textId="72916633" w:rsidR="003877EF" w:rsidRPr="003A1E1C" w:rsidRDefault="003877EF" w:rsidP="003877EF">
            <w:pPr>
              <w:pStyle w:val="BodyText"/>
              <w:ind w:firstLine="0"/>
              <w:rPr>
                <w:sz w:val="16"/>
                <w:szCs w:val="16"/>
              </w:rPr>
            </w:pPr>
            <w:r w:rsidRPr="003A1E1C">
              <w:rPr>
                <w:sz w:val="16"/>
                <w:szCs w:val="16"/>
              </w:rPr>
              <w:t>3.</w:t>
            </w:r>
            <w:r>
              <w:rPr>
                <w:sz w:val="16"/>
                <w:szCs w:val="16"/>
              </w:rPr>
              <w:t>9</w:t>
            </w:r>
            <w:r w:rsidRPr="003A1E1C">
              <w:rPr>
                <w:sz w:val="16"/>
                <w:szCs w:val="16"/>
              </w:rPr>
              <w:t>E11</w:t>
            </w:r>
          </w:p>
        </w:tc>
        <w:tc>
          <w:tcPr>
            <w:tcW w:w="567" w:type="dxa"/>
            <w:tcBorders>
              <w:top w:val="single" w:sz="4" w:space="0" w:color="auto"/>
              <w:left w:val="single" w:sz="4" w:space="0" w:color="auto"/>
            </w:tcBorders>
            <w:vAlign w:val="center"/>
          </w:tcPr>
          <w:p w14:paraId="7830BAE3" w14:textId="22B8B032" w:rsidR="003877EF" w:rsidRPr="003A1E1C" w:rsidRDefault="003877EF" w:rsidP="003877EF">
            <w:pPr>
              <w:pStyle w:val="BodyText"/>
              <w:ind w:firstLine="0"/>
              <w:rPr>
                <w:sz w:val="16"/>
                <w:szCs w:val="16"/>
              </w:rPr>
            </w:pPr>
            <w:r w:rsidRPr="003A1E1C">
              <w:rPr>
                <w:color w:val="000000"/>
                <w:sz w:val="16"/>
                <w:szCs w:val="16"/>
              </w:rPr>
              <w:t>2J</w:t>
            </w:r>
          </w:p>
        </w:tc>
        <w:tc>
          <w:tcPr>
            <w:tcW w:w="709" w:type="dxa"/>
            <w:tcBorders>
              <w:top w:val="single" w:sz="4" w:space="0" w:color="auto"/>
            </w:tcBorders>
            <w:vAlign w:val="center"/>
          </w:tcPr>
          <w:p w14:paraId="2BA3FB1F" w14:textId="224C24A4" w:rsidR="003877EF" w:rsidRPr="003A1E1C" w:rsidRDefault="003877EF" w:rsidP="003877EF">
            <w:pPr>
              <w:pStyle w:val="BodyText"/>
              <w:ind w:firstLine="0"/>
              <w:rPr>
                <w:sz w:val="16"/>
                <w:szCs w:val="16"/>
              </w:rPr>
            </w:pPr>
            <w:r w:rsidRPr="003A1E1C">
              <w:rPr>
                <w:color w:val="000000"/>
                <w:sz w:val="16"/>
                <w:szCs w:val="16"/>
              </w:rPr>
              <w:t>-</w:t>
            </w:r>
          </w:p>
        </w:tc>
        <w:tc>
          <w:tcPr>
            <w:tcW w:w="680" w:type="dxa"/>
            <w:tcBorders>
              <w:top w:val="single" w:sz="4" w:space="0" w:color="auto"/>
            </w:tcBorders>
            <w:vAlign w:val="center"/>
          </w:tcPr>
          <w:p w14:paraId="4AF741F0" w14:textId="5E265D13" w:rsidR="003877EF" w:rsidRPr="003A1E1C" w:rsidRDefault="003877EF" w:rsidP="003877EF">
            <w:pPr>
              <w:pStyle w:val="BodyText"/>
              <w:ind w:firstLine="0"/>
              <w:rPr>
                <w:sz w:val="16"/>
                <w:szCs w:val="16"/>
              </w:rPr>
            </w:pPr>
            <w:r w:rsidRPr="003A1E1C">
              <w:rPr>
                <w:color w:val="000000"/>
                <w:sz w:val="16"/>
                <w:szCs w:val="16"/>
              </w:rPr>
              <w:t>100%</w:t>
            </w:r>
          </w:p>
        </w:tc>
        <w:tc>
          <w:tcPr>
            <w:tcW w:w="624" w:type="dxa"/>
            <w:tcBorders>
              <w:top w:val="single" w:sz="4" w:space="0" w:color="auto"/>
            </w:tcBorders>
            <w:vAlign w:val="center"/>
          </w:tcPr>
          <w:p w14:paraId="20826336" w14:textId="00CD9645" w:rsidR="003877EF" w:rsidRPr="003A1E1C" w:rsidRDefault="003877EF" w:rsidP="003877EF">
            <w:pPr>
              <w:pStyle w:val="BodyText"/>
              <w:ind w:firstLine="0"/>
              <w:rPr>
                <w:sz w:val="16"/>
                <w:szCs w:val="16"/>
              </w:rPr>
            </w:pPr>
            <w:r w:rsidRPr="003A1E1C">
              <w:rPr>
                <w:color w:val="000000"/>
                <w:sz w:val="16"/>
                <w:szCs w:val="16"/>
              </w:rPr>
              <w:t>-</w:t>
            </w:r>
          </w:p>
        </w:tc>
        <w:tc>
          <w:tcPr>
            <w:tcW w:w="624" w:type="dxa"/>
            <w:tcBorders>
              <w:top w:val="single" w:sz="4" w:space="0" w:color="auto"/>
            </w:tcBorders>
            <w:vAlign w:val="center"/>
          </w:tcPr>
          <w:p w14:paraId="22890948" w14:textId="43E693D3" w:rsidR="003877EF" w:rsidRPr="003A1E1C" w:rsidRDefault="001C624B" w:rsidP="003877EF">
            <w:pPr>
              <w:pStyle w:val="BodyText"/>
              <w:ind w:firstLine="0"/>
              <w:rPr>
                <w:sz w:val="16"/>
                <w:szCs w:val="16"/>
              </w:rPr>
            </w:pPr>
            <w:r>
              <w:rPr>
                <w:color w:val="000000"/>
                <w:sz w:val="16"/>
                <w:szCs w:val="16"/>
              </w:rPr>
              <w:t>20</w:t>
            </w:r>
          </w:p>
        </w:tc>
        <w:tc>
          <w:tcPr>
            <w:tcW w:w="737" w:type="dxa"/>
            <w:tcBorders>
              <w:top w:val="single" w:sz="4" w:space="0" w:color="auto"/>
            </w:tcBorders>
            <w:vAlign w:val="center"/>
          </w:tcPr>
          <w:p w14:paraId="007E7EEB" w14:textId="7890254F" w:rsidR="003877EF" w:rsidRPr="003A1E1C" w:rsidRDefault="003877EF" w:rsidP="003877EF">
            <w:pPr>
              <w:pStyle w:val="BodyText"/>
              <w:ind w:firstLine="0"/>
              <w:rPr>
                <w:sz w:val="16"/>
                <w:szCs w:val="16"/>
              </w:rPr>
            </w:pPr>
            <w:r>
              <w:rPr>
                <w:sz w:val="16"/>
                <w:szCs w:val="16"/>
              </w:rPr>
              <w:t>1.0</w:t>
            </w:r>
            <w:r w:rsidRPr="003A1E1C">
              <w:rPr>
                <w:sz w:val="16"/>
                <w:szCs w:val="16"/>
              </w:rPr>
              <w:t>E-1</w:t>
            </w:r>
            <w:r>
              <w:rPr>
                <w:sz w:val="16"/>
                <w:szCs w:val="16"/>
              </w:rPr>
              <w:t>0</w:t>
            </w:r>
          </w:p>
        </w:tc>
        <w:tc>
          <w:tcPr>
            <w:tcW w:w="680" w:type="dxa"/>
            <w:tcBorders>
              <w:top w:val="single" w:sz="4" w:space="0" w:color="auto"/>
              <w:right w:val="single" w:sz="4" w:space="0" w:color="auto"/>
            </w:tcBorders>
            <w:vAlign w:val="center"/>
          </w:tcPr>
          <w:p w14:paraId="0FD7B8F1" w14:textId="47CFD0DF" w:rsidR="003877EF" w:rsidRPr="003A1E1C" w:rsidRDefault="003877EF" w:rsidP="003877EF">
            <w:pPr>
              <w:pStyle w:val="BodyText"/>
              <w:ind w:firstLine="0"/>
              <w:rPr>
                <w:sz w:val="16"/>
                <w:szCs w:val="16"/>
              </w:rPr>
            </w:pPr>
            <w:r w:rsidRPr="003A1E1C">
              <w:rPr>
                <w:color w:val="FF0000"/>
                <w:sz w:val="16"/>
                <w:szCs w:val="16"/>
              </w:rPr>
              <w:t>1.0E14</w:t>
            </w:r>
          </w:p>
        </w:tc>
      </w:tr>
      <w:tr w:rsidR="00690272" w14:paraId="26875467" w14:textId="77777777" w:rsidTr="003A1E1C">
        <w:trPr>
          <w:jc w:val="center"/>
        </w:trPr>
        <w:tc>
          <w:tcPr>
            <w:tcW w:w="567" w:type="dxa"/>
            <w:tcBorders>
              <w:left w:val="single" w:sz="4" w:space="0" w:color="auto"/>
            </w:tcBorders>
            <w:vAlign w:val="center"/>
          </w:tcPr>
          <w:p w14:paraId="2B6C5652" w14:textId="354AAC6D" w:rsidR="003877EF" w:rsidRPr="001A21DC" w:rsidRDefault="003877EF" w:rsidP="003877EF">
            <w:pPr>
              <w:pStyle w:val="BodyText"/>
              <w:ind w:firstLine="0"/>
              <w:rPr>
                <w:sz w:val="16"/>
                <w:szCs w:val="16"/>
              </w:rPr>
            </w:pPr>
            <w:r w:rsidRPr="003A1E1C">
              <w:rPr>
                <w:color w:val="000000"/>
                <w:sz w:val="16"/>
                <w:szCs w:val="16"/>
              </w:rPr>
              <w:t>1D</w:t>
            </w:r>
          </w:p>
        </w:tc>
        <w:tc>
          <w:tcPr>
            <w:tcW w:w="709" w:type="dxa"/>
            <w:vAlign w:val="center"/>
          </w:tcPr>
          <w:p w14:paraId="763851E4" w14:textId="0CC5B16F" w:rsidR="003877EF" w:rsidRPr="001A21DC" w:rsidRDefault="003877EF" w:rsidP="003877EF">
            <w:pPr>
              <w:pStyle w:val="BodyText"/>
              <w:ind w:firstLine="0"/>
              <w:rPr>
                <w:sz w:val="16"/>
                <w:szCs w:val="16"/>
              </w:rPr>
            </w:pPr>
            <w:r w:rsidRPr="003A1E1C">
              <w:rPr>
                <w:color w:val="000000"/>
                <w:sz w:val="16"/>
                <w:szCs w:val="16"/>
              </w:rPr>
              <w:t>-</w:t>
            </w:r>
          </w:p>
        </w:tc>
        <w:tc>
          <w:tcPr>
            <w:tcW w:w="680" w:type="dxa"/>
            <w:vAlign w:val="center"/>
          </w:tcPr>
          <w:p w14:paraId="69AA8A51" w14:textId="1734AF04" w:rsidR="003877EF" w:rsidRPr="001A21DC" w:rsidRDefault="003877EF" w:rsidP="003877EF">
            <w:pPr>
              <w:pStyle w:val="BodyText"/>
              <w:ind w:firstLine="0"/>
              <w:rPr>
                <w:sz w:val="16"/>
                <w:szCs w:val="16"/>
              </w:rPr>
            </w:pPr>
            <w:r w:rsidRPr="003A1E1C">
              <w:rPr>
                <w:color w:val="000000"/>
                <w:sz w:val="16"/>
                <w:szCs w:val="16"/>
              </w:rPr>
              <w:t>10%</w:t>
            </w:r>
          </w:p>
        </w:tc>
        <w:tc>
          <w:tcPr>
            <w:tcW w:w="624" w:type="dxa"/>
            <w:vAlign w:val="center"/>
          </w:tcPr>
          <w:p w14:paraId="4E89343F" w14:textId="5B2AEF10" w:rsidR="003877EF" w:rsidRPr="001A21DC" w:rsidRDefault="003877EF" w:rsidP="003877EF">
            <w:pPr>
              <w:pStyle w:val="BodyText"/>
              <w:ind w:firstLine="0"/>
              <w:rPr>
                <w:sz w:val="16"/>
                <w:szCs w:val="16"/>
              </w:rPr>
            </w:pPr>
            <w:r w:rsidRPr="003A1E1C">
              <w:rPr>
                <w:color w:val="000000"/>
                <w:sz w:val="16"/>
                <w:szCs w:val="16"/>
              </w:rPr>
              <w:t>-</w:t>
            </w:r>
          </w:p>
        </w:tc>
        <w:tc>
          <w:tcPr>
            <w:tcW w:w="624" w:type="dxa"/>
            <w:vAlign w:val="center"/>
          </w:tcPr>
          <w:p w14:paraId="00A6212B" w14:textId="19222503" w:rsidR="003877EF" w:rsidRPr="001A21DC" w:rsidRDefault="003877EF" w:rsidP="003877EF">
            <w:pPr>
              <w:pStyle w:val="BodyText"/>
              <w:ind w:firstLine="0"/>
              <w:rPr>
                <w:sz w:val="16"/>
                <w:szCs w:val="16"/>
              </w:rPr>
            </w:pPr>
            <w:r w:rsidRPr="003A1E1C">
              <w:rPr>
                <w:color w:val="000000"/>
                <w:sz w:val="16"/>
                <w:szCs w:val="16"/>
              </w:rPr>
              <w:t>-</w:t>
            </w:r>
          </w:p>
        </w:tc>
        <w:tc>
          <w:tcPr>
            <w:tcW w:w="737" w:type="dxa"/>
            <w:vAlign w:val="center"/>
          </w:tcPr>
          <w:p w14:paraId="00531EA8" w14:textId="2D4CFDDB" w:rsidR="003877EF" w:rsidRPr="001A21DC" w:rsidRDefault="003877EF" w:rsidP="003877EF">
            <w:pPr>
              <w:pStyle w:val="BodyText"/>
              <w:ind w:firstLine="0"/>
              <w:rPr>
                <w:sz w:val="16"/>
                <w:szCs w:val="16"/>
              </w:rPr>
            </w:pPr>
            <w:r>
              <w:rPr>
                <w:sz w:val="16"/>
                <w:szCs w:val="16"/>
              </w:rPr>
              <w:t>5.0</w:t>
            </w:r>
            <w:r w:rsidRPr="003A1E1C">
              <w:rPr>
                <w:sz w:val="16"/>
                <w:szCs w:val="16"/>
              </w:rPr>
              <w:t>E-9</w:t>
            </w:r>
          </w:p>
        </w:tc>
        <w:tc>
          <w:tcPr>
            <w:tcW w:w="680" w:type="dxa"/>
            <w:tcBorders>
              <w:right w:val="single" w:sz="4" w:space="0" w:color="auto"/>
            </w:tcBorders>
            <w:vAlign w:val="center"/>
          </w:tcPr>
          <w:p w14:paraId="0FCBB0B5" w14:textId="60ECF11D" w:rsidR="003877EF" w:rsidRPr="001A21DC" w:rsidRDefault="003877EF" w:rsidP="003877EF">
            <w:pPr>
              <w:pStyle w:val="BodyText"/>
              <w:ind w:firstLine="0"/>
              <w:rPr>
                <w:sz w:val="16"/>
                <w:szCs w:val="16"/>
              </w:rPr>
            </w:pPr>
            <w:r w:rsidRPr="003A1E1C">
              <w:rPr>
                <w:sz w:val="16"/>
                <w:szCs w:val="16"/>
              </w:rPr>
              <w:t>3.4E11</w:t>
            </w:r>
          </w:p>
        </w:tc>
        <w:tc>
          <w:tcPr>
            <w:tcW w:w="567" w:type="dxa"/>
            <w:tcBorders>
              <w:left w:val="single" w:sz="4" w:space="0" w:color="auto"/>
            </w:tcBorders>
            <w:vAlign w:val="center"/>
          </w:tcPr>
          <w:p w14:paraId="1446CC09" w14:textId="47C163A7" w:rsidR="003877EF" w:rsidRPr="003877EF" w:rsidRDefault="003877EF" w:rsidP="003877EF">
            <w:pPr>
              <w:pStyle w:val="BodyText"/>
              <w:ind w:firstLine="0"/>
              <w:rPr>
                <w:sz w:val="16"/>
                <w:szCs w:val="16"/>
              </w:rPr>
            </w:pPr>
            <w:r w:rsidRPr="003A1E1C">
              <w:rPr>
                <w:color w:val="000000"/>
                <w:sz w:val="16"/>
                <w:szCs w:val="16"/>
              </w:rPr>
              <w:t>2K</w:t>
            </w:r>
          </w:p>
        </w:tc>
        <w:tc>
          <w:tcPr>
            <w:tcW w:w="709" w:type="dxa"/>
            <w:vAlign w:val="center"/>
          </w:tcPr>
          <w:p w14:paraId="7B0E2CCA" w14:textId="6118DA0E" w:rsidR="003877EF" w:rsidRPr="003877EF" w:rsidRDefault="003877EF" w:rsidP="003877EF">
            <w:pPr>
              <w:pStyle w:val="BodyText"/>
              <w:ind w:firstLine="0"/>
              <w:rPr>
                <w:sz w:val="16"/>
                <w:szCs w:val="16"/>
              </w:rPr>
            </w:pPr>
            <w:r w:rsidRPr="003A1E1C">
              <w:rPr>
                <w:color w:val="000000"/>
                <w:sz w:val="16"/>
                <w:szCs w:val="16"/>
              </w:rPr>
              <w:t>-</w:t>
            </w:r>
          </w:p>
        </w:tc>
        <w:tc>
          <w:tcPr>
            <w:tcW w:w="680" w:type="dxa"/>
            <w:vAlign w:val="center"/>
          </w:tcPr>
          <w:p w14:paraId="69D93213" w14:textId="11722381" w:rsidR="003877EF" w:rsidRPr="003877EF" w:rsidRDefault="003877EF" w:rsidP="003877EF">
            <w:pPr>
              <w:pStyle w:val="BodyText"/>
              <w:ind w:firstLine="0"/>
              <w:rPr>
                <w:sz w:val="16"/>
                <w:szCs w:val="16"/>
              </w:rPr>
            </w:pPr>
            <w:r w:rsidRPr="003A1E1C">
              <w:rPr>
                <w:color w:val="000000"/>
                <w:sz w:val="16"/>
                <w:szCs w:val="16"/>
              </w:rPr>
              <w:t>50%</w:t>
            </w:r>
          </w:p>
        </w:tc>
        <w:tc>
          <w:tcPr>
            <w:tcW w:w="624" w:type="dxa"/>
            <w:vAlign w:val="center"/>
          </w:tcPr>
          <w:p w14:paraId="4C62E3EF" w14:textId="62C8CC3A" w:rsidR="003877EF" w:rsidRPr="003877EF" w:rsidRDefault="003877EF" w:rsidP="003877EF">
            <w:pPr>
              <w:pStyle w:val="BodyText"/>
              <w:ind w:firstLine="0"/>
              <w:rPr>
                <w:sz w:val="16"/>
                <w:szCs w:val="16"/>
              </w:rPr>
            </w:pPr>
            <w:r w:rsidRPr="003A1E1C">
              <w:rPr>
                <w:color w:val="000000"/>
                <w:sz w:val="16"/>
                <w:szCs w:val="16"/>
              </w:rPr>
              <w:t>-</w:t>
            </w:r>
          </w:p>
        </w:tc>
        <w:tc>
          <w:tcPr>
            <w:tcW w:w="624" w:type="dxa"/>
            <w:vAlign w:val="center"/>
          </w:tcPr>
          <w:p w14:paraId="08CF2A49" w14:textId="2D360511" w:rsidR="003877EF" w:rsidRPr="003877EF" w:rsidRDefault="001C624B" w:rsidP="003877EF">
            <w:pPr>
              <w:pStyle w:val="BodyText"/>
              <w:ind w:firstLine="0"/>
              <w:rPr>
                <w:sz w:val="16"/>
                <w:szCs w:val="16"/>
              </w:rPr>
            </w:pPr>
            <w:r>
              <w:rPr>
                <w:color w:val="000000"/>
                <w:sz w:val="16"/>
                <w:szCs w:val="16"/>
              </w:rPr>
              <w:t>20</w:t>
            </w:r>
          </w:p>
        </w:tc>
        <w:tc>
          <w:tcPr>
            <w:tcW w:w="737" w:type="dxa"/>
            <w:vAlign w:val="center"/>
          </w:tcPr>
          <w:p w14:paraId="0E95D98F" w14:textId="75E7FA6F" w:rsidR="003877EF" w:rsidRPr="003877EF" w:rsidRDefault="003877EF" w:rsidP="003877EF">
            <w:pPr>
              <w:pStyle w:val="BodyText"/>
              <w:ind w:firstLine="0"/>
              <w:rPr>
                <w:sz w:val="16"/>
                <w:szCs w:val="16"/>
              </w:rPr>
            </w:pPr>
            <w:r>
              <w:rPr>
                <w:sz w:val="16"/>
                <w:szCs w:val="16"/>
              </w:rPr>
              <w:t>1.0</w:t>
            </w:r>
            <w:r w:rsidRPr="003A1E1C">
              <w:rPr>
                <w:sz w:val="16"/>
                <w:szCs w:val="16"/>
              </w:rPr>
              <w:t>E-1</w:t>
            </w:r>
            <w:r>
              <w:rPr>
                <w:sz w:val="16"/>
                <w:szCs w:val="16"/>
              </w:rPr>
              <w:t>3</w:t>
            </w:r>
          </w:p>
        </w:tc>
        <w:tc>
          <w:tcPr>
            <w:tcW w:w="680" w:type="dxa"/>
            <w:tcBorders>
              <w:right w:val="single" w:sz="4" w:space="0" w:color="auto"/>
            </w:tcBorders>
            <w:vAlign w:val="center"/>
          </w:tcPr>
          <w:p w14:paraId="25C80EC7" w14:textId="47129511" w:rsidR="003877EF" w:rsidRPr="003877EF" w:rsidRDefault="003877EF" w:rsidP="003877EF">
            <w:pPr>
              <w:pStyle w:val="BodyText"/>
              <w:ind w:firstLine="0"/>
              <w:rPr>
                <w:sz w:val="16"/>
                <w:szCs w:val="16"/>
              </w:rPr>
            </w:pPr>
            <w:r w:rsidRPr="003A1E1C">
              <w:rPr>
                <w:sz w:val="16"/>
                <w:szCs w:val="16"/>
              </w:rPr>
              <w:t>4.</w:t>
            </w:r>
            <w:r w:rsidR="004534DA">
              <w:rPr>
                <w:sz w:val="16"/>
                <w:szCs w:val="16"/>
              </w:rPr>
              <w:t>6</w:t>
            </w:r>
            <w:r w:rsidRPr="003A1E1C">
              <w:rPr>
                <w:sz w:val="16"/>
                <w:szCs w:val="16"/>
              </w:rPr>
              <w:t>E13</w:t>
            </w:r>
          </w:p>
        </w:tc>
      </w:tr>
      <w:tr w:rsidR="00690272" w14:paraId="15EF31D3" w14:textId="77777777" w:rsidTr="003A1E1C">
        <w:trPr>
          <w:jc w:val="center"/>
        </w:trPr>
        <w:tc>
          <w:tcPr>
            <w:tcW w:w="567" w:type="dxa"/>
            <w:tcBorders>
              <w:left w:val="single" w:sz="4" w:space="0" w:color="auto"/>
            </w:tcBorders>
            <w:vAlign w:val="center"/>
          </w:tcPr>
          <w:p w14:paraId="634BA1BD" w14:textId="4E17D28A" w:rsidR="003877EF" w:rsidRPr="001A21DC" w:rsidRDefault="003877EF" w:rsidP="003877EF">
            <w:pPr>
              <w:pStyle w:val="BodyText"/>
              <w:ind w:firstLine="0"/>
              <w:rPr>
                <w:sz w:val="16"/>
                <w:szCs w:val="16"/>
              </w:rPr>
            </w:pPr>
            <w:r w:rsidRPr="003A1E1C">
              <w:rPr>
                <w:color w:val="000000"/>
                <w:sz w:val="16"/>
                <w:szCs w:val="16"/>
              </w:rPr>
              <w:t>1H</w:t>
            </w:r>
          </w:p>
        </w:tc>
        <w:tc>
          <w:tcPr>
            <w:tcW w:w="709" w:type="dxa"/>
            <w:vAlign w:val="center"/>
          </w:tcPr>
          <w:p w14:paraId="6788C06D" w14:textId="055065BF" w:rsidR="003877EF" w:rsidRPr="001A21DC" w:rsidRDefault="003877EF" w:rsidP="003877EF">
            <w:pPr>
              <w:pStyle w:val="BodyText"/>
              <w:ind w:firstLine="0"/>
              <w:rPr>
                <w:sz w:val="16"/>
                <w:szCs w:val="16"/>
              </w:rPr>
            </w:pPr>
            <m:oMath>
              <m:r>
                <w:rPr>
                  <w:rFonts w:ascii="Cambria Math" w:hAnsi="Cambria Math"/>
                  <w:sz w:val="16"/>
                  <w:szCs w:val="16"/>
                </w:rPr>
                <m:t>t</m:t>
              </m:r>
            </m:oMath>
            <w:r w:rsidRPr="003A1E1C">
              <w:rPr>
                <w:sz w:val="16"/>
                <w:szCs w:val="16"/>
              </w:rPr>
              <w:t>≥3 h</w:t>
            </w:r>
          </w:p>
        </w:tc>
        <w:tc>
          <w:tcPr>
            <w:tcW w:w="680" w:type="dxa"/>
            <w:vAlign w:val="center"/>
          </w:tcPr>
          <w:p w14:paraId="044AFD9A" w14:textId="05FCC590" w:rsidR="003877EF" w:rsidRPr="001A21DC" w:rsidRDefault="003877EF" w:rsidP="003877EF">
            <w:pPr>
              <w:pStyle w:val="BodyText"/>
              <w:ind w:firstLine="0"/>
              <w:rPr>
                <w:sz w:val="16"/>
                <w:szCs w:val="16"/>
              </w:rPr>
            </w:pPr>
            <w:r w:rsidRPr="003A1E1C">
              <w:rPr>
                <w:color w:val="000000"/>
                <w:sz w:val="16"/>
                <w:szCs w:val="16"/>
              </w:rPr>
              <w:t>-</w:t>
            </w:r>
          </w:p>
        </w:tc>
        <w:tc>
          <w:tcPr>
            <w:tcW w:w="624" w:type="dxa"/>
            <w:vAlign w:val="center"/>
          </w:tcPr>
          <w:p w14:paraId="4BEFB4EB" w14:textId="4D33DA4A" w:rsidR="003877EF" w:rsidRPr="001A21DC" w:rsidRDefault="003877EF" w:rsidP="003877EF">
            <w:pPr>
              <w:pStyle w:val="BodyText"/>
              <w:ind w:firstLine="0"/>
              <w:rPr>
                <w:sz w:val="16"/>
                <w:szCs w:val="16"/>
              </w:rPr>
            </w:pPr>
            <w:r w:rsidRPr="003A1E1C">
              <w:rPr>
                <w:color w:val="000000"/>
                <w:sz w:val="16"/>
                <w:szCs w:val="16"/>
              </w:rPr>
              <w:t>-</w:t>
            </w:r>
          </w:p>
        </w:tc>
        <w:tc>
          <w:tcPr>
            <w:tcW w:w="624" w:type="dxa"/>
            <w:vAlign w:val="center"/>
          </w:tcPr>
          <w:p w14:paraId="45FC6926" w14:textId="594A2376" w:rsidR="003877EF" w:rsidRPr="001A21DC" w:rsidRDefault="003877EF" w:rsidP="003877EF">
            <w:pPr>
              <w:pStyle w:val="BodyText"/>
              <w:ind w:firstLine="0"/>
              <w:rPr>
                <w:sz w:val="16"/>
                <w:szCs w:val="16"/>
              </w:rPr>
            </w:pPr>
            <w:r w:rsidRPr="003A1E1C">
              <w:rPr>
                <w:color w:val="000000"/>
                <w:sz w:val="16"/>
                <w:szCs w:val="16"/>
              </w:rPr>
              <w:t>-</w:t>
            </w:r>
          </w:p>
        </w:tc>
        <w:tc>
          <w:tcPr>
            <w:tcW w:w="737" w:type="dxa"/>
            <w:vAlign w:val="center"/>
          </w:tcPr>
          <w:p w14:paraId="7F5A9F1B" w14:textId="24D5B408" w:rsidR="003877EF" w:rsidRPr="001A21DC" w:rsidRDefault="003877EF" w:rsidP="003877EF">
            <w:pPr>
              <w:pStyle w:val="BodyText"/>
              <w:ind w:firstLine="0"/>
              <w:rPr>
                <w:sz w:val="16"/>
                <w:szCs w:val="16"/>
              </w:rPr>
            </w:pPr>
            <w:r>
              <w:rPr>
                <w:sz w:val="16"/>
                <w:szCs w:val="16"/>
              </w:rPr>
              <w:t>5.0</w:t>
            </w:r>
            <w:r w:rsidRPr="003A1E1C">
              <w:rPr>
                <w:sz w:val="16"/>
                <w:szCs w:val="16"/>
              </w:rPr>
              <w:t>E-9</w:t>
            </w:r>
          </w:p>
        </w:tc>
        <w:tc>
          <w:tcPr>
            <w:tcW w:w="680" w:type="dxa"/>
            <w:tcBorders>
              <w:right w:val="single" w:sz="4" w:space="0" w:color="auto"/>
            </w:tcBorders>
            <w:vAlign w:val="center"/>
          </w:tcPr>
          <w:p w14:paraId="5296D9E0" w14:textId="1F0E4A35" w:rsidR="003877EF" w:rsidRPr="001A21DC" w:rsidRDefault="003877EF" w:rsidP="003877EF">
            <w:pPr>
              <w:pStyle w:val="BodyText"/>
              <w:ind w:firstLine="0"/>
              <w:rPr>
                <w:sz w:val="16"/>
                <w:szCs w:val="16"/>
              </w:rPr>
            </w:pPr>
            <w:r w:rsidRPr="003A1E1C">
              <w:rPr>
                <w:sz w:val="16"/>
                <w:szCs w:val="16"/>
              </w:rPr>
              <w:t>2.5E11</w:t>
            </w:r>
          </w:p>
        </w:tc>
        <w:tc>
          <w:tcPr>
            <w:tcW w:w="567" w:type="dxa"/>
            <w:tcBorders>
              <w:left w:val="single" w:sz="4" w:space="0" w:color="auto"/>
            </w:tcBorders>
            <w:vAlign w:val="center"/>
          </w:tcPr>
          <w:p w14:paraId="00314503" w14:textId="3DA53931" w:rsidR="003877EF" w:rsidRPr="003877EF" w:rsidRDefault="003877EF" w:rsidP="003877EF">
            <w:pPr>
              <w:pStyle w:val="BodyText"/>
              <w:ind w:firstLine="0"/>
              <w:rPr>
                <w:sz w:val="16"/>
                <w:szCs w:val="16"/>
              </w:rPr>
            </w:pPr>
            <w:r w:rsidRPr="003A1E1C">
              <w:rPr>
                <w:color w:val="000000"/>
                <w:sz w:val="16"/>
                <w:szCs w:val="16"/>
              </w:rPr>
              <w:t>2L</w:t>
            </w:r>
          </w:p>
        </w:tc>
        <w:tc>
          <w:tcPr>
            <w:tcW w:w="709" w:type="dxa"/>
            <w:vAlign w:val="center"/>
          </w:tcPr>
          <w:p w14:paraId="7D31475F" w14:textId="068FF076" w:rsidR="003877EF" w:rsidRPr="003877EF" w:rsidRDefault="003877EF" w:rsidP="003877EF">
            <w:pPr>
              <w:pStyle w:val="BodyText"/>
              <w:ind w:firstLine="0"/>
              <w:rPr>
                <w:sz w:val="16"/>
                <w:szCs w:val="16"/>
              </w:rPr>
            </w:pPr>
            <w:r w:rsidRPr="003A1E1C">
              <w:rPr>
                <w:color w:val="000000"/>
                <w:sz w:val="16"/>
                <w:szCs w:val="16"/>
              </w:rPr>
              <w:t>-</w:t>
            </w:r>
          </w:p>
        </w:tc>
        <w:tc>
          <w:tcPr>
            <w:tcW w:w="680" w:type="dxa"/>
            <w:vAlign w:val="center"/>
          </w:tcPr>
          <w:p w14:paraId="668C0C0F" w14:textId="5B08824F" w:rsidR="003877EF" w:rsidRPr="003877EF" w:rsidRDefault="003877EF" w:rsidP="003877EF">
            <w:pPr>
              <w:pStyle w:val="BodyText"/>
              <w:ind w:firstLine="0"/>
              <w:rPr>
                <w:sz w:val="16"/>
                <w:szCs w:val="16"/>
              </w:rPr>
            </w:pPr>
            <w:r w:rsidRPr="003A1E1C">
              <w:rPr>
                <w:color w:val="000000"/>
                <w:sz w:val="16"/>
                <w:szCs w:val="16"/>
              </w:rPr>
              <w:t>10%</w:t>
            </w:r>
          </w:p>
        </w:tc>
        <w:tc>
          <w:tcPr>
            <w:tcW w:w="624" w:type="dxa"/>
            <w:vAlign w:val="center"/>
          </w:tcPr>
          <w:p w14:paraId="25B7901D" w14:textId="707BE750" w:rsidR="003877EF" w:rsidRPr="003877EF" w:rsidRDefault="003877EF" w:rsidP="003877EF">
            <w:pPr>
              <w:pStyle w:val="BodyText"/>
              <w:ind w:firstLine="0"/>
              <w:rPr>
                <w:sz w:val="16"/>
                <w:szCs w:val="16"/>
              </w:rPr>
            </w:pPr>
            <w:r w:rsidRPr="003A1E1C">
              <w:rPr>
                <w:color w:val="000000"/>
                <w:sz w:val="16"/>
                <w:szCs w:val="16"/>
              </w:rPr>
              <w:t>-</w:t>
            </w:r>
          </w:p>
        </w:tc>
        <w:tc>
          <w:tcPr>
            <w:tcW w:w="624" w:type="dxa"/>
            <w:vAlign w:val="center"/>
          </w:tcPr>
          <w:p w14:paraId="0E207B42" w14:textId="384854BF" w:rsidR="003877EF" w:rsidRPr="003877EF" w:rsidRDefault="001C624B" w:rsidP="003877EF">
            <w:pPr>
              <w:pStyle w:val="BodyText"/>
              <w:ind w:firstLine="0"/>
              <w:rPr>
                <w:sz w:val="16"/>
                <w:szCs w:val="16"/>
              </w:rPr>
            </w:pPr>
            <w:r>
              <w:rPr>
                <w:color w:val="000000"/>
                <w:sz w:val="16"/>
                <w:szCs w:val="16"/>
              </w:rPr>
              <w:t>20</w:t>
            </w:r>
          </w:p>
        </w:tc>
        <w:tc>
          <w:tcPr>
            <w:tcW w:w="737" w:type="dxa"/>
            <w:vAlign w:val="center"/>
          </w:tcPr>
          <w:p w14:paraId="0F255AD6" w14:textId="19C5AD21" w:rsidR="003877EF" w:rsidRPr="003877EF" w:rsidRDefault="003877EF" w:rsidP="003877EF">
            <w:pPr>
              <w:pStyle w:val="BodyText"/>
              <w:ind w:firstLine="0"/>
              <w:rPr>
                <w:sz w:val="16"/>
                <w:szCs w:val="16"/>
              </w:rPr>
            </w:pPr>
            <w:r>
              <w:rPr>
                <w:sz w:val="16"/>
                <w:szCs w:val="16"/>
              </w:rPr>
              <w:t>5.0</w:t>
            </w:r>
            <w:r w:rsidRPr="003A1E1C">
              <w:rPr>
                <w:sz w:val="16"/>
                <w:szCs w:val="16"/>
              </w:rPr>
              <w:t>E-14</w:t>
            </w:r>
          </w:p>
        </w:tc>
        <w:tc>
          <w:tcPr>
            <w:tcW w:w="680" w:type="dxa"/>
            <w:tcBorders>
              <w:right w:val="single" w:sz="4" w:space="0" w:color="auto"/>
            </w:tcBorders>
            <w:vAlign w:val="center"/>
          </w:tcPr>
          <w:p w14:paraId="271A7EA3" w14:textId="0901FEDD" w:rsidR="003877EF" w:rsidRPr="003877EF" w:rsidRDefault="003877EF" w:rsidP="003877EF">
            <w:pPr>
              <w:pStyle w:val="BodyText"/>
              <w:ind w:firstLine="0"/>
              <w:rPr>
                <w:sz w:val="16"/>
                <w:szCs w:val="16"/>
              </w:rPr>
            </w:pPr>
            <w:r w:rsidRPr="003A1E1C">
              <w:rPr>
                <w:sz w:val="16"/>
                <w:szCs w:val="16"/>
              </w:rPr>
              <w:t>9.4E12</w:t>
            </w:r>
          </w:p>
        </w:tc>
      </w:tr>
      <w:tr w:rsidR="00690272" w14:paraId="40784D38" w14:textId="77777777" w:rsidTr="003A1E1C">
        <w:trPr>
          <w:jc w:val="center"/>
        </w:trPr>
        <w:tc>
          <w:tcPr>
            <w:tcW w:w="567" w:type="dxa"/>
            <w:tcBorders>
              <w:left w:val="single" w:sz="4" w:space="0" w:color="auto"/>
            </w:tcBorders>
            <w:vAlign w:val="center"/>
          </w:tcPr>
          <w:p w14:paraId="25FAF1EA" w14:textId="7172A181" w:rsidR="003877EF" w:rsidRPr="001A21DC" w:rsidRDefault="003877EF" w:rsidP="003877EF">
            <w:pPr>
              <w:pStyle w:val="BodyText"/>
              <w:ind w:firstLine="0"/>
              <w:rPr>
                <w:sz w:val="16"/>
                <w:szCs w:val="16"/>
              </w:rPr>
            </w:pPr>
            <w:r w:rsidRPr="003A1E1C">
              <w:rPr>
                <w:color w:val="000000"/>
                <w:sz w:val="16"/>
                <w:szCs w:val="16"/>
              </w:rPr>
              <w:t>1I</w:t>
            </w:r>
          </w:p>
        </w:tc>
        <w:tc>
          <w:tcPr>
            <w:tcW w:w="709" w:type="dxa"/>
            <w:vAlign w:val="center"/>
          </w:tcPr>
          <w:p w14:paraId="271F6843" w14:textId="19C54288" w:rsidR="003877EF" w:rsidRPr="001A21DC" w:rsidRDefault="003877EF" w:rsidP="003877EF">
            <w:pPr>
              <w:pStyle w:val="BodyText"/>
              <w:ind w:firstLine="0"/>
              <w:rPr>
                <w:sz w:val="16"/>
                <w:szCs w:val="16"/>
              </w:rPr>
            </w:pPr>
            <m:oMath>
              <m:r>
                <w:rPr>
                  <w:rFonts w:ascii="Cambria Math" w:hAnsi="Cambria Math"/>
                  <w:sz w:val="16"/>
                  <w:szCs w:val="16"/>
                </w:rPr>
                <m:t>t</m:t>
              </m:r>
            </m:oMath>
            <w:r w:rsidRPr="003A1E1C">
              <w:rPr>
                <w:sz w:val="16"/>
                <w:szCs w:val="16"/>
              </w:rPr>
              <w:t>≥6 h</w:t>
            </w:r>
          </w:p>
        </w:tc>
        <w:tc>
          <w:tcPr>
            <w:tcW w:w="680" w:type="dxa"/>
            <w:vAlign w:val="center"/>
          </w:tcPr>
          <w:p w14:paraId="7AEFAC66" w14:textId="13B73A08" w:rsidR="003877EF" w:rsidRPr="001A21DC" w:rsidRDefault="003877EF" w:rsidP="003877EF">
            <w:pPr>
              <w:pStyle w:val="BodyText"/>
              <w:ind w:firstLine="0"/>
              <w:rPr>
                <w:sz w:val="16"/>
                <w:szCs w:val="16"/>
              </w:rPr>
            </w:pPr>
            <w:r w:rsidRPr="003A1E1C">
              <w:rPr>
                <w:sz w:val="16"/>
                <w:szCs w:val="16"/>
              </w:rPr>
              <w:t>-</w:t>
            </w:r>
          </w:p>
        </w:tc>
        <w:tc>
          <w:tcPr>
            <w:tcW w:w="624" w:type="dxa"/>
            <w:vAlign w:val="center"/>
          </w:tcPr>
          <w:p w14:paraId="57B5D1FE" w14:textId="773A0065" w:rsidR="003877EF" w:rsidRPr="001A21DC" w:rsidRDefault="003877EF" w:rsidP="003877EF">
            <w:pPr>
              <w:pStyle w:val="BodyText"/>
              <w:ind w:firstLine="0"/>
              <w:rPr>
                <w:sz w:val="16"/>
                <w:szCs w:val="16"/>
              </w:rPr>
            </w:pPr>
            <w:r w:rsidRPr="003A1E1C">
              <w:rPr>
                <w:sz w:val="16"/>
                <w:szCs w:val="16"/>
              </w:rPr>
              <w:t>-</w:t>
            </w:r>
          </w:p>
        </w:tc>
        <w:tc>
          <w:tcPr>
            <w:tcW w:w="624" w:type="dxa"/>
            <w:vAlign w:val="center"/>
          </w:tcPr>
          <w:p w14:paraId="7545F0BC" w14:textId="072E2B70" w:rsidR="003877EF" w:rsidRPr="001A21DC" w:rsidRDefault="003877EF" w:rsidP="003877EF">
            <w:pPr>
              <w:pStyle w:val="BodyText"/>
              <w:ind w:firstLine="0"/>
              <w:rPr>
                <w:sz w:val="16"/>
                <w:szCs w:val="16"/>
              </w:rPr>
            </w:pPr>
            <w:r w:rsidRPr="003A1E1C">
              <w:rPr>
                <w:sz w:val="16"/>
                <w:szCs w:val="16"/>
              </w:rPr>
              <w:t>-</w:t>
            </w:r>
          </w:p>
        </w:tc>
        <w:tc>
          <w:tcPr>
            <w:tcW w:w="737" w:type="dxa"/>
            <w:vAlign w:val="center"/>
          </w:tcPr>
          <w:p w14:paraId="173158FB" w14:textId="4C14A855" w:rsidR="003877EF" w:rsidRPr="001A21DC" w:rsidRDefault="003877EF" w:rsidP="003877EF">
            <w:pPr>
              <w:pStyle w:val="BodyText"/>
              <w:ind w:firstLine="0"/>
              <w:rPr>
                <w:sz w:val="16"/>
                <w:szCs w:val="16"/>
              </w:rPr>
            </w:pPr>
            <w:r w:rsidRPr="003A1E1C">
              <w:rPr>
                <w:sz w:val="16"/>
                <w:szCs w:val="16"/>
              </w:rPr>
              <w:t>1.5E-8</w:t>
            </w:r>
          </w:p>
        </w:tc>
        <w:tc>
          <w:tcPr>
            <w:tcW w:w="680" w:type="dxa"/>
            <w:tcBorders>
              <w:right w:val="single" w:sz="4" w:space="0" w:color="auto"/>
            </w:tcBorders>
            <w:vAlign w:val="center"/>
          </w:tcPr>
          <w:p w14:paraId="5B2F5240" w14:textId="7A483CB5" w:rsidR="003877EF" w:rsidRPr="001A21DC" w:rsidRDefault="003877EF" w:rsidP="003877EF">
            <w:pPr>
              <w:pStyle w:val="BodyText"/>
              <w:ind w:firstLine="0"/>
              <w:rPr>
                <w:sz w:val="16"/>
                <w:szCs w:val="16"/>
              </w:rPr>
            </w:pPr>
            <w:r w:rsidRPr="003A1E1C">
              <w:rPr>
                <w:sz w:val="16"/>
                <w:szCs w:val="16"/>
              </w:rPr>
              <w:t>4.</w:t>
            </w:r>
            <w:r>
              <w:rPr>
                <w:sz w:val="16"/>
                <w:szCs w:val="16"/>
              </w:rPr>
              <w:t>4</w:t>
            </w:r>
            <w:r w:rsidRPr="003A1E1C">
              <w:rPr>
                <w:sz w:val="16"/>
                <w:szCs w:val="16"/>
              </w:rPr>
              <w:t>E11</w:t>
            </w:r>
          </w:p>
        </w:tc>
        <w:tc>
          <w:tcPr>
            <w:tcW w:w="567" w:type="dxa"/>
            <w:tcBorders>
              <w:left w:val="single" w:sz="4" w:space="0" w:color="auto"/>
            </w:tcBorders>
            <w:vAlign w:val="center"/>
          </w:tcPr>
          <w:p w14:paraId="41733C83" w14:textId="285E8C63" w:rsidR="003877EF" w:rsidRPr="003877EF" w:rsidRDefault="003877EF" w:rsidP="003877EF">
            <w:pPr>
              <w:pStyle w:val="BodyText"/>
              <w:ind w:firstLine="0"/>
              <w:rPr>
                <w:sz w:val="16"/>
                <w:szCs w:val="16"/>
              </w:rPr>
            </w:pPr>
            <w:r w:rsidRPr="003A1E1C">
              <w:rPr>
                <w:color w:val="000000"/>
                <w:sz w:val="16"/>
                <w:szCs w:val="16"/>
              </w:rPr>
              <w:t>3A</w:t>
            </w:r>
          </w:p>
        </w:tc>
        <w:tc>
          <w:tcPr>
            <w:tcW w:w="709" w:type="dxa"/>
            <w:vAlign w:val="center"/>
          </w:tcPr>
          <w:p w14:paraId="7CE55091" w14:textId="4E3C81FD" w:rsidR="003877EF" w:rsidRPr="003877EF" w:rsidRDefault="003877EF" w:rsidP="003877EF">
            <w:pPr>
              <w:pStyle w:val="BodyText"/>
              <w:ind w:firstLine="0"/>
              <w:rPr>
                <w:sz w:val="16"/>
                <w:szCs w:val="16"/>
              </w:rPr>
            </w:pPr>
            <w:r w:rsidRPr="003A1E1C">
              <w:rPr>
                <w:color w:val="000000"/>
                <w:sz w:val="16"/>
                <w:szCs w:val="16"/>
              </w:rPr>
              <w:t>-</w:t>
            </w:r>
          </w:p>
        </w:tc>
        <w:tc>
          <w:tcPr>
            <w:tcW w:w="680" w:type="dxa"/>
            <w:vAlign w:val="center"/>
          </w:tcPr>
          <w:p w14:paraId="0450C8DC" w14:textId="0253A074" w:rsidR="003877EF" w:rsidRPr="003877EF" w:rsidRDefault="003877EF" w:rsidP="003877EF">
            <w:pPr>
              <w:pStyle w:val="BodyText"/>
              <w:ind w:firstLine="0"/>
              <w:rPr>
                <w:sz w:val="16"/>
                <w:szCs w:val="16"/>
              </w:rPr>
            </w:pPr>
            <w:r w:rsidRPr="003A1E1C">
              <w:rPr>
                <w:color w:val="000000"/>
                <w:sz w:val="16"/>
                <w:szCs w:val="16"/>
              </w:rPr>
              <w:t>-</w:t>
            </w:r>
          </w:p>
        </w:tc>
        <w:tc>
          <w:tcPr>
            <w:tcW w:w="624" w:type="dxa"/>
            <w:vAlign w:val="center"/>
          </w:tcPr>
          <w:p w14:paraId="2A364EE7" w14:textId="4414647F" w:rsidR="003877EF" w:rsidRPr="003877EF" w:rsidRDefault="003F0D67" w:rsidP="003877EF">
            <w:pPr>
              <w:pStyle w:val="BodyText"/>
              <w:ind w:firstLine="0"/>
              <w:rPr>
                <w:sz w:val="16"/>
                <w:szCs w:val="16"/>
              </w:rPr>
            </w:pPr>
            <w:r>
              <w:rPr>
                <w:color w:val="000000"/>
                <w:sz w:val="16"/>
                <w:szCs w:val="16"/>
              </w:rPr>
              <w:t>10</w:t>
            </w:r>
          </w:p>
        </w:tc>
        <w:tc>
          <w:tcPr>
            <w:tcW w:w="624" w:type="dxa"/>
            <w:vAlign w:val="center"/>
          </w:tcPr>
          <w:p w14:paraId="007DC97E" w14:textId="5D51DC10" w:rsidR="003877EF" w:rsidRPr="003877EF" w:rsidRDefault="003877EF" w:rsidP="003877EF">
            <w:pPr>
              <w:pStyle w:val="BodyText"/>
              <w:ind w:firstLine="0"/>
              <w:rPr>
                <w:sz w:val="16"/>
                <w:szCs w:val="16"/>
              </w:rPr>
            </w:pPr>
            <w:r w:rsidRPr="003A1E1C">
              <w:rPr>
                <w:color w:val="000000"/>
                <w:sz w:val="16"/>
                <w:szCs w:val="16"/>
              </w:rPr>
              <w:t>-</w:t>
            </w:r>
          </w:p>
        </w:tc>
        <w:tc>
          <w:tcPr>
            <w:tcW w:w="737" w:type="dxa"/>
            <w:vAlign w:val="center"/>
          </w:tcPr>
          <w:p w14:paraId="74A78484" w14:textId="649D1D6D" w:rsidR="003877EF" w:rsidRPr="003877EF" w:rsidRDefault="003877EF" w:rsidP="003877EF">
            <w:pPr>
              <w:pStyle w:val="BodyText"/>
              <w:ind w:firstLine="0"/>
              <w:rPr>
                <w:sz w:val="16"/>
                <w:szCs w:val="16"/>
              </w:rPr>
            </w:pPr>
            <w:r>
              <w:rPr>
                <w:sz w:val="16"/>
                <w:szCs w:val="16"/>
              </w:rPr>
              <w:t>1.0</w:t>
            </w:r>
            <w:r w:rsidRPr="003A1E1C">
              <w:rPr>
                <w:sz w:val="16"/>
                <w:szCs w:val="16"/>
              </w:rPr>
              <w:t>E-1</w:t>
            </w:r>
            <w:r>
              <w:rPr>
                <w:sz w:val="16"/>
                <w:szCs w:val="16"/>
              </w:rPr>
              <w:t>5</w:t>
            </w:r>
          </w:p>
        </w:tc>
        <w:tc>
          <w:tcPr>
            <w:tcW w:w="680" w:type="dxa"/>
            <w:tcBorders>
              <w:right w:val="single" w:sz="4" w:space="0" w:color="auto"/>
            </w:tcBorders>
            <w:vAlign w:val="center"/>
          </w:tcPr>
          <w:p w14:paraId="5993C06D" w14:textId="63D4CC94" w:rsidR="003877EF" w:rsidRPr="003877EF" w:rsidRDefault="003877EF" w:rsidP="003877EF">
            <w:pPr>
              <w:pStyle w:val="BodyText"/>
              <w:ind w:firstLine="0"/>
              <w:rPr>
                <w:sz w:val="16"/>
                <w:szCs w:val="16"/>
              </w:rPr>
            </w:pPr>
            <w:r w:rsidRPr="003A1E1C">
              <w:rPr>
                <w:color w:val="FF0000"/>
                <w:sz w:val="16"/>
                <w:szCs w:val="16"/>
              </w:rPr>
              <w:t>4.1E15</w:t>
            </w:r>
          </w:p>
        </w:tc>
      </w:tr>
      <w:tr w:rsidR="00690272" w14:paraId="0D7B4514" w14:textId="77777777" w:rsidTr="003A1E1C">
        <w:trPr>
          <w:jc w:val="center"/>
        </w:trPr>
        <w:tc>
          <w:tcPr>
            <w:tcW w:w="567" w:type="dxa"/>
            <w:tcBorders>
              <w:left w:val="single" w:sz="4" w:space="0" w:color="auto"/>
            </w:tcBorders>
            <w:vAlign w:val="center"/>
          </w:tcPr>
          <w:p w14:paraId="1BAC6344" w14:textId="6A57F314" w:rsidR="003877EF" w:rsidRPr="001A21DC" w:rsidRDefault="003877EF" w:rsidP="003877EF">
            <w:pPr>
              <w:pStyle w:val="BodyText"/>
              <w:ind w:firstLine="0"/>
              <w:rPr>
                <w:sz w:val="16"/>
                <w:szCs w:val="16"/>
              </w:rPr>
            </w:pPr>
            <w:r w:rsidRPr="003A1E1C">
              <w:rPr>
                <w:color w:val="000000"/>
                <w:sz w:val="16"/>
                <w:szCs w:val="16"/>
              </w:rPr>
              <w:t>1J</w:t>
            </w:r>
          </w:p>
        </w:tc>
        <w:tc>
          <w:tcPr>
            <w:tcW w:w="709" w:type="dxa"/>
            <w:vAlign w:val="center"/>
          </w:tcPr>
          <w:p w14:paraId="3F68E00D" w14:textId="7D9E867E" w:rsidR="003877EF" w:rsidRPr="001A21DC" w:rsidRDefault="003877EF" w:rsidP="003877EF">
            <w:pPr>
              <w:pStyle w:val="BodyText"/>
              <w:ind w:firstLine="0"/>
              <w:rPr>
                <w:sz w:val="16"/>
                <w:szCs w:val="16"/>
              </w:rPr>
            </w:pPr>
            <m:oMath>
              <m:r>
                <w:rPr>
                  <w:rFonts w:ascii="Cambria Math" w:hAnsi="Cambria Math"/>
                  <w:sz w:val="16"/>
                  <w:szCs w:val="16"/>
                </w:rPr>
                <m:t>t</m:t>
              </m:r>
            </m:oMath>
            <w:r w:rsidRPr="003A1E1C">
              <w:rPr>
                <w:sz w:val="16"/>
                <w:szCs w:val="16"/>
              </w:rPr>
              <w:t>≥12 h</w:t>
            </w:r>
          </w:p>
        </w:tc>
        <w:tc>
          <w:tcPr>
            <w:tcW w:w="680" w:type="dxa"/>
            <w:vAlign w:val="center"/>
          </w:tcPr>
          <w:p w14:paraId="35681CFA" w14:textId="058311B7" w:rsidR="003877EF" w:rsidRPr="001A21DC" w:rsidRDefault="003877EF" w:rsidP="003877EF">
            <w:pPr>
              <w:pStyle w:val="BodyText"/>
              <w:ind w:firstLine="0"/>
              <w:rPr>
                <w:sz w:val="16"/>
                <w:szCs w:val="16"/>
              </w:rPr>
            </w:pPr>
            <w:r w:rsidRPr="003A1E1C">
              <w:rPr>
                <w:sz w:val="16"/>
                <w:szCs w:val="16"/>
              </w:rPr>
              <w:t>-</w:t>
            </w:r>
          </w:p>
        </w:tc>
        <w:tc>
          <w:tcPr>
            <w:tcW w:w="624" w:type="dxa"/>
            <w:vAlign w:val="center"/>
          </w:tcPr>
          <w:p w14:paraId="762C7CE2" w14:textId="104B5520" w:rsidR="003877EF" w:rsidRPr="001A21DC" w:rsidRDefault="003877EF" w:rsidP="003877EF">
            <w:pPr>
              <w:pStyle w:val="BodyText"/>
              <w:ind w:firstLine="0"/>
              <w:rPr>
                <w:sz w:val="16"/>
                <w:szCs w:val="16"/>
              </w:rPr>
            </w:pPr>
            <w:r w:rsidRPr="003A1E1C">
              <w:rPr>
                <w:sz w:val="16"/>
                <w:szCs w:val="16"/>
              </w:rPr>
              <w:t>-</w:t>
            </w:r>
          </w:p>
        </w:tc>
        <w:tc>
          <w:tcPr>
            <w:tcW w:w="624" w:type="dxa"/>
            <w:vAlign w:val="center"/>
          </w:tcPr>
          <w:p w14:paraId="23BFD0AE" w14:textId="350D7695" w:rsidR="003877EF" w:rsidRPr="001A21DC" w:rsidRDefault="003877EF" w:rsidP="003877EF">
            <w:pPr>
              <w:pStyle w:val="BodyText"/>
              <w:ind w:firstLine="0"/>
              <w:rPr>
                <w:sz w:val="16"/>
                <w:szCs w:val="16"/>
              </w:rPr>
            </w:pPr>
            <w:r w:rsidRPr="003A1E1C">
              <w:rPr>
                <w:sz w:val="16"/>
                <w:szCs w:val="16"/>
              </w:rPr>
              <w:t>-</w:t>
            </w:r>
          </w:p>
        </w:tc>
        <w:tc>
          <w:tcPr>
            <w:tcW w:w="737" w:type="dxa"/>
            <w:vAlign w:val="center"/>
          </w:tcPr>
          <w:p w14:paraId="10B57051" w14:textId="2C7C6840" w:rsidR="003877EF" w:rsidRPr="001A21DC" w:rsidRDefault="003877EF" w:rsidP="003877EF">
            <w:pPr>
              <w:pStyle w:val="BodyText"/>
              <w:ind w:firstLine="0"/>
              <w:rPr>
                <w:sz w:val="16"/>
                <w:szCs w:val="16"/>
              </w:rPr>
            </w:pPr>
            <w:r w:rsidRPr="003A1E1C">
              <w:rPr>
                <w:sz w:val="16"/>
                <w:szCs w:val="16"/>
              </w:rPr>
              <w:t>2.</w:t>
            </w:r>
            <w:r>
              <w:rPr>
                <w:sz w:val="16"/>
                <w:szCs w:val="16"/>
              </w:rPr>
              <w:t>4</w:t>
            </w:r>
            <w:r w:rsidRPr="003A1E1C">
              <w:rPr>
                <w:sz w:val="16"/>
                <w:szCs w:val="16"/>
              </w:rPr>
              <w:t>E-8</w:t>
            </w:r>
          </w:p>
        </w:tc>
        <w:tc>
          <w:tcPr>
            <w:tcW w:w="680" w:type="dxa"/>
            <w:tcBorders>
              <w:right w:val="single" w:sz="4" w:space="0" w:color="auto"/>
            </w:tcBorders>
            <w:vAlign w:val="center"/>
          </w:tcPr>
          <w:p w14:paraId="1BA28362" w14:textId="69D7FC18" w:rsidR="003877EF" w:rsidRPr="001A21DC" w:rsidRDefault="003877EF" w:rsidP="003877EF">
            <w:pPr>
              <w:pStyle w:val="BodyText"/>
              <w:ind w:firstLine="0"/>
              <w:rPr>
                <w:sz w:val="16"/>
                <w:szCs w:val="16"/>
              </w:rPr>
            </w:pPr>
            <w:r w:rsidRPr="003A1E1C">
              <w:rPr>
                <w:sz w:val="16"/>
                <w:szCs w:val="16"/>
              </w:rPr>
              <w:t>2.8E11</w:t>
            </w:r>
          </w:p>
        </w:tc>
        <w:tc>
          <w:tcPr>
            <w:tcW w:w="567" w:type="dxa"/>
            <w:tcBorders>
              <w:left w:val="single" w:sz="4" w:space="0" w:color="auto"/>
            </w:tcBorders>
            <w:vAlign w:val="center"/>
          </w:tcPr>
          <w:p w14:paraId="449703AB" w14:textId="0E2CB791" w:rsidR="003877EF" w:rsidRPr="003877EF" w:rsidRDefault="003877EF" w:rsidP="003877EF">
            <w:pPr>
              <w:pStyle w:val="BodyText"/>
              <w:ind w:firstLine="0"/>
              <w:rPr>
                <w:sz w:val="16"/>
                <w:szCs w:val="16"/>
              </w:rPr>
            </w:pPr>
            <w:r w:rsidRPr="003A1E1C">
              <w:rPr>
                <w:color w:val="000000"/>
                <w:sz w:val="16"/>
                <w:szCs w:val="16"/>
              </w:rPr>
              <w:t>3D</w:t>
            </w:r>
          </w:p>
        </w:tc>
        <w:tc>
          <w:tcPr>
            <w:tcW w:w="709" w:type="dxa"/>
            <w:vAlign w:val="center"/>
          </w:tcPr>
          <w:p w14:paraId="70749262" w14:textId="648AE8A0" w:rsidR="003877EF" w:rsidRPr="003877EF" w:rsidRDefault="003877EF" w:rsidP="003877EF">
            <w:pPr>
              <w:pStyle w:val="BodyText"/>
              <w:ind w:firstLine="0"/>
              <w:rPr>
                <w:sz w:val="16"/>
                <w:szCs w:val="16"/>
              </w:rPr>
            </w:pPr>
            <w:r w:rsidRPr="003A1E1C">
              <w:rPr>
                <w:color w:val="000000"/>
                <w:sz w:val="16"/>
                <w:szCs w:val="16"/>
              </w:rPr>
              <w:t>-</w:t>
            </w:r>
          </w:p>
        </w:tc>
        <w:tc>
          <w:tcPr>
            <w:tcW w:w="680" w:type="dxa"/>
            <w:vAlign w:val="center"/>
          </w:tcPr>
          <w:p w14:paraId="43209C95" w14:textId="400B2FBF" w:rsidR="003877EF" w:rsidRPr="003877EF" w:rsidRDefault="003877EF" w:rsidP="003877EF">
            <w:pPr>
              <w:pStyle w:val="BodyText"/>
              <w:ind w:firstLine="0"/>
              <w:rPr>
                <w:sz w:val="16"/>
                <w:szCs w:val="16"/>
              </w:rPr>
            </w:pPr>
            <w:r w:rsidRPr="003A1E1C">
              <w:rPr>
                <w:color w:val="000000"/>
                <w:sz w:val="16"/>
                <w:szCs w:val="16"/>
              </w:rPr>
              <w:t>10%</w:t>
            </w:r>
          </w:p>
        </w:tc>
        <w:tc>
          <w:tcPr>
            <w:tcW w:w="624" w:type="dxa"/>
            <w:vAlign w:val="center"/>
          </w:tcPr>
          <w:p w14:paraId="5523D805" w14:textId="5E06314B" w:rsidR="003877EF" w:rsidRPr="003877EF" w:rsidRDefault="003F0D67" w:rsidP="003877EF">
            <w:pPr>
              <w:pStyle w:val="BodyText"/>
              <w:ind w:firstLine="0"/>
              <w:rPr>
                <w:sz w:val="16"/>
                <w:szCs w:val="16"/>
              </w:rPr>
            </w:pPr>
            <w:r>
              <w:rPr>
                <w:color w:val="000000"/>
                <w:sz w:val="16"/>
                <w:szCs w:val="16"/>
              </w:rPr>
              <w:t>10</w:t>
            </w:r>
          </w:p>
        </w:tc>
        <w:tc>
          <w:tcPr>
            <w:tcW w:w="624" w:type="dxa"/>
            <w:vAlign w:val="center"/>
          </w:tcPr>
          <w:p w14:paraId="5B231420" w14:textId="3B190FF1" w:rsidR="003877EF" w:rsidRPr="003877EF" w:rsidRDefault="003877EF" w:rsidP="003877EF">
            <w:pPr>
              <w:pStyle w:val="BodyText"/>
              <w:ind w:firstLine="0"/>
              <w:rPr>
                <w:sz w:val="16"/>
                <w:szCs w:val="16"/>
              </w:rPr>
            </w:pPr>
            <w:r w:rsidRPr="003A1E1C">
              <w:rPr>
                <w:color w:val="000000"/>
                <w:sz w:val="16"/>
                <w:szCs w:val="16"/>
              </w:rPr>
              <w:t>-</w:t>
            </w:r>
          </w:p>
        </w:tc>
        <w:tc>
          <w:tcPr>
            <w:tcW w:w="737" w:type="dxa"/>
            <w:vAlign w:val="center"/>
          </w:tcPr>
          <w:p w14:paraId="6BC8076F" w14:textId="21A79D38" w:rsidR="003877EF" w:rsidRPr="003877EF" w:rsidRDefault="003877EF" w:rsidP="003877EF">
            <w:pPr>
              <w:pStyle w:val="BodyText"/>
              <w:ind w:firstLine="0"/>
              <w:rPr>
                <w:sz w:val="16"/>
                <w:szCs w:val="16"/>
              </w:rPr>
            </w:pPr>
            <w:r>
              <w:rPr>
                <w:sz w:val="16"/>
                <w:szCs w:val="16"/>
              </w:rPr>
              <w:t>5.0</w:t>
            </w:r>
            <w:r w:rsidRPr="003A1E1C">
              <w:rPr>
                <w:sz w:val="16"/>
                <w:szCs w:val="16"/>
              </w:rPr>
              <w:t>E-15</w:t>
            </w:r>
          </w:p>
        </w:tc>
        <w:tc>
          <w:tcPr>
            <w:tcW w:w="680" w:type="dxa"/>
            <w:tcBorders>
              <w:right w:val="single" w:sz="4" w:space="0" w:color="auto"/>
            </w:tcBorders>
            <w:vAlign w:val="center"/>
          </w:tcPr>
          <w:p w14:paraId="73D2182B" w14:textId="4C36C881" w:rsidR="003877EF" w:rsidRPr="003877EF" w:rsidRDefault="004534DA" w:rsidP="003877EF">
            <w:pPr>
              <w:pStyle w:val="BodyText"/>
              <w:ind w:firstLine="0"/>
              <w:rPr>
                <w:sz w:val="16"/>
                <w:szCs w:val="16"/>
              </w:rPr>
            </w:pPr>
            <w:r>
              <w:rPr>
                <w:color w:val="FF0000"/>
                <w:sz w:val="16"/>
                <w:szCs w:val="16"/>
              </w:rPr>
              <w:t>3.0</w:t>
            </w:r>
            <w:r w:rsidR="003877EF" w:rsidRPr="003A1E1C">
              <w:rPr>
                <w:color w:val="FF0000"/>
                <w:sz w:val="16"/>
                <w:szCs w:val="16"/>
              </w:rPr>
              <w:t>E15</w:t>
            </w:r>
          </w:p>
        </w:tc>
      </w:tr>
      <w:tr w:rsidR="00690272" w14:paraId="7EC8C297" w14:textId="77777777" w:rsidTr="003A1E1C">
        <w:trPr>
          <w:jc w:val="center"/>
        </w:trPr>
        <w:tc>
          <w:tcPr>
            <w:tcW w:w="567" w:type="dxa"/>
            <w:tcBorders>
              <w:left w:val="single" w:sz="4" w:space="0" w:color="auto"/>
            </w:tcBorders>
            <w:vAlign w:val="center"/>
          </w:tcPr>
          <w:p w14:paraId="32BFD110" w14:textId="1D6068F1" w:rsidR="003877EF" w:rsidRPr="001A21DC" w:rsidRDefault="003877EF" w:rsidP="003877EF">
            <w:pPr>
              <w:pStyle w:val="BodyText"/>
              <w:ind w:firstLine="0"/>
              <w:rPr>
                <w:sz w:val="16"/>
                <w:szCs w:val="16"/>
              </w:rPr>
            </w:pPr>
            <w:r w:rsidRPr="003A1E1C">
              <w:rPr>
                <w:color w:val="000000"/>
                <w:sz w:val="16"/>
                <w:szCs w:val="16"/>
              </w:rPr>
              <w:t>2A</w:t>
            </w:r>
          </w:p>
        </w:tc>
        <w:tc>
          <w:tcPr>
            <w:tcW w:w="709" w:type="dxa"/>
            <w:vAlign w:val="center"/>
          </w:tcPr>
          <w:p w14:paraId="03C415BA" w14:textId="16A69CA0" w:rsidR="003877EF" w:rsidRPr="001A21DC" w:rsidRDefault="003877EF" w:rsidP="003877EF">
            <w:pPr>
              <w:pStyle w:val="BodyText"/>
              <w:ind w:firstLine="0"/>
              <w:rPr>
                <w:sz w:val="16"/>
                <w:szCs w:val="16"/>
              </w:rPr>
            </w:pPr>
            <w:r w:rsidRPr="003A1E1C">
              <w:rPr>
                <w:color w:val="000000"/>
                <w:sz w:val="16"/>
                <w:szCs w:val="16"/>
              </w:rPr>
              <w:t>-</w:t>
            </w:r>
          </w:p>
        </w:tc>
        <w:tc>
          <w:tcPr>
            <w:tcW w:w="680" w:type="dxa"/>
            <w:vAlign w:val="center"/>
          </w:tcPr>
          <w:p w14:paraId="14823BEB" w14:textId="10D36D03" w:rsidR="003877EF" w:rsidRPr="001A21DC" w:rsidRDefault="003877EF" w:rsidP="003877EF">
            <w:pPr>
              <w:pStyle w:val="BodyText"/>
              <w:ind w:firstLine="0"/>
              <w:rPr>
                <w:sz w:val="16"/>
                <w:szCs w:val="16"/>
              </w:rPr>
            </w:pPr>
            <w:r w:rsidRPr="003A1E1C">
              <w:rPr>
                <w:color w:val="000000"/>
                <w:sz w:val="16"/>
                <w:szCs w:val="16"/>
              </w:rPr>
              <w:t>-</w:t>
            </w:r>
          </w:p>
        </w:tc>
        <w:tc>
          <w:tcPr>
            <w:tcW w:w="624" w:type="dxa"/>
            <w:vAlign w:val="center"/>
          </w:tcPr>
          <w:p w14:paraId="63415473" w14:textId="1A09B920" w:rsidR="003877EF" w:rsidRPr="001A21DC" w:rsidRDefault="003877EF" w:rsidP="003877EF">
            <w:pPr>
              <w:pStyle w:val="BodyText"/>
              <w:ind w:firstLine="0"/>
              <w:rPr>
                <w:sz w:val="16"/>
                <w:szCs w:val="16"/>
              </w:rPr>
            </w:pPr>
            <w:r w:rsidRPr="003A1E1C">
              <w:rPr>
                <w:color w:val="000000"/>
                <w:sz w:val="16"/>
                <w:szCs w:val="16"/>
              </w:rPr>
              <w:t>-</w:t>
            </w:r>
          </w:p>
        </w:tc>
        <w:tc>
          <w:tcPr>
            <w:tcW w:w="624" w:type="dxa"/>
            <w:vAlign w:val="center"/>
          </w:tcPr>
          <w:p w14:paraId="5C51B4D0" w14:textId="16A5E527" w:rsidR="003877EF" w:rsidRPr="001A21DC" w:rsidRDefault="00FB1489" w:rsidP="003877EF">
            <w:pPr>
              <w:pStyle w:val="BodyText"/>
              <w:ind w:firstLine="0"/>
              <w:rPr>
                <w:sz w:val="16"/>
                <w:szCs w:val="16"/>
              </w:rPr>
            </w:pPr>
            <w:r>
              <w:rPr>
                <w:color w:val="000000"/>
                <w:sz w:val="16"/>
                <w:szCs w:val="16"/>
              </w:rPr>
              <w:t>1000</w:t>
            </w:r>
          </w:p>
        </w:tc>
        <w:tc>
          <w:tcPr>
            <w:tcW w:w="737" w:type="dxa"/>
            <w:vAlign w:val="center"/>
          </w:tcPr>
          <w:p w14:paraId="45928520" w14:textId="43507A49" w:rsidR="003877EF" w:rsidRPr="001A21DC" w:rsidRDefault="003877EF" w:rsidP="003877EF">
            <w:pPr>
              <w:pStyle w:val="BodyText"/>
              <w:ind w:firstLine="0"/>
              <w:rPr>
                <w:sz w:val="16"/>
                <w:szCs w:val="16"/>
              </w:rPr>
            </w:pPr>
            <w:r>
              <w:rPr>
                <w:sz w:val="16"/>
                <w:szCs w:val="16"/>
              </w:rPr>
              <w:t>1.0</w:t>
            </w:r>
            <w:r w:rsidRPr="003A1E1C">
              <w:rPr>
                <w:sz w:val="16"/>
                <w:szCs w:val="16"/>
              </w:rPr>
              <w:t>E-1</w:t>
            </w:r>
            <w:r>
              <w:rPr>
                <w:sz w:val="16"/>
                <w:szCs w:val="16"/>
              </w:rPr>
              <w:t>5</w:t>
            </w:r>
          </w:p>
        </w:tc>
        <w:tc>
          <w:tcPr>
            <w:tcW w:w="680" w:type="dxa"/>
            <w:tcBorders>
              <w:right w:val="single" w:sz="4" w:space="0" w:color="auto"/>
            </w:tcBorders>
            <w:vAlign w:val="center"/>
          </w:tcPr>
          <w:p w14:paraId="2109F63E" w14:textId="745BE43E" w:rsidR="003877EF" w:rsidRPr="001A21DC" w:rsidRDefault="003877EF" w:rsidP="003877EF">
            <w:pPr>
              <w:pStyle w:val="BodyText"/>
              <w:ind w:firstLine="0"/>
              <w:rPr>
                <w:sz w:val="16"/>
                <w:szCs w:val="16"/>
              </w:rPr>
            </w:pPr>
            <w:r w:rsidRPr="003A1E1C">
              <w:rPr>
                <w:color w:val="FF0000"/>
                <w:sz w:val="16"/>
                <w:szCs w:val="16"/>
              </w:rPr>
              <w:t>1.</w:t>
            </w:r>
            <w:r>
              <w:rPr>
                <w:color w:val="FF0000"/>
                <w:sz w:val="16"/>
                <w:szCs w:val="16"/>
              </w:rPr>
              <w:t>6</w:t>
            </w:r>
            <w:r w:rsidRPr="003A1E1C">
              <w:rPr>
                <w:color w:val="FF0000"/>
                <w:sz w:val="16"/>
                <w:szCs w:val="16"/>
              </w:rPr>
              <w:t>E15</w:t>
            </w:r>
          </w:p>
        </w:tc>
        <w:tc>
          <w:tcPr>
            <w:tcW w:w="567" w:type="dxa"/>
            <w:tcBorders>
              <w:left w:val="single" w:sz="4" w:space="0" w:color="auto"/>
            </w:tcBorders>
            <w:vAlign w:val="center"/>
          </w:tcPr>
          <w:p w14:paraId="1638654B" w14:textId="32853BF9" w:rsidR="003877EF" w:rsidRPr="003877EF" w:rsidRDefault="003877EF" w:rsidP="003877EF">
            <w:pPr>
              <w:pStyle w:val="BodyText"/>
              <w:ind w:firstLine="0"/>
              <w:rPr>
                <w:sz w:val="16"/>
                <w:szCs w:val="16"/>
              </w:rPr>
            </w:pPr>
            <w:r w:rsidRPr="003A1E1C">
              <w:rPr>
                <w:color w:val="000000"/>
                <w:sz w:val="16"/>
                <w:szCs w:val="16"/>
              </w:rPr>
              <w:t>3E</w:t>
            </w:r>
          </w:p>
        </w:tc>
        <w:tc>
          <w:tcPr>
            <w:tcW w:w="709" w:type="dxa"/>
            <w:vAlign w:val="center"/>
          </w:tcPr>
          <w:p w14:paraId="0C92ADA4" w14:textId="5128AE1A" w:rsidR="003877EF" w:rsidRPr="003877EF" w:rsidRDefault="003877EF" w:rsidP="003877EF">
            <w:pPr>
              <w:pStyle w:val="BodyText"/>
              <w:ind w:firstLine="0"/>
              <w:rPr>
                <w:sz w:val="16"/>
                <w:szCs w:val="16"/>
              </w:rPr>
            </w:pPr>
            <m:oMath>
              <m:r>
                <w:rPr>
                  <w:rFonts w:ascii="Cambria Math" w:hAnsi="Cambria Math"/>
                  <w:sz w:val="16"/>
                  <w:szCs w:val="16"/>
                </w:rPr>
                <m:t>t</m:t>
              </m:r>
            </m:oMath>
            <w:r w:rsidRPr="003A1E1C">
              <w:rPr>
                <w:sz w:val="16"/>
                <w:szCs w:val="16"/>
              </w:rPr>
              <w:t>≥3 h</w:t>
            </w:r>
          </w:p>
        </w:tc>
        <w:tc>
          <w:tcPr>
            <w:tcW w:w="680" w:type="dxa"/>
            <w:vAlign w:val="center"/>
          </w:tcPr>
          <w:p w14:paraId="721C1350" w14:textId="7B25055D" w:rsidR="003877EF" w:rsidRPr="003877EF" w:rsidRDefault="003877EF" w:rsidP="003877EF">
            <w:pPr>
              <w:pStyle w:val="BodyText"/>
              <w:ind w:firstLine="0"/>
              <w:rPr>
                <w:sz w:val="16"/>
                <w:szCs w:val="16"/>
              </w:rPr>
            </w:pPr>
            <w:r w:rsidRPr="003A1E1C">
              <w:rPr>
                <w:color w:val="000000"/>
                <w:sz w:val="16"/>
                <w:szCs w:val="16"/>
              </w:rPr>
              <w:t>-</w:t>
            </w:r>
          </w:p>
        </w:tc>
        <w:tc>
          <w:tcPr>
            <w:tcW w:w="624" w:type="dxa"/>
            <w:vAlign w:val="center"/>
          </w:tcPr>
          <w:p w14:paraId="3A1DE0BE" w14:textId="08274A18" w:rsidR="003877EF" w:rsidRPr="003877EF" w:rsidRDefault="003F0D67" w:rsidP="003877EF">
            <w:pPr>
              <w:pStyle w:val="BodyText"/>
              <w:ind w:firstLine="0"/>
              <w:rPr>
                <w:sz w:val="16"/>
                <w:szCs w:val="16"/>
              </w:rPr>
            </w:pPr>
            <w:r>
              <w:rPr>
                <w:color w:val="000000"/>
                <w:sz w:val="16"/>
                <w:szCs w:val="16"/>
              </w:rPr>
              <w:t>10</w:t>
            </w:r>
          </w:p>
        </w:tc>
        <w:tc>
          <w:tcPr>
            <w:tcW w:w="624" w:type="dxa"/>
            <w:vAlign w:val="center"/>
          </w:tcPr>
          <w:p w14:paraId="2743BC75" w14:textId="32AD81DE" w:rsidR="003877EF" w:rsidRPr="003877EF" w:rsidRDefault="003877EF" w:rsidP="003877EF">
            <w:pPr>
              <w:pStyle w:val="BodyText"/>
              <w:ind w:firstLine="0"/>
              <w:rPr>
                <w:sz w:val="16"/>
                <w:szCs w:val="16"/>
              </w:rPr>
            </w:pPr>
            <w:r w:rsidRPr="003A1E1C">
              <w:rPr>
                <w:color w:val="000000"/>
                <w:sz w:val="16"/>
                <w:szCs w:val="16"/>
              </w:rPr>
              <w:t>-</w:t>
            </w:r>
          </w:p>
        </w:tc>
        <w:tc>
          <w:tcPr>
            <w:tcW w:w="737" w:type="dxa"/>
            <w:vAlign w:val="center"/>
          </w:tcPr>
          <w:p w14:paraId="6CA18967" w14:textId="668D2B05" w:rsidR="003877EF" w:rsidRPr="003877EF" w:rsidRDefault="003877EF" w:rsidP="003877EF">
            <w:pPr>
              <w:pStyle w:val="BodyText"/>
              <w:ind w:firstLine="0"/>
              <w:rPr>
                <w:sz w:val="16"/>
                <w:szCs w:val="16"/>
              </w:rPr>
            </w:pPr>
            <w:r>
              <w:rPr>
                <w:sz w:val="16"/>
                <w:szCs w:val="16"/>
              </w:rPr>
              <w:t>5.0</w:t>
            </w:r>
            <w:r w:rsidRPr="003A1E1C">
              <w:rPr>
                <w:sz w:val="16"/>
                <w:szCs w:val="16"/>
              </w:rPr>
              <w:t>E-15</w:t>
            </w:r>
          </w:p>
        </w:tc>
        <w:tc>
          <w:tcPr>
            <w:tcW w:w="680" w:type="dxa"/>
            <w:tcBorders>
              <w:right w:val="single" w:sz="4" w:space="0" w:color="auto"/>
            </w:tcBorders>
            <w:vAlign w:val="center"/>
          </w:tcPr>
          <w:p w14:paraId="0C211767" w14:textId="3F7D12DE" w:rsidR="003877EF" w:rsidRPr="003877EF" w:rsidRDefault="003877EF" w:rsidP="003877EF">
            <w:pPr>
              <w:pStyle w:val="BodyText"/>
              <w:ind w:firstLine="0"/>
              <w:rPr>
                <w:sz w:val="16"/>
                <w:szCs w:val="16"/>
              </w:rPr>
            </w:pPr>
            <w:r w:rsidRPr="003A1E1C">
              <w:rPr>
                <w:color w:val="FF0000"/>
                <w:sz w:val="16"/>
                <w:szCs w:val="16"/>
              </w:rPr>
              <w:t>4.2E15</w:t>
            </w:r>
          </w:p>
        </w:tc>
      </w:tr>
      <w:tr w:rsidR="00690272" w14:paraId="7C05BFDF" w14:textId="77777777" w:rsidTr="003A1E1C">
        <w:trPr>
          <w:jc w:val="center"/>
        </w:trPr>
        <w:tc>
          <w:tcPr>
            <w:tcW w:w="567" w:type="dxa"/>
            <w:tcBorders>
              <w:left w:val="single" w:sz="4" w:space="0" w:color="auto"/>
            </w:tcBorders>
            <w:vAlign w:val="center"/>
          </w:tcPr>
          <w:p w14:paraId="73EFD7D5" w14:textId="66F4C858" w:rsidR="003877EF" w:rsidRPr="001A21DC" w:rsidRDefault="003877EF" w:rsidP="003877EF">
            <w:pPr>
              <w:pStyle w:val="BodyText"/>
              <w:ind w:firstLine="0"/>
              <w:rPr>
                <w:sz w:val="16"/>
                <w:szCs w:val="16"/>
              </w:rPr>
            </w:pPr>
            <w:r w:rsidRPr="003A1E1C">
              <w:rPr>
                <w:color w:val="000000"/>
                <w:sz w:val="16"/>
                <w:szCs w:val="16"/>
              </w:rPr>
              <w:t>2B</w:t>
            </w:r>
          </w:p>
        </w:tc>
        <w:tc>
          <w:tcPr>
            <w:tcW w:w="709" w:type="dxa"/>
            <w:vAlign w:val="center"/>
          </w:tcPr>
          <w:p w14:paraId="53380AA0" w14:textId="57B6C896" w:rsidR="003877EF" w:rsidRPr="001A21DC" w:rsidRDefault="003877EF" w:rsidP="003877EF">
            <w:pPr>
              <w:pStyle w:val="BodyText"/>
              <w:ind w:firstLine="0"/>
              <w:rPr>
                <w:sz w:val="16"/>
                <w:szCs w:val="16"/>
              </w:rPr>
            </w:pPr>
            <w:r w:rsidRPr="003A1E1C">
              <w:rPr>
                <w:color w:val="000000"/>
                <w:sz w:val="16"/>
                <w:szCs w:val="16"/>
              </w:rPr>
              <w:t>-</w:t>
            </w:r>
          </w:p>
        </w:tc>
        <w:tc>
          <w:tcPr>
            <w:tcW w:w="680" w:type="dxa"/>
            <w:vAlign w:val="center"/>
          </w:tcPr>
          <w:p w14:paraId="27FC8CE5" w14:textId="1A39FC8F" w:rsidR="003877EF" w:rsidRPr="001A21DC" w:rsidRDefault="003877EF" w:rsidP="003877EF">
            <w:pPr>
              <w:pStyle w:val="BodyText"/>
              <w:ind w:firstLine="0"/>
              <w:rPr>
                <w:sz w:val="16"/>
                <w:szCs w:val="16"/>
              </w:rPr>
            </w:pPr>
            <w:r w:rsidRPr="003A1E1C">
              <w:rPr>
                <w:color w:val="000000"/>
                <w:sz w:val="16"/>
                <w:szCs w:val="16"/>
              </w:rPr>
              <w:t>100%</w:t>
            </w:r>
          </w:p>
        </w:tc>
        <w:tc>
          <w:tcPr>
            <w:tcW w:w="624" w:type="dxa"/>
            <w:vAlign w:val="center"/>
          </w:tcPr>
          <w:p w14:paraId="1EB5EED5" w14:textId="3D9ABA2A" w:rsidR="003877EF" w:rsidRPr="001A21DC" w:rsidRDefault="003877EF" w:rsidP="003877EF">
            <w:pPr>
              <w:pStyle w:val="BodyText"/>
              <w:ind w:firstLine="0"/>
              <w:rPr>
                <w:sz w:val="16"/>
                <w:szCs w:val="16"/>
              </w:rPr>
            </w:pPr>
            <w:r w:rsidRPr="003A1E1C">
              <w:rPr>
                <w:color w:val="000000"/>
                <w:sz w:val="16"/>
                <w:szCs w:val="16"/>
              </w:rPr>
              <w:t>-</w:t>
            </w:r>
          </w:p>
        </w:tc>
        <w:tc>
          <w:tcPr>
            <w:tcW w:w="624" w:type="dxa"/>
            <w:vAlign w:val="center"/>
          </w:tcPr>
          <w:p w14:paraId="4498195A" w14:textId="6410266A" w:rsidR="003877EF" w:rsidRPr="001A21DC" w:rsidRDefault="00FB1489" w:rsidP="003877EF">
            <w:pPr>
              <w:pStyle w:val="BodyText"/>
              <w:ind w:firstLine="0"/>
              <w:rPr>
                <w:sz w:val="16"/>
                <w:szCs w:val="16"/>
              </w:rPr>
            </w:pPr>
            <w:r>
              <w:rPr>
                <w:color w:val="000000"/>
                <w:sz w:val="16"/>
                <w:szCs w:val="16"/>
              </w:rPr>
              <w:t>1000</w:t>
            </w:r>
          </w:p>
        </w:tc>
        <w:tc>
          <w:tcPr>
            <w:tcW w:w="737" w:type="dxa"/>
            <w:vAlign w:val="center"/>
          </w:tcPr>
          <w:p w14:paraId="1A115F79" w14:textId="7CA737E3" w:rsidR="003877EF" w:rsidRPr="001A21DC" w:rsidRDefault="003877EF" w:rsidP="003877EF">
            <w:pPr>
              <w:pStyle w:val="BodyText"/>
              <w:ind w:firstLine="0"/>
              <w:rPr>
                <w:sz w:val="16"/>
                <w:szCs w:val="16"/>
              </w:rPr>
            </w:pPr>
            <w:r>
              <w:rPr>
                <w:sz w:val="16"/>
                <w:szCs w:val="16"/>
              </w:rPr>
              <w:t>1.0</w:t>
            </w:r>
            <w:r w:rsidRPr="003A1E1C">
              <w:rPr>
                <w:sz w:val="16"/>
                <w:szCs w:val="16"/>
              </w:rPr>
              <w:t>E-1</w:t>
            </w:r>
            <w:r>
              <w:rPr>
                <w:sz w:val="16"/>
                <w:szCs w:val="16"/>
              </w:rPr>
              <w:t>1</w:t>
            </w:r>
          </w:p>
        </w:tc>
        <w:tc>
          <w:tcPr>
            <w:tcW w:w="680" w:type="dxa"/>
            <w:tcBorders>
              <w:right w:val="single" w:sz="4" w:space="0" w:color="auto"/>
            </w:tcBorders>
            <w:vAlign w:val="center"/>
          </w:tcPr>
          <w:p w14:paraId="27886D44" w14:textId="0FFDCBFB" w:rsidR="003877EF" w:rsidRPr="001A21DC" w:rsidRDefault="003877EF" w:rsidP="003877EF">
            <w:pPr>
              <w:pStyle w:val="BodyText"/>
              <w:ind w:firstLine="0"/>
              <w:rPr>
                <w:sz w:val="16"/>
                <w:szCs w:val="16"/>
              </w:rPr>
            </w:pPr>
            <w:r w:rsidRPr="003A1E1C">
              <w:rPr>
                <w:color w:val="FF0000"/>
                <w:sz w:val="16"/>
                <w:szCs w:val="16"/>
              </w:rPr>
              <w:t>1.2E15</w:t>
            </w:r>
          </w:p>
        </w:tc>
        <w:tc>
          <w:tcPr>
            <w:tcW w:w="567" w:type="dxa"/>
            <w:tcBorders>
              <w:left w:val="single" w:sz="4" w:space="0" w:color="auto"/>
            </w:tcBorders>
            <w:vAlign w:val="center"/>
          </w:tcPr>
          <w:p w14:paraId="37D4880B" w14:textId="2A1696BE" w:rsidR="003877EF" w:rsidRPr="003877EF" w:rsidRDefault="003877EF" w:rsidP="003877EF">
            <w:pPr>
              <w:pStyle w:val="BodyText"/>
              <w:ind w:firstLine="0"/>
              <w:rPr>
                <w:sz w:val="16"/>
                <w:szCs w:val="16"/>
              </w:rPr>
            </w:pPr>
            <w:r w:rsidRPr="003A1E1C">
              <w:rPr>
                <w:color w:val="000000"/>
                <w:sz w:val="16"/>
                <w:szCs w:val="16"/>
              </w:rPr>
              <w:t>3F</w:t>
            </w:r>
          </w:p>
        </w:tc>
        <w:tc>
          <w:tcPr>
            <w:tcW w:w="709" w:type="dxa"/>
            <w:vAlign w:val="center"/>
          </w:tcPr>
          <w:p w14:paraId="6F73ECA1" w14:textId="2FB0F490" w:rsidR="003877EF" w:rsidRPr="003877EF" w:rsidRDefault="003877EF" w:rsidP="003877EF">
            <w:pPr>
              <w:pStyle w:val="BodyText"/>
              <w:ind w:firstLine="0"/>
              <w:rPr>
                <w:sz w:val="16"/>
                <w:szCs w:val="16"/>
              </w:rPr>
            </w:pPr>
            <m:oMath>
              <m:r>
                <w:rPr>
                  <w:rFonts w:ascii="Cambria Math" w:hAnsi="Cambria Math"/>
                  <w:sz w:val="16"/>
                  <w:szCs w:val="16"/>
                </w:rPr>
                <m:t>t</m:t>
              </m:r>
            </m:oMath>
            <w:r w:rsidRPr="003A1E1C">
              <w:rPr>
                <w:sz w:val="16"/>
                <w:szCs w:val="16"/>
              </w:rPr>
              <w:t>≥6 h</w:t>
            </w:r>
          </w:p>
        </w:tc>
        <w:tc>
          <w:tcPr>
            <w:tcW w:w="680" w:type="dxa"/>
            <w:vAlign w:val="center"/>
          </w:tcPr>
          <w:p w14:paraId="4D49C623" w14:textId="39F9AC72" w:rsidR="003877EF" w:rsidRPr="003877EF" w:rsidRDefault="003877EF" w:rsidP="003877EF">
            <w:pPr>
              <w:pStyle w:val="BodyText"/>
              <w:ind w:firstLine="0"/>
              <w:rPr>
                <w:sz w:val="16"/>
                <w:szCs w:val="16"/>
              </w:rPr>
            </w:pPr>
            <w:r w:rsidRPr="003A1E1C">
              <w:rPr>
                <w:color w:val="000000"/>
                <w:sz w:val="16"/>
                <w:szCs w:val="16"/>
              </w:rPr>
              <w:t>-</w:t>
            </w:r>
          </w:p>
        </w:tc>
        <w:tc>
          <w:tcPr>
            <w:tcW w:w="624" w:type="dxa"/>
            <w:vAlign w:val="center"/>
          </w:tcPr>
          <w:p w14:paraId="22430B0D" w14:textId="515AFB50" w:rsidR="003877EF" w:rsidRPr="003877EF" w:rsidRDefault="003F0D67" w:rsidP="003877EF">
            <w:pPr>
              <w:pStyle w:val="BodyText"/>
              <w:ind w:firstLine="0"/>
              <w:rPr>
                <w:sz w:val="16"/>
                <w:szCs w:val="16"/>
              </w:rPr>
            </w:pPr>
            <w:r>
              <w:rPr>
                <w:color w:val="000000"/>
                <w:sz w:val="16"/>
                <w:szCs w:val="16"/>
              </w:rPr>
              <w:t>10</w:t>
            </w:r>
          </w:p>
        </w:tc>
        <w:tc>
          <w:tcPr>
            <w:tcW w:w="624" w:type="dxa"/>
            <w:vAlign w:val="center"/>
          </w:tcPr>
          <w:p w14:paraId="010BBF81" w14:textId="131E322B" w:rsidR="003877EF" w:rsidRPr="003877EF" w:rsidRDefault="003877EF" w:rsidP="003877EF">
            <w:pPr>
              <w:pStyle w:val="BodyText"/>
              <w:ind w:firstLine="0"/>
              <w:rPr>
                <w:sz w:val="16"/>
                <w:szCs w:val="16"/>
              </w:rPr>
            </w:pPr>
            <w:r w:rsidRPr="003A1E1C">
              <w:rPr>
                <w:color w:val="000000"/>
                <w:sz w:val="16"/>
                <w:szCs w:val="16"/>
              </w:rPr>
              <w:t>-</w:t>
            </w:r>
          </w:p>
        </w:tc>
        <w:tc>
          <w:tcPr>
            <w:tcW w:w="737" w:type="dxa"/>
            <w:vAlign w:val="center"/>
          </w:tcPr>
          <w:p w14:paraId="3ABE59CE" w14:textId="2BBD8001" w:rsidR="003877EF" w:rsidRPr="003877EF" w:rsidRDefault="003877EF" w:rsidP="003877EF">
            <w:pPr>
              <w:pStyle w:val="BodyText"/>
              <w:ind w:firstLine="0"/>
              <w:rPr>
                <w:sz w:val="16"/>
                <w:szCs w:val="16"/>
              </w:rPr>
            </w:pPr>
            <w:r w:rsidRPr="003A1E1C">
              <w:rPr>
                <w:sz w:val="16"/>
                <w:szCs w:val="16"/>
              </w:rPr>
              <w:t>1.5E-14</w:t>
            </w:r>
          </w:p>
        </w:tc>
        <w:tc>
          <w:tcPr>
            <w:tcW w:w="680" w:type="dxa"/>
            <w:tcBorders>
              <w:right w:val="single" w:sz="4" w:space="0" w:color="auto"/>
            </w:tcBorders>
            <w:vAlign w:val="center"/>
          </w:tcPr>
          <w:p w14:paraId="3388188B" w14:textId="0B7D4DD4" w:rsidR="003877EF" w:rsidRPr="003877EF" w:rsidRDefault="003877EF" w:rsidP="003877EF">
            <w:pPr>
              <w:pStyle w:val="BodyText"/>
              <w:ind w:firstLine="0"/>
              <w:rPr>
                <w:sz w:val="16"/>
                <w:szCs w:val="16"/>
              </w:rPr>
            </w:pPr>
            <w:r w:rsidRPr="003A1E1C">
              <w:rPr>
                <w:color w:val="FF0000"/>
                <w:sz w:val="16"/>
                <w:szCs w:val="16"/>
              </w:rPr>
              <w:t>4.1E15</w:t>
            </w:r>
          </w:p>
        </w:tc>
      </w:tr>
      <w:tr w:rsidR="00690272" w14:paraId="27183C1A" w14:textId="77777777" w:rsidTr="003A1E1C">
        <w:trPr>
          <w:jc w:val="center"/>
        </w:trPr>
        <w:tc>
          <w:tcPr>
            <w:tcW w:w="567" w:type="dxa"/>
            <w:tcBorders>
              <w:left w:val="single" w:sz="4" w:space="0" w:color="auto"/>
            </w:tcBorders>
            <w:vAlign w:val="center"/>
          </w:tcPr>
          <w:p w14:paraId="4C2F6F85" w14:textId="2A54A44A" w:rsidR="003877EF" w:rsidRPr="001A21DC" w:rsidRDefault="003877EF" w:rsidP="003877EF">
            <w:pPr>
              <w:pStyle w:val="BodyText"/>
              <w:ind w:firstLine="0"/>
              <w:rPr>
                <w:sz w:val="16"/>
                <w:szCs w:val="16"/>
              </w:rPr>
            </w:pPr>
            <w:r w:rsidRPr="003A1E1C">
              <w:rPr>
                <w:color w:val="000000"/>
                <w:sz w:val="16"/>
                <w:szCs w:val="16"/>
              </w:rPr>
              <w:t>2C</w:t>
            </w:r>
          </w:p>
        </w:tc>
        <w:tc>
          <w:tcPr>
            <w:tcW w:w="709" w:type="dxa"/>
            <w:vAlign w:val="center"/>
          </w:tcPr>
          <w:p w14:paraId="52D611CA" w14:textId="0C2F66E7" w:rsidR="003877EF" w:rsidRPr="001A21DC" w:rsidRDefault="003877EF" w:rsidP="003877EF">
            <w:pPr>
              <w:pStyle w:val="BodyText"/>
              <w:ind w:firstLine="0"/>
              <w:rPr>
                <w:sz w:val="16"/>
                <w:szCs w:val="16"/>
              </w:rPr>
            </w:pPr>
            <w:r w:rsidRPr="003A1E1C">
              <w:rPr>
                <w:color w:val="000000"/>
                <w:sz w:val="16"/>
                <w:szCs w:val="16"/>
              </w:rPr>
              <w:t>-</w:t>
            </w:r>
          </w:p>
        </w:tc>
        <w:tc>
          <w:tcPr>
            <w:tcW w:w="680" w:type="dxa"/>
            <w:vAlign w:val="center"/>
          </w:tcPr>
          <w:p w14:paraId="79754F5E" w14:textId="118B725B" w:rsidR="003877EF" w:rsidRPr="001A21DC" w:rsidRDefault="003877EF" w:rsidP="003877EF">
            <w:pPr>
              <w:pStyle w:val="BodyText"/>
              <w:ind w:firstLine="0"/>
              <w:rPr>
                <w:sz w:val="16"/>
                <w:szCs w:val="16"/>
              </w:rPr>
            </w:pPr>
            <w:r w:rsidRPr="003A1E1C">
              <w:rPr>
                <w:color w:val="000000"/>
                <w:sz w:val="16"/>
                <w:szCs w:val="16"/>
              </w:rPr>
              <w:t>50%</w:t>
            </w:r>
          </w:p>
        </w:tc>
        <w:tc>
          <w:tcPr>
            <w:tcW w:w="624" w:type="dxa"/>
            <w:vAlign w:val="center"/>
          </w:tcPr>
          <w:p w14:paraId="2472B2F3" w14:textId="2DAEB6A5" w:rsidR="003877EF" w:rsidRPr="001A21DC" w:rsidRDefault="003877EF" w:rsidP="003877EF">
            <w:pPr>
              <w:pStyle w:val="BodyText"/>
              <w:ind w:firstLine="0"/>
              <w:rPr>
                <w:sz w:val="16"/>
                <w:szCs w:val="16"/>
              </w:rPr>
            </w:pPr>
            <w:r w:rsidRPr="003A1E1C">
              <w:rPr>
                <w:color w:val="000000"/>
                <w:sz w:val="16"/>
                <w:szCs w:val="16"/>
              </w:rPr>
              <w:t>-</w:t>
            </w:r>
          </w:p>
        </w:tc>
        <w:tc>
          <w:tcPr>
            <w:tcW w:w="624" w:type="dxa"/>
            <w:vAlign w:val="center"/>
          </w:tcPr>
          <w:p w14:paraId="5F47DA09" w14:textId="5A56C1E9" w:rsidR="003877EF" w:rsidRPr="001A21DC" w:rsidRDefault="00FB1489" w:rsidP="003877EF">
            <w:pPr>
              <w:pStyle w:val="BodyText"/>
              <w:ind w:firstLine="0"/>
              <w:rPr>
                <w:sz w:val="16"/>
                <w:szCs w:val="16"/>
              </w:rPr>
            </w:pPr>
            <w:r>
              <w:rPr>
                <w:color w:val="000000"/>
                <w:sz w:val="16"/>
                <w:szCs w:val="16"/>
              </w:rPr>
              <w:t>1000</w:t>
            </w:r>
          </w:p>
        </w:tc>
        <w:tc>
          <w:tcPr>
            <w:tcW w:w="737" w:type="dxa"/>
            <w:vAlign w:val="center"/>
          </w:tcPr>
          <w:p w14:paraId="6284693A" w14:textId="65B34387" w:rsidR="003877EF" w:rsidRPr="001A21DC" w:rsidRDefault="003877EF" w:rsidP="003877EF">
            <w:pPr>
              <w:pStyle w:val="BodyText"/>
              <w:ind w:firstLine="0"/>
              <w:rPr>
                <w:sz w:val="16"/>
                <w:szCs w:val="16"/>
              </w:rPr>
            </w:pPr>
            <w:r>
              <w:rPr>
                <w:sz w:val="16"/>
                <w:szCs w:val="16"/>
              </w:rPr>
              <w:t>1.0</w:t>
            </w:r>
            <w:r w:rsidRPr="003A1E1C">
              <w:rPr>
                <w:sz w:val="16"/>
                <w:szCs w:val="16"/>
              </w:rPr>
              <w:t>E-1</w:t>
            </w:r>
            <w:r>
              <w:rPr>
                <w:sz w:val="16"/>
                <w:szCs w:val="16"/>
              </w:rPr>
              <w:t>4</w:t>
            </w:r>
          </w:p>
        </w:tc>
        <w:tc>
          <w:tcPr>
            <w:tcW w:w="680" w:type="dxa"/>
            <w:tcBorders>
              <w:right w:val="single" w:sz="4" w:space="0" w:color="auto"/>
            </w:tcBorders>
            <w:vAlign w:val="center"/>
          </w:tcPr>
          <w:p w14:paraId="0CC5CDBC" w14:textId="5C09C3BC" w:rsidR="003877EF" w:rsidRPr="001A21DC" w:rsidRDefault="003877EF" w:rsidP="003877EF">
            <w:pPr>
              <w:pStyle w:val="BodyText"/>
              <w:ind w:firstLine="0"/>
              <w:rPr>
                <w:sz w:val="16"/>
                <w:szCs w:val="16"/>
              </w:rPr>
            </w:pPr>
            <w:r w:rsidRPr="003A1E1C">
              <w:rPr>
                <w:color w:val="FF0000"/>
                <w:sz w:val="16"/>
                <w:szCs w:val="16"/>
              </w:rPr>
              <w:t>1.</w:t>
            </w:r>
            <w:r>
              <w:rPr>
                <w:color w:val="FF0000"/>
                <w:sz w:val="16"/>
                <w:szCs w:val="16"/>
              </w:rPr>
              <w:t>5</w:t>
            </w:r>
            <w:r w:rsidRPr="003A1E1C">
              <w:rPr>
                <w:color w:val="FF0000"/>
                <w:sz w:val="16"/>
                <w:szCs w:val="16"/>
              </w:rPr>
              <w:t>E15</w:t>
            </w:r>
          </w:p>
        </w:tc>
        <w:tc>
          <w:tcPr>
            <w:tcW w:w="567" w:type="dxa"/>
            <w:tcBorders>
              <w:left w:val="single" w:sz="4" w:space="0" w:color="auto"/>
            </w:tcBorders>
            <w:vAlign w:val="center"/>
          </w:tcPr>
          <w:p w14:paraId="1B725BD9" w14:textId="1742C8B2" w:rsidR="003877EF" w:rsidRPr="003877EF" w:rsidRDefault="003877EF" w:rsidP="003877EF">
            <w:pPr>
              <w:pStyle w:val="BodyText"/>
              <w:ind w:firstLine="0"/>
              <w:rPr>
                <w:sz w:val="16"/>
                <w:szCs w:val="16"/>
              </w:rPr>
            </w:pPr>
            <w:r w:rsidRPr="003A1E1C">
              <w:rPr>
                <w:color w:val="000000"/>
                <w:sz w:val="16"/>
                <w:szCs w:val="16"/>
              </w:rPr>
              <w:t>3G</w:t>
            </w:r>
          </w:p>
        </w:tc>
        <w:tc>
          <w:tcPr>
            <w:tcW w:w="709" w:type="dxa"/>
            <w:vAlign w:val="center"/>
          </w:tcPr>
          <w:p w14:paraId="0D3A504D" w14:textId="2758086A" w:rsidR="003877EF" w:rsidRPr="003877EF" w:rsidRDefault="003877EF" w:rsidP="003877EF">
            <w:pPr>
              <w:pStyle w:val="BodyText"/>
              <w:ind w:firstLine="0"/>
              <w:rPr>
                <w:sz w:val="16"/>
                <w:szCs w:val="16"/>
              </w:rPr>
            </w:pPr>
            <m:oMath>
              <m:r>
                <w:rPr>
                  <w:rFonts w:ascii="Cambria Math" w:hAnsi="Cambria Math"/>
                  <w:sz w:val="16"/>
                  <w:szCs w:val="16"/>
                </w:rPr>
                <m:t>t</m:t>
              </m:r>
            </m:oMath>
            <w:r w:rsidRPr="003A1E1C">
              <w:rPr>
                <w:sz w:val="16"/>
                <w:szCs w:val="16"/>
              </w:rPr>
              <w:t>≥12 h</w:t>
            </w:r>
          </w:p>
        </w:tc>
        <w:tc>
          <w:tcPr>
            <w:tcW w:w="680" w:type="dxa"/>
            <w:vAlign w:val="center"/>
          </w:tcPr>
          <w:p w14:paraId="112763DB" w14:textId="1E09CCF6" w:rsidR="003877EF" w:rsidRPr="003877EF" w:rsidRDefault="003877EF" w:rsidP="003877EF">
            <w:pPr>
              <w:pStyle w:val="BodyText"/>
              <w:ind w:firstLine="0"/>
              <w:rPr>
                <w:sz w:val="16"/>
                <w:szCs w:val="16"/>
              </w:rPr>
            </w:pPr>
            <w:r w:rsidRPr="003A1E1C">
              <w:rPr>
                <w:color w:val="000000"/>
                <w:sz w:val="16"/>
                <w:szCs w:val="16"/>
              </w:rPr>
              <w:t>-</w:t>
            </w:r>
          </w:p>
        </w:tc>
        <w:tc>
          <w:tcPr>
            <w:tcW w:w="624" w:type="dxa"/>
            <w:vAlign w:val="center"/>
          </w:tcPr>
          <w:p w14:paraId="2F2E7FC8" w14:textId="64571639" w:rsidR="003877EF" w:rsidRPr="003877EF" w:rsidRDefault="003F0D67" w:rsidP="003877EF">
            <w:pPr>
              <w:pStyle w:val="BodyText"/>
              <w:ind w:firstLine="0"/>
              <w:rPr>
                <w:sz w:val="16"/>
                <w:szCs w:val="16"/>
              </w:rPr>
            </w:pPr>
            <w:r>
              <w:rPr>
                <w:color w:val="000000"/>
                <w:sz w:val="16"/>
                <w:szCs w:val="16"/>
              </w:rPr>
              <w:t>10</w:t>
            </w:r>
          </w:p>
        </w:tc>
        <w:tc>
          <w:tcPr>
            <w:tcW w:w="624" w:type="dxa"/>
            <w:vAlign w:val="center"/>
          </w:tcPr>
          <w:p w14:paraId="25E8F07A" w14:textId="607F023D" w:rsidR="003877EF" w:rsidRPr="003877EF" w:rsidRDefault="003877EF" w:rsidP="003877EF">
            <w:pPr>
              <w:pStyle w:val="BodyText"/>
              <w:ind w:firstLine="0"/>
              <w:rPr>
                <w:sz w:val="16"/>
                <w:szCs w:val="16"/>
              </w:rPr>
            </w:pPr>
            <w:r w:rsidRPr="003A1E1C">
              <w:rPr>
                <w:color w:val="000000"/>
                <w:sz w:val="16"/>
                <w:szCs w:val="16"/>
              </w:rPr>
              <w:t>-</w:t>
            </w:r>
          </w:p>
        </w:tc>
        <w:tc>
          <w:tcPr>
            <w:tcW w:w="737" w:type="dxa"/>
            <w:vAlign w:val="center"/>
          </w:tcPr>
          <w:p w14:paraId="745E4378" w14:textId="4748651C" w:rsidR="003877EF" w:rsidRPr="003877EF" w:rsidRDefault="003877EF" w:rsidP="003877EF">
            <w:pPr>
              <w:pStyle w:val="BodyText"/>
              <w:ind w:firstLine="0"/>
              <w:rPr>
                <w:sz w:val="16"/>
                <w:szCs w:val="16"/>
              </w:rPr>
            </w:pPr>
            <w:r w:rsidRPr="003A1E1C">
              <w:rPr>
                <w:sz w:val="16"/>
                <w:szCs w:val="16"/>
              </w:rPr>
              <w:t>3.</w:t>
            </w:r>
            <w:r>
              <w:rPr>
                <w:sz w:val="16"/>
                <w:szCs w:val="16"/>
              </w:rPr>
              <w:t>5</w:t>
            </w:r>
            <w:r w:rsidRPr="003A1E1C">
              <w:rPr>
                <w:sz w:val="16"/>
                <w:szCs w:val="16"/>
              </w:rPr>
              <w:t>E-14</w:t>
            </w:r>
          </w:p>
        </w:tc>
        <w:tc>
          <w:tcPr>
            <w:tcW w:w="680" w:type="dxa"/>
            <w:tcBorders>
              <w:right w:val="single" w:sz="4" w:space="0" w:color="auto"/>
            </w:tcBorders>
            <w:vAlign w:val="center"/>
          </w:tcPr>
          <w:p w14:paraId="5F4F59EA" w14:textId="75357BF0" w:rsidR="003877EF" w:rsidRPr="003877EF" w:rsidRDefault="003877EF" w:rsidP="003877EF">
            <w:pPr>
              <w:pStyle w:val="BodyText"/>
              <w:ind w:firstLine="0"/>
              <w:rPr>
                <w:sz w:val="16"/>
                <w:szCs w:val="16"/>
              </w:rPr>
            </w:pPr>
            <w:r w:rsidRPr="003A1E1C">
              <w:rPr>
                <w:color w:val="FF0000"/>
                <w:sz w:val="16"/>
                <w:szCs w:val="16"/>
              </w:rPr>
              <w:t>3.</w:t>
            </w:r>
            <w:r w:rsidR="004534DA">
              <w:rPr>
                <w:color w:val="FF0000"/>
                <w:sz w:val="16"/>
                <w:szCs w:val="16"/>
              </w:rPr>
              <w:t>9</w:t>
            </w:r>
            <w:r w:rsidRPr="003A1E1C">
              <w:rPr>
                <w:color w:val="FF0000"/>
                <w:sz w:val="16"/>
                <w:szCs w:val="16"/>
              </w:rPr>
              <w:t>E15</w:t>
            </w:r>
          </w:p>
        </w:tc>
      </w:tr>
      <w:tr w:rsidR="00690272" w14:paraId="1DA58476" w14:textId="77777777" w:rsidTr="003A1E1C">
        <w:trPr>
          <w:jc w:val="center"/>
        </w:trPr>
        <w:tc>
          <w:tcPr>
            <w:tcW w:w="567" w:type="dxa"/>
            <w:tcBorders>
              <w:left w:val="single" w:sz="4" w:space="0" w:color="auto"/>
            </w:tcBorders>
            <w:vAlign w:val="center"/>
          </w:tcPr>
          <w:p w14:paraId="23E0CD3F" w14:textId="7E2790D6" w:rsidR="003877EF" w:rsidRPr="001A21DC" w:rsidRDefault="003877EF" w:rsidP="003877EF">
            <w:pPr>
              <w:pStyle w:val="BodyText"/>
              <w:ind w:firstLine="0"/>
              <w:rPr>
                <w:sz w:val="16"/>
                <w:szCs w:val="16"/>
              </w:rPr>
            </w:pPr>
            <w:r w:rsidRPr="003A1E1C">
              <w:rPr>
                <w:color w:val="000000"/>
                <w:sz w:val="16"/>
                <w:szCs w:val="16"/>
              </w:rPr>
              <w:t>2D</w:t>
            </w:r>
          </w:p>
        </w:tc>
        <w:tc>
          <w:tcPr>
            <w:tcW w:w="709" w:type="dxa"/>
            <w:vAlign w:val="center"/>
          </w:tcPr>
          <w:p w14:paraId="022EB2CC" w14:textId="4EEC5030" w:rsidR="003877EF" w:rsidRPr="001A21DC" w:rsidRDefault="003877EF" w:rsidP="003877EF">
            <w:pPr>
              <w:pStyle w:val="BodyText"/>
              <w:ind w:firstLine="0"/>
              <w:rPr>
                <w:sz w:val="16"/>
                <w:szCs w:val="16"/>
              </w:rPr>
            </w:pPr>
            <w:r w:rsidRPr="003A1E1C">
              <w:rPr>
                <w:color w:val="000000"/>
                <w:sz w:val="16"/>
                <w:szCs w:val="16"/>
              </w:rPr>
              <w:t>-</w:t>
            </w:r>
          </w:p>
        </w:tc>
        <w:tc>
          <w:tcPr>
            <w:tcW w:w="680" w:type="dxa"/>
            <w:vAlign w:val="center"/>
          </w:tcPr>
          <w:p w14:paraId="548DF3DB" w14:textId="5ACD1162" w:rsidR="003877EF" w:rsidRPr="001A21DC" w:rsidRDefault="003877EF" w:rsidP="003877EF">
            <w:pPr>
              <w:pStyle w:val="BodyText"/>
              <w:ind w:firstLine="0"/>
              <w:rPr>
                <w:sz w:val="16"/>
                <w:szCs w:val="16"/>
              </w:rPr>
            </w:pPr>
            <w:r w:rsidRPr="003A1E1C">
              <w:rPr>
                <w:color w:val="000000"/>
                <w:sz w:val="16"/>
                <w:szCs w:val="16"/>
              </w:rPr>
              <w:t>10%</w:t>
            </w:r>
          </w:p>
        </w:tc>
        <w:tc>
          <w:tcPr>
            <w:tcW w:w="624" w:type="dxa"/>
            <w:vAlign w:val="center"/>
          </w:tcPr>
          <w:p w14:paraId="64D0F7CB" w14:textId="0820D58A" w:rsidR="003877EF" w:rsidRPr="001A21DC" w:rsidRDefault="003877EF" w:rsidP="003877EF">
            <w:pPr>
              <w:pStyle w:val="BodyText"/>
              <w:ind w:firstLine="0"/>
              <w:rPr>
                <w:sz w:val="16"/>
                <w:szCs w:val="16"/>
              </w:rPr>
            </w:pPr>
            <w:r w:rsidRPr="003A1E1C">
              <w:rPr>
                <w:color w:val="000000"/>
                <w:sz w:val="16"/>
                <w:szCs w:val="16"/>
              </w:rPr>
              <w:t>-</w:t>
            </w:r>
          </w:p>
        </w:tc>
        <w:tc>
          <w:tcPr>
            <w:tcW w:w="624" w:type="dxa"/>
            <w:vAlign w:val="center"/>
          </w:tcPr>
          <w:p w14:paraId="3FBF126B" w14:textId="28086F48" w:rsidR="003877EF" w:rsidRPr="001A21DC" w:rsidRDefault="00FB1489" w:rsidP="003877EF">
            <w:pPr>
              <w:pStyle w:val="BodyText"/>
              <w:ind w:firstLine="0"/>
              <w:rPr>
                <w:sz w:val="16"/>
                <w:szCs w:val="16"/>
              </w:rPr>
            </w:pPr>
            <w:r>
              <w:rPr>
                <w:color w:val="000000"/>
                <w:sz w:val="16"/>
                <w:szCs w:val="16"/>
              </w:rPr>
              <w:t>1000</w:t>
            </w:r>
          </w:p>
        </w:tc>
        <w:tc>
          <w:tcPr>
            <w:tcW w:w="737" w:type="dxa"/>
            <w:vAlign w:val="center"/>
          </w:tcPr>
          <w:p w14:paraId="20326D63" w14:textId="38E8BB69" w:rsidR="003877EF" w:rsidRPr="001A21DC" w:rsidRDefault="003877EF" w:rsidP="003877EF">
            <w:pPr>
              <w:pStyle w:val="BodyText"/>
              <w:ind w:firstLine="0"/>
              <w:rPr>
                <w:sz w:val="16"/>
                <w:szCs w:val="16"/>
              </w:rPr>
            </w:pPr>
            <w:r>
              <w:rPr>
                <w:sz w:val="16"/>
                <w:szCs w:val="16"/>
              </w:rPr>
              <w:t>5.0</w:t>
            </w:r>
            <w:r w:rsidRPr="003A1E1C">
              <w:rPr>
                <w:sz w:val="16"/>
                <w:szCs w:val="16"/>
              </w:rPr>
              <w:t>E-15</w:t>
            </w:r>
          </w:p>
        </w:tc>
        <w:tc>
          <w:tcPr>
            <w:tcW w:w="680" w:type="dxa"/>
            <w:tcBorders>
              <w:right w:val="single" w:sz="4" w:space="0" w:color="auto"/>
            </w:tcBorders>
            <w:vAlign w:val="center"/>
          </w:tcPr>
          <w:p w14:paraId="499B32A0" w14:textId="403FC354" w:rsidR="003877EF" w:rsidRPr="001A21DC" w:rsidRDefault="003877EF" w:rsidP="003877EF">
            <w:pPr>
              <w:pStyle w:val="BodyText"/>
              <w:ind w:firstLine="0"/>
              <w:rPr>
                <w:sz w:val="16"/>
                <w:szCs w:val="16"/>
              </w:rPr>
            </w:pPr>
            <w:r w:rsidRPr="003A1E1C">
              <w:rPr>
                <w:color w:val="FF0000"/>
                <w:sz w:val="16"/>
                <w:szCs w:val="16"/>
              </w:rPr>
              <w:t>1.4E15</w:t>
            </w:r>
          </w:p>
        </w:tc>
        <w:tc>
          <w:tcPr>
            <w:tcW w:w="567" w:type="dxa"/>
            <w:tcBorders>
              <w:left w:val="single" w:sz="4" w:space="0" w:color="auto"/>
            </w:tcBorders>
            <w:vAlign w:val="center"/>
          </w:tcPr>
          <w:p w14:paraId="61F1FEC9" w14:textId="7511BA60" w:rsidR="003877EF" w:rsidRPr="003877EF" w:rsidRDefault="003877EF" w:rsidP="003877EF">
            <w:pPr>
              <w:pStyle w:val="BodyText"/>
              <w:ind w:firstLine="0"/>
              <w:rPr>
                <w:sz w:val="16"/>
                <w:szCs w:val="16"/>
              </w:rPr>
            </w:pPr>
            <w:r w:rsidRPr="003A1E1C">
              <w:rPr>
                <w:color w:val="000000"/>
                <w:sz w:val="16"/>
                <w:szCs w:val="16"/>
              </w:rPr>
              <w:t>3H</w:t>
            </w:r>
          </w:p>
        </w:tc>
        <w:tc>
          <w:tcPr>
            <w:tcW w:w="709" w:type="dxa"/>
            <w:vAlign w:val="center"/>
          </w:tcPr>
          <w:p w14:paraId="1BC85CFB" w14:textId="4427E711" w:rsidR="003877EF" w:rsidRPr="003877EF" w:rsidRDefault="003877EF" w:rsidP="003877EF">
            <w:pPr>
              <w:pStyle w:val="BodyText"/>
              <w:ind w:firstLine="0"/>
              <w:rPr>
                <w:sz w:val="16"/>
                <w:szCs w:val="16"/>
              </w:rPr>
            </w:pPr>
            <w:r w:rsidRPr="003A1E1C">
              <w:rPr>
                <w:color w:val="000000"/>
                <w:sz w:val="16"/>
                <w:szCs w:val="16"/>
              </w:rPr>
              <w:t>-</w:t>
            </w:r>
          </w:p>
        </w:tc>
        <w:tc>
          <w:tcPr>
            <w:tcW w:w="680" w:type="dxa"/>
            <w:vAlign w:val="center"/>
          </w:tcPr>
          <w:p w14:paraId="70A3DB9A" w14:textId="49D84A1F" w:rsidR="003877EF" w:rsidRPr="003877EF" w:rsidRDefault="003877EF" w:rsidP="003877EF">
            <w:pPr>
              <w:pStyle w:val="BodyText"/>
              <w:ind w:firstLine="0"/>
              <w:rPr>
                <w:sz w:val="16"/>
                <w:szCs w:val="16"/>
              </w:rPr>
            </w:pPr>
            <w:r w:rsidRPr="003A1E1C">
              <w:rPr>
                <w:color w:val="000000"/>
                <w:sz w:val="16"/>
                <w:szCs w:val="16"/>
              </w:rPr>
              <w:t>-</w:t>
            </w:r>
          </w:p>
        </w:tc>
        <w:tc>
          <w:tcPr>
            <w:tcW w:w="624" w:type="dxa"/>
            <w:vAlign w:val="center"/>
          </w:tcPr>
          <w:p w14:paraId="592C9BA7" w14:textId="44DF7AB4" w:rsidR="003877EF" w:rsidRPr="003877EF" w:rsidRDefault="00690272" w:rsidP="003877EF">
            <w:pPr>
              <w:pStyle w:val="BodyText"/>
              <w:ind w:firstLine="0"/>
              <w:rPr>
                <w:sz w:val="16"/>
                <w:szCs w:val="16"/>
              </w:rPr>
            </w:pPr>
            <w:r>
              <w:rPr>
                <w:color w:val="000000"/>
                <w:sz w:val="16"/>
                <w:szCs w:val="16"/>
              </w:rPr>
              <w:t>1</w:t>
            </w:r>
          </w:p>
        </w:tc>
        <w:tc>
          <w:tcPr>
            <w:tcW w:w="624" w:type="dxa"/>
            <w:vAlign w:val="center"/>
          </w:tcPr>
          <w:p w14:paraId="1F5C477D" w14:textId="692A0F12" w:rsidR="003877EF" w:rsidRPr="003877EF" w:rsidRDefault="003877EF" w:rsidP="003877EF">
            <w:pPr>
              <w:pStyle w:val="BodyText"/>
              <w:ind w:firstLine="0"/>
              <w:rPr>
                <w:sz w:val="16"/>
                <w:szCs w:val="16"/>
              </w:rPr>
            </w:pPr>
            <w:r w:rsidRPr="003A1E1C">
              <w:rPr>
                <w:color w:val="000000"/>
                <w:sz w:val="16"/>
                <w:szCs w:val="16"/>
              </w:rPr>
              <w:t>-</w:t>
            </w:r>
          </w:p>
        </w:tc>
        <w:tc>
          <w:tcPr>
            <w:tcW w:w="737" w:type="dxa"/>
            <w:vAlign w:val="center"/>
          </w:tcPr>
          <w:p w14:paraId="322F3684" w14:textId="7E437E37" w:rsidR="003877EF" w:rsidRPr="003877EF" w:rsidRDefault="00C10652" w:rsidP="003877EF">
            <w:pPr>
              <w:pStyle w:val="BodyText"/>
              <w:ind w:firstLine="0"/>
              <w:rPr>
                <w:sz w:val="16"/>
                <w:szCs w:val="16"/>
              </w:rPr>
            </w:pPr>
            <w:r>
              <w:rPr>
                <w:sz w:val="16"/>
                <w:szCs w:val="16"/>
              </w:rPr>
              <w:t>1.0</w:t>
            </w:r>
            <w:r w:rsidR="003877EF" w:rsidRPr="003A1E1C">
              <w:rPr>
                <w:sz w:val="16"/>
                <w:szCs w:val="16"/>
              </w:rPr>
              <w:t>E-1</w:t>
            </w:r>
            <w:r>
              <w:rPr>
                <w:sz w:val="16"/>
                <w:szCs w:val="16"/>
              </w:rPr>
              <w:t>4</w:t>
            </w:r>
          </w:p>
        </w:tc>
        <w:tc>
          <w:tcPr>
            <w:tcW w:w="680" w:type="dxa"/>
            <w:tcBorders>
              <w:right w:val="single" w:sz="4" w:space="0" w:color="auto"/>
            </w:tcBorders>
            <w:vAlign w:val="center"/>
          </w:tcPr>
          <w:p w14:paraId="584B30F5" w14:textId="0C4A6CC6" w:rsidR="003877EF" w:rsidRPr="003877EF" w:rsidRDefault="003877EF" w:rsidP="003877EF">
            <w:pPr>
              <w:pStyle w:val="BodyText"/>
              <w:ind w:firstLine="0"/>
              <w:rPr>
                <w:sz w:val="16"/>
                <w:szCs w:val="16"/>
              </w:rPr>
            </w:pPr>
            <w:r w:rsidRPr="003A1E1C">
              <w:rPr>
                <w:color w:val="FF0000"/>
                <w:sz w:val="16"/>
                <w:szCs w:val="16"/>
              </w:rPr>
              <w:t>6.</w:t>
            </w:r>
            <w:r w:rsidR="004534DA">
              <w:rPr>
                <w:color w:val="FF0000"/>
                <w:sz w:val="16"/>
                <w:szCs w:val="16"/>
              </w:rPr>
              <w:t>7</w:t>
            </w:r>
            <w:r w:rsidRPr="003A1E1C">
              <w:rPr>
                <w:color w:val="FF0000"/>
                <w:sz w:val="16"/>
                <w:szCs w:val="16"/>
              </w:rPr>
              <w:t>E14</w:t>
            </w:r>
          </w:p>
        </w:tc>
      </w:tr>
      <w:tr w:rsidR="00690272" w14:paraId="17267D53" w14:textId="77777777" w:rsidTr="003A1E1C">
        <w:trPr>
          <w:jc w:val="center"/>
        </w:trPr>
        <w:tc>
          <w:tcPr>
            <w:tcW w:w="567" w:type="dxa"/>
            <w:tcBorders>
              <w:left w:val="single" w:sz="4" w:space="0" w:color="auto"/>
            </w:tcBorders>
            <w:vAlign w:val="center"/>
          </w:tcPr>
          <w:p w14:paraId="2E33C76A" w14:textId="49CDDA29" w:rsidR="003877EF" w:rsidRPr="001A21DC" w:rsidRDefault="003877EF" w:rsidP="003877EF">
            <w:pPr>
              <w:pStyle w:val="BodyText"/>
              <w:ind w:firstLine="0"/>
              <w:rPr>
                <w:sz w:val="16"/>
                <w:szCs w:val="16"/>
              </w:rPr>
            </w:pPr>
            <w:r w:rsidRPr="003A1E1C">
              <w:rPr>
                <w:color w:val="000000"/>
                <w:sz w:val="16"/>
                <w:szCs w:val="16"/>
              </w:rPr>
              <w:t>2E</w:t>
            </w:r>
          </w:p>
        </w:tc>
        <w:tc>
          <w:tcPr>
            <w:tcW w:w="709" w:type="dxa"/>
            <w:vAlign w:val="center"/>
          </w:tcPr>
          <w:p w14:paraId="13760B8C" w14:textId="79372DA9" w:rsidR="003877EF" w:rsidRPr="001A21DC" w:rsidRDefault="003877EF" w:rsidP="003877EF">
            <w:pPr>
              <w:pStyle w:val="BodyText"/>
              <w:ind w:firstLine="0"/>
              <w:rPr>
                <w:sz w:val="16"/>
                <w:szCs w:val="16"/>
              </w:rPr>
            </w:pPr>
            <w:r w:rsidRPr="003A1E1C">
              <w:rPr>
                <w:color w:val="000000"/>
                <w:sz w:val="16"/>
                <w:szCs w:val="16"/>
              </w:rPr>
              <w:t>-</w:t>
            </w:r>
          </w:p>
        </w:tc>
        <w:tc>
          <w:tcPr>
            <w:tcW w:w="680" w:type="dxa"/>
            <w:vAlign w:val="center"/>
          </w:tcPr>
          <w:p w14:paraId="32A5ABC3" w14:textId="54DF9345" w:rsidR="003877EF" w:rsidRPr="001A21DC" w:rsidRDefault="003877EF" w:rsidP="003877EF">
            <w:pPr>
              <w:pStyle w:val="BodyText"/>
              <w:ind w:firstLine="0"/>
              <w:rPr>
                <w:sz w:val="16"/>
                <w:szCs w:val="16"/>
              </w:rPr>
            </w:pPr>
            <w:r w:rsidRPr="003A1E1C">
              <w:rPr>
                <w:color w:val="000000"/>
                <w:sz w:val="16"/>
                <w:szCs w:val="16"/>
              </w:rPr>
              <w:t>-</w:t>
            </w:r>
          </w:p>
        </w:tc>
        <w:tc>
          <w:tcPr>
            <w:tcW w:w="624" w:type="dxa"/>
            <w:vAlign w:val="center"/>
          </w:tcPr>
          <w:p w14:paraId="18BB30A2" w14:textId="2021A70B" w:rsidR="003877EF" w:rsidRPr="001A21DC" w:rsidRDefault="003877EF" w:rsidP="003877EF">
            <w:pPr>
              <w:pStyle w:val="BodyText"/>
              <w:ind w:firstLine="0"/>
              <w:rPr>
                <w:sz w:val="16"/>
                <w:szCs w:val="16"/>
              </w:rPr>
            </w:pPr>
            <w:r w:rsidRPr="003A1E1C">
              <w:rPr>
                <w:color w:val="000000"/>
                <w:sz w:val="16"/>
                <w:szCs w:val="16"/>
              </w:rPr>
              <w:t>-</w:t>
            </w:r>
          </w:p>
        </w:tc>
        <w:tc>
          <w:tcPr>
            <w:tcW w:w="624" w:type="dxa"/>
            <w:vAlign w:val="center"/>
          </w:tcPr>
          <w:p w14:paraId="604573B1" w14:textId="50384A56" w:rsidR="003877EF" w:rsidRPr="001A21DC" w:rsidRDefault="00FB1489" w:rsidP="003877EF">
            <w:pPr>
              <w:pStyle w:val="BodyText"/>
              <w:ind w:firstLine="0"/>
              <w:rPr>
                <w:sz w:val="16"/>
                <w:szCs w:val="16"/>
              </w:rPr>
            </w:pPr>
            <w:r>
              <w:rPr>
                <w:color w:val="000000"/>
                <w:sz w:val="16"/>
                <w:szCs w:val="16"/>
              </w:rPr>
              <w:t>100</w:t>
            </w:r>
          </w:p>
        </w:tc>
        <w:tc>
          <w:tcPr>
            <w:tcW w:w="737" w:type="dxa"/>
            <w:vAlign w:val="center"/>
          </w:tcPr>
          <w:p w14:paraId="63743A05" w14:textId="7C9F4F6A" w:rsidR="003877EF" w:rsidRPr="001A21DC" w:rsidRDefault="003877EF" w:rsidP="003877EF">
            <w:pPr>
              <w:pStyle w:val="BodyText"/>
              <w:ind w:firstLine="0"/>
              <w:rPr>
                <w:sz w:val="16"/>
                <w:szCs w:val="16"/>
              </w:rPr>
            </w:pPr>
            <w:r>
              <w:rPr>
                <w:sz w:val="16"/>
                <w:szCs w:val="16"/>
              </w:rPr>
              <w:t>5.0</w:t>
            </w:r>
            <w:r w:rsidRPr="003A1E1C">
              <w:rPr>
                <w:sz w:val="16"/>
                <w:szCs w:val="16"/>
              </w:rPr>
              <w:t>E-15</w:t>
            </w:r>
          </w:p>
        </w:tc>
        <w:tc>
          <w:tcPr>
            <w:tcW w:w="680" w:type="dxa"/>
            <w:tcBorders>
              <w:right w:val="single" w:sz="4" w:space="0" w:color="auto"/>
            </w:tcBorders>
            <w:vAlign w:val="center"/>
          </w:tcPr>
          <w:p w14:paraId="7CE2C128" w14:textId="62AA884B" w:rsidR="003877EF" w:rsidRPr="001A21DC" w:rsidRDefault="003877EF" w:rsidP="003877EF">
            <w:pPr>
              <w:pStyle w:val="BodyText"/>
              <w:ind w:firstLine="0"/>
              <w:rPr>
                <w:sz w:val="16"/>
                <w:szCs w:val="16"/>
              </w:rPr>
            </w:pPr>
            <w:r w:rsidRPr="003A1E1C">
              <w:rPr>
                <w:color w:val="FF0000"/>
                <w:sz w:val="16"/>
                <w:szCs w:val="16"/>
              </w:rPr>
              <w:t>7.</w:t>
            </w:r>
            <w:r>
              <w:rPr>
                <w:color w:val="FF0000"/>
                <w:sz w:val="16"/>
                <w:szCs w:val="16"/>
              </w:rPr>
              <w:t>2</w:t>
            </w:r>
            <w:r w:rsidRPr="003A1E1C">
              <w:rPr>
                <w:color w:val="FF0000"/>
                <w:sz w:val="16"/>
                <w:szCs w:val="16"/>
              </w:rPr>
              <w:t>E14</w:t>
            </w:r>
          </w:p>
        </w:tc>
        <w:tc>
          <w:tcPr>
            <w:tcW w:w="567" w:type="dxa"/>
            <w:tcBorders>
              <w:left w:val="single" w:sz="4" w:space="0" w:color="auto"/>
            </w:tcBorders>
            <w:vAlign w:val="center"/>
          </w:tcPr>
          <w:p w14:paraId="22191897" w14:textId="2615DA51" w:rsidR="003877EF" w:rsidRPr="003877EF" w:rsidRDefault="003877EF" w:rsidP="003877EF">
            <w:pPr>
              <w:pStyle w:val="BodyText"/>
              <w:ind w:firstLine="0"/>
              <w:rPr>
                <w:sz w:val="16"/>
                <w:szCs w:val="16"/>
              </w:rPr>
            </w:pPr>
            <w:r w:rsidRPr="003A1E1C">
              <w:rPr>
                <w:color w:val="000000"/>
                <w:sz w:val="16"/>
                <w:szCs w:val="16"/>
              </w:rPr>
              <w:t>3K</w:t>
            </w:r>
          </w:p>
        </w:tc>
        <w:tc>
          <w:tcPr>
            <w:tcW w:w="709" w:type="dxa"/>
            <w:vAlign w:val="center"/>
          </w:tcPr>
          <w:p w14:paraId="37D1127A" w14:textId="2F65236D" w:rsidR="003877EF" w:rsidRPr="003877EF" w:rsidRDefault="003877EF" w:rsidP="003877EF">
            <w:pPr>
              <w:pStyle w:val="BodyText"/>
              <w:ind w:firstLine="0"/>
              <w:rPr>
                <w:sz w:val="16"/>
                <w:szCs w:val="16"/>
              </w:rPr>
            </w:pPr>
            <w:r w:rsidRPr="003A1E1C">
              <w:rPr>
                <w:color w:val="000000"/>
                <w:sz w:val="16"/>
                <w:szCs w:val="16"/>
              </w:rPr>
              <w:t>-</w:t>
            </w:r>
          </w:p>
        </w:tc>
        <w:tc>
          <w:tcPr>
            <w:tcW w:w="680" w:type="dxa"/>
            <w:vAlign w:val="center"/>
          </w:tcPr>
          <w:p w14:paraId="6ABE9FF2" w14:textId="560CE9CF" w:rsidR="003877EF" w:rsidRPr="003877EF" w:rsidRDefault="003877EF" w:rsidP="003877EF">
            <w:pPr>
              <w:pStyle w:val="BodyText"/>
              <w:ind w:firstLine="0"/>
              <w:rPr>
                <w:sz w:val="16"/>
                <w:szCs w:val="16"/>
              </w:rPr>
            </w:pPr>
            <w:r w:rsidRPr="003A1E1C">
              <w:rPr>
                <w:color w:val="000000"/>
                <w:sz w:val="16"/>
                <w:szCs w:val="16"/>
              </w:rPr>
              <w:t>10%</w:t>
            </w:r>
          </w:p>
        </w:tc>
        <w:tc>
          <w:tcPr>
            <w:tcW w:w="624" w:type="dxa"/>
            <w:vAlign w:val="center"/>
          </w:tcPr>
          <w:p w14:paraId="2E0AE7A6" w14:textId="2918AD0E" w:rsidR="003877EF" w:rsidRPr="003877EF" w:rsidRDefault="00690272" w:rsidP="003877EF">
            <w:pPr>
              <w:pStyle w:val="BodyText"/>
              <w:ind w:firstLine="0"/>
              <w:rPr>
                <w:sz w:val="16"/>
                <w:szCs w:val="16"/>
              </w:rPr>
            </w:pPr>
            <w:r>
              <w:rPr>
                <w:color w:val="000000"/>
                <w:sz w:val="16"/>
                <w:szCs w:val="16"/>
              </w:rPr>
              <w:t>1</w:t>
            </w:r>
          </w:p>
        </w:tc>
        <w:tc>
          <w:tcPr>
            <w:tcW w:w="624" w:type="dxa"/>
            <w:vAlign w:val="center"/>
          </w:tcPr>
          <w:p w14:paraId="736591E2" w14:textId="6C06C7E4" w:rsidR="003877EF" w:rsidRPr="003877EF" w:rsidRDefault="003877EF" w:rsidP="003877EF">
            <w:pPr>
              <w:pStyle w:val="BodyText"/>
              <w:ind w:firstLine="0"/>
              <w:rPr>
                <w:sz w:val="16"/>
                <w:szCs w:val="16"/>
              </w:rPr>
            </w:pPr>
            <w:r w:rsidRPr="003A1E1C">
              <w:rPr>
                <w:color w:val="000000"/>
                <w:sz w:val="16"/>
                <w:szCs w:val="16"/>
              </w:rPr>
              <w:t>-</w:t>
            </w:r>
          </w:p>
        </w:tc>
        <w:tc>
          <w:tcPr>
            <w:tcW w:w="737" w:type="dxa"/>
            <w:vAlign w:val="center"/>
          </w:tcPr>
          <w:p w14:paraId="1A9A8F5A" w14:textId="1F65761A" w:rsidR="003877EF" w:rsidRPr="003877EF" w:rsidRDefault="00C10652" w:rsidP="003877EF">
            <w:pPr>
              <w:pStyle w:val="BodyText"/>
              <w:ind w:firstLine="0"/>
              <w:rPr>
                <w:sz w:val="16"/>
                <w:szCs w:val="16"/>
              </w:rPr>
            </w:pPr>
            <w:r>
              <w:rPr>
                <w:sz w:val="16"/>
                <w:szCs w:val="16"/>
              </w:rPr>
              <w:t>5.0</w:t>
            </w:r>
            <w:r w:rsidR="003877EF" w:rsidRPr="003A1E1C">
              <w:rPr>
                <w:sz w:val="16"/>
                <w:szCs w:val="16"/>
              </w:rPr>
              <w:t>E-14</w:t>
            </w:r>
          </w:p>
        </w:tc>
        <w:tc>
          <w:tcPr>
            <w:tcW w:w="680" w:type="dxa"/>
            <w:tcBorders>
              <w:right w:val="single" w:sz="4" w:space="0" w:color="auto"/>
            </w:tcBorders>
            <w:vAlign w:val="center"/>
          </w:tcPr>
          <w:p w14:paraId="367A3A1A" w14:textId="5E5E6201" w:rsidR="003877EF" w:rsidRPr="003877EF" w:rsidRDefault="003877EF" w:rsidP="003877EF">
            <w:pPr>
              <w:pStyle w:val="BodyText"/>
              <w:ind w:firstLine="0"/>
              <w:rPr>
                <w:sz w:val="16"/>
                <w:szCs w:val="16"/>
              </w:rPr>
            </w:pPr>
            <w:r w:rsidRPr="003A1E1C">
              <w:rPr>
                <w:color w:val="FF0000"/>
                <w:sz w:val="16"/>
                <w:szCs w:val="16"/>
              </w:rPr>
              <w:t>1.4E15</w:t>
            </w:r>
          </w:p>
        </w:tc>
      </w:tr>
      <w:tr w:rsidR="00690272" w14:paraId="188745DA" w14:textId="77777777" w:rsidTr="003A1E1C">
        <w:trPr>
          <w:jc w:val="center"/>
        </w:trPr>
        <w:tc>
          <w:tcPr>
            <w:tcW w:w="567" w:type="dxa"/>
            <w:tcBorders>
              <w:left w:val="single" w:sz="4" w:space="0" w:color="auto"/>
            </w:tcBorders>
            <w:vAlign w:val="center"/>
          </w:tcPr>
          <w:p w14:paraId="21260912" w14:textId="4BC99BA4" w:rsidR="003877EF" w:rsidRPr="001A21DC" w:rsidRDefault="003877EF" w:rsidP="003877EF">
            <w:pPr>
              <w:pStyle w:val="BodyText"/>
              <w:ind w:firstLine="0"/>
              <w:rPr>
                <w:sz w:val="16"/>
                <w:szCs w:val="16"/>
              </w:rPr>
            </w:pPr>
            <w:r w:rsidRPr="003A1E1C">
              <w:rPr>
                <w:color w:val="000000"/>
                <w:sz w:val="16"/>
                <w:szCs w:val="16"/>
              </w:rPr>
              <w:t>2F</w:t>
            </w:r>
          </w:p>
        </w:tc>
        <w:tc>
          <w:tcPr>
            <w:tcW w:w="709" w:type="dxa"/>
            <w:vAlign w:val="center"/>
          </w:tcPr>
          <w:p w14:paraId="4B36B13C" w14:textId="1064C1E4" w:rsidR="003877EF" w:rsidRPr="001A21DC" w:rsidRDefault="003877EF" w:rsidP="003877EF">
            <w:pPr>
              <w:pStyle w:val="BodyText"/>
              <w:ind w:firstLine="0"/>
              <w:rPr>
                <w:sz w:val="16"/>
                <w:szCs w:val="16"/>
              </w:rPr>
            </w:pPr>
            <w:r w:rsidRPr="003A1E1C">
              <w:rPr>
                <w:color w:val="000000"/>
                <w:sz w:val="16"/>
                <w:szCs w:val="16"/>
              </w:rPr>
              <w:t>-</w:t>
            </w:r>
          </w:p>
        </w:tc>
        <w:tc>
          <w:tcPr>
            <w:tcW w:w="680" w:type="dxa"/>
            <w:vAlign w:val="center"/>
          </w:tcPr>
          <w:p w14:paraId="0C3A1F65" w14:textId="046EFD1B" w:rsidR="003877EF" w:rsidRPr="001A21DC" w:rsidRDefault="003877EF" w:rsidP="003877EF">
            <w:pPr>
              <w:pStyle w:val="BodyText"/>
              <w:ind w:firstLine="0"/>
              <w:rPr>
                <w:sz w:val="16"/>
                <w:szCs w:val="16"/>
              </w:rPr>
            </w:pPr>
            <w:r w:rsidRPr="003A1E1C">
              <w:rPr>
                <w:color w:val="000000"/>
                <w:sz w:val="16"/>
                <w:szCs w:val="16"/>
              </w:rPr>
              <w:t>100%</w:t>
            </w:r>
          </w:p>
        </w:tc>
        <w:tc>
          <w:tcPr>
            <w:tcW w:w="624" w:type="dxa"/>
            <w:vAlign w:val="center"/>
          </w:tcPr>
          <w:p w14:paraId="2CD31BF1" w14:textId="30F0ADE8" w:rsidR="003877EF" w:rsidRPr="001A21DC" w:rsidRDefault="003877EF" w:rsidP="003877EF">
            <w:pPr>
              <w:pStyle w:val="BodyText"/>
              <w:ind w:firstLine="0"/>
              <w:rPr>
                <w:sz w:val="16"/>
                <w:szCs w:val="16"/>
              </w:rPr>
            </w:pPr>
            <w:r w:rsidRPr="003A1E1C">
              <w:rPr>
                <w:sz w:val="16"/>
                <w:szCs w:val="16"/>
              </w:rPr>
              <w:t>-</w:t>
            </w:r>
          </w:p>
        </w:tc>
        <w:tc>
          <w:tcPr>
            <w:tcW w:w="624" w:type="dxa"/>
            <w:vAlign w:val="center"/>
          </w:tcPr>
          <w:p w14:paraId="39E3B382" w14:textId="0333CBD2" w:rsidR="003877EF" w:rsidRPr="001A21DC" w:rsidRDefault="00FB1489" w:rsidP="003877EF">
            <w:pPr>
              <w:pStyle w:val="BodyText"/>
              <w:ind w:firstLine="0"/>
              <w:rPr>
                <w:sz w:val="16"/>
                <w:szCs w:val="16"/>
              </w:rPr>
            </w:pPr>
            <w:r>
              <w:rPr>
                <w:color w:val="000000"/>
                <w:sz w:val="16"/>
                <w:szCs w:val="16"/>
              </w:rPr>
              <w:t>100</w:t>
            </w:r>
          </w:p>
        </w:tc>
        <w:tc>
          <w:tcPr>
            <w:tcW w:w="737" w:type="dxa"/>
            <w:vAlign w:val="center"/>
          </w:tcPr>
          <w:p w14:paraId="6F6A5C96" w14:textId="4984D5AC" w:rsidR="003877EF" w:rsidRPr="001A21DC" w:rsidRDefault="003877EF" w:rsidP="003877EF">
            <w:pPr>
              <w:pStyle w:val="BodyText"/>
              <w:ind w:firstLine="0"/>
              <w:rPr>
                <w:sz w:val="16"/>
                <w:szCs w:val="16"/>
              </w:rPr>
            </w:pPr>
            <w:r>
              <w:rPr>
                <w:sz w:val="16"/>
                <w:szCs w:val="16"/>
              </w:rPr>
              <w:t>5.0</w:t>
            </w:r>
            <w:r w:rsidRPr="003A1E1C">
              <w:rPr>
                <w:sz w:val="16"/>
                <w:szCs w:val="16"/>
              </w:rPr>
              <w:t>E-11</w:t>
            </w:r>
          </w:p>
        </w:tc>
        <w:tc>
          <w:tcPr>
            <w:tcW w:w="680" w:type="dxa"/>
            <w:tcBorders>
              <w:right w:val="single" w:sz="4" w:space="0" w:color="auto"/>
            </w:tcBorders>
            <w:vAlign w:val="center"/>
          </w:tcPr>
          <w:p w14:paraId="5E6EE8F1" w14:textId="4CB2D740" w:rsidR="003877EF" w:rsidRPr="001A21DC" w:rsidRDefault="003877EF" w:rsidP="003877EF">
            <w:pPr>
              <w:pStyle w:val="BodyText"/>
              <w:ind w:firstLine="0"/>
              <w:rPr>
                <w:sz w:val="16"/>
                <w:szCs w:val="16"/>
              </w:rPr>
            </w:pPr>
            <w:r w:rsidRPr="003A1E1C">
              <w:rPr>
                <w:color w:val="FF0000"/>
                <w:sz w:val="16"/>
                <w:szCs w:val="16"/>
              </w:rPr>
              <w:t>9.</w:t>
            </w:r>
            <w:r>
              <w:rPr>
                <w:color w:val="FF0000"/>
                <w:sz w:val="16"/>
                <w:szCs w:val="16"/>
              </w:rPr>
              <w:t>4</w:t>
            </w:r>
            <w:r w:rsidRPr="003A1E1C">
              <w:rPr>
                <w:color w:val="FF0000"/>
                <w:sz w:val="16"/>
                <w:szCs w:val="16"/>
              </w:rPr>
              <w:t>E14</w:t>
            </w:r>
          </w:p>
        </w:tc>
        <w:tc>
          <w:tcPr>
            <w:tcW w:w="567" w:type="dxa"/>
            <w:tcBorders>
              <w:left w:val="single" w:sz="4" w:space="0" w:color="auto"/>
            </w:tcBorders>
            <w:vAlign w:val="center"/>
          </w:tcPr>
          <w:p w14:paraId="5FEB4888" w14:textId="4AA42D5A" w:rsidR="003877EF" w:rsidRPr="003877EF" w:rsidRDefault="003877EF" w:rsidP="003877EF">
            <w:pPr>
              <w:pStyle w:val="BodyText"/>
              <w:ind w:firstLine="0"/>
              <w:rPr>
                <w:sz w:val="16"/>
                <w:szCs w:val="16"/>
              </w:rPr>
            </w:pPr>
            <w:r w:rsidRPr="003A1E1C">
              <w:rPr>
                <w:color w:val="000000"/>
                <w:sz w:val="16"/>
                <w:szCs w:val="16"/>
              </w:rPr>
              <w:t>3L</w:t>
            </w:r>
          </w:p>
        </w:tc>
        <w:tc>
          <w:tcPr>
            <w:tcW w:w="709" w:type="dxa"/>
            <w:vAlign w:val="center"/>
          </w:tcPr>
          <w:p w14:paraId="604A6138" w14:textId="2434124B" w:rsidR="003877EF" w:rsidRPr="003877EF" w:rsidRDefault="003877EF" w:rsidP="003877EF">
            <w:pPr>
              <w:pStyle w:val="BodyText"/>
              <w:ind w:firstLine="0"/>
              <w:rPr>
                <w:sz w:val="16"/>
                <w:szCs w:val="16"/>
              </w:rPr>
            </w:pPr>
            <m:oMath>
              <m:r>
                <w:rPr>
                  <w:rFonts w:ascii="Cambria Math" w:hAnsi="Cambria Math"/>
                  <w:sz w:val="16"/>
                  <w:szCs w:val="16"/>
                </w:rPr>
                <m:t>t</m:t>
              </m:r>
            </m:oMath>
            <w:r w:rsidRPr="003A1E1C">
              <w:rPr>
                <w:sz w:val="16"/>
                <w:szCs w:val="16"/>
              </w:rPr>
              <w:t>≥ 3h</w:t>
            </w:r>
          </w:p>
        </w:tc>
        <w:tc>
          <w:tcPr>
            <w:tcW w:w="680" w:type="dxa"/>
            <w:vAlign w:val="center"/>
          </w:tcPr>
          <w:p w14:paraId="20809D0D" w14:textId="41295A56" w:rsidR="003877EF" w:rsidRPr="003877EF" w:rsidRDefault="003877EF" w:rsidP="003877EF">
            <w:pPr>
              <w:pStyle w:val="BodyText"/>
              <w:ind w:firstLine="0"/>
              <w:rPr>
                <w:sz w:val="16"/>
                <w:szCs w:val="16"/>
              </w:rPr>
            </w:pPr>
            <w:r w:rsidRPr="003A1E1C">
              <w:rPr>
                <w:color w:val="000000"/>
                <w:sz w:val="16"/>
                <w:szCs w:val="16"/>
              </w:rPr>
              <w:t>-</w:t>
            </w:r>
          </w:p>
        </w:tc>
        <w:tc>
          <w:tcPr>
            <w:tcW w:w="624" w:type="dxa"/>
            <w:vAlign w:val="center"/>
          </w:tcPr>
          <w:p w14:paraId="0115D14C" w14:textId="6E5A1A19" w:rsidR="003877EF" w:rsidRPr="003877EF" w:rsidRDefault="00690272" w:rsidP="003877EF">
            <w:pPr>
              <w:pStyle w:val="BodyText"/>
              <w:ind w:firstLine="0"/>
              <w:rPr>
                <w:sz w:val="16"/>
                <w:szCs w:val="16"/>
              </w:rPr>
            </w:pPr>
            <w:r>
              <w:rPr>
                <w:color w:val="000000"/>
                <w:sz w:val="16"/>
                <w:szCs w:val="16"/>
              </w:rPr>
              <w:t>1</w:t>
            </w:r>
          </w:p>
        </w:tc>
        <w:tc>
          <w:tcPr>
            <w:tcW w:w="624" w:type="dxa"/>
            <w:vAlign w:val="center"/>
          </w:tcPr>
          <w:p w14:paraId="3D0AEE5B" w14:textId="1C168DAA" w:rsidR="003877EF" w:rsidRPr="003877EF" w:rsidRDefault="003877EF" w:rsidP="003877EF">
            <w:pPr>
              <w:pStyle w:val="BodyText"/>
              <w:ind w:firstLine="0"/>
              <w:rPr>
                <w:sz w:val="16"/>
                <w:szCs w:val="16"/>
              </w:rPr>
            </w:pPr>
            <w:r w:rsidRPr="003A1E1C">
              <w:rPr>
                <w:color w:val="000000"/>
                <w:sz w:val="16"/>
                <w:szCs w:val="16"/>
              </w:rPr>
              <w:t>-</w:t>
            </w:r>
          </w:p>
        </w:tc>
        <w:tc>
          <w:tcPr>
            <w:tcW w:w="737" w:type="dxa"/>
            <w:vAlign w:val="center"/>
          </w:tcPr>
          <w:p w14:paraId="6766F72B" w14:textId="37EDE4BB" w:rsidR="003877EF" w:rsidRPr="003877EF" w:rsidRDefault="00C10652" w:rsidP="003877EF">
            <w:pPr>
              <w:pStyle w:val="BodyText"/>
              <w:ind w:firstLine="0"/>
              <w:rPr>
                <w:sz w:val="16"/>
                <w:szCs w:val="16"/>
              </w:rPr>
            </w:pPr>
            <w:r>
              <w:rPr>
                <w:sz w:val="16"/>
                <w:szCs w:val="16"/>
              </w:rPr>
              <w:t>5.0</w:t>
            </w:r>
            <w:r w:rsidR="003877EF" w:rsidRPr="003A1E1C">
              <w:rPr>
                <w:sz w:val="16"/>
                <w:szCs w:val="16"/>
              </w:rPr>
              <w:t>E-14</w:t>
            </w:r>
          </w:p>
        </w:tc>
        <w:tc>
          <w:tcPr>
            <w:tcW w:w="680" w:type="dxa"/>
            <w:tcBorders>
              <w:right w:val="single" w:sz="4" w:space="0" w:color="auto"/>
            </w:tcBorders>
            <w:vAlign w:val="center"/>
          </w:tcPr>
          <w:p w14:paraId="74251751" w14:textId="223463BD" w:rsidR="003877EF" w:rsidRPr="003877EF" w:rsidRDefault="003877EF" w:rsidP="003877EF">
            <w:pPr>
              <w:pStyle w:val="BodyText"/>
              <w:ind w:firstLine="0"/>
              <w:rPr>
                <w:sz w:val="16"/>
                <w:szCs w:val="16"/>
              </w:rPr>
            </w:pPr>
            <w:r w:rsidRPr="003A1E1C">
              <w:rPr>
                <w:color w:val="FF0000"/>
                <w:sz w:val="16"/>
                <w:szCs w:val="16"/>
              </w:rPr>
              <w:t>4.2E15</w:t>
            </w:r>
          </w:p>
        </w:tc>
      </w:tr>
      <w:tr w:rsidR="00690272" w14:paraId="58FA4C4D" w14:textId="77777777" w:rsidTr="003A1E1C">
        <w:trPr>
          <w:jc w:val="center"/>
        </w:trPr>
        <w:tc>
          <w:tcPr>
            <w:tcW w:w="567" w:type="dxa"/>
            <w:tcBorders>
              <w:left w:val="single" w:sz="4" w:space="0" w:color="auto"/>
            </w:tcBorders>
            <w:vAlign w:val="center"/>
          </w:tcPr>
          <w:p w14:paraId="1967F0B9" w14:textId="5F4229F8" w:rsidR="003877EF" w:rsidRPr="001A21DC" w:rsidRDefault="003877EF" w:rsidP="003877EF">
            <w:pPr>
              <w:pStyle w:val="BodyText"/>
              <w:ind w:firstLine="0"/>
              <w:rPr>
                <w:sz w:val="16"/>
                <w:szCs w:val="16"/>
              </w:rPr>
            </w:pPr>
            <w:r w:rsidRPr="003A1E1C">
              <w:rPr>
                <w:color w:val="000000"/>
                <w:sz w:val="16"/>
                <w:szCs w:val="16"/>
              </w:rPr>
              <w:t>2G</w:t>
            </w:r>
          </w:p>
        </w:tc>
        <w:tc>
          <w:tcPr>
            <w:tcW w:w="709" w:type="dxa"/>
            <w:vAlign w:val="center"/>
          </w:tcPr>
          <w:p w14:paraId="438AA5C0" w14:textId="0850F693" w:rsidR="003877EF" w:rsidRPr="001A21DC" w:rsidRDefault="003877EF" w:rsidP="003877EF">
            <w:pPr>
              <w:pStyle w:val="BodyText"/>
              <w:ind w:firstLine="0"/>
              <w:rPr>
                <w:sz w:val="16"/>
                <w:szCs w:val="16"/>
              </w:rPr>
            </w:pPr>
            <w:r w:rsidRPr="003A1E1C">
              <w:rPr>
                <w:color w:val="000000"/>
                <w:sz w:val="16"/>
                <w:szCs w:val="16"/>
              </w:rPr>
              <w:t>-</w:t>
            </w:r>
          </w:p>
        </w:tc>
        <w:tc>
          <w:tcPr>
            <w:tcW w:w="680" w:type="dxa"/>
            <w:vAlign w:val="center"/>
          </w:tcPr>
          <w:p w14:paraId="39058799" w14:textId="251012F6" w:rsidR="003877EF" w:rsidRPr="001A21DC" w:rsidRDefault="003877EF" w:rsidP="003877EF">
            <w:pPr>
              <w:pStyle w:val="BodyText"/>
              <w:ind w:firstLine="0"/>
              <w:rPr>
                <w:sz w:val="16"/>
                <w:szCs w:val="16"/>
              </w:rPr>
            </w:pPr>
            <w:r w:rsidRPr="003A1E1C">
              <w:rPr>
                <w:color w:val="000000"/>
                <w:sz w:val="16"/>
                <w:szCs w:val="16"/>
              </w:rPr>
              <w:t>50%</w:t>
            </w:r>
          </w:p>
        </w:tc>
        <w:tc>
          <w:tcPr>
            <w:tcW w:w="624" w:type="dxa"/>
            <w:vAlign w:val="center"/>
          </w:tcPr>
          <w:p w14:paraId="242FD20C" w14:textId="74B42BA0" w:rsidR="003877EF" w:rsidRPr="001A21DC" w:rsidRDefault="003877EF" w:rsidP="003877EF">
            <w:pPr>
              <w:pStyle w:val="BodyText"/>
              <w:ind w:firstLine="0"/>
              <w:rPr>
                <w:sz w:val="16"/>
                <w:szCs w:val="16"/>
              </w:rPr>
            </w:pPr>
            <w:r w:rsidRPr="003A1E1C">
              <w:rPr>
                <w:color w:val="000000"/>
                <w:sz w:val="16"/>
                <w:szCs w:val="16"/>
              </w:rPr>
              <w:t>-</w:t>
            </w:r>
          </w:p>
        </w:tc>
        <w:tc>
          <w:tcPr>
            <w:tcW w:w="624" w:type="dxa"/>
            <w:vAlign w:val="center"/>
          </w:tcPr>
          <w:p w14:paraId="5999EB8D" w14:textId="4A7BF091" w:rsidR="003877EF" w:rsidRPr="001A21DC" w:rsidRDefault="00FB1489" w:rsidP="003877EF">
            <w:pPr>
              <w:pStyle w:val="BodyText"/>
              <w:ind w:firstLine="0"/>
              <w:rPr>
                <w:sz w:val="16"/>
                <w:szCs w:val="16"/>
              </w:rPr>
            </w:pPr>
            <w:r>
              <w:rPr>
                <w:color w:val="000000"/>
                <w:sz w:val="16"/>
                <w:szCs w:val="16"/>
              </w:rPr>
              <w:t>100</w:t>
            </w:r>
          </w:p>
        </w:tc>
        <w:tc>
          <w:tcPr>
            <w:tcW w:w="737" w:type="dxa"/>
            <w:vAlign w:val="center"/>
          </w:tcPr>
          <w:p w14:paraId="00EE6E39" w14:textId="3FAB789F" w:rsidR="003877EF" w:rsidRPr="001A21DC" w:rsidRDefault="003877EF" w:rsidP="003877EF">
            <w:pPr>
              <w:pStyle w:val="BodyText"/>
              <w:ind w:firstLine="0"/>
              <w:rPr>
                <w:sz w:val="16"/>
                <w:szCs w:val="16"/>
              </w:rPr>
            </w:pPr>
            <w:r>
              <w:rPr>
                <w:sz w:val="16"/>
                <w:szCs w:val="16"/>
              </w:rPr>
              <w:t>5.0</w:t>
            </w:r>
            <w:r w:rsidRPr="003A1E1C">
              <w:rPr>
                <w:sz w:val="16"/>
                <w:szCs w:val="16"/>
              </w:rPr>
              <w:t>E-14</w:t>
            </w:r>
          </w:p>
        </w:tc>
        <w:tc>
          <w:tcPr>
            <w:tcW w:w="680" w:type="dxa"/>
            <w:tcBorders>
              <w:right w:val="single" w:sz="4" w:space="0" w:color="auto"/>
            </w:tcBorders>
            <w:vAlign w:val="center"/>
          </w:tcPr>
          <w:p w14:paraId="560726B2" w14:textId="29AC0510" w:rsidR="003877EF" w:rsidRPr="001A21DC" w:rsidRDefault="003877EF" w:rsidP="003877EF">
            <w:pPr>
              <w:pStyle w:val="BodyText"/>
              <w:ind w:firstLine="0"/>
              <w:rPr>
                <w:sz w:val="16"/>
                <w:szCs w:val="16"/>
              </w:rPr>
            </w:pPr>
            <w:r w:rsidRPr="003A1E1C">
              <w:rPr>
                <w:color w:val="FF0000"/>
                <w:sz w:val="16"/>
                <w:szCs w:val="16"/>
              </w:rPr>
              <w:t>9.</w:t>
            </w:r>
            <w:r>
              <w:rPr>
                <w:color w:val="FF0000"/>
                <w:sz w:val="16"/>
                <w:szCs w:val="16"/>
              </w:rPr>
              <w:t>8</w:t>
            </w:r>
            <w:r w:rsidRPr="003A1E1C">
              <w:rPr>
                <w:color w:val="FF0000"/>
                <w:sz w:val="16"/>
                <w:szCs w:val="16"/>
              </w:rPr>
              <w:t>E14</w:t>
            </w:r>
          </w:p>
        </w:tc>
        <w:tc>
          <w:tcPr>
            <w:tcW w:w="567" w:type="dxa"/>
            <w:tcBorders>
              <w:left w:val="single" w:sz="4" w:space="0" w:color="auto"/>
            </w:tcBorders>
            <w:vAlign w:val="center"/>
          </w:tcPr>
          <w:p w14:paraId="6B645806" w14:textId="7195923F" w:rsidR="003877EF" w:rsidRPr="003877EF" w:rsidRDefault="003877EF" w:rsidP="003877EF">
            <w:pPr>
              <w:pStyle w:val="BodyText"/>
              <w:ind w:firstLine="0"/>
              <w:rPr>
                <w:sz w:val="16"/>
                <w:szCs w:val="16"/>
              </w:rPr>
            </w:pPr>
            <w:r w:rsidRPr="003A1E1C">
              <w:rPr>
                <w:color w:val="000000"/>
                <w:sz w:val="16"/>
                <w:szCs w:val="16"/>
              </w:rPr>
              <w:t>3M</w:t>
            </w:r>
          </w:p>
        </w:tc>
        <w:tc>
          <w:tcPr>
            <w:tcW w:w="709" w:type="dxa"/>
            <w:vAlign w:val="center"/>
          </w:tcPr>
          <w:p w14:paraId="0391CFED" w14:textId="00B6D071" w:rsidR="003877EF" w:rsidRPr="003877EF" w:rsidRDefault="003877EF" w:rsidP="003877EF">
            <w:pPr>
              <w:pStyle w:val="BodyText"/>
              <w:ind w:firstLine="0"/>
              <w:rPr>
                <w:sz w:val="16"/>
                <w:szCs w:val="16"/>
              </w:rPr>
            </w:pPr>
            <m:oMath>
              <m:r>
                <w:rPr>
                  <w:rFonts w:ascii="Cambria Math" w:hAnsi="Cambria Math"/>
                  <w:sz w:val="16"/>
                  <w:szCs w:val="16"/>
                </w:rPr>
                <m:t>t</m:t>
              </m:r>
            </m:oMath>
            <w:r w:rsidRPr="003A1E1C">
              <w:rPr>
                <w:sz w:val="16"/>
                <w:szCs w:val="16"/>
              </w:rPr>
              <w:t>≥6 h</w:t>
            </w:r>
          </w:p>
        </w:tc>
        <w:tc>
          <w:tcPr>
            <w:tcW w:w="680" w:type="dxa"/>
            <w:vAlign w:val="center"/>
          </w:tcPr>
          <w:p w14:paraId="0BE26063" w14:textId="4DEF6D48" w:rsidR="003877EF" w:rsidRPr="003877EF" w:rsidRDefault="003877EF" w:rsidP="003877EF">
            <w:pPr>
              <w:pStyle w:val="BodyText"/>
              <w:ind w:firstLine="0"/>
              <w:rPr>
                <w:sz w:val="16"/>
                <w:szCs w:val="16"/>
              </w:rPr>
            </w:pPr>
            <w:r w:rsidRPr="003A1E1C">
              <w:rPr>
                <w:color w:val="000000"/>
                <w:sz w:val="16"/>
                <w:szCs w:val="16"/>
              </w:rPr>
              <w:t>-</w:t>
            </w:r>
          </w:p>
        </w:tc>
        <w:tc>
          <w:tcPr>
            <w:tcW w:w="624" w:type="dxa"/>
            <w:vAlign w:val="center"/>
          </w:tcPr>
          <w:p w14:paraId="06986CAB" w14:textId="69660106" w:rsidR="003877EF" w:rsidRPr="003877EF" w:rsidRDefault="00690272" w:rsidP="003877EF">
            <w:pPr>
              <w:pStyle w:val="BodyText"/>
              <w:ind w:firstLine="0"/>
              <w:rPr>
                <w:sz w:val="16"/>
                <w:szCs w:val="16"/>
              </w:rPr>
            </w:pPr>
            <w:r>
              <w:rPr>
                <w:color w:val="000000"/>
                <w:sz w:val="16"/>
                <w:szCs w:val="16"/>
              </w:rPr>
              <w:t>1</w:t>
            </w:r>
          </w:p>
        </w:tc>
        <w:tc>
          <w:tcPr>
            <w:tcW w:w="624" w:type="dxa"/>
            <w:vAlign w:val="center"/>
          </w:tcPr>
          <w:p w14:paraId="208D802A" w14:textId="3B4301E3" w:rsidR="003877EF" w:rsidRPr="003877EF" w:rsidRDefault="003877EF" w:rsidP="003877EF">
            <w:pPr>
              <w:pStyle w:val="BodyText"/>
              <w:ind w:firstLine="0"/>
              <w:rPr>
                <w:sz w:val="16"/>
                <w:szCs w:val="16"/>
              </w:rPr>
            </w:pPr>
            <w:r w:rsidRPr="003A1E1C">
              <w:rPr>
                <w:color w:val="000000"/>
                <w:sz w:val="16"/>
                <w:szCs w:val="16"/>
              </w:rPr>
              <w:t>-</w:t>
            </w:r>
          </w:p>
        </w:tc>
        <w:tc>
          <w:tcPr>
            <w:tcW w:w="737" w:type="dxa"/>
            <w:vAlign w:val="center"/>
          </w:tcPr>
          <w:p w14:paraId="6F7A8CE4" w14:textId="0ACF3FA6" w:rsidR="003877EF" w:rsidRPr="003877EF" w:rsidRDefault="003877EF" w:rsidP="003877EF">
            <w:pPr>
              <w:pStyle w:val="BodyText"/>
              <w:ind w:firstLine="0"/>
              <w:rPr>
                <w:sz w:val="16"/>
                <w:szCs w:val="16"/>
              </w:rPr>
            </w:pPr>
            <w:r w:rsidRPr="003A1E1C">
              <w:rPr>
                <w:sz w:val="16"/>
                <w:szCs w:val="16"/>
              </w:rPr>
              <w:t>1.5E-13</w:t>
            </w:r>
          </w:p>
        </w:tc>
        <w:tc>
          <w:tcPr>
            <w:tcW w:w="680" w:type="dxa"/>
            <w:tcBorders>
              <w:right w:val="single" w:sz="4" w:space="0" w:color="auto"/>
            </w:tcBorders>
            <w:vAlign w:val="center"/>
          </w:tcPr>
          <w:p w14:paraId="4B7C0B87" w14:textId="13C9FE96" w:rsidR="003877EF" w:rsidRPr="003877EF" w:rsidRDefault="003877EF" w:rsidP="003877EF">
            <w:pPr>
              <w:pStyle w:val="BodyText"/>
              <w:ind w:firstLine="0"/>
              <w:rPr>
                <w:sz w:val="16"/>
                <w:szCs w:val="16"/>
              </w:rPr>
            </w:pPr>
            <w:r w:rsidRPr="003A1E1C">
              <w:rPr>
                <w:color w:val="FF0000"/>
                <w:sz w:val="16"/>
                <w:szCs w:val="16"/>
              </w:rPr>
              <w:t>4.1E15</w:t>
            </w:r>
          </w:p>
        </w:tc>
      </w:tr>
      <w:tr w:rsidR="00690272" w14:paraId="05AFA469" w14:textId="77777777" w:rsidTr="003A1E1C">
        <w:trPr>
          <w:jc w:val="center"/>
        </w:trPr>
        <w:tc>
          <w:tcPr>
            <w:tcW w:w="567" w:type="dxa"/>
            <w:tcBorders>
              <w:left w:val="single" w:sz="4" w:space="0" w:color="auto"/>
            </w:tcBorders>
            <w:vAlign w:val="center"/>
          </w:tcPr>
          <w:p w14:paraId="3F85C580" w14:textId="0E74677B" w:rsidR="003877EF" w:rsidRPr="001A21DC" w:rsidRDefault="003877EF" w:rsidP="003877EF">
            <w:pPr>
              <w:pStyle w:val="BodyText"/>
              <w:ind w:firstLine="0"/>
              <w:rPr>
                <w:sz w:val="16"/>
                <w:szCs w:val="16"/>
              </w:rPr>
            </w:pPr>
            <w:r w:rsidRPr="003A1E1C">
              <w:rPr>
                <w:color w:val="000000"/>
                <w:sz w:val="16"/>
                <w:szCs w:val="16"/>
              </w:rPr>
              <w:t>2H</w:t>
            </w:r>
          </w:p>
        </w:tc>
        <w:tc>
          <w:tcPr>
            <w:tcW w:w="709" w:type="dxa"/>
            <w:vAlign w:val="center"/>
          </w:tcPr>
          <w:p w14:paraId="09F6A2B5" w14:textId="22B29A80" w:rsidR="003877EF" w:rsidRPr="001A21DC" w:rsidRDefault="003877EF" w:rsidP="003877EF">
            <w:pPr>
              <w:pStyle w:val="BodyText"/>
              <w:ind w:firstLine="0"/>
              <w:rPr>
                <w:sz w:val="16"/>
                <w:szCs w:val="16"/>
              </w:rPr>
            </w:pPr>
            <w:r w:rsidRPr="003A1E1C">
              <w:rPr>
                <w:color w:val="000000"/>
                <w:sz w:val="16"/>
                <w:szCs w:val="16"/>
              </w:rPr>
              <w:t>-</w:t>
            </w:r>
          </w:p>
        </w:tc>
        <w:tc>
          <w:tcPr>
            <w:tcW w:w="680" w:type="dxa"/>
            <w:vAlign w:val="center"/>
          </w:tcPr>
          <w:p w14:paraId="55CCC01C" w14:textId="38DDD88C" w:rsidR="003877EF" w:rsidRPr="001A21DC" w:rsidRDefault="003877EF" w:rsidP="003877EF">
            <w:pPr>
              <w:pStyle w:val="BodyText"/>
              <w:ind w:firstLine="0"/>
              <w:rPr>
                <w:sz w:val="16"/>
                <w:szCs w:val="16"/>
              </w:rPr>
            </w:pPr>
            <w:r w:rsidRPr="003A1E1C">
              <w:rPr>
                <w:color w:val="000000"/>
                <w:sz w:val="16"/>
                <w:szCs w:val="16"/>
              </w:rPr>
              <w:t>10%</w:t>
            </w:r>
          </w:p>
        </w:tc>
        <w:tc>
          <w:tcPr>
            <w:tcW w:w="624" w:type="dxa"/>
            <w:vAlign w:val="center"/>
          </w:tcPr>
          <w:p w14:paraId="2AF2E184" w14:textId="31C9479B" w:rsidR="003877EF" w:rsidRPr="001A21DC" w:rsidRDefault="003877EF" w:rsidP="003877EF">
            <w:pPr>
              <w:pStyle w:val="BodyText"/>
              <w:ind w:firstLine="0"/>
              <w:rPr>
                <w:sz w:val="16"/>
                <w:szCs w:val="16"/>
              </w:rPr>
            </w:pPr>
            <w:r w:rsidRPr="003A1E1C">
              <w:rPr>
                <w:color w:val="000000"/>
                <w:sz w:val="16"/>
                <w:szCs w:val="16"/>
              </w:rPr>
              <w:t>-</w:t>
            </w:r>
          </w:p>
        </w:tc>
        <w:tc>
          <w:tcPr>
            <w:tcW w:w="624" w:type="dxa"/>
            <w:vAlign w:val="center"/>
          </w:tcPr>
          <w:p w14:paraId="42C25BA5" w14:textId="57948BBB" w:rsidR="003877EF" w:rsidRPr="001A21DC" w:rsidRDefault="009C4A66" w:rsidP="003877EF">
            <w:pPr>
              <w:pStyle w:val="BodyText"/>
              <w:ind w:firstLine="0"/>
              <w:rPr>
                <w:sz w:val="16"/>
                <w:szCs w:val="16"/>
              </w:rPr>
            </w:pPr>
            <w:r>
              <w:rPr>
                <w:color w:val="000000"/>
                <w:sz w:val="16"/>
                <w:szCs w:val="16"/>
              </w:rPr>
              <w:t>100</w:t>
            </w:r>
          </w:p>
        </w:tc>
        <w:tc>
          <w:tcPr>
            <w:tcW w:w="737" w:type="dxa"/>
            <w:vAlign w:val="center"/>
          </w:tcPr>
          <w:p w14:paraId="3542A8DA" w14:textId="2995D392" w:rsidR="003877EF" w:rsidRPr="001A21DC" w:rsidRDefault="003877EF" w:rsidP="003877EF">
            <w:pPr>
              <w:pStyle w:val="BodyText"/>
              <w:ind w:firstLine="0"/>
              <w:rPr>
                <w:sz w:val="16"/>
                <w:szCs w:val="16"/>
              </w:rPr>
            </w:pPr>
            <w:r w:rsidRPr="003A1E1C">
              <w:rPr>
                <w:sz w:val="16"/>
                <w:szCs w:val="16"/>
              </w:rPr>
              <w:t>2.5E-14</w:t>
            </w:r>
          </w:p>
        </w:tc>
        <w:tc>
          <w:tcPr>
            <w:tcW w:w="680" w:type="dxa"/>
            <w:tcBorders>
              <w:right w:val="single" w:sz="4" w:space="0" w:color="auto"/>
            </w:tcBorders>
            <w:vAlign w:val="center"/>
          </w:tcPr>
          <w:p w14:paraId="595479DA" w14:textId="067815CD" w:rsidR="003877EF" w:rsidRPr="001A21DC" w:rsidRDefault="003877EF" w:rsidP="003877EF">
            <w:pPr>
              <w:pStyle w:val="BodyText"/>
              <w:ind w:firstLine="0"/>
              <w:rPr>
                <w:sz w:val="16"/>
                <w:szCs w:val="16"/>
              </w:rPr>
            </w:pPr>
            <w:r w:rsidRPr="003A1E1C">
              <w:rPr>
                <w:color w:val="FF0000"/>
                <w:sz w:val="16"/>
                <w:szCs w:val="16"/>
              </w:rPr>
              <w:t>7.</w:t>
            </w:r>
            <w:r>
              <w:rPr>
                <w:color w:val="FF0000"/>
                <w:sz w:val="16"/>
                <w:szCs w:val="16"/>
              </w:rPr>
              <w:t>6</w:t>
            </w:r>
            <w:r w:rsidRPr="003A1E1C">
              <w:rPr>
                <w:color w:val="FF0000"/>
                <w:sz w:val="16"/>
                <w:szCs w:val="16"/>
              </w:rPr>
              <w:t>E14</w:t>
            </w:r>
          </w:p>
        </w:tc>
        <w:tc>
          <w:tcPr>
            <w:tcW w:w="567" w:type="dxa"/>
            <w:tcBorders>
              <w:left w:val="single" w:sz="4" w:space="0" w:color="auto"/>
            </w:tcBorders>
            <w:vAlign w:val="center"/>
          </w:tcPr>
          <w:p w14:paraId="18D3850D" w14:textId="6FFEC806" w:rsidR="003877EF" w:rsidRPr="003877EF" w:rsidRDefault="003877EF" w:rsidP="003877EF">
            <w:pPr>
              <w:pStyle w:val="BodyText"/>
              <w:ind w:firstLine="0"/>
              <w:rPr>
                <w:sz w:val="16"/>
                <w:szCs w:val="16"/>
              </w:rPr>
            </w:pPr>
            <w:r w:rsidRPr="003A1E1C">
              <w:rPr>
                <w:color w:val="000000"/>
                <w:sz w:val="16"/>
                <w:szCs w:val="16"/>
              </w:rPr>
              <w:t>3N</w:t>
            </w:r>
          </w:p>
        </w:tc>
        <w:tc>
          <w:tcPr>
            <w:tcW w:w="709" w:type="dxa"/>
            <w:vAlign w:val="center"/>
          </w:tcPr>
          <w:p w14:paraId="05A409EF" w14:textId="0B0AF946" w:rsidR="003877EF" w:rsidRPr="003877EF" w:rsidRDefault="003877EF" w:rsidP="003877EF">
            <w:pPr>
              <w:pStyle w:val="BodyText"/>
              <w:ind w:firstLine="0"/>
              <w:rPr>
                <w:sz w:val="16"/>
                <w:szCs w:val="16"/>
              </w:rPr>
            </w:pPr>
            <m:oMath>
              <m:r>
                <w:rPr>
                  <w:rFonts w:ascii="Cambria Math" w:hAnsi="Cambria Math"/>
                  <w:sz w:val="16"/>
                  <w:szCs w:val="16"/>
                </w:rPr>
                <m:t>t</m:t>
              </m:r>
            </m:oMath>
            <w:r w:rsidRPr="003A1E1C">
              <w:rPr>
                <w:sz w:val="16"/>
                <w:szCs w:val="16"/>
              </w:rPr>
              <w:t>≥12 h</w:t>
            </w:r>
          </w:p>
        </w:tc>
        <w:tc>
          <w:tcPr>
            <w:tcW w:w="680" w:type="dxa"/>
            <w:vAlign w:val="center"/>
          </w:tcPr>
          <w:p w14:paraId="011DD0DF" w14:textId="40413473" w:rsidR="003877EF" w:rsidRPr="003877EF" w:rsidRDefault="003877EF" w:rsidP="003877EF">
            <w:pPr>
              <w:pStyle w:val="BodyText"/>
              <w:ind w:firstLine="0"/>
              <w:rPr>
                <w:sz w:val="16"/>
                <w:szCs w:val="16"/>
              </w:rPr>
            </w:pPr>
            <w:r w:rsidRPr="003A1E1C">
              <w:rPr>
                <w:color w:val="000000"/>
                <w:sz w:val="16"/>
                <w:szCs w:val="16"/>
              </w:rPr>
              <w:t>-</w:t>
            </w:r>
          </w:p>
        </w:tc>
        <w:tc>
          <w:tcPr>
            <w:tcW w:w="624" w:type="dxa"/>
            <w:vAlign w:val="center"/>
          </w:tcPr>
          <w:p w14:paraId="6FE2B394" w14:textId="27339084" w:rsidR="003877EF" w:rsidRPr="003877EF" w:rsidRDefault="00690272" w:rsidP="003877EF">
            <w:pPr>
              <w:pStyle w:val="BodyText"/>
              <w:ind w:firstLine="0"/>
              <w:rPr>
                <w:sz w:val="16"/>
                <w:szCs w:val="16"/>
              </w:rPr>
            </w:pPr>
            <w:r>
              <w:rPr>
                <w:color w:val="000000"/>
                <w:sz w:val="16"/>
                <w:szCs w:val="16"/>
              </w:rPr>
              <w:t>1</w:t>
            </w:r>
          </w:p>
        </w:tc>
        <w:tc>
          <w:tcPr>
            <w:tcW w:w="624" w:type="dxa"/>
            <w:vAlign w:val="center"/>
          </w:tcPr>
          <w:p w14:paraId="67103A49" w14:textId="4E169BF5" w:rsidR="003877EF" w:rsidRPr="003877EF" w:rsidRDefault="003877EF" w:rsidP="003877EF">
            <w:pPr>
              <w:pStyle w:val="BodyText"/>
              <w:ind w:firstLine="0"/>
              <w:rPr>
                <w:sz w:val="16"/>
                <w:szCs w:val="16"/>
              </w:rPr>
            </w:pPr>
            <w:r w:rsidRPr="003A1E1C">
              <w:rPr>
                <w:color w:val="000000"/>
                <w:sz w:val="16"/>
                <w:szCs w:val="16"/>
              </w:rPr>
              <w:t>-</w:t>
            </w:r>
          </w:p>
        </w:tc>
        <w:tc>
          <w:tcPr>
            <w:tcW w:w="737" w:type="dxa"/>
            <w:vAlign w:val="center"/>
          </w:tcPr>
          <w:p w14:paraId="7499021F" w14:textId="5AB064BC" w:rsidR="003877EF" w:rsidRPr="003877EF" w:rsidRDefault="003877EF" w:rsidP="003877EF">
            <w:pPr>
              <w:pStyle w:val="BodyText"/>
              <w:ind w:firstLine="0"/>
              <w:rPr>
                <w:sz w:val="16"/>
                <w:szCs w:val="16"/>
              </w:rPr>
            </w:pPr>
            <w:r w:rsidRPr="003A1E1C">
              <w:rPr>
                <w:sz w:val="16"/>
                <w:szCs w:val="16"/>
              </w:rPr>
              <w:t>3.</w:t>
            </w:r>
            <w:r w:rsidR="00C10652">
              <w:rPr>
                <w:sz w:val="16"/>
                <w:szCs w:val="16"/>
              </w:rPr>
              <w:t>5</w:t>
            </w:r>
            <w:r w:rsidRPr="003A1E1C">
              <w:rPr>
                <w:sz w:val="16"/>
                <w:szCs w:val="16"/>
              </w:rPr>
              <w:t>E-13</w:t>
            </w:r>
          </w:p>
        </w:tc>
        <w:tc>
          <w:tcPr>
            <w:tcW w:w="680" w:type="dxa"/>
            <w:tcBorders>
              <w:right w:val="single" w:sz="4" w:space="0" w:color="auto"/>
            </w:tcBorders>
            <w:vAlign w:val="center"/>
          </w:tcPr>
          <w:p w14:paraId="2CF345EA" w14:textId="669394DE" w:rsidR="003877EF" w:rsidRPr="003877EF" w:rsidRDefault="003877EF" w:rsidP="003877EF">
            <w:pPr>
              <w:pStyle w:val="BodyText"/>
              <w:ind w:firstLine="0"/>
              <w:rPr>
                <w:sz w:val="16"/>
                <w:szCs w:val="16"/>
              </w:rPr>
            </w:pPr>
            <w:r w:rsidRPr="003A1E1C">
              <w:rPr>
                <w:color w:val="FF0000"/>
                <w:sz w:val="16"/>
                <w:szCs w:val="16"/>
              </w:rPr>
              <w:t>3.</w:t>
            </w:r>
            <w:r w:rsidR="004534DA">
              <w:rPr>
                <w:color w:val="FF0000"/>
                <w:sz w:val="16"/>
                <w:szCs w:val="16"/>
              </w:rPr>
              <w:t>9</w:t>
            </w:r>
            <w:r w:rsidRPr="003A1E1C">
              <w:rPr>
                <w:color w:val="FF0000"/>
                <w:sz w:val="16"/>
                <w:szCs w:val="16"/>
              </w:rPr>
              <w:t>E15</w:t>
            </w:r>
          </w:p>
        </w:tc>
      </w:tr>
      <w:tr w:rsidR="00886B9C" w14:paraId="3819965F" w14:textId="77777777" w:rsidTr="00886B9C">
        <w:trPr>
          <w:jc w:val="center"/>
        </w:trPr>
        <w:tc>
          <w:tcPr>
            <w:tcW w:w="567" w:type="dxa"/>
            <w:tcBorders>
              <w:left w:val="single" w:sz="4" w:space="0" w:color="auto"/>
              <w:bottom w:val="single" w:sz="4" w:space="0" w:color="auto"/>
            </w:tcBorders>
            <w:vAlign w:val="center"/>
          </w:tcPr>
          <w:p w14:paraId="385A53F2" w14:textId="38AEBCBE" w:rsidR="003877EF" w:rsidRPr="003A1E1C" w:rsidRDefault="003877EF" w:rsidP="003877EF">
            <w:pPr>
              <w:pStyle w:val="BodyText"/>
              <w:ind w:firstLine="0"/>
              <w:rPr>
                <w:sz w:val="16"/>
                <w:szCs w:val="16"/>
              </w:rPr>
            </w:pPr>
            <w:r w:rsidRPr="003A1E1C">
              <w:rPr>
                <w:color w:val="000000"/>
                <w:sz w:val="16"/>
                <w:szCs w:val="16"/>
              </w:rPr>
              <w:t>2I</w:t>
            </w:r>
          </w:p>
        </w:tc>
        <w:tc>
          <w:tcPr>
            <w:tcW w:w="709" w:type="dxa"/>
            <w:tcBorders>
              <w:bottom w:val="single" w:sz="4" w:space="0" w:color="auto"/>
            </w:tcBorders>
            <w:vAlign w:val="center"/>
          </w:tcPr>
          <w:p w14:paraId="7C5349EB" w14:textId="228BA515" w:rsidR="003877EF" w:rsidRPr="003A1E1C" w:rsidRDefault="003877EF" w:rsidP="003877EF">
            <w:pPr>
              <w:pStyle w:val="BodyText"/>
              <w:ind w:firstLine="0"/>
              <w:rPr>
                <w:sz w:val="16"/>
                <w:szCs w:val="16"/>
              </w:rPr>
            </w:pPr>
            <w:r w:rsidRPr="003A1E1C">
              <w:rPr>
                <w:color w:val="000000"/>
                <w:sz w:val="16"/>
                <w:szCs w:val="16"/>
              </w:rPr>
              <w:t>-</w:t>
            </w:r>
          </w:p>
        </w:tc>
        <w:tc>
          <w:tcPr>
            <w:tcW w:w="680" w:type="dxa"/>
            <w:tcBorders>
              <w:bottom w:val="single" w:sz="4" w:space="0" w:color="auto"/>
            </w:tcBorders>
            <w:vAlign w:val="center"/>
          </w:tcPr>
          <w:p w14:paraId="2247C8DD" w14:textId="6248EB39" w:rsidR="003877EF" w:rsidRPr="003A1E1C" w:rsidRDefault="003877EF" w:rsidP="003877EF">
            <w:pPr>
              <w:pStyle w:val="BodyText"/>
              <w:ind w:firstLine="0"/>
              <w:rPr>
                <w:sz w:val="16"/>
                <w:szCs w:val="16"/>
              </w:rPr>
            </w:pPr>
            <w:r w:rsidRPr="003A1E1C">
              <w:rPr>
                <w:color w:val="000000"/>
                <w:sz w:val="16"/>
                <w:szCs w:val="16"/>
              </w:rPr>
              <w:t>-</w:t>
            </w:r>
          </w:p>
        </w:tc>
        <w:tc>
          <w:tcPr>
            <w:tcW w:w="624" w:type="dxa"/>
            <w:tcBorders>
              <w:bottom w:val="single" w:sz="4" w:space="0" w:color="auto"/>
            </w:tcBorders>
            <w:vAlign w:val="center"/>
          </w:tcPr>
          <w:p w14:paraId="36F18FF1" w14:textId="2274C652" w:rsidR="003877EF" w:rsidRPr="003A1E1C" w:rsidRDefault="003877EF" w:rsidP="003877EF">
            <w:pPr>
              <w:pStyle w:val="BodyText"/>
              <w:ind w:firstLine="0"/>
              <w:rPr>
                <w:sz w:val="16"/>
                <w:szCs w:val="16"/>
              </w:rPr>
            </w:pPr>
            <w:r w:rsidRPr="003A1E1C">
              <w:rPr>
                <w:color w:val="000000"/>
                <w:sz w:val="16"/>
                <w:szCs w:val="16"/>
              </w:rPr>
              <w:t>-</w:t>
            </w:r>
          </w:p>
        </w:tc>
        <w:tc>
          <w:tcPr>
            <w:tcW w:w="624" w:type="dxa"/>
            <w:tcBorders>
              <w:bottom w:val="single" w:sz="4" w:space="0" w:color="auto"/>
            </w:tcBorders>
            <w:vAlign w:val="center"/>
          </w:tcPr>
          <w:p w14:paraId="6C2BD93B" w14:textId="392D5A47" w:rsidR="003877EF" w:rsidRPr="003A1E1C" w:rsidRDefault="003877EF" w:rsidP="003877EF">
            <w:pPr>
              <w:pStyle w:val="BodyText"/>
              <w:ind w:firstLine="0"/>
              <w:rPr>
                <w:sz w:val="16"/>
                <w:szCs w:val="16"/>
              </w:rPr>
            </w:pPr>
            <w:r w:rsidRPr="003A1E1C">
              <w:rPr>
                <w:color w:val="000000"/>
                <w:sz w:val="16"/>
                <w:szCs w:val="16"/>
              </w:rPr>
              <w:t>2</w:t>
            </w:r>
            <w:r w:rsidR="009C4A66">
              <w:rPr>
                <w:color w:val="000000"/>
                <w:sz w:val="16"/>
                <w:szCs w:val="16"/>
              </w:rPr>
              <w:t>0</w:t>
            </w:r>
          </w:p>
        </w:tc>
        <w:tc>
          <w:tcPr>
            <w:tcW w:w="737" w:type="dxa"/>
            <w:tcBorders>
              <w:bottom w:val="single" w:sz="4" w:space="0" w:color="auto"/>
            </w:tcBorders>
            <w:vAlign w:val="center"/>
          </w:tcPr>
          <w:p w14:paraId="69398D9D" w14:textId="7D21DBB9" w:rsidR="003877EF" w:rsidRPr="003A1E1C" w:rsidRDefault="003877EF" w:rsidP="003877EF">
            <w:pPr>
              <w:pStyle w:val="BodyText"/>
              <w:ind w:firstLine="0"/>
              <w:rPr>
                <w:sz w:val="16"/>
                <w:szCs w:val="16"/>
              </w:rPr>
            </w:pPr>
            <w:r>
              <w:rPr>
                <w:sz w:val="16"/>
                <w:szCs w:val="16"/>
              </w:rPr>
              <w:t>1.0</w:t>
            </w:r>
            <w:r w:rsidRPr="003A1E1C">
              <w:rPr>
                <w:sz w:val="16"/>
                <w:szCs w:val="16"/>
              </w:rPr>
              <w:t>E-1</w:t>
            </w:r>
            <w:r>
              <w:rPr>
                <w:sz w:val="16"/>
                <w:szCs w:val="16"/>
              </w:rPr>
              <w:t>4</w:t>
            </w:r>
          </w:p>
        </w:tc>
        <w:tc>
          <w:tcPr>
            <w:tcW w:w="680" w:type="dxa"/>
            <w:tcBorders>
              <w:bottom w:val="single" w:sz="4" w:space="0" w:color="auto"/>
              <w:right w:val="single" w:sz="4" w:space="0" w:color="auto"/>
            </w:tcBorders>
            <w:vAlign w:val="center"/>
          </w:tcPr>
          <w:p w14:paraId="5FFAB080" w14:textId="000C8111" w:rsidR="003877EF" w:rsidRPr="003A1E1C" w:rsidRDefault="003877EF" w:rsidP="003877EF">
            <w:pPr>
              <w:pStyle w:val="BodyText"/>
              <w:ind w:firstLine="0"/>
              <w:rPr>
                <w:sz w:val="16"/>
                <w:szCs w:val="16"/>
              </w:rPr>
            </w:pPr>
            <w:r w:rsidRPr="003A1E1C">
              <w:rPr>
                <w:sz w:val="16"/>
                <w:szCs w:val="16"/>
              </w:rPr>
              <w:t>2.8E13</w:t>
            </w:r>
          </w:p>
        </w:tc>
        <w:tc>
          <w:tcPr>
            <w:tcW w:w="567" w:type="dxa"/>
            <w:tcBorders>
              <w:left w:val="single" w:sz="4" w:space="0" w:color="auto"/>
              <w:bottom w:val="single" w:sz="4" w:space="0" w:color="auto"/>
            </w:tcBorders>
          </w:tcPr>
          <w:p w14:paraId="2F5210FE" w14:textId="77777777" w:rsidR="003877EF" w:rsidRPr="003A1E1C" w:rsidRDefault="003877EF" w:rsidP="003877EF">
            <w:pPr>
              <w:pStyle w:val="BodyText"/>
              <w:ind w:firstLine="0"/>
              <w:rPr>
                <w:sz w:val="16"/>
                <w:szCs w:val="16"/>
              </w:rPr>
            </w:pPr>
          </w:p>
        </w:tc>
        <w:tc>
          <w:tcPr>
            <w:tcW w:w="709" w:type="dxa"/>
            <w:tcBorders>
              <w:bottom w:val="single" w:sz="4" w:space="0" w:color="auto"/>
            </w:tcBorders>
          </w:tcPr>
          <w:p w14:paraId="5407500B" w14:textId="77777777" w:rsidR="003877EF" w:rsidRPr="003A1E1C" w:rsidRDefault="003877EF" w:rsidP="003877EF">
            <w:pPr>
              <w:pStyle w:val="BodyText"/>
              <w:ind w:firstLine="0"/>
              <w:rPr>
                <w:sz w:val="16"/>
                <w:szCs w:val="16"/>
              </w:rPr>
            </w:pPr>
          </w:p>
        </w:tc>
        <w:tc>
          <w:tcPr>
            <w:tcW w:w="680" w:type="dxa"/>
            <w:tcBorders>
              <w:bottom w:val="single" w:sz="4" w:space="0" w:color="auto"/>
            </w:tcBorders>
          </w:tcPr>
          <w:p w14:paraId="29097CA2" w14:textId="77777777" w:rsidR="003877EF" w:rsidRPr="003A1E1C" w:rsidRDefault="003877EF" w:rsidP="003877EF">
            <w:pPr>
              <w:pStyle w:val="BodyText"/>
              <w:ind w:firstLine="0"/>
              <w:rPr>
                <w:sz w:val="16"/>
                <w:szCs w:val="16"/>
              </w:rPr>
            </w:pPr>
          </w:p>
        </w:tc>
        <w:tc>
          <w:tcPr>
            <w:tcW w:w="624" w:type="dxa"/>
            <w:tcBorders>
              <w:bottom w:val="single" w:sz="4" w:space="0" w:color="auto"/>
            </w:tcBorders>
          </w:tcPr>
          <w:p w14:paraId="3D2268F7" w14:textId="77777777" w:rsidR="003877EF" w:rsidRPr="003A1E1C" w:rsidRDefault="003877EF" w:rsidP="003877EF">
            <w:pPr>
              <w:pStyle w:val="BodyText"/>
              <w:ind w:firstLine="0"/>
              <w:rPr>
                <w:sz w:val="16"/>
                <w:szCs w:val="16"/>
              </w:rPr>
            </w:pPr>
          </w:p>
        </w:tc>
        <w:tc>
          <w:tcPr>
            <w:tcW w:w="624" w:type="dxa"/>
            <w:tcBorders>
              <w:bottom w:val="single" w:sz="4" w:space="0" w:color="auto"/>
            </w:tcBorders>
          </w:tcPr>
          <w:p w14:paraId="4DCC0F38" w14:textId="77777777" w:rsidR="003877EF" w:rsidRPr="003A1E1C" w:rsidRDefault="003877EF" w:rsidP="003877EF">
            <w:pPr>
              <w:pStyle w:val="BodyText"/>
              <w:ind w:firstLine="0"/>
              <w:rPr>
                <w:sz w:val="16"/>
                <w:szCs w:val="16"/>
              </w:rPr>
            </w:pPr>
          </w:p>
        </w:tc>
        <w:tc>
          <w:tcPr>
            <w:tcW w:w="737" w:type="dxa"/>
            <w:tcBorders>
              <w:bottom w:val="single" w:sz="4" w:space="0" w:color="auto"/>
            </w:tcBorders>
          </w:tcPr>
          <w:p w14:paraId="7A62A8BA" w14:textId="00C62D7F" w:rsidR="003877EF" w:rsidRPr="003A1E1C" w:rsidRDefault="003877EF" w:rsidP="003877EF">
            <w:pPr>
              <w:pStyle w:val="BodyText"/>
              <w:ind w:firstLine="0"/>
              <w:rPr>
                <w:sz w:val="16"/>
                <w:szCs w:val="16"/>
              </w:rPr>
            </w:pPr>
          </w:p>
        </w:tc>
        <w:tc>
          <w:tcPr>
            <w:tcW w:w="680" w:type="dxa"/>
            <w:tcBorders>
              <w:bottom w:val="single" w:sz="4" w:space="0" w:color="auto"/>
              <w:right w:val="single" w:sz="4" w:space="0" w:color="auto"/>
            </w:tcBorders>
          </w:tcPr>
          <w:p w14:paraId="35EFDA36" w14:textId="77777777" w:rsidR="003877EF" w:rsidRPr="003A1E1C" w:rsidRDefault="003877EF" w:rsidP="003877EF">
            <w:pPr>
              <w:pStyle w:val="BodyText"/>
              <w:ind w:firstLine="0"/>
              <w:rPr>
                <w:sz w:val="16"/>
                <w:szCs w:val="16"/>
              </w:rPr>
            </w:pPr>
          </w:p>
        </w:tc>
      </w:tr>
    </w:tbl>
    <w:p w14:paraId="1914BC9E" w14:textId="2D4E4975" w:rsidR="000405B4" w:rsidRPr="003A1E1C" w:rsidRDefault="00A2705F" w:rsidP="0078477B">
      <w:pPr>
        <w:pStyle w:val="BodyText"/>
        <w:ind w:firstLine="0"/>
        <w:rPr>
          <w:sz w:val="16"/>
          <w:szCs w:val="16"/>
        </w:rPr>
      </w:pPr>
      <w:r>
        <w:rPr>
          <w:sz w:val="16"/>
          <w:szCs w:val="16"/>
        </w:rPr>
        <w:t xml:space="preserve">SGFW = alternative steam generator feedwater available; DHRS = decay heat removal system functional </w:t>
      </w:r>
      <w:r w:rsidR="0044469E">
        <w:rPr>
          <w:sz w:val="16"/>
          <w:szCs w:val="16"/>
        </w:rPr>
        <w:t>capacity</w:t>
      </w:r>
      <w:r>
        <w:rPr>
          <w:sz w:val="16"/>
          <w:szCs w:val="16"/>
        </w:rPr>
        <w:t xml:space="preserve">; CV </w:t>
      </w:r>
      <w:proofErr w:type="spellStart"/>
      <w:r>
        <w:rPr>
          <w:sz w:val="16"/>
          <w:szCs w:val="16"/>
        </w:rPr>
        <w:t>Brk</w:t>
      </w:r>
      <w:proofErr w:type="spellEnd"/>
      <w:r>
        <w:rPr>
          <w:sz w:val="16"/>
          <w:szCs w:val="16"/>
        </w:rPr>
        <w:t xml:space="preserve"> = size of break in the containment vessel; OP </w:t>
      </w:r>
      <w:proofErr w:type="spellStart"/>
      <w:r>
        <w:rPr>
          <w:sz w:val="16"/>
          <w:szCs w:val="16"/>
        </w:rPr>
        <w:t>Brk</w:t>
      </w:r>
      <w:proofErr w:type="spellEnd"/>
      <w:r>
        <w:rPr>
          <w:sz w:val="16"/>
          <w:szCs w:val="16"/>
        </w:rPr>
        <w:t>. = size of break in the operating pool.</w:t>
      </w:r>
    </w:p>
    <w:p w14:paraId="3A90994B" w14:textId="25C7B4EB" w:rsidR="008916B7" w:rsidRPr="00D12176" w:rsidRDefault="008916B7" w:rsidP="003A1E1C">
      <w:pPr>
        <w:pStyle w:val="Heading3"/>
        <w:keepNext/>
      </w:pPr>
      <w:r w:rsidRPr="00D12176">
        <w:lastRenderedPageBreak/>
        <w:t>Atmospheric Dispersion and Dose Consequence</w:t>
      </w:r>
    </w:p>
    <w:p w14:paraId="5D762621" w14:textId="67E78A10" w:rsidR="00882F41" w:rsidRDefault="00D12176" w:rsidP="00D12176">
      <w:pPr>
        <w:pStyle w:val="BodyText"/>
      </w:pPr>
      <w:r w:rsidRPr="00D12176">
        <w:t>Source terms predicted by MELCOR for the different event sequences were provided as input to the ADDAM</w:t>
      </w:r>
      <w:r w:rsidRPr="00D12176">
        <w:rPr>
          <w:rStyle w:val="FootnoteReference"/>
        </w:rPr>
        <w:footnoteReference w:id="4"/>
      </w:r>
      <w:r w:rsidRPr="00D12176">
        <w:t xml:space="preserve"> computer code for atmospheric dispersion and dose analysis </w:t>
      </w:r>
      <w:r w:rsidRPr="00D12176">
        <w:fldChar w:fldCharType="begin"/>
      </w:r>
      <w:r w:rsidRPr="00D12176">
        <w:instrText xml:space="preserve"> REF _Ref168486725 \r \h </w:instrText>
      </w:r>
      <w:r w:rsidRPr="00D12176">
        <w:fldChar w:fldCharType="separate"/>
      </w:r>
      <w:r w:rsidR="00303011">
        <w:t>[19]</w:t>
      </w:r>
      <w:r w:rsidRPr="00D12176">
        <w:fldChar w:fldCharType="end"/>
      </w:r>
      <w:r w:rsidR="00BE3F9B">
        <w:t xml:space="preserve">, </w:t>
      </w:r>
      <w:r w:rsidR="006110D1">
        <w:t>based on a Gaussian plume model</w:t>
      </w:r>
      <w:r w:rsidRPr="00D12176">
        <w:t xml:space="preserve">. ADDAM is part of the industry standard toolset for nuclear safety analysis in Canada and satisfies the Canadian standard N288.2:19 </w:t>
      </w:r>
      <w:r w:rsidRPr="00D12176">
        <w:fldChar w:fldCharType="begin"/>
      </w:r>
      <w:r w:rsidRPr="00D12176">
        <w:instrText xml:space="preserve"> REF _Ref168487039 \r \h </w:instrText>
      </w:r>
      <w:r w:rsidRPr="00D12176">
        <w:fldChar w:fldCharType="separate"/>
      </w:r>
      <w:r w:rsidR="00303011">
        <w:t>[20]</w:t>
      </w:r>
      <w:r w:rsidRPr="00D12176">
        <w:fldChar w:fldCharType="end"/>
      </w:r>
      <w:r w:rsidRPr="00D12176">
        <w:t>, which provides guidelines for calculating consequences from NPP accidents.</w:t>
      </w:r>
      <w:r w:rsidR="00FD3B48">
        <w:t xml:space="preserve"> </w:t>
      </w:r>
      <w:r>
        <w:t xml:space="preserve">ADDAM can output cumulative whole-body effective dose and organ-specific doses from the combination of cloudshine and inhalation from the passing plume as well as the groundshine from deposited contamination. The conversion from radionuclide concentrations to doses are facilitated by dose conversion factors based on ICRP recommendations </w:t>
      </w:r>
      <w:r w:rsidR="008C2950">
        <w:fldChar w:fldCharType="begin"/>
      </w:r>
      <w:r w:rsidR="008C2950">
        <w:instrText xml:space="preserve"> REF _Ref168487273 \r \h </w:instrText>
      </w:r>
      <w:r w:rsidR="008C2950">
        <w:fldChar w:fldCharType="separate"/>
      </w:r>
      <w:r w:rsidR="00303011">
        <w:t>[21]</w:t>
      </w:r>
      <w:r w:rsidR="008C2950">
        <w:fldChar w:fldCharType="end"/>
      </w:r>
      <w:r>
        <w:t>.</w:t>
      </w:r>
      <w:r w:rsidR="00FD3B48">
        <w:t xml:space="preserve"> </w:t>
      </w:r>
    </w:p>
    <w:p w14:paraId="015297A9" w14:textId="4B23A958" w:rsidR="008C2950" w:rsidRPr="00D12176" w:rsidRDefault="00030D6F" w:rsidP="008C2950">
      <w:pPr>
        <w:pStyle w:val="BodyText"/>
      </w:pPr>
      <w:r>
        <w:t>T</w:t>
      </w:r>
      <w:r w:rsidR="008C2950">
        <w:t>he same meteorological data described by Hummel et al</w:t>
      </w:r>
      <w:r w:rsidR="00411594">
        <w:t>.</w:t>
      </w:r>
      <w:r w:rsidR="008C2950">
        <w:t xml:space="preserve"> </w:t>
      </w:r>
      <w:r w:rsidR="008C2950">
        <w:fldChar w:fldCharType="begin"/>
      </w:r>
      <w:r w:rsidR="008C2950">
        <w:instrText xml:space="preserve"> REF _Ref168487515 \r \h </w:instrText>
      </w:r>
      <w:r w:rsidR="008C2950">
        <w:fldChar w:fldCharType="separate"/>
      </w:r>
      <w:r w:rsidR="00303011">
        <w:t>[22]</w:t>
      </w:r>
      <w:r w:rsidR="008C2950">
        <w:fldChar w:fldCharType="end"/>
      </w:r>
      <w:r>
        <w:t xml:space="preserve"> was used</w:t>
      </w:r>
      <w:r w:rsidR="008C2950">
        <w:t xml:space="preserve">. </w:t>
      </w:r>
      <w:r w:rsidR="00B36088">
        <w:t>B</w:t>
      </w:r>
      <w:r w:rsidR="008C2950">
        <w:t>uilding wake and entrainment effects were included, assuming a 120</w:t>
      </w:r>
      <w:r w:rsidR="00F63BCD">
        <w:t> </w:t>
      </w:r>
      <w:r w:rsidR="008C2950">
        <w:t>m × 20</w:t>
      </w:r>
      <w:r w:rsidR="00F63BCD">
        <w:t> </w:t>
      </w:r>
      <w:r w:rsidR="008C2950">
        <w:t>m footprint structure with 10</w:t>
      </w:r>
      <w:r w:rsidR="00F63BCD">
        <w:t> </w:t>
      </w:r>
      <w:r w:rsidR="008C2950">
        <w:t>m height. The release height was 5</w:t>
      </w:r>
      <w:r w:rsidR="00F63BCD">
        <w:t> </w:t>
      </w:r>
      <w:r w:rsidR="008C2950">
        <w:t xml:space="preserve">m (half the height of the assumed </w:t>
      </w:r>
      <w:r w:rsidR="00F63BCD">
        <w:t xml:space="preserve">reactor </w:t>
      </w:r>
      <w:r w:rsidR="008C2950">
        <w:t>building).</w:t>
      </w:r>
      <w:r w:rsidR="00B36088">
        <w:t xml:space="preserve"> </w:t>
      </w:r>
      <w:r w:rsidR="008C2950">
        <w:t>The ADDAM calculation was performed over 16 sectors and 24</w:t>
      </w:r>
      <w:r w:rsidR="00332693">
        <w:t> </w:t>
      </w:r>
      <w:r w:rsidR="008C2950">
        <w:t>radial distances (from 100</w:t>
      </w:r>
      <w:r w:rsidR="00F63BCD">
        <w:t> </w:t>
      </w:r>
      <w:r w:rsidR="008C2950">
        <w:t>m to 40</w:t>
      </w:r>
      <w:r w:rsidR="00F63BCD">
        <w:t> </w:t>
      </w:r>
      <w:r w:rsidR="008C2950">
        <w:t>km), together corresponding to 384 dose receptor mesh points. The population was assumed to be uniform in the calculation domain for the present case study, but such a simplifying assumption is not required by the ADDAM code.</w:t>
      </w:r>
    </w:p>
    <w:p w14:paraId="73FE6E94" w14:textId="4D4ED064" w:rsidR="008916B7" w:rsidRPr="00D12176" w:rsidRDefault="008916B7" w:rsidP="008916B7">
      <w:pPr>
        <w:pStyle w:val="Heading3"/>
      </w:pPr>
      <w:bookmarkStart w:id="0" w:name="_Ref168489222"/>
      <w:r w:rsidRPr="00D12176">
        <w:t>Risk Estimation</w:t>
      </w:r>
      <w:bookmarkEnd w:id="0"/>
    </w:p>
    <w:p w14:paraId="02E51E94" w14:textId="23CC7D92" w:rsidR="008916B7" w:rsidRDefault="008C2950" w:rsidP="008C2950">
      <w:pPr>
        <w:pStyle w:val="BodyText"/>
      </w:pPr>
      <w:r w:rsidRPr="008C2950">
        <w:t>The output of the ADDAM code is specifically dose to members of the public, not risk. A typical concept of risk is the product of consequence and probability. This risk-based case study must therefore calculate risk from the dose (consequence) and associated accident frequency (probability), considering all possible events sequences that can lead to significant offsite consequences.</w:t>
      </w:r>
    </w:p>
    <w:p w14:paraId="72A314AE" w14:textId="0DBB771F" w:rsidR="008C2950" w:rsidRDefault="008C2950" w:rsidP="008C2950">
      <w:pPr>
        <w:pStyle w:val="BodyText"/>
      </w:pPr>
      <w:r>
        <w:t xml:space="preserve">Risk is parameterised as </w:t>
      </w:r>
      <m:oMath>
        <m:r>
          <w:rPr>
            <w:rFonts w:ascii="Cambria Math" w:hAnsi="Cambria Math"/>
          </w:rPr>
          <m:t>R</m:t>
        </m:r>
      </m:oMath>
      <w:r w:rsidR="002C5399">
        <w:t>,</w:t>
      </w:r>
      <w:r>
        <w:t xml:space="preserve"> the </w:t>
      </w:r>
      <w:r w:rsidR="0080278E">
        <w:t>expected v</w:t>
      </w:r>
      <w:r w:rsidR="0079732A">
        <w:t xml:space="preserve">alue of </w:t>
      </w:r>
      <w:r w:rsidR="00411594">
        <w:t xml:space="preserve">DALY </w:t>
      </w:r>
      <w:r w:rsidR="0079732A">
        <w:t>at a dose</w:t>
      </w:r>
      <w:r>
        <w:t xml:space="preserve"> receptor, calculated as:</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7755"/>
        <w:gridCol w:w="631"/>
      </w:tblGrid>
      <w:tr w:rsidR="008C2950" w:rsidRPr="00F63BCD" w14:paraId="524BB148" w14:textId="77777777" w:rsidTr="00F63BCD">
        <w:tc>
          <w:tcPr>
            <w:tcW w:w="350" w:type="pct"/>
          </w:tcPr>
          <w:p w14:paraId="72E9E243" w14:textId="77777777" w:rsidR="008C2950" w:rsidRPr="00F63BCD" w:rsidRDefault="008C2950" w:rsidP="001134CE">
            <w:pPr>
              <w:pStyle w:val="Body"/>
              <w:rPr>
                <w:rFonts w:ascii="Times New Roman" w:hAnsi="Times New Roman"/>
                <w:sz w:val="20"/>
              </w:rPr>
            </w:pPr>
          </w:p>
        </w:tc>
        <w:tc>
          <w:tcPr>
            <w:tcW w:w="4300" w:type="pct"/>
          </w:tcPr>
          <w:p w14:paraId="119A194E" w14:textId="76A40976" w:rsidR="008C2950" w:rsidRPr="00F63BCD" w:rsidRDefault="008E51C2" w:rsidP="003A1E1C">
            <w:pPr>
              <w:rPr>
                <w:sz w:val="20"/>
              </w:rPr>
            </w:pPr>
            <m:oMathPara>
              <m:oMathParaPr>
                <m:jc m:val="center"/>
              </m:oMathParaPr>
              <m:oMath>
                <m:r>
                  <w:rPr>
                    <w:rFonts w:ascii="Cambria Math" w:hAnsi="Cambria Math"/>
                  </w:rPr>
                  <m:t>R=</m:t>
                </m:r>
                <m:nary>
                  <m:naryPr>
                    <m:chr m:val="∑"/>
                    <m:limLoc m:val="undOvr"/>
                    <m:supHide m:val="1"/>
                    <m:ctrlPr>
                      <w:rPr>
                        <w:rFonts w:ascii="Cambria Math" w:eastAsiaTheme="minorHAnsi" w:hAnsi="Cambria Math" w:cstheme="minorBidi"/>
                        <w:i/>
                        <w:kern w:val="2"/>
                        <w:szCs w:val="22"/>
                        <w:lang w:val="en-CA"/>
                        <w14:ligatures w14:val="standardContextual"/>
                      </w:rPr>
                    </m:ctrlPr>
                  </m:naryPr>
                  <m:sub>
                    <m:r>
                      <w:rPr>
                        <w:rFonts w:ascii="Cambria Math" w:hAnsi="Cambria Math"/>
                      </w:rPr>
                      <m:t>i</m:t>
                    </m:r>
                  </m:sub>
                  <m:sup/>
                  <m:e>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sSub>
                          <m:sSubPr>
                            <m:ctrlPr>
                              <w:rPr>
                                <w:rFonts w:ascii="Cambria Math" w:hAnsi="Cambria Math"/>
                                <w:i/>
                              </w:rPr>
                            </m:ctrlPr>
                          </m:sSubPr>
                          <m:e>
                            <m:r>
                              <w:rPr>
                                <w:rFonts w:ascii="Cambria Math" w:hAnsi="Cambria Math"/>
                              </w:rPr>
                              <m:t>f</m:t>
                            </m:r>
                          </m:e>
                          <m:sub>
                            <m:r>
                              <w:rPr>
                                <w:rFonts w:ascii="Cambria Math" w:hAnsi="Cambria Math"/>
                              </w:rPr>
                              <m:t>i</m:t>
                            </m:r>
                          </m:sub>
                        </m:sSub>
                      </m:e>
                    </m:d>
                  </m:e>
                </m:nary>
                <m:r>
                  <w:rPr>
                    <w:rFonts w:ascii="Cambria Math" w:hAnsi="Cambria Math"/>
                  </w:rPr>
                  <m:t>×L×</m:t>
                </m:r>
                <m:sSub>
                  <m:sSubPr>
                    <m:ctrlPr>
                      <w:rPr>
                        <w:rFonts w:ascii="Cambria Math" w:hAnsi="Cambria Math"/>
                        <w:i/>
                      </w:rPr>
                    </m:ctrlPr>
                  </m:sSubPr>
                  <m:e>
                    <m:r>
                      <w:rPr>
                        <w:rFonts w:ascii="Cambria Math" w:hAnsi="Cambria Math"/>
                      </w:rPr>
                      <m:t>C</m:t>
                    </m:r>
                  </m:e>
                  <m:sub>
                    <m:r>
                      <w:rPr>
                        <w:rFonts w:ascii="Cambria Math" w:hAnsi="Cambria Math"/>
                      </w:rPr>
                      <m:t>DALY</m:t>
                    </m:r>
                  </m:sub>
                </m:sSub>
                <m:r>
                  <w:rPr>
                    <w:rFonts w:ascii="Cambria Math" w:hAnsi="Cambria Math"/>
                  </w:rPr>
                  <m:t>×S</m:t>
                </m:r>
              </m:oMath>
            </m:oMathPara>
          </w:p>
        </w:tc>
        <w:tc>
          <w:tcPr>
            <w:tcW w:w="350" w:type="pct"/>
            <w:vAlign w:val="center"/>
          </w:tcPr>
          <w:p w14:paraId="5FC98DA4" w14:textId="0F451702" w:rsidR="008C2950" w:rsidRPr="00F63BCD" w:rsidRDefault="008C2950" w:rsidP="00F63BCD">
            <w:pPr>
              <w:pStyle w:val="Body"/>
              <w:jc w:val="right"/>
              <w:rPr>
                <w:rFonts w:ascii="Times New Roman" w:hAnsi="Times New Roman"/>
                <w:sz w:val="20"/>
              </w:rPr>
            </w:pPr>
            <w:bookmarkStart w:id="1" w:name="_Ref162359961"/>
            <w:bookmarkStart w:id="2" w:name="_Ref162334218"/>
            <w:r w:rsidRPr="00F63BCD">
              <w:rPr>
                <w:rFonts w:ascii="Times New Roman" w:hAnsi="Times New Roman"/>
                <w:sz w:val="20"/>
              </w:rPr>
              <w:t>(</w:t>
            </w:r>
            <w:r w:rsidRPr="00F63BCD">
              <w:rPr>
                <w:rFonts w:ascii="Times New Roman" w:hAnsi="Times New Roman"/>
                <w:sz w:val="20"/>
              </w:rPr>
              <w:fldChar w:fldCharType="begin"/>
            </w:r>
            <w:r w:rsidRPr="00F63BCD">
              <w:rPr>
                <w:rFonts w:ascii="Times New Roman" w:hAnsi="Times New Roman"/>
                <w:sz w:val="20"/>
              </w:rPr>
              <w:instrText xml:space="preserve"> SEQ Equation \* ARABIC </w:instrText>
            </w:r>
            <w:r w:rsidRPr="00F63BCD">
              <w:rPr>
                <w:rFonts w:ascii="Times New Roman" w:hAnsi="Times New Roman"/>
                <w:sz w:val="20"/>
              </w:rPr>
              <w:fldChar w:fldCharType="separate"/>
            </w:r>
            <w:r w:rsidR="00303011">
              <w:rPr>
                <w:rFonts w:ascii="Times New Roman" w:hAnsi="Times New Roman"/>
                <w:noProof/>
                <w:sz w:val="20"/>
              </w:rPr>
              <w:t>2</w:t>
            </w:r>
            <w:r w:rsidRPr="00F63BCD">
              <w:rPr>
                <w:rFonts w:ascii="Times New Roman" w:hAnsi="Times New Roman"/>
                <w:noProof/>
                <w:sz w:val="20"/>
              </w:rPr>
              <w:fldChar w:fldCharType="end"/>
            </w:r>
            <w:bookmarkEnd w:id="1"/>
            <w:r w:rsidRPr="00F63BCD">
              <w:rPr>
                <w:rFonts w:ascii="Times New Roman" w:hAnsi="Times New Roman"/>
                <w:sz w:val="20"/>
              </w:rPr>
              <w:t>)</w:t>
            </w:r>
            <w:bookmarkEnd w:id="2"/>
          </w:p>
        </w:tc>
      </w:tr>
    </w:tbl>
    <w:p w14:paraId="5EA0E53A" w14:textId="6643637E" w:rsidR="003A4C38" w:rsidRDefault="008C2950" w:rsidP="008C3D48">
      <w:pPr>
        <w:pStyle w:val="BodyText"/>
        <w:ind w:firstLine="0"/>
      </w:pPr>
      <w:r>
        <w:t xml:space="preserve">where </w:t>
      </w:r>
      <m:oMath>
        <m:sSub>
          <m:sSubPr>
            <m:ctrlPr>
              <w:rPr>
                <w:rFonts w:ascii="Cambria Math" w:hAnsi="Cambria Math"/>
                <w:i/>
              </w:rPr>
            </m:ctrlPr>
          </m:sSubPr>
          <m:e>
            <m:r>
              <w:rPr>
                <w:rFonts w:ascii="Cambria Math" w:hAnsi="Cambria Math"/>
              </w:rPr>
              <m:t>D</m:t>
            </m:r>
          </m:e>
          <m:sub>
            <m:r>
              <w:rPr>
                <w:rFonts w:ascii="Cambria Math" w:hAnsi="Cambria Math"/>
              </w:rPr>
              <m:t>i</m:t>
            </m:r>
          </m:sub>
        </m:sSub>
      </m:oMath>
      <w:r>
        <w:t xml:space="preserve"> is the predicted dose for the receptor and </w:t>
      </w:r>
      <m:oMath>
        <m:sSub>
          <m:sSubPr>
            <m:ctrlPr>
              <w:rPr>
                <w:rFonts w:ascii="Cambria Math" w:hAnsi="Cambria Math"/>
                <w:i/>
              </w:rPr>
            </m:ctrlPr>
          </m:sSubPr>
          <m:e>
            <m:r>
              <w:rPr>
                <w:rFonts w:ascii="Cambria Math" w:hAnsi="Cambria Math"/>
              </w:rPr>
              <m:t>f</m:t>
            </m:r>
          </m:e>
          <m:sub>
            <m:r>
              <w:rPr>
                <w:rFonts w:ascii="Cambria Math" w:hAnsi="Cambria Math"/>
              </w:rPr>
              <m:t>i</m:t>
            </m:r>
          </m:sub>
        </m:sSub>
      </m:oMath>
      <w:r>
        <w:t xml:space="preserve"> is the frequency of case </w:t>
      </w:r>
      <m:oMath>
        <m:r>
          <w:rPr>
            <w:rFonts w:ascii="Cambria Math" w:hAnsi="Cambria Math"/>
          </w:rPr>
          <m:t>i</m:t>
        </m:r>
      </m:oMath>
      <w:r w:rsidR="00877952">
        <w:t xml:space="preserve">, </w:t>
      </w:r>
      <m:oMath>
        <m:r>
          <w:rPr>
            <w:rFonts w:ascii="Cambria Math" w:hAnsi="Cambria Math"/>
          </w:rPr>
          <m:t>L</m:t>
        </m:r>
      </m:oMath>
      <w:r w:rsidR="00877952">
        <w:t xml:space="preserve"> is the lifetime of the plant in years, and </w:t>
      </w:r>
      <m:oMath>
        <m:sSub>
          <m:sSubPr>
            <m:ctrlPr>
              <w:rPr>
                <w:rFonts w:ascii="Cambria Math" w:hAnsi="Cambria Math"/>
                <w:i/>
              </w:rPr>
            </m:ctrlPr>
          </m:sSubPr>
          <m:e>
            <m:r>
              <w:rPr>
                <w:rFonts w:ascii="Cambria Math" w:hAnsi="Cambria Math"/>
              </w:rPr>
              <m:t>C</m:t>
            </m:r>
          </m:e>
          <m:sub>
            <m:r>
              <w:rPr>
                <w:rFonts w:ascii="Cambria Math" w:hAnsi="Cambria Math"/>
              </w:rPr>
              <m:t>DALY</m:t>
            </m:r>
          </m:sub>
        </m:sSub>
      </m:oMath>
      <w:r w:rsidR="00877952">
        <w:t xml:space="preserve"> is the factor for </w:t>
      </w:r>
      <w:r w:rsidR="00002B9C">
        <w:t>converting</w:t>
      </w:r>
      <w:r w:rsidR="00877952">
        <w:t xml:space="preserve"> between consequence in dose and </w:t>
      </w:r>
      <m:oMath>
        <m:r>
          <w:rPr>
            <w:rFonts w:ascii="Cambria Math" w:hAnsi="Cambria Math"/>
          </w:rPr>
          <m:t>DALY</m:t>
        </m:r>
      </m:oMath>
      <w:r w:rsidR="00877952">
        <w:t xml:space="preserve">, for example, </w:t>
      </w:r>
      <w:r w:rsidR="002858C2">
        <w:t xml:space="preserve">using </w:t>
      </w:r>
      <w:r w:rsidR="00877952">
        <w:t>th</w:t>
      </w:r>
      <w:r w:rsidR="00D170F5">
        <w:t>e factors propose</w:t>
      </w:r>
      <w:r w:rsidR="000E7D00">
        <w:t>d by Vaillant et al</w:t>
      </w:r>
      <w:r w:rsidR="00411594">
        <w:t>.</w:t>
      </w:r>
      <w:r w:rsidR="008C3D48">
        <w:t xml:space="preserve"> </w:t>
      </w:r>
      <w:r w:rsidR="008C3D48">
        <w:fldChar w:fldCharType="begin"/>
      </w:r>
      <w:r w:rsidR="008C3D48">
        <w:instrText xml:space="preserve"> REF _Ref168475802 \r \h </w:instrText>
      </w:r>
      <w:r w:rsidR="008C3D48">
        <w:fldChar w:fldCharType="separate"/>
      </w:r>
      <w:r w:rsidR="00303011">
        <w:t>[12]</w:t>
      </w:r>
      <w:r w:rsidR="008C3D48">
        <w:fldChar w:fldCharType="end"/>
      </w:r>
      <w:r w:rsidR="008C3D48">
        <w:t>.</w:t>
      </w:r>
      <w:r w:rsidR="00157BF3">
        <w:t xml:space="preserve"> </w:t>
      </w:r>
      <m:oMath>
        <m:r>
          <w:rPr>
            <w:rFonts w:ascii="Cambria Math" w:hAnsi="Cambria Math"/>
          </w:rPr>
          <m:t>S</m:t>
        </m:r>
      </m:oMath>
      <w:r w:rsidR="00157BF3">
        <w:t xml:space="preserve"> is a scaling factor that may </w:t>
      </w:r>
      <w:r w:rsidR="002F1BD1">
        <w:t>be</w:t>
      </w:r>
      <w:r w:rsidR="006F1FCF">
        <w:t xml:space="preserve"> applied </w:t>
      </w:r>
      <w:r w:rsidR="00C1648C">
        <w:t xml:space="preserve">either </w:t>
      </w:r>
      <w:r w:rsidR="006F1FCF">
        <w:t>to the risk or the frequency.</w:t>
      </w:r>
    </w:p>
    <w:p w14:paraId="6876FDE7" w14:textId="1FA6D9FA" w:rsidR="008C3D48" w:rsidRPr="00C12A83" w:rsidRDefault="00790540" w:rsidP="003A1E1C">
      <w:pPr>
        <w:pStyle w:val="BodyText"/>
      </w:pPr>
      <w:r>
        <w:t xml:space="preserve">For this case study, it must be acknowledged that the event sequences </w:t>
      </w:r>
      <w:r w:rsidR="00CD1D5B">
        <w:t>i</w:t>
      </w:r>
      <w:r>
        <w:t xml:space="preserve">n Table 1 </w:t>
      </w:r>
      <w:r w:rsidR="0042036B">
        <w:t>are not complete Level 2 PSA results</w:t>
      </w:r>
      <w:r w:rsidR="00CD1D5B">
        <w:t xml:space="preserve"> and there </w:t>
      </w:r>
      <w:r w:rsidR="002B51C8">
        <w:t>are very likely to be</w:t>
      </w:r>
      <w:r w:rsidR="00CD1D5B">
        <w:t xml:space="preserve"> other </w:t>
      </w:r>
      <w:r w:rsidR="00B9516D">
        <w:t>sequences leading to notable releases that are not included in the table.</w:t>
      </w:r>
      <w:r w:rsidR="005954C1">
        <w:t xml:space="preserve"> </w:t>
      </w:r>
      <w:r w:rsidR="00FD5BFD">
        <w:t xml:space="preserve">The risk calculated by Equation </w:t>
      </w:r>
      <w:r w:rsidR="00FD5BFD">
        <w:fldChar w:fldCharType="begin"/>
      </w:r>
      <w:r w:rsidR="00FD5BFD">
        <w:instrText xml:space="preserve"> REF _Ref162334218 \h </w:instrText>
      </w:r>
      <w:r w:rsidR="00FD5BFD">
        <w:fldChar w:fldCharType="separate"/>
      </w:r>
      <w:r w:rsidR="00303011" w:rsidRPr="00F63BCD">
        <w:t>(</w:t>
      </w:r>
      <w:r w:rsidR="00303011">
        <w:rPr>
          <w:noProof/>
        </w:rPr>
        <w:t>2</w:t>
      </w:r>
      <w:r w:rsidR="00303011" w:rsidRPr="00F63BCD">
        <w:t>)</w:t>
      </w:r>
      <w:r w:rsidR="00FD5BFD">
        <w:fldChar w:fldCharType="end"/>
      </w:r>
      <w:r w:rsidR="00FD5BFD">
        <w:t xml:space="preserve"> is therefore very likely to be underestimated </w:t>
      </w:r>
      <w:r w:rsidR="00B352FC">
        <w:t>using just the cases in Table</w:t>
      </w:r>
      <w:r w:rsidR="00332693">
        <w:t> </w:t>
      </w:r>
      <w:r w:rsidR="00B352FC">
        <w:t xml:space="preserve">1 without scaling. </w:t>
      </w:r>
      <w:r w:rsidR="00304C34">
        <w:t>The total frequency of the large releases (&gt;100 </w:t>
      </w:r>
      <w:proofErr w:type="spellStart"/>
      <w:r w:rsidR="00304C34">
        <w:t>TBq</w:t>
      </w:r>
      <w:proofErr w:type="spellEnd"/>
      <w:r w:rsidR="00304C34">
        <w:t xml:space="preserve"> </w:t>
      </w:r>
      <w:r w:rsidR="00304C34" w:rsidRPr="003A1E1C">
        <w:rPr>
          <w:vertAlign w:val="superscript"/>
        </w:rPr>
        <w:t>137</w:t>
      </w:r>
      <w:r w:rsidR="00304C34">
        <w:t xml:space="preserve">Cs, </w:t>
      </w:r>
      <w:r w:rsidR="00304C34" w:rsidRPr="003A1E1C">
        <w:rPr>
          <w:color w:val="FF0000"/>
        </w:rPr>
        <w:t xml:space="preserve">red </w:t>
      </w:r>
      <w:r w:rsidR="00304C34">
        <w:t>in Table 1)</w:t>
      </w:r>
      <w:r w:rsidR="00F21171">
        <w:t xml:space="preserve"> </w:t>
      </w:r>
      <w:r w:rsidR="00375D85">
        <w:t>was proposed as a</w:t>
      </w:r>
      <w:r w:rsidR="00F21171">
        <w:t xml:space="preserve"> basis for this scaling. </w:t>
      </w:r>
      <w:r w:rsidR="008A6D25">
        <w:t>A</w:t>
      </w:r>
      <w:r w:rsidR="00CF55D7">
        <w:t>n acceptability limit of 1.0</w:t>
      </w:r>
      <w:r w:rsidR="008848C1">
        <w:t>0</w:t>
      </w:r>
      <w:r w:rsidR="008A6D25">
        <w:t>E-6 </w:t>
      </w:r>
      <w:r w:rsidR="008A6D25" w:rsidRPr="008A6D25">
        <w:t>y</w:t>
      </w:r>
      <w:r w:rsidR="008A6D25" w:rsidRPr="008A6D25">
        <w:rPr>
          <w:vertAlign w:val="superscript"/>
        </w:rPr>
        <w:t>-1</w:t>
      </w:r>
      <w:r w:rsidR="008A6D25">
        <w:t xml:space="preserve"> </w:t>
      </w:r>
      <w:r w:rsidR="00CF55D7" w:rsidRPr="008A6D25">
        <w:t>for</w:t>
      </w:r>
      <w:r w:rsidR="00CF55D7">
        <w:t xml:space="preserve"> the sum of all event frequencies that lead to large releases </w:t>
      </w:r>
      <w:r w:rsidR="000E5C8F">
        <w:t>has been defined for Level 2 PSA results</w:t>
      </w:r>
      <w:r w:rsidR="00C3590C">
        <w:t xml:space="preserve"> </w:t>
      </w:r>
      <w:r w:rsidR="00C3590C">
        <w:fldChar w:fldCharType="begin"/>
      </w:r>
      <w:r w:rsidR="00C3590C">
        <w:instrText xml:space="preserve"> REF _Ref168479820 \r \h </w:instrText>
      </w:r>
      <w:r w:rsidR="00C3590C">
        <w:fldChar w:fldCharType="separate"/>
      </w:r>
      <w:r w:rsidR="00C3590C">
        <w:t>[18]</w:t>
      </w:r>
      <w:r w:rsidR="00C3590C">
        <w:fldChar w:fldCharType="end"/>
      </w:r>
      <w:r w:rsidR="000E5C8F">
        <w:t>.</w:t>
      </w:r>
      <w:r w:rsidR="006727CB">
        <w:t xml:space="preserve"> The sum of the relevant un-scaled </w:t>
      </w:r>
      <w:r w:rsidR="000C20B9">
        <w:t>frequencies i</w:t>
      </w:r>
      <w:r w:rsidR="00FF11E5">
        <w:t>n Table 1 is</w:t>
      </w:r>
      <w:r w:rsidR="000C20B9">
        <w:t xml:space="preserve"> 1.6</w:t>
      </w:r>
      <w:r w:rsidR="008848C1">
        <w:t>1</w:t>
      </w:r>
      <w:r w:rsidR="000C20B9">
        <w:t>E-10</w:t>
      </w:r>
      <w:r w:rsidR="00FF11E5">
        <w:t> y</w:t>
      </w:r>
      <w:r w:rsidR="00FF11E5" w:rsidRPr="003A1E1C">
        <w:rPr>
          <w:vertAlign w:val="superscript"/>
        </w:rPr>
        <w:t>-1</w:t>
      </w:r>
      <w:r w:rsidR="00FF11E5">
        <w:t>.</w:t>
      </w:r>
      <w:r w:rsidR="000C20B9">
        <w:t xml:space="preserve"> </w:t>
      </w:r>
      <w:r w:rsidR="00771225">
        <w:t xml:space="preserve">A factor of </w:t>
      </w:r>
      <m:oMath>
        <m:r>
          <w:rPr>
            <w:rFonts w:ascii="Cambria Math" w:hAnsi="Cambria Math"/>
          </w:rPr>
          <m:t>S</m:t>
        </m:r>
      </m:oMath>
      <w:r w:rsidR="00771225">
        <w:t> = 6.23E+03 applie</w:t>
      </w:r>
      <w:r w:rsidR="008727E3">
        <w:t>d</w:t>
      </w:r>
      <w:r w:rsidR="00771225">
        <w:t xml:space="preserve"> to every </w:t>
      </w:r>
      <w:r w:rsidR="00AA35B3">
        <w:t xml:space="preserve">event sequence </w:t>
      </w:r>
      <w:r w:rsidR="00771225">
        <w:t>frequency in Table 1</w:t>
      </w:r>
      <w:r w:rsidR="00AA35B3">
        <w:t xml:space="preserve"> will make the sum of </w:t>
      </w:r>
      <w:r w:rsidR="001D2DBB">
        <w:t xml:space="preserve">the large release cases equal to </w:t>
      </w:r>
      <w:r w:rsidR="00DE4645">
        <w:t>1.00E-6 y</w:t>
      </w:r>
      <w:r w:rsidR="00DE4645" w:rsidRPr="003A1E1C">
        <w:rPr>
          <w:vertAlign w:val="superscript"/>
        </w:rPr>
        <w:t>-1</w:t>
      </w:r>
      <w:r w:rsidR="0058010A">
        <w:t xml:space="preserve">. The so-scaled event frequencies must represent the upper limit for acceptable Level 2 PSA results </w:t>
      </w:r>
      <w:r w:rsidR="00C12A83">
        <w:t xml:space="preserve">and therefore the value of </w:t>
      </w:r>
      <m:oMath>
        <m:r>
          <w:rPr>
            <w:rFonts w:ascii="Cambria Math" w:hAnsi="Cambria Math"/>
          </w:rPr>
          <m:t>S</m:t>
        </m:r>
      </m:oMath>
      <w:r w:rsidR="00C12A83">
        <w:t xml:space="preserve"> = 6.23E+03 </w:t>
      </w:r>
      <w:r w:rsidR="00215E1A">
        <w:t>was</w:t>
      </w:r>
      <w:r w:rsidR="00C12A83">
        <w:t xml:space="preserve"> used in the present case study to bound the risk results.</w:t>
      </w:r>
    </w:p>
    <w:p w14:paraId="197470F8" w14:textId="5F831F80" w:rsidR="00F63BCD" w:rsidRPr="002858C2" w:rsidRDefault="00F63BCD" w:rsidP="002858C2">
      <w:pPr>
        <w:pStyle w:val="BodyText"/>
      </w:pPr>
      <w:r w:rsidRPr="002858C2">
        <w:t xml:space="preserve">There are other event sequences not explicitly listed Table 1 that may have significantly greater frequency and much smaller, but not necessarily zero, resulting doses. Such cases, including anticipated operational occurrences (AOO), design basis accidents (DBA), and some design extension conditions without severe core damage, would not typically be considered when sizing the EPZ because they have their own associated dose limits that should preclude the need for off-site emergency response. Nevertheless, their exclusion from the summation in Equation </w:t>
      </w:r>
      <w:r w:rsidRPr="002858C2">
        <w:fldChar w:fldCharType="begin"/>
      </w:r>
      <w:r w:rsidRPr="002858C2">
        <w:instrText xml:space="preserve"> REF _Ref162334218 \h </w:instrText>
      </w:r>
      <w:r w:rsidR="002858C2">
        <w:instrText xml:space="preserve"> \* MERGEFORMAT </w:instrText>
      </w:r>
      <w:r w:rsidRPr="002858C2">
        <w:fldChar w:fldCharType="separate"/>
      </w:r>
      <w:r w:rsidR="00303011" w:rsidRPr="00F63BCD">
        <w:t>(</w:t>
      </w:r>
      <w:r w:rsidR="00303011">
        <w:t>2</w:t>
      </w:r>
      <w:r w:rsidR="00303011" w:rsidRPr="00F63BCD">
        <w:t>)</w:t>
      </w:r>
      <w:r w:rsidRPr="002858C2">
        <w:fldChar w:fldCharType="end"/>
      </w:r>
      <w:r w:rsidRPr="002858C2">
        <w:t xml:space="preserve"> is potentially under-representing the </w:t>
      </w:r>
      <w:r w:rsidR="006F0EA1">
        <w:t>risk</w:t>
      </w:r>
      <w:r w:rsidRPr="002858C2">
        <w:t xml:space="preserve"> at each receptor</w:t>
      </w:r>
      <w:r w:rsidR="006F0EA1">
        <w:t xml:space="preserve"> as well</w:t>
      </w:r>
      <w:r w:rsidRPr="002858C2">
        <w:t>. This is explored further in the following section.</w:t>
      </w:r>
    </w:p>
    <w:p w14:paraId="2837535D" w14:textId="7CF7B19A" w:rsidR="008916B7" w:rsidRDefault="008916B7" w:rsidP="008916B7">
      <w:pPr>
        <w:pStyle w:val="Heading2"/>
        <w:numPr>
          <w:ilvl w:val="1"/>
          <w:numId w:val="10"/>
        </w:numPr>
      </w:pPr>
      <w:r w:rsidRPr="00D12176">
        <w:t>Results and Discussion</w:t>
      </w:r>
    </w:p>
    <w:p w14:paraId="217580B5" w14:textId="010E86A7" w:rsidR="00A5564F" w:rsidRDefault="004F5232" w:rsidP="003F5AE8">
      <w:pPr>
        <w:pStyle w:val="BodyText"/>
      </w:pPr>
      <w:r>
        <w:t xml:space="preserve">Fig. 1 </w:t>
      </w:r>
      <w:r w:rsidRPr="004F5232">
        <w:t xml:space="preserve">summarises the </w:t>
      </w:r>
      <w:r w:rsidR="009335CC">
        <w:t>risk predictions in</w:t>
      </w:r>
      <w:r w:rsidRPr="004F5232">
        <w:t xml:space="preserve"> the vicinity of the plant. The specific dose </w:t>
      </w:r>
      <w:r w:rsidR="00023E4E">
        <w:t xml:space="preserve">pathways </w:t>
      </w:r>
      <w:r w:rsidRPr="004F5232">
        <w:t xml:space="preserve">and residence times were selected from the first three generic criteria to trigger protective actions that control exposure </w:t>
      </w:r>
      <w:r>
        <w:fldChar w:fldCharType="begin"/>
      </w:r>
      <w:r>
        <w:instrText xml:space="preserve"> REF _Ref168472269 \w \h </w:instrText>
      </w:r>
      <w:r>
        <w:fldChar w:fldCharType="separate"/>
      </w:r>
      <w:r w:rsidR="00303011">
        <w:t>[6]</w:t>
      </w:r>
      <w:r>
        <w:fldChar w:fldCharType="end"/>
      </w:r>
      <w:r>
        <w:t>.</w:t>
      </w:r>
      <w:r w:rsidRPr="004F5232">
        <w:t xml:space="preserve"> </w:t>
      </w:r>
      <w:r w:rsidRPr="004F5232">
        <w:lastRenderedPageBreak/>
        <w:t>These are, in order, 50</w:t>
      </w:r>
      <w:r>
        <w:t> </w:t>
      </w:r>
      <w:r w:rsidRPr="004F5232">
        <w:t>mSv dose to the thyroid in the first 7 days (stable iodine thyroid blocking), 100</w:t>
      </w:r>
      <w:r>
        <w:t> </w:t>
      </w:r>
      <w:r w:rsidRPr="004F5232">
        <w:t>mSv effective dose in the first 7 days (evacuation), and 10</w:t>
      </w:r>
      <w:r>
        <w:t> </w:t>
      </w:r>
      <w:r w:rsidRPr="004F5232">
        <w:t xml:space="preserve">mSv effective dose in the first 2 days (sheltering). </w:t>
      </w:r>
      <w:r w:rsidR="00ED4050" w:rsidRPr="00ED4050">
        <w:t xml:space="preserve">The </w:t>
      </w:r>
      <w:r w:rsidR="00ED4050">
        <w:t>risks</w:t>
      </w:r>
      <w:r w:rsidR="00ED4050" w:rsidRPr="00ED4050">
        <w:t xml:space="preserve"> are greatest in the northwest and southeast directions, consistent with the dominant wind directions present in the meteorological records</w:t>
      </w:r>
      <w:r w:rsidR="009173A8">
        <w:t xml:space="preserve"> </w:t>
      </w:r>
      <w:r w:rsidR="009173A8">
        <w:fldChar w:fldCharType="begin"/>
      </w:r>
      <w:r w:rsidR="009173A8">
        <w:instrText xml:space="preserve"> REF _Ref168487515 \r \h </w:instrText>
      </w:r>
      <w:r w:rsidR="009173A8">
        <w:fldChar w:fldCharType="separate"/>
      </w:r>
      <w:r w:rsidR="009173A8">
        <w:t>[22]</w:t>
      </w:r>
      <w:r w:rsidR="009173A8">
        <w:fldChar w:fldCharType="end"/>
      </w:r>
      <w:r w:rsidR="00ED4050" w:rsidRPr="00ED4050">
        <w:t xml:space="preserve">. </w:t>
      </w:r>
    </w:p>
    <w:p w14:paraId="376AAA49" w14:textId="592B4898" w:rsidR="003F5AE8" w:rsidRDefault="0058161C" w:rsidP="003A1E1C">
      <w:pPr>
        <w:pStyle w:val="BodyText"/>
        <w:ind w:firstLine="0"/>
        <w:jc w:val="center"/>
      </w:pPr>
      <w:r>
        <w:rPr>
          <w:noProof/>
          <w:lang w:val="en-CA" w:eastAsia="en-CA"/>
        </w:rPr>
        <w:drawing>
          <wp:inline distT="0" distB="0" distL="0" distR="0" wp14:anchorId="01028E54" wp14:editId="16E30950">
            <wp:extent cx="2671552" cy="2016000"/>
            <wp:effectExtent l="0" t="0" r="0" b="3810"/>
            <wp:docPr id="534913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1552" cy="2016000"/>
                    </a:xfrm>
                    <a:prstGeom prst="rect">
                      <a:avLst/>
                    </a:prstGeom>
                    <a:noFill/>
                    <a:ln>
                      <a:noFill/>
                    </a:ln>
                  </pic:spPr>
                </pic:pic>
              </a:graphicData>
            </a:graphic>
          </wp:inline>
        </w:drawing>
      </w:r>
      <w:r w:rsidR="00E449C5" w:rsidRPr="003A1E1C">
        <w:rPr>
          <w:sz w:val="18"/>
          <w:szCs w:val="18"/>
        </w:rPr>
        <w:t>(a)</w:t>
      </w:r>
      <w:r w:rsidR="0073424D">
        <w:rPr>
          <w:noProof/>
          <w:lang w:val="en-CA" w:eastAsia="en-CA"/>
        </w:rPr>
        <w:drawing>
          <wp:inline distT="0" distB="0" distL="0" distR="0" wp14:anchorId="71758358" wp14:editId="5FC4AB0D">
            <wp:extent cx="2671552" cy="2016000"/>
            <wp:effectExtent l="0" t="0" r="0" b="3810"/>
            <wp:docPr id="7011492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1552" cy="2016000"/>
                    </a:xfrm>
                    <a:prstGeom prst="rect">
                      <a:avLst/>
                    </a:prstGeom>
                    <a:noFill/>
                    <a:ln>
                      <a:noFill/>
                    </a:ln>
                  </pic:spPr>
                </pic:pic>
              </a:graphicData>
            </a:graphic>
          </wp:inline>
        </w:drawing>
      </w:r>
      <w:r w:rsidR="008642AD" w:rsidRPr="008642AD">
        <w:rPr>
          <w:sz w:val="18"/>
          <w:szCs w:val="18"/>
        </w:rPr>
        <w:t xml:space="preserve"> </w:t>
      </w:r>
      <w:r w:rsidR="008642AD" w:rsidRPr="00BB453E">
        <w:rPr>
          <w:sz w:val="18"/>
          <w:szCs w:val="18"/>
        </w:rPr>
        <w:t>(</w:t>
      </w:r>
      <w:r w:rsidR="008642AD">
        <w:rPr>
          <w:sz w:val="18"/>
          <w:szCs w:val="18"/>
        </w:rPr>
        <w:t>b</w:t>
      </w:r>
      <w:r w:rsidR="008642AD" w:rsidRPr="00BB453E">
        <w:rPr>
          <w:sz w:val="18"/>
          <w:szCs w:val="18"/>
        </w:rPr>
        <w:t>)</w:t>
      </w:r>
    </w:p>
    <w:p w14:paraId="0C5FED28" w14:textId="78E2145E" w:rsidR="0073424D" w:rsidRDefault="0094112C" w:rsidP="003A1E1C">
      <w:pPr>
        <w:pStyle w:val="BodyText"/>
        <w:ind w:firstLine="0"/>
        <w:jc w:val="center"/>
      </w:pPr>
      <w:r>
        <w:rPr>
          <w:noProof/>
          <w:lang w:val="en-CA" w:eastAsia="en-CA"/>
        </w:rPr>
        <w:drawing>
          <wp:inline distT="0" distB="0" distL="0" distR="0" wp14:anchorId="766BE283" wp14:editId="56E30F09">
            <wp:extent cx="2671552" cy="2016000"/>
            <wp:effectExtent l="0" t="0" r="0" b="3810"/>
            <wp:docPr id="9687674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1552" cy="2016000"/>
                    </a:xfrm>
                    <a:prstGeom prst="rect">
                      <a:avLst/>
                    </a:prstGeom>
                    <a:noFill/>
                    <a:ln>
                      <a:noFill/>
                    </a:ln>
                  </pic:spPr>
                </pic:pic>
              </a:graphicData>
            </a:graphic>
          </wp:inline>
        </w:drawing>
      </w:r>
      <w:r w:rsidR="008642AD" w:rsidRPr="003A1E1C">
        <w:rPr>
          <w:sz w:val="18"/>
          <w:szCs w:val="18"/>
        </w:rPr>
        <w:t>(c)</w:t>
      </w:r>
    </w:p>
    <w:p w14:paraId="1213967A" w14:textId="42AA41FD" w:rsidR="003F5AE8" w:rsidRPr="004F5232" w:rsidRDefault="003F5AE8" w:rsidP="003A1E1C">
      <w:pPr>
        <w:pStyle w:val="BodyText"/>
        <w:ind w:firstLine="0"/>
        <w:rPr>
          <w:i/>
          <w:iCs/>
          <w:sz w:val="18"/>
          <w:szCs w:val="18"/>
        </w:rPr>
      </w:pPr>
      <w:r w:rsidRPr="004F5232">
        <w:rPr>
          <w:i/>
          <w:iCs/>
          <w:sz w:val="18"/>
          <w:szCs w:val="18"/>
        </w:rPr>
        <w:t xml:space="preserve">FIG. </w:t>
      </w:r>
      <w:r>
        <w:rPr>
          <w:i/>
          <w:iCs/>
          <w:sz w:val="18"/>
          <w:szCs w:val="18"/>
        </w:rPr>
        <w:t>1</w:t>
      </w:r>
      <w:r w:rsidRPr="004F5232">
        <w:rPr>
          <w:i/>
          <w:iCs/>
          <w:sz w:val="18"/>
          <w:szCs w:val="18"/>
        </w:rPr>
        <w:t xml:space="preserve">. </w:t>
      </w:r>
      <w:r w:rsidR="006F7A7E">
        <w:rPr>
          <w:i/>
          <w:iCs/>
          <w:sz w:val="18"/>
          <w:szCs w:val="18"/>
        </w:rPr>
        <w:t xml:space="preserve">Spatial distribution of </w:t>
      </w:r>
      <w:r w:rsidR="00547F46">
        <w:rPr>
          <w:i/>
          <w:iCs/>
          <w:sz w:val="18"/>
          <w:szCs w:val="18"/>
        </w:rPr>
        <w:t>risk around the plant</w:t>
      </w:r>
      <w:r w:rsidR="008642AD">
        <w:rPr>
          <w:i/>
          <w:iCs/>
          <w:sz w:val="18"/>
          <w:szCs w:val="18"/>
        </w:rPr>
        <w:t xml:space="preserve"> in </w:t>
      </w:r>
      <m:oMath>
        <m:r>
          <w:rPr>
            <w:rFonts w:ascii="Cambria Math" w:hAnsi="Cambria Math"/>
            <w:sz w:val="18"/>
            <w:szCs w:val="18"/>
          </w:rPr>
          <m:t>DALY</m:t>
        </m:r>
      </m:oMath>
      <w:r w:rsidR="008642AD">
        <w:rPr>
          <w:i/>
          <w:iCs/>
          <w:sz w:val="18"/>
          <w:szCs w:val="18"/>
        </w:rPr>
        <w:t xml:space="preserve"> per 10,000 population. </w:t>
      </w:r>
      <w:r w:rsidR="00CD6078">
        <w:rPr>
          <w:i/>
          <w:iCs/>
          <w:sz w:val="18"/>
          <w:szCs w:val="18"/>
        </w:rPr>
        <w:t xml:space="preserve">(a) </w:t>
      </w:r>
      <w:r w:rsidR="00CD6078" w:rsidRPr="00CD6078">
        <w:rPr>
          <w:i/>
          <w:iCs/>
          <w:sz w:val="18"/>
          <w:szCs w:val="18"/>
        </w:rPr>
        <w:t>us</w:t>
      </w:r>
      <w:r w:rsidR="00CD6078">
        <w:rPr>
          <w:i/>
          <w:iCs/>
          <w:sz w:val="18"/>
          <w:szCs w:val="18"/>
        </w:rPr>
        <w:t>es</w:t>
      </w:r>
      <w:r w:rsidR="00CD6078" w:rsidRPr="00CD6078">
        <w:rPr>
          <w:i/>
          <w:iCs/>
          <w:sz w:val="18"/>
          <w:szCs w:val="18"/>
        </w:rPr>
        <w:t xml:space="preserve"> the factor of 433.875 DALY for 10</w:t>
      </w:r>
      <w:r w:rsidR="00CD6078" w:rsidRPr="003A1E1C">
        <w:rPr>
          <w:i/>
          <w:iCs/>
          <w:sz w:val="18"/>
          <w:szCs w:val="18"/>
          <w:vertAlign w:val="superscript"/>
        </w:rPr>
        <w:t>4</w:t>
      </w:r>
      <w:r w:rsidR="00CD6078" w:rsidRPr="00CD6078">
        <w:rPr>
          <w:i/>
          <w:iCs/>
          <w:sz w:val="18"/>
          <w:szCs w:val="18"/>
        </w:rPr>
        <w:t xml:space="preserve"> persons receiving 1 </w:t>
      </w:r>
      <w:proofErr w:type="spellStart"/>
      <w:r w:rsidR="00CD6078" w:rsidRPr="00CD6078">
        <w:rPr>
          <w:i/>
          <w:iCs/>
          <w:sz w:val="18"/>
          <w:szCs w:val="18"/>
        </w:rPr>
        <w:t>Sv</w:t>
      </w:r>
      <w:proofErr w:type="spellEnd"/>
      <w:r w:rsidR="00CD6078" w:rsidRPr="00CD6078">
        <w:rPr>
          <w:i/>
          <w:iCs/>
          <w:sz w:val="18"/>
          <w:szCs w:val="18"/>
        </w:rPr>
        <w:t xml:space="preserve"> thyroid dose</w:t>
      </w:r>
      <w:r w:rsidR="00377FCF">
        <w:rPr>
          <w:i/>
          <w:iCs/>
          <w:sz w:val="18"/>
          <w:szCs w:val="18"/>
        </w:rPr>
        <w:t xml:space="preserve">, whereas (b) and (c) </w:t>
      </w:r>
      <w:r w:rsidR="00023E4E">
        <w:rPr>
          <w:i/>
          <w:iCs/>
          <w:sz w:val="18"/>
          <w:szCs w:val="18"/>
        </w:rPr>
        <w:t xml:space="preserve">use </w:t>
      </w:r>
      <w:r w:rsidR="00377FCF" w:rsidRPr="00377FCF">
        <w:rPr>
          <w:i/>
          <w:iCs/>
          <w:sz w:val="18"/>
          <w:szCs w:val="18"/>
        </w:rPr>
        <w:t>9928.625 DALY for 10</w:t>
      </w:r>
      <w:r w:rsidR="00377FCF" w:rsidRPr="003A1E1C">
        <w:rPr>
          <w:i/>
          <w:iCs/>
          <w:sz w:val="18"/>
          <w:szCs w:val="18"/>
          <w:vertAlign w:val="superscript"/>
        </w:rPr>
        <w:t>4</w:t>
      </w:r>
      <w:r w:rsidR="00377FCF" w:rsidRPr="00377FCF">
        <w:rPr>
          <w:i/>
          <w:iCs/>
          <w:sz w:val="18"/>
          <w:szCs w:val="18"/>
        </w:rPr>
        <w:t xml:space="preserve"> persons receiving 1 </w:t>
      </w:r>
      <w:proofErr w:type="spellStart"/>
      <w:r w:rsidR="00377FCF" w:rsidRPr="00377FCF">
        <w:rPr>
          <w:i/>
          <w:iCs/>
          <w:sz w:val="18"/>
          <w:szCs w:val="18"/>
        </w:rPr>
        <w:t>Sv</w:t>
      </w:r>
      <w:proofErr w:type="spellEnd"/>
      <w:r w:rsidR="00377FCF" w:rsidRPr="00377FCF">
        <w:rPr>
          <w:i/>
          <w:iCs/>
          <w:sz w:val="18"/>
          <w:szCs w:val="18"/>
        </w:rPr>
        <w:t xml:space="preserve"> effective dose reported by Vaillant et al</w:t>
      </w:r>
      <w:r w:rsidR="00411594">
        <w:rPr>
          <w:i/>
          <w:iCs/>
          <w:sz w:val="18"/>
          <w:szCs w:val="18"/>
        </w:rPr>
        <w:t>.</w:t>
      </w:r>
      <w:r w:rsidR="00377FCF" w:rsidRPr="00377FCF">
        <w:rPr>
          <w:i/>
          <w:iCs/>
          <w:sz w:val="18"/>
          <w:szCs w:val="18"/>
        </w:rPr>
        <w:t xml:space="preserve"> </w:t>
      </w:r>
      <w:r w:rsidR="00332693">
        <w:rPr>
          <w:i/>
          <w:iCs/>
          <w:sz w:val="18"/>
          <w:szCs w:val="18"/>
        </w:rPr>
        <w:fldChar w:fldCharType="begin"/>
      </w:r>
      <w:r w:rsidR="00332693">
        <w:rPr>
          <w:i/>
          <w:iCs/>
          <w:sz w:val="18"/>
          <w:szCs w:val="18"/>
        </w:rPr>
        <w:instrText xml:space="preserve"> REF _Ref168475802 \r \h </w:instrText>
      </w:r>
      <w:r w:rsidR="00332693">
        <w:rPr>
          <w:i/>
          <w:iCs/>
          <w:sz w:val="18"/>
          <w:szCs w:val="18"/>
        </w:rPr>
      </w:r>
      <w:r w:rsidR="00332693">
        <w:rPr>
          <w:i/>
          <w:iCs/>
          <w:sz w:val="18"/>
          <w:szCs w:val="18"/>
        </w:rPr>
        <w:fldChar w:fldCharType="separate"/>
      </w:r>
      <w:r w:rsidR="00332693">
        <w:rPr>
          <w:i/>
          <w:iCs/>
          <w:sz w:val="18"/>
          <w:szCs w:val="18"/>
        </w:rPr>
        <w:t>[12]</w:t>
      </w:r>
      <w:r w:rsidR="00332693">
        <w:rPr>
          <w:i/>
          <w:iCs/>
          <w:sz w:val="18"/>
          <w:szCs w:val="18"/>
        </w:rPr>
        <w:fldChar w:fldCharType="end"/>
      </w:r>
      <w:r w:rsidR="00397220" w:rsidRPr="003A1E1C">
        <w:rPr>
          <w:sz w:val="18"/>
          <w:szCs w:val="18"/>
        </w:rPr>
        <w:t>.</w:t>
      </w:r>
    </w:p>
    <w:p w14:paraId="50E68AE1" w14:textId="77777777" w:rsidR="003F5AE8" w:rsidRDefault="003F5AE8" w:rsidP="003F5AE8">
      <w:pPr>
        <w:pStyle w:val="BodyText"/>
      </w:pPr>
    </w:p>
    <w:p w14:paraId="2278357F" w14:textId="05151B04" w:rsidR="008916B7" w:rsidRDefault="00D72112" w:rsidP="00D72112">
      <w:pPr>
        <w:pStyle w:val="BodyText"/>
      </w:pPr>
      <w:r w:rsidRPr="00D72112">
        <w:t xml:space="preserve">The risk-based approach considers every event sequence present in </w:t>
      </w:r>
      <w:r>
        <w:t>Table 1</w:t>
      </w:r>
      <w:r w:rsidRPr="00D72112">
        <w:t xml:space="preserve"> and integrates the results according to Equation </w:t>
      </w:r>
      <w:r>
        <w:fldChar w:fldCharType="begin"/>
      </w:r>
      <w:r>
        <w:instrText xml:space="preserve"> REF _Ref162334218 \h </w:instrText>
      </w:r>
      <w:r>
        <w:fldChar w:fldCharType="separate"/>
      </w:r>
      <w:r w:rsidR="00303011" w:rsidRPr="00F63BCD">
        <w:t>(</w:t>
      </w:r>
      <w:r w:rsidR="00303011">
        <w:rPr>
          <w:noProof/>
        </w:rPr>
        <w:t>2</w:t>
      </w:r>
      <w:r w:rsidR="00303011" w:rsidRPr="00F63BCD">
        <w:t>)</w:t>
      </w:r>
      <w:r>
        <w:fldChar w:fldCharType="end"/>
      </w:r>
      <w:r w:rsidRPr="00D72112">
        <w:t xml:space="preserve">. Whereas an individual large release </w:t>
      </w:r>
      <w:r w:rsidR="00AF334C">
        <w:t>may</w:t>
      </w:r>
      <w:r w:rsidRPr="00D72112">
        <w:t xml:space="preserve"> result in unacceptably large doses to the public (consequence), when these doses are weighted by the likelihood of the release occurring (probability), the risk is relatively low. This result is expected from the magnitude of the frequencies listed in Table </w:t>
      </w:r>
      <w:r>
        <w:t>1</w:t>
      </w:r>
      <w:r w:rsidRPr="00D72112">
        <w:t xml:space="preserve">. The integrated risk from all event sequences is summarised in Table </w:t>
      </w:r>
      <w:r>
        <w:t>2</w:t>
      </w:r>
      <w:r w:rsidRPr="00D72112">
        <w:t>, which shows the predicted consequences 100</w:t>
      </w:r>
      <w:r w:rsidR="0090639F">
        <w:t> </w:t>
      </w:r>
      <w:r w:rsidRPr="00D72112">
        <w:t>m from the release location (the closest dose receptor in the ADDAM calculation).</w:t>
      </w:r>
      <w:r w:rsidR="009C5782">
        <w:t xml:space="preserve"> </w:t>
      </w:r>
      <w:r w:rsidR="00E41DC4">
        <w:t xml:space="preserve">The calculated </w:t>
      </w:r>
      <w:r w:rsidR="00E141A9">
        <w:t xml:space="preserve">DALY </w:t>
      </w:r>
      <w:r w:rsidR="00E41DC4">
        <w:t xml:space="preserve">equivalent of the generic criteria </w:t>
      </w:r>
      <w:proofErr w:type="gramStart"/>
      <w:r w:rsidR="00E41DC4">
        <w:t>are</w:t>
      </w:r>
      <w:proofErr w:type="gramEnd"/>
      <w:r w:rsidR="00E41DC4">
        <w:t xml:space="preserve"> also shown</w:t>
      </w:r>
      <w:r w:rsidR="00FE5D42">
        <w:t xml:space="preserve"> </w:t>
      </w:r>
      <w:r w:rsidR="003C4A74">
        <w:t>not to be exceed at 100 m.</w:t>
      </w:r>
      <w:r w:rsidR="009C5782">
        <w:t xml:space="preserve"> </w:t>
      </w:r>
    </w:p>
    <w:p w14:paraId="7EE88FE9" w14:textId="77777777" w:rsidR="00D72112" w:rsidRDefault="00D72112" w:rsidP="00D72112">
      <w:pPr>
        <w:pStyle w:val="BodyText"/>
      </w:pPr>
    </w:p>
    <w:p w14:paraId="48FC47FF" w14:textId="1DC1DBBA" w:rsidR="00D72112" w:rsidRDefault="00D72112" w:rsidP="003A1E1C">
      <w:pPr>
        <w:pStyle w:val="BodyText"/>
        <w:keepNext/>
        <w:keepLines/>
        <w:spacing w:line="240" w:lineRule="atLeast"/>
        <w:ind w:left="1134" w:hanging="1134"/>
      </w:pPr>
      <w:r w:rsidRPr="00D12176">
        <w:t xml:space="preserve">TABLE </w:t>
      </w:r>
      <w:r>
        <w:t>2</w:t>
      </w:r>
      <w:r w:rsidRPr="00D12176">
        <w:t>.</w:t>
      </w:r>
      <w:r w:rsidRPr="00D12176">
        <w:tab/>
      </w:r>
      <w:r>
        <w:t>RISK-BASED HEALTH CONSEQUENCES AT 100 M CONSIDERING ALL EVENT SEQUENCES IN TABLE 1</w:t>
      </w:r>
      <w:r w:rsidRPr="00D12176">
        <w:t>.</w:t>
      </w:r>
    </w:p>
    <w:p w14:paraId="49B25725" w14:textId="77777777" w:rsidR="00D72112" w:rsidRDefault="00D72112" w:rsidP="003A1E1C">
      <w:pPr>
        <w:pStyle w:val="BodyText"/>
        <w:keepNext/>
        <w:keepLines/>
        <w:spacing w:line="240" w:lineRule="atLeast"/>
        <w:ind w:left="1134" w:hanging="1134"/>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2211"/>
        <w:gridCol w:w="1984"/>
        <w:gridCol w:w="1984"/>
      </w:tblGrid>
      <w:tr w:rsidR="00397220" w14:paraId="6A30ED3E" w14:textId="29EB9EC4" w:rsidTr="00D950E1">
        <w:trPr>
          <w:jc w:val="center"/>
        </w:trPr>
        <w:tc>
          <w:tcPr>
            <w:tcW w:w="2211" w:type="dxa"/>
            <w:tcBorders>
              <w:top w:val="single" w:sz="4" w:space="0" w:color="auto"/>
              <w:bottom w:val="single" w:sz="4" w:space="0" w:color="auto"/>
            </w:tcBorders>
            <w:vAlign w:val="center"/>
          </w:tcPr>
          <w:p w14:paraId="60E8A7DC" w14:textId="52DFCDA1" w:rsidR="00397220" w:rsidRPr="00D72112" w:rsidRDefault="00397220" w:rsidP="0059399D">
            <w:pPr>
              <w:pStyle w:val="BodyText"/>
              <w:spacing w:line="240" w:lineRule="atLeast"/>
              <w:ind w:firstLine="0"/>
              <w:jc w:val="left"/>
              <w:rPr>
                <w:sz w:val="18"/>
                <w:szCs w:val="18"/>
              </w:rPr>
            </w:pPr>
            <w:r>
              <w:rPr>
                <w:sz w:val="18"/>
                <w:szCs w:val="18"/>
              </w:rPr>
              <w:t>Criterion</w:t>
            </w:r>
          </w:p>
        </w:tc>
        <w:tc>
          <w:tcPr>
            <w:tcW w:w="1984" w:type="dxa"/>
            <w:tcBorders>
              <w:top w:val="single" w:sz="4" w:space="0" w:color="auto"/>
              <w:bottom w:val="single" w:sz="4" w:space="0" w:color="auto"/>
            </w:tcBorders>
            <w:vAlign w:val="center"/>
          </w:tcPr>
          <w:p w14:paraId="3F48E2C8" w14:textId="24AF617B" w:rsidR="00397220" w:rsidRPr="00D72112" w:rsidRDefault="00397220" w:rsidP="00D950E1">
            <w:pPr>
              <w:pStyle w:val="BodyText"/>
              <w:spacing w:line="240" w:lineRule="auto"/>
              <w:ind w:firstLine="0"/>
              <w:jc w:val="center"/>
              <w:rPr>
                <w:sz w:val="18"/>
                <w:szCs w:val="18"/>
              </w:rPr>
            </w:pPr>
            <w:r>
              <w:rPr>
                <w:sz w:val="18"/>
                <w:szCs w:val="18"/>
              </w:rPr>
              <w:t xml:space="preserve">Calculated </w:t>
            </w:r>
            <m:oMath>
              <m:r>
                <w:rPr>
                  <w:rFonts w:ascii="Cambria Math" w:hAnsi="Cambria Math"/>
                  <w:sz w:val="18"/>
                  <w:szCs w:val="18"/>
                </w:rPr>
                <m:t>DALY</m:t>
              </m:r>
            </m:oMath>
            <w:r>
              <w:rPr>
                <w:sz w:val="18"/>
                <w:szCs w:val="18"/>
              </w:rPr>
              <w:t xml:space="preserve"> per 10,000 population</w:t>
            </w:r>
          </w:p>
        </w:tc>
        <w:tc>
          <w:tcPr>
            <w:tcW w:w="1984" w:type="dxa"/>
            <w:tcBorders>
              <w:top w:val="single" w:sz="4" w:space="0" w:color="auto"/>
              <w:bottom w:val="single" w:sz="4" w:space="0" w:color="auto"/>
            </w:tcBorders>
            <w:vAlign w:val="center"/>
          </w:tcPr>
          <w:p w14:paraId="4F368005" w14:textId="05A24E20" w:rsidR="00397220" w:rsidRDefault="00397220" w:rsidP="00D950E1">
            <w:pPr>
              <w:pStyle w:val="BodyText"/>
              <w:spacing w:line="240" w:lineRule="atLeast"/>
              <w:ind w:firstLine="0"/>
              <w:jc w:val="center"/>
              <w:rPr>
                <w:sz w:val="18"/>
                <w:szCs w:val="18"/>
              </w:rPr>
            </w:pPr>
            <m:oMath>
              <m:r>
                <w:rPr>
                  <w:rFonts w:ascii="Cambria Math" w:hAnsi="Cambria Math"/>
                  <w:sz w:val="18"/>
                  <w:szCs w:val="18"/>
                </w:rPr>
                <m:t>DALY</m:t>
              </m:r>
            </m:oMath>
            <w:r>
              <w:rPr>
                <w:sz w:val="18"/>
                <w:szCs w:val="18"/>
              </w:rPr>
              <w:t xml:space="preserve"> </w:t>
            </w:r>
            <w:r w:rsidR="008554F7">
              <w:rPr>
                <w:sz w:val="18"/>
                <w:szCs w:val="18"/>
              </w:rPr>
              <w:t xml:space="preserve">per 10,000 population </w:t>
            </w:r>
            <w:proofErr w:type="gramStart"/>
            <w:r>
              <w:rPr>
                <w:sz w:val="18"/>
                <w:szCs w:val="18"/>
              </w:rPr>
              <w:t>equivalent</w:t>
            </w:r>
            <w:proofErr w:type="gramEnd"/>
            <w:r>
              <w:rPr>
                <w:sz w:val="18"/>
                <w:szCs w:val="18"/>
              </w:rPr>
              <w:t xml:space="preserve"> to generic criterion </w:t>
            </w:r>
            <w:r>
              <w:rPr>
                <w:sz w:val="18"/>
                <w:szCs w:val="18"/>
              </w:rPr>
              <w:fldChar w:fldCharType="begin"/>
            </w:r>
            <w:r>
              <w:rPr>
                <w:sz w:val="18"/>
                <w:szCs w:val="18"/>
              </w:rPr>
              <w:instrText xml:space="preserve"> REF _Ref168472600 \n \h </w:instrText>
            </w:r>
            <w:r w:rsidR="00D950E1">
              <w:rPr>
                <w:sz w:val="18"/>
                <w:szCs w:val="18"/>
              </w:rPr>
              <w:instrText xml:space="preserve"> \* MERGEFORMAT </w:instrText>
            </w:r>
            <w:r>
              <w:rPr>
                <w:sz w:val="18"/>
                <w:szCs w:val="18"/>
              </w:rPr>
            </w:r>
            <w:r>
              <w:rPr>
                <w:sz w:val="18"/>
                <w:szCs w:val="18"/>
              </w:rPr>
              <w:fldChar w:fldCharType="separate"/>
            </w:r>
            <w:r w:rsidR="00303011">
              <w:rPr>
                <w:sz w:val="18"/>
                <w:szCs w:val="18"/>
              </w:rPr>
              <w:t>[7]</w:t>
            </w:r>
            <w:r>
              <w:rPr>
                <w:sz w:val="18"/>
                <w:szCs w:val="18"/>
              </w:rPr>
              <w:fldChar w:fldCharType="end"/>
            </w:r>
          </w:p>
        </w:tc>
      </w:tr>
      <w:tr w:rsidR="00397220" w14:paraId="7B17C4F0" w14:textId="53263AF2" w:rsidTr="00D950E1">
        <w:trPr>
          <w:jc w:val="center"/>
        </w:trPr>
        <w:tc>
          <w:tcPr>
            <w:tcW w:w="2211" w:type="dxa"/>
            <w:tcBorders>
              <w:top w:val="single" w:sz="4" w:space="0" w:color="auto"/>
            </w:tcBorders>
          </w:tcPr>
          <w:p w14:paraId="720A5483" w14:textId="4C4DC05C" w:rsidR="00397220" w:rsidRPr="00D72112" w:rsidRDefault="00397220" w:rsidP="0059399D">
            <w:pPr>
              <w:pStyle w:val="BodyText"/>
              <w:spacing w:line="240" w:lineRule="atLeast"/>
              <w:ind w:firstLine="0"/>
              <w:rPr>
                <w:sz w:val="18"/>
                <w:szCs w:val="18"/>
              </w:rPr>
            </w:pPr>
            <w:r>
              <w:rPr>
                <w:sz w:val="18"/>
                <w:szCs w:val="18"/>
              </w:rPr>
              <w:t>Dose to thyroid in 7 days</w:t>
            </w:r>
          </w:p>
        </w:tc>
        <w:tc>
          <w:tcPr>
            <w:tcW w:w="1984" w:type="dxa"/>
            <w:tcBorders>
              <w:top w:val="single" w:sz="4" w:space="0" w:color="auto"/>
            </w:tcBorders>
            <w:vAlign w:val="center"/>
          </w:tcPr>
          <w:p w14:paraId="238D342F" w14:textId="773B71E3" w:rsidR="00397220" w:rsidRPr="00D72112" w:rsidRDefault="00397220" w:rsidP="0059399D">
            <w:pPr>
              <w:pStyle w:val="BodyText"/>
              <w:spacing w:line="240" w:lineRule="atLeast"/>
              <w:ind w:firstLine="0"/>
              <w:jc w:val="center"/>
              <w:rPr>
                <w:sz w:val="18"/>
                <w:szCs w:val="18"/>
              </w:rPr>
            </w:pPr>
            <w:r>
              <w:rPr>
                <w:sz w:val="18"/>
                <w:szCs w:val="18"/>
              </w:rPr>
              <w:t>12.0</w:t>
            </w:r>
            <w:r w:rsidRPr="00D72112">
              <w:rPr>
                <w:sz w:val="18"/>
                <w:szCs w:val="18"/>
                <w:vertAlign w:val="superscript"/>
              </w:rPr>
              <w:t>a</w:t>
            </w:r>
          </w:p>
        </w:tc>
        <w:tc>
          <w:tcPr>
            <w:tcW w:w="1984" w:type="dxa"/>
            <w:tcBorders>
              <w:top w:val="single" w:sz="4" w:space="0" w:color="auto"/>
            </w:tcBorders>
          </w:tcPr>
          <w:p w14:paraId="7CB028C8" w14:textId="3D120ACB" w:rsidR="00397220" w:rsidRDefault="00DA5698" w:rsidP="003A1E1C">
            <w:pPr>
              <w:pStyle w:val="BodyText"/>
              <w:spacing w:line="240" w:lineRule="atLeast"/>
              <w:ind w:firstLine="0"/>
              <w:jc w:val="center"/>
              <w:rPr>
                <w:sz w:val="18"/>
                <w:szCs w:val="18"/>
              </w:rPr>
            </w:pPr>
            <w:r>
              <w:rPr>
                <w:sz w:val="18"/>
                <w:szCs w:val="18"/>
              </w:rPr>
              <w:t>21.7</w:t>
            </w:r>
            <w:r w:rsidR="00265A87" w:rsidRPr="00D72112">
              <w:rPr>
                <w:sz w:val="18"/>
                <w:szCs w:val="18"/>
                <w:vertAlign w:val="superscript"/>
              </w:rPr>
              <w:t>a</w:t>
            </w:r>
          </w:p>
        </w:tc>
      </w:tr>
      <w:tr w:rsidR="00397220" w14:paraId="41CF4F12" w14:textId="2049AF63" w:rsidTr="00D950E1">
        <w:trPr>
          <w:jc w:val="center"/>
        </w:trPr>
        <w:tc>
          <w:tcPr>
            <w:tcW w:w="2211" w:type="dxa"/>
          </w:tcPr>
          <w:p w14:paraId="59EB3188" w14:textId="7C95A0E6" w:rsidR="00397220" w:rsidRPr="00D72112" w:rsidRDefault="00397220" w:rsidP="0059399D">
            <w:pPr>
              <w:pStyle w:val="BodyText"/>
              <w:spacing w:line="240" w:lineRule="atLeast"/>
              <w:ind w:firstLine="0"/>
              <w:rPr>
                <w:sz w:val="18"/>
                <w:szCs w:val="18"/>
              </w:rPr>
            </w:pPr>
            <w:r>
              <w:rPr>
                <w:sz w:val="18"/>
                <w:szCs w:val="18"/>
              </w:rPr>
              <w:t>Effective dose in 7 days</w:t>
            </w:r>
          </w:p>
        </w:tc>
        <w:tc>
          <w:tcPr>
            <w:tcW w:w="1984" w:type="dxa"/>
            <w:vAlign w:val="center"/>
          </w:tcPr>
          <w:p w14:paraId="34AF3D4C" w14:textId="3E8D193C" w:rsidR="00397220" w:rsidRPr="00D72112" w:rsidRDefault="00397220" w:rsidP="0059399D">
            <w:pPr>
              <w:pStyle w:val="BodyText"/>
              <w:spacing w:line="240" w:lineRule="atLeast"/>
              <w:ind w:firstLine="0"/>
              <w:jc w:val="center"/>
              <w:rPr>
                <w:sz w:val="18"/>
                <w:szCs w:val="18"/>
              </w:rPr>
            </w:pPr>
            <w:r>
              <w:rPr>
                <w:sz w:val="18"/>
                <w:szCs w:val="18"/>
              </w:rPr>
              <w:t>126.5</w:t>
            </w:r>
            <w:r w:rsidRPr="00D72112">
              <w:rPr>
                <w:sz w:val="18"/>
                <w:szCs w:val="18"/>
                <w:vertAlign w:val="superscript"/>
              </w:rPr>
              <w:t>b</w:t>
            </w:r>
          </w:p>
        </w:tc>
        <w:tc>
          <w:tcPr>
            <w:tcW w:w="1984" w:type="dxa"/>
          </w:tcPr>
          <w:p w14:paraId="45DA1ED7" w14:textId="1CF0FAE4" w:rsidR="00397220" w:rsidDel="00020035" w:rsidRDefault="00DA5698" w:rsidP="003A1E1C">
            <w:pPr>
              <w:pStyle w:val="BodyText"/>
              <w:spacing w:line="240" w:lineRule="atLeast"/>
              <w:ind w:firstLine="0"/>
              <w:jc w:val="center"/>
              <w:rPr>
                <w:sz w:val="18"/>
                <w:szCs w:val="18"/>
              </w:rPr>
            </w:pPr>
            <w:r>
              <w:rPr>
                <w:sz w:val="18"/>
                <w:szCs w:val="18"/>
              </w:rPr>
              <w:t>992.8</w:t>
            </w:r>
            <w:r w:rsidR="00265A87" w:rsidRPr="00D72112">
              <w:rPr>
                <w:sz w:val="18"/>
                <w:szCs w:val="18"/>
                <w:vertAlign w:val="superscript"/>
              </w:rPr>
              <w:t>b</w:t>
            </w:r>
          </w:p>
        </w:tc>
      </w:tr>
      <w:tr w:rsidR="00397220" w14:paraId="08B8BC76" w14:textId="4055184C" w:rsidTr="00D950E1">
        <w:trPr>
          <w:jc w:val="center"/>
        </w:trPr>
        <w:tc>
          <w:tcPr>
            <w:tcW w:w="2211" w:type="dxa"/>
          </w:tcPr>
          <w:p w14:paraId="491943CC" w14:textId="2802A24D" w:rsidR="00397220" w:rsidRPr="00D72112" w:rsidRDefault="00397220" w:rsidP="00D72112">
            <w:pPr>
              <w:pStyle w:val="BodyText"/>
              <w:spacing w:line="240" w:lineRule="atLeast"/>
              <w:ind w:firstLine="0"/>
              <w:rPr>
                <w:sz w:val="18"/>
                <w:szCs w:val="18"/>
              </w:rPr>
            </w:pPr>
            <w:r>
              <w:rPr>
                <w:sz w:val="18"/>
                <w:szCs w:val="18"/>
              </w:rPr>
              <w:t>Effective dose in 2 days</w:t>
            </w:r>
          </w:p>
        </w:tc>
        <w:tc>
          <w:tcPr>
            <w:tcW w:w="1984" w:type="dxa"/>
            <w:vAlign w:val="center"/>
          </w:tcPr>
          <w:p w14:paraId="770B5494" w14:textId="25C8D06C" w:rsidR="00397220" w:rsidRPr="00D72112" w:rsidRDefault="00397220" w:rsidP="00A5564F">
            <w:pPr>
              <w:pStyle w:val="BodyText"/>
              <w:spacing w:line="240" w:lineRule="atLeast"/>
              <w:ind w:firstLine="0"/>
              <w:jc w:val="center"/>
              <w:rPr>
                <w:sz w:val="18"/>
                <w:szCs w:val="18"/>
              </w:rPr>
            </w:pPr>
            <w:r>
              <w:rPr>
                <w:sz w:val="18"/>
                <w:szCs w:val="18"/>
              </w:rPr>
              <w:t>55.7</w:t>
            </w:r>
            <w:r w:rsidRPr="00D72112">
              <w:rPr>
                <w:sz w:val="18"/>
                <w:szCs w:val="18"/>
                <w:vertAlign w:val="superscript"/>
              </w:rPr>
              <w:t>b</w:t>
            </w:r>
          </w:p>
        </w:tc>
        <w:tc>
          <w:tcPr>
            <w:tcW w:w="1984" w:type="dxa"/>
          </w:tcPr>
          <w:p w14:paraId="1B91E9C3" w14:textId="4FB155F1" w:rsidR="00397220" w:rsidRDefault="00265A87" w:rsidP="00A5564F">
            <w:pPr>
              <w:pStyle w:val="BodyText"/>
              <w:spacing w:line="240" w:lineRule="atLeast"/>
              <w:ind w:firstLine="0"/>
              <w:jc w:val="center"/>
              <w:rPr>
                <w:sz w:val="18"/>
                <w:szCs w:val="18"/>
              </w:rPr>
            </w:pPr>
            <w:r>
              <w:rPr>
                <w:sz w:val="18"/>
                <w:szCs w:val="18"/>
              </w:rPr>
              <w:t>99.3</w:t>
            </w:r>
            <w:r w:rsidRPr="00D72112">
              <w:rPr>
                <w:sz w:val="18"/>
                <w:szCs w:val="18"/>
                <w:vertAlign w:val="superscript"/>
              </w:rPr>
              <w:t>b</w:t>
            </w:r>
          </w:p>
        </w:tc>
      </w:tr>
    </w:tbl>
    <w:p w14:paraId="6ED278DF" w14:textId="02A17925" w:rsidR="00D72112" w:rsidRPr="00D72112" w:rsidRDefault="00D72112" w:rsidP="003A1E1C">
      <w:pPr>
        <w:pStyle w:val="BodyText"/>
        <w:spacing w:line="240" w:lineRule="atLeast"/>
        <w:ind w:left="1701" w:hanging="1134"/>
        <w:jc w:val="left"/>
        <w:rPr>
          <w:sz w:val="18"/>
          <w:szCs w:val="18"/>
        </w:rPr>
      </w:pPr>
      <w:proofErr w:type="spellStart"/>
      <w:r w:rsidRPr="00D72112">
        <w:rPr>
          <w:sz w:val="18"/>
          <w:szCs w:val="18"/>
          <w:vertAlign w:val="superscript"/>
        </w:rPr>
        <w:t>a</w:t>
      </w:r>
      <w:proofErr w:type="spellEnd"/>
      <w:r w:rsidRPr="00D72112">
        <w:rPr>
          <w:sz w:val="18"/>
          <w:szCs w:val="18"/>
        </w:rPr>
        <w:t xml:space="preserve"> using the factor of 4</w:t>
      </w:r>
      <w:r w:rsidR="0049489C">
        <w:rPr>
          <w:sz w:val="18"/>
          <w:szCs w:val="18"/>
        </w:rPr>
        <w:t>3</w:t>
      </w:r>
      <w:r w:rsidRPr="00D72112">
        <w:rPr>
          <w:sz w:val="18"/>
          <w:szCs w:val="18"/>
        </w:rPr>
        <w:t>3</w:t>
      </w:r>
      <w:r w:rsidR="0049489C">
        <w:rPr>
          <w:sz w:val="18"/>
          <w:szCs w:val="18"/>
        </w:rPr>
        <w:t>.</w:t>
      </w:r>
      <w:r w:rsidRPr="00D72112">
        <w:rPr>
          <w:sz w:val="18"/>
          <w:szCs w:val="18"/>
        </w:rPr>
        <w:t xml:space="preserve">875 </w:t>
      </w:r>
      <m:oMath>
        <m:r>
          <w:rPr>
            <w:rFonts w:ascii="Cambria Math" w:hAnsi="Cambria Math"/>
            <w:sz w:val="18"/>
            <w:szCs w:val="18"/>
          </w:rPr>
          <m:t>DALY</m:t>
        </m:r>
      </m:oMath>
      <w:r w:rsidRPr="00D72112">
        <w:rPr>
          <w:sz w:val="18"/>
          <w:szCs w:val="18"/>
        </w:rPr>
        <w:t xml:space="preserve"> for 10</w:t>
      </w:r>
      <w:r w:rsidRPr="00D72112">
        <w:rPr>
          <w:sz w:val="18"/>
          <w:szCs w:val="18"/>
          <w:vertAlign w:val="superscript"/>
        </w:rPr>
        <w:t>4</w:t>
      </w:r>
      <w:r w:rsidRPr="00D72112">
        <w:rPr>
          <w:sz w:val="18"/>
          <w:szCs w:val="18"/>
        </w:rPr>
        <w:t xml:space="preserve"> persons receiving 1 </w:t>
      </w:r>
      <w:proofErr w:type="spellStart"/>
      <w:r w:rsidRPr="00D72112">
        <w:rPr>
          <w:sz w:val="18"/>
          <w:szCs w:val="18"/>
        </w:rPr>
        <w:t>Sv</w:t>
      </w:r>
      <w:proofErr w:type="spellEnd"/>
      <w:r w:rsidRPr="00D72112">
        <w:rPr>
          <w:sz w:val="18"/>
          <w:szCs w:val="18"/>
        </w:rPr>
        <w:t xml:space="preserve"> thyroid dose reported by Vaillant et al</w:t>
      </w:r>
      <w:r w:rsidR="00411594">
        <w:rPr>
          <w:sz w:val="18"/>
          <w:szCs w:val="18"/>
        </w:rPr>
        <w:t>.</w:t>
      </w:r>
      <w:r w:rsidRPr="00D72112">
        <w:rPr>
          <w:sz w:val="18"/>
          <w:szCs w:val="18"/>
        </w:rPr>
        <w:t xml:space="preserve"> </w:t>
      </w:r>
      <w:r w:rsidRPr="00D72112">
        <w:rPr>
          <w:sz w:val="18"/>
          <w:szCs w:val="18"/>
        </w:rPr>
        <w:fldChar w:fldCharType="begin"/>
      </w:r>
      <w:r w:rsidRPr="00D72112">
        <w:rPr>
          <w:sz w:val="18"/>
          <w:szCs w:val="18"/>
        </w:rPr>
        <w:instrText xml:space="preserve"> REF _Ref168475802 \w \h </w:instrText>
      </w:r>
      <w:r>
        <w:rPr>
          <w:sz w:val="18"/>
          <w:szCs w:val="18"/>
        </w:rPr>
        <w:instrText xml:space="preserve"> \* MERGEFORMAT </w:instrText>
      </w:r>
      <w:r w:rsidRPr="00D72112">
        <w:rPr>
          <w:sz w:val="18"/>
          <w:szCs w:val="18"/>
        </w:rPr>
      </w:r>
      <w:r w:rsidRPr="00D72112">
        <w:rPr>
          <w:sz w:val="18"/>
          <w:szCs w:val="18"/>
        </w:rPr>
        <w:fldChar w:fldCharType="separate"/>
      </w:r>
      <w:r w:rsidR="00303011">
        <w:rPr>
          <w:sz w:val="18"/>
          <w:szCs w:val="18"/>
        </w:rPr>
        <w:t>[12]</w:t>
      </w:r>
      <w:r w:rsidRPr="00D72112">
        <w:rPr>
          <w:sz w:val="18"/>
          <w:szCs w:val="18"/>
        </w:rPr>
        <w:fldChar w:fldCharType="end"/>
      </w:r>
      <w:r w:rsidRPr="00D72112">
        <w:rPr>
          <w:sz w:val="18"/>
          <w:szCs w:val="18"/>
        </w:rPr>
        <w:t>.</w:t>
      </w:r>
    </w:p>
    <w:p w14:paraId="15DEEB36" w14:textId="228A74AC" w:rsidR="00D72112" w:rsidRPr="00D72112" w:rsidRDefault="00D72112" w:rsidP="003A1E1C">
      <w:pPr>
        <w:pStyle w:val="BodyText"/>
        <w:spacing w:line="240" w:lineRule="atLeast"/>
        <w:ind w:left="1701" w:hanging="1134"/>
        <w:jc w:val="left"/>
        <w:rPr>
          <w:sz w:val="18"/>
          <w:szCs w:val="18"/>
        </w:rPr>
      </w:pPr>
      <w:r w:rsidRPr="00D72112">
        <w:rPr>
          <w:sz w:val="18"/>
          <w:szCs w:val="18"/>
          <w:vertAlign w:val="superscript"/>
        </w:rPr>
        <w:t>b</w:t>
      </w:r>
      <w:r w:rsidRPr="00D72112">
        <w:rPr>
          <w:sz w:val="18"/>
          <w:szCs w:val="18"/>
        </w:rPr>
        <w:t xml:space="preserve"> using the factor 9928.625 </w:t>
      </w:r>
      <m:oMath>
        <m:r>
          <w:rPr>
            <w:rFonts w:ascii="Cambria Math" w:hAnsi="Cambria Math"/>
            <w:sz w:val="18"/>
            <w:szCs w:val="18"/>
          </w:rPr>
          <m:t>DALY</m:t>
        </m:r>
      </m:oMath>
      <w:r w:rsidRPr="00D72112">
        <w:rPr>
          <w:sz w:val="18"/>
          <w:szCs w:val="18"/>
        </w:rPr>
        <w:t xml:space="preserve"> for 10</w:t>
      </w:r>
      <w:r w:rsidRPr="00D72112">
        <w:rPr>
          <w:sz w:val="18"/>
          <w:szCs w:val="18"/>
          <w:vertAlign w:val="superscript"/>
        </w:rPr>
        <w:t>4</w:t>
      </w:r>
      <w:r w:rsidRPr="00D72112">
        <w:rPr>
          <w:sz w:val="18"/>
          <w:szCs w:val="18"/>
        </w:rPr>
        <w:t xml:space="preserve"> persons receiving 1 </w:t>
      </w:r>
      <w:proofErr w:type="spellStart"/>
      <w:r w:rsidRPr="00D72112">
        <w:rPr>
          <w:sz w:val="18"/>
          <w:szCs w:val="18"/>
        </w:rPr>
        <w:t>Sv</w:t>
      </w:r>
      <w:proofErr w:type="spellEnd"/>
      <w:r w:rsidRPr="00D72112">
        <w:rPr>
          <w:sz w:val="18"/>
          <w:szCs w:val="18"/>
        </w:rPr>
        <w:t xml:space="preserve"> effective dose reported by Vaillant et al</w:t>
      </w:r>
      <w:r w:rsidR="00411594">
        <w:rPr>
          <w:sz w:val="18"/>
          <w:szCs w:val="18"/>
        </w:rPr>
        <w:t>.</w:t>
      </w:r>
      <w:r w:rsidRPr="00D72112">
        <w:rPr>
          <w:sz w:val="18"/>
          <w:szCs w:val="18"/>
        </w:rPr>
        <w:t xml:space="preserve"> </w:t>
      </w:r>
      <w:r w:rsidRPr="00D72112">
        <w:rPr>
          <w:sz w:val="18"/>
          <w:szCs w:val="18"/>
        </w:rPr>
        <w:fldChar w:fldCharType="begin"/>
      </w:r>
      <w:r w:rsidRPr="00D72112">
        <w:rPr>
          <w:sz w:val="18"/>
          <w:szCs w:val="18"/>
        </w:rPr>
        <w:instrText xml:space="preserve"> REF _Ref168475802 \w \h </w:instrText>
      </w:r>
      <w:r>
        <w:rPr>
          <w:sz w:val="18"/>
          <w:szCs w:val="18"/>
        </w:rPr>
        <w:instrText xml:space="preserve"> \* MERGEFORMAT </w:instrText>
      </w:r>
      <w:r w:rsidRPr="00D72112">
        <w:rPr>
          <w:sz w:val="18"/>
          <w:szCs w:val="18"/>
        </w:rPr>
      </w:r>
      <w:r w:rsidRPr="00D72112">
        <w:rPr>
          <w:sz w:val="18"/>
          <w:szCs w:val="18"/>
        </w:rPr>
        <w:fldChar w:fldCharType="separate"/>
      </w:r>
      <w:r w:rsidR="00303011">
        <w:rPr>
          <w:sz w:val="18"/>
          <w:szCs w:val="18"/>
        </w:rPr>
        <w:t>[12]</w:t>
      </w:r>
      <w:r w:rsidRPr="00D72112">
        <w:rPr>
          <w:sz w:val="18"/>
          <w:szCs w:val="18"/>
        </w:rPr>
        <w:fldChar w:fldCharType="end"/>
      </w:r>
      <w:r w:rsidRPr="00D72112">
        <w:rPr>
          <w:sz w:val="18"/>
          <w:szCs w:val="18"/>
        </w:rPr>
        <w:t>.</w:t>
      </w:r>
    </w:p>
    <w:p w14:paraId="7BD02FFB" w14:textId="77777777" w:rsidR="00D72112" w:rsidRDefault="00D72112" w:rsidP="00D72112">
      <w:pPr>
        <w:pStyle w:val="BodyText"/>
      </w:pPr>
    </w:p>
    <w:p w14:paraId="40DC635C" w14:textId="191EA0FE" w:rsidR="0049489C" w:rsidRDefault="00A5564F" w:rsidP="0049489C">
      <w:pPr>
        <w:pStyle w:val="BodyText"/>
      </w:pPr>
      <w:r>
        <w:lastRenderedPageBreak/>
        <w:t xml:space="preserve">Section </w:t>
      </w:r>
      <w:r>
        <w:fldChar w:fldCharType="begin"/>
      </w:r>
      <w:r>
        <w:instrText xml:space="preserve"> REF _Ref168489222 \r \h </w:instrText>
      </w:r>
      <w:r>
        <w:fldChar w:fldCharType="separate"/>
      </w:r>
      <w:r w:rsidR="00303011">
        <w:t>3.6</w:t>
      </w:r>
      <w:r>
        <w:fldChar w:fldCharType="end"/>
      </w:r>
      <w:r>
        <w:t xml:space="preserve"> </w:t>
      </w:r>
      <w:r w:rsidR="0090639F">
        <w:t>mentioned</w:t>
      </w:r>
      <w:r w:rsidRPr="00A5564F">
        <w:t xml:space="preserve"> how integrating the risk across all cases in Table </w:t>
      </w:r>
      <w:r>
        <w:t>1</w:t>
      </w:r>
      <w:r w:rsidRPr="00A5564F">
        <w:t xml:space="preserve"> likely omitted some high-frequency, low-consequence, sequences not typically considered when determining the extent of the EPZ. To explore this further, consider that 100</w:t>
      </w:r>
      <w:r>
        <w:t> </w:t>
      </w:r>
      <w:r w:rsidRPr="00A5564F">
        <w:t>m is near the likely minimum distance to the site boundary for a SMR because the boundary should encompass the reactor building. Regulations may specify maximum event frequencies and dose consequences at the site boundary for AOOs and DBAs. For example, in Canada</w:t>
      </w:r>
      <w:r>
        <w:rPr>
          <w:rStyle w:val="FootnoteReference"/>
        </w:rPr>
        <w:footnoteReference w:id="5"/>
      </w:r>
      <w:r w:rsidRPr="00A5564F">
        <w:t>, AOOs have frequencies greater than 1.00E-02</w:t>
      </w:r>
      <w:r>
        <w:t> </w:t>
      </w:r>
      <w:r w:rsidRPr="00A5564F">
        <w:t>y</w:t>
      </w:r>
      <w:r w:rsidRPr="00A5564F">
        <w:rPr>
          <w:vertAlign w:val="superscript"/>
        </w:rPr>
        <w:t>-1</w:t>
      </w:r>
      <w:r w:rsidRPr="00A5564F">
        <w:t xml:space="preserve"> and must result in no more than 0.5</w:t>
      </w:r>
      <w:r>
        <w:t> </w:t>
      </w:r>
      <w:r w:rsidRPr="00A5564F">
        <w:t>mSv effective dose at the site boundary, and DBAs have frequencies between 1.00E-05</w:t>
      </w:r>
      <w:r>
        <w:t> </w:t>
      </w:r>
      <w:r w:rsidRPr="00A5564F">
        <w:t>y</w:t>
      </w:r>
      <w:r w:rsidRPr="00A5564F">
        <w:rPr>
          <w:vertAlign w:val="superscript"/>
        </w:rPr>
        <w:t>-1</w:t>
      </w:r>
      <w:r w:rsidRPr="00A5564F">
        <w:t xml:space="preserve"> and 1.00E-02</w:t>
      </w:r>
      <w:r>
        <w:t> </w:t>
      </w:r>
      <w:r w:rsidRPr="00A5564F">
        <w:t>y</w:t>
      </w:r>
      <w:r w:rsidRPr="00A5564F">
        <w:rPr>
          <w:vertAlign w:val="superscript"/>
        </w:rPr>
        <w:t>-1</w:t>
      </w:r>
      <w:r w:rsidRPr="00A5564F">
        <w:t xml:space="preserve"> and must not result in doses greater than 20</w:t>
      </w:r>
      <w:r>
        <w:t> </w:t>
      </w:r>
      <w:r w:rsidRPr="00A5564F">
        <w:t xml:space="preserve">mSv at the site boundary </w:t>
      </w:r>
      <w:r>
        <w:fldChar w:fldCharType="begin"/>
      </w:r>
      <w:r>
        <w:instrText xml:space="preserve"> REF _Ref168489347 \w \h </w:instrText>
      </w:r>
      <w:r>
        <w:fldChar w:fldCharType="separate"/>
      </w:r>
      <w:r w:rsidR="00303011">
        <w:t>[23]</w:t>
      </w:r>
      <w:r>
        <w:fldChar w:fldCharType="end"/>
      </w:r>
      <w:r w:rsidRPr="00A5564F">
        <w:t>. Assuming frequenc</w:t>
      </w:r>
      <w:r w:rsidR="00620244">
        <w:t>ies</w:t>
      </w:r>
      <w:r w:rsidRPr="00A5564F">
        <w:t xml:space="preserve"> for both AOO (1.00</w:t>
      </w:r>
      <w:r>
        <w:t> </w:t>
      </w:r>
      <w:r w:rsidRPr="00A5564F">
        <w:t>y</w:t>
      </w:r>
      <w:r w:rsidRPr="00A5564F">
        <w:rPr>
          <w:vertAlign w:val="superscript"/>
        </w:rPr>
        <w:t>-1</w:t>
      </w:r>
      <w:r w:rsidRPr="00A5564F">
        <w:t>) and DBA (1.00E-02</w:t>
      </w:r>
      <w:r>
        <w:t> </w:t>
      </w:r>
      <w:r w:rsidRPr="00A5564F">
        <w:t>y</w:t>
      </w:r>
      <w:r w:rsidRPr="00A5564F">
        <w:rPr>
          <w:vertAlign w:val="superscript"/>
        </w:rPr>
        <w:t>-1</w:t>
      </w:r>
      <w:r w:rsidRPr="00A5564F">
        <w:t xml:space="preserve">), in the </w:t>
      </w:r>
      <w:proofErr w:type="gramStart"/>
      <w:r w:rsidRPr="00A5564F">
        <w:t>60</w:t>
      </w:r>
      <w:r>
        <w:t> </w:t>
      </w:r>
      <w:r w:rsidRPr="00A5564F">
        <w:t>y</w:t>
      </w:r>
      <w:proofErr w:type="gramEnd"/>
      <w:r w:rsidRPr="00A5564F">
        <w:t xml:space="preserve"> lifetime of the plant the acceptable </w:t>
      </w:r>
      <w:r w:rsidR="001E037D">
        <w:t xml:space="preserve">risk </w:t>
      </w:r>
      <w:r w:rsidRPr="00A5564F">
        <w:t>for an AOO must be 297</w:t>
      </w:r>
      <w:r w:rsidR="00011718">
        <w:t>.9</w:t>
      </w:r>
      <w:r w:rsidR="00B856A9">
        <w:t> </w:t>
      </w:r>
      <m:oMath>
        <m:r>
          <w:rPr>
            <w:rFonts w:ascii="Cambria Math" w:hAnsi="Cambria Math"/>
          </w:rPr>
          <m:t>DALY</m:t>
        </m:r>
      </m:oMath>
      <w:r w:rsidR="001E037D">
        <w:t xml:space="preserve"> </w:t>
      </w:r>
      <w:r w:rsidRPr="00A5564F">
        <w:t xml:space="preserve">per 10,000 population, and for a DBA the acceptable </w:t>
      </w:r>
      <w:r w:rsidR="001E037D">
        <w:t xml:space="preserve">risk </w:t>
      </w:r>
      <w:r w:rsidRPr="00A5564F">
        <w:t>must be no greater than 119</w:t>
      </w:r>
      <w:r w:rsidR="00011718">
        <w:t>.1</w:t>
      </w:r>
      <w:r w:rsidRPr="00A5564F">
        <w:t xml:space="preserve"> </w:t>
      </w:r>
      <m:oMath>
        <m:r>
          <w:rPr>
            <w:rFonts w:ascii="Cambria Math" w:hAnsi="Cambria Math"/>
          </w:rPr>
          <m:t>DALY</m:t>
        </m:r>
      </m:oMath>
      <w:r w:rsidR="001E037D">
        <w:t xml:space="preserve"> </w:t>
      </w:r>
      <w:r w:rsidRPr="00A5564F">
        <w:t>per 10,000</w:t>
      </w:r>
      <w:r w:rsidR="00B856A9">
        <w:t> </w:t>
      </w:r>
      <w:r w:rsidRPr="00A5564F">
        <w:t xml:space="preserve">population. </w:t>
      </w:r>
      <w:r w:rsidR="00CB391C">
        <w:t>T</w:t>
      </w:r>
      <w:r w:rsidRPr="00A5564F">
        <w:t xml:space="preserve">hese are of similar magnitude or greater than the </w:t>
      </w:r>
      <w:r w:rsidR="00C162F5">
        <w:t>probability-weighted expected</w:t>
      </w:r>
      <w:r w:rsidRPr="00A5564F">
        <w:t xml:space="preserve"> </w:t>
      </w:r>
      <w:r w:rsidR="00E141A9">
        <w:t xml:space="preserve">DALY </w:t>
      </w:r>
      <w:r w:rsidRPr="00A5564F">
        <w:t>for the large release scenario</w:t>
      </w:r>
      <w:r w:rsidR="00024A7A">
        <w:t>s, and as described earlier, emergency response should be precluded in AOO and DBA.</w:t>
      </w:r>
    </w:p>
    <w:p w14:paraId="5D3678C7" w14:textId="5A37EA18" w:rsidR="000019EF" w:rsidRPr="0049489C" w:rsidRDefault="000019EF" w:rsidP="0049489C">
      <w:pPr>
        <w:pStyle w:val="BodyText"/>
      </w:pPr>
      <w:r>
        <w:t xml:space="preserve">The next step in the proposed EPZ method is to contextualize the health consequences of the radiation dose to the consequences of the proposed protective actions. This requires DALY associated with the protective actions be known, or at least are capable of being estimated. Side effects are unlikely from short-term use of potassium iodide as a stable iodine thyroid blocker in emergency situations, and the available literature does not support and reliable estimation of DALY from its use. There may be direct consequences </w:t>
      </w:r>
      <w:r w:rsidR="00E253D0">
        <w:t xml:space="preserve">from sheltering in place if the nuclear accident is coincident with another natural disaster, which is likely because major nuclear accidents may be preceded by external events like earthquakes or floods. The DALY will depend on the hazards of the specific event, so general evaluations are impossible. The prior work of Adams </w:t>
      </w:r>
      <w:r w:rsidR="00E253D0">
        <w:fldChar w:fldCharType="begin"/>
      </w:r>
      <w:r w:rsidR="00E253D0">
        <w:instrText xml:space="preserve"> REF _Ref168640594 \r \h </w:instrText>
      </w:r>
      <w:r w:rsidR="00E253D0">
        <w:fldChar w:fldCharType="separate"/>
      </w:r>
      <w:r w:rsidR="00E253D0">
        <w:t>[8]</w:t>
      </w:r>
      <w:r w:rsidR="00E253D0">
        <w:fldChar w:fldCharType="end"/>
      </w:r>
      <w:r w:rsidR="00E253D0">
        <w:t xml:space="preserve">, however, does provide clear estimation of some health consequences associated with long-term relocation. The 645 </w:t>
      </w:r>
      <m:oMath>
        <m:r>
          <w:rPr>
            <w:rFonts w:ascii="Cambria Math" w:hAnsi="Cambria Math"/>
          </w:rPr>
          <m:t>DALY</m:t>
        </m:r>
      </m:oMath>
      <w:r w:rsidR="00E253D0">
        <w:t xml:space="preserve"> per 10,000 population are obviously not exceeded by the DALY associated with the risk-based dose at 100 m, and so sustained relocation would not be clearly justified according to optimisation of protection. This is merely one consideration in the proposed size of the EPZ, but the potential </w:t>
      </w:r>
      <w:r w:rsidR="006A1E34">
        <w:t>of</w:t>
      </w:r>
      <w:r w:rsidR="00E253D0">
        <w:t xml:space="preserve"> the proposed method is shown.</w:t>
      </w:r>
    </w:p>
    <w:p w14:paraId="4440E101" w14:textId="58AA3AC7" w:rsidR="008916B7" w:rsidRPr="00D12176" w:rsidRDefault="008916B7" w:rsidP="008916B7">
      <w:pPr>
        <w:pStyle w:val="Heading2"/>
        <w:numPr>
          <w:ilvl w:val="1"/>
          <w:numId w:val="10"/>
        </w:numPr>
      </w:pPr>
      <w:r w:rsidRPr="00D12176">
        <w:t>Conclusions and Next Steps</w:t>
      </w:r>
    </w:p>
    <w:p w14:paraId="187664A8" w14:textId="25B5E9FE" w:rsidR="0049489C" w:rsidRDefault="0049489C" w:rsidP="0049489C">
      <w:pPr>
        <w:pStyle w:val="BodyText"/>
      </w:pPr>
      <w:r>
        <w:t xml:space="preserve">Appropriate sizing of EPZs around SMRs has been a topic of extensive discussion and recent research. Underpinning this work has been the concept of risk and the principle of optimisation of protection. </w:t>
      </w:r>
    </w:p>
    <w:p w14:paraId="11005029" w14:textId="254E1B5C" w:rsidR="0049489C" w:rsidRDefault="0049489C" w:rsidP="0049489C">
      <w:pPr>
        <w:pStyle w:val="BodyText"/>
      </w:pPr>
      <w:r>
        <w:t>To assist in this optimisation, this study introduced the use of the DALY metric to nuclear EPR evaluation. DALY, originally proposed by the WHO, has been used to characterise overall public health and the impact of interventions. The works of Vaillant et al</w:t>
      </w:r>
      <w:r w:rsidR="00411594">
        <w:t>.</w:t>
      </w:r>
      <w:r>
        <w:t xml:space="preserve"> </w:t>
      </w:r>
      <w:r>
        <w:fldChar w:fldCharType="begin"/>
      </w:r>
      <w:r>
        <w:instrText xml:space="preserve"> REF _Ref168475802 \w \h </w:instrText>
      </w:r>
      <w:r>
        <w:fldChar w:fldCharType="separate"/>
      </w:r>
      <w:r w:rsidR="00303011">
        <w:t>[12]</w:t>
      </w:r>
      <w:r>
        <w:fldChar w:fldCharType="end"/>
      </w:r>
      <w:r>
        <w:t xml:space="preserve"> and Adams et al</w:t>
      </w:r>
      <w:r w:rsidR="00411594">
        <w:t>.</w:t>
      </w:r>
      <w:r w:rsidR="00176B33">
        <w:t xml:space="preserve"> </w:t>
      </w:r>
      <w:r w:rsidR="00176B33">
        <w:fldChar w:fldCharType="begin"/>
      </w:r>
      <w:r w:rsidR="00176B33">
        <w:instrText xml:space="preserve"> REF _Ref168640594 \r \h </w:instrText>
      </w:r>
      <w:r w:rsidR="00176B33">
        <w:fldChar w:fldCharType="separate"/>
      </w:r>
      <w:r w:rsidR="00176B33">
        <w:t>[8]</w:t>
      </w:r>
      <w:r w:rsidR="00176B33">
        <w:fldChar w:fldCharType="end"/>
      </w:r>
      <w:r>
        <w:t xml:space="preserve">, among others, were used as the basis to calculate </w:t>
      </w:r>
      <m:oMath>
        <m:r>
          <w:rPr>
            <w:rFonts w:ascii="Cambria Math" w:hAnsi="Cambria Math"/>
          </w:rPr>
          <m:t>DALY</m:t>
        </m:r>
      </m:oMath>
      <w:r>
        <w:t xml:space="preserve"> values associated with the consequences of reactor accidents.</w:t>
      </w:r>
    </w:p>
    <w:p w14:paraId="003E629A" w14:textId="3E2D6697" w:rsidR="0049489C" w:rsidRDefault="0049489C" w:rsidP="0049489C">
      <w:pPr>
        <w:pStyle w:val="BodyText"/>
      </w:pPr>
      <w:r>
        <w:t>A case study for determining the size of an EPZ was subsequently performed. This case study made use of a model of a generic</w:t>
      </w:r>
      <w:r w:rsidR="00E62476">
        <w:t xml:space="preserve"> 160 </w:t>
      </w:r>
      <w:proofErr w:type="spellStart"/>
      <w:r w:rsidR="00E62476">
        <w:t>MW</w:t>
      </w:r>
      <w:r w:rsidR="00E62476" w:rsidRPr="00E62476">
        <w:rPr>
          <w:vertAlign w:val="subscript"/>
        </w:rPr>
        <w:t>th</w:t>
      </w:r>
      <w:proofErr w:type="spellEnd"/>
      <w:r>
        <w:t xml:space="preserve"> </w:t>
      </w:r>
      <w:proofErr w:type="spellStart"/>
      <w:r>
        <w:t>iPWR</w:t>
      </w:r>
      <w:proofErr w:type="spellEnd"/>
      <w:r>
        <w:t xml:space="preserve"> made using the MELCOR computer code to calculate source terms, and a model of atmospheric dispersion made using the ADDAM computer code to calculate dose consequences. </w:t>
      </w:r>
      <w:r w:rsidR="000A49DC">
        <w:t xml:space="preserve">The combined MELCOR and ADDAM models </w:t>
      </w:r>
      <w:r w:rsidR="0075216D">
        <w:t xml:space="preserve">enabled the calculation of the dose consequences from </w:t>
      </w:r>
      <w:r w:rsidR="00277D0A">
        <w:t>several</w:t>
      </w:r>
      <w:r w:rsidR="0075216D">
        <w:t xml:space="preserve"> hypothetical event sequences</w:t>
      </w:r>
      <w:r w:rsidR="00C2005A">
        <w:t>.</w:t>
      </w:r>
      <w:r w:rsidR="0087547F">
        <w:t xml:space="preserve"> Using scaled event frequencies </w:t>
      </w:r>
      <w:r w:rsidR="00277D0A">
        <w:t>from a Level 2 PSA-like analysis</w:t>
      </w:r>
      <w:r w:rsidR="006E39C8">
        <w:t xml:space="preserve">, and the conversion </w:t>
      </w:r>
      <w:r w:rsidR="00E55489">
        <w:t>factors</w:t>
      </w:r>
      <w:r w:rsidR="006E39C8">
        <w:t xml:space="preserve"> proposed by Vaillant et al</w:t>
      </w:r>
      <w:r w:rsidR="00411594">
        <w:t>.</w:t>
      </w:r>
      <w:r w:rsidR="00303011">
        <w:t xml:space="preserve"> </w:t>
      </w:r>
      <w:r w:rsidR="00303011">
        <w:fldChar w:fldCharType="begin"/>
      </w:r>
      <w:r w:rsidR="00303011">
        <w:instrText xml:space="preserve"> REF _Ref168475802 \r \h </w:instrText>
      </w:r>
      <w:r w:rsidR="00303011">
        <w:fldChar w:fldCharType="separate"/>
      </w:r>
      <w:r w:rsidR="00303011">
        <w:t>[12]</w:t>
      </w:r>
      <w:r w:rsidR="00303011">
        <w:fldChar w:fldCharType="end"/>
      </w:r>
      <w:r w:rsidR="006E39C8">
        <w:t xml:space="preserve">, the integrated risk associated with the severe accident scenarios </w:t>
      </w:r>
      <w:r w:rsidR="003B41E8">
        <w:t xml:space="preserve">was determined around the plant site in units of </w:t>
      </w:r>
      <m:oMath>
        <m:r>
          <w:rPr>
            <w:rFonts w:ascii="Cambria Math" w:hAnsi="Cambria Math"/>
          </w:rPr>
          <m:t>DALY</m:t>
        </m:r>
      </m:oMath>
      <w:r w:rsidR="003B41E8">
        <w:t>.</w:t>
      </w:r>
      <w:r w:rsidR="00207B36">
        <w:t xml:space="preserve"> The integrated </w:t>
      </w:r>
      <w:r w:rsidR="00E141A9">
        <w:t xml:space="preserve">DALY </w:t>
      </w:r>
      <w:r w:rsidR="00207B36">
        <w:t>values were compared against triggers for protective action</w:t>
      </w:r>
      <w:r w:rsidR="007A06D2">
        <w:t xml:space="preserve">s in equivalent units. </w:t>
      </w:r>
      <w:r w:rsidR="009538C6">
        <w:t>If the negative health consequences associated with the protective actions were known, this method could be useful towards determining the necessary size of the EPZ around the plant.</w:t>
      </w:r>
    </w:p>
    <w:p w14:paraId="162CFECB" w14:textId="780AD17E" w:rsidR="00F004EE" w:rsidRPr="00D12176" w:rsidRDefault="0049489C" w:rsidP="0049489C">
      <w:pPr>
        <w:pStyle w:val="BodyText"/>
      </w:pPr>
      <w:r>
        <w:t xml:space="preserve">The greatest limitation in the present work was the lack of reliable literature that could be used as a basis to evaluate </w:t>
      </w:r>
      <m:oMath>
        <m:r>
          <w:rPr>
            <w:rFonts w:ascii="Cambria Math" w:hAnsi="Cambria Math"/>
          </w:rPr>
          <m:t>DALY</m:t>
        </m:r>
      </m:oMath>
      <w:r>
        <w:t xml:space="preserve"> for the non-radiological health consequences of protective actions taken in response to an emergency. Although compilations like the GBD database are thorough in describing </w:t>
      </w:r>
      <w:r w:rsidR="00E141A9">
        <w:t xml:space="preserve">DALY </w:t>
      </w:r>
      <w:r>
        <w:t>for most health detriments, there is a paucity of research quantifying how those detriments are created by the protective action measures, at least in a manner that readily facilitates calculation of</w:t>
      </w:r>
      <w:r w:rsidR="000F3402">
        <w:t xml:space="preserve"> </w:t>
      </w:r>
      <w:r w:rsidR="00E141A9">
        <w:t>DALY</w:t>
      </w:r>
      <w:r>
        <w:t xml:space="preserve">. For example, the </w:t>
      </w:r>
      <w:r w:rsidR="00E141A9">
        <w:t>DALY</w:t>
      </w:r>
      <w:r>
        <w:t xml:space="preserve"> associated </w:t>
      </w:r>
      <w:r>
        <w:lastRenderedPageBreak/>
        <w:t xml:space="preserve">with the act of evacuation (rather than the resulting relocation), or the hazards associated with sheltering, may be very specific to the site or event, but that does not preclude development of estimation models or more generally applicable guidelines. Further research into quantifying </w:t>
      </w:r>
      <w:r w:rsidR="00E141A9">
        <w:t xml:space="preserve">DALY </w:t>
      </w:r>
      <w:r>
        <w:t>for protective actions is highly recommended because this will enable more detailed evaluation in risk-informed and risk-based assessment methods. Greater knowledge in this area would also facilitate holistic assessment of protective action strategies in mixed hazard emergencies, such as nuclear accidents in combination with other natural disasters.</w:t>
      </w:r>
    </w:p>
    <w:p w14:paraId="15F4F300" w14:textId="77777777" w:rsidR="00285755" w:rsidRPr="00D12176" w:rsidRDefault="00285755" w:rsidP="00537496">
      <w:pPr>
        <w:pStyle w:val="Otherunnumberedheadings"/>
      </w:pPr>
      <w:r w:rsidRPr="00D12176">
        <w:t>ACKNOWLEDGEMENTS</w:t>
      </w:r>
    </w:p>
    <w:p w14:paraId="711AF860" w14:textId="155BEA5A" w:rsidR="00D26ADA" w:rsidRPr="00D12176" w:rsidRDefault="00411594" w:rsidP="00537496">
      <w:pPr>
        <w:pStyle w:val="BodyText"/>
      </w:pPr>
      <w:r w:rsidRPr="00411594">
        <w:t>This work was supported by Atomic Energy of Canada Limited’s Federal Nuclear Science &amp; Technology Work Plan.</w:t>
      </w:r>
    </w:p>
    <w:p w14:paraId="32B76F9D" w14:textId="77777777" w:rsidR="00D26ADA" w:rsidRPr="00D12176" w:rsidRDefault="00D26ADA" w:rsidP="00537496">
      <w:pPr>
        <w:pStyle w:val="Otherunnumberedheadings"/>
      </w:pPr>
      <w:r w:rsidRPr="00D12176">
        <w:t>References</w:t>
      </w:r>
    </w:p>
    <w:p w14:paraId="1DFBEE26" w14:textId="366974FF" w:rsidR="007B3BD4" w:rsidRPr="00D12176" w:rsidRDefault="007D1459" w:rsidP="00817819">
      <w:pPr>
        <w:pStyle w:val="Referencelist"/>
        <w:jc w:val="left"/>
      </w:pPr>
      <w:bookmarkStart w:id="3" w:name="_Ref168473501"/>
      <w:r w:rsidRPr="00D12176">
        <w:t xml:space="preserve">IAEA, Fundamental Safety Principles, IAEA Safety Standards Series No. SF-1, </w:t>
      </w:r>
      <w:r w:rsidR="00F70A65">
        <w:t>IAEA</w:t>
      </w:r>
      <w:r w:rsidRPr="00D12176">
        <w:t>, Vienna (2006).</w:t>
      </w:r>
      <w:bookmarkEnd w:id="3"/>
    </w:p>
    <w:p w14:paraId="11853A04" w14:textId="4206FFB9" w:rsidR="00FE1A5B" w:rsidRPr="00D12176" w:rsidRDefault="00FE1A5B" w:rsidP="00817819">
      <w:pPr>
        <w:pStyle w:val="Referencelist"/>
        <w:jc w:val="left"/>
      </w:pPr>
      <w:bookmarkStart w:id="4" w:name="_Ref168471271"/>
      <w:r w:rsidRPr="00D12176">
        <w:t xml:space="preserve">SMR Regulators Forum, Pilot Project Report: Considering the Application of a Graded Approach, Defence-in-Depth and Emergency Planning Zone Size for Small Modular Reactors, </w:t>
      </w:r>
      <w:r w:rsidR="00F70A65">
        <w:t>IAEA</w:t>
      </w:r>
      <w:r w:rsidRPr="00D12176">
        <w:t>, Vienna (2018).</w:t>
      </w:r>
      <w:bookmarkEnd w:id="4"/>
    </w:p>
    <w:p w14:paraId="4ADEF09F" w14:textId="7D4B6BA8" w:rsidR="00FE1A5B" w:rsidRPr="00D12176" w:rsidRDefault="00FE1A5B" w:rsidP="00817819">
      <w:pPr>
        <w:pStyle w:val="Referencelist"/>
        <w:jc w:val="left"/>
      </w:pPr>
      <w:bookmarkStart w:id="5" w:name="_Ref168471879"/>
      <w:r w:rsidRPr="00D12176">
        <w:t xml:space="preserve">CSA </w:t>
      </w:r>
      <w:r w:rsidR="00D12176" w:rsidRPr="00D12176">
        <w:t>GROUP</w:t>
      </w:r>
      <w:r w:rsidRPr="00D12176">
        <w:t>, General Requirements for Nuclear Emergency Management Programs, CSA N1600:21, Canadian Standards Association, Toronto (2021).</w:t>
      </w:r>
      <w:bookmarkEnd w:id="5"/>
    </w:p>
    <w:p w14:paraId="1612A912" w14:textId="3F5D11E3" w:rsidR="00FE1A5B" w:rsidRPr="00D12176" w:rsidRDefault="00FE1A5B" w:rsidP="00817819">
      <w:pPr>
        <w:pStyle w:val="Referencelist"/>
        <w:jc w:val="left"/>
      </w:pPr>
      <w:bookmarkStart w:id="6" w:name="_Ref168473527"/>
      <w:r w:rsidRPr="00D12176">
        <w:t xml:space="preserve">IAEA, Actions to Protect the Public in an Emergency due to Severe Conditions at a Light Water Reactor, EPR-NPP Public Protective Actions 2013, </w:t>
      </w:r>
      <w:r w:rsidR="00F70A65">
        <w:t>IAEA</w:t>
      </w:r>
      <w:r w:rsidRPr="00D12176">
        <w:t>, Vienna (2013).</w:t>
      </w:r>
      <w:bookmarkEnd w:id="6"/>
    </w:p>
    <w:p w14:paraId="01A16962" w14:textId="4FF781BF" w:rsidR="00FE1A5B" w:rsidRPr="00D12176" w:rsidRDefault="000A1D33" w:rsidP="00817819">
      <w:pPr>
        <w:pStyle w:val="Referencelist"/>
        <w:jc w:val="left"/>
      </w:pPr>
      <w:bookmarkStart w:id="7" w:name="_Ref168473564"/>
      <w:r w:rsidRPr="00D12176">
        <w:t xml:space="preserve">IAEA, Preparedness and Response for a Nuclear Radiological Emergency, General Safety Requirements No. GSR Part 7, </w:t>
      </w:r>
      <w:r w:rsidR="00F70A65">
        <w:t>IAEA</w:t>
      </w:r>
      <w:r w:rsidRPr="00D12176">
        <w:t>, Vienna (2015).</w:t>
      </w:r>
      <w:bookmarkEnd w:id="7"/>
    </w:p>
    <w:p w14:paraId="4F49F70F" w14:textId="4E8F89E9" w:rsidR="00FE1A5B" w:rsidRPr="00D12176" w:rsidRDefault="000A1D33" w:rsidP="00817819">
      <w:pPr>
        <w:pStyle w:val="Referencelist"/>
        <w:jc w:val="left"/>
      </w:pPr>
      <w:bookmarkStart w:id="8" w:name="_Ref168472269"/>
      <w:r w:rsidRPr="00D12176">
        <w:t>Health Canada, Generic Criteria and Operational Intervention Levels for Nuclear Emergency Planning and Response, Health Canada, Ottawa (2018).</w:t>
      </w:r>
      <w:bookmarkEnd w:id="8"/>
    </w:p>
    <w:p w14:paraId="3BA56E06" w14:textId="72B422FF" w:rsidR="00F45EEE" w:rsidRPr="00D12176" w:rsidRDefault="000A1D33" w:rsidP="00817819">
      <w:pPr>
        <w:pStyle w:val="Referencelist"/>
        <w:jc w:val="left"/>
      </w:pPr>
      <w:bookmarkStart w:id="9" w:name="_Ref168472600"/>
      <w:r w:rsidRPr="00D12176">
        <w:t>ICRP, The 2007</w:t>
      </w:r>
      <w:r w:rsidR="005703EE" w:rsidRPr="00D12176">
        <w:t xml:space="preserve"> r</w:t>
      </w:r>
      <w:r w:rsidRPr="00D12176">
        <w:t>ecommendation</w:t>
      </w:r>
      <w:r w:rsidR="005703EE" w:rsidRPr="00D12176">
        <w:t>s</w:t>
      </w:r>
      <w:r w:rsidRPr="00D12176">
        <w:t xml:space="preserve"> of the International Commission on Radiological Protection, </w:t>
      </w:r>
      <w:r w:rsidR="005703EE" w:rsidRPr="00D12176">
        <w:t xml:space="preserve">ICRP Publication 103, Ann. ICRP </w:t>
      </w:r>
      <w:r w:rsidR="005703EE" w:rsidRPr="00D12176">
        <w:rPr>
          <w:b/>
          <w:bCs/>
        </w:rPr>
        <w:t>37</w:t>
      </w:r>
      <w:r w:rsidR="005703EE" w:rsidRPr="00D12176">
        <w:t xml:space="preserve"> 2-4 (2007).</w:t>
      </w:r>
      <w:bookmarkEnd w:id="9"/>
    </w:p>
    <w:p w14:paraId="11674CFE" w14:textId="77777777" w:rsidR="004E2B8F" w:rsidRPr="00D12176" w:rsidRDefault="004E2B8F" w:rsidP="004E2B8F">
      <w:pPr>
        <w:pStyle w:val="Referencelist"/>
        <w:jc w:val="left"/>
      </w:pPr>
      <w:bookmarkStart w:id="10" w:name="_Ref168640594"/>
      <w:r w:rsidRPr="00D12176">
        <w:t xml:space="preserve">ADAMS, T., MACMILLAN, L., CASAGRANDE, R., OSBORN, M., HUFF, A., SMITH, T., </w:t>
      </w:r>
      <w:proofErr w:type="spellStart"/>
      <w:r w:rsidRPr="00D12176">
        <w:t>Nonradiological</w:t>
      </w:r>
      <w:proofErr w:type="spellEnd"/>
      <w:r w:rsidRPr="00D12176">
        <w:t xml:space="preserve"> Health Consequences from Evacuation and Relocation, NUREG/CR-7285, United States Nuclear Regulatory Commission, Washington DC (2021).</w:t>
      </w:r>
      <w:bookmarkEnd w:id="10"/>
    </w:p>
    <w:p w14:paraId="27417464" w14:textId="1680F51F" w:rsidR="004E2B8F" w:rsidRDefault="00824BF9" w:rsidP="00817819">
      <w:pPr>
        <w:pStyle w:val="Referencelist"/>
        <w:jc w:val="left"/>
      </w:pPr>
      <w:bookmarkStart w:id="11" w:name="_Ref168640596"/>
      <w:r>
        <w:t>HASEGAWA, A., OHIRA,</w:t>
      </w:r>
      <w:r w:rsidRPr="00824BF9">
        <w:t xml:space="preserve"> T.</w:t>
      </w:r>
      <w:r>
        <w:t>,</w:t>
      </w:r>
      <w:r w:rsidRPr="00824BF9">
        <w:t xml:space="preserve"> </w:t>
      </w:r>
      <w:r>
        <w:t>MAEDA</w:t>
      </w:r>
      <w:r w:rsidRPr="00824BF9">
        <w:t>, M.</w:t>
      </w:r>
      <w:r>
        <w:t>,</w:t>
      </w:r>
      <w:r w:rsidRPr="00824BF9">
        <w:t xml:space="preserve"> </w:t>
      </w:r>
      <w:r w:rsidR="00BB4F0F">
        <w:t xml:space="preserve">YASUMURA, </w:t>
      </w:r>
      <w:r w:rsidRPr="00824BF9">
        <w:t>S.</w:t>
      </w:r>
      <w:r w:rsidR="00BB4F0F">
        <w:t xml:space="preserve">, TANIFAWA, </w:t>
      </w:r>
      <w:r w:rsidRPr="00824BF9">
        <w:t>K.</w:t>
      </w:r>
      <w:r w:rsidR="00BB4F0F">
        <w:t>,</w:t>
      </w:r>
      <w:r w:rsidRPr="00824BF9">
        <w:t xml:space="preserve"> Emergency </w:t>
      </w:r>
      <w:r w:rsidR="0037554D">
        <w:t>r</w:t>
      </w:r>
      <w:r w:rsidRPr="00824BF9">
        <w:t xml:space="preserve">esponses and </w:t>
      </w:r>
      <w:r w:rsidR="0037554D">
        <w:t>h</w:t>
      </w:r>
      <w:r w:rsidRPr="00824BF9">
        <w:t xml:space="preserve">ealth </w:t>
      </w:r>
      <w:r w:rsidR="0037554D">
        <w:t>c</w:t>
      </w:r>
      <w:r w:rsidRPr="00824BF9">
        <w:t xml:space="preserve">onsequences after the Fukushima </w:t>
      </w:r>
      <w:r w:rsidR="0037554D">
        <w:t>a</w:t>
      </w:r>
      <w:r w:rsidRPr="00824BF9">
        <w:t xml:space="preserve">ccident; </w:t>
      </w:r>
      <w:r w:rsidR="0037554D">
        <w:t>e</w:t>
      </w:r>
      <w:r w:rsidRPr="00824BF9">
        <w:t xml:space="preserve">vacuation and </w:t>
      </w:r>
      <w:r w:rsidR="0037554D">
        <w:t>r</w:t>
      </w:r>
      <w:r w:rsidRPr="00824BF9">
        <w:t>elocation</w:t>
      </w:r>
      <w:r w:rsidR="0037554D">
        <w:t xml:space="preserve">, </w:t>
      </w:r>
      <w:r w:rsidRPr="00824BF9">
        <w:t>Clin</w:t>
      </w:r>
      <w:r w:rsidR="00264F08">
        <w:t>.</w:t>
      </w:r>
      <w:r w:rsidRPr="00824BF9">
        <w:t xml:space="preserve"> Oncol</w:t>
      </w:r>
      <w:r w:rsidR="00264F08">
        <w:t>.</w:t>
      </w:r>
      <w:r w:rsidRPr="00824BF9">
        <w:t> </w:t>
      </w:r>
      <w:r w:rsidRPr="003A1E1C">
        <w:rPr>
          <w:b/>
          <w:bCs/>
        </w:rPr>
        <w:t>28</w:t>
      </w:r>
      <w:r w:rsidR="00BD2B65">
        <w:t xml:space="preserve"> </w:t>
      </w:r>
      <w:r w:rsidRPr="00824BF9">
        <w:t>4</w:t>
      </w:r>
      <w:r w:rsidR="00BD2B65">
        <w:t xml:space="preserve"> (2016) </w:t>
      </w:r>
      <w:r w:rsidRPr="00824BF9">
        <w:t>237-244</w:t>
      </w:r>
      <w:r w:rsidR="00BD2B65">
        <w:t>.</w:t>
      </w:r>
      <w:bookmarkEnd w:id="11"/>
    </w:p>
    <w:p w14:paraId="3ADF9E79" w14:textId="27236F42" w:rsidR="00060C42" w:rsidRPr="00D12176" w:rsidRDefault="00060C42" w:rsidP="00817819">
      <w:pPr>
        <w:pStyle w:val="Referencelist"/>
        <w:jc w:val="left"/>
      </w:pPr>
      <w:bookmarkStart w:id="12" w:name="_Ref168473589"/>
      <w:r w:rsidRPr="00D12176">
        <w:t xml:space="preserve">HUMMEL, D., LEBEL, L., “Challenges in defining emergency planning zones for small modular reactors and advanced reactors: review of Canadian practices and research at Canadian Nuclear Laboratories”, International Conference on Topical Issues in Nuclear Installation Safety: Strengthening Safety of Evolutionary and Innovative Reactor Designs (IAEA TIC2022), </w:t>
      </w:r>
      <w:r w:rsidR="00F70A65">
        <w:t>IAEA</w:t>
      </w:r>
      <w:r w:rsidRPr="00D12176">
        <w:t>, Vienna (2022).</w:t>
      </w:r>
      <w:bookmarkEnd w:id="12"/>
    </w:p>
    <w:p w14:paraId="58612A3E" w14:textId="3FE86FBC" w:rsidR="005703EE" w:rsidRPr="00D12176" w:rsidRDefault="008D1334" w:rsidP="00817819">
      <w:pPr>
        <w:pStyle w:val="Referencelist"/>
        <w:jc w:val="left"/>
      </w:pPr>
      <w:bookmarkStart w:id="13" w:name="_Ref168473608"/>
      <w:r w:rsidRPr="00D12176">
        <w:t>LOPEZ, A.D., MATHERS, C.D., EZZATI, M., JAMISON, D.T., MURRAY, C.J.L, “Measuring the global burden of disease and risk factors, 1990-2001”, Global Burden of Disease and Risk Factors, Oxford University Press, New York (2006).</w:t>
      </w:r>
      <w:bookmarkEnd w:id="13"/>
    </w:p>
    <w:p w14:paraId="21186A5E" w14:textId="3FC598C4" w:rsidR="005703EE" w:rsidRPr="00D12176" w:rsidRDefault="00D72112" w:rsidP="00817819">
      <w:pPr>
        <w:pStyle w:val="Referencelist"/>
        <w:jc w:val="left"/>
      </w:pPr>
      <w:bookmarkStart w:id="14" w:name="_Ref168475802"/>
      <w:r>
        <w:t>VAILLANT</w:t>
      </w:r>
      <w:r w:rsidR="003A177C" w:rsidRPr="00D12176">
        <w:t xml:space="preserve">, L., MAITRE, M., LAFRANQUE, E., SCHNEIDER, T., WASSELIN, V., Proposal of a quantitative approach integrating radioactive and chemical risks, Radioprotection </w:t>
      </w:r>
      <w:r w:rsidR="003A177C" w:rsidRPr="00D12176">
        <w:rPr>
          <w:b/>
          <w:bCs/>
        </w:rPr>
        <w:t>58</w:t>
      </w:r>
      <w:r w:rsidR="003A177C" w:rsidRPr="00D12176">
        <w:t xml:space="preserve"> 2</w:t>
      </w:r>
      <w:r w:rsidR="007D35C0" w:rsidRPr="00D12176">
        <w:t xml:space="preserve"> (2023) 147-155.</w:t>
      </w:r>
      <w:bookmarkEnd w:id="14"/>
    </w:p>
    <w:p w14:paraId="76702B5A" w14:textId="57CD53ED" w:rsidR="005703EE" w:rsidRPr="00D12176" w:rsidRDefault="00B560D8" w:rsidP="00817819">
      <w:pPr>
        <w:pStyle w:val="Referencelist"/>
        <w:jc w:val="left"/>
      </w:pPr>
      <w:bookmarkStart w:id="15" w:name="_Ref168476460"/>
      <w:r w:rsidRPr="00D12176">
        <w:t>GLOBAL HEALTH DATA EXCHANGE</w:t>
      </w:r>
      <w:r w:rsidR="00417870" w:rsidRPr="00D12176">
        <w:t>, Global Burden of Disease Study 2019 (GBD 2019) Data Resources (2020), https://ghdx.healthdata.org/gbd-2019</w:t>
      </w:r>
      <w:bookmarkEnd w:id="15"/>
      <w:r w:rsidR="00417870" w:rsidRPr="00D12176">
        <w:t xml:space="preserve"> </w:t>
      </w:r>
    </w:p>
    <w:p w14:paraId="728DA59A" w14:textId="5A0564E1" w:rsidR="005703EE" w:rsidRPr="00D12176" w:rsidRDefault="002C6B23" w:rsidP="00817819">
      <w:pPr>
        <w:pStyle w:val="Referencelist"/>
        <w:jc w:val="left"/>
      </w:pPr>
      <w:bookmarkStart w:id="16" w:name="_Ref168477417"/>
      <w:r w:rsidRPr="00D12176">
        <w:t xml:space="preserve">IAEA, IAEA Nuclear Safety and Security Glossary 2022 (Interim) Edition, </w:t>
      </w:r>
      <w:r w:rsidR="00F70A65">
        <w:t>IAEA</w:t>
      </w:r>
      <w:r w:rsidRPr="00D12176">
        <w:t>, Vienna (2022).</w:t>
      </w:r>
      <w:bookmarkEnd w:id="16"/>
    </w:p>
    <w:p w14:paraId="0294224D" w14:textId="11428E14" w:rsidR="002D7C0D" w:rsidRPr="00D12176" w:rsidRDefault="002D7C0D" w:rsidP="00817819">
      <w:pPr>
        <w:pStyle w:val="Referencelist"/>
        <w:jc w:val="left"/>
      </w:pPr>
      <w:bookmarkStart w:id="17" w:name="_Ref168477968"/>
      <w:r w:rsidRPr="00D12176">
        <w:t>MORREALE, A.C., Severe accident analysis of a generic integral pressurized water reactor with MELCOR, The Fourth International Conference on Generation IV &amp; Small Reactors (G4SR-4), Canadian Nuclear Society, Toronto (2022).</w:t>
      </w:r>
      <w:bookmarkEnd w:id="17"/>
    </w:p>
    <w:p w14:paraId="5357C85B" w14:textId="39FA5712" w:rsidR="002C6B23" w:rsidRPr="00D12176" w:rsidRDefault="002D7C0D" w:rsidP="00817819">
      <w:pPr>
        <w:pStyle w:val="Referencelist"/>
        <w:jc w:val="left"/>
      </w:pPr>
      <w:bookmarkStart w:id="18" w:name="_Ref168477990"/>
      <w:r w:rsidRPr="00D12176">
        <w:t>SNL</w:t>
      </w:r>
      <w:r w:rsidR="00817819" w:rsidRPr="00D12176">
        <w:t>, Sandia Nuclear Safety Technology (2024), https://www.sandia.gov/MELCOR/</w:t>
      </w:r>
      <w:bookmarkEnd w:id="18"/>
      <w:r w:rsidR="00817819" w:rsidRPr="00D12176">
        <w:t xml:space="preserve"> </w:t>
      </w:r>
    </w:p>
    <w:p w14:paraId="07A6A9F8" w14:textId="61701B6E" w:rsidR="002C6B23" w:rsidRPr="00D12176" w:rsidRDefault="00817819" w:rsidP="00817819">
      <w:pPr>
        <w:pStyle w:val="Referencelist"/>
        <w:jc w:val="left"/>
      </w:pPr>
      <w:bookmarkStart w:id="19" w:name="_Ref168478150"/>
      <w:r w:rsidRPr="00D12176">
        <w:t xml:space="preserve">CUI, J., LEBEL, L., MORREALE, A., HUMMEL, D., MELCOR model of </w:t>
      </w:r>
      <w:proofErr w:type="spellStart"/>
      <w:r w:rsidRPr="00D12176">
        <w:t>iPWR</w:t>
      </w:r>
      <w:proofErr w:type="spellEnd"/>
      <w:r w:rsidRPr="00D12176">
        <w:t xml:space="preserve"> and application </w:t>
      </w:r>
      <w:r w:rsidR="002D7C0D" w:rsidRPr="00D12176">
        <w:t>to</w:t>
      </w:r>
      <w:r w:rsidRPr="00D12176">
        <w:t xml:space="preserve"> emergency planning zone study, The 14</w:t>
      </w:r>
      <w:r w:rsidRPr="00D12176">
        <w:rPr>
          <w:vertAlign w:val="superscript"/>
        </w:rPr>
        <w:t>th</w:t>
      </w:r>
      <w:r w:rsidRPr="00D12176">
        <w:t xml:space="preserve"> International Topical Meeting on Nuclear Reactor Thermal-Hydraulics, Operation, and Safety (NUTHOS-14), </w:t>
      </w:r>
      <w:r w:rsidR="002D7C0D" w:rsidRPr="00D12176">
        <w:t xml:space="preserve">Canadian Nuclear Society, </w:t>
      </w:r>
      <w:r w:rsidRPr="00D12176">
        <w:t>Vancouver (2024).</w:t>
      </w:r>
      <w:bookmarkEnd w:id="19"/>
    </w:p>
    <w:p w14:paraId="488F2B54" w14:textId="49809B05" w:rsidR="002C6B23" w:rsidRPr="00D12176" w:rsidRDefault="00AE1586" w:rsidP="003A1E1C">
      <w:pPr>
        <w:pStyle w:val="Referencelist"/>
        <w:jc w:val="left"/>
      </w:pPr>
      <w:bookmarkStart w:id="20" w:name="_Ref168479820"/>
      <w:r w:rsidRPr="00D12176">
        <w:t xml:space="preserve">CNSC, Design of Reactor Facility, REGDOC-2.5.2 Version 2.1, </w:t>
      </w:r>
      <w:r w:rsidR="00F70A65">
        <w:t>CNSC</w:t>
      </w:r>
      <w:r w:rsidRPr="00D12176">
        <w:t>, Ottawa (2023).</w:t>
      </w:r>
      <w:bookmarkEnd w:id="20"/>
    </w:p>
    <w:p w14:paraId="18BCFC0E" w14:textId="40864EBF" w:rsidR="00560AAF" w:rsidRPr="00D12176" w:rsidRDefault="00D12176" w:rsidP="005703EE">
      <w:pPr>
        <w:pStyle w:val="Referencelist"/>
      </w:pPr>
      <w:bookmarkStart w:id="21" w:name="_Ref168486725"/>
      <w:r w:rsidRPr="00D12176">
        <w:lastRenderedPageBreak/>
        <w:t xml:space="preserve">CHOUHAN, S., “ADDAM (Atmospheric Dispersion and Dose Analysis Method)”, IAEA Environmental Modelling for Radiation Safety (EMRAS-II) Technical meeting, </w:t>
      </w:r>
      <w:r w:rsidR="00F70A65">
        <w:t>IAEA</w:t>
      </w:r>
      <w:r w:rsidRPr="00D12176">
        <w:t>, Vienna (2010).</w:t>
      </w:r>
      <w:bookmarkEnd w:id="21"/>
    </w:p>
    <w:p w14:paraId="79CD068A" w14:textId="0B75669A" w:rsidR="00560AAF" w:rsidRPr="00D12176" w:rsidRDefault="00D12176" w:rsidP="005703EE">
      <w:pPr>
        <w:pStyle w:val="Referencelist"/>
      </w:pPr>
      <w:bookmarkStart w:id="22" w:name="_Ref168487039"/>
      <w:r w:rsidRPr="00D12176">
        <w:t>CSA GROUP, Guidelines for Calculating the Radiological Consequences to the Public of a Release of Airborne Radioactive Material for Nuclear Reactor Accidents, CSA N288.2:19, Canadian Standards Association, Toronto (2019).</w:t>
      </w:r>
      <w:bookmarkEnd w:id="22"/>
    </w:p>
    <w:p w14:paraId="50E20D48" w14:textId="108EF637" w:rsidR="00560AAF" w:rsidRPr="00D12176" w:rsidRDefault="00D12176" w:rsidP="005703EE">
      <w:pPr>
        <w:pStyle w:val="Referencelist"/>
      </w:pPr>
      <w:bookmarkStart w:id="23" w:name="_Ref168487273"/>
      <w:r>
        <w:t xml:space="preserve">ICRP, Compendium of dose coefficients based on ICRP Publication 60, </w:t>
      </w:r>
      <w:r w:rsidRPr="00D12176">
        <w:t xml:space="preserve">Ann. ICRP </w:t>
      </w:r>
      <w:r w:rsidR="008C2950">
        <w:rPr>
          <w:b/>
          <w:bCs/>
        </w:rPr>
        <w:t>41</w:t>
      </w:r>
      <w:r w:rsidRPr="00D12176">
        <w:t xml:space="preserve"> (2007).</w:t>
      </w:r>
      <w:bookmarkEnd w:id="23"/>
      <w:r>
        <w:t xml:space="preserve"> </w:t>
      </w:r>
    </w:p>
    <w:p w14:paraId="76983997" w14:textId="56A1000C" w:rsidR="00560AAF" w:rsidRPr="00D12176" w:rsidRDefault="008C2950" w:rsidP="005703EE">
      <w:pPr>
        <w:pStyle w:val="Referencelist"/>
      </w:pPr>
      <w:bookmarkStart w:id="24" w:name="_Ref168487515"/>
      <w:r>
        <w:t xml:space="preserve">HUMMEL, D.W., CHOUHAN, S., LEBEL, L., MORREALE, A.C., Radiation dose consequences of postulated limiting accidents in small modular reactors to inform emergency planning zone size requirements, Ann. </w:t>
      </w:r>
      <w:proofErr w:type="spellStart"/>
      <w:r>
        <w:t>Nucl</w:t>
      </w:r>
      <w:proofErr w:type="spellEnd"/>
      <w:r>
        <w:t xml:space="preserve">. Energy </w:t>
      </w:r>
      <w:r>
        <w:rPr>
          <w:b/>
          <w:bCs/>
        </w:rPr>
        <w:t>137</w:t>
      </w:r>
      <w:r>
        <w:t xml:space="preserve"> (2020) 107062.</w:t>
      </w:r>
      <w:bookmarkEnd w:id="24"/>
    </w:p>
    <w:p w14:paraId="20405909" w14:textId="66566208" w:rsidR="00560AAF" w:rsidRPr="00D12176" w:rsidRDefault="00A5564F" w:rsidP="005703EE">
      <w:pPr>
        <w:pStyle w:val="Referencelist"/>
      </w:pPr>
      <w:bookmarkStart w:id="25" w:name="_Ref168489347"/>
      <w:r>
        <w:t>CNSC, Deterministic Safety Analysis, REGDOC-2.4.</w:t>
      </w:r>
      <w:r w:rsidR="003B28D9">
        <w:t>1</w:t>
      </w:r>
      <w:r>
        <w:t xml:space="preserve">, </w:t>
      </w:r>
      <w:r w:rsidR="00F70A65">
        <w:t>CNSC</w:t>
      </w:r>
      <w:r>
        <w:t>, Ottawa (2014).</w:t>
      </w:r>
      <w:bookmarkEnd w:id="25"/>
    </w:p>
    <w:sectPr w:rsidR="00560AAF" w:rsidRPr="00D12176" w:rsidSect="0026525A">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3F22F" w14:textId="77777777" w:rsidR="002C1FEE" w:rsidRDefault="002C1FEE">
      <w:r>
        <w:separator/>
      </w:r>
    </w:p>
  </w:endnote>
  <w:endnote w:type="continuationSeparator" w:id="0">
    <w:p w14:paraId="45DBD6DA" w14:textId="77777777" w:rsidR="002C1FEE" w:rsidRDefault="002C1FEE">
      <w:r>
        <w:continuationSeparator/>
      </w:r>
    </w:p>
  </w:endnote>
  <w:endnote w:type="continuationNotice" w:id="1">
    <w:p w14:paraId="0EB78D62" w14:textId="77777777" w:rsidR="002C1FEE" w:rsidRDefault="002C1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71EB65A1" w:rsidR="00332693" w:rsidRDefault="00332693">
    <w:pPr>
      <w:pStyle w:val="zyxClassification1"/>
    </w:pPr>
    <w:r>
      <w:fldChar w:fldCharType="begin"/>
    </w:r>
    <w:r>
      <w:instrText xml:space="preserve"> DOCPROPERTY "IaeaClassification"  \* MERGEFORMAT </w:instrText>
    </w:r>
    <w:r>
      <w:fldChar w:fldCharType="end"/>
    </w:r>
  </w:p>
  <w:p w14:paraId="1FDEB1B7" w14:textId="0ED3327B" w:rsidR="00332693" w:rsidRDefault="00332693">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74B9F514" w:rsidR="00332693" w:rsidRDefault="00332693">
    <w:pPr>
      <w:pStyle w:val="zyxClassification1"/>
    </w:pPr>
    <w:r>
      <w:fldChar w:fldCharType="begin"/>
    </w:r>
    <w:r>
      <w:instrText xml:space="preserve"> DOCPROPERTY "IaeaClassification"  \* MERGEFORMAT </w:instrText>
    </w:r>
    <w:r>
      <w:fldChar w:fldCharType="end"/>
    </w:r>
  </w:p>
  <w:p w14:paraId="7E32AC2C" w14:textId="07C52EB6" w:rsidR="00332693" w:rsidRPr="00037321" w:rsidRDefault="00332693">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CD4A59">
      <w:rPr>
        <w:rFonts w:ascii="Times New Roman" w:hAnsi="Times New Roman" w:cs="Times New Roman"/>
        <w:noProof/>
        <w:sz w:val="20"/>
      </w:rPr>
      <w:t>1</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332693" w14:paraId="2AC0DA17" w14:textId="77777777">
      <w:trPr>
        <w:cantSplit/>
      </w:trPr>
      <w:tc>
        <w:tcPr>
          <w:tcW w:w="4644" w:type="dxa"/>
        </w:tcPr>
        <w:p w14:paraId="6CFF9F49" w14:textId="0172A26A" w:rsidR="00332693" w:rsidRDefault="00332693">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332693" w:rsidRDefault="00332693">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7" w:name="DOC_bkmClassification2"/>
      <w:tc>
        <w:tcPr>
          <w:tcW w:w="5670" w:type="dxa"/>
          <w:tcMar>
            <w:right w:w="249" w:type="dxa"/>
          </w:tcMar>
        </w:tcPr>
        <w:p w14:paraId="6BE850AD" w14:textId="6BACBAB6" w:rsidR="00332693" w:rsidRDefault="00332693">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7"/>
        <w:p w14:paraId="4A6BF5C8" w14:textId="4D4577F5" w:rsidR="00332693" w:rsidRDefault="00332693">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8" w:name="DOC_bkmFileName"/>
  <w:p w14:paraId="437B756E" w14:textId="14A092E5" w:rsidR="00332693" w:rsidRDefault="00332693">
    <w:r>
      <w:rPr>
        <w:sz w:val="16"/>
      </w:rPr>
      <w:fldChar w:fldCharType="begin"/>
    </w:r>
    <w:r>
      <w:rPr>
        <w:sz w:val="16"/>
      </w:rPr>
      <w:instrText xml:space="preserve"> FILENAME \* MERGEFORMAT </w:instrText>
    </w:r>
    <w:r>
      <w:rPr>
        <w:sz w:val="16"/>
      </w:rPr>
      <w:fldChar w:fldCharType="separate"/>
    </w:r>
    <w:r>
      <w:rPr>
        <w:noProof/>
        <w:sz w:val="16"/>
      </w:rPr>
      <w:t>Conference Proceedings_Example paper.docx</w:t>
    </w:r>
    <w:r>
      <w:rPr>
        <w:sz w:val="16"/>
      </w:rPr>
      <w:fldChar w:fldCharType="end"/>
    </w:r>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49E37" w14:textId="77777777" w:rsidR="002C1FEE" w:rsidRDefault="002C1FEE">
      <w:r>
        <w:t>___________________________________________________________________________</w:t>
      </w:r>
    </w:p>
  </w:footnote>
  <w:footnote w:type="continuationSeparator" w:id="0">
    <w:p w14:paraId="534C05C9" w14:textId="77777777" w:rsidR="002C1FEE" w:rsidRDefault="002C1FEE">
      <w:r>
        <w:t>___________________________________________________________________________</w:t>
      </w:r>
    </w:p>
  </w:footnote>
  <w:footnote w:type="continuationNotice" w:id="1">
    <w:p w14:paraId="1D28A104" w14:textId="77777777" w:rsidR="002C1FEE" w:rsidRDefault="002C1FEE"/>
  </w:footnote>
  <w:footnote w:id="2">
    <w:p w14:paraId="7FF6D422" w14:textId="7953AE4E" w:rsidR="00332693" w:rsidRPr="003A1E1C" w:rsidRDefault="00332693">
      <w:pPr>
        <w:pStyle w:val="FootnoteText"/>
        <w:rPr>
          <w:lang w:val="en-CA"/>
        </w:rPr>
      </w:pPr>
      <w:r>
        <w:rPr>
          <w:rStyle w:val="FootnoteReference"/>
        </w:rPr>
        <w:footnoteRef/>
      </w:r>
      <w:r>
        <w:t xml:space="preserve"> </w:t>
      </w:r>
      <w:r>
        <w:rPr>
          <w:lang w:val="en-CA"/>
        </w:rPr>
        <w:t>The work of Vaillant et al</w:t>
      </w:r>
      <w:r w:rsidR="00411594">
        <w:rPr>
          <w:lang w:val="en-CA"/>
        </w:rPr>
        <w:t>.</w:t>
      </w:r>
      <w:r>
        <w:rPr>
          <w:lang w:val="en-CA"/>
        </w:rPr>
        <w:t xml:space="preserve"> </w:t>
      </w:r>
      <w:r>
        <w:rPr>
          <w:lang w:val="en-CA"/>
        </w:rPr>
        <w:fldChar w:fldCharType="begin"/>
      </w:r>
      <w:r>
        <w:rPr>
          <w:lang w:val="en-CA"/>
        </w:rPr>
        <w:instrText xml:space="preserve"> REF _Ref168475802 \r \h </w:instrText>
      </w:r>
      <w:r>
        <w:rPr>
          <w:lang w:val="en-CA"/>
        </w:rPr>
      </w:r>
      <w:r>
        <w:rPr>
          <w:lang w:val="en-CA"/>
        </w:rPr>
        <w:fldChar w:fldCharType="separate"/>
      </w:r>
      <w:r>
        <w:rPr>
          <w:lang w:val="en-CA"/>
        </w:rPr>
        <w:t>[12]</w:t>
      </w:r>
      <w:r>
        <w:rPr>
          <w:lang w:val="en-CA"/>
        </w:rPr>
        <w:fldChar w:fldCharType="end"/>
      </w:r>
      <w:r>
        <w:rPr>
          <w:lang w:val="en-CA"/>
        </w:rPr>
        <w:t xml:space="preserve"> considered stochastic health effects only and not the deterministic effects that would be expected for individuals receiving such high doses.</w:t>
      </w:r>
    </w:p>
  </w:footnote>
  <w:footnote w:id="3">
    <w:p w14:paraId="36AB96CB" w14:textId="549EA6DF" w:rsidR="003B28D9" w:rsidRPr="00CD4A59" w:rsidRDefault="003B28D9">
      <w:pPr>
        <w:pStyle w:val="FootnoteText"/>
        <w:rPr>
          <w:lang w:val="en-CA"/>
        </w:rPr>
      </w:pPr>
      <w:r>
        <w:rPr>
          <w:rStyle w:val="FootnoteReference"/>
        </w:rPr>
        <w:footnoteRef/>
      </w:r>
      <w:r>
        <w:t xml:space="preserve"> </w:t>
      </w:r>
      <w:r>
        <w:rPr>
          <w:lang w:val="en-CA"/>
        </w:rPr>
        <w:t xml:space="preserve">MELCOR is an integral severe accident code developed by the Sandia National Laboratories (SNL) to assess accidents at nuclear facilities and the resulting radionuclide releases </w:t>
      </w:r>
      <w:r>
        <w:rPr>
          <w:lang w:val="en-CA"/>
        </w:rPr>
        <w:fldChar w:fldCharType="begin"/>
      </w:r>
      <w:r>
        <w:rPr>
          <w:lang w:val="en-CA"/>
        </w:rPr>
        <w:instrText xml:space="preserve"> REF _Ref168477990 \r \h </w:instrText>
      </w:r>
      <w:r>
        <w:rPr>
          <w:lang w:val="en-CA"/>
        </w:rPr>
      </w:r>
      <w:r>
        <w:rPr>
          <w:lang w:val="en-CA"/>
        </w:rPr>
        <w:fldChar w:fldCharType="separate"/>
      </w:r>
      <w:r>
        <w:rPr>
          <w:lang w:val="en-CA"/>
        </w:rPr>
        <w:t>[16]</w:t>
      </w:r>
      <w:r>
        <w:rPr>
          <w:lang w:val="en-CA"/>
        </w:rPr>
        <w:fldChar w:fldCharType="end"/>
      </w:r>
      <w:r>
        <w:rPr>
          <w:lang w:val="en-CA"/>
        </w:rPr>
        <w:t xml:space="preserve">. It is </w:t>
      </w:r>
      <w:r w:rsidRPr="003B28D9">
        <w:rPr>
          <w:lang w:val="en-CA"/>
        </w:rPr>
        <w:t>used by the United States Nuclear Regulatory Commission (USNRC) and other organisations around the world</w:t>
      </w:r>
      <w:r>
        <w:rPr>
          <w:lang w:val="en-CA"/>
        </w:rPr>
        <w:t>.</w:t>
      </w:r>
    </w:p>
  </w:footnote>
  <w:footnote w:id="4">
    <w:p w14:paraId="675F8DA8" w14:textId="5645A7C7" w:rsidR="00332693" w:rsidRPr="00D12176" w:rsidRDefault="00332693">
      <w:pPr>
        <w:pStyle w:val="FootnoteText"/>
        <w:rPr>
          <w:lang w:val="en-CA"/>
        </w:rPr>
      </w:pPr>
      <w:r>
        <w:rPr>
          <w:rStyle w:val="FootnoteReference"/>
        </w:rPr>
        <w:footnoteRef/>
      </w:r>
      <w:r>
        <w:t xml:space="preserve"> </w:t>
      </w:r>
      <w:r>
        <w:rPr>
          <w:lang w:val="en-CA"/>
        </w:rPr>
        <w:t>Atmospheric Dispersion and Dose Analysis Method.</w:t>
      </w:r>
    </w:p>
  </w:footnote>
  <w:footnote w:id="5">
    <w:p w14:paraId="42DF1953" w14:textId="3535D123" w:rsidR="00332693" w:rsidRPr="00A5564F" w:rsidRDefault="00332693" w:rsidP="003A1E1C">
      <w:pPr>
        <w:pStyle w:val="FootnoteText"/>
        <w:ind w:left="0"/>
        <w:rPr>
          <w:lang w:val="en-CA"/>
        </w:rPr>
      </w:pPr>
      <w:r>
        <w:rPr>
          <w:rStyle w:val="FootnoteReference"/>
        </w:rPr>
        <w:footnoteRef/>
      </w:r>
      <w:r>
        <w:t xml:space="preserve"> </w:t>
      </w:r>
      <w:r w:rsidRPr="00A5564F">
        <w:t>The maximum allowable doses for AOOs and DBAs specified in Canadian REGDOC-2.4.</w:t>
      </w:r>
      <w:r w:rsidR="003B28D9">
        <w:t>1</w:t>
      </w:r>
      <w:r w:rsidRPr="00A5564F">
        <w:t xml:space="preserve"> </w:t>
      </w:r>
      <w:r>
        <w:fldChar w:fldCharType="begin"/>
      </w:r>
      <w:r>
        <w:instrText xml:space="preserve"> REF _Ref168489347 \w \h </w:instrText>
      </w:r>
      <w:r>
        <w:fldChar w:fldCharType="separate"/>
      </w:r>
      <w:r>
        <w:t>[23]</w:t>
      </w:r>
      <w:r>
        <w:fldChar w:fldCharType="end"/>
      </w:r>
      <w:r w:rsidRPr="00A5564F">
        <w:t xml:space="preserve"> are committed 30 days after the event, which is significantly greater duration than the maximum 7 days considered elsewhere in this paper for triggering prompt or urgent protective actions. However, the calculation of DALY does not distinguish between a dose committed in 7 days or 30 days, so the comparison is still valid.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F522D" w14:textId="00CCC797" w:rsidR="00332693" w:rsidRDefault="00B856A9" w:rsidP="00CF7AF3">
    <w:pPr>
      <w:pStyle w:val="Runninghead"/>
    </w:pPr>
    <w:r>
      <w:rPr>
        <w:noProof/>
        <w:lang w:val="en-CA" w:eastAsia="en-CA"/>
      </w:rPr>
      <mc:AlternateContent>
        <mc:Choice Requires="wps">
          <w:drawing>
            <wp:anchor distT="0" distB="0" distL="114300" distR="114300" simplePos="0" relativeHeight="251660288" behindDoc="0" locked="0" layoutInCell="0" allowOverlap="1" wp14:anchorId="4B11A28E" wp14:editId="72D026D9">
              <wp:simplePos x="0" y="0"/>
              <wp:positionH relativeFrom="page">
                <wp:posOffset>0</wp:posOffset>
              </wp:positionH>
              <wp:positionV relativeFrom="page">
                <wp:posOffset>190500</wp:posOffset>
              </wp:positionV>
              <wp:extent cx="7560945" cy="273050"/>
              <wp:effectExtent l="0" t="0" r="0" b="12700"/>
              <wp:wrapNone/>
              <wp:docPr id="2" name="MSIPCM68a447989c2f5ebde3bec790" descr="{&quot;HashCode&quot;:-843983985,&quot;Height&quot;:842.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0980544" w14:textId="402C492A" w:rsidR="00B856A9" w:rsidRPr="00B856A9" w:rsidRDefault="00B856A9" w:rsidP="00B856A9">
                          <w:pPr>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B11A28E" id="_x0000_t202" coordsize="21600,21600" o:spt="202" path="m,l,21600r21600,l21600,xe">
              <v:stroke joinstyle="miter"/>
              <v:path gradientshapeok="t" o:connecttype="rect"/>
            </v:shapetype>
            <v:shape id="MSIPCM68a447989c2f5ebde3bec790" o:spid="_x0000_s1026" type="#_x0000_t202" alt="{&quot;HashCode&quot;:-843983985,&quot;Height&quot;:842.0,&quot;Width&quot;:595.0,&quot;Placement&quot;:&quot;Header&quot;,&quot;Index&quot;:&quot;OddAndEven&quot;,&quot;Section&quot;:1,&quot;Top&quot;:0.0,&quot;Left&quot;:0.0}" style="position:absolute;left:0;text-align:left;margin-left:0;margin-top:1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" o:allowincell="f" filled="f" stroked="f" strokeweight=".5pt">
              <v:textbox inset=",0,20pt,0">
                <w:txbxContent>
                  <w:p w14:paraId="70980544" w14:textId="402C492A" w:rsidR="00B856A9" w:rsidRPr="00B856A9" w:rsidRDefault="00B856A9" w:rsidP="00B856A9">
                    <w:pPr>
                      <w:jc w:val="right"/>
                      <w:rPr>
                        <w:rFonts w:ascii="Calibri" w:hAnsi="Calibri" w:cs="Calibri"/>
                        <w:color w:val="000000"/>
                        <w:sz w:val="20"/>
                      </w:rPr>
                    </w:pPr>
                  </w:p>
                </w:txbxContent>
              </v:textbox>
              <w10:wrap anchorx="page" anchory="page"/>
            </v:shape>
          </w:pict>
        </mc:Fallback>
      </mc:AlternateContent>
    </w:r>
    <w:r w:rsidR="00332693">
      <w:tab/>
      <w:t>IAEA-CN-327/43</w:t>
    </w:r>
  </w:p>
  <w:p w14:paraId="6E7E9A0F" w14:textId="18B87A12" w:rsidR="00332693" w:rsidRDefault="00332693" w:rsidP="00CF7AF3">
    <w:pPr>
      <w:pStyle w:val="zyxClassification1"/>
      <w:tabs>
        <w:tab w:val="left" w:pos="3956"/>
        <w:tab w:val="right" w:pos="9071"/>
      </w:tabs>
      <w:jc w:val="left"/>
    </w:pPr>
    <w:r>
      <w:tab/>
    </w:r>
    <w:r>
      <w:fldChar w:fldCharType="begin"/>
    </w:r>
    <w:r>
      <w:instrText xml:space="preserve"> DOCPROPERTY "IaeaClassification"  \* MERGEFORMAT </w:instrText>
    </w:r>
    <w:r>
      <w:fldChar w:fldCharType="end"/>
    </w:r>
  </w:p>
  <w:p w14:paraId="09E92CEF" w14:textId="58EFCBEB" w:rsidR="00332693" w:rsidRDefault="00332693">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9C4E1" w14:textId="2060E48A" w:rsidR="00332693" w:rsidRDefault="00332693" w:rsidP="00B82FA5">
    <w:pPr>
      <w:pStyle w:val="Runninghead"/>
    </w:pPr>
    <w:r>
      <w:t>D. HUMMEL et al.</w:t>
    </w:r>
  </w:p>
  <w:p w14:paraId="6E613F17" w14:textId="0F5E3FBE" w:rsidR="00FD10F8" w:rsidRDefault="00FD10F8" w:rsidP="00FD10F8">
    <w:pPr>
      <w:pStyle w:val="Runninghead"/>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332693" w14:paraId="2C69EA9B" w14:textId="77777777">
      <w:trPr>
        <w:cantSplit/>
        <w:trHeight w:val="716"/>
      </w:trPr>
      <w:tc>
        <w:tcPr>
          <w:tcW w:w="979" w:type="dxa"/>
          <w:vMerge w:val="restart"/>
        </w:tcPr>
        <w:p w14:paraId="2A6ADF80" w14:textId="77777777" w:rsidR="00332693" w:rsidRDefault="00332693">
          <w:pPr>
            <w:spacing w:before="180"/>
            <w:ind w:left="17"/>
          </w:pPr>
        </w:p>
      </w:tc>
      <w:tc>
        <w:tcPr>
          <w:tcW w:w="3638" w:type="dxa"/>
          <w:vAlign w:val="bottom"/>
        </w:tcPr>
        <w:p w14:paraId="610CF310" w14:textId="77777777" w:rsidR="00332693" w:rsidRDefault="00332693">
          <w:pPr>
            <w:spacing w:after="20"/>
          </w:pPr>
        </w:p>
      </w:tc>
      <w:bookmarkStart w:id="26" w:name="DOC_bkmClassification1"/>
      <w:tc>
        <w:tcPr>
          <w:tcW w:w="5702" w:type="dxa"/>
          <w:vMerge w:val="restart"/>
          <w:tcMar>
            <w:right w:w="193" w:type="dxa"/>
          </w:tcMar>
        </w:tcPr>
        <w:p w14:paraId="48D5842E" w14:textId="65BC9385" w:rsidR="00332693" w:rsidRDefault="00332693">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6"/>
        <w:p w14:paraId="423CAA9C" w14:textId="4809B93E" w:rsidR="00332693" w:rsidRDefault="00332693">
          <w:pPr>
            <w:pStyle w:val="zyxConfid2Red"/>
          </w:pPr>
          <w:r>
            <w:fldChar w:fldCharType="begin"/>
          </w:r>
          <w:r>
            <w:instrText>DOCPROPERTY "IaeaClassification2"  \* MERGEFORMAT</w:instrText>
          </w:r>
          <w:r>
            <w:fldChar w:fldCharType="end"/>
          </w:r>
        </w:p>
      </w:tc>
    </w:tr>
    <w:tr w:rsidR="00332693" w14:paraId="7130D945" w14:textId="77777777">
      <w:trPr>
        <w:cantSplit/>
        <w:trHeight w:val="167"/>
      </w:trPr>
      <w:tc>
        <w:tcPr>
          <w:tcW w:w="979" w:type="dxa"/>
          <w:vMerge/>
        </w:tcPr>
        <w:p w14:paraId="7659FE2B" w14:textId="77777777" w:rsidR="00332693" w:rsidRDefault="00332693">
          <w:pPr>
            <w:spacing w:before="57"/>
          </w:pPr>
        </w:p>
      </w:tc>
      <w:tc>
        <w:tcPr>
          <w:tcW w:w="3638" w:type="dxa"/>
          <w:vAlign w:val="bottom"/>
        </w:tcPr>
        <w:p w14:paraId="7578AADC" w14:textId="77777777" w:rsidR="00332693" w:rsidRDefault="00332693">
          <w:pPr>
            <w:pStyle w:val="Heading9"/>
            <w:spacing w:before="0" w:after="10"/>
          </w:pPr>
        </w:p>
      </w:tc>
      <w:tc>
        <w:tcPr>
          <w:tcW w:w="5702" w:type="dxa"/>
          <w:vMerge/>
          <w:vAlign w:val="bottom"/>
        </w:tcPr>
        <w:p w14:paraId="313FA1D9" w14:textId="77777777" w:rsidR="00332693" w:rsidRDefault="00332693">
          <w:pPr>
            <w:pStyle w:val="Heading9"/>
            <w:spacing w:before="0" w:after="10"/>
          </w:pPr>
        </w:p>
      </w:tc>
    </w:tr>
  </w:tbl>
  <w:p w14:paraId="7A0C2B4B" w14:textId="77777777" w:rsidR="00332693" w:rsidRDefault="003326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0EF32070"/>
    <w:multiLevelType w:val="hybridMultilevel"/>
    <w:tmpl w:val="0EFAC7EE"/>
    <w:lvl w:ilvl="0" w:tplc="9496C610">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7F0A31"/>
    <w:multiLevelType w:val="hybridMultilevel"/>
    <w:tmpl w:val="27D20D4A"/>
    <w:lvl w:ilvl="0" w:tplc="50B821EA">
      <w:start w:val="1"/>
      <w:numFmt w:val="decimal"/>
      <w:pStyle w:val="StepLevel1"/>
      <w:lvlText w:val="%1)"/>
      <w:lvlJc w:val="left"/>
      <w:pPr>
        <w:ind w:left="720" w:hanging="360"/>
      </w:pPr>
    </w:lvl>
    <w:lvl w:ilvl="1" w:tplc="C04CDE00">
      <w:start w:val="1"/>
      <w:numFmt w:val="lowerLetter"/>
      <w:pStyle w:val="StepLevel2"/>
      <w:lvlText w:val="%2)"/>
      <w:lvlJc w:val="left"/>
      <w:pPr>
        <w:ind w:left="1440" w:hanging="360"/>
      </w:pPr>
    </w:lvl>
    <w:lvl w:ilvl="2" w:tplc="164CBAEA">
      <w:start w:val="1"/>
      <w:numFmt w:val="lowerRoman"/>
      <w:pStyle w:val="StepLevel3"/>
      <w:lvlText w:val="%3)"/>
      <w:lvlJc w:val="right"/>
      <w:pPr>
        <w:ind w:left="2160" w:hanging="18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3"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064987832">
    <w:abstractNumId w:val="8"/>
  </w:num>
  <w:num w:numId="2" w16cid:durableId="2120680144">
    <w:abstractNumId w:val="5"/>
  </w:num>
  <w:num w:numId="3" w16cid:durableId="529728972">
    <w:abstractNumId w:val="12"/>
  </w:num>
  <w:num w:numId="4" w16cid:durableId="244539807">
    <w:abstractNumId w:val="12"/>
  </w:num>
  <w:num w:numId="5" w16cid:durableId="1299609191">
    <w:abstractNumId w:val="12"/>
  </w:num>
  <w:num w:numId="6" w16cid:durableId="528571950">
    <w:abstractNumId w:val="6"/>
  </w:num>
  <w:num w:numId="7" w16cid:durableId="66464967">
    <w:abstractNumId w:val="9"/>
  </w:num>
  <w:num w:numId="8" w16cid:durableId="1389915121">
    <w:abstractNumId w:val="13"/>
  </w:num>
  <w:num w:numId="9" w16cid:durableId="896360299">
    <w:abstractNumId w:val="1"/>
  </w:num>
  <w:num w:numId="10" w16cid:durableId="1846748872">
    <w:abstractNumId w:val="1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425813799">
    <w:abstractNumId w:val="12"/>
  </w:num>
  <w:num w:numId="12" w16cid:durableId="20668012">
    <w:abstractNumId w:val="12"/>
  </w:num>
  <w:num w:numId="13" w16cid:durableId="1177577384">
    <w:abstractNumId w:val="12"/>
  </w:num>
  <w:num w:numId="14" w16cid:durableId="472600357">
    <w:abstractNumId w:val="1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379475306">
    <w:abstractNumId w:val="12"/>
  </w:num>
  <w:num w:numId="16" w16cid:durableId="36928270">
    <w:abstractNumId w:val="12"/>
  </w:num>
  <w:num w:numId="17" w16cid:durableId="1845779352">
    <w:abstractNumId w:val="12"/>
  </w:num>
  <w:num w:numId="18" w16cid:durableId="5966003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3228053">
    <w:abstractNumId w:val="12"/>
  </w:num>
  <w:num w:numId="20" w16cid:durableId="1249194509">
    <w:abstractNumId w:val="3"/>
  </w:num>
  <w:num w:numId="21" w16cid:durableId="657811076">
    <w:abstractNumId w:val="12"/>
  </w:num>
  <w:num w:numId="22" w16cid:durableId="764617583">
    <w:abstractNumId w:val="4"/>
  </w:num>
  <w:num w:numId="23" w16cid:durableId="842474637">
    <w:abstractNumId w:val="0"/>
  </w:num>
  <w:num w:numId="24" w16cid:durableId="819465891">
    <w:abstractNumId w:val="11"/>
  </w:num>
  <w:num w:numId="25" w16cid:durableId="1136290362">
    <w:abstractNumId w:val="12"/>
  </w:num>
  <w:num w:numId="26" w16cid:durableId="1609894529">
    <w:abstractNumId w:val="12"/>
  </w:num>
  <w:num w:numId="27" w16cid:durableId="700276731">
    <w:abstractNumId w:val="12"/>
  </w:num>
  <w:num w:numId="28" w16cid:durableId="1119034803">
    <w:abstractNumId w:val="12"/>
  </w:num>
  <w:num w:numId="29" w16cid:durableId="1977879038">
    <w:abstractNumId w:val="12"/>
  </w:num>
  <w:num w:numId="30" w16cid:durableId="1433279184">
    <w:abstractNumId w:val="7"/>
  </w:num>
  <w:num w:numId="31" w16cid:durableId="1055279375">
    <w:abstractNumId w:val="7"/>
  </w:num>
  <w:num w:numId="32" w16cid:durableId="944195317">
    <w:abstractNumId w:val="12"/>
  </w:num>
  <w:num w:numId="33" w16cid:durableId="1327826762">
    <w:abstractNumId w:val="2"/>
  </w:num>
  <w:num w:numId="34" w16cid:durableId="5351952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en-CA"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0823"/>
    <w:rsid w:val="000019EF"/>
    <w:rsid w:val="00002B9C"/>
    <w:rsid w:val="00002F41"/>
    <w:rsid w:val="00007D6C"/>
    <w:rsid w:val="00011718"/>
    <w:rsid w:val="00012060"/>
    <w:rsid w:val="000142D8"/>
    <w:rsid w:val="00015DFD"/>
    <w:rsid w:val="00020035"/>
    <w:rsid w:val="00020F40"/>
    <w:rsid w:val="00022761"/>
    <w:rsid w:val="000229AB"/>
    <w:rsid w:val="00023E4E"/>
    <w:rsid w:val="00024A7A"/>
    <w:rsid w:val="0002569A"/>
    <w:rsid w:val="00030D6F"/>
    <w:rsid w:val="00031876"/>
    <w:rsid w:val="00037321"/>
    <w:rsid w:val="000405B4"/>
    <w:rsid w:val="0005425B"/>
    <w:rsid w:val="00060C42"/>
    <w:rsid w:val="00071BF0"/>
    <w:rsid w:val="00082B67"/>
    <w:rsid w:val="00087B06"/>
    <w:rsid w:val="000A0299"/>
    <w:rsid w:val="000A1D33"/>
    <w:rsid w:val="000A49DC"/>
    <w:rsid w:val="000B03D2"/>
    <w:rsid w:val="000B3DD9"/>
    <w:rsid w:val="000B5341"/>
    <w:rsid w:val="000B7F83"/>
    <w:rsid w:val="000C20B9"/>
    <w:rsid w:val="000C6F25"/>
    <w:rsid w:val="000C7C23"/>
    <w:rsid w:val="000E5C8F"/>
    <w:rsid w:val="000E6862"/>
    <w:rsid w:val="000E7D00"/>
    <w:rsid w:val="000F1156"/>
    <w:rsid w:val="000F3402"/>
    <w:rsid w:val="000F4F62"/>
    <w:rsid w:val="000F7E94"/>
    <w:rsid w:val="001119D6"/>
    <w:rsid w:val="001134CE"/>
    <w:rsid w:val="001308F2"/>
    <w:rsid w:val="00130A2D"/>
    <w:rsid w:val="001313E8"/>
    <w:rsid w:val="00134A09"/>
    <w:rsid w:val="00134F66"/>
    <w:rsid w:val="0014179D"/>
    <w:rsid w:val="00142A4D"/>
    <w:rsid w:val="001439CD"/>
    <w:rsid w:val="001553DD"/>
    <w:rsid w:val="00157BF3"/>
    <w:rsid w:val="001710E3"/>
    <w:rsid w:val="001746CD"/>
    <w:rsid w:val="001762AF"/>
    <w:rsid w:val="00176B33"/>
    <w:rsid w:val="00183ECA"/>
    <w:rsid w:val="001955FC"/>
    <w:rsid w:val="001A21DC"/>
    <w:rsid w:val="001A3049"/>
    <w:rsid w:val="001A315A"/>
    <w:rsid w:val="001C58F5"/>
    <w:rsid w:val="001C624B"/>
    <w:rsid w:val="001D2DBB"/>
    <w:rsid w:val="001D5CEE"/>
    <w:rsid w:val="001E037D"/>
    <w:rsid w:val="001E0B35"/>
    <w:rsid w:val="001E74BE"/>
    <w:rsid w:val="00204472"/>
    <w:rsid w:val="002071D9"/>
    <w:rsid w:val="00207B36"/>
    <w:rsid w:val="00215E1A"/>
    <w:rsid w:val="00216CAA"/>
    <w:rsid w:val="00226B82"/>
    <w:rsid w:val="00231D20"/>
    <w:rsid w:val="00234764"/>
    <w:rsid w:val="00256822"/>
    <w:rsid w:val="00264BFA"/>
    <w:rsid w:val="00264F08"/>
    <w:rsid w:val="0026525A"/>
    <w:rsid w:val="00265A87"/>
    <w:rsid w:val="00274790"/>
    <w:rsid w:val="00275833"/>
    <w:rsid w:val="00277D0A"/>
    <w:rsid w:val="002835AB"/>
    <w:rsid w:val="00285755"/>
    <w:rsid w:val="002858C2"/>
    <w:rsid w:val="002A1F9C"/>
    <w:rsid w:val="002A5FAC"/>
    <w:rsid w:val="002B29C2"/>
    <w:rsid w:val="002B46F0"/>
    <w:rsid w:val="002B51C8"/>
    <w:rsid w:val="002C1FEE"/>
    <w:rsid w:val="002C4208"/>
    <w:rsid w:val="002C5399"/>
    <w:rsid w:val="002C6B23"/>
    <w:rsid w:val="002D3988"/>
    <w:rsid w:val="002D7C0D"/>
    <w:rsid w:val="002E296C"/>
    <w:rsid w:val="002E587D"/>
    <w:rsid w:val="002E7F44"/>
    <w:rsid w:val="002F1BD1"/>
    <w:rsid w:val="002F6637"/>
    <w:rsid w:val="00301853"/>
    <w:rsid w:val="00303011"/>
    <w:rsid w:val="00304C34"/>
    <w:rsid w:val="0030751D"/>
    <w:rsid w:val="00321B66"/>
    <w:rsid w:val="00332693"/>
    <w:rsid w:val="00352DE1"/>
    <w:rsid w:val="003728E6"/>
    <w:rsid w:val="0037554D"/>
    <w:rsid w:val="00375D85"/>
    <w:rsid w:val="00377FCF"/>
    <w:rsid w:val="00384B1D"/>
    <w:rsid w:val="003877EF"/>
    <w:rsid w:val="0039023A"/>
    <w:rsid w:val="00394F05"/>
    <w:rsid w:val="00395FD6"/>
    <w:rsid w:val="00397220"/>
    <w:rsid w:val="003A148A"/>
    <w:rsid w:val="003A177C"/>
    <w:rsid w:val="003A1E1C"/>
    <w:rsid w:val="003A4C38"/>
    <w:rsid w:val="003A7FCE"/>
    <w:rsid w:val="003B005D"/>
    <w:rsid w:val="003B243E"/>
    <w:rsid w:val="003B28D9"/>
    <w:rsid w:val="003B41E8"/>
    <w:rsid w:val="003B49DC"/>
    <w:rsid w:val="003B5E0E"/>
    <w:rsid w:val="003B6636"/>
    <w:rsid w:val="003C4A74"/>
    <w:rsid w:val="003D255A"/>
    <w:rsid w:val="003D2D35"/>
    <w:rsid w:val="003F0D67"/>
    <w:rsid w:val="003F14EE"/>
    <w:rsid w:val="003F5AE8"/>
    <w:rsid w:val="00401C32"/>
    <w:rsid w:val="00403682"/>
    <w:rsid w:val="00411594"/>
    <w:rsid w:val="00416949"/>
    <w:rsid w:val="00417870"/>
    <w:rsid w:val="0042036B"/>
    <w:rsid w:val="004224DE"/>
    <w:rsid w:val="00423B9A"/>
    <w:rsid w:val="00427771"/>
    <w:rsid w:val="00433A3B"/>
    <w:rsid w:val="00434827"/>
    <w:rsid w:val="004370D8"/>
    <w:rsid w:val="0044469E"/>
    <w:rsid w:val="0044774E"/>
    <w:rsid w:val="004534DA"/>
    <w:rsid w:val="00472C43"/>
    <w:rsid w:val="00482872"/>
    <w:rsid w:val="00492E1D"/>
    <w:rsid w:val="0049489C"/>
    <w:rsid w:val="004A2164"/>
    <w:rsid w:val="004A317B"/>
    <w:rsid w:val="004B0200"/>
    <w:rsid w:val="004B5BBD"/>
    <w:rsid w:val="004C1181"/>
    <w:rsid w:val="004C694C"/>
    <w:rsid w:val="004D4742"/>
    <w:rsid w:val="004E2B8F"/>
    <w:rsid w:val="004F5232"/>
    <w:rsid w:val="0051289E"/>
    <w:rsid w:val="005216B4"/>
    <w:rsid w:val="00525015"/>
    <w:rsid w:val="00530169"/>
    <w:rsid w:val="00537496"/>
    <w:rsid w:val="00540284"/>
    <w:rsid w:val="00542586"/>
    <w:rsid w:val="00544ED3"/>
    <w:rsid w:val="00547F46"/>
    <w:rsid w:val="00560AAF"/>
    <w:rsid w:val="00563E91"/>
    <w:rsid w:val="005703EE"/>
    <w:rsid w:val="00570C86"/>
    <w:rsid w:val="0057303A"/>
    <w:rsid w:val="0058010A"/>
    <w:rsid w:val="0058161C"/>
    <w:rsid w:val="0058180A"/>
    <w:rsid w:val="0058429B"/>
    <w:rsid w:val="0058477B"/>
    <w:rsid w:val="0058654F"/>
    <w:rsid w:val="005913C4"/>
    <w:rsid w:val="0059399D"/>
    <w:rsid w:val="005954C1"/>
    <w:rsid w:val="00596ACA"/>
    <w:rsid w:val="005E39BC"/>
    <w:rsid w:val="005F00A0"/>
    <w:rsid w:val="005F58BB"/>
    <w:rsid w:val="006110D1"/>
    <w:rsid w:val="00611FE9"/>
    <w:rsid w:val="00620244"/>
    <w:rsid w:val="00634DDF"/>
    <w:rsid w:val="00647F33"/>
    <w:rsid w:val="00653D3C"/>
    <w:rsid w:val="00662532"/>
    <w:rsid w:val="006727CB"/>
    <w:rsid w:val="00690272"/>
    <w:rsid w:val="00693E4B"/>
    <w:rsid w:val="00696612"/>
    <w:rsid w:val="006A1E34"/>
    <w:rsid w:val="006A6B95"/>
    <w:rsid w:val="006A721C"/>
    <w:rsid w:val="006B2274"/>
    <w:rsid w:val="006B7376"/>
    <w:rsid w:val="006C07C6"/>
    <w:rsid w:val="006D70CB"/>
    <w:rsid w:val="006E0B51"/>
    <w:rsid w:val="006E39C8"/>
    <w:rsid w:val="006E4441"/>
    <w:rsid w:val="006F0EA1"/>
    <w:rsid w:val="006F1FCF"/>
    <w:rsid w:val="006F219E"/>
    <w:rsid w:val="006F3753"/>
    <w:rsid w:val="006F63EC"/>
    <w:rsid w:val="006F7A7E"/>
    <w:rsid w:val="0070267B"/>
    <w:rsid w:val="0071616B"/>
    <w:rsid w:val="00717C6F"/>
    <w:rsid w:val="00725199"/>
    <w:rsid w:val="00733212"/>
    <w:rsid w:val="0073424D"/>
    <w:rsid w:val="00734945"/>
    <w:rsid w:val="0073541F"/>
    <w:rsid w:val="00740F8B"/>
    <w:rsid w:val="007445DA"/>
    <w:rsid w:val="0075216D"/>
    <w:rsid w:val="00754204"/>
    <w:rsid w:val="00756BE0"/>
    <w:rsid w:val="00757905"/>
    <w:rsid w:val="007629AA"/>
    <w:rsid w:val="00771225"/>
    <w:rsid w:val="0078276B"/>
    <w:rsid w:val="00782943"/>
    <w:rsid w:val="0078477B"/>
    <w:rsid w:val="00790540"/>
    <w:rsid w:val="0079732A"/>
    <w:rsid w:val="007A06D2"/>
    <w:rsid w:val="007A1A66"/>
    <w:rsid w:val="007A216A"/>
    <w:rsid w:val="007A321C"/>
    <w:rsid w:val="007A3DF0"/>
    <w:rsid w:val="007B3BD4"/>
    <w:rsid w:val="007B4FD1"/>
    <w:rsid w:val="007C1276"/>
    <w:rsid w:val="007C536B"/>
    <w:rsid w:val="007D1459"/>
    <w:rsid w:val="007D35C0"/>
    <w:rsid w:val="007F6F82"/>
    <w:rsid w:val="00800145"/>
    <w:rsid w:val="00802381"/>
    <w:rsid w:val="0080248B"/>
    <w:rsid w:val="0080278E"/>
    <w:rsid w:val="0081030C"/>
    <w:rsid w:val="00817604"/>
    <w:rsid w:val="00817819"/>
    <w:rsid w:val="0082322B"/>
    <w:rsid w:val="00824BF9"/>
    <w:rsid w:val="00835939"/>
    <w:rsid w:val="00837162"/>
    <w:rsid w:val="008554F7"/>
    <w:rsid w:val="008642AD"/>
    <w:rsid w:val="008727E3"/>
    <w:rsid w:val="0087547F"/>
    <w:rsid w:val="00877952"/>
    <w:rsid w:val="00881096"/>
    <w:rsid w:val="00882F41"/>
    <w:rsid w:val="00883848"/>
    <w:rsid w:val="008848C1"/>
    <w:rsid w:val="00884F00"/>
    <w:rsid w:val="00886B9C"/>
    <w:rsid w:val="008916B7"/>
    <w:rsid w:val="00891803"/>
    <w:rsid w:val="008930EE"/>
    <w:rsid w:val="0089744A"/>
    <w:rsid w:val="00897ED5"/>
    <w:rsid w:val="008A6D25"/>
    <w:rsid w:val="008B2ED6"/>
    <w:rsid w:val="008B6BB9"/>
    <w:rsid w:val="008C2950"/>
    <w:rsid w:val="008C3D48"/>
    <w:rsid w:val="008D1334"/>
    <w:rsid w:val="008D24AD"/>
    <w:rsid w:val="008E157D"/>
    <w:rsid w:val="008E51C2"/>
    <w:rsid w:val="008F2DF9"/>
    <w:rsid w:val="0090639F"/>
    <w:rsid w:val="00906F6C"/>
    <w:rsid w:val="009103CA"/>
    <w:rsid w:val="00911543"/>
    <w:rsid w:val="009173A8"/>
    <w:rsid w:val="00921E4D"/>
    <w:rsid w:val="009330B8"/>
    <w:rsid w:val="009335CC"/>
    <w:rsid w:val="0094112C"/>
    <w:rsid w:val="00944FC6"/>
    <w:rsid w:val="009519C9"/>
    <w:rsid w:val="009538C6"/>
    <w:rsid w:val="009646C4"/>
    <w:rsid w:val="009707D3"/>
    <w:rsid w:val="00982FB3"/>
    <w:rsid w:val="009906F0"/>
    <w:rsid w:val="009A355F"/>
    <w:rsid w:val="009B0DF2"/>
    <w:rsid w:val="009B4131"/>
    <w:rsid w:val="009C4A66"/>
    <w:rsid w:val="009C4E21"/>
    <w:rsid w:val="009C5782"/>
    <w:rsid w:val="009D0B86"/>
    <w:rsid w:val="009D3D1E"/>
    <w:rsid w:val="009D7432"/>
    <w:rsid w:val="009E0D5B"/>
    <w:rsid w:val="009E1558"/>
    <w:rsid w:val="009E2E67"/>
    <w:rsid w:val="009F21DA"/>
    <w:rsid w:val="00A07834"/>
    <w:rsid w:val="00A11B80"/>
    <w:rsid w:val="00A12379"/>
    <w:rsid w:val="00A131E4"/>
    <w:rsid w:val="00A15272"/>
    <w:rsid w:val="00A22B86"/>
    <w:rsid w:val="00A2705F"/>
    <w:rsid w:val="00A330AE"/>
    <w:rsid w:val="00A42898"/>
    <w:rsid w:val="00A47236"/>
    <w:rsid w:val="00A5564F"/>
    <w:rsid w:val="00A65DAA"/>
    <w:rsid w:val="00A66FA3"/>
    <w:rsid w:val="00A725FE"/>
    <w:rsid w:val="00A753F8"/>
    <w:rsid w:val="00A879D0"/>
    <w:rsid w:val="00AA35B3"/>
    <w:rsid w:val="00AA3F6E"/>
    <w:rsid w:val="00AA79C7"/>
    <w:rsid w:val="00AB1E6C"/>
    <w:rsid w:val="00AB6ACE"/>
    <w:rsid w:val="00AC5A3A"/>
    <w:rsid w:val="00AD7987"/>
    <w:rsid w:val="00AE1586"/>
    <w:rsid w:val="00AE30DB"/>
    <w:rsid w:val="00AE5780"/>
    <w:rsid w:val="00AF334C"/>
    <w:rsid w:val="00B27391"/>
    <w:rsid w:val="00B34799"/>
    <w:rsid w:val="00B352FC"/>
    <w:rsid w:val="00B36088"/>
    <w:rsid w:val="00B560D8"/>
    <w:rsid w:val="00B76BCF"/>
    <w:rsid w:val="00B82FA5"/>
    <w:rsid w:val="00B856A9"/>
    <w:rsid w:val="00B879D9"/>
    <w:rsid w:val="00B9516D"/>
    <w:rsid w:val="00BA59AB"/>
    <w:rsid w:val="00BB4F0F"/>
    <w:rsid w:val="00BB6FF9"/>
    <w:rsid w:val="00BC4A21"/>
    <w:rsid w:val="00BC5DC0"/>
    <w:rsid w:val="00BC71FE"/>
    <w:rsid w:val="00BD1400"/>
    <w:rsid w:val="00BD2B65"/>
    <w:rsid w:val="00BD605C"/>
    <w:rsid w:val="00BE292A"/>
    <w:rsid w:val="00BE2A76"/>
    <w:rsid w:val="00BE38A3"/>
    <w:rsid w:val="00BE3F9B"/>
    <w:rsid w:val="00BE516E"/>
    <w:rsid w:val="00C021B9"/>
    <w:rsid w:val="00C10652"/>
    <w:rsid w:val="00C10F78"/>
    <w:rsid w:val="00C12A83"/>
    <w:rsid w:val="00C162F5"/>
    <w:rsid w:val="00C1648C"/>
    <w:rsid w:val="00C2005A"/>
    <w:rsid w:val="00C26F48"/>
    <w:rsid w:val="00C3590C"/>
    <w:rsid w:val="00C3714E"/>
    <w:rsid w:val="00C4229E"/>
    <w:rsid w:val="00C506CD"/>
    <w:rsid w:val="00C55467"/>
    <w:rsid w:val="00C61192"/>
    <w:rsid w:val="00C617D4"/>
    <w:rsid w:val="00C640DD"/>
    <w:rsid w:val="00C65E60"/>
    <w:rsid w:val="00C66A63"/>
    <w:rsid w:val="00C67F8B"/>
    <w:rsid w:val="00C70EDF"/>
    <w:rsid w:val="00C734C0"/>
    <w:rsid w:val="00C86DED"/>
    <w:rsid w:val="00C87EC4"/>
    <w:rsid w:val="00C909CD"/>
    <w:rsid w:val="00C92E64"/>
    <w:rsid w:val="00CA202E"/>
    <w:rsid w:val="00CB2F35"/>
    <w:rsid w:val="00CB391C"/>
    <w:rsid w:val="00CD1D5B"/>
    <w:rsid w:val="00CD4A59"/>
    <w:rsid w:val="00CD6078"/>
    <w:rsid w:val="00CD76A0"/>
    <w:rsid w:val="00CE5A52"/>
    <w:rsid w:val="00CE7C19"/>
    <w:rsid w:val="00CF55D7"/>
    <w:rsid w:val="00CF7AF3"/>
    <w:rsid w:val="00D02BC0"/>
    <w:rsid w:val="00D036E5"/>
    <w:rsid w:val="00D0587C"/>
    <w:rsid w:val="00D11884"/>
    <w:rsid w:val="00D12176"/>
    <w:rsid w:val="00D170F5"/>
    <w:rsid w:val="00D24182"/>
    <w:rsid w:val="00D24D1F"/>
    <w:rsid w:val="00D26ADA"/>
    <w:rsid w:val="00D31AFF"/>
    <w:rsid w:val="00D340A5"/>
    <w:rsid w:val="00D35A78"/>
    <w:rsid w:val="00D37789"/>
    <w:rsid w:val="00D378DA"/>
    <w:rsid w:val="00D555A1"/>
    <w:rsid w:val="00D55B87"/>
    <w:rsid w:val="00D571D3"/>
    <w:rsid w:val="00D64DC2"/>
    <w:rsid w:val="00D72112"/>
    <w:rsid w:val="00D821BA"/>
    <w:rsid w:val="00D92E7C"/>
    <w:rsid w:val="00D950E1"/>
    <w:rsid w:val="00DA46CA"/>
    <w:rsid w:val="00DA5698"/>
    <w:rsid w:val="00DC4D41"/>
    <w:rsid w:val="00DD3860"/>
    <w:rsid w:val="00DD7B80"/>
    <w:rsid w:val="00DE2F28"/>
    <w:rsid w:val="00DE3C24"/>
    <w:rsid w:val="00DE4645"/>
    <w:rsid w:val="00DE7062"/>
    <w:rsid w:val="00DF21EB"/>
    <w:rsid w:val="00DF35DD"/>
    <w:rsid w:val="00DF4D9F"/>
    <w:rsid w:val="00E00CC3"/>
    <w:rsid w:val="00E13EFD"/>
    <w:rsid w:val="00E141A9"/>
    <w:rsid w:val="00E20E70"/>
    <w:rsid w:val="00E22BE3"/>
    <w:rsid w:val="00E253D0"/>
    <w:rsid w:val="00E25B68"/>
    <w:rsid w:val="00E34462"/>
    <w:rsid w:val="00E41DC4"/>
    <w:rsid w:val="00E449C5"/>
    <w:rsid w:val="00E53F7E"/>
    <w:rsid w:val="00E54CF4"/>
    <w:rsid w:val="00E55489"/>
    <w:rsid w:val="00E60874"/>
    <w:rsid w:val="00E62476"/>
    <w:rsid w:val="00E7020E"/>
    <w:rsid w:val="00E77BDD"/>
    <w:rsid w:val="00E834EA"/>
    <w:rsid w:val="00E84003"/>
    <w:rsid w:val="00EB478E"/>
    <w:rsid w:val="00EC10FC"/>
    <w:rsid w:val="00ED4050"/>
    <w:rsid w:val="00EE0041"/>
    <w:rsid w:val="00EE29B9"/>
    <w:rsid w:val="00EE6804"/>
    <w:rsid w:val="00EE7E7B"/>
    <w:rsid w:val="00EF1B00"/>
    <w:rsid w:val="00F004EE"/>
    <w:rsid w:val="00F01627"/>
    <w:rsid w:val="00F105C6"/>
    <w:rsid w:val="00F146D3"/>
    <w:rsid w:val="00F200E0"/>
    <w:rsid w:val="00F21171"/>
    <w:rsid w:val="00F2572D"/>
    <w:rsid w:val="00F30D39"/>
    <w:rsid w:val="00F42E1F"/>
    <w:rsid w:val="00F42E23"/>
    <w:rsid w:val="00F44676"/>
    <w:rsid w:val="00F45EEE"/>
    <w:rsid w:val="00F51E9C"/>
    <w:rsid w:val="00F523CA"/>
    <w:rsid w:val="00F54CAA"/>
    <w:rsid w:val="00F6031D"/>
    <w:rsid w:val="00F63BCD"/>
    <w:rsid w:val="00F667D5"/>
    <w:rsid w:val="00F70A65"/>
    <w:rsid w:val="00F712A6"/>
    <w:rsid w:val="00F74A9D"/>
    <w:rsid w:val="00F77B07"/>
    <w:rsid w:val="00F86427"/>
    <w:rsid w:val="00F915EC"/>
    <w:rsid w:val="00F9797E"/>
    <w:rsid w:val="00FA03ED"/>
    <w:rsid w:val="00FA3AEB"/>
    <w:rsid w:val="00FA5045"/>
    <w:rsid w:val="00FA605A"/>
    <w:rsid w:val="00FB1489"/>
    <w:rsid w:val="00FD10F8"/>
    <w:rsid w:val="00FD2BED"/>
    <w:rsid w:val="00FD3667"/>
    <w:rsid w:val="00FD3B48"/>
    <w:rsid w:val="00FD5BFD"/>
    <w:rsid w:val="00FE1A5B"/>
    <w:rsid w:val="00FE481F"/>
    <w:rsid w:val="00FE5D42"/>
    <w:rsid w:val="00FF11E5"/>
    <w:rsid w:val="00FF256D"/>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562898DE-33CE-474C-99ED-0740DDEC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annotation text" w:uiPriority="99"/>
    <w:lsdException w:name="header" w:locked="0" w:uiPriority="0"/>
    <w:lsdException w:name="footer" w:locked="0" w:uiPriority="99"/>
    <w:lsdException w:name="caption" w:locked="0" w:uiPriority="0"/>
    <w:lsdException w:name="footnote reference" w:locked="0" w:uiPriority="0"/>
    <w:lsdException w:name="annotation reference" w:uiPriority="99"/>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Hyperlink">
    <w:name w:val="Hyperlink"/>
    <w:basedOn w:val="DefaultParagraphFont"/>
    <w:uiPriority w:val="49"/>
    <w:locked/>
    <w:rsid w:val="007D1459"/>
    <w:rPr>
      <w:color w:val="0000FF" w:themeColor="hyperlink"/>
      <w:u w:val="single"/>
    </w:rPr>
  </w:style>
  <w:style w:type="character" w:customStyle="1" w:styleId="UnresolvedMention1">
    <w:name w:val="Unresolved Mention1"/>
    <w:basedOn w:val="DefaultParagraphFont"/>
    <w:uiPriority w:val="99"/>
    <w:semiHidden/>
    <w:unhideWhenUsed/>
    <w:rsid w:val="007D1459"/>
    <w:rPr>
      <w:color w:val="605E5C"/>
      <w:shd w:val="clear" w:color="auto" w:fill="E1DFDD"/>
    </w:rPr>
  </w:style>
  <w:style w:type="paragraph" w:customStyle="1" w:styleId="Body">
    <w:name w:val="Body"/>
    <w:rsid w:val="003A177C"/>
    <w:pPr>
      <w:spacing w:before="120" w:after="120"/>
    </w:pPr>
    <w:rPr>
      <w:rFonts w:ascii="Calibri" w:hAnsi="Calibri"/>
      <w:sz w:val="24"/>
      <w:lang w:val="en-CA" w:eastAsia="en-US"/>
    </w:rPr>
  </w:style>
  <w:style w:type="character" w:styleId="PlaceholderText">
    <w:name w:val="Placeholder Text"/>
    <w:basedOn w:val="DefaultParagraphFont"/>
    <w:uiPriority w:val="99"/>
    <w:semiHidden/>
    <w:locked/>
    <w:rsid w:val="00B560D8"/>
    <w:rPr>
      <w:color w:val="666666"/>
    </w:rPr>
  </w:style>
  <w:style w:type="character" w:styleId="CommentReference">
    <w:name w:val="annotation reference"/>
    <w:basedOn w:val="DefaultParagraphFont"/>
    <w:uiPriority w:val="99"/>
    <w:unhideWhenUsed/>
    <w:locked/>
    <w:rsid w:val="009D3D1E"/>
    <w:rPr>
      <w:sz w:val="16"/>
      <w:szCs w:val="16"/>
    </w:rPr>
  </w:style>
  <w:style w:type="paragraph" w:styleId="CommentText">
    <w:name w:val="annotation text"/>
    <w:basedOn w:val="Normal"/>
    <w:link w:val="CommentTextChar"/>
    <w:uiPriority w:val="99"/>
    <w:unhideWhenUsed/>
    <w:locked/>
    <w:rsid w:val="009D3D1E"/>
    <w:pPr>
      <w:widowControl w:val="0"/>
    </w:pPr>
    <w:rPr>
      <w:sz w:val="20"/>
      <w:lang w:val="en-CA"/>
    </w:rPr>
  </w:style>
  <w:style w:type="character" w:customStyle="1" w:styleId="CommentTextChar">
    <w:name w:val="Comment Text Char"/>
    <w:basedOn w:val="DefaultParagraphFont"/>
    <w:link w:val="CommentText"/>
    <w:uiPriority w:val="99"/>
    <w:rsid w:val="009D3D1E"/>
    <w:rPr>
      <w:lang w:val="en-CA" w:eastAsia="en-US"/>
    </w:rPr>
  </w:style>
  <w:style w:type="paragraph" w:customStyle="1" w:styleId="StepLevel2">
    <w:name w:val="Step Level 2"/>
    <w:basedOn w:val="StepLevel1"/>
    <w:qFormat/>
    <w:rsid w:val="009D3D1E"/>
    <w:pPr>
      <w:numPr>
        <w:ilvl w:val="1"/>
      </w:numPr>
    </w:pPr>
  </w:style>
  <w:style w:type="paragraph" w:customStyle="1" w:styleId="StepLevel1">
    <w:name w:val="Step Level 1"/>
    <w:qFormat/>
    <w:rsid w:val="009D3D1E"/>
    <w:pPr>
      <w:numPr>
        <w:numId w:val="34"/>
      </w:numPr>
      <w:spacing w:before="120" w:after="120"/>
      <w:ind w:left="714" w:hanging="357"/>
    </w:pPr>
    <w:rPr>
      <w:rFonts w:ascii="Calibri" w:hAnsi="Calibri"/>
      <w:sz w:val="24"/>
      <w:lang w:val="en-CA" w:eastAsia="en-US"/>
    </w:rPr>
  </w:style>
  <w:style w:type="paragraph" w:customStyle="1" w:styleId="StepLevel3">
    <w:name w:val="Step Level 3"/>
    <w:basedOn w:val="StepLevel2"/>
    <w:qFormat/>
    <w:rsid w:val="009D3D1E"/>
    <w:pPr>
      <w:numPr>
        <w:ilvl w:val="2"/>
      </w:numPr>
    </w:pPr>
  </w:style>
  <w:style w:type="paragraph" w:styleId="Revision">
    <w:name w:val="Revision"/>
    <w:hidden/>
    <w:uiPriority w:val="99"/>
    <w:semiHidden/>
    <w:rsid w:val="004C1181"/>
    <w:rPr>
      <w:sz w:val="22"/>
      <w:lang w:eastAsia="en-US"/>
    </w:rPr>
  </w:style>
  <w:style w:type="paragraph" w:styleId="CommentSubject">
    <w:name w:val="annotation subject"/>
    <w:basedOn w:val="CommentText"/>
    <w:next w:val="CommentText"/>
    <w:link w:val="CommentSubjectChar"/>
    <w:uiPriority w:val="49"/>
    <w:locked/>
    <w:rsid w:val="00142A4D"/>
    <w:pPr>
      <w:widowControl/>
    </w:pPr>
    <w:rPr>
      <w:b/>
      <w:bCs/>
      <w:lang w:val="en-GB"/>
    </w:rPr>
  </w:style>
  <w:style w:type="character" w:customStyle="1" w:styleId="CommentSubjectChar">
    <w:name w:val="Comment Subject Char"/>
    <w:basedOn w:val="CommentTextChar"/>
    <w:link w:val="CommentSubject"/>
    <w:uiPriority w:val="49"/>
    <w:rsid w:val="00142A4D"/>
    <w:rPr>
      <w:b/>
      <w:bCs/>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3.xml><?xml version="1.0" encoding="utf-8"?>
<ct:contentTypeSchema xmlns:ct="http://schemas.microsoft.com/office/2006/metadata/contentType" xmlns:ma="http://schemas.microsoft.com/office/2006/metadata/properties/metaAttributes" ct:_="" ma:_="" ma:contentTypeName="Document" ma:contentTypeID="0x01010093414E17835C9C4DBE7932265A50B2EE" ma:contentTypeVersion="22" ma:contentTypeDescription="Create a new document." ma:contentTypeScope="" ma:versionID="82ae959d7f2c3f622dfaed17066e53d3">
  <xsd:schema xmlns:xsd="http://www.w3.org/2001/XMLSchema" xmlns:xs="http://www.w3.org/2001/XMLSchema" xmlns:p="http://schemas.microsoft.com/office/2006/metadata/properties" xmlns:ns2="32e648a4-5a31-487a-ba7f-0ca780748bdf" xmlns:ns3="a6dca560-6736-4b49-8d28-1df3f8735a81" targetNamespace="http://schemas.microsoft.com/office/2006/metadata/properties" ma:root="true" ma:fieldsID="0bcc4dae7f80dbddef25725b84f21e8f" ns2:_="" ns3:_="">
    <xsd:import namespace="32e648a4-5a31-487a-ba7f-0ca780748bdf"/>
    <xsd:import namespace="a6dca560-6736-4b49-8d28-1df3f8735a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648a4-5a31-487a-ba7f-0ca780748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ccba4f5-1086-4102-94a5-26fdaf44cbf2"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ca560-6736-4b49-8d28-1df3f8735a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d413119-ef61-4cea-a5e9-bda5e6cb0a4a}" ma:internalName="TaxCatchAll" ma:showField="CatchAllData" ma:web="a6dca560-6736-4b49-8d28-1df3f8735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e648a4-5a31-487a-ba7f-0ca780748bdf">
      <Terms xmlns="http://schemas.microsoft.com/office/infopath/2007/PartnerControls"/>
    </lcf76f155ced4ddcb4097134ff3c332f>
    <TaxCatchAll xmlns="a6dca560-6736-4b49-8d28-1df3f8735a81" xsi:nil="true"/>
  </documentManagement>
</p:properties>
</file>

<file path=customXml/itemProps1.xml><?xml version="1.0" encoding="utf-8"?>
<ds:datastoreItem xmlns:ds="http://schemas.openxmlformats.org/officeDocument/2006/customXml" ds:itemID="{B8D16F89-040E-4C24-8486-AA61C053BCB4}">
  <ds:schemaRefs>
    <ds:schemaRef ds:uri="http://schemas.microsoft.com/sharepoint/v3/contenttype/forms"/>
  </ds:schemaRefs>
</ds:datastoreItem>
</file>

<file path=customXml/itemProps2.xml><?xml version="1.0" encoding="utf-8"?>
<ds:datastoreItem xmlns:ds="http://schemas.openxmlformats.org/officeDocument/2006/customXml" ds:itemID="{B0A7F019-F3EF-4A66-9F8D-384C2C71A141}">
  <ds:schemaRefs>
    <ds:schemaRef ds:uri="http://schemas.openxmlformats.org/officeDocument/2006/bibliography"/>
  </ds:schemaRefs>
</ds:datastoreItem>
</file>

<file path=customXml/itemProps3.xml><?xml version="1.0" encoding="utf-8"?>
<ds:datastoreItem xmlns:ds="http://schemas.openxmlformats.org/officeDocument/2006/customXml" ds:itemID="{BE9C3BE3-78DD-4B54-8042-119A96F18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648a4-5a31-487a-ba7f-0ca780748bdf"/>
    <ds:schemaRef ds:uri="a6dca560-6736-4b49-8d28-1df3f8735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BAA0F2-EC83-4AEE-B1ED-6768F991B47F}">
  <ds:schemaRefs>
    <ds:schemaRef ds:uri="http://schemas.microsoft.com/office/2006/metadata/properties"/>
    <ds:schemaRef ds:uri="http://schemas.microsoft.com/office/infopath/2007/PartnerControls"/>
    <ds:schemaRef ds:uri="32e648a4-5a31-487a-ba7f-0ca780748bdf"/>
    <ds:schemaRef ds:uri="a6dca560-6736-4b49-8d28-1df3f8735a81"/>
  </ds:schemaRefs>
</ds:datastoreItem>
</file>

<file path=docProps/app.xml><?xml version="1.0" encoding="utf-8"?>
<Properties xmlns="http://schemas.openxmlformats.org/officeDocument/2006/extended-properties" xmlns:vt="http://schemas.openxmlformats.org/officeDocument/2006/docPropsVTypes">
  <Template>IAEA Blank (r01)</Template>
  <TotalTime>0</TotalTime>
  <Pages>1</Pages>
  <Words>4228</Words>
  <Characters>24105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subject/>
  <dc:creator>Gemma Anna Ruffino</dc:creator>
  <cp:keywords/>
  <cp:lastModifiedBy>Hummel, David</cp:lastModifiedBy>
  <cp:revision>4</cp:revision>
  <cp:lastPrinted>2024-03-19T10:52:00Z</cp:lastPrinted>
  <dcterms:created xsi:type="dcterms:W3CDTF">2024-08-01T19:17:00Z</dcterms:created>
  <dcterms:modified xsi:type="dcterms:W3CDTF">2024-08-01T19:17:00Z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0x01010093414E17835C9C4DBE7932265A50B2EE</vt:lpwstr>
  </property>
  <property fmtid="{D5CDD505-2E9C-101B-9397-08002B2CF9AE}" pid="12" name="MediaServiceImageTags">
    <vt:lpwstr/>
  </property>
  <property fmtid="{D5CDD505-2E9C-101B-9397-08002B2CF9AE}" pid="13" name="MSIP_Label_b6e180b8-d0e0-4111-ab79-256bace84561_Enabled">
    <vt:lpwstr>true</vt:lpwstr>
  </property>
  <property fmtid="{D5CDD505-2E9C-101B-9397-08002B2CF9AE}" pid="14" name="MSIP_Label_b6e180b8-d0e0-4111-ab79-256bace84561_SetDate">
    <vt:lpwstr>2024-06-18T14:41:11Z</vt:lpwstr>
  </property>
  <property fmtid="{D5CDD505-2E9C-101B-9397-08002B2CF9AE}" pid="15" name="MSIP_Label_b6e180b8-d0e0-4111-ab79-256bace84561_Method">
    <vt:lpwstr>Privileged</vt:lpwstr>
  </property>
  <property fmtid="{D5CDD505-2E9C-101B-9397-08002B2CF9AE}" pid="16" name="MSIP_Label_b6e180b8-d0e0-4111-ab79-256bace84561_Name">
    <vt:lpwstr>UNRESTRICTED</vt:lpwstr>
  </property>
  <property fmtid="{D5CDD505-2E9C-101B-9397-08002B2CF9AE}" pid="17" name="MSIP_Label_b6e180b8-d0e0-4111-ab79-256bace84561_SiteId">
    <vt:lpwstr>a483a0b6-671f-4e86-a04d-998385c0e199</vt:lpwstr>
  </property>
  <property fmtid="{D5CDD505-2E9C-101B-9397-08002B2CF9AE}" pid="18" name="MSIP_Label_b6e180b8-d0e0-4111-ab79-256bace84561_ActionId">
    <vt:lpwstr>7cd5b49b-8221-4094-a816-00cd6584ae94</vt:lpwstr>
  </property>
  <property fmtid="{D5CDD505-2E9C-101B-9397-08002B2CF9AE}" pid="19" name="MSIP_Label_b6e180b8-d0e0-4111-ab79-256bace84561_ContentBits">
    <vt:lpwstr>1</vt:lpwstr>
  </property>
  <property fmtid="{D5CDD505-2E9C-101B-9397-08002B2CF9AE}" pid="20" name="GrammarlyDocumentId">
    <vt:lpwstr>c267cbd3cd3eb2ef06238d4e791cc441e5af0c12445c6396720dff14e1e1b9f7</vt:lpwstr>
  </property>
</Properties>
</file>