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EA67F" w14:textId="77777777" w:rsidR="006D0583" w:rsidRDefault="000E5E09" w:rsidP="00537496">
      <w:pPr>
        <w:pStyle w:val="Heading1"/>
        <w:rPr>
          <w:rFonts w:asciiTheme="majorBidi" w:hAnsiTheme="majorBidi" w:cstheme="majorBidi"/>
        </w:rPr>
      </w:pPr>
      <w:r w:rsidRPr="004F2387">
        <w:rPr>
          <w:rFonts w:asciiTheme="majorBidi" w:hAnsiTheme="majorBidi" w:cstheme="majorBidi"/>
        </w:rPr>
        <w:t xml:space="preserve">INPRO’s </w:t>
      </w:r>
      <w:r>
        <w:rPr>
          <w:rFonts w:asciiTheme="majorBidi" w:hAnsiTheme="majorBidi" w:cstheme="majorBidi"/>
        </w:rPr>
        <w:t>activities</w:t>
      </w:r>
      <w:r w:rsidRPr="004F2387">
        <w:rPr>
          <w:rFonts w:asciiTheme="majorBidi" w:hAnsiTheme="majorBidi" w:cstheme="majorBidi"/>
        </w:rPr>
        <w:t xml:space="preserve"> in transportable nuclear </w:t>
      </w:r>
    </w:p>
    <w:p w14:paraId="7A489224" w14:textId="1B330709" w:rsidR="003B5E0E" w:rsidRPr="003B00B5" w:rsidRDefault="006D0583" w:rsidP="006D0583">
      <w:pPr>
        <w:pStyle w:val="Heading1"/>
        <w:rPr>
          <w:lang w:val="en-GB"/>
        </w:rPr>
      </w:pPr>
      <w:r w:rsidRPr="004F2387">
        <w:rPr>
          <w:rFonts w:asciiTheme="majorBidi" w:hAnsiTheme="majorBidi" w:cstheme="majorBidi"/>
        </w:rPr>
        <w:t xml:space="preserve">power </w:t>
      </w:r>
      <w:r w:rsidR="000E5E09" w:rsidRPr="004F2387">
        <w:rPr>
          <w:rFonts w:asciiTheme="majorBidi" w:hAnsiTheme="majorBidi" w:cstheme="majorBidi"/>
        </w:rPr>
        <w:t>plants</w:t>
      </w:r>
      <w:r w:rsidR="000E5E09" w:rsidRPr="003B00B5">
        <w:rPr>
          <w:lang w:val="en-GB"/>
        </w:rPr>
        <w:t xml:space="preserve"> </w:t>
      </w:r>
    </w:p>
    <w:p w14:paraId="4D1B799F" w14:textId="77777777" w:rsidR="00802381" w:rsidRPr="003B00B5" w:rsidRDefault="00802381" w:rsidP="00537496">
      <w:pPr>
        <w:pStyle w:val="Authornameandaffiliation"/>
        <w:rPr>
          <w:lang w:val="en-GB"/>
        </w:rPr>
      </w:pPr>
    </w:p>
    <w:p w14:paraId="1245DE02" w14:textId="69D5284C" w:rsidR="006D0583" w:rsidRPr="00443A89" w:rsidRDefault="006D0583" w:rsidP="00443A89">
      <w:pPr>
        <w:pStyle w:val="Authornameandaffiliation"/>
      </w:pPr>
      <w:r>
        <w:t>A. BYCHKOV</w:t>
      </w:r>
    </w:p>
    <w:p w14:paraId="1D62AE72" w14:textId="77777777" w:rsidR="006D0583" w:rsidRDefault="006D0583" w:rsidP="006D0583">
      <w:pPr>
        <w:pStyle w:val="Authornameandaffiliation"/>
      </w:pPr>
      <w:r>
        <w:t>Vienna, Austria</w:t>
      </w:r>
    </w:p>
    <w:p w14:paraId="6DCB1C56" w14:textId="77777777" w:rsidR="006D0583" w:rsidRDefault="006D0583" w:rsidP="006D0583">
      <w:pPr>
        <w:pStyle w:val="Authornameandaffiliation"/>
      </w:pPr>
      <w:r>
        <w:t xml:space="preserve">Email: </w:t>
      </w:r>
      <w:r w:rsidRPr="00A52C38">
        <w:rPr>
          <w:lang w:val="en-GB"/>
        </w:rPr>
        <w:t>bav.vienna@yandex.com</w:t>
      </w:r>
    </w:p>
    <w:p w14:paraId="5E2BDA1F" w14:textId="77777777" w:rsidR="00FF386F" w:rsidRPr="003B00B5" w:rsidRDefault="00FF386F" w:rsidP="00537496">
      <w:pPr>
        <w:pStyle w:val="Authornameandaffiliation"/>
        <w:rPr>
          <w:lang w:val="en-GB"/>
        </w:rPr>
      </w:pPr>
    </w:p>
    <w:p w14:paraId="535BB6CC" w14:textId="28548304" w:rsidR="00FF386F" w:rsidRPr="003B00B5" w:rsidRDefault="006D0583" w:rsidP="00537496">
      <w:pPr>
        <w:pStyle w:val="Authornameandaffiliation"/>
        <w:rPr>
          <w:lang w:val="en-GB"/>
        </w:rPr>
      </w:pPr>
      <w:r>
        <w:rPr>
          <w:lang w:val="en-GB"/>
        </w:rPr>
        <w:t>G</w:t>
      </w:r>
      <w:r w:rsidR="00FF386F" w:rsidRPr="003B00B5">
        <w:rPr>
          <w:lang w:val="en-GB"/>
        </w:rPr>
        <w:t xml:space="preserve">. </w:t>
      </w:r>
      <w:r>
        <w:t>SAYIN</w:t>
      </w:r>
    </w:p>
    <w:p w14:paraId="0F025432" w14:textId="77777777" w:rsidR="006D0583" w:rsidRPr="00FF386F" w:rsidRDefault="006D0583" w:rsidP="006D0583">
      <w:pPr>
        <w:pStyle w:val="Authornameandaffiliation"/>
      </w:pPr>
      <w:r>
        <w:t>International Atomic Energy Agency</w:t>
      </w:r>
    </w:p>
    <w:p w14:paraId="6764CDB1" w14:textId="77777777" w:rsidR="006D0583" w:rsidRDefault="006D0583" w:rsidP="006D0583">
      <w:pPr>
        <w:pStyle w:val="Authornameandaffiliation"/>
        <w:rPr>
          <w:lang w:val="en-GB"/>
        </w:rPr>
      </w:pPr>
      <w:r w:rsidRPr="00A52C38">
        <w:rPr>
          <w:lang w:val="en-GB"/>
        </w:rPr>
        <w:t>Vienna, Austria</w:t>
      </w:r>
    </w:p>
    <w:p w14:paraId="2C7F19CB" w14:textId="77777777" w:rsidR="00FF386F" w:rsidRPr="003B00B5" w:rsidRDefault="00FF386F" w:rsidP="00537496">
      <w:pPr>
        <w:pStyle w:val="Authornameandaffiliation"/>
        <w:rPr>
          <w:lang w:val="en-GB"/>
        </w:rPr>
      </w:pPr>
    </w:p>
    <w:p w14:paraId="230D4575" w14:textId="77777777" w:rsidR="00647F33" w:rsidRPr="003B00B5" w:rsidRDefault="00647F33" w:rsidP="00537496">
      <w:pPr>
        <w:pStyle w:val="Authornameandaffiliation"/>
        <w:rPr>
          <w:b/>
          <w:lang w:val="en-GB"/>
        </w:rPr>
      </w:pPr>
      <w:r w:rsidRPr="003B00B5">
        <w:rPr>
          <w:b/>
          <w:lang w:val="en-GB"/>
        </w:rPr>
        <w:t>Abstract</w:t>
      </w:r>
    </w:p>
    <w:p w14:paraId="4F2E62A2" w14:textId="77777777" w:rsidR="00647F33" w:rsidRPr="003B00B5" w:rsidRDefault="00647F33" w:rsidP="00537496">
      <w:pPr>
        <w:pStyle w:val="Authornameandaffiliation"/>
        <w:rPr>
          <w:lang w:val="en-GB"/>
        </w:rPr>
      </w:pPr>
    </w:p>
    <w:p w14:paraId="418AC57B" w14:textId="4733CFBA" w:rsidR="00647F33" w:rsidRPr="006D0583" w:rsidRDefault="003B00B5" w:rsidP="00526D91">
      <w:pPr>
        <w:pStyle w:val="Abstracttext"/>
        <w:jc w:val="both"/>
        <w:rPr>
          <w:rFonts w:asciiTheme="majorBidi" w:hAnsiTheme="majorBidi" w:cstheme="majorBidi"/>
          <w:lang w:val="en-GB"/>
        </w:rPr>
      </w:pPr>
      <w:r w:rsidRPr="003B00B5">
        <w:rPr>
          <w:rFonts w:asciiTheme="majorBidi" w:hAnsiTheme="majorBidi" w:cstheme="majorBidi"/>
          <w:lang w:val="en-GB"/>
        </w:rPr>
        <w:t xml:space="preserve">The International Atomic Energy Agency (IAEA) through its International Project on Innovative Nuclear Reactors and Fuel Cycles (INPRO) assists Member States (MSs) in formulating comprehensive long-term strategies for the implementation of sustainable nuclear energy. </w:t>
      </w:r>
      <w:r w:rsidR="00A035F9">
        <w:rPr>
          <w:rFonts w:asciiTheme="majorBidi" w:hAnsiTheme="majorBidi" w:cstheme="majorBidi"/>
          <w:lang w:val="en-GB"/>
        </w:rPr>
        <w:t>There are</w:t>
      </w:r>
      <w:r w:rsidRPr="003B00B5">
        <w:rPr>
          <w:rFonts w:asciiTheme="majorBidi" w:hAnsiTheme="majorBidi" w:cstheme="majorBidi"/>
          <w:lang w:val="en-GB"/>
        </w:rPr>
        <w:t xml:space="preserve"> several INPRO activities related to the deployment of transportable small modular reactors (SMRs). The first activity, completed in 2012, </w:t>
      </w:r>
      <w:r w:rsidRPr="003B00B5">
        <w:rPr>
          <w:rFonts w:asciiTheme="majorBidi" w:hAnsiTheme="majorBidi" w:cstheme="majorBidi"/>
          <w:shd w:val="clear" w:color="auto" w:fill="FFFFFF"/>
          <w:lang w:val="en-GB"/>
        </w:rPr>
        <w:t xml:space="preserve">focused on the legal, institutional, and ownership-related challenges associated with deploying </w:t>
      </w:r>
      <w:r w:rsidR="006D0583">
        <w:rPr>
          <w:rFonts w:asciiTheme="majorBidi" w:hAnsiTheme="majorBidi" w:cstheme="majorBidi"/>
          <w:shd w:val="clear" w:color="auto" w:fill="FFFFFF"/>
          <w:lang w:val="en-GB"/>
        </w:rPr>
        <w:t>a transportable nuclear power plant (</w:t>
      </w:r>
      <w:r w:rsidRPr="003B00B5">
        <w:rPr>
          <w:rFonts w:asciiTheme="majorBidi" w:hAnsiTheme="majorBidi" w:cstheme="majorBidi"/>
          <w:shd w:val="clear" w:color="auto" w:fill="FFFFFF"/>
          <w:lang w:val="en-GB"/>
        </w:rPr>
        <w:t>TNPP</w:t>
      </w:r>
      <w:r w:rsidR="006D0583">
        <w:rPr>
          <w:rFonts w:asciiTheme="majorBidi" w:hAnsiTheme="majorBidi" w:cstheme="majorBidi"/>
          <w:shd w:val="clear" w:color="auto" w:fill="FFFFFF"/>
          <w:lang w:val="en-GB"/>
        </w:rPr>
        <w:t>)</w:t>
      </w:r>
      <w:r w:rsidRPr="003B00B5">
        <w:rPr>
          <w:rFonts w:asciiTheme="majorBidi" w:hAnsiTheme="majorBidi" w:cstheme="majorBidi"/>
          <w:shd w:val="clear" w:color="auto" w:fill="FFFFFF"/>
          <w:lang w:val="en-GB"/>
        </w:rPr>
        <w:t xml:space="preserve">, analysed various technological options and deployment scenarios, identified challenges, and assessed the impact of TNPPs on recipient countries' infrastructure. </w:t>
      </w:r>
      <w:r w:rsidRPr="003B00B5">
        <w:rPr>
          <w:rFonts w:asciiTheme="majorBidi" w:hAnsiTheme="majorBidi" w:cstheme="majorBidi"/>
          <w:lang w:val="en-GB"/>
        </w:rPr>
        <w:t>This first activity explored two technical options for TNPPs</w:t>
      </w:r>
      <w:r w:rsidR="00A035F9">
        <w:rPr>
          <w:rFonts w:asciiTheme="majorBidi" w:hAnsiTheme="majorBidi" w:cstheme="majorBidi"/>
          <w:lang w:val="en-GB"/>
        </w:rPr>
        <w:t xml:space="preserve">: Option 1 </w:t>
      </w:r>
      <w:r w:rsidRPr="003B00B5">
        <w:rPr>
          <w:rFonts w:asciiTheme="majorBidi" w:hAnsiTheme="majorBidi" w:cstheme="majorBidi"/>
          <w:lang w:val="en-GB"/>
        </w:rPr>
        <w:t xml:space="preserve">a pre-assembled TNPP with fuelling, testing, maintenance, and decommissioning done at the supplier's factory </w:t>
      </w:r>
      <w:r w:rsidR="00F943E1">
        <w:rPr>
          <w:rFonts w:asciiTheme="majorBidi" w:hAnsiTheme="majorBidi" w:cstheme="majorBidi"/>
          <w:lang w:val="en-GB"/>
        </w:rPr>
        <w:t xml:space="preserve">and </w:t>
      </w:r>
      <w:r w:rsidR="00F943E1" w:rsidRPr="003B00B5">
        <w:rPr>
          <w:rFonts w:asciiTheme="majorBidi" w:hAnsiTheme="majorBidi" w:cstheme="majorBidi"/>
          <w:lang w:val="en-GB"/>
        </w:rPr>
        <w:t xml:space="preserve">Option </w:t>
      </w:r>
      <w:r w:rsidR="00F943E1">
        <w:rPr>
          <w:rFonts w:asciiTheme="majorBidi" w:hAnsiTheme="majorBidi" w:cstheme="majorBidi"/>
          <w:lang w:val="en-GB"/>
        </w:rPr>
        <w:t>2</w:t>
      </w:r>
      <w:r w:rsidR="00F943E1" w:rsidRPr="003B00B5">
        <w:rPr>
          <w:rFonts w:asciiTheme="majorBidi" w:hAnsiTheme="majorBidi" w:cstheme="majorBidi"/>
          <w:lang w:val="en-GB"/>
        </w:rPr>
        <w:t xml:space="preserve"> </w:t>
      </w:r>
      <w:r w:rsidRPr="003B00B5">
        <w:rPr>
          <w:rFonts w:asciiTheme="majorBidi" w:hAnsiTheme="majorBidi" w:cstheme="majorBidi"/>
          <w:lang w:val="en-GB"/>
        </w:rPr>
        <w:t>a pre-assembled TNPP with non-nuclear testing done at the factory, maintained, fuelled, and refuelled on site. An ongoing second study, which began in 2015, delve</w:t>
      </w:r>
      <w:r w:rsidR="00F943E1">
        <w:rPr>
          <w:rFonts w:asciiTheme="majorBidi" w:hAnsiTheme="majorBidi" w:cstheme="majorBidi"/>
          <w:lang w:val="en-GB"/>
        </w:rPr>
        <w:t>d</w:t>
      </w:r>
      <w:r w:rsidRPr="003B00B5">
        <w:rPr>
          <w:rFonts w:asciiTheme="majorBidi" w:hAnsiTheme="majorBidi" w:cstheme="majorBidi"/>
          <w:lang w:val="en-GB"/>
        </w:rPr>
        <w:t xml:space="preserve"> deeper into these issues for Option 1, focusing on identifying gaps and providing more detailed analysis of legal and institutional challenges related to TNPP deployment. Furthermore, INPRO in collaboration with other </w:t>
      </w:r>
      <w:r w:rsidR="00F943E1">
        <w:rPr>
          <w:rFonts w:asciiTheme="majorBidi" w:hAnsiTheme="majorBidi" w:cstheme="majorBidi"/>
          <w:lang w:val="en-GB"/>
        </w:rPr>
        <w:t>IAEA departments</w:t>
      </w:r>
      <w:r w:rsidRPr="003B00B5">
        <w:rPr>
          <w:rFonts w:asciiTheme="majorBidi" w:hAnsiTheme="majorBidi" w:cstheme="majorBidi"/>
          <w:lang w:val="en-GB"/>
        </w:rPr>
        <w:t xml:space="preserve"> organized </w:t>
      </w:r>
      <w:r w:rsidR="00F943E1">
        <w:rPr>
          <w:rFonts w:asciiTheme="majorBidi" w:hAnsiTheme="majorBidi" w:cstheme="majorBidi"/>
          <w:lang w:val="en-GB"/>
        </w:rPr>
        <w:t>the</w:t>
      </w:r>
      <w:r w:rsidRPr="003B00B5">
        <w:rPr>
          <w:rFonts w:asciiTheme="majorBidi" w:hAnsiTheme="majorBidi" w:cstheme="majorBidi"/>
          <w:lang w:val="en-GB"/>
        </w:rPr>
        <w:t xml:space="preserve"> </w:t>
      </w:r>
      <w:r w:rsidR="00526D91">
        <w:rPr>
          <w:rFonts w:asciiTheme="majorBidi" w:hAnsiTheme="majorBidi" w:cstheme="majorBidi"/>
          <w:lang w:val="en-GB"/>
        </w:rPr>
        <w:t xml:space="preserve">international </w:t>
      </w:r>
      <w:r w:rsidR="00526D91" w:rsidRPr="00526D91">
        <w:rPr>
          <w:rFonts w:asciiTheme="majorBidi" w:hAnsiTheme="majorBidi" w:cstheme="majorBidi"/>
          <w:lang w:val="en-GB"/>
        </w:rPr>
        <w:t>Symposium on the Deployment of Floating Nuclear Power Plants – Benefits and Challenges</w:t>
      </w:r>
      <w:r w:rsidRPr="003B00B5">
        <w:rPr>
          <w:rFonts w:asciiTheme="majorBidi" w:hAnsiTheme="majorBidi" w:cstheme="majorBidi"/>
          <w:lang w:val="en-GB"/>
        </w:rPr>
        <w:t xml:space="preserve"> (FNPPs) in November 2023, which are one type of TNPPs. </w:t>
      </w:r>
    </w:p>
    <w:p w14:paraId="184F20B3" w14:textId="021384FF" w:rsidR="00D1448A" w:rsidRDefault="00D1448A" w:rsidP="00537496">
      <w:pPr>
        <w:pStyle w:val="Heading2"/>
        <w:numPr>
          <w:ilvl w:val="1"/>
          <w:numId w:val="10"/>
        </w:numPr>
      </w:pPr>
      <w:r>
        <w:t xml:space="preserve">introduction </w:t>
      </w:r>
    </w:p>
    <w:p w14:paraId="0E94AE8D" w14:textId="5C5ABFA0" w:rsidR="006E0EEA" w:rsidRDefault="00D1448A" w:rsidP="00B1430A">
      <w:pPr>
        <w:pStyle w:val="BodyText"/>
      </w:pPr>
      <w:r>
        <w:t>A t</w:t>
      </w:r>
      <w:r w:rsidRPr="000660D0">
        <w:t>ransportable nuclear power plant represent</w:t>
      </w:r>
      <w:r>
        <w:t>s</w:t>
      </w:r>
      <w:r w:rsidRPr="000660D0">
        <w:t xml:space="preserve"> a novel approach to meeting </w:t>
      </w:r>
      <w:r w:rsidR="00DC1B02">
        <w:t xml:space="preserve">growing </w:t>
      </w:r>
      <w:r w:rsidRPr="000660D0">
        <w:t>energy needs</w:t>
      </w:r>
      <w:r w:rsidR="00DC1B02">
        <w:t xml:space="preserve"> and are applicable</w:t>
      </w:r>
      <w:r w:rsidRPr="000660D0">
        <w:t xml:space="preserve"> in diverse settings</w:t>
      </w:r>
      <w:r w:rsidR="00106C1C">
        <w:rPr>
          <w:color w:val="9BBB59" w:themeColor="accent3"/>
        </w:rPr>
        <w:t xml:space="preserve"> </w:t>
      </w:r>
      <w:r w:rsidR="00106C1C" w:rsidRPr="00B1430A">
        <w:t>for</w:t>
      </w:r>
      <w:r w:rsidR="00106C1C" w:rsidRPr="00022431">
        <w:t xml:space="preserve"> instance, </w:t>
      </w:r>
      <w:r w:rsidR="00106C1C" w:rsidRPr="00B1430A">
        <w:t>i</w:t>
      </w:r>
      <w:r w:rsidR="00022431" w:rsidRPr="00022431">
        <w:t>n remote and harsh environments remote outposts in arctic regions, often reliant on transported diesel fuel or grid-based coal-fired plants, face high costs and pollution issues.</w:t>
      </w:r>
      <w:r w:rsidR="00FD216E">
        <w:t xml:space="preserve"> </w:t>
      </w:r>
    </w:p>
    <w:p w14:paraId="1649B8C7" w14:textId="69A7A7F3" w:rsidR="00FD216E" w:rsidRDefault="00022431" w:rsidP="00B1430A">
      <w:pPr>
        <w:pStyle w:val="BodyText"/>
      </w:pPr>
      <w:r w:rsidRPr="00B1430A">
        <w:t>As the global energy landscape evolves, the IAEA can play a pivotal role in advancing TNPP technologies and facilitating their safe and secure deployment.</w:t>
      </w:r>
      <w:r w:rsidRPr="00B1430A">
        <w:rPr>
          <w:rFonts w:asciiTheme="majorBidi" w:hAnsiTheme="majorBidi" w:cstheme="majorBidi"/>
          <w:lang w:eastAsia="en-GB"/>
        </w:rPr>
        <w:t xml:space="preserve"> </w:t>
      </w:r>
      <w:r w:rsidR="008D4DF8">
        <w:t>A</w:t>
      </w:r>
      <w:r w:rsidRPr="00022431">
        <w:t xml:space="preserve"> TNPP </w:t>
      </w:r>
      <w:r w:rsidR="008D4DF8">
        <w:t>is</w:t>
      </w:r>
      <w:r w:rsidRPr="00022431">
        <w:t xml:space="preserve"> “a factory manufactured, </w:t>
      </w:r>
      <w:r w:rsidR="008D4DF8">
        <w:t>transportable and/or relocatable nuclear power plant which, when fuelled, is capable of producing final energy products such as electricity, heat and desalinated water</w:t>
      </w:r>
      <w:r w:rsidR="00B96F01">
        <w:t xml:space="preserve"> [</w:t>
      </w:r>
      <w:bookmarkStart w:id="0" w:name="_Ref169252758"/>
      <w:r w:rsidR="008D4DF8" w:rsidRPr="008D4DF8">
        <w:rPr>
          <w:rStyle w:val="EndnoteReference"/>
          <w:vertAlign w:val="baseline"/>
        </w:rPr>
        <w:endnoteReference w:id="1"/>
      </w:r>
      <w:bookmarkEnd w:id="0"/>
      <w:r w:rsidR="00B96F01">
        <w:t>]</w:t>
      </w:r>
      <w:r w:rsidRPr="00022431">
        <w:t xml:space="preserve">.” This concept includes </w:t>
      </w:r>
      <w:r w:rsidR="00FD216E" w:rsidRPr="00022431">
        <w:t>floating nuclear power plants</w:t>
      </w:r>
      <w:r w:rsidR="00FD216E">
        <w:t xml:space="preserve"> (FNPP)</w:t>
      </w:r>
      <w:r w:rsidRPr="00022431">
        <w:t xml:space="preserve">, which can be docked near energy demand </w:t>
      </w:r>
      <w:r w:rsidRPr="00B1430A">
        <w:t>centres</w:t>
      </w:r>
      <w:r w:rsidRPr="00022431">
        <w:t xml:space="preserve">, minimizing the need for extensive infrastructure. </w:t>
      </w:r>
      <w:r w:rsidR="00FD216E">
        <w:t xml:space="preserve">An advantage of TNPP is they can be manufactured in a factory and then shipped to sites or exported to other countries, which can support communities in getting electricity and other energy products. </w:t>
      </w:r>
    </w:p>
    <w:p w14:paraId="6A33498A" w14:textId="2F082239" w:rsidR="005A4BE5" w:rsidRDefault="00FD216E" w:rsidP="00B1430A">
      <w:pPr>
        <w:pStyle w:val="BodyText"/>
      </w:pPr>
      <w:r>
        <w:t>The “</w:t>
      </w:r>
      <w:r w:rsidR="00C72EC6" w:rsidRPr="00022431">
        <w:t xml:space="preserve">marine-based nuclear </w:t>
      </w:r>
      <w:r w:rsidR="00C72EC6">
        <w:t xml:space="preserve">powers </w:t>
      </w:r>
      <w:r>
        <w:t>have been around since</w:t>
      </w:r>
      <w:r w:rsidR="005A4BE5">
        <w:t xml:space="preserve"> the mid-</w:t>
      </w:r>
      <w:r w:rsidR="00C72EC6">
        <w:t>1960s</w:t>
      </w:r>
      <w:r w:rsidR="005A4BE5">
        <w:t>, in naval facilities and nuclear icebreakers, the development of marine-based SMRs for various applications has been gaining momentum in recent years [</w:t>
      </w:r>
      <w:bookmarkStart w:id="2" w:name="_Ref169275801"/>
      <w:r w:rsidR="005A4BE5" w:rsidRPr="00840B52">
        <w:rPr>
          <w:rStyle w:val="EndnoteReference"/>
          <w:vertAlign w:val="baseline"/>
        </w:rPr>
        <w:endnoteReference w:id="2"/>
      </w:r>
      <w:bookmarkEnd w:id="2"/>
      <w:r w:rsidR="005A4BE5" w:rsidRPr="00840B52">
        <w:t>]</w:t>
      </w:r>
      <w:r w:rsidR="005A4BE5">
        <w:t>.”</w:t>
      </w:r>
    </w:p>
    <w:p w14:paraId="6DA76FB0" w14:textId="48AE848B" w:rsidR="00F8306E" w:rsidRDefault="00F1186D" w:rsidP="00E6015D">
      <w:pPr>
        <w:pStyle w:val="BodyText"/>
      </w:pPr>
      <w:r w:rsidRPr="00F1186D">
        <w:t xml:space="preserve">According to IAEA publication, </w:t>
      </w:r>
      <w:r w:rsidRPr="00F1186D">
        <w:rPr>
          <w:color w:val="333333"/>
          <w:shd w:val="clear" w:color="auto" w:fill="FFFFFF"/>
        </w:rPr>
        <w:t xml:space="preserve">Legal and Institutional Issues of Transportable Nuclear Power Plants: A Preliminary Study, </w:t>
      </w:r>
      <w:r>
        <w:rPr>
          <w:color w:val="333333"/>
          <w:shd w:val="clear" w:color="auto" w:fill="FFFFFF"/>
        </w:rPr>
        <w:t>a</w:t>
      </w:r>
      <w:r w:rsidR="00696307" w:rsidRPr="00F1186D">
        <w:t xml:space="preserve"> TNPP include</w:t>
      </w:r>
      <w:r>
        <w:t>s the</w:t>
      </w:r>
      <w:r w:rsidR="00696307" w:rsidRPr="00F1186D">
        <w:t xml:space="preserve"> nuclear reactor, with or without fuel depending on the specific TNPP option, as well as the balance of the plant and, if necessary, fuel storage facilities. Although physically transportable, the TNPP is not designed to produce energy during transit or power the transportation itself. Once installed, whether land-based or floating, the TNPP serves various purposes in the host state, such as supplying electricity to remote areas, providing district heating, desalinating seawater, and producing hydrogen</w:t>
      </w:r>
      <w:r w:rsidR="00696307" w:rsidRPr="00B1430A">
        <w:t>, while retaining the capability for relocation if needed</w:t>
      </w:r>
      <w:r>
        <w:t xml:space="preserve"> [</w:t>
      </w:r>
      <w:r w:rsidR="0085255C">
        <w:fldChar w:fldCharType="begin"/>
      </w:r>
      <w:r w:rsidR="0085255C">
        <w:instrText xml:space="preserve"> NOTEREF _Ref169252758 \h </w:instrText>
      </w:r>
      <w:r w:rsidR="0085255C">
        <w:fldChar w:fldCharType="separate"/>
      </w:r>
      <w:r w:rsidR="00B153E9">
        <w:t>1</w:t>
      </w:r>
      <w:r w:rsidR="0085255C">
        <w:fldChar w:fldCharType="end"/>
      </w:r>
      <w:r>
        <w:t xml:space="preserve">]. Figures </w:t>
      </w:r>
      <w:r w:rsidR="008B0CB3">
        <w:t>1</w:t>
      </w:r>
      <w:r>
        <w:t xml:space="preserve"> and </w:t>
      </w:r>
      <w:r w:rsidR="008B0CB3">
        <w:t>2</w:t>
      </w:r>
      <w:r w:rsidR="00696307" w:rsidRPr="00B1430A">
        <w:t xml:space="preserve"> show different types of TNPPs.</w:t>
      </w:r>
    </w:p>
    <w:p w14:paraId="6537562C" w14:textId="6920AFA4" w:rsidR="008B0CB3" w:rsidRDefault="008B0CB3">
      <w:pPr>
        <w:overflowPunct/>
        <w:autoSpaceDE/>
        <w:autoSpaceDN/>
        <w:adjustRightInd/>
        <w:textAlignment w:val="auto"/>
        <w:rPr>
          <w:sz w:val="20"/>
        </w:rPr>
      </w:pPr>
      <w:r>
        <w:br w:type="page"/>
      </w:r>
    </w:p>
    <w:p w14:paraId="25FF17CC" w14:textId="77777777" w:rsidR="00C72EC6" w:rsidRPr="00B1430A" w:rsidRDefault="00C72EC6" w:rsidP="00E6015D">
      <w:pPr>
        <w:pStyle w:val="BodyText"/>
      </w:pPr>
    </w:p>
    <w:p w14:paraId="77577512" w14:textId="0FB1B3A6" w:rsidR="00526D91" w:rsidRDefault="00526D91" w:rsidP="00D1448A">
      <w:pPr>
        <w:pStyle w:val="BodyText"/>
      </w:pPr>
    </w:p>
    <w:p w14:paraId="74007591" w14:textId="06364B24" w:rsidR="00526D91" w:rsidRDefault="00F1186D" w:rsidP="00D1448A">
      <w:pPr>
        <w:pStyle w:val="BodyText"/>
      </w:pPr>
      <w:r w:rsidRPr="00487D8D">
        <w:rPr>
          <w:rFonts w:ascii="TimesNewRomanPSMT" w:hAnsi="TimesNewRomanPSMT" w:cs="TimesNewRomanPSMT"/>
          <w:noProof/>
          <w:sz w:val="21"/>
          <w:szCs w:val="21"/>
          <w:lang w:val="de-AT" w:eastAsia="de-AT"/>
        </w:rPr>
        <w:drawing>
          <wp:anchor distT="0" distB="0" distL="114300" distR="114300" simplePos="0" relativeHeight="251662336" behindDoc="0" locked="0" layoutInCell="1" allowOverlap="1" wp14:anchorId="756E1B55" wp14:editId="6BED63C4">
            <wp:simplePos x="0" y="0"/>
            <wp:positionH relativeFrom="column">
              <wp:posOffset>3005355</wp:posOffset>
            </wp:positionH>
            <wp:positionV relativeFrom="paragraph">
              <wp:posOffset>20320</wp:posOffset>
            </wp:positionV>
            <wp:extent cx="2746677" cy="176339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048"/>
                    <a:stretch/>
                  </pic:blipFill>
                  <pic:spPr bwMode="auto">
                    <a:xfrm>
                      <a:off x="0" y="0"/>
                      <a:ext cx="2746677" cy="176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7470">
        <w:rPr>
          <w:rFonts w:ascii="TimesNewRomanPSMT" w:hAnsi="TimesNewRomanPSMT" w:cs="TimesNewRomanPSMT"/>
          <w:noProof/>
          <w:sz w:val="21"/>
          <w:szCs w:val="21"/>
          <w:lang w:val="de-AT" w:eastAsia="de-AT"/>
        </w:rPr>
        <w:drawing>
          <wp:anchor distT="0" distB="0" distL="114300" distR="114300" simplePos="0" relativeHeight="251663360" behindDoc="0" locked="0" layoutInCell="1" allowOverlap="1" wp14:anchorId="66EB3E08" wp14:editId="7D1A7322">
            <wp:simplePos x="0" y="0"/>
            <wp:positionH relativeFrom="margin">
              <wp:align>left</wp:align>
            </wp:positionH>
            <wp:positionV relativeFrom="paragraph">
              <wp:posOffset>20729</wp:posOffset>
            </wp:positionV>
            <wp:extent cx="2930399" cy="18000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30399" cy="1800000"/>
                    </a:xfrm>
                    <a:prstGeom prst="rect">
                      <a:avLst/>
                    </a:prstGeom>
                  </pic:spPr>
                </pic:pic>
              </a:graphicData>
            </a:graphic>
            <wp14:sizeRelH relativeFrom="margin">
              <wp14:pctWidth>0</wp14:pctWidth>
            </wp14:sizeRelH>
            <wp14:sizeRelV relativeFrom="margin">
              <wp14:pctHeight>0</wp14:pctHeight>
            </wp14:sizeRelV>
          </wp:anchor>
        </w:drawing>
      </w:r>
      <w:r w:rsidR="00526D91">
        <w:t xml:space="preserve">                                                                               </w:t>
      </w:r>
    </w:p>
    <w:p w14:paraId="51143BDD" w14:textId="0F2BB83F" w:rsidR="00526D91" w:rsidRDefault="00526D91" w:rsidP="00D1448A">
      <w:pPr>
        <w:pStyle w:val="BodyText"/>
      </w:pPr>
    </w:p>
    <w:p w14:paraId="16EBB836" w14:textId="13025256" w:rsidR="00526D91" w:rsidRDefault="00526D91" w:rsidP="00D1448A">
      <w:pPr>
        <w:pStyle w:val="BodyText"/>
      </w:pPr>
    </w:p>
    <w:p w14:paraId="562FDB71" w14:textId="370D7B11" w:rsidR="00526D91" w:rsidRDefault="00526D91" w:rsidP="00D1448A">
      <w:pPr>
        <w:pStyle w:val="BodyText"/>
      </w:pPr>
    </w:p>
    <w:p w14:paraId="46379465" w14:textId="0FDF9A09" w:rsidR="00526D91" w:rsidRDefault="00526D91" w:rsidP="00D1448A">
      <w:pPr>
        <w:pStyle w:val="BodyText"/>
      </w:pPr>
    </w:p>
    <w:p w14:paraId="33F697EC" w14:textId="77777777" w:rsidR="00526D91" w:rsidRDefault="00526D91" w:rsidP="00D1448A">
      <w:pPr>
        <w:pStyle w:val="BodyText"/>
      </w:pPr>
    </w:p>
    <w:p w14:paraId="23A108D7" w14:textId="6A68E801" w:rsidR="00526D91" w:rsidRDefault="00526D91" w:rsidP="00D1448A">
      <w:pPr>
        <w:pStyle w:val="BodyText"/>
      </w:pPr>
    </w:p>
    <w:p w14:paraId="7BB8F543" w14:textId="7E63E4FA" w:rsidR="00526D91" w:rsidRDefault="00526D91" w:rsidP="00D1448A">
      <w:pPr>
        <w:pStyle w:val="BodyText"/>
      </w:pPr>
    </w:p>
    <w:p w14:paraId="56D9CA7D" w14:textId="3E6FA86F" w:rsidR="00526D91" w:rsidRDefault="00526D91" w:rsidP="00D1448A">
      <w:pPr>
        <w:pStyle w:val="BodyText"/>
      </w:pPr>
    </w:p>
    <w:p w14:paraId="576D4846" w14:textId="6CFAA6D9" w:rsidR="00526D91" w:rsidRDefault="00526D91" w:rsidP="00D1448A">
      <w:pPr>
        <w:pStyle w:val="BodyText"/>
      </w:pPr>
    </w:p>
    <w:p w14:paraId="73B95403" w14:textId="450F20D5" w:rsidR="00526D91" w:rsidRDefault="00526D91" w:rsidP="00D1448A">
      <w:pPr>
        <w:pStyle w:val="BodyText"/>
      </w:pPr>
    </w:p>
    <w:p w14:paraId="48CA930C" w14:textId="2D106A8A" w:rsidR="00526D91" w:rsidRDefault="00B12D5C" w:rsidP="00D1448A">
      <w:pPr>
        <w:pStyle w:val="BodyText"/>
      </w:pPr>
      <w:r>
        <w:rPr>
          <w:noProof/>
          <w:lang w:val="de-AT" w:eastAsia="de-AT"/>
        </w:rPr>
        <mc:AlternateContent>
          <mc:Choice Requires="wps">
            <w:drawing>
              <wp:anchor distT="0" distB="0" distL="114300" distR="114300" simplePos="0" relativeHeight="251673600" behindDoc="0" locked="0" layoutInCell="1" allowOverlap="1" wp14:anchorId="6D6FA262" wp14:editId="69D407A6">
                <wp:simplePos x="0" y="0"/>
                <wp:positionH relativeFrom="margin">
                  <wp:align>right</wp:align>
                </wp:positionH>
                <wp:positionV relativeFrom="paragraph">
                  <wp:posOffset>24765</wp:posOffset>
                </wp:positionV>
                <wp:extent cx="2746375" cy="635"/>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2746375" cy="635"/>
                        </a:xfrm>
                        <a:prstGeom prst="rect">
                          <a:avLst/>
                        </a:prstGeom>
                        <a:solidFill>
                          <a:prstClr val="white"/>
                        </a:solidFill>
                        <a:ln>
                          <a:noFill/>
                        </a:ln>
                      </wps:spPr>
                      <wps:txbx>
                        <w:txbxContent>
                          <w:p w14:paraId="3BA9417C" w14:textId="54735A32" w:rsidR="00B12D5C" w:rsidRPr="00B12D5C" w:rsidRDefault="00B12D5C" w:rsidP="00B12D5C">
                            <w:pPr>
                              <w:pStyle w:val="Caption"/>
                              <w:rPr>
                                <w:rFonts w:ascii="TimesNewRomanPSMT" w:hAnsi="TimesNewRomanPSMT" w:cs="TimesNewRomanPSMT"/>
                                <w:i/>
                                <w:iCs/>
                                <w:noProof/>
                                <w:sz w:val="21"/>
                                <w:szCs w:val="21"/>
                              </w:rPr>
                            </w:pPr>
                            <w:r w:rsidRPr="00B12D5C">
                              <w:rPr>
                                <w:i/>
                                <w:iCs/>
                              </w:rPr>
                              <w:t xml:space="preserve">FIG. </w:t>
                            </w:r>
                            <w:r w:rsidR="00316E6B">
                              <w:rPr>
                                <w:i/>
                                <w:iCs/>
                              </w:rPr>
                              <w:t>2</w:t>
                            </w:r>
                            <w:r w:rsidRPr="00B12D5C">
                              <w:rPr>
                                <w:i/>
                                <w:iCs/>
                              </w:rPr>
                              <w:t xml:space="preserve">. </w:t>
                            </w:r>
                            <w:r w:rsidRPr="00B12D5C">
                              <w:rPr>
                                <w:bCs w:val="0"/>
                                <w:i/>
                                <w:iCs/>
                                <w:lang w:val="en-GB"/>
                              </w:rPr>
                              <w:t>Flexblue NPP module in its operational position on the sea bottom [</w:t>
                            </w:r>
                            <w:r w:rsidR="0085255C">
                              <w:rPr>
                                <w:bCs w:val="0"/>
                                <w:i/>
                                <w:iCs/>
                                <w:lang w:val="en-GB"/>
                              </w:rPr>
                              <w:fldChar w:fldCharType="begin"/>
                            </w:r>
                            <w:r w:rsidR="0085255C">
                              <w:rPr>
                                <w:bCs w:val="0"/>
                                <w:i/>
                                <w:iCs/>
                                <w:lang w:val="en-GB"/>
                              </w:rPr>
                              <w:instrText xml:space="preserve"> NOTEREF _Ref169252758 \h </w:instrText>
                            </w:r>
                            <w:r w:rsidR="0085255C">
                              <w:rPr>
                                <w:bCs w:val="0"/>
                                <w:i/>
                                <w:iCs/>
                                <w:lang w:val="en-GB"/>
                              </w:rPr>
                            </w:r>
                            <w:r w:rsidR="0085255C">
                              <w:rPr>
                                <w:bCs w:val="0"/>
                                <w:i/>
                                <w:iCs/>
                                <w:lang w:val="en-GB"/>
                              </w:rPr>
                              <w:fldChar w:fldCharType="separate"/>
                            </w:r>
                            <w:r w:rsidR="008B0CB3">
                              <w:rPr>
                                <w:bCs w:val="0"/>
                                <w:i/>
                                <w:iCs/>
                                <w:lang w:val="en-GB"/>
                              </w:rPr>
                              <w:t>1</w:t>
                            </w:r>
                            <w:r w:rsidR="0085255C">
                              <w:rPr>
                                <w:bCs w:val="0"/>
                                <w:i/>
                                <w:iCs/>
                                <w:lang w:val="en-GB"/>
                              </w:rPr>
                              <w:fldChar w:fldCharType="end"/>
                            </w:r>
                            <w:r w:rsidRPr="00B12D5C">
                              <w:rPr>
                                <w:bCs w:val="0"/>
                                <w:i/>
                                <w:iCs/>
                                <w:lang w:val="en-G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6FA262" id="_x0000_t202" coordsize="21600,21600" o:spt="202" path="m,l,21600r21600,l21600,xe">
                <v:stroke joinstyle="miter"/>
                <v:path gradientshapeok="t" o:connecttype="rect"/>
              </v:shapetype>
              <v:shape id="Text Box 10" o:spid="_x0000_s1026" type="#_x0000_t202" style="position:absolute;left:0;text-align:left;margin-left:165.05pt;margin-top:1.95pt;width:216.25pt;height:.05pt;z-index:251673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bpFgIAADgEAAAOAAAAZHJzL2Uyb0RvYy54bWysU8GO2jAQvVfqP1i+lwDbZStEWFFWVJXQ&#10;7kpstWfjOCSS7XHHhoR+fcdOAu22p6oXZ+IZv/G897y4b41mJ4W+BpvzyWjMmbISitoecv7tZfPh&#10;E2c+CFsIDVbl/Kw8v1++f7do3FxNoQJdKGQEYv28cTmvQnDzLPOyUkb4EThlKVkCGhHoFw9ZgaIh&#10;dKOz6Xg8yxrAwiFI5T3tPnRJvkz4ZalkeCpLrwLTOae7hbRiWvdxzZYLMT+gcFUt+2uIf7iFEbWl&#10;pheoBxEEO2L9B5SpJYKHMowkmAzKspYqzUDTTMZvptlVwqk0C5Hj3YUm//9g5eNp556RhfYztCRg&#10;JKRxfu5pM87Tlmjil27KKE8Uni+0qTYwSZvTu4+zm7tbziTlZje3ESO7HnXowxcFhsUg50iaJKrE&#10;aetDVzqUxE4edF1saq3jT0ysNbKTIP2aqg6qB/+tSttYayGe6gDjTnadI0ah3bf9cHsozjQzQmcH&#10;7+SmpkZb4cOzQNKfxiRPhydaSg1NzqGPOKsAf/xtP9aTLJTlrCE/5dx/PwpUnOmvlgSL5hsCHIL9&#10;ENijWQONOKHX4mQK6QAGPYQlgnklq69iF0oJK6lXzsMQrkPnanoqUq1WqYgs5kTY2p2TEXog9KV9&#10;Feh6OQKp+AiD08T8jSpdbdLFrY6BKE6SRUI7FnueyZ5J9P4pRf//+p+qrg9++RMAAP//AwBQSwME&#10;FAAGAAgAAAAhAPYkDOXdAAAABAEAAA8AAABkcnMvZG93bnJldi54bWxMj8FOwzAQRO9I/IO1SFwQ&#10;dWhCVUKcqqrgAJeK0EtvbryNA/E6ip02/D3Lqdx2NKOZt8Vqcp044RBaTwoeZgkIpNqblhoFu8/X&#10;+yWIEDUZ3XlCBT8YYFVeXxU6N/5MH3iqYiO4hEKuFdgY+1zKUFt0Osx8j8Te0Q9OR5ZDI82gz1zu&#10;OjlPkoV0uiVesLrHjcX6uxqdgm2239q78fjyvs7S4W03bhZfTaXU7c20fgYRcYqXMPzhMzqUzHTw&#10;I5kgOgX8SFSQPoFgM0vnjyAOfCQgy0L+hy9/AQAA//8DAFBLAQItABQABgAIAAAAIQC2gziS/gAA&#10;AOEBAAATAAAAAAAAAAAAAAAAAAAAAABbQ29udGVudF9UeXBlc10ueG1sUEsBAi0AFAAGAAgAAAAh&#10;ADj9If/WAAAAlAEAAAsAAAAAAAAAAAAAAAAALwEAAF9yZWxzLy5yZWxzUEsBAi0AFAAGAAgAAAAh&#10;AFCUdukWAgAAOAQAAA4AAAAAAAAAAAAAAAAALgIAAGRycy9lMm9Eb2MueG1sUEsBAi0AFAAGAAgA&#10;AAAhAPYkDOXdAAAABAEAAA8AAAAAAAAAAAAAAAAAcAQAAGRycy9kb3ducmV2LnhtbFBLBQYAAAAA&#10;BAAEAPMAAAB6BQAAAAA=&#10;" stroked="f">
                <v:textbox style="mso-fit-shape-to-text:t" inset="0,0,0,0">
                  <w:txbxContent>
                    <w:p w14:paraId="3BA9417C" w14:textId="54735A32" w:rsidR="00B12D5C" w:rsidRPr="00B12D5C" w:rsidRDefault="00B12D5C" w:rsidP="00B12D5C">
                      <w:pPr>
                        <w:pStyle w:val="Caption"/>
                        <w:rPr>
                          <w:rFonts w:ascii="TimesNewRomanPSMT" w:hAnsi="TimesNewRomanPSMT" w:cs="TimesNewRomanPSMT"/>
                          <w:i/>
                          <w:iCs/>
                          <w:noProof/>
                          <w:sz w:val="21"/>
                          <w:szCs w:val="21"/>
                        </w:rPr>
                      </w:pPr>
                      <w:r w:rsidRPr="00B12D5C">
                        <w:rPr>
                          <w:i/>
                          <w:iCs/>
                        </w:rPr>
                        <w:t xml:space="preserve">FIG. </w:t>
                      </w:r>
                      <w:r w:rsidR="00316E6B">
                        <w:rPr>
                          <w:i/>
                          <w:iCs/>
                        </w:rPr>
                        <w:t>2</w:t>
                      </w:r>
                      <w:r w:rsidRPr="00B12D5C">
                        <w:rPr>
                          <w:i/>
                          <w:iCs/>
                        </w:rPr>
                        <w:t xml:space="preserve">. </w:t>
                      </w:r>
                      <w:proofErr w:type="spellStart"/>
                      <w:r w:rsidRPr="00B12D5C">
                        <w:rPr>
                          <w:bCs w:val="0"/>
                          <w:i/>
                          <w:iCs/>
                          <w:lang w:val="en-GB"/>
                        </w:rPr>
                        <w:t>Flexblue</w:t>
                      </w:r>
                      <w:proofErr w:type="spellEnd"/>
                      <w:r w:rsidRPr="00B12D5C">
                        <w:rPr>
                          <w:bCs w:val="0"/>
                          <w:i/>
                          <w:iCs/>
                          <w:lang w:val="en-GB"/>
                        </w:rPr>
                        <w:t xml:space="preserve"> NPP module in its operational position on the sea bottom [</w:t>
                      </w:r>
                      <w:r w:rsidR="0085255C">
                        <w:rPr>
                          <w:bCs w:val="0"/>
                          <w:i/>
                          <w:iCs/>
                          <w:lang w:val="en-GB"/>
                        </w:rPr>
                        <w:fldChar w:fldCharType="begin"/>
                      </w:r>
                      <w:r w:rsidR="0085255C">
                        <w:rPr>
                          <w:bCs w:val="0"/>
                          <w:i/>
                          <w:iCs/>
                          <w:lang w:val="en-GB"/>
                        </w:rPr>
                        <w:instrText xml:space="preserve"> NOTEREF _Ref169252758 \h </w:instrText>
                      </w:r>
                      <w:r w:rsidR="0085255C">
                        <w:rPr>
                          <w:bCs w:val="0"/>
                          <w:i/>
                          <w:iCs/>
                          <w:lang w:val="en-GB"/>
                        </w:rPr>
                      </w:r>
                      <w:r w:rsidR="0085255C">
                        <w:rPr>
                          <w:bCs w:val="0"/>
                          <w:i/>
                          <w:iCs/>
                          <w:lang w:val="en-GB"/>
                        </w:rPr>
                        <w:fldChar w:fldCharType="separate"/>
                      </w:r>
                      <w:r w:rsidR="008B0CB3">
                        <w:rPr>
                          <w:bCs w:val="0"/>
                          <w:i/>
                          <w:iCs/>
                          <w:lang w:val="en-GB"/>
                        </w:rPr>
                        <w:t>1</w:t>
                      </w:r>
                      <w:r w:rsidR="0085255C">
                        <w:rPr>
                          <w:bCs w:val="0"/>
                          <w:i/>
                          <w:iCs/>
                          <w:lang w:val="en-GB"/>
                        </w:rPr>
                        <w:fldChar w:fldCharType="end"/>
                      </w:r>
                      <w:r w:rsidRPr="00B12D5C">
                        <w:rPr>
                          <w:bCs w:val="0"/>
                          <w:i/>
                          <w:iCs/>
                          <w:lang w:val="en-GB"/>
                        </w:rPr>
                        <w:t>].</w:t>
                      </w:r>
                    </w:p>
                  </w:txbxContent>
                </v:textbox>
                <w10:wrap anchorx="margin"/>
              </v:shape>
            </w:pict>
          </mc:Fallback>
        </mc:AlternateContent>
      </w:r>
      <w:r>
        <w:rPr>
          <w:noProof/>
          <w:lang w:val="de-AT" w:eastAsia="de-AT"/>
        </w:rPr>
        <mc:AlternateContent>
          <mc:Choice Requires="wps">
            <w:drawing>
              <wp:anchor distT="0" distB="0" distL="114300" distR="114300" simplePos="0" relativeHeight="251671552" behindDoc="0" locked="0" layoutInCell="1" allowOverlap="1" wp14:anchorId="7953555B" wp14:editId="60AF40A8">
                <wp:simplePos x="0" y="0"/>
                <wp:positionH relativeFrom="margin">
                  <wp:align>left</wp:align>
                </wp:positionH>
                <wp:positionV relativeFrom="paragraph">
                  <wp:posOffset>63501</wp:posOffset>
                </wp:positionV>
                <wp:extent cx="2929890" cy="292100"/>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2929890" cy="292100"/>
                        </a:xfrm>
                        <a:prstGeom prst="rect">
                          <a:avLst/>
                        </a:prstGeom>
                        <a:solidFill>
                          <a:prstClr val="white"/>
                        </a:solidFill>
                        <a:ln>
                          <a:noFill/>
                        </a:ln>
                      </wps:spPr>
                      <wps:txbx>
                        <w:txbxContent>
                          <w:p w14:paraId="39846ED0" w14:textId="170CE8BF" w:rsidR="00B12D5C" w:rsidRPr="00B12D5C" w:rsidRDefault="00B12D5C" w:rsidP="00B12D5C">
                            <w:pPr>
                              <w:pStyle w:val="Caption"/>
                              <w:rPr>
                                <w:rFonts w:ascii="TimesNewRomanPSMT" w:hAnsi="TimesNewRomanPSMT" w:cs="TimesNewRomanPSMT"/>
                                <w:i/>
                                <w:iCs/>
                                <w:sz w:val="21"/>
                                <w:szCs w:val="21"/>
                              </w:rPr>
                            </w:pPr>
                            <w:r w:rsidRPr="00B12D5C">
                              <w:rPr>
                                <w:i/>
                                <w:iCs/>
                              </w:rPr>
                              <w:t xml:space="preserve">FIG. </w:t>
                            </w:r>
                            <w:r w:rsidR="00316E6B">
                              <w:rPr>
                                <w:i/>
                                <w:iCs/>
                              </w:rPr>
                              <w:t>1</w:t>
                            </w:r>
                            <w:r w:rsidRPr="00B12D5C">
                              <w:rPr>
                                <w:i/>
                                <w:iCs/>
                              </w:rPr>
                              <w:t xml:space="preserve">. </w:t>
                            </w:r>
                            <w:r w:rsidRPr="00B12D5C">
                              <w:rPr>
                                <w:bCs w:val="0"/>
                                <w:i/>
                                <w:iCs/>
                                <w:lang w:val="en-GB"/>
                              </w:rPr>
                              <w:t>General view of a floating NPP with the two KLT-40 reactors [</w:t>
                            </w:r>
                            <w:r w:rsidR="0085255C">
                              <w:rPr>
                                <w:bCs w:val="0"/>
                                <w:i/>
                                <w:iCs/>
                                <w:lang w:val="en-GB"/>
                              </w:rPr>
                              <w:fldChar w:fldCharType="begin"/>
                            </w:r>
                            <w:r w:rsidR="0085255C">
                              <w:rPr>
                                <w:bCs w:val="0"/>
                                <w:i/>
                                <w:iCs/>
                                <w:lang w:val="en-GB"/>
                              </w:rPr>
                              <w:instrText xml:space="preserve"> NOTEREF _Ref169252758 \h </w:instrText>
                            </w:r>
                            <w:r w:rsidR="0085255C">
                              <w:rPr>
                                <w:bCs w:val="0"/>
                                <w:i/>
                                <w:iCs/>
                                <w:lang w:val="en-GB"/>
                              </w:rPr>
                            </w:r>
                            <w:r w:rsidR="0085255C">
                              <w:rPr>
                                <w:bCs w:val="0"/>
                                <w:i/>
                                <w:iCs/>
                                <w:lang w:val="en-GB"/>
                              </w:rPr>
                              <w:fldChar w:fldCharType="separate"/>
                            </w:r>
                            <w:r w:rsidR="008B0CB3">
                              <w:rPr>
                                <w:bCs w:val="0"/>
                                <w:i/>
                                <w:iCs/>
                                <w:lang w:val="en-GB"/>
                              </w:rPr>
                              <w:t>1</w:t>
                            </w:r>
                            <w:r w:rsidR="0085255C">
                              <w:rPr>
                                <w:bCs w:val="0"/>
                                <w:i/>
                                <w:iCs/>
                                <w:lang w:val="en-GB"/>
                              </w:rPr>
                              <w:fldChar w:fldCharType="end"/>
                            </w:r>
                            <w:r w:rsidRPr="00B12D5C">
                              <w:rPr>
                                <w:bCs w:val="0"/>
                                <w:i/>
                                <w:iCs/>
                                <w:lang w:val="en-GB"/>
                              </w:rPr>
                              <w:t>].</w:t>
                            </w:r>
                          </w:p>
                          <w:p w14:paraId="5934B7F2" w14:textId="289BEDC4" w:rsidR="00B12D5C" w:rsidRPr="00DE74FE" w:rsidRDefault="00B12D5C" w:rsidP="00B12D5C">
                            <w:pPr>
                              <w:pStyle w:val="Caption"/>
                              <w:rPr>
                                <w:rFonts w:ascii="TimesNewRomanPSMT" w:hAnsi="TimesNewRomanPSMT" w:cs="TimesNewRomanPSMT"/>
                                <w:noProof/>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3555B" id="Text Box 2" o:spid="_x0000_s1027" type="#_x0000_t202" style="position:absolute;left:0;text-align:left;margin-left:0;margin-top:5pt;width:230.7pt;height:23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8CGQIAAEIEAAAOAAAAZHJzL2Uyb0RvYy54bWysU01vGjEQvVfqf7B8LwscqoBYIkpEVQkl&#10;kUiVs/HarCWvxx0bdumv79jLQpr2VPVij2fG8/HezOK+ayw7KQwGXMknozFnykmojDuU/PvL5tMd&#10;ZyEKVwkLTpX8rAK/X378sGj9XE2hBlspZBTEhXnrS17H6OdFEWStGhFG4JUjowZsRKQnHooKRUvR&#10;G1tMx+PPRQtYeQSpQiDtQ2/kyxxfayXjk9ZBRWZLTrXFfGI+9+kslgsxP6DwtZGXMsQ/VNEI4yjp&#10;NdSDiIId0fwRqjESIYCOIwlNAVobqXIP1M1k/K6bXS28yr0QOMFfYQr/L6x8PO38M7LYfYGOCEyA&#10;tD7MAylTP53GJt1UKSM7QXi+wqa6yCQpp7Pp7G5GJkk2ekzGGdfi9ttjiF8VNCwJJUeiJaMlTtsQ&#10;KSO5Di4pWQBrqo2xNj2SYW2RnQRR2NYmqlQj/fjNy7rk6yD96s1JU9xaSVLs9h0z1Zs291CdqXuE&#10;fjCClxtD+bYixGeBNAnUFU13fKJDW2hLDheJsxrw59/0yZ8IIitnLU1WycOPo0DFmf3miLo0hoOA&#10;g7AfBHds1kCdTmhvvMwifcBoB1EjNK809KuUhUzCScpV8jiI69jPNy2NVKtVdqJh8yJu3c7LFHrA&#10;9aV7FegvrETi8xGGmRPzd+T0vj3Kq2MEbTJzCdcexQvcNKiZnstSpU14+85et9Vf/gIAAP//AwBQ&#10;SwMEFAAGAAgAAAAhACqvq4PcAAAABgEAAA8AAABkcnMvZG93bnJldi54bWxMj0FPwzAMhe9I/IfI&#10;SFwQSzaNCnVNJ9jgBoeNaWevydqKxqmSdO3+PeYEJ+v5We99LtaT68TFhth60jCfKRCWKm9aqjUc&#10;vt4fn0HEhGSw82Q1XG2EdXl7U2Bu/Eg7e9mnWnAIxRw1NCn1uZSxaqzDOPO9JfbOPjhMLEMtTcCR&#10;w10nF0pl0mFL3NBgbzeNrb73g9OQbcMw7mjzsD28feBnXy+Or9ej1vd308sKRLJT+juGX3xGh5KZ&#10;Tn4gE0WngR9JvFU82V1m8yWIk4anTIEsC/kfv/wBAAD//wMAUEsBAi0AFAAGAAgAAAAhALaDOJL+&#10;AAAA4QEAABMAAAAAAAAAAAAAAAAAAAAAAFtDb250ZW50X1R5cGVzXS54bWxQSwECLQAUAAYACAAA&#10;ACEAOP0h/9YAAACUAQAACwAAAAAAAAAAAAAAAAAvAQAAX3JlbHMvLnJlbHNQSwECLQAUAAYACAAA&#10;ACEAnQLPAhkCAABCBAAADgAAAAAAAAAAAAAAAAAuAgAAZHJzL2Uyb0RvYy54bWxQSwECLQAUAAYA&#10;CAAAACEAKq+rg9wAAAAGAQAADwAAAAAAAAAAAAAAAABzBAAAZHJzL2Rvd25yZXYueG1sUEsFBgAA&#10;AAAEAAQA8wAAAHwFAAAAAA==&#10;" stroked="f">
                <v:textbox inset="0,0,0,0">
                  <w:txbxContent>
                    <w:p w14:paraId="39846ED0" w14:textId="170CE8BF" w:rsidR="00B12D5C" w:rsidRPr="00B12D5C" w:rsidRDefault="00B12D5C" w:rsidP="00B12D5C">
                      <w:pPr>
                        <w:pStyle w:val="Caption"/>
                        <w:rPr>
                          <w:rFonts w:ascii="TimesNewRomanPSMT" w:hAnsi="TimesNewRomanPSMT" w:cs="TimesNewRomanPSMT"/>
                          <w:i/>
                          <w:iCs/>
                          <w:sz w:val="21"/>
                          <w:szCs w:val="21"/>
                        </w:rPr>
                      </w:pPr>
                      <w:r w:rsidRPr="00B12D5C">
                        <w:rPr>
                          <w:i/>
                          <w:iCs/>
                        </w:rPr>
                        <w:t xml:space="preserve">FIG. </w:t>
                      </w:r>
                      <w:r w:rsidR="00316E6B">
                        <w:rPr>
                          <w:i/>
                          <w:iCs/>
                        </w:rPr>
                        <w:t>1</w:t>
                      </w:r>
                      <w:r w:rsidRPr="00B12D5C">
                        <w:rPr>
                          <w:i/>
                          <w:iCs/>
                        </w:rPr>
                        <w:t xml:space="preserve">. </w:t>
                      </w:r>
                      <w:r w:rsidRPr="00B12D5C">
                        <w:rPr>
                          <w:bCs w:val="0"/>
                          <w:i/>
                          <w:iCs/>
                          <w:lang w:val="en-GB"/>
                        </w:rPr>
                        <w:t>General view of a floating NPP with the two KLT-40 reactors [</w:t>
                      </w:r>
                      <w:r w:rsidR="0085255C">
                        <w:rPr>
                          <w:bCs w:val="0"/>
                          <w:i/>
                          <w:iCs/>
                          <w:lang w:val="en-GB"/>
                        </w:rPr>
                        <w:fldChar w:fldCharType="begin"/>
                      </w:r>
                      <w:r w:rsidR="0085255C">
                        <w:rPr>
                          <w:bCs w:val="0"/>
                          <w:i/>
                          <w:iCs/>
                          <w:lang w:val="en-GB"/>
                        </w:rPr>
                        <w:instrText xml:space="preserve"> NOTEREF _Ref169252758 \h </w:instrText>
                      </w:r>
                      <w:r w:rsidR="0085255C">
                        <w:rPr>
                          <w:bCs w:val="0"/>
                          <w:i/>
                          <w:iCs/>
                          <w:lang w:val="en-GB"/>
                        </w:rPr>
                      </w:r>
                      <w:r w:rsidR="0085255C">
                        <w:rPr>
                          <w:bCs w:val="0"/>
                          <w:i/>
                          <w:iCs/>
                          <w:lang w:val="en-GB"/>
                        </w:rPr>
                        <w:fldChar w:fldCharType="separate"/>
                      </w:r>
                      <w:r w:rsidR="008B0CB3">
                        <w:rPr>
                          <w:bCs w:val="0"/>
                          <w:i/>
                          <w:iCs/>
                          <w:lang w:val="en-GB"/>
                        </w:rPr>
                        <w:t>1</w:t>
                      </w:r>
                      <w:r w:rsidR="0085255C">
                        <w:rPr>
                          <w:bCs w:val="0"/>
                          <w:i/>
                          <w:iCs/>
                          <w:lang w:val="en-GB"/>
                        </w:rPr>
                        <w:fldChar w:fldCharType="end"/>
                      </w:r>
                      <w:r w:rsidRPr="00B12D5C">
                        <w:rPr>
                          <w:bCs w:val="0"/>
                          <w:i/>
                          <w:iCs/>
                          <w:lang w:val="en-GB"/>
                        </w:rPr>
                        <w:t>].</w:t>
                      </w:r>
                    </w:p>
                    <w:p w14:paraId="5934B7F2" w14:textId="289BEDC4" w:rsidR="00B12D5C" w:rsidRPr="00DE74FE" w:rsidRDefault="00B12D5C" w:rsidP="00B12D5C">
                      <w:pPr>
                        <w:pStyle w:val="Caption"/>
                        <w:rPr>
                          <w:rFonts w:ascii="TimesNewRomanPSMT" w:hAnsi="TimesNewRomanPSMT" w:cs="TimesNewRomanPSMT"/>
                          <w:noProof/>
                          <w:sz w:val="21"/>
                          <w:szCs w:val="21"/>
                        </w:rPr>
                      </w:pPr>
                    </w:p>
                  </w:txbxContent>
                </v:textbox>
                <w10:wrap anchorx="margin"/>
              </v:shape>
            </w:pict>
          </mc:Fallback>
        </mc:AlternateContent>
      </w:r>
    </w:p>
    <w:p w14:paraId="61EF78CA" w14:textId="7CDC30A6" w:rsidR="00526D91" w:rsidRPr="00D1448A" w:rsidRDefault="00526D91" w:rsidP="00D1448A">
      <w:pPr>
        <w:pStyle w:val="BodyText"/>
      </w:pPr>
    </w:p>
    <w:p w14:paraId="6161C3D7" w14:textId="77777777" w:rsidR="00F1186D" w:rsidRDefault="00F1186D" w:rsidP="00F1186D">
      <w:pPr>
        <w:pStyle w:val="BodyText"/>
      </w:pPr>
    </w:p>
    <w:p w14:paraId="31F576CA" w14:textId="740A605B" w:rsidR="00F1186D" w:rsidRDefault="00F1186D" w:rsidP="00F1186D">
      <w:pPr>
        <w:pStyle w:val="BodyText"/>
      </w:pPr>
      <w:r>
        <w:t xml:space="preserve">Several countries are actively exploring and developing TNPPs and </w:t>
      </w:r>
      <w:r w:rsidR="00257473">
        <w:t xml:space="preserve">floating nuclear power plants </w:t>
      </w:r>
      <w:r>
        <w:t>(FNPPs) due to their ability to provide reliable and clean energy to remote and offshore locations</w:t>
      </w:r>
      <w:r w:rsidR="00FD216E">
        <w:t xml:space="preserve"> [</w:t>
      </w:r>
      <w:r w:rsidR="00FD216E" w:rsidRPr="00972A68">
        <w:rPr>
          <w:rStyle w:val="EndnoteReference"/>
          <w:vertAlign w:val="baseline"/>
        </w:rPr>
        <w:endnoteReference w:id="3"/>
      </w:r>
      <w:r w:rsidR="00FD216E" w:rsidRPr="00972A68">
        <w:t>]</w:t>
      </w:r>
      <w:r>
        <w:t>.</w:t>
      </w:r>
      <w:r w:rsidR="00B153E9">
        <w:t xml:space="preserve"> See Figure 3. </w:t>
      </w:r>
    </w:p>
    <w:p w14:paraId="30DAE060" w14:textId="77777777" w:rsidR="00F1186D" w:rsidRDefault="00F1186D" w:rsidP="00F1186D">
      <w:pPr>
        <w:pStyle w:val="BodyText"/>
      </w:pPr>
    </w:p>
    <w:p w14:paraId="43789790" w14:textId="77777777" w:rsidR="00A16283" w:rsidRDefault="00A16283" w:rsidP="00A16283">
      <w:pPr>
        <w:pStyle w:val="BodyText"/>
        <w:numPr>
          <w:ilvl w:val="0"/>
          <w:numId w:val="39"/>
        </w:numPr>
        <w:ind w:left="709"/>
      </w:pPr>
      <w:r w:rsidRPr="00A16283">
        <w:t>Canada: Westinghouse and Prodigy are collaborating on FNPP with a first project by 2030 [</w:t>
      </w:r>
      <w:r w:rsidRPr="00A16283">
        <w:rPr>
          <w:rStyle w:val="EndnoteReference"/>
          <w:vertAlign w:val="baseline"/>
        </w:rPr>
        <w:endnoteReference w:id="4"/>
      </w:r>
      <w:r w:rsidRPr="00A16283">
        <w:t>]</w:t>
      </w:r>
    </w:p>
    <w:p w14:paraId="14EAECB1" w14:textId="4DB641F4" w:rsidR="00A16283" w:rsidRDefault="00A16283" w:rsidP="00A16283">
      <w:pPr>
        <w:pStyle w:val="BodyText"/>
        <w:numPr>
          <w:ilvl w:val="0"/>
          <w:numId w:val="39"/>
        </w:numPr>
        <w:ind w:left="709"/>
      </w:pPr>
      <w:r>
        <w:t xml:space="preserve">China: </w:t>
      </w:r>
      <w:r w:rsidR="008C73C8">
        <w:t xml:space="preserve">had plans to deploy 3 floating nuclear reactors by </w:t>
      </w:r>
      <w:r w:rsidR="008C73C8" w:rsidRPr="008C73C8">
        <w:t>2025 [</w:t>
      </w:r>
      <w:r w:rsidR="008C73C8" w:rsidRPr="008C73C8">
        <w:rPr>
          <w:rStyle w:val="EndnoteReference"/>
          <w:vertAlign w:val="baseline"/>
        </w:rPr>
        <w:endnoteReference w:id="5"/>
      </w:r>
      <w:r w:rsidR="008C73C8" w:rsidRPr="008C73C8">
        <w:t>]</w:t>
      </w:r>
    </w:p>
    <w:p w14:paraId="79899B6B" w14:textId="272C2218" w:rsidR="008C73C8" w:rsidRDefault="008C73C8" w:rsidP="00A16283">
      <w:pPr>
        <w:pStyle w:val="BodyText"/>
        <w:numPr>
          <w:ilvl w:val="0"/>
          <w:numId w:val="39"/>
        </w:numPr>
        <w:ind w:left="709"/>
      </w:pPr>
      <w:r>
        <w:t>Denmark: Seaborg Technologies is a developing compact molten salt reactor</w:t>
      </w:r>
      <w:r w:rsidR="00DE1152">
        <w:t xml:space="preserve"> (CMSR)</w:t>
      </w:r>
      <w:r>
        <w:t xml:space="preserve"> to compliment variable energy sources and for deployment on barges </w:t>
      </w:r>
      <w:r w:rsidRPr="008C73C8">
        <w:t>[</w:t>
      </w:r>
      <w:r w:rsidRPr="008C73C8">
        <w:rPr>
          <w:rStyle w:val="EndnoteReference"/>
          <w:vertAlign w:val="baseline"/>
        </w:rPr>
        <w:endnoteReference w:id="6"/>
      </w:r>
      <w:r>
        <w:t>]</w:t>
      </w:r>
    </w:p>
    <w:p w14:paraId="07C342FA" w14:textId="7011EC90" w:rsidR="008C73C8" w:rsidRPr="00A16283" w:rsidRDefault="008C73C8" w:rsidP="00A16283">
      <w:pPr>
        <w:pStyle w:val="BodyText"/>
        <w:numPr>
          <w:ilvl w:val="0"/>
          <w:numId w:val="39"/>
        </w:numPr>
        <w:ind w:left="709"/>
      </w:pPr>
      <w:r>
        <w:t xml:space="preserve">South Korea: </w:t>
      </w:r>
      <w:r w:rsidR="00DE1152">
        <w:t xml:space="preserve">began looking at floating nuclear power plants in 2016 </w:t>
      </w:r>
      <w:r w:rsidR="00DE1152" w:rsidRPr="00DE1152">
        <w:t>[</w:t>
      </w:r>
      <w:r w:rsidR="00DE1152" w:rsidRPr="00DE1152">
        <w:rPr>
          <w:rStyle w:val="EndnoteReference"/>
          <w:vertAlign w:val="baseline"/>
        </w:rPr>
        <w:endnoteReference w:id="7"/>
      </w:r>
      <w:r w:rsidR="00DE1152">
        <w:t xml:space="preserve">], and is now working on the barge design for Seaborg </w:t>
      </w:r>
      <w:r w:rsidR="00FD216E">
        <w:t xml:space="preserve">Technologies </w:t>
      </w:r>
      <w:r w:rsidR="00DE1152">
        <w:t xml:space="preserve">CMSR </w:t>
      </w:r>
      <w:r w:rsidR="00DE1152" w:rsidRPr="00B153E9">
        <w:t>[</w:t>
      </w:r>
      <w:r w:rsidR="00FD216E" w:rsidRPr="00B153E9">
        <w:rPr>
          <w:rStyle w:val="EndnoteReference"/>
          <w:vertAlign w:val="baseline"/>
        </w:rPr>
        <w:endnoteReference w:id="8"/>
      </w:r>
      <w:r w:rsidR="00DE1152" w:rsidRPr="00B153E9">
        <w:t>]</w:t>
      </w:r>
    </w:p>
    <w:p w14:paraId="57DE972B" w14:textId="03112584" w:rsidR="00F1186D" w:rsidRDefault="00F1186D" w:rsidP="00F1186D">
      <w:pPr>
        <w:pStyle w:val="BodyText"/>
        <w:numPr>
          <w:ilvl w:val="0"/>
          <w:numId w:val="39"/>
        </w:numPr>
        <w:ind w:left="709"/>
      </w:pPr>
      <w:r>
        <w:t>Russia: Russia is a leader in this field, with its Akademik Lomonosov FNPP providing power in Arctic regions</w:t>
      </w:r>
      <w:r w:rsidRPr="00972A68">
        <w:t xml:space="preserve"> [</w:t>
      </w:r>
      <w:r w:rsidR="00972A68" w:rsidRPr="00972A68">
        <w:rPr>
          <w:rStyle w:val="EndnoteReference"/>
          <w:vertAlign w:val="baseline"/>
        </w:rPr>
        <w:endnoteReference w:id="9"/>
      </w:r>
      <w:r w:rsidRPr="00972A68">
        <w:t>].</w:t>
      </w:r>
    </w:p>
    <w:p w14:paraId="115A33BA" w14:textId="2BE3267C" w:rsidR="00F1186D" w:rsidRDefault="00F1186D" w:rsidP="00F1186D">
      <w:pPr>
        <w:pStyle w:val="BodyText"/>
        <w:numPr>
          <w:ilvl w:val="0"/>
          <w:numId w:val="39"/>
        </w:numPr>
        <w:ind w:left="709"/>
      </w:pPr>
      <w:r>
        <w:t>United States: Companies like Westinghouse are advancing microreactor technology for industrial use</w:t>
      </w:r>
      <w:r w:rsidR="00C72EC6">
        <w:t>, especially in remote locations</w:t>
      </w:r>
      <w:r>
        <w:t xml:space="preserve"> </w:t>
      </w:r>
      <w:r w:rsidR="00AC710C" w:rsidRPr="00B1430A">
        <w:t>[</w:t>
      </w:r>
      <w:r w:rsidR="00770F6D">
        <w:rPr>
          <w:rStyle w:val="EndnoteReference"/>
        </w:rPr>
        <w:endnoteReference w:id="10"/>
      </w:r>
      <w:r w:rsidRPr="00972A68">
        <w:t>].</w:t>
      </w:r>
    </w:p>
    <w:p w14:paraId="66E93F1A" w14:textId="77777777" w:rsidR="00B153E9" w:rsidRDefault="00B153E9" w:rsidP="00B153E9">
      <w:pPr>
        <w:pStyle w:val="BodyText"/>
      </w:pPr>
    </w:p>
    <w:p w14:paraId="4C7F17A6" w14:textId="182A8545" w:rsidR="00F1186D" w:rsidRDefault="008B0CB3" w:rsidP="008B0CB3">
      <w:pPr>
        <w:pStyle w:val="BodyText"/>
        <w:ind w:left="349" w:hanging="349"/>
      </w:pPr>
      <w:r w:rsidRPr="008B0CB3">
        <w:rPr>
          <w:noProof/>
          <w:lang w:val="de-AT" w:eastAsia="de-AT"/>
        </w:rPr>
        <w:drawing>
          <wp:inline distT="0" distB="0" distL="0" distR="0" wp14:anchorId="5CD0333C" wp14:editId="02260C04">
            <wp:extent cx="5732145" cy="30734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3073400"/>
                    </a:xfrm>
                    <a:prstGeom prst="rect">
                      <a:avLst/>
                    </a:prstGeom>
                    <a:noFill/>
                    <a:ln>
                      <a:noFill/>
                    </a:ln>
                  </pic:spPr>
                </pic:pic>
              </a:graphicData>
            </a:graphic>
          </wp:inline>
        </w:drawing>
      </w:r>
    </w:p>
    <w:p w14:paraId="39619742" w14:textId="5B64263F" w:rsidR="008B0CB3" w:rsidRPr="00A7353C" w:rsidRDefault="008B0CB3" w:rsidP="008B0CB3">
      <w:pPr>
        <w:pStyle w:val="Figurecaption"/>
      </w:pPr>
      <w:r>
        <w:t>FIG. 3. Countries that are designing marine-based SMRs [</w:t>
      </w:r>
      <w:r>
        <w:fldChar w:fldCharType="begin"/>
      </w:r>
      <w:r>
        <w:instrText xml:space="preserve"> NOTEREF _Ref169275801 \h </w:instrText>
      </w:r>
      <w:r>
        <w:fldChar w:fldCharType="separate"/>
      </w:r>
      <w:r w:rsidR="00B153E9">
        <w:t>2</w:t>
      </w:r>
      <w:r>
        <w:fldChar w:fldCharType="end"/>
      </w:r>
      <w:r>
        <w:t xml:space="preserve">]. </w:t>
      </w:r>
    </w:p>
    <w:p w14:paraId="03C6D75B" w14:textId="7E5B3E70" w:rsidR="00647F33" w:rsidRPr="00526D91" w:rsidRDefault="006D0583" w:rsidP="00FF7466">
      <w:pPr>
        <w:pStyle w:val="Heading2"/>
        <w:keepNext/>
        <w:numPr>
          <w:ilvl w:val="1"/>
          <w:numId w:val="10"/>
        </w:numPr>
      </w:pPr>
      <w:r w:rsidRPr="00526D91">
        <w:lastRenderedPageBreak/>
        <w:t xml:space="preserve">the IAEA’s Role in </w:t>
      </w:r>
      <w:r w:rsidR="00A035F9" w:rsidRPr="00526D91">
        <w:t>supporting deployment of</w:t>
      </w:r>
      <w:r w:rsidRPr="00526D91">
        <w:t xml:space="preserve"> TNPP</w:t>
      </w:r>
    </w:p>
    <w:p w14:paraId="7141ACB0" w14:textId="6A99CC8E" w:rsidR="006D0583" w:rsidRPr="000660D0" w:rsidRDefault="00DC1B02" w:rsidP="006D0583">
      <w:pPr>
        <w:pStyle w:val="BodyText"/>
      </w:pPr>
      <w:r>
        <w:t>T</w:t>
      </w:r>
      <w:r w:rsidR="006D0583" w:rsidRPr="000660D0">
        <w:t>he IAEA</w:t>
      </w:r>
      <w:r>
        <w:t xml:space="preserve"> has</w:t>
      </w:r>
      <w:r w:rsidR="006D0583" w:rsidRPr="000660D0">
        <w:t xml:space="preserve"> several departments </w:t>
      </w:r>
      <w:r>
        <w:t xml:space="preserve">that </w:t>
      </w:r>
      <w:r w:rsidR="006D0583" w:rsidRPr="000660D0">
        <w:t xml:space="preserve">contribute </w:t>
      </w:r>
      <w:r w:rsidR="006D0583">
        <w:t xml:space="preserve">their </w:t>
      </w:r>
      <w:r w:rsidR="006D0583" w:rsidRPr="000660D0">
        <w:t xml:space="preserve">specialized expertise and resources to support Member States </w:t>
      </w:r>
      <w:r>
        <w:t>in the</w:t>
      </w:r>
      <w:r w:rsidR="00526D91">
        <w:t xml:space="preserve"> future deployment in</w:t>
      </w:r>
      <w:r w:rsidR="006D0583" w:rsidRPr="000660D0">
        <w:t xml:space="preserve"> TNPPs. </w:t>
      </w:r>
    </w:p>
    <w:p w14:paraId="434E9968" w14:textId="7000E388" w:rsidR="00D1448A" w:rsidRPr="000660D0" w:rsidRDefault="00D1448A" w:rsidP="00FF31E1">
      <w:pPr>
        <w:pStyle w:val="BodyText"/>
      </w:pPr>
      <w:r>
        <w:t>The</w:t>
      </w:r>
      <w:r w:rsidRPr="000660D0">
        <w:t xml:space="preserve"> Nuclear Energy </w:t>
      </w:r>
      <w:r w:rsidR="00DC1B02" w:rsidRPr="000660D0">
        <w:t>(NE)</w:t>
      </w:r>
      <w:r w:rsidR="00DC1B02">
        <w:t xml:space="preserve"> </w:t>
      </w:r>
      <w:r w:rsidRPr="000660D0">
        <w:t>Department serves as a hub for comprehensive support in all aspects of nuclear energy, including TNPPs. Through capacity-building initiatives, technical assistance programs, and knowledge-sharing platforms, NE facilitates the transfer of expertise and resources to Member States embarking on TNPP projects. By fostering international cooperation and collaboration, NE accelerates progress towards sustainable TNPP deployment and utilization.</w:t>
      </w:r>
      <w:r w:rsidR="00DC1B02" w:rsidRPr="00DC1B02">
        <w:t xml:space="preserve"> </w:t>
      </w:r>
      <w:r w:rsidR="00DC1B02">
        <w:t>Within the NE Department is t</w:t>
      </w:r>
      <w:r w:rsidR="00DC1B02" w:rsidRPr="000660D0">
        <w:t xml:space="preserve">he Nuclear Power </w:t>
      </w:r>
      <w:r w:rsidR="00DC1B02">
        <w:t xml:space="preserve">Technology and Development </w:t>
      </w:r>
      <w:r w:rsidR="00DC1B02" w:rsidRPr="000660D0">
        <w:t>Section (N</w:t>
      </w:r>
      <w:r w:rsidR="00DC1B02">
        <w:t>PTDS</w:t>
      </w:r>
      <w:r w:rsidR="00DC1B02" w:rsidRPr="000660D0">
        <w:t xml:space="preserve">) </w:t>
      </w:r>
      <w:r w:rsidR="00FF31E1">
        <w:t xml:space="preserve">which </w:t>
      </w:r>
      <w:r w:rsidR="00FF31E1">
        <w:rPr>
          <w:color w:val="1A1A1A"/>
          <w:sz w:val="22"/>
          <w:szCs w:val="22"/>
          <w:shd w:val="clear" w:color="auto" w:fill="FFFFFF"/>
        </w:rPr>
        <w:t>f</w:t>
      </w:r>
      <w:r w:rsidR="00FF31E1" w:rsidRPr="00FF31E1">
        <w:rPr>
          <w:color w:val="1A1A1A"/>
          <w:sz w:val="22"/>
          <w:szCs w:val="22"/>
          <w:shd w:val="clear" w:color="auto" w:fill="FFFFFF"/>
        </w:rPr>
        <w:t>oste</w:t>
      </w:r>
      <w:r w:rsidR="00FF31E1">
        <w:rPr>
          <w:color w:val="1A1A1A"/>
          <w:sz w:val="22"/>
          <w:szCs w:val="22"/>
          <w:shd w:val="clear" w:color="auto" w:fill="FFFFFF"/>
        </w:rPr>
        <w:t>rs</w:t>
      </w:r>
      <w:r w:rsidR="00FF31E1" w:rsidRPr="00FF31E1">
        <w:rPr>
          <w:color w:val="1A1A1A"/>
          <w:sz w:val="22"/>
          <w:szCs w:val="22"/>
          <w:shd w:val="clear" w:color="auto" w:fill="FFFFFF"/>
        </w:rPr>
        <w:t xml:space="preserve"> </w:t>
      </w:r>
      <w:r w:rsidR="00FF31E1">
        <w:rPr>
          <w:color w:val="1A1A1A"/>
          <w:sz w:val="22"/>
          <w:szCs w:val="22"/>
          <w:shd w:val="clear" w:color="auto" w:fill="FFFFFF"/>
        </w:rPr>
        <w:t>“</w:t>
      </w:r>
      <w:r w:rsidR="00FF31E1" w:rsidRPr="00FF31E1">
        <w:rPr>
          <w:color w:val="1A1A1A"/>
          <w:sz w:val="22"/>
          <w:szCs w:val="22"/>
          <w:shd w:val="clear" w:color="auto" w:fill="FFFFFF"/>
        </w:rPr>
        <w:t>information exchange and collaborative research and development for advanced nuclear reactor technologies, this Section provides information to the IAEA’s Member States on technology status and development trends for advanced reactor systems and their applications</w:t>
      </w:r>
      <w:r w:rsidR="00FF31E1">
        <w:rPr>
          <w:color w:val="1A1A1A"/>
          <w:sz w:val="22"/>
          <w:szCs w:val="22"/>
          <w:shd w:val="clear" w:color="auto" w:fill="FFFFFF"/>
        </w:rPr>
        <w:t xml:space="preserve"> [</w:t>
      </w:r>
      <w:r w:rsidR="00972A68" w:rsidRPr="006E32FE">
        <w:rPr>
          <w:rStyle w:val="EndnoteReference"/>
          <w:color w:val="1A1A1A"/>
          <w:sz w:val="22"/>
          <w:szCs w:val="22"/>
          <w:shd w:val="clear" w:color="auto" w:fill="FFFFFF"/>
          <w:vertAlign w:val="baseline"/>
        </w:rPr>
        <w:endnoteReference w:id="11"/>
      </w:r>
      <w:r w:rsidR="00FF31E1">
        <w:rPr>
          <w:color w:val="1A1A1A"/>
          <w:sz w:val="22"/>
          <w:szCs w:val="22"/>
          <w:shd w:val="clear" w:color="auto" w:fill="FFFFFF"/>
        </w:rPr>
        <w:t>]</w:t>
      </w:r>
      <w:r w:rsidR="00DC1B02" w:rsidRPr="00FF31E1">
        <w:rPr>
          <w:sz w:val="22"/>
          <w:szCs w:val="22"/>
        </w:rPr>
        <w:t>.</w:t>
      </w:r>
      <w:r w:rsidR="00FF31E1">
        <w:rPr>
          <w:sz w:val="22"/>
          <w:szCs w:val="22"/>
        </w:rPr>
        <w:t>”</w:t>
      </w:r>
      <w:r w:rsidR="00DC1B02" w:rsidRPr="000660D0">
        <w:t xml:space="preserve"> By providing guidance on innovative reactor technologies and engineering solutions, NE contributes to the development of TNPP systems.</w:t>
      </w:r>
    </w:p>
    <w:p w14:paraId="697A5979" w14:textId="4E59E5BA" w:rsidR="00A035F9" w:rsidRPr="000660D0" w:rsidRDefault="00A035F9" w:rsidP="00A035F9">
      <w:pPr>
        <w:pStyle w:val="BodyText"/>
      </w:pPr>
      <w:r>
        <w:t>The</w:t>
      </w:r>
      <w:r w:rsidRPr="000660D0">
        <w:t xml:space="preserve"> INPRO </w:t>
      </w:r>
      <w:r>
        <w:t xml:space="preserve">section </w:t>
      </w:r>
      <w:r w:rsidRPr="000660D0">
        <w:t>serves as a catalyst for innovation and collaboration in the realm of TNPPs, facilitating dialogue and knowledge exchange among</w:t>
      </w:r>
      <w:r w:rsidR="00DC1B02">
        <w:t>st</w:t>
      </w:r>
      <w:r w:rsidRPr="000660D0">
        <w:t xml:space="preserve"> stakeholders. Through targeted studies, workshops, and technical meetings, INPRO fosters a deeper understanding </w:t>
      </w:r>
      <w:r w:rsidR="00DC1B02">
        <w:t xml:space="preserve">for </w:t>
      </w:r>
      <w:r w:rsidR="00FF31E1">
        <w:t xml:space="preserve">future </w:t>
      </w:r>
      <w:r w:rsidR="00DC1B02">
        <w:t>deployment of</w:t>
      </w:r>
      <w:r w:rsidRPr="000660D0">
        <w:t xml:space="preserve"> TNPP technologies and their potential benefits. By promoting international cooperation and consensus-building, INPRO accelerates progress towards sustainable TNPP deployment on a global scale.</w:t>
      </w:r>
    </w:p>
    <w:p w14:paraId="777CC16F" w14:textId="4B75B0A9" w:rsidR="006E0EEA" w:rsidRDefault="00D1448A" w:rsidP="006E0EEA">
      <w:pPr>
        <w:pStyle w:val="BodyText"/>
      </w:pPr>
      <w:r>
        <w:t>The</w:t>
      </w:r>
      <w:r w:rsidR="006D0583" w:rsidRPr="000660D0">
        <w:t xml:space="preserve"> Nuclear Safety and Security</w:t>
      </w:r>
      <w:r w:rsidR="003E28C9">
        <w:t xml:space="preserve"> </w:t>
      </w:r>
      <w:r w:rsidR="003E28C9" w:rsidRPr="000660D0">
        <w:t>(NS)</w:t>
      </w:r>
      <w:r w:rsidR="003E28C9">
        <w:t xml:space="preserve"> </w:t>
      </w:r>
      <w:r w:rsidR="006D0583" w:rsidRPr="000660D0">
        <w:t>D</w:t>
      </w:r>
      <w:r w:rsidR="00526D91">
        <w:t>epartment</w:t>
      </w:r>
      <w:r w:rsidR="006D0583" w:rsidRPr="000660D0">
        <w:t xml:space="preserve"> leads efforts to address Safety and security aspects. Drawing on expertise in nuclear safety</w:t>
      </w:r>
      <w:r w:rsidR="00257473">
        <w:t>.</w:t>
      </w:r>
      <w:r w:rsidR="006D0583" w:rsidRPr="000660D0">
        <w:t xml:space="preserve"> </w:t>
      </w:r>
      <w:r w:rsidR="00257473">
        <w:t>“</w:t>
      </w:r>
      <w:r w:rsidR="006E0EEA" w:rsidRPr="006E0EEA">
        <w:t>The protection of people, society and the environment from the harmful effects of ionizing radiation is at the heart of the Department for Nuclear Safety and Security’s work. Whether the cause is an unsafe act or a security breach, it aims at providing a strong, sustainable and visible global nuclear safety and security framework</w:t>
      </w:r>
      <w:r w:rsidR="00257473">
        <w:t xml:space="preserve"> </w:t>
      </w:r>
      <w:r w:rsidR="006E0EEA">
        <w:t>[</w:t>
      </w:r>
      <w:r w:rsidR="006E32FE" w:rsidRPr="0000626B">
        <w:rPr>
          <w:rStyle w:val="EndnoteReference"/>
          <w:vertAlign w:val="baseline"/>
        </w:rPr>
        <w:endnoteReference w:id="12"/>
      </w:r>
      <w:r w:rsidR="006E0EEA" w:rsidRPr="0000626B">
        <w:t>]</w:t>
      </w:r>
      <w:r w:rsidR="00257473" w:rsidRPr="0000626B">
        <w:t>.</w:t>
      </w:r>
      <w:r w:rsidR="00257473">
        <w:t>”</w:t>
      </w:r>
    </w:p>
    <w:p w14:paraId="25B95B6A" w14:textId="3E4725C4" w:rsidR="00A035F9" w:rsidRPr="000660D0" w:rsidRDefault="00A035F9" w:rsidP="00183533">
      <w:pPr>
        <w:pStyle w:val="BodyText"/>
      </w:pPr>
      <w:r>
        <w:t xml:space="preserve">The </w:t>
      </w:r>
      <w:r w:rsidRPr="000660D0">
        <w:t xml:space="preserve">Office of Legal Affairs (OLA) </w:t>
      </w:r>
      <w:r w:rsidR="00183533">
        <w:t>“</w:t>
      </w:r>
      <w:r w:rsidR="00183533" w:rsidRPr="000660D0">
        <w:t xml:space="preserve">provides </w:t>
      </w:r>
      <w:r w:rsidR="00183533" w:rsidRPr="00183533">
        <w:t>comprehensive legal services to the IAEA Director General, Secretariat, Policy-Making Organs and Member States to ensure that the Agency conducts its activities in accordance with applicable legal rules. It also performs depositary functions for many multilateral treaties and offers legislative assistance to Member States</w:t>
      </w:r>
      <w:r w:rsidR="00CE56D7">
        <w:t xml:space="preserve"> </w:t>
      </w:r>
      <w:r w:rsidR="00183533" w:rsidRPr="0000626B">
        <w:t>[</w:t>
      </w:r>
      <w:r w:rsidR="0000626B" w:rsidRPr="0000626B">
        <w:rPr>
          <w:rStyle w:val="EndnoteReference"/>
          <w:vertAlign w:val="baseline"/>
        </w:rPr>
        <w:endnoteReference w:id="13"/>
      </w:r>
      <w:r w:rsidR="00183533" w:rsidRPr="0000626B">
        <w:t>]</w:t>
      </w:r>
      <w:r w:rsidR="00CE56D7" w:rsidRPr="0000626B">
        <w:t>.”</w:t>
      </w:r>
    </w:p>
    <w:p w14:paraId="151433D1" w14:textId="1E35917A" w:rsidR="00D1448A" w:rsidRDefault="00A035F9" w:rsidP="00D1448A">
      <w:pPr>
        <w:pStyle w:val="BodyText"/>
      </w:pPr>
      <w:r>
        <w:t>The</w:t>
      </w:r>
      <w:r w:rsidRPr="000660D0">
        <w:t xml:space="preserve"> </w:t>
      </w:r>
      <w:r w:rsidR="00CE56D7">
        <w:t xml:space="preserve">Department of </w:t>
      </w:r>
      <w:r w:rsidRPr="000660D0">
        <w:t xml:space="preserve">Safeguards </w:t>
      </w:r>
      <w:r w:rsidR="00CE56D7">
        <w:t>(SG)</w:t>
      </w:r>
      <w:r w:rsidR="00A446DA" w:rsidRPr="00A446DA">
        <w:t xml:space="preserve"> </w:t>
      </w:r>
      <w:r w:rsidR="00A446DA">
        <w:t>“</w:t>
      </w:r>
      <w:r w:rsidR="00A446DA" w:rsidRPr="00A446DA">
        <w:t>carries out the IAEA’s duties and responsibilities as the world’s nuclear inspectorate, supporting global efforts to stop the spread of nuclear weapons</w:t>
      </w:r>
      <w:r w:rsidR="00A446DA">
        <w:t xml:space="preserve"> </w:t>
      </w:r>
      <w:r w:rsidR="00A446DA" w:rsidRPr="0000626B">
        <w:t>[</w:t>
      </w:r>
      <w:r w:rsidR="00A446DA" w:rsidRPr="0000626B">
        <w:rPr>
          <w:rStyle w:val="EndnoteReference"/>
          <w:vertAlign w:val="baseline"/>
        </w:rPr>
        <w:endnoteReference w:id="14"/>
      </w:r>
      <w:r w:rsidR="00A446DA" w:rsidRPr="0000626B">
        <w:t>]</w:t>
      </w:r>
      <w:r w:rsidR="00A446DA" w:rsidRPr="00A446DA">
        <w:t>.</w:t>
      </w:r>
      <w:r w:rsidR="00A446DA">
        <w:t>”</w:t>
      </w:r>
      <w:r w:rsidR="00CE56D7">
        <w:t xml:space="preserve"> </w:t>
      </w:r>
      <w:r w:rsidRPr="000660D0">
        <w:t xml:space="preserve">plays a critical role in </w:t>
      </w:r>
      <w:r>
        <w:t>e</w:t>
      </w:r>
      <w:r w:rsidRPr="000660D0">
        <w:t xml:space="preserve">nsuring the peaceful use of nuclear materials. </w:t>
      </w:r>
      <w:r w:rsidR="00CE56D7">
        <w:t xml:space="preserve">The SG Department ensures </w:t>
      </w:r>
      <w:r w:rsidR="00A446DA">
        <w:t>States</w:t>
      </w:r>
      <w:r w:rsidR="00CE56D7">
        <w:t xml:space="preserve"> are living up to the international commitments. IAEA SG can help with safeguards strategies for new SMR designs. </w:t>
      </w:r>
      <w:r w:rsidRPr="000660D0">
        <w:t>Leveraging advanced safeguards methodologies and technologies.</w:t>
      </w:r>
    </w:p>
    <w:p w14:paraId="74CD1556" w14:textId="06D2CD48" w:rsidR="00E25B68" w:rsidRPr="003B00B5" w:rsidRDefault="00A035F9" w:rsidP="0026525A">
      <w:pPr>
        <w:pStyle w:val="Heading2"/>
        <w:numPr>
          <w:ilvl w:val="1"/>
          <w:numId w:val="10"/>
        </w:numPr>
      </w:pPr>
      <w:r w:rsidRPr="006C0E29">
        <w:rPr>
          <w:lang w:eastAsia="en-GB"/>
        </w:rPr>
        <w:t>INPRO Case Study</w:t>
      </w:r>
      <w:r>
        <w:rPr>
          <w:lang w:eastAsia="en-GB"/>
        </w:rPr>
        <w:t xml:space="preserve"> on transportable nuclear power plants</w:t>
      </w:r>
      <w:r w:rsidRPr="006C0E29">
        <w:rPr>
          <w:lang w:eastAsia="en-GB"/>
        </w:rPr>
        <w:t>: TNPP-</w:t>
      </w:r>
      <w:r>
        <w:rPr>
          <w:lang w:eastAsia="en-GB"/>
        </w:rPr>
        <w:t>1</w:t>
      </w:r>
    </w:p>
    <w:p w14:paraId="019A5EE1" w14:textId="7459A212" w:rsidR="003B58AE" w:rsidRDefault="003B58AE" w:rsidP="003B58AE">
      <w:pPr>
        <w:pStyle w:val="BodyText"/>
      </w:pPr>
      <w:r w:rsidRPr="003B58AE">
        <w:t>The INPRO collaborative project on Transportable Nuclear Power Plants (TNPP-I) undertook a preliminary study from 2008 to 2013, documented in the NE Energy Series Technical Report No. NG-T-3.5</w:t>
      </w:r>
      <w:r w:rsidR="00FF31E1">
        <w:t xml:space="preserve"> [</w:t>
      </w:r>
      <w:r w:rsidR="00A446DA">
        <w:fldChar w:fldCharType="begin"/>
      </w:r>
      <w:r w:rsidR="00A446DA">
        <w:instrText xml:space="preserve"> NOTEREF _Ref169252758 \h </w:instrText>
      </w:r>
      <w:r w:rsidR="00A446DA">
        <w:fldChar w:fldCharType="separate"/>
      </w:r>
      <w:r w:rsidR="00B153E9">
        <w:t>1</w:t>
      </w:r>
      <w:r w:rsidR="00A446DA">
        <w:fldChar w:fldCharType="end"/>
      </w:r>
      <w:r w:rsidR="00FF31E1">
        <w:t>]</w:t>
      </w:r>
      <w:r w:rsidRPr="003B58AE">
        <w:t>. (Fig.</w:t>
      </w:r>
      <w:r w:rsidR="00A446DA">
        <w:t xml:space="preserve"> 5</w:t>
      </w:r>
      <w:r w:rsidRPr="003B58AE">
        <w:t>)</w:t>
      </w:r>
      <w:r w:rsidR="004A19D4">
        <w:t xml:space="preserve">. </w:t>
      </w:r>
      <w:bookmarkStart w:id="3" w:name="_GoBack"/>
      <w:bookmarkEnd w:id="3"/>
      <w:r w:rsidRPr="003B58AE">
        <w:t xml:space="preserve">The study’s objectives </w:t>
      </w:r>
      <w:r w:rsidR="00FF31E1">
        <w:t>we</w:t>
      </w:r>
      <w:r w:rsidRPr="003B58AE">
        <w:t>re</w:t>
      </w:r>
      <w:r w:rsidR="00FF31E1">
        <w:t xml:space="preserve"> to</w:t>
      </w:r>
      <w:r w:rsidRPr="003B58AE">
        <w:t>:</w:t>
      </w:r>
    </w:p>
    <w:p w14:paraId="35C766E1" w14:textId="77777777" w:rsidR="00C72EC6" w:rsidRPr="003B58AE" w:rsidRDefault="00C72EC6" w:rsidP="003B58AE">
      <w:pPr>
        <w:pStyle w:val="BodyText"/>
      </w:pPr>
    </w:p>
    <w:p w14:paraId="455BC48E" w14:textId="1FA87CA3" w:rsidR="003B58AE" w:rsidRDefault="003B58AE" w:rsidP="003B58AE">
      <w:pPr>
        <w:pStyle w:val="BodyText"/>
      </w:pPr>
      <w:r w:rsidRPr="003B58AE">
        <w:t>(a) Examine legal and institutional challenges, including ownership and contracts, for TNPP deployment</w:t>
      </w:r>
      <w:r w:rsidR="00FF31E1">
        <w:t>;</w:t>
      </w:r>
    </w:p>
    <w:p w14:paraId="1A3685E7" w14:textId="6E91CB5B" w:rsidR="003B58AE" w:rsidRPr="003B58AE" w:rsidRDefault="003B58AE" w:rsidP="003B58AE">
      <w:pPr>
        <w:pStyle w:val="BodyText"/>
      </w:pPr>
      <w:r w:rsidRPr="003B58AE">
        <w:t>(b) Identify challenges</w:t>
      </w:r>
      <w:r w:rsidR="00FF31E1">
        <w:t>; and</w:t>
      </w:r>
    </w:p>
    <w:p w14:paraId="471DB766" w14:textId="7724FDB7" w:rsidR="004F03DA" w:rsidRDefault="003B58AE" w:rsidP="003B58AE">
      <w:pPr>
        <w:pStyle w:val="BodyText"/>
      </w:pPr>
      <w:r w:rsidRPr="003B58AE">
        <w:t xml:space="preserve">(c) Analyse the impact of TNPPs on the infrastructure of recipient countries. </w:t>
      </w:r>
    </w:p>
    <w:p w14:paraId="00E00E1E" w14:textId="4DA8D03C" w:rsidR="00A7353C" w:rsidRDefault="003B58AE" w:rsidP="00A7353C">
      <w:pPr>
        <w:pStyle w:val="BodyText"/>
      </w:pPr>
      <w:r w:rsidRPr="003B58AE">
        <w:t xml:space="preserve">  </w:t>
      </w:r>
    </w:p>
    <w:p w14:paraId="76EEC750" w14:textId="7252096A" w:rsidR="004F03DA" w:rsidRDefault="004F03DA" w:rsidP="00A7353C">
      <w:pPr>
        <w:pStyle w:val="BodyText"/>
      </w:pPr>
      <w:r w:rsidRPr="003B58AE">
        <w:t>Two TNPP options and two scenarios for legal and institutional frameworks were considered:</w:t>
      </w:r>
    </w:p>
    <w:p w14:paraId="5E5B8551" w14:textId="21F6B4BD" w:rsidR="00A446DA" w:rsidRPr="003B58AE" w:rsidRDefault="00A446DA" w:rsidP="00A7353C">
      <w:pPr>
        <w:pStyle w:val="BodyText"/>
      </w:pPr>
    </w:p>
    <w:p w14:paraId="41614CE9" w14:textId="77ACD7EA" w:rsidR="004F03DA" w:rsidRPr="003B58AE" w:rsidRDefault="004F03DA" w:rsidP="004F03DA">
      <w:pPr>
        <w:pStyle w:val="BodyText"/>
        <w:numPr>
          <w:ilvl w:val="0"/>
          <w:numId w:val="33"/>
        </w:numPr>
      </w:pPr>
      <w:r w:rsidRPr="003B58AE">
        <w:t>Option 1: Factory-assembled, fuelled, and tested reactors.</w:t>
      </w:r>
    </w:p>
    <w:p w14:paraId="4CD0626E" w14:textId="20F7DBBC" w:rsidR="004F03DA" w:rsidRPr="003B58AE" w:rsidRDefault="004F03DA" w:rsidP="004F03DA">
      <w:pPr>
        <w:pStyle w:val="BodyText"/>
        <w:numPr>
          <w:ilvl w:val="0"/>
          <w:numId w:val="33"/>
        </w:numPr>
      </w:pPr>
      <w:r w:rsidRPr="003B58AE">
        <w:t>Option 2: Factory-assembled and pre-tested reactors with on-site fuelling.</w:t>
      </w:r>
    </w:p>
    <w:p w14:paraId="715D035B" w14:textId="3CD31368" w:rsidR="004F03DA" w:rsidRPr="003B58AE" w:rsidRDefault="004F03DA" w:rsidP="004F03DA">
      <w:pPr>
        <w:pStyle w:val="BodyText"/>
        <w:numPr>
          <w:ilvl w:val="0"/>
          <w:numId w:val="33"/>
        </w:numPr>
      </w:pPr>
      <w:r w:rsidRPr="003B58AE">
        <w:t>Scenario 1: Supplier operates, and host state regulates.</w:t>
      </w:r>
    </w:p>
    <w:p w14:paraId="38BBB02F" w14:textId="32C06CCA" w:rsidR="003B58AE" w:rsidRDefault="004F03DA" w:rsidP="00965D20">
      <w:pPr>
        <w:pStyle w:val="BodyText"/>
        <w:numPr>
          <w:ilvl w:val="0"/>
          <w:numId w:val="33"/>
        </w:numPr>
      </w:pPr>
      <w:r w:rsidRPr="003B58AE">
        <w:t>Scenario 2: Host state entity operates and regulates.</w:t>
      </w:r>
      <w:r w:rsidR="003B58AE" w:rsidRPr="003B58AE">
        <w:t xml:space="preserve"> </w:t>
      </w:r>
    </w:p>
    <w:p w14:paraId="73F3679A" w14:textId="5CAB297B" w:rsidR="003B58AE" w:rsidRDefault="003B58AE" w:rsidP="003B58AE">
      <w:pPr>
        <w:pStyle w:val="BodyText"/>
      </w:pPr>
    </w:p>
    <w:p w14:paraId="606176C9" w14:textId="2D634A39" w:rsidR="00BD43D8" w:rsidRDefault="00FF7466" w:rsidP="00EF538B">
      <w:pPr>
        <w:pStyle w:val="BodyText"/>
      </w:pPr>
      <w:r w:rsidRPr="00F07470">
        <w:rPr>
          <w:rFonts w:ascii="TimesNewRomanPSMT" w:hAnsi="TimesNewRomanPSMT" w:cs="TimesNewRomanPSMT"/>
          <w:noProof/>
          <w:sz w:val="21"/>
          <w:szCs w:val="21"/>
          <w:lang w:val="de-AT" w:eastAsia="de-AT"/>
        </w:rPr>
        <w:lastRenderedPageBreak/>
        <w:drawing>
          <wp:anchor distT="0" distB="0" distL="114300" distR="114300" simplePos="0" relativeHeight="251669504" behindDoc="1" locked="0" layoutInCell="1" allowOverlap="1" wp14:anchorId="184B806A" wp14:editId="552635E5">
            <wp:simplePos x="0" y="0"/>
            <wp:positionH relativeFrom="margin">
              <wp:posOffset>4039961</wp:posOffset>
            </wp:positionH>
            <wp:positionV relativeFrom="paragraph">
              <wp:posOffset>489494</wp:posOffset>
            </wp:positionV>
            <wp:extent cx="1619250" cy="2276475"/>
            <wp:effectExtent l="0" t="0" r="0" b="9525"/>
            <wp:wrapTight wrapText="bothSides">
              <wp:wrapPolygon edited="0">
                <wp:start x="0" y="0"/>
                <wp:lineTo x="0" y="21510"/>
                <wp:lineTo x="21346" y="21510"/>
                <wp:lineTo x="213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250" cy="2276475"/>
                    </a:xfrm>
                    <a:prstGeom prst="rect">
                      <a:avLst/>
                    </a:prstGeom>
                  </pic:spPr>
                </pic:pic>
              </a:graphicData>
            </a:graphic>
            <wp14:sizeRelH relativeFrom="margin">
              <wp14:pctWidth>0</wp14:pctWidth>
            </wp14:sizeRelH>
            <wp14:sizeRelV relativeFrom="margin">
              <wp14:pctHeight>0</wp14:pctHeight>
            </wp14:sizeRelV>
          </wp:anchor>
        </w:drawing>
      </w:r>
      <w:r w:rsidR="00EF538B" w:rsidRPr="00EF538B">
        <w:t xml:space="preserve">The study </w:t>
      </w:r>
      <w:r w:rsidR="00290C75" w:rsidRPr="00EF538B">
        <w:t>analysed</w:t>
      </w:r>
      <w:r w:rsidR="00EF538B" w:rsidRPr="00EF538B">
        <w:t xml:space="preserve"> these from various aspects: Infrastructure, Safeguards, Legal, Safety and Regulation, Security, and International Legal Instruments. S</w:t>
      </w:r>
      <w:r w:rsidR="00A446DA">
        <w:t>ome of the findings from the report are s</w:t>
      </w:r>
      <w:r w:rsidR="00EF538B" w:rsidRPr="00EF538B">
        <w:t xml:space="preserve">afeguards are similar to non-transportable installations, requiring IAEA verification for </w:t>
      </w:r>
      <w:r w:rsidR="00A446DA">
        <w:t>nuclear weapon states</w:t>
      </w:r>
      <w:r w:rsidR="00EF538B" w:rsidRPr="00EF538B">
        <w:t xml:space="preserve"> to </w:t>
      </w:r>
      <w:r w:rsidR="00A446DA">
        <w:t>non-nuclear weapon state</w:t>
      </w:r>
      <w:r w:rsidR="00EF538B" w:rsidRPr="00EF538B">
        <w:t xml:space="preserve"> exports. Legal clarity is essential through treaties or existing laws. Transporting fuelled TNPPs poses safety challenges, and nuclear security requires state coordination. IAEA safety standards apply but may need adaptation</w:t>
      </w:r>
      <w:r w:rsidR="00A446DA">
        <w:t xml:space="preserve"> [</w:t>
      </w:r>
      <w:r w:rsidR="00A446DA">
        <w:fldChar w:fldCharType="begin"/>
      </w:r>
      <w:r w:rsidR="00A446DA">
        <w:instrText xml:space="preserve"> NOTEREF _Ref169252758 \h </w:instrText>
      </w:r>
      <w:r w:rsidR="00A446DA">
        <w:fldChar w:fldCharType="separate"/>
      </w:r>
      <w:r w:rsidR="00B153E9">
        <w:t>1</w:t>
      </w:r>
      <w:r w:rsidR="00A446DA">
        <w:fldChar w:fldCharType="end"/>
      </w:r>
      <w:r w:rsidR="00A446DA">
        <w:t>]</w:t>
      </w:r>
      <w:r w:rsidR="00EF538B" w:rsidRPr="00EF538B">
        <w:t>.</w:t>
      </w:r>
    </w:p>
    <w:p w14:paraId="7AB86964" w14:textId="14AA75EA" w:rsidR="00E25B68" w:rsidRPr="003B00B5" w:rsidRDefault="00FF7466" w:rsidP="003B58AE">
      <w:pPr>
        <w:pStyle w:val="BodyText"/>
      </w:pPr>
      <w:r>
        <w:rPr>
          <w:noProof/>
          <w:lang w:val="de-AT" w:eastAsia="de-AT"/>
        </w:rPr>
        <mc:AlternateContent>
          <mc:Choice Requires="wps">
            <w:drawing>
              <wp:anchor distT="0" distB="0" distL="114300" distR="114300" simplePos="0" relativeHeight="251675648" behindDoc="1" locked="0" layoutInCell="1" allowOverlap="1" wp14:anchorId="7B99545E" wp14:editId="1998DF37">
                <wp:simplePos x="0" y="0"/>
                <wp:positionH relativeFrom="margin">
                  <wp:posOffset>4050121</wp:posOffset>
                </wp:positionH>
                <wp:positionV relativeFrom="paragraph">
                  <wp:posOffset>1607729</wp:posOffset>
                </wp:positionV>
                <wp:extent cx="1638300" cy="635"/>
                <wp:effectExtent l="0" t="0" r="0" b="6985"/>
                <wp:wrapTight wrapText="bothSides">
                  <wp:wrapPolygon edited="0">
                    <wp:start x="0" y="0"/>
                    <wp:lineTo x="0" y="20778"/>
                    <wp:lineTo x="21349" y="20778"/>
                    <wp:lineTo x="21349"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638300" cy="635"/>
                        </a:xfrm>
                        <a:prstGeom prst="rect">
                          <a:avLst/>
                        </a:prstGeom>
                        <a:solidFill>
                          <a:prstClr val="white"/>
                        </a:solidFill>
                        <a:ln>
                          <a:noFill/>
                        </a:ln>
                      </wps:spPr>
                      <wps:txbx>
                        <w:txbxContent>
                          <w:p w14:paraId="57DEF77A" w14:textId="17A3B616" w:rsidR="0000626B" w:rsidRPr="0000626B" w:rsidRDefault="0000626B" w:rsidP="0000626B">
                            <w:pPr>
                              <w:pStyle w:val="Caption"/>
                              <w:rPr>
                                <w:rFonts w:ascii="TimesNewRomanPSMT" w:hAnsi="TimesNewRomanPSMT" w:cs="TimesNewRomanPSMT"/>
                                <w:i/>
                                <w:iCs/>
                                <w:noProof/>
                                <w:sz w:val="21"/>
                                <w:szCs w:val="21"/>
                              </w:rPr>
                            </w:pPr>
                            <w:r w:rsidRPr="0000626B">
                              <w:rPr>
                                <w:i/>
                                <w:iCs/>
                              </w:rPr>
                              <w:t>FIG. 5. IAEA Nuclear Energy Series No. NG-T-3.5.[</w:t>
                            </w:r>
                            <w:r w:rsidRPr="0000626B">
                              <w:rPr>
                                <w:i/>
                                <w:iCs/>
                              </w:rPr>
                              <w:fldChar w:fldCharType="begin"/>
                            </w:r>
                            <w:r w:rsidRPr="0000626B">
                              <w:rPr>
                                <w:i/>
                                <w:iCs/>
                              </w:rPr>
                              <w:instrText xml:space="preserve"> NOTEREF _Ref169252758 \h </w:instrText>
                            </w:r>
                            <w:r>
                              <w:rPr>
                                <w:i/>
                                <w:iCs/>
                              </w:rPr>
                              <w:instrText xml:space="preserve"> \* MERGEFORMAT </w:instrText>
                            </w:r>
                            <w:r w:rsidRPr="0000626B">
                              <w:rPr>
                                <w:i/>
                                <w:iCs/>
                              </w:rPr>
                            </w:r>
                            <w:r w:rsidRPr="0000626B">
                              <w:rPr>
                                <w:i/>
                                <w:iCs/>
                              </w:rPr>
                              <w:fldChar w:fldCharType="separate"/>
                            </w:r>
                            <w:r w:rsidR="00316E6B">
                              <w:rPr>
                                <w:i/>
                                <w:iCs/>
                              </w:rPr>
                              <w:t>1</w:t>
                            </w:r>
                            <w:r w:rsidRPr="0000626B">
                              <w:rPr>
                                <w:i/>
                                <w:iCs/>
                              </w:rPr>
                              <w:fldChar w:fldCharType="end"/>
                            </w:r>
                            <w:r w:rsidRPr="0000626B">
                              <w:rPr>
                                <w:i/>
                                <w:i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9545E" id="Text Box 11" o:spid="_x0000_s1028" type="#_x0000_t202" style="position:absolute;left:0;text-align:left;margin-left:318.9pt;margin-top:126.6pt;width:129pt;height:.05pt;z-index:-251640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fVbGQIAAD8EAAAOAAAAZHJzL2Uyb0RvYy54bWysU02L2zAQvRf6H4TujfNBwxLiLGmWlELY&#10;Xcgue1ZkORbIGnWkxE5/fUeynbTbnkov8lgzeqN572l539aGnRV6DTbnk9GYM2UlFNoec/76sv10&#10;x5kPwhbCgFU5vyjP71cfPywbt1BTqMAUChmBWL9oXM6rENwiy7ysVC38CJyylCwBaxHoF49ZgaIh&#10;9Npk0/F4njWAhUOQynvafeiSfJXwy1LJ8FSWXgVmck53C2nFtB7imq2WYnFE4Sot+2uIf7hFLbSl&#10;pleoBxEEO6H+A6rWEsFDGUYS6gzKUkuVZqBpJuN30+wr4VSahcjx7kqT/3+w8vG8d8/IQvsFWhIw&#10;EtI4v/C0GedpS6zjl27KKE8UXq60qTYwGQ/NZ3ezMaUk5eazzxEjux116MNXBTWLQc6RNElUifPO&#10;h650KImdPBhdbLUx8ScmNgbZWZB+TaWD6sF/qzI21lqIpzrAuJPd5ohRaA8t00XOp8OMByguNDpC&#10;5wrv5FZTv53w4Vkg2YBGImuHJ1pKA03OoY84qwB//G0/1pM6lOWsIVvl3H8/CVScmW+WdIseHAIc&#10;gsMQ2FO9AZp0Qo/GyRTSAQxmCEuE+o0cv45dKCWspF45D0O4CZ256cVItV6nInKaE2Fn905G6IHX&#10;l/ZNoOtVCSTmIwyGE4t34nS1SR63PgViOikXee1Y7Okmlybt+xcVn8Gv/6nq9u5XPwEAAP//AwBQ&#10;SwMEFAAGAAgAAAAhAOmiwbfhAAAACwEAAA8AAABkcnMvZG93bnJldi54bWxMjz1PwzAQhnck/oN1&#10;SCyIOiRtKCFOVVUw0KUidGFz42sciM+R7bTh32NYYHw/9N5z5WoyPTuh850lAXezBBhSY1VHrYD9&#10;2/PtEpgPkpTsLaGAL/Swqi4vSlkoe6ZXPNWhZXGEfCEF6BCGgnPfaDTSz+yAFLOjdUaGKF3LlZPn&#10;OG56niZJzo3sKF7QcsCNxuazHo2A3fx9p2/G49N2Pc/cy37c5B9tLcT11bR+BBZwCn9l+MGP6FBF&#10;poMdSXnWC8iz+4geBKSLLAUWG8uHRXQOv04GvCr5/x+qbwAAAP//AwBQSwECLQAUAAYACAAAACEA&#10;toM4kv4AAADhAQAAEwAAAAAAAAAAAAAAAAAAAAAAW0NvbnRlbnRfVHlwZXNdLnhtbFBLAQItABQA&#10;BgAIAAAAIQA4/SH/1gAAAJQBAAALAAAAAAAAAAAAAAAAAC8BAABfcmVscy8ucmVsc1BLAQItABQA&#10;BgAIAAAAIQD20fVbGQIAAD8EAAAOAAAAAAAAAAAAAAAAAC4CAABkcnMvZTJvRG9jLnhtbFBLAQIt&#10;ABQABgAIAAAAIQDposG34QAAAAsBAAAPAAAAAAAAAAAAAAAAAHMEAABkcnMvZG93bnJldi54bWxQ&#10;SwUGAAAAAAQABADzAAAAgQUAAAAA&#10;" stroked="f">
                <v:textbox style="mso-fit-shape-to-text:t" inset="0,0,0,0">
                  <w:txbxContent>
                    <w:p w14:paraId="57DEF77A" w14:textId="17A3B616" w:rsidR="0000626B" w:rsidRPr="0000626B" w:rsidRDefault="0000626B" w:rsidP="0000626B">
                      <w:pPr>
                        <w:pStyle w:val="Caption"/>
                        <w:rPr>
                          <w:rFonts w:ascii="TimesNewRomanPSMT" w:hAnsi="TimesNewRomanPSMT" w:cs="TimesNewRomanPSMT"/>
                          <w:i/>
                          <w:iCs/>
                          <w:noProof/>
                          <w:sz w:val="21"/>
                          <w:szCs w:val="21"/>
                        </w:rPr>
                      </w:pPr>
                      <w:r w:rsidRPr="0000626B">
                        <w:rPr>
                          <w:i/>
                          <w:iCs/>
                        </w:rPr>
                        <w:t>FIG. 5. IAEA Nuclear Energy Series No. NG-T-3.5.[</w:t>
                      </w:r>
                      <w:r w:rsidRPr="0000626B">
                        <w:rPr>
                          <w:i/>
                          <w:iCs/>
                        </w:rPr>
                        <w:fldChar w:fldCharType="begin"/>
                      </w:r>
                      <w:r w:rsidRPr="0000626B">
                        <w:rPr>
                          <w:i/>
                          <w:iCs/>
                        </w:rPr>
                        <w:instrText xml:space="preserve"> NOTEREF _Ref169252758 \h </w:instrText>
                      </w:r>
                      <w:r>
                        <w:rPr>
                          <w:i/>
                          <w:iCs/>
                        </w:rPr>
                        <w:instrText xml:space="preserve"> \* MERGEFORMAT </w:instrText>
                      </w:r>
                      <w:r w:rsidRPr="0000626B">
                        <w:rPr>
                          <w:i/>
                          <w:iCs/>
                        </w:rPr>
                      </w:r>
                      <w:r w:rsidRPr="0000626B">
                        <w:rPr>
                          <w:i/>
                          <w:iCs/>
                        </w:rPr>
                        <w:fldChar w:fldCharType="separate"/>
                      </w:r>
                      <w:r w:rsidR="00316E6B">
                        <w:rPr>
                          <w:i/>
                          <w:iCs/>
                        </w:rPr>
                        <w:t>1</w:t>
                      </w:r>
                      <w:r w:rsidRPr="0000626B">
                        <w:rPr>
                          <w:i/>
                          <w:iCs/>
                        </w:rPr>
                        <w:fldChar w:fldCharType="end"/>
                      </w:r>
                      <w:r w:rsidRPr="0000626B">
                        <w:rPr>
                          <w:i/>
                          <w:iCs/>
                        </w:rPr>
                        <w:t>]</w:t>
                      </w:r>
                    </w:p>
                  </w:txbxContent>
                </v:textbox>
                <w10:wrap type="tight" anchorx="margin"/>
              </v:shape>
            </w:pict>
          </mc:Fallback>
        </mc:AlternateContent>
      </w:r>
      <w:r w:rsidR="003B58AE" w:rsidRPr="003B58AE">
        <w:t>The initiation of the second study stemmed from the conclusions drawn in TNPP-</w:t>
      </w:r>
      <w:r w:rsidR="004A19D4">
        <w:t>1</w:t>
      </w:r>
      <w:r w:rsidR="003B58AE" w:rsidRPr="003B58AE">
        <w:t>, which highlighted significant gaps and inadequate coverage concerning factory-fuelled reactors. TNPP-</w:t>
      </w:r>
      <w:r w:rsidR="004A19D4">
        <w:t>1</w:t>
      </w:r>
      <w:r w:rsidR="003B58AE" w:rsidRPr="003B58AE">
        <w:t xml:space="preserve"> also emphasized the importance of establishing clear and predictable legal frameworks through international treaties, as identified in the Supplier and Host states' interests</w:t>
      </w:r>
      <w:r w:rsidR="004A19D4">
        <w:t xml:space="preserve"> [</w:t>
      </w:r>
      <w:r w:rsidR="004A19D4">
        <w:fldChar w:fldCharType="begin"/>
      </w:r>
      <w:r w:rsidR="004A19D4">
        <w:instrText xml:space="preserve"> NOTEREF _Ref169252758 \h </w:instrText>
      </w:r>
      <w:r w:rsidR="004A19D4">
        <w:fldChar w:fldCharType="separate"/>
      </w:r>
      <w:r w:rsidR="00B153E9">
        <w:t>1</w:t>
      </w:r>
      <w:r w:rsidR="004A19D4">
        <w:fldChar w:fldCharType="end"/>
      </w:r>
      <w:r w:rsidR="004A19D4">
        <w:t>]</w:t>
      </w:r>
      <w:r w:rsidR="003B58AE" w:rsidRPr="003B58AE">
        <w:t xml:space="preserve">. Furthermore, the </w:t>
      </w:r>
      <w:r w:rsidR="004A19D4" w:rsidRPr="003B58AE">
        <w:t xml:space="preserve">IAEA </w:t>
      </w:r>
      <w:r w:rsidR="003B58AE" w:rsidRPr="003B58AE">
        <w:t>57</w:t>
      </w:r>
      <w:r w:rsidR="003B58AE" w:rsidRPr="00A7353C">
        <w:rPr>
          <w:vertAlign w:val="superscript"/>
        </w:rPr>
        <w:t>th</w:t>
      </w:r>
      <w:r w:rsidR="003B58AE" w:rsidRPr="003B58AE">
        <w:t xml:space="preserve"> </w:t>
      </w:r>
      <w:r w:rsidR="004A19D4">
        <w:t>G</w:t>
      </w:r>
      <w:r w:rsidR="003B58AE" w:rsidRPr="003B58AE">
        <w:t xml:space="preserve">eneral </w:t>
      </w:r>
      <w:r w:rsidR="004A19D4">
        <w:t>C</w:t>
      </w:r>
      <w:r w:rsidR="003B58AE" w:rsidRPr="003B58AE">
        <w:t xml:space="preserve">onference resolution urged </w:t>
      </w:r>
      <w:r w:rsidR="004A19D4">
        <w:t xml:space="preserve">“the Secretariat to </w:t>
      </w:r>
      <w:r w:rsidR="003B58AE" w:rsidRPr="003B58AE">
        <w:t>continue</w:t>
      </w:r>
      <w:r w:rsidR="004A19D4">
        <w:t xml:space="preserve"> providing</w:t>
      </w:r>
      <w:r w:rsidR="003B58AE" w:rsidRPr="003B58AE">
        <w:t xml:space="preserve"> guidance for regulatory reviews of SMRs</w:t>
      </w:r>
      <w:r w:rsidR="004A19D4">
        <w:t xml:space="preserve"> of various designs </w:t>
      </w:r>
      <w:r w:rsidR="004A19D4" w:rsidRPr="004A19D4">
        <w:t>[</w:t>
      </w:r>
      <w:r w:rsidR="004A19D4" w:rsidRPr="004A19D4">
        <w:rPr>
          <w:rStyle w:val="EndnoteReference"/>
          <w:vertAlign w:val="baseline"/>
        </w:rPr>
        <w:endnoteReference w:id="15"/>
      </w:r>
      <w:r w:rsidR="004A19D4" w:rsidRPr="004A19D4">
        <w:t>]</w:t>
      </w:r>
      <w:r w:rsidR="004A19D4">
        <w:t>”,</w:t>
      </w:r>
      <w:r w:rsidR="003B58AE" w:rsidRPr="003B58AE">
        <w:t xml:space="preserve"> including TNPPs. Building on these directives, the 22nd INPRO Steering Committee</w:t>
      </w:r>
      <w:r w:rsidR="00990B5D">
        <w:t xml:space="preserve"> meeting</w:t>
      </w:r>
      <w:r w:rsidR="001E133D">
        <w:t xml:space="preserve">, </w:t>
      </w:r>
      <w:r w:rsidR="00290C75">
        <w:t>June 2014,</w:t>
      </w:r>
      <w:r w:rsidR="003B58AE" w:rsidRPr="003B58AE">
        <w:t xml:space="preserve"> agreed to launch the TNPP phase II, now titled the "Case Study for Deployment of a Factory Fuelled SMR," prompting the initiation of the second study to delve deeper into regulatory and deployment challenges surrounding TNPPs</w:t>
      </w:r>
      <w:r w:rsidR="004A19D4">
        <w:t>, referred to as the TNPP-2 study</w:t>
      </w:r>
      <w:r w:rsidR="003B58AE" w:rsidRPr="003B58AE">
        <w:t>.</w:t>
      </w:r>
    </w:p>
    <w:p w14:paraId="1B297C48" w14:textId="1EAE86C2" w:rsidR="00EE0041" w:rsidRPr="003B00B5" w:rsidRDefault="008D2FD8" w:rsidP="00C257A5">
      <w:pPr>
        <w:pStyle w:val="Heading2"/>
        <w:numPr>
          <w:ilvl w:val="1"/>
          <w:numId w:val="10"/>
        </w:numPr>
      </w:pPr>
      <w:r w:rsidRPr="008D2FD8">
        <w:t>INPRO Case Study on transportable nuclear power plants: TNPP-2</w:t>
      </w:r>
    </w:p>
    <w:p w14:paraId="26F5227B" w14:textId="326EEF70" w:rsidR="008D2FD8" w:rsidRPr="008D2FD8" w:rsidRDefault="008D2FD8" w:rsidP="008D2FD8">
      <w:pPr>
        <w:pStyle w:val="BodyText"/>
      </w:pPr>
      <w:r w:rsidRPr="008D2FD8">
        <w:t xml:space="preserve">The "INPRO Case Study for the Deployment of a Factory Fuelled Small Modular Reactors (SMR)” – TNPP-2, initiated in 2015, marks a collaborative effort between Member States (MSs) and various IAEA departments (NE, SG, NS, and OLA). This comprehensive study aims to examine the legal and institutional intricacies surrounding the export deployment of a specific type of Transportable Nuclear Power Plant (TNPP) with a factory-fuelled, tested, and sealed reactor, while also investigating broader aspects of transportable and modular reactor facilities </w:t>
      </w:r>
      <w:r w:rsidRPr="00F93CBF">
        <w:t>[</w:t>
      </w:r>
      <w:r w:rsidR="0000626B" w:rsidRPr="00F93CBF">
        <w:rPr>
          <w:rStyle w:val="EndnoteReference"/>
          <w:vertAlign w:val="baseline"/>
        </w:rPr>
        <w:endnoteReference w:id="16"/>
      </w:r>
      <w:r w:rsidRPr="00F93CBF">
        <w:t>].</w:t>
      </w:r>
    </w:p>
    <w:p w14:paraId="05F4008F" w14:textId="69922641" w:rsidR="008D2FD8" w:rsidRPr="008D2FD8" w:rsidRDefault="008D2FD8" w:rsidP="008D2FD8">
      <w:pPr>
        <w:pStyle w:val="BodyText"/>
      </w:pPr>
      <w:r w:rsidRPr="008D2FD8">
        <w:t>Participating Member States contributed to various tasks throughout the study's timeline. The study progressed through several stages, including consultancy meetings (CMs) from 2015 to 2016, Draft Programme Project (DPP) approval in 2017 for future TECDOC, drafting stages from 2017 to 2019, and final editorial work and publication process initiation in 2021-2022.</w:t>
      </w:r>
    </w:p>
    <w:p w14:paraId="2191A402" w14:textId="3D7961F5" w:rsidR="00EE0041" w:rsidRPr="003B00B5" w:rsidRDefault="008D2FD8" w:rsidP="001E133D">
      <w:pPr>
        <w:pStyle w:val="BodyText"/>
      </w:pPr>
      <w:r w:rsidRPr="008D2FD8">
        <w:t xml:space="preserve">A critical focus of the study is on the export challenges faced by </w:t>
      </w:r>
      <w:r w:rsidR="00183839" w:rsidRPr="00183839">
        <w:t>transportable nuclear modules</w:t>
      </w:r>
      <w:r w:rsidR="00183839">
        <w:t xml:space="preserve"> (or small module reactors [SMRs])</w:t>
      </w:r>
      <w:r w:rsidR="00183839" w:rsidRPr="00183839">
        <w:t xml:space="preserve"> </w:t>
      </w:r>
      <w:r w:rsidRPr="008D2FD8">
        <w:t>intended for deployment. These challenges span the entire lifecycle of the fuelled reactor, including production, transportation, commissioning, operation, and decommissioning</w:t>
      </w:r>
      <w:r w:rsidR="00183839">
        <w:t>.</w:t>
      </w:r>
      <w:r w:rsidRPr="008D2FD8">
        <w:t xml:space="preserve"> </w:t>
      </w:r>
      <w:r w:rsidR="00183839">
        <w:t xml:space="preserve">The transportable </w:t>
      </w:r>
      <w:r w:rsidR="00397BD3">
        <w:t>nuclear modules</w:t>
      </w:r>
      <w:r w:rsidR="00183839">
        <w:t xml:space="preserve"> require</w:t>
      </w:r>
      <w:r w:rsidRPr="008D2FD8">
        <w:t xml:space="preserve"> compliance with Safeguards Agreements, international legal norms, and IAEA safety standards and security guidelines. The study also delves into three case studies involving </w:t>
      </w:r>
      <w:r w:rsidR="00183839">
        <w:t>underwater</w:t>
      </w:r>
      <w:r w:rsidRPr="008D2FD8">
        <w:t xml:space="preserve">, floating, and land-based </w:t>
      </w:r>
      <w:r w:rsidR="00183839" w:rsidRPr="00183839">
        <w:t xml:space="preserve">transportable nuclear </w:t>
      </w:r>
      <w:r w:rsidR="00183839">
        <w:t>reactors/</w:t>
      </w:r>
      <w:r w:rsidR="00183839" w:rsidRPr="00183839">
        <w:t>modules</w:t>
      </w:r>
      <w:r w:rsidRPr="008D2FD8">
        <w:t xml:space="preserve">, examining scenarios where reactors are loaded with nuclear fuel in </w:t>
      </w:r>
      <w:r w:rsidR="00183839">
        <w:t>a</w:t>
      </w:r>
      <w:r w:rsidRPr="008D2FD8">
        <w:t xml:space="preserve"> Supplier State, tested, and sealed</w:t>
      </w:r>
      <w:r w:rsidR="00183839">
        <w:t>, and then</w:t>
      </w:r>
      <w:r w:rsidRPr="008D2FD8">
        <w:t xml:space="preserve"> relocat</w:t>
      </w:r>
      <w:r w:rsidR="00183839">
        <w:t>ed</w:t>
      </w:r>
      <w:r w:rsidRPr="008D2FD8">
        <w:t xml:space="preserve"> and operat</w:t>
      </w:r>
      <w:r w:rsidR="00183839">
        <w:t>ed</w:t>
      </w:r>
      <w:r w:rsidRPr="008D2FD8">
        <w:t xml:space="preserve"> in </w:t>
      </w:r>
      <w:r w:rsidR="00183839">
        <w:t xml:space="preserve">a </w:t>
      </w:r>
      <w:r w:rsidRPr="008D2FD8">
        <w:t xml:space="preserve">Host State. Special attention is given to legislative, safety, licensing, safeguards, security, staffing, and training issues, analysing the applicability of international safety standards, licensing processes, and nuclear security recommendations to factory-fuelled SMRs. The study </w:t>
      </w:r>
      <w:r w:rsidR="00183839">
        <w:t>examined</w:t>
      </w:r>
      <w:r w:rsidRPr="008D2FD8">
        <w:t xml:space="preserve"> civil liability, licensing, physical protection, non-proliferation, safeguards, and personnel management,</w:t>
      </w:r>
      <w:r w:rsidR="00183839">
        <w:t xml:space="preserve"> and identified gaps to be addressed</w:t>
      </w:r>
      <w:r w:rsidRPr="008D2FD8">
        <w:t xml:space="preserve"> to ensure a comprehensive and coordinated approach throughout the lifecycle</w:t>
      </w:r>
      <w:r w:rsidR="00397BD3">
        <w:t xml:space="preserve"> of the transportable nuclear module/power plant</w:t>
      </w:r>
      <w:r w:rsidRPr="008D2FD8">
        <w:t xml:space="preserve"> [</w:t>
      </w:r>
      <w:r w:rsidR="00F93CBF" w:rsidRPr="00F93CBF">
        <w:rPr>
          <w:rStyle w:val="EndnoteReference"/>
          <w:vertAlign w:val="baseline"/>
        </w:rPr>
        <w:endnoteReference w:id="17"/>
      </w:r>
      <w:r w:rsidRPr="008D2FD8">
        <w:t xml:space="preserve">]. The study is </w:t>
      </w:r>
      <w:r w:rsidR="00183839">
        <w:t>currently in the publication process</w:t>
      </w:r>
      <w:r w:rsidRPr="008D2FD8">
        <w:t>.</w:t>
      </w:r>
    </w:p>
    <w:p w14:paraId="7B29C0F0" w14:textId="2FB50F72" w:rsidR="00F004EE" w:rsidRPr="003B00B5" w:rsidRDefault="008D2FD8" w:rsidP="00537496">
      <w:pPr>
        <w:pStyle w:val="Heading2"/>
      </w:pPr>
      <w:r w:rsidRPr="008D2FD8">
        <w:rPr>
          <w:lang w:eastAsia="en-GB"/>
        </w:rPr>
        <w:t xml:space="preserve"> </w:t>
      </w:r>
      <w:r w:rsidRPr="000964DA">
        <w:rPr>
          <w:lang w:eastAsia="en-GB"/>
        </w:rPr>
        <w:t>Summary of International Symposium on the Deployment of Floating Nuclear Power Plants – Benefits and Challenges</w:t>
      </w:r>
      <w:r>
        <w:rPr>
          <w:lang w:eastAsia="en-GB"/>
        </w:rPr>
        <w:t>.</w:t>
      </w:r>
    </w:p>
    <w:p w14:paraId="4523B427" w14:textId="4A632F34" w:rsidR="008D2FD8" w:rsidRPr="008D2FD8" w:rsidRDefault="008D2FD8" w:rsidP="008D2FD8">
      <w:pPr>
        <w:pStyle w:val="BodyText"/>
      </w:pPr>
      <w:r w:rsidRPr="008D2FD8">
        <w:t xml:space="preserve">The first-ever IAEA International Symposium on Floating Nuclear Power Plants (FNPPs) gathered 168 participants from 44 Member States and four International Organizations. This event brought together a wide range of stakeholders essential to the development and deployment of FNPPs, including representatives from the </w:t>
      </w:r>
      <w:r w:rsidRPr="008D2FD8">
        <w:lastRenderedPageBreak/>
        <w:t>nuclear and maritime industries, regulatory bodies, maritime classification societies, and legal experts.</w:t>
      </w:r>
      <w:r w:rsidR="00183839">
        <w:t xml:space="preserve"> INPRO along with NS and other departments played a key role in organizing the symposium.</w:t>
      </w:r>
    </w:p>
    <w:p w14:paraId="1934CEF5" w14:textId="568E7016" w:rsidR="00AB6637" w:rsidRDefault="008D2FD8" w:rsidP="00F12E0D">
      <w:pPr>
        <w:pStyle w:val="BodyText"/>
      </w:pPr>
      <w:r w:rsidRPr="008D2FD8">
        <w:t>The symposium achieved several significant outcomes, notably increasing awareness of key stakeholders, their challenges, and the need for enhanced coordination and awareness-building. A consensus emerged on the necessity of uniting major stakeholders under a coordinated or cooperative framework.</w:t>
      </w:r>
      <w:r w:rsidR="00F12E0D">
        <w:t xml:space="preserve"> See figure 6.</w:t>
      </w:r>
      <w:r w:rsidRPr="008D2FD8">
        <w:t xml:space="preserve"> </w:t>
      </w:r>
    </w:p>
    <w:p w14:paraId="548C874B" w14:textId="77777777" w:rsidR="00F12E0D" w:rsidRDefault="00F12E0D" w:rsidP="00F12E0D">
      <w:pPr>
        <w:pStyle w:val="BodyText"/>
      </w:pPr>
    </w:p>
    <w:p w14:paraId="74A69CF6" w14:textId="77777777" w:rsidR="00F12E0D" w:rsidRDefault="00F12E0D" w:rsidP="00F12E0D">
      <w:pPr>
        <w:pStyle w:val="BodyText"/>
        <w:keepNext/>
      </w:pPr>
      <w:r>
        <w:rPr>
          <w:noProof/>
          <w:lang w:val="de-AT" w:eastAsia="de-AT"/>
        </w:rPr>
        <w:drawing>
          <wp:inline distT="0" distB="0" distL="0" distR="0" wp14:anchorId="73DC8453" wp14:editId="55FF033F">
            <wp:extent cx="5530291" cy="20688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862" b="27017"/>
                    <a:stretch/>
                  </pic:blipFill>
                  <pic:spPr bwMode="auto">
                    <a:xfrm>
                      <a:off x="0" y="0"/>
                      <a:ext cx="5613916" cy="2100113"/>
                    </a:xfrm>
                    <a:prstGeom prst="rect">
                      <a:avLst/>
                    </a:prstGeom>
                    <a:noFill/>
                    <a:ln>
                      <a:noFill/>
                    </a:ln>
                    <a:extLst>
                      <a:ext uri="{53640926-AAD7-44D8-BBD7-CCE9431645EC}">
                        <a14:shadowObscured xmlns:a14="http://schemas.microsoft.com/office/drawing/2010/main"/>
                      </a:ext>
                    </a:extLst>
                  </pic:spPr>
                </pic:pic>
              </a:graphicData>
            </a:graphic>
          </wp:inline>
        </w:drawing>
      </w:r>
    </w:p>
    <w:p w14:paraId="4C460A3E" w14:textId="392EC1D5" w:rsidR="00AB6637" w:rsidRDefault="00F12E0D" w:rsidP="00BF2AE3">
      <w:pPr>
        <w:pStyle w:val="Caption"/>
        <w:jc w:val="both"/>
      </w:pPr>
      <w:r>
        <w:t xml:space="preserve">             </w:t>
      </w:r>
      <w:r w:rsidRPr="00316E6B">
        <w:rPr>
          <w:i/>
          <w:iCs/>
        </w:rPr>
        <w:t>FIG. 6. Photograph from the symposium of floating nuclear power plant, IAEA,Vienna (2023)</w:t>
      </w:r>
      <w:r w:rsidR="00BF2AE3">
        <w:t xml:space="preserve"> </w:t>
      </w:r>
      <w:r>
        <w:t>[</w:t>
      </w:r>
      <w:r w:rsidRPr="00BF2AE3">
        <w:rPr>
          <w:rStyle w:val="EndnoteReference"/>
          <w:vertAlign w:val="baseline"/>
        </w:rPr>
        <w:endnoteReference w:id="18"/>
      </w:r>
      <w:r w:rsidRPr="00BF2AE3">
        <w:t>]</w:t>
      </w:r>
      <w:r>
        <w:t xml:space="preserve"> </w:t>
      </w:r>
    </w:p>
    <w:p w14:paraId="62130DF6" w14:textId="77777777" w:rsidR="00F12E0D" w:rsidRPr="008D2FD8" w:rsidRDefault="00F12E0D" w:rsidP="008D2FD8">
      <w:pPr>
        <w:pStyle w:val="BodyText"/>
      </w:pPr>
    </w:p>
    <w:p w14:paraId="6059DEB3" w14:textId="22E10083" w:rsidR="008D2FD8" w:rsidRDefault="008D2FD8" w:rsidP="008D2FD8">
      <w:pPr>
        <w:pStyle w:val="BodyText"/>
      </w:pPr>
      <w:r w:rsidRPr="008D2FD8">
        <w:t>Participants highlighted four key areas for focused attention in future FNPP projects</w:t>
      </w:r>
      <w:r w:rsidR="00397BD3">
        <w:t xml:space="preserve">, listed below. </w:t>
      </w:r>
    </w:p>
    <w:p w14:paraId="2BAFF1E1" w14:textId="77777777" w:rsidR="00397BD3" w:rsidRPr="008D2FD8" w:rsidRDefault="00397BD3" w:rsidP="008D2FD8">
      <w:pPr>
        <w:pStyle w:val="BodyText"/>
      </w:pPr>
    </w:p>
    <w:p w14:paraId="72C156D6" w14:textId="77777777" w:rsidR="008D2FD8" w:rsidRPr="008D2FD8" w:rsidRDefault="008D2FD8" w:rsidP="008D2FD8">
      <w:pPr>
        <w:pStyle w:val="BodyText"/>
        <w:numPr>
          <w:ilvl w:val="0"/>
          <w:numId w:val="34"/>
        </w:numPr>
      </w:pPr>
      <w:r w:rsidRPr="008D2FD8">
        <w:t>Industry Cooperation: Collaboration between reactor developers/vendors and shipyard companies is crucial for the serial production of FNPPs in shipyards. Utilizing the shipyard model's proven efficiency in serial production under stringent quality standards is essential for integrating nuclear quality and standards effectively.</w:t>
      </w:r>
    </w:p>
    <w:p w14:paraId="28026F76" w14:textId="77777777" w:rsidR="008D2FD8" w:rsidRPr="008D2FD8" w:rsidRDefault="008D2FD8" w:rsidP="008D2FD8">
      <w:pPr>
        <w:pStyle w:val="BodyText"/>
        <w:numPr>
          <w:ilvl w:val="0"/>
          <w:numId w:val="34"/>
        </w:numPr>
      </w:pPr>
      <w:r w:rsidRPr="008D2FD8">
        <w:t>Regulatory Cooperation: Effective regulatory cooperation involves the IAEA, International Maritime Organization (IMO), national nuclear and maritime regulators, and maritime classification societies. Despite examples of successful cooperation, such as the licensing of the Akademik Lomonosov in Russia, international collaboration is vital for FNPP export licensing. A joint approach among the IAEA, IMO, and maritime classification societies is envisioned to develop modern safety standards tailored to FNPPs.</w:t>
      </w:r>
    </w:p>
    <w:p w14:paraId="00D62843" w14:textId="77777777" w:rsidR="008D2FD8" w:rsidRPr="008D2FD8" w:rsidRDefault="008D2FD8" w:rsidP="008D2FD8">
      <w:pPr>
        <w:pStyle w:val="BodyText"/>
        <w:numPr>
          <w:ilvl w:val="0"/>
          <w:numId w:val="34"/>
        </w:numPr>
      </w:pPr>
      <w:r w:rsidRPr="008D2FD8">
        <w:t>Industry/Regulatory Coordination: Early coordination between industry and regulators is crucial to ensure regulatory readiness for FNPP licensing. The unique challenges of serial production and international export highlight the need for synchronized regulatory frameworks across exporting and importing countries.</w:t>
      </w:r>
    </w:p>
    <w:p w14:paraId="6E977B2E" w14:textId="77777777" w:rsidR="008D2FD8" w:rsidRPr="008D2FD8" w:rsidRDefault="008D2FD8" w:rsidP="008D2FD8">
      <w:pPr>
        <w:pStyle w:val="BodyText"/>
        <w:numPr>
          <w:ilvl w:val="0"/>
          <w:numId w:val="34"/>
        </w:numPr>
      </w:pPr>
      <w:r w:rsidRPr="008D2FD8">
        <w:t>Safety, Security, and Safeguards (3S): FNPPs require the early integration of safety, security, and safeguards into the design phase. Unlike conventional land-based reactors, FNPPs present distinct challenges that necessitate proactive mitigation strategies from the outset.</w:t>
      </w:r>
    </w:p>
    <w:p w14:paraId="445D87F6" w14:textId="77777777" w:rsidR="008D2FD8" w:rsidRPr="008D2FD8" w:rsidRDefault="008D2FD8" w:rsidP="008D2FD8">
      <w:pPr>
        <w:pStyle w:val="BodyText"/>
      </w:pPr>
    </w:p>
    <w:p w14:paraId="5335CE58" w14:textId="23093274" w:rsidR="008D2FD8" w:rsidRDefault="008D2FD8" w:rsidP="008D2FD8">
      <w:pPr>
        <w:pStyle w:val="BodyText"/>
      </w:pPr>
      <w:r w:rsidRPr="008D2FD8">
        <w:t>Furthermore, the existing collaboration mechanisms between the IAEA and IMO provide a strong foundation for fostering dialogue and cooperation on FNPP-related matters. By leveraging these mechanisms, the IAEA should actively promote FNPP considerations within IMO forums and explore opportunities for enhanced engagement and alignment. The first FNPP symposium has generated momentum towards addressing critical challenges and advancing collaborative efforts. As stakeholders navigate the complex landscape, continued dialogue and proactive engagement will be essential to realizing the potential of FNPPs in contributing to global energy security and sustainability.</w:t>
      </w:r>
    </w:p>
    <w:p w14:paraId="03881226" w14:textId="2FF60F47" w:rsidR="00E20E70" w:rsidRPr="003B00B5" w:rsidRDefault="00FF7466" w:rsidP="00FF7466">
      <w:pPr>
        <w:pStyle w:val="Heading2"/>
        <w:keepNext/>
      </w:pPr>
      <w:r>
        <w:t>summary</w:t>
      </w:r>
    </w:p>
    <w:p w14:paraId="38685717" w14:textId="7BDE9D17" w:rsidR="00F93CBF" w:rsidRDefault="008D2FD8" w:rsidP="008D2FD8">
      <w:pPr>
        <w:pStyle w:val="BodyText"/>
      </w:pPr>
      <w:r w:rsidRPr="008D2FD8">
        <w:t xml:space="preserve">The International Atomic Energy Agency's International Project on Innovative Nuclear Reactors and Fuel Cycles plays a crucial role in advancing transportable nuclear power plants. INPRO assists member states in </w:t>
      </w:r>
      <w:r w:rsidRPr="008D2FD8">
        <w:lastRenderedPageBreak/>
        <w:t>developing comprehensive strategies for sustainable nuclear energy implementation, focusing on legal, institutional, and technological aspects of TNPP deployment. The project's initial phase, completed in 2013, addressed various challenges associated with TNPPs, including legal and regulatory frameworks, infrastructure impact, and technological options. The ongoing second phase, which started in 2015, delves deeper into these issues, particularly for factory-</w:t>
      </w:r>
      <w:r w:rsidR="005F1187" w:rsidRPr="008D2FD8">
        <w:t>fuelled</w:t>
      </w:r>
      <w:r w:rsidRPr="008D2FD8">
        <w:t xml:space="preserve"> reactors, and aims to provide a detailed analysis of the legal and institutional challenges. INPRO also collaborates with other IAEA divisions, organizing symposiums and workshops to facilitate international cooperation and knowledge exchange. These efforts underscore the IAEA's commitment to fostering innovation and ensuring the safe, secure, and sustainable deployment of TNPPs, highlighting their potential to meet diverse energy needs while maintaining flexibility for relocation and international cooperation.</w:t>
      </w:r>
    </w:p>
    <w:p w14:paraId="43DF94CB" w14:textId="77777777" w:rsidR="00FF7466" w:rsidRPr="00EF6ACE" w:rsidRDefault="00FF7466" w:rsidP="00FF7466">
      <w:pPr>
        <w:pStyle w:val="Otherunnumberedheadings"/>
        <w:keepNext/>
      </w:pPr>
      <w:r w:rsidRPr="00EF6ACE">
        <w:t>ACKNOWLEDGEMENTS</w:t>
      </w:r>
    </w:p>
    <w:p w14:paraId="735C1665" w14:textId="77777777" w:rsidR="00FF7466" w:rsidRPr="00EF6ACE" w:rsidRDefault="00FF7466" w:rsidP="00FF7466">
      <w:pPr>
        <w:pStyle w:val="BodyText"/>
      </w:pPr>
      <w:r w:rsidRPr="00EF6ACE">
        <w:t xml:space="preserve">This work’s funding was through INPRO Member States extrabudgetary contributions to the INPRO Section. These contributions support INPRO activities and are implemented by INPRO Members together with and assisted by the INPRO Section staff and are subject to availability of staff and budgetary resources. </w:t>
      </w:r>
    </w:p>
    <w:p w14:paraId="19B6D1F3" w14:textId="2AAF0743" w:rsidR="008D2FD8" w:rsidRPr="003B00B5" w:rsidRDefault="00D26ADA" w:rsidP="00490C3F">
      <w:pPr>
        <w:pStyle w:val="Otherunnumberedheadings"/>
      </w:pPr>
      <w:r w:rsidRPr="003B00B5">
        <w:t>References</w:t>
      </w:r>
    </w:p>
    <w:sectPr w:rsidR="008D2FD8" w:rsidRPr="003B00B5" w:rsidSect="00FF31E1">
      <w:headerReference w:type="even" r:id="rId15"/>
      <w:headerReference w:type="default" r:id="rId16"/>
      <w:footerReference w:type="even" r:id="rId17"/>
      <w:footerReference w:type="default" r:id="rId18"/>
      <w:headerReference w:type="first" r:id="rId19"/>
      <w:footerReference w:type="first" r:id="rId20"/>
      <w:endnotePr>
        <w:numFmt w:val="decimal"/>
      </w:endnotePr>
      <w:type w:val="continuous"/>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FBDE5" w14:textId="77777777" w:rsidR="00912FE6" w:rsidRPr="00550FFB" w:rsidRDefault="00912FE6" w:rsidP="00550FFB">
      <w:pPr>
        <w:pStyle w:val="Footer"/>
      </w:pPr>
    </w:p>
  </w:endnote>
  <w:endnote w:type="continuationSeparator" w:id="0">
    <w:p w14:paraId="2BE02492" w14:textId="77777777" w:rsidR="00912FE6" w:rsidRPr="00550FFB" w:rsidRDefault="00912FE6" w:rsidP="00550FFB">
      <w:pPr>
        <w:pStyle w:val="Footer"/>
      </w:pPr>
    </w:p>
  </w:endnote>
  <w:endnote w:id="1">
    <w:p w14:paraId="3940F089" w14:textId="7CA71B1F" w:rsidR="008D4DF8" w:rsidRPr="006047EA" w:rsidRDefault="008D4DF8" w:rsidP="00042D5F">
      <w:pPr>
        <w:pStyle w:val="Referencelist"/>
        <w:ind w:left="1080" w:hanging="360"/>
      </w:pPr>
      <w:r w:rsidRPr="006047EA">
        <w:t>[</w:t>
      </w:r>
      <w:r w:rsidRPr="006047EA">
        <w:endnoteRef/>
      </w:r>
      <w:r w:rsidRPr="006047EA">
        <w:t>]</w:t>
      </w:r>
      <w:r w:rsidRPr="006047EA">
        <w:tab/>
      </w:r>
      <w:bookmarkStart w:id="1" w:name="_Hlk169253795"/>
      <w:r w:rsidRPr="006047EA">
        <w:t xml:space="preserve">INTERNATIONAL ATOMIC ENERGY AGENCY, </w:t>
      </w:r>
      <w:bookmarkEnd w:id="1"/>
      <w:r w:rsidRPr="006047EA">
        <w:t>Legal and Institutional Issues of Transportable Nuclear Power Plants: A Preliminary Study, IAEA Nuclear Energy Series No. NG-T-3.5, IAEA, Vienna (2013).</w:t>
      </w:r>
    </w:p>
  </w:endnote>
  <w:endnote w:id="2">
    <w:p w14:paraId="6615A00D" w14:textId="1BB6BD35" w:rsidR="005A4BE5" w:rsidRPr="005A4BE5" w:rsidRDefault="005A4BE5" w:rsidP="005A4BE5">
      <w:pPr>
        <w:pStyle w:val="Referencelist"/>
        <w:ind w:left="1080" w:hanging="360"/>
      </w:pPr>
      <w:r>
        <w:t>[</w:t>
      </w:r>
      <w:r w:rsidRPr="005A4BE5">
        <w:endnoteRef/>
      </w:r>
      <w:r>
        <w:t xml:space="preserve">] </w:t>
      </w:r>
      <w:r>
        <w:tab/>
      </w:r>
      <w:r w:rsidRPr="006047EA">
        <w:t>INTERNATIONAL ATOMIC ENERGY AGENCY,</w:t>
      </w:r>
      <w:r>
        <w:t xml:space="preserve"> Small Modular Reactors for Marine-based Nuclear Power Plant, Technologies, Designs and Applications, IAEA, Vienna (2023),</w:t>
      </w:r>
    </w:p>
  </w:endnote>
  <w:endnote w:id="3">
    <w:p w14:paraId="6E4A9DEC" w14:textId="77777777" w:rsidR="00FD216E" w:rsidRPr="006047EA" w:rsidRDefault="00FD216E" w:rsidP="00FD216E">
      <w:pPr>
        <w:pStyle w:val="Referencelist"/>
        <w:ind w:left="1080" w:hanging="360"/>
      </w:pPr>
      <w:r w:rsidRPr="006047EA">
        <w:t>[</w:t>
      </w:r>
      <w:r w:rsidRPr="006047EA">
        <w:endnoteRef/>
      </w:r>
      <w:r w:rsidRPr="006047EA">
        <w:t>]</w:t>
      </w:r>
      <w:r w:rsidRPr="006047EA">
        <w:tab/>
        <w:t>Prodigy Clean Energy, Prodigy Speaks to Global Outlook on Floating Nuclear Power Plants (FNPPs) at the IAEA, https://www.prodigy.energy/most-recent/prodigy-speaks-at-fnpps-iaea-.</w:t>
      </w:r>
    </w:p>
  </w:endnote>
  <w:endnote w:id="4">
    <w:p w14:paraId="045B560B" w14:textId="77777777" w:rsidR="00A16283" w:rsidRPr="00A16283" w:rsidRDefault="00A16283" w:rsidP="00A16283">
      <w:pPr>
        <w:pStyle w:val="Referencelist"/>
        <w:ind w:left="1080" w:hanging="360"/>
      </w:pPr>
      <w:r>
        <w:t>[</w:t>
      </w:r>
      <w:r w:rsidRPr="00A16283">
        <w:endnoteRef/>
      </w:r>
      <w:r>
        <w:t xml:space="preserve">] </w:t>
      </w:r>
      <w:r>
        <w:tab/>
        <w:t xml:space="preserve">WORLD NUCLEAR ASSOCIATION, Westinghouse and Prodigy collaborate on floating nuclear power plant, 24 January 2024 (accessed 14 June 2024) here: </w:t>
      </w:r>
      <w:r w:rsidRPr="00A16283">
        <w:t>https://world-nuclear-news.org/Articles/Westinghouse-and-Prodigy-collaborate-on-floating-n</w:t>
      </w:r>
    </w:p>
  </w:endnote>
  <w:endnote w:id="5">
    <w:p w14:paraId="640CFFD6" w14:textId="0559C3A0" w:rsidR="008C73C8" w:rsidRPr="008C73C8" w:rsidRDefault="008C73C8" w:rsidP="008C73C8">
      <w:pPr>
        <w:pStyle w:val="Referencelist"/>
        <w:ind w:left="1080" w:hanging="360"/>
      </w:pPr>
      <w:r>
        <w:t>[</w:t>
      </w:r>
      <w:r w:rsidRPr="008C73C8">
        <w:endnoteRef/>
      </w:r>
      <w:r>
        <w:t xml:space="preserve">] </w:t>
      </w:r>
      <w:r>
        <w:tab/>
        <w:t xml:space="preserve">JHA, P., China floating nuclear power plants in South China Sea, Modern Diplomacy, 4 April 2023 here: </w:t>
      </w:r>
      <w:r w:rsidRPr="008C73C8">
        <w:t>https://moderndiplomacy.eu/2023/04/04/china-floating-nuclear-power-plants-in-south-china-sea/</w:t>
      </w:r>
    </w:p>
  </w:endnote>
  <w:endnote w:id="6">
    <w:p w14:paraId="29C0143D" w14:textId="564A8D35" w:rsidR="008C73C8" w:rsidRPr="008C73C8" w:rsidRDefault="008C73C8" w:rsidP="008C73C8">
      <w:pPr>
        <w:pStyle w:val="Referencelist"/>
        <w:ind w:left="1080" w:hanging="360"/>
      </w:pPr>
      <w:r>
        <w:t>[</w:t>
      </w:r>
      <w:r w:rsidRPr="008C73C8">
        <w:endnoteRef/>
      </w:r>
      <w:r>
        <w:t xml:space="preserve">] </w:t>
      </w:r>
      <w:r>
        <w:tab/>
        <w:t xml:space="preserve">SEABORG, Rethinking nuclear, (accessed 14 June 2024) here: </w:t>
      </w:r>
      <w:r w:rsidRPr="008C73C8">
        <w:t>https://www.seaborg.com/</w:t>
      </w:r>
    </w:p>
  </w:endnote>
  <w:endnote w:id="7">
    <w:p w14:paraId="7EE317C6" w14:textId="76C16DAA" w:rsidR="00DE1152" w:rsidRPr="00DE1152" w:rsidRDefault="00DE1152" w:rsidP="00DE1152">
      <w:pPr>
        <w:pStyle w:val="Referencelist"/>
        <w:ind w:left="1080" w:hanging="360"/>
      </w:pPr>
      <w:r>
        <w:t>[</w:t>
      </w:r>
      <w:r w:rsidRPr="00DE1152">
        <w:endnoteRef/>
      </w:r>
      <w:r>
        <w:t xml:space="preserve">] </w:t>
      </w:r>
      <w:r>
        <w:tab/>
        <w:t xml:space="preserve">WORLD NUCLEAR ASSOCIATION, Nuclear Power in South Korea, updated 3 May 2024 (accessed 14 June 2024) here: </w:t>
      </w:r>
      <w:r w:rsidRPr="00DE1152">
        <w:t>https://world-nuclear.org/information-library/country-profiles/countries-o-s/south-korea</w:t>
      </w:r>
    </w:p>
  </w:endnote>
  <w:endnote w:id="8">
    <w:p w14:paraId="7AAD359D" w14:textId="50242C22" w:rsidR="00FD216E" w:rsidRPr="00FD216E" w:rsidRDefault="00FD216E" w:rsidP="00FD216E">
      <w:pPr>
        <w:pStyle w:val="Referencelist"/>
        <w:ind w:left="1080" w:hanging="360"/>
      </w:pPr>
      <w:r>
        <w:t>[</w:t>
      </w:r>
      <w:r w:rsidRPr="00FD216E">
        <w:endnoteRef/>
      </w:r>
      <w:r>
        <w:t xml:space="preserve">] </w:t>
      </w:r>
      <w:r>
        <w:tab/>
        <w:t xml:space="preserve">MANDRA, J. O., SHI, KHNP AND Seaborg to develop floating nuclear plants, Offshore Energy, 24 April 2023, </w:t>
      </w:r>
      <w:r w:rsidRPr="00FD216E">
        <w:t>https://www.offshore-energy.biz/shi-khnp-and-seaborg-to-develop-floating-nuclear-plants/</w:t>
      </w:r>
      <w:r>
        <w:t xml:space="preserve"> </w:t>
      </w:r>
    </w:p>
  </w:endnote>
  <w:endnote w:id="9">
    <w:p w14:paraId="43D8DD71" w14:textId="60FC5FAE" w:rsidR="00972A68" w:rsidRPr="006047EA" w:rsidRDefault="00972A68" w:rsidP="00042D5F">
      <w:pPr>
        <w:pStyle w:val="Referencelist"/>
        <w:ind w:left="1080" w:hanging="360"/>
      </w:pPr>
      <w:r w:rsidRPr="006047EA">
        <w:t>[</w:t>
      </w:r>
      <w:r w:rsidRPr="006047EA">
        <w:endnoteRef/>
      </w:r>
      <w:r w:rsidRPr="006047EA">
        <w:t>]</w:t>
      </w:r>
      <w:r w:rsidR="00F93CBF" w:rsidRPr="006047EA">
        <w:tab/>
      </w:r>
      <w:r w:rsidR="00956F91" w:rsidRPr="006047EA">
        <w:t>ROSATOM</w:t>
      </w:r>
      <w:r w:rsidRPr="006047EA">
        <w:t>, Akademik Lomonosov floating nuclear power plant, https://fnpp.info/about</w:t>
      </w:r>
      <w:r w:rsidR="00490C3F" w:rsidRPr="006047EA">
        <w:t>.</w:t>
      </w:r>
    </w:p>
  </w:endnote>
  <w:endnote w:id="10">
    <w:p w14:paraId="44483671" w14:textId="1684DCD9" w:rsidR="00770F6D" w:rsidRPr="00770F6D" w:rsidRDefault="00770F6D" w:rsidP="00770F6D">
      <w:pPr>
        <w:pStyle w:val="Referencelist"/>
        <w:ind w:left="1080" w:hanging="360"/>
      </w:pPr>
      <w:r>
        <w:t>[</w:t>
      </w:r>
      <w:r w:rsidRPr="00770F6D">
        <w:endnoteRef/>
      </w:r>
      <w:r>
        <w:t xml:space="preserve">] </w:t>
      </w:r>
      <w:r>
        <w:tab/>
      </w:r>
      <w:r w:rsidR="00B128FA" w:rsidRPr="006047EA">
        <w:t>Westinghouse Electric Company LLC, https://info.westinghousenuclear.com/blog/delivering-nuclear-power-where-its-needed.</w:t>
      </w:r>
    </w:p>
  </w:endnote>
  <w:endnote w:id="11">
    <w:p w14:paraId="6D25BB3C" w14:textId="5F1032BF" w:rsidR="00972A68" w:rsidRPr="006047EA" w:rsidRDefault="00972A68" w:rsidP="00042D5F">
      <w:pPr>
        <w:pStyle w:val="Referencelist"/>
        <w:ind w:left="1080" w:hanging="360"/>
      </w:pPr>
      <w:r w:rsidRPr="006047EA">
        <w:t>[</w:t>
      </w:r>
      <w:r w:rsidRPr="006047EA">
        <w:endnoteRef/>
      </w:r>
      <w:r w:rsidRPr="006047EA">
        <w:t>]</w:t>
      </w:r>
      <w:r w:rsidR="00F93CBF" w:rsidRPr="006047EA">
        <w:tab/>
      </w:r>
      <w:r w:rsidR="00FA3767" w:rsidRPr="006047EA">
        <w:t>INTERNATIONAL ATOMIC ENERGY AGENCY</w:t>
      </w:r>
      <w:r w:rsidRPr="006047EA">
        <w:t xml:space="preserve">, </w:t>
      </w:r>
      <w:r w:rsidR="005A4BE5" w:rsidRPr="006047EA">
        <w:t>Nucle</w:t>
      </w:r>
      <w:r w:rsidR="005A4BE5">
        <w:t>a</w:t>
      </w:r>
      <w:r w:rsidR="005A4BE5" w:rsidRPr="006047EA">
        <w:t>r</w:t>
      </w:r>
      <w:r w:rsidRPr="006047EA">
        <w:t xml:space="preserve"> Power Technology Development Section,</w:t>
      </w:r>
      <w:r w:rsidR="00FA3767" w:rsidRPr="006047EA">
        <w:t xml:space="preserve"> (accessed 14 June 2024) here: </w:t>
      </w:r>
      <w:r w:rsidRPr="006047EA">
        <w:t>https://www.iaea.org/about/organizational-structure/department-of-nuclear-energy/division-of-nuclear-power/nuclear-power-technology-development-section</w:t>
      </w:r>
      <w:r w:rsidR="00490C3F" w:rsidRPr="006047EA">
        <w:t>.</w:t>
      </w:r>
    </w:p>
  </w:endnote>
  <w:endnote w:id="12">
    <w:p w14:paraId="77670335" w14:textId="7737D4FB" w:rsidR="006E32FE" w:rsidRPr="006047EA" w:rsidRDefault="0000626B" w:rsidP="00042D5F">
      <w:pPr>
        <w:pStyle w:val="Referencelist"/>
        <w:ind w:left="1080" w:hanging="360"/>
      </w:pPr>
      <w:r w:rsidRPr="006047EA">
        <w:t>[</w:t>
      </w:r>
      <w:r w:rsidR="006E32FE" w:rsidRPr="006047EA">
        <w:endnoteRef/>
      </w:r>
      <w:r w:rsidRPr="006047EA">
        <w:t>]</w:t>
      </w:r>
      <w:r w:rsidR="00F93CBF" w:rsidRPr="006047EA">
        <w:tab/>
      </w:r>
      <w:r w:rsidR="00FA3767" w:rsidRPr="006047EA">
        <w:t>INTERNATIONAL ATOMIC ENERGY AGENCY</w:t>
      </w:r>
      <w:r w:rsidRPr="006047EA">
        <w:t>, Department of Nuclear Safety and Security,</w:t>
      </w:r>
      <w:r w:rsidR="00FA3767" w:rsidRPr="006047EA">
        <w:t xml:space="preserve"> (accessed 14 June 2024) here: </w:t>
      </w:r>
      <w:r w:rsidRPr="006047EA">
        <w:t xml:space="preserve"> https://www.iaea.org/about/organizational-structure/department-of-nuclear-safety-and-security</w:t>
      </w:r>
      <w:r w:rsidR="00490C3F" w:rsidRPr="006047EA">
        <w:t>.</w:t>
      </w:r>
    </w:p>
  </w:endnote>
  <w:endnote w:id="13">
    <w:p w14:paraId="4A80A52C" w14:textId="0004C9D9" w:rsidR="0000626B" w:rsidRPr="006047EA" w:rsidRDefault="0000626B" w:rsidP="00042D5F">
      <w:pPr>
        <w:pStyle w:val="BodyText"/>
        <w:ind w:left="1080" w:hanging="360"/>
        <w:rPr>
          <w:sz w:val="18"/>
          <w:szCs w:val="18"/>
        </w:rPr>
      </w:pPr>
      <w:r w:rsidRPr="006047EA">
        <w:rPr>
          <w:sz w:val="18"/>
          <w:szCs w:val="18"/>
        </w:rPr>
        <w:t>[</w:t>
      </w:r>
      <w:r w:rsidRPr="006047EA">
        <w:rPr>
          <w:sz w:val="18"/>
          <w:szCs w:val="18"/>
        </w:rPr>
        <w:endnoteRef/>
      </w:r>
      <w:r w:rsidRPr="006047EA">
        <w:rPr>
          <w:sz w:val="18"/>
          <w:szCs w:val="18"/>
        </w:rPr>
        <w:t>]</w:t>
      </w:r>
      <w:r w:rsidR="00F93CBF" w:rsidRPr="006047EA">
        <w:rPr>
          <w:sz w:val="18"/>
          <w:szCs w:val="18"/>
        </w:rPr>
        <w:tab/>
      </w:r>
      <w:r w:rsidR="00FA3767" w:rsidRPr="006047EA">
        <w:rPr>
          <w:sz w:val="18"/>
          <w:szCs w:val="18"/>
        </w:rPr>
        <w:t>INTERNATIONAL ATOMIC ENERGY AGENCY</w:t>
      </w:r>
      <w:r w:rsidRPr="006047EA">
        <w:rPr>
          <w:sz w:val="18"/>
          <w:szCs w:val="18"/>
          <w:lang w:val="en-US"/>
        </w:rPr>
        <w:t>, Office of Legal Affairs,</w:t>
      </w:r>
      <w:r w:rsidR="00FA3767" w:rsidRPr="006047EA">
        <w:rPr>
          <w:sz w:val="18"/>
          <w:szCs w:val="18"/>
        </w:rPr>
        <w:t xml:space="preserve"> (accessed 14 June 2024) here: h</w:t>
      </w:r>
      <w:r w:rsidRPr="006047EA">
        <w:rPr>
          <w:sz w:val="18"/>
          <w:szCs w:val="18"/>
          <w:lang w:val="en-US"/>
        </w:rPr>
        <w:t>ttps://www.iaea.org/about/organizational-structure/offices-reporting-to-the-director-general/office-of-legal-affairs</w:t>
      </w:r>
      <w:r w:rsidRPr="006047EA">
        <w:rPr>
          <w:sz w:val="18"/>
          <w:szCs w:val="18"/>
        </w:rPr>
        <w:t xml:space="preserve"> </w:t>
      </w:r>
    </w:p>
  </w:endnote>
  <w:endnote w:id="14">
    <w:p w14:paraId="26756527" w14:textId="6ED6363C" w:rsidR="0000626B" w:rsidRPr="006047EA" w:rsidRDefault="00A446DA" w:rsidP="00042D5F">
      <w:pPr>
        <w:pStyle w:val="Referencelist"/>
        <w:ind w:left="1080" w:hanging="360"/>
      </w:pPr>
      <w:r w:rsidRPr="006047EA">
        <w:t>[</w:t>
      </w:r>
      <w:r w:rsidRPr="006047EA">
        <w:endnoteRef/>
      </w:r>
      <w:r w:rsidRPr="006047EA">
        <w:t>]</w:t>
      </w:r>
      <w:r w:rsidR="00F93CBF" w:rsidRPr="006047EA">
        <w:tab/>
      </w:r>
      <w:r w:rsidRPr="006047EA">
        <w:t xml:space="preserve">INTERNATIONAL ATOMIC ENERGY AGENCY, Department of Safeguards, (accessed 14 June 2024) here: </w:t>
      </w:r>
      <w:hyperlink r:id="rId1" w:history="1">
        <w:r w:rsidR="0000626B" w:rsidRPr="006047EA">
          <w:rPr>
            <w:rStyle w:val="Hyperlink"/>
          </w:rPr>
          <w:t>https://www.iaea.org/about/organizational-structure/department-of-safeguards</w:t>
        </w:r>
      </w:hyperlink>
      <w:r w:rsidR="00490C3F" w:rsidRPr="006047EA">
        <w:t>.</w:t>
      </w:r>
    </w:p>
  </w:endnote>
  <w:endnote w:id="15">
    <w:p w14:paraId="5ABCDE01" w14:textId="2AEB9482" w:rsidR="004A19D4" w:rsidRPr="006047EA" w:rsidRDefault="004A19D4" w:rsidP="00042D5F">
      <w:pPr>
        <w:pStyle w:val="Referencelist"/>
        <w:ind w:left="1080" w:hanging="360"/>
        <w:jc w:val="left"/>
        <w:rPr>
          <w:color w:val="00B050"/>
        </w:rPr>
      </w:pPr>
      <w:r w:rsidRPr="006047EA">
        <w:t>[</w:t>
      </w:r>
      <w:r w:rsidRPr="006047EA">
        <w:endnoteRef/>
      </w:r>
      <w:r w:rsidRPr="006047EA">
        <w:t>]</w:t>
      </w:r>
      <w:r w:rsidRPr="006047EA">
        <w:tab/>
        <w:t xml:space="preserve">INTERNATIONAL ATOMIC ENERGY AGENCY, </w:t>
      </w:r>
      <w:r w:rsidR="0000626B" w:rsidRPr="006047EA">
        <w:t>General Conference resolution, IAEA, GC(57)/RES/12, (Sep. 2013)</w:t>
      </w:r>
      <w:r w:rsidR="00490C3F" w:rsidRPr="006047EA">
        <w:t>.</w:t>
      </w:r>
    </w:p>
  </w:endnote>
  <w:endnote w:id="16">
    <w:p w14:paraId="64E468F0" w14:textId="4B7F8BAE" w:rsidR="0000626B" w:rsidRPr="006047EA" w:rsidRDefault="0000626B" w:rsidP="00042D5F">
      <w:pPr>
        <w:pStyle w:val="BodyText"/>
        <w:ind w:left="1080" w:hanging="360"/>
        <w:jc w:val="left"/>
        <w:rPr>
          <w:sz w:val="18"/>
          <w:szCs w:val="18"/>
          <w:lang w:val="en-US"/>
        </w:rPr>
      </w:pPr>
      <w:r w:rsidRPr="006047EA">
        <w:rPr>
          <w:sz w:val="18"/>
          <w:szCs w:val="18"/>
        </w:rPr>
        <w:t>[</w:t>
      </w:r>
      <w:r w:rsidRPr="006047EA">
        <w:rPr>
          <w:sz w:val="18"/>
          <w:szCs w:val="18"/>
        </w:rPr>
        <w:endnoteRef/>
      </w:r>
      <w:r w:rsidRPr="006047EA">
        <w:rPr>
          <w:sz w:val="18"/>
          <w:szCs w:val="18"/>
        </w:rPr>
        <w:t>]</w:t>
      </w:r>
      <w:r w:rsidR="00490C3F" w:rsidRPr="006047EA">
        <w:rPr>
          <w:sz w:val="18"/>
          <w:szCs w:val="18"/>
        </w:rPr>
        <w:tab/>
      </w:r>
      <w:r w:rsidRPr="006047EA">
        <w:rPr>
          <w:sz w:val="18"/>
          <w:szCs w:val="18"/>
        </w:rPr>
        <w:t xml:space="preserve">A.Bychkov, A.Boyer. INPRO Studies on Transportable Nuclear Power Plants and Modules and Key Legal Issues for Their Regulations.  Proc. Int. Conf. on Topical Issues in Nuclear Installation Safety: Strengthening Safety of Evolutionary and Innovative Reactor Designs. 18-21 October 2022, Vienna, paper No.169, IAEA, in publication. </w:t>
      </w:r>
    </w:p>
  </w:endnote>
  <w:endnote w:id="17">
    <w:p w14:paraId="74AFD748" w14:textId="771E5D36" w:rsidR="00F93CBF" w:rsidRPr="006047EA" w:rsidRDefault="00F93CBF" w:rsidP="00042D5F">
      <w:pPr>
        <w:pStyle w:val="BodyText"/>
        <w:ind w:left="1080" w:hanging="360"/>
        <w:jc w:val="left"/>
        <w:rPr>
          <w:sz w:val="18"/>
          <w:szCs w:val="18"/>
        </w:rPr>
      </w:pPr>
      <w:r w:rsidRPr="006047EA">
        <w:rPr>
          <w:sz w:val="18"/>
          <w:szCs w:val="18"/>
        </w:rPr>
        <w:t>[</w:t>
      </w:r>
      <w:r w:rsidRPr="006047EA">
        <w:rPr>
          <w:sz w:val="18"/>
          <w:szCs w:val="18"/>
        </w:rPr>
        <w:endnoteRef/>
      </w:r>
      <w:r w:rsidRPr="006047EA">
        <w:rPr>
          <w:sz w:val="18"/>
          <w:szCs w:val="18"/>
        </w:rPr>
        <w:t>]</w:t>
      </w:r>
      <w:r w:rsidR="00490C3F" w:rsidRPr="006047EA">
        <w:rPr>
          <w:sz w:val="18"/>
          <w:szCs w:val="18"/>
        </w:rPr>
        <w:tab/>
      </w:r>
      <w:r w:rsidRPr="006047EA">
        <w:rPr>
          <w:sz w:val="18"/>
          <w:szCs w:val="18"/>
        </w:rPr>
        <w:t>A.Bychkov, B.Boyer. INPRO Studies on Transportable Nuclear Power Plants and Modules: Key Issues for Transportation and Regulations. Proceedings of the 20th International Symposium on the Packaging and Transportation of Radioactive Materials (PATRAM22), 11-15 June 2023, Juan-les-Pins, France (2023), paper No.115</w:t>
      </w:r>
      <w:r w:rsidR="00490C3F" w:rsidRPr="006047EA">
        <w:rPr>
          <w:sz w:val="18"/>
          <w:szCs w:val="18"/>
        </w:rPr>
        <w:t>.</w:t>
      </w:r>
    </w:p>
  </w:endnote>
  <w:endnote w:id="18">
    <w:p w14:paraId="60662810" w14:textId="51AD3893" w:rsidR="00F12E0D" w:rsidRPr="00F12E0D" w:rsidRDefault="00F12E0D" w:rsidP="00042D5F">
      <w:pPr>
        <w:pStyle w:val="EndnoteText"/>
        <w:ind w:left="1080" w:hanging="360"/>
        <w:rPr>
          <w:sz w:val="18"/>
          <w:szCs w:val="18"/>
        </w:rPr>
      </w:pPr>
      <w:r>
        <w:rPr>
          <w:sz w:val="18"/>
          <w:szCs w:val="18"/>
        </w:rPr>
        <w:t>[</w:t>
      </w:r>
      <w:r w:rsidRPr="00F12E0D">
        <w:rPr>
          <w:sz w:val="18"/>
          <w:szCs w:val="18"/>
        </w:rPr>
        <w:endnoteRef/>
      </w:r>
      <w:r>
        <w:rPr>
          <w:sz w:val="18"/>
          <w:szCs w:val="18"/>
        </w:rPr>
        <w:t>]</w:t>
      </w:r>
      <w:r>
        <w:rPr>
          <w:sz w:val="18"/>
          <w:szCs w:val="18"/>
        </w:rPr>
        <w:tab/>
      </w:r>
      <w:r w:rsidRPr="006047EA">
        <w:rPr>
          <w:sz w:val="18"/>
          <w:szCs w:val="18"/>
        </w:rPr>
        <w:t>INTERNATIONAL ATOMIC ENERGY AGENCY</w:t>
      </w:r>
      <w:r w:rsidRPr="006047EA">
        <w:rPr>
          <w:sz w:val="18"/>
          <w:szCs w:val="18"/>
          <w:lang w:val="en-US"/>
        </w:rPr>
        <w:t>,</w:t>
      </w:r>
      <w:r>
        <w:rPr>
          <w:sz w:val="18"/>
          <w:szCs w:val="18"/>
          <w:lang w:val="en-US"/>
        </w:rPr>
        <w:t xml:space="preserve"> </w:t>
      </w:r>
      <w:r w:rsidRPr="00F12E0D">
        <w:rPr>
          <w:sz w:val="18"/>
          <w:szCs w:val="18"/>
        </w:rPr>
        <w:t>Floating Nuclear Power Plants: Benefits and Challenges discussed at IAEA Symposium</w:t>
      </w:r>
      <w:r>
        <w:rPr>
          <w:sz w:val="18"/>
          <w:szCs w:val="18"/>
        </w:rPr>
        <w:t>,</w:t>
      </w:r>
      <w:r w:rsidR="008D119B" w:rsidRPr="008D119B">
        <w:t xml:space="preserve"> </w:t>
      </w:r>
      <w:r w:rsidR="008D119B" w:rsidRPr="008D119B">
        <w:rPr>
          <w:sz w:val="18"/>
          <w:szCs w:val="18"/>
        </w:rPr>
        <w:t>https://www.iaea.org/newscenter/news/floating-nuclear-power-plants-benefits-and-challenges-discussed-at-iaea-symposium</w:t>
      </w:r>
      <w:r>
        <w:rPr>
          <w:sz w:val="18"/>
          <w:szCs w:val="18"/>
        </w:rPr>
        <w:t xml:space="preserve"> </w:t>
      </w:r>
    </w:p>
    <w:p w14:paraId="4FA0F193" w14:textId="4A1BCA33" w:rsidR="00F12E0D" w:rsidRPr="00F12E0D" w:rsidRDefault="00F12E0D" w:rsidP="00042D5F">
      <w:pPr>
        <w:pStyle w:val="EndnoteText"/>
        <w:ind w:left="1080" w:hanging="36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990B5D">
      <w:rPr>
        <w:rFonts w:ascii="Times New Roman" w:hAnsi="Times New Roman" w:cs="Times New Roman"/>
        <w:noProof/>
        <w:sz w:val="20"/>
      </w:rPr>
      <w:t>7</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D6A53" w14:textId="77777777" w:rsidR="00912FE6" w:rsidRDefault="00912FE6">
      <w:r>
        <w:t>___________________________________________________________________________</w:t>
      </w:r>
    </w:p>
  </w:footnote>
  <w:footnote w:type="continuationSeparator" w:id="0">
    <w:p w14:paraId="023FDC09" w14:textId="77777777" w:rsidR="00912FE6" w:rsidRDefault="00912FE6">
      <w:r>
        <w:t>___________________________________________________________________________</w:t>
      </w:r>
    </w:p>
  </w:footnote>
  <w:footnote w:type="continuationNotice" w:id="1">
    <w:p w14:paraId="12118F46" w14:textId="77777777" w:rsidR="00912FE6" w:rsidRDefault="00912F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F522D" w14:textId="77777777" w:rsidR="00CF7AF3" w:rsidRDefault="00CF7AF3" w:rsidP="00CF7AF3">
    <w:pPr>
      <w:pStyle w:val="Runninghead"/>
    </w:pPr>
    <w:r>
      <w:tab/>
      <w:t>IAEA-CN-123/45</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9C4E1" w14:textId="726FADF5" w:rsidR="00E20E70" w:rsidRDefault="00172A68" w:rsidP="00B82FA5">
    <w:pPr>
      <w:pStyle w:val="Runninghead"/>
    </w:pPr>
    <w:r>
      <w:t>BYCHKOV</w:t>
    </w:r>
    <w:r w:rsidR="00AC5A3A">
      <w:t xml:space="preserve"> and </w:t>
    </w:r>
    <w:r>
      <w:t>SAYIN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4"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94BCF"/>
    <w:multiLevelType w:val="multilevel"/>
    <w:tmpl w:val="33B4D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E619F"/>
    <w:multiLevelType w:val="multilevel"/>
    <w:tmpl w:val="D91C97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8" w15:restartNumberingAfterBreak="0">
    <w:nsid w:val="36B043AE"/>
    <w:multiLevelType w:val="hybridMultilevel"/>
    <w:tmpl w:val="8D545528"/>
    <w:lvl w:ilvl="0" w:tplc="12AA844E">
      <w:numFmt w:val="bullet"/>
      <w:lvlText w:val="—"/>
      <w:lvlJc w:val="left"/>
      <w:pPr>
        <w:ind w:left="1287" w:hanging="360"/>
      </w:pPr>
      <w:rPr>
        <w:rFonts w:ascii="Calibri" w:eastAsiaTheme="minorHAnsi" w:hAnsi="Calibri"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9" w15:restartNumberingAfterBreak="0">
    <w:nsid w:val="3D18048A"/>
    <w:multiLevelType w:val="hybridMultilevel"/>
    <w:tmpl w:val="1642268C"/>
    <w:name w:val="HeadingTemplate222"/>
    <w:lvl w:ilvl="0" w:tplc="309A0324">
      <w:start w:val="1"/>
      <w:numFmt w:val="decimal"/>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40F029B"/>
    <w:multiLevelType w:val="hybridMultilevel"/>
    <w:tmpl w:val="164226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7B2451"/>
    <w:multiLevelType w:val="hybridMultilevel"/>
    <w:tmpl w:val="CC14CD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1C45E1"/>
    <w:multiLevelType w:val="hybridMultilevel"/>
    <w:tmpl w:val="3D485C12"/>
    <w:name w:val="HeadingTemplate223"/>
    <w:lvl w:ilvl="0" w:tplc="ABFEBB76">
      <w:numFmt w:val="bullet"/>
      <w:lvlText w:val="―"/>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814427"/>
    <w:multiLevelType w:val="hybridMultilevel"/>
    <w:tmpl w:val="22B61BC4"/>
    <w:lvl w:ilvl="0" w:tplc="85F6CE9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6A464185"/>
    <w:multiLevelType w:val="hybridMultilevel"/>
    <w:tmpl w:val="744E5FA6"/>
    <w:lvl w:ilvl="0" w:tplc="ABFEBB76">
      <w:numFmt w:val="bullet"/>
      <w:lvlText w:val="―"/>
      <w:lvlJc w:val="left"/>
      <w:pPr>
        <w:ind w:left="720" w:hanging="360"/>
      </w:pPr>
      <w:rPr>
        <w:rFonts w:ascii="Calibri" w:eastAsiaTheme="minorHAns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9"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0"/>
  </w:num>
  <w:num w:numId="2">
    <w:abstractNumId w:val="6"/>
  </w:num>
  <w:num w:numId="3">
    <w:abstractNumId w:val="18"/>
  </w:num>
  <w:num w:numId="4">
    <w:abstractNumId w:val="18"/>
  </w:num>
  <w:num w:numId="5">
    <w:abstractNumId w:val="18"/>
  </w:num>
  <w:num w:numId="6">
    <w:abstractNumId w:val="7"/>
  </w:num>
  <w:num w:numId="7">
    <w:abstractNumId w:val="13"/>
  </w:num>
  <w:num w:numId="8">
    <w:abstractNumId w:val="19"/>
  </w:num>
  <w:num w:numId="9">
    <w:abstractNumId w:val="2"/>
  </w:num>
  <w:num w:numId="10">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8"/>
  </w:num>
  <w:num w:numId="12">
    <w:abstractNumId w:val="18"/>
  </w:num>
  <w:num w:numId="13">
    <w:abstractNumId w:val="18"/>
  </w:num>
  <w:num w:numId="14">
    <w:abstractNumId w:val="18"/>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8"/>
  </w:num>
  <w:num w:numId="16">
    <w:abstractNumId w:val="18"/>
  </w:num>
  <w:num w:numId="17">
    <w:abstractNumId w:val="1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
  </w:num>
  <w:num w:numId="21">
    <w:abstractNumId w:val="18"/>
  </w:num>
  <w:num w:numId="22">
    <w:abstractNumId w:val="4"/>
  </w:num>
  <w:num w:numId="23">
    <w:abstractNumId w:val="1"/>
  </w:num>
  <w:num w:numId="24">
    <w:abstractNumId w:val="17"/>
  </w:num>
  <w:num w:numId="25">
    <w:abstractNumId w:val="18"/>
  </w:num>
  <w:num w:numId="26">
    <w:abstractNumId w:val="18"/>
  </w:num>
  <w:num w:numId="27">
    <w:abstractNumId w:val="18"/>
  </w:num>
  <w:num w:numId="28">
    <w:abstractNumId w:val="18"/>
  </w:num>
  <w:num w:numId="29">
    <w:abstractNumId w:val="18"/>
  </w:num>
  <w:num w:numId="30">
    <w:abstractNumId w:val="9"/>
  </w:num>
  <w:num w:numId="31">
    <w:abstractNumId w:val="9"/>
  </w:num>
  <w:num w:numId="32">
    <w:abstractNumId w:val="18"/>
  </w:num>
  <w:num w:numId="33">
    <w:abstractNumId w:val="16"/>
  </w:num>
  <w:num w:numId="34">
    <w:abstractNumId w:val="14"/>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12"/>
  </w:num>
  <w:num w:numId="38">
    <w:abstractNumId w:val="15"/>
  </w:num>
  <w:num w:numId="39">
    <w:abstractNumId w:val="8"/>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1715"/>
    <w:rsid w:val="0000626B"/>
    <w:rsid w:val="00022431"/>
    <w:rsid w:val="000229AB"/>
    <w:rsid w:val="0002569A"/>
    <w:rsid w:val="00027E04"/>
    <w:rsid w:val="00037321"/>
    <w:rsid w:val="00042D5F"/>
    <w:rsid w:val="000A0299"/>
    <w:rsid w:val="000C6F25"/>
    <w:rsid w:val="000E5E09"/>
    <w:rsid w:val="000F7E94"/>
    <w:rsid w:val="00106C1C"/>
    <w:rsid w:val="001119D6"/>
    <w:rsid w:val="001308F2"/>
    <w:rsid w:val="001313E8"/>
    <w:rsid w:val="00172A68"/>
    <w:rsid w:val="00183533"/>
    <w:rsid w:val="00183839"/>
    <w:rsid w:val="001C58F5"/>
    <w:rsid w:val="001D5CEE"/>
    <w:rsid w:val="001E133D"/>
    <w:rsid w:val="002071D9"/>
    <w:rsid w:val="0023333B"/>
    <w:rsid w:val="00256822"/>
    <w:rsid w:val="00257473"/>
    <w:rsid w:val="0026525A"/>
    <w:rsid w:val="00274790"/>
    <w:rsid w:val="00285755"/>
    <w:rsid w:val="00290C75"/>
    <w:rsid w:val="002A1F9C"/>
    <w:rsid w:val="002B29C2"/>
    <w:rsid w:val="002C4208"/>
    <w:rsid w:val="00316E6B"/>
    <w:rsid w:val="00352DE1"/>
    <w:rsid w:val="003728E6"/>
    <w:rsid w:val="003860AC"/>
    <w:rsid w:val="00396F4A"/>
    <w:rsid w:val="00397BD3"/>
    <w:rsid w:val="003A58AB"/>
    <w:rsid w:val="003A5C8B"/>
    <w:rsid w:val="003B00B5"/>
    <w:rsid w:val="003B58AE"/>
    <w:rsid w:val="003B5E0E"/>
    <w:rsid w:val="003D255A"/>
    <w:rsid w:val="003E28C9"/>
    <w:rsid w:val="00406D27"/>
    <w:rsid w:val="00416949"/>
    <w:rsid w:val="004334BB"/>
    <w:rsid w:val="004370D8"/>
    <w:rsid w:val="00443A89"/>
    <w:rsid w:val="00466231"/>
    <w:rsid w:val="00472C43"/>
    <w:rsid w:val="00490C3F"/>
    <w:rsid w:val="004973A1"/>
    <w:rsid w:val="004A19D4"/>
    <w:rsid w:val="004F03DA"/>
    <w:rsid w:val="00526D91"/>
    <w:rsid w:val="00537496"/>
    <w:rsid w:val="00544ED3"/>
    <w:rsid w:val="00550FFB"/>
    <w:rsid w:val="0058477B"/>
    <w:rsid w:val="0058654F"/>
    <w:rsid w:val="00596ACA"/>
    <w:rsid w:val="005A4BE5"/>
    <w:rsid w:val="005E39BC"/>
    <w:rsid w:val="005F00A0"/>
    <w:rsid w:val="005F1187"/>
    <w:rsid w:val="006047EA"/>
    <w:rsid w:val="00647F33"/>
    <w:rsid w:val="00662532"/>
    <w:rsid w:val="006638F3"/>
    <w:rsid w:val="006818D8"/>
    <w:rsid w:val="00696307"/>
    <w:rsid w:val="006B2274"/>
    <w:rsid w:val="006D0583"/>
    <w:rsid w:val="006E0EEA"/>
    <w:rsid w:val="006E32FE"/>
    <w:rsid w:val="00717C6F"/>
    <w:rsid w:val="00722A13"/>
    <w:rsid w:val="007445DA"/>
    <w:rsid w:val="00754204"/>
    <w:rsid w:val="00770F6D"/>
    <w:rsid w:val="00784589"/>
    <w:rsid w:val="007B4FD1"/>
    <w:rsid w:val="007F2A60"/>
    <w:rsid w:val="00802381"/>
    <w:rsid w:val="00840B52"/>
    <w:rsid w:val="0085255C"/>
    <w:rsid w:val="00883848"/>
    <w:rsid w:val="00897ED5"/>
    <w:rsid w:val="008B0CB3"/>
    <w:rsid w:val="008B6BB9"/>
    <w:rsid w:val="008C73C8"/>
    <w:rsid w:val="008D119B"/>
    <w:rsid w:val="008D2FD8"/>
    <w:rsid w:val="008D4DF8"/>
    <w:rsid w:val="00911543"/>
    <w:rsid w:val="00912FE6"/>
    <w:rsid w:val="00917B3F"/>
    <w:rsid w:val="00940143"/>
    <w:rsid w:val="009519C9"/>
    <w:rsid w:val="00956F91"/>
    <w:rsid w:val="00972A68"/>
    <w:rsid w:val="00990B5D"/>
    <w:rsid w:val="009D0B86"/>
    <w:rsid w:val="009E0D5B"/>
    <w:rsid w:val="009E1558"/>
    <w:rsid w:val="00A035F9"/>
    <w:rsid w:val="00A16283"/>
    <w:rsid w:val="00A42898"/>
    <w:rsid w:val="00A446DA"/>
    <w:rsid w:val="00A7353C"/>
    <w:rsid w:val="00A9205C"/>
    <w:rsid w:val="00AB6637"/>
    <w:rsid w:val="00AB6ACE"/>
    <w:rsid w:val="00AB7077"/>
    <w:rsid w:val="00AC5A3A"/>
    <w:rsid w:val="00AC710C"/>
    <w:rsid w:val="00B040E9"/>
    <w:rsid w:val="00B1000A"/>
    <w:rsid w:val="00B128FA"/>
    <w:rsid w:val="00B12D5C"/>
    <w:rsid w:val="00B1430A"/>
    <w:rsid w:val="00B153E9"/>
    <w:rsid w:val="00B82FA5"/>
    <w:rsid w:val="00B96F01"/>
    <w:rsid w:val="00BD1400"/>
    <w:rsid w:val="00BD43D8"/>
    <w:rsid w:val="00BD605C"/>
    <w:rsid w:val="00BD61A4"/>
    <w:rsid w:val="00BE2A76"/>
    <w:rsid w:val="00BF2AE3"/>
    <w:rsid w:val="00C00B98"/>
    <w:rsid w:val="00C65E60"/>
    <w:rsid w:val="00C72EC6"/>
    <w:rsid w:val="00CE2DE5"/>
    <w:rsid w:val="00CE56D7"/>
    <w:rsid w:val="00CE5A52"/>
    <w:rsid w:val="00CF0CE8"/>
    <w:rsid w:val="00CF7AF3"/>
    <w:rsid w:val="00D1448A"/>
    <w:rsid w:val="00D26ADA"/>
    <w:rsid w:val="00D35A78"/>
    <w:rsid w:val="00D555A1"/>
    <w:rsid w:val="00D64DC2"/>
    <w:rsid w:val="00DA46CA"/>
    <w:rsid w:val="00DA77C7"/>
    <w:rsid w:val="00DC1B02"/>
    <w:rsid w:val="00DC6B4A"/>
    <w:rsid w:val="00DE1152"/>
    <w:rsid w:val="00DF21EB"/>
    <w:rsid w:val="00E20E70"/>
    <w:rsid w:val="00E25B68"/>
    <w:rsid w:val="00E6015D"/>
    <w:rsid w:val="00E84003"/>
    <w:rsid w:val="00EA4CB0"/>
    <w:rsid w:val="00EB1361"/>
    <w:rsid w:val="00EC10FC"/>
    <w:rsid w:val="00EE0041"/>
    <w:rsid w:val="00EE29B9"/>
    <w:rsid w:val="00EF538B"/>
    <w:rsid w:val="00F004EE"/>
    <w:rsid w:val="00F01B60"/>
    <w:rsid w:val="00F1186D"/>
    <w:rsid w:val="00F12E0D"/>
    <w:rsid w:val="00F231F5"/>
    <w:rsid w:val="00F42E23"/>
    <w:rsid w:val="00F45EEE"/>
    <w:rsid w:val="00F51E9C"/>
    <w:rsid w:val="00F523CA"/>
    <w:rsid w:val="00F74A9D"/>
    <w:rsid w:val="00F8306E"/>
    <w:rsid w:val="00F866B3"/>
    <w:rsid w:val="00F93CBF"/>
    <w:rsid w:val="00F943E1"/>
    <w:rsid w:val="00FA3767"/>
    <w:rsid w:val="00FD216E"/>
    <w:rsid w:val="00FF31E1"/>
    <w:rsid w:val="00FF386F"/>
    <w:rsid w:val="00FF6F19"/>
    <w:rsid w:val="00FF74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Emphasis" w:uiPriority="2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ind w:firstLine="0"/>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CommentReference">
    <w:name w:val="annotation reference"/>
    <w:basedOn w:val="DefaultParagraphFont"/>
    <w:uiPriority w:val="49"/>
    <w:locked/>
    <w:rsid w:val="00A035F9"/>
    <w:rPr>
      <w:sz w:val="16"/>
      <w:szCs w:val="16"/>
    </w:rPr>
  </w:style>
  <w:style w:type="paragraph" w:styleId="CommentText">
    <w:name w:val="annotation text"/>
    <w:basedOn w:val="Normal"/>
    <w:link w:val="CommentTextChar"/>
    <w:uiPriority w:val="49"/>
    <w:locked/>
    <w:rsid w:val="00A035F9"/>
    <w:rPr>
      <w:sz w:val="20"/>
    </w:rPr>
  </w:style>
  <w:style w:type="character" w:customStyle="1" w:styleId="CommentTextChar">
    <w:name w:val="Comment Text Char"/>
    <w:basedOn w:val="DefaultParagraphFont"/>
    <w:link w:val="CommentText"/>
    <w:uiPriority w:val="49"/>
    <w:rsid w:val="00A035F9"/>
    <w:rPr>
      <w:lang w:eastAsia="en-US"/>
    </w:rPr>
  </w:style>
  <w:style w:type="paragraph" w:styleId="CommentSubject">
    <w:name w:val="annotation subject"/>
    <w:basedOn w:val="CommentText"/>
    <w:next w:val="CommentText"/>
    <w:link w:val="CommentSubjectChar"/>
    <w:uiPriority w:val="49"/>
    <w:locked/>
    <w:rsid w:val="00A035F9"/>
    <w:rPr>
      <w:b/>
      <w:bCs/>
    </w:rPr>
  </w:style>
  <w:style w:type="character" w:customStyle="1" w:styleId="CommentSubjectChar">
    <w:name w:val="Comment Subject Char"/>
    <w:basedOn w:val="CommentTextChar"/>
    <w:link w:val="CommentSubject"/>
    <w:uiPriority w:val="49"/>
    <w:rsid w:val="00A035F9"/>
    <w:rPr>
      <w:b/>
      <w:bCs/>
      <w:lang w:eastAsia="en-US"/>
    </w:rPr>
  </w:style>
  <w:style w:type="paragraph" w:styleId="EndnoteText">
    <w:name w:val="endnote text"/>
    <w:basedOn w:val="Normal"/>
    <w:link w:val="EndnoteTextChar"/>
    <w:uiPriority w:val="49"/>
    <w:locked/>
    <w:rsid w:val="00FF31E1"/>
    <w:rPr>
      <w:sz w:val="20"/>
    </w:rPr>
  </w:style>
  <w:style w:type="character" w:customStyle="1" w:styleId="EndnoteTextChar">
    <w:name w:val="Endnote Text Char"/>
    <w:basedOn w:val="DefaultParagraphFont"/>
    <w:link w:val="EndnoteText"/>
    <w:uiPriority w:val="49"/>
    <w:rsid w:val="00FF31E1"/>
    <w:rPr>
      <w:lang w:eastAsia="en-US"/>
    </w:rPr>
  </w:style>
  <w:style w:type="character" w:styleId="EndnoteReference">
    <w:name w:val="endnote reference"/>
    <w:basedOn w:val="DefaultParagraphFont"/>
    <w:uiPriority w:val="49"/>
    <w:locked/>
    <w:rsid w:val="00FF31E1"/>
    <w:rPr>
      <w:vertAlign w:val="superscript"/>
    </w:rPr>
  </w:style>
  <w:style w:type="character" w:styleId="Hyperlink">
    <w:name w:val="Hyperlink"/>
    <w:basedOn w:val="DefaultParagraphFont"/>
    <w:uiPriority w:val="49"/>
    <w:locked/>
    <w:rsid w:val="00940143"/>
    <w:rPr>
      <w:color w:val="0000FF" w:themeColor="hyperlink"/>
      <w:u w:val="single"/>
    </w:rPr>
  </w:style>
  <w:style w:type="character" w:customStyle="1" w:styleId="UnresolvedMention">
    <w:name w:val="Unresolved Mention"/>
    <w:basedOn w:val="DefaultParagraphFont"/>
    <w:uiPriority w:val="99"/>
    <w:semiHidden/>
    <w:unhideWhenUsed/>
    <w:rsid w:val="00940143"/>
    <w:rPr>
      <w:color w:val="605E5C"/>
      <w:shd w:val="clear" w:color="auto" w:fill="E1DFDD"/>
    </w:rPr>
  </w:style>
  <w:style w:type="paragraph" w:styleId="ListParagraph">
    <w:name w:val="List Paragraph"/>
    <w:basedOn w:val="Normal"/>
    <w:uiPriority w:val="49"/>
    <w:locked/>
    <w:rsid w:val="00E6015D"/>
    <w:pPr>
      <w:ind w:left="720"/>
      <w:contextualSpacing/>
    </w:pPr>
  </w:style>
  <w:style w:type="character" w:styleId="Emphasis">
    <w:name w:val="Emphasis"/>
    <w:basedOn w:val="DefaultParagraphFont"/>
    <w:uiPriority w:val="20"/>
    <w:qFormat/>
    <w:locked/>
    <w:rsid w:val="00F01B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1771">
      <w:bodyDiv w:val="1"/>
      <w:marLeft w:val="0"/>
      <w:marRight w:val="0"/>
      <w:marTop w:val="0"/>
      <w:marBottom w:val="0"/>
      <w:divBdr>
        <w:top w:val="none" w:sz="0" w:space="0" w:color="auto"/>
        <w:left w:val="none" w:sz="0" w:space="0" w:color="auto"/>
        <w:bottom w:val="none" w:sz="0" w:space="0" w:color="auto"/>
        <w:right w:val="none" w:sz="0" w:space="0" w:color="auto"/>
      </w:divBdr>
    </w:div>
    <w:div w:id="152332542">
      <w:bodyDiv w:val="1"/>
      <w:marLeft w:val="0"/>
      <w:marRight w:val="0"/>
      <w:marTop w:val="0"/>
      <w:marBottom w:val="0"/>
      <w:divBdr>
        <w:top w:val="none" w:sz="0" w:space="0" w:color="auto"/>
        <w:left w:val="none" w:sz="0" w:space="0" w:color="auto"/>
        <w:bottom w:val="none" w:sz="0" w:space="0" w:color="auto"/>
        <w:right w:val="none" w:sz="0" w:space="0" w:color="auto"/>
      </w:divBdr>
    </w:div>
    <w:div w:id="214707350">
      <w:bodyDiv w:val="1"/>
      <w:marLeft w:val="0"/>
      <w:marRight w:val="0"/>
      <w:marTop w:val="0"/>
      <w:marBottom w:val="0"/>
      <w:divBdr>
        <w:top w:val="none" w:sz="0" w:space="0" w:color="auto"/>
        <w:left w:val="none" w:sz="0" w:space="0" w:color="auto"/>
        <w:bottom w:val="none" w:sz="0" w:space="0" w:color="auto"/>
        <w:right w:val="none" w:sz="0" w:space="0" w:color="auto"/>
      </w:divBdr>
    </w:div>
    <w:div w:id="278802125">
      <w:bodyDiv w:val="1"/>
      <w:marLeft w:val="0"/>
      <w:marRight w:val="0"/>
      <w:marTop w:val="0"/>
      <w:marBottom w:val="0"/>
      <w:divBdr>
        <w:top w:val="none" w:sz="0" w:space="0" w:color="auto"/>
        <w:left w:val="none" w:sz="0" w:space="0" w:color="auto"/>
        <w:bottom w:val="none" w:sz="0" w:space="0" w:color="auto"/>
        <w:right w:val="none" w:sz="0" w:space="0" w:color="auto"/>
      </w:divBdr>
    </w:div>
    <w:div w:id="441459774">
      <w:bodyDiv w:val="1"/>
      <w:marLeft w:val="0"/>
      <w:marRight w:val="0"/>
      <w:marTop w:val="0"/>
      <w:marBottom w:val="0"/>
      <w:divBdr>
        <w:top w:val="none" w:sz="0" w:space="0" w:color="auto"/>
        <w:left w:val="none" w:sz="0" w:space="0" w:color="auto"/>
        <w:bottom w:val="none" w:sz="0" w:space="0" w:color="auto"/>
        <w:right w:val="none" w:sz="0" w:space="0" w:color="auto"/>
      </w:divBdr>
    </w:div>
    <w:div w:id="472720425">
      <w:bodyDiv w:val="1"/>
      <w:marLeft w:val="0"/>
      <w:marRight w:val="0"/>
      <w:marTop w:val="0"/>
      <w:marBottom w:val="0"/>
      <w:divBdr>
        <w:top w:val="none" w:sz="0" w:space="0" w:color="auto"/>
        <w:left w:val="none" w:sz="0" w:space="0" w:color="auto"/>
        <w:bottom w:val="none" w:sz="0" w:space="0" w:color="auto"/>
        <w:right w:val="none" w:sz="0" w:space="0" w:color="auto"/>
      </w:divBdr>
    </w:div>
    <w:div w:id="818813069">
      <w:bodyDiv w:val="1"/>
      <w:marLeft w:val="0"/>
      <w:marRight w:val="0"/>
      <w:marTop w:val="0"/>
      <w:marBottom w:val="0"/>
      <w:divBdr>
        <w:top w:val="none" w:sz="0" w:space="0" w:color="auto"/>
        <w:left w:val="none" w:sz="0" w:space="0" w:color="auto"/>
        <w:bottom w:val="none" w:sz="0" w:space="0" w:color="auto"/>
        <w:right w:val="none" w:sz="0" w:space="0" w:color="auto"/>
      </w:divBdr>
    </w:div>
    <w:div w:id="957684641">
      <w:bodyDiv w:val="1"/>
      <w:marLeft w:val="0"/>
      <w:marRight w:val="0"/>
      <w:marTop w:val="0"/>
      <w:marBottom w:val="0"/>
      <w:divBdr>
        <w:top w:val="none" w:sz="0" w:space="0" w:color="auto"/>
        <w:left w:val="none" w:sz="0" w:space="0" w:color="auto"/>
        <w:bottom w:val="none" w:sz="0" w:space="0" w:color="auto"/>
        <w:right w:val="none" w:sz="0" w:space="0" w:color="auto"/>
      </w:divBdr>
      <w:divsChild>
        <w:div w:id="2119638103">
          <w:marLeft w:val="0"/>
          <w:marRight w:val="0"/>
          <w:marTop w:val="0"/>
          <w:marBottom w:val="0"/>
          <w:divBdr>
            <w:top w:val="none" w:sz="0" w:space="0" w:color="auto"/>
            <w:left w:val="none" w:sz="0" w:space="0" w:color="auto"/>
            <w:bottom w:val="none" w:sz="0" w:space="0" w:color="auto"/>
            <w:right w:val="none" w:sz="0" w:space="0" w:color="auto"/>
          </w:divBdr>
          <w:divsChild>
            <w:div w:id="1765953365">
              <w:marLeft w:val="0"/>
              <w:marRight w:val="0"/>
              <w:marTop w:val="0"/>
              <w:marBottom w:val="0"/>
              <w:divBdr>
                <w:top w:val="none" w:sz="0" w:space="0" w:color="auto"/>
                <w:left w:val="none" w:sz="0" w:space="0" w:color="auto"/>
                <w:bottom w:val="none" w:sz="0" w:space="0" w:color="auto"/>
                <w:right w:val="none" w:sz="0" w:space="0" w:color="auto"/>
              </w:divBdr>
              <w:divsChild>
                <w:div w:id="800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024953">
      <w:bodyDiv w:val="1"/>
      <w:marLeft w:val="0"/>
      <w:marRight w:val="0"/>
      <w:marTop w:val="0"/>
      <w:marBottom w:val="0"/>
      <w:divBdr>
        <w:top w:val="none" w:sz="0" w:space="0" w:color="auto"/>
        <w:left w:val="none" w:sz="0" w:space="0" w:color="auto"/>
        <w:bottom w:val="none" w:sz="0" w:space="0" w:color="auto"/>
        <w:right w:val="none" w:sz="0" w:space="0" w:color="auto"/>
      </w:divBdr>
    </w:div>
    <w:div w:id="1053697014">
      <w:bodyDiv w:val="1"/>
      <w:marLeft w:val="0"/>
      <w:marRight w:val="0"/>
      <w:marTop w:val="0"/>
      <w:marBottom w:val="0"/>
      <w:divBdr>
        <w:top w:val="none" w:sz="0" w:space="0" w:color="auto"/>
        <w:left w:val="none" w:sz="0" w:space="0" w:color="auto"/>
        <w:bottom w:val="none" w:sz="0" w:space="0" w:color="auto"/>
        <w:right w:val="none" w:sz="0" w:space="0" w:color="auto"/>
      </w:divBdr>
    </w:div>
    <w:div w:id="1223130344">
      <w:bodyDiv w:val="1"/>
      <w:marLeft w:val="0"/>
      <w:marRight w:val="0"/>
      <w:marTop w:val="0"/>
      <w:marBottom w:val="0"/>
      <w:divBdr>
        <w:top w:val="none" w:sz="0" w:space="0" w:color="auto"/>
        <w:left w:val="none" w:sz="0" w:space="0" w:color="auto"/>
        <w:bottom w:val="none" w:sz="0" w:space="0" w:color="auto"/>
        <w:right w:val="none" w:sz="0" w:space="0" w:color="auto"/>
      </w:divBdr>
    </w:div>
    <w:div w:id="1238630880">
      <w:bodyDiv w:val="1"/>
      <w:marLeft w:val="0"/>
      <w:marRight w:val="0"/>
      <w:marTop w:val="0"/>
      <w:marBottom w:val="0"/>
      <w:divBdr>
        <w:top w:val="none" w:sz="0" w:space="0" w:color="auto"/>
        <w:left w:val="none" w:sz="0" w:space="0" w:color="auto"/>
        <w:bottom w:val="none" w:sz="0" w:space="0" w:color="auto"/>
        <w:right w:val="none" w:sz="0" w:space="0" w:color="auto"/>
      </w:divBdr>
    </w:div>
    <w:div w:id="1520391842">
      <w:bodyDiv w:val="1"/>
      <w:marLeft w:val="0"/>
      <w:marRight w:val="0"/>
      <w:marTop w:val="0"/>
      <w:marBottom w:val="0"/>
      <w:divBdr>
        <w:top w:val="none" w:sz="0" w:space="0" w:color="auto"/>
        <w:left w:val="none" w:sz="0" w:space="0" w:color="auto"/>
        <w:bottom w:val="none" w:sz="0" w:space="0" w:color="auto"/>
        <w:right w:val="none" w:sz="0" w:space="0" w:color="auto"/>
      </w:divBdr>
      <w:divsChild>
        <w:div w:id="1565919625">
          <w:marLeft w:val="0"/>
          <w:marRight w:val="0"/>
          <w:marTop w:val="0"/>
          <w:marBottom w:val="0"/>
          <w:divBdr>
            <w:top w:val="none" w:sz="0" w:space="0" w:color="auto"/>
            <w:left w:val="none" w:sz="0" w:space="0" w:color="auto"/>
            <w:bottom w:val="none" w:sz="0" w:space="0" w:color="auto"/>
            <w:right w:val="none" w:sz="0" w:space="0" w:color="auto"/>
          </w:divBdr>
          <w:divsChild>
            <w:div w:id="617374022">
              <w:marLeft w:val="0"/>
              <w:marRight w:val="0"/>
              <w:marTop w:val="0"/>
              <w:marBottom w:val="0"/>
              <w:divBdr>
                <w:top w:val="none" w:sz="0" w:space="0" w:color="auto"/>
                <w:left w:val="none" w:sz="0" w:space="0" w:color="auto"/>
                <w:bottom w:val="none" w:sz="0" w:space="0" w:color="auto"/>
                <w:right w:val="none" w:sz="0" w:space="0" w:color="auto"/>
              </w:divBdr>
              <w:divsChild>
                <w:div w:id="16813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01361">
      <w:bodyDiv w:val="1"/>
      <w:marLeft w:val="0"/>
      <w:marRight w:val="0"/>
      <w:marTop w:val="0"/>
      <w:marBottom w:val="0"/>
      <w:divBdr>
        <w:top w:val="none" w:sz="0" w:space="0" w:color="auto"/>
        <w:left w:val="none" w:sz="0" w:space="0" w:color="auto"/>
        <w:bottom w:val="none" w:sz="0" w:space="0" w:color="auto"/>
        <w:right w:val="none" w:sz="0" w:space="0" w:color="auto"/>
      </w:divBdr>
    </w:div>
    <w:div w:id="1796558402">
      <w:bodyDiv w:val="1"/>
      <w:marLeft w:val="0"/>
      <w:marRight w:val="0"/>
      <w:marTop w:val="0"/>
      <w:marBottom w:val="0"/>
      <w:divBdr>
        <w:top w:val="none" w:sz="0" w:space="0" w:color="auto"/>
        <w:left w:val="none" w:sz="0" w:space="0" w:color="auto"/>
        <w:bottom w:val="none" w:sz="0" w:space="0" w:color="auto"/>
        <w:right w:val="none" w:sz="0" w:space="0" w:color="auto"/>
      </w:divBdr>
    </w:div>
    <w:div w:id="187951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iaea.org/about/organizational-structure/department-of-safeguar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7BC77FE568F44A8FD1717335E8757D" ma:contentTypeVersion="15" ma:contentTypeDescription="Create a new document." ma:contentTypeScope="" ma:versionID="532167ea1f98fc70e87f5347940e1f93">
  <xsd:schema xmlns:xsd="http://www.w3.org/2001/XMLSchema" xmlns:xs="http://www.w3.org/2001/XMLSchema" xmlns:p="http://schemas.microsoft.com/office/2006/metadata/properties" xmlns:ns2="2d1b3375-85a6-4ec3-9d45-85c3f7ff19cc" xmlns:ns3="28c46709-a72c-47b6-8a9d-476190a8ab3f" xmlns:ns4="a8853164-03d1-4052-89d1-ac895618168d" targetNamespace="http://schemas.microsoft.com/office/2006/metadata/properties" ma:root="true" ma:fieldsID="1952ae18bf6efba89040c0c77d3b5eee" ns2:_="" ns3:_="" ns4:_="">
    <xsd:import namespace="2d1b3375-85a6-4ec3-9d45-85c3f7ff19cc"/>
    <xsd:import namespace="28c46709-a72c-47b6-8a9d-476190a8ab3f"/>
    <xsd:import namespace="a8853164-03d1-4052-89d1-ac89561816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3375-85a6-4ec3-9d45-85c3f7ff1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8c7bd71-0de2-450a-8d3d-78c5334383f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c46709-a72c-47b6-8a9d-476190a8ab3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80d1e42-4096-45a0-8616-2350a73c4901}" ma:internalName="TaxCatchAll" ma:showField="CatchAllData" ma:web="28c46709-a72c-47b6-8a9d-476190a8ab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853164-03d1-4052-89d1-ac895618168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AEB64-06A0-411E-9C17-5C469069E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3375-85a6-4ec3-9d45-85c3f7ff19cc"/>
    <ds:schemaRef ds:uri="28c46709-a72c-47b6-8a9d-476190a8ab3f"/>
    <ds:schemaRef ds:uri="a8853164-03d1-4052-89d1-ac8956181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515BCC-D8F1-432C-BAEC-09D0C076A16A}">
  <ds:schemaRefs>
    <ds:schemaRef ds:uri="http://schemas.microsoft.com/sharepoint/v3/contenttype/forms"/>
  </ds:schemaRefs>
</ds:datastoreItem>
</file>

<file path=customXml/itemProps3.xml><?xml version="1.0" encoding="utf-8"?>
<ds:datastoreItem xmlns:ds="http://schemas.openxmlformats.org/officeDocument/2006/customXml" ds:itemID="{13B4E6F2-F02B-4258-94C3-C8164FF76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7</Pages>
  <Words>2382</Words>
  <Characters>15009</Characters>
  <Application>Microsoft Office Word</Application>
  <DocSecurity>0</DocSecurity>
  <Lines>125</Lines>
  <Paragraphs>34</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17357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AVB</cp:lastModifiedBy>
  <cp:revision>2</cp:revision>
  <cp:lastPrinted>2024-03-19T13:52:00Z</cp:lastPrinted>
  <dcterms:created xsi:type="dcterms:W3CDTF">2024-09-04T11:52:00Z</dcterms:created>
  <dcterms:modified xsi:type="dcterms:W3CDTF">2024-09-04T11:52:00Z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