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B799F" w14:textId="325B6809" w:rsidR="00802381" w:rsidRDefault="00095401" w:rsidP="00F30D48">
      <w:pPr>
        <w:pStyle w:val="Heading10"/>
      </w:pPr>
      <w:r>
        <w:t>EvALUATION OF THE MOLTEN SALT</w:t>
      </w:r>
      <w:r>
        <w:br/>
        <w:t xml:space="preserve">REACTOR TEchNoLOGY for the </w:t>
      </w:r>
      <w:r>
        <w:br/>
        <w:t xml:space="preserve">application of floating </w:t>
      </w:r>
      <w:r>
        <w:br/>
        <w:t>nuclear power plants</w:t>
      </w:r>
    </w:p>
    <w:p w14:paraId="5E2BDA1F" w14:textId="77777777" w:rsidR="00FF386F" w:rsidRDefault="00FF386F" w:rsidP="00537496">
      <w:pPr>
        <w:pStyle w:val="Authornameandaffiliation"/>
      </w:pPr>
    </w:p>
    <w:p w14:paraId="535BB6CC" w14:textId="5B35A8C7" w:rsidR="00FF386F" w:rsidRPr="00FF386F" w:rsidRDefault="00D058AC" w:rsidP="00537496">
      <w:pPr>
        <w:pStyle w:val="Authornameandaffiliation"/>
      </w:pPr>
      <w:r>
        <w:t>I</w:t>
      </w:r>
      <w:r w:rsidR="00FF386F" w:rsidRPr="00FF386F">
        <w:t xml:space="preserve">. </w:t>
      </w:r>
      <w:r>
        <w:t>KOURASIS</w:t>
      </w:r>
    </w:p>
    <w:p w14:paraId="008085C2" w14:textId="29CBBAD2" w:rsidR="00FF386F" w:rsidRPr="00FF386F" w:rsidRDefault="00D058AC" w:rsidP="00537496">
      <w:pPr>
        <w:pStyle w:val="Authornameandaffiliation"/>
      </w:pPr>
      <w:r>
        <w:t>CORE POWER (UK) Inc.</w:t>
      </w:r>
    </w:p>
    <w:p w14:paraId="5D980831" w14:textId="52592F6D" w:rsidR="00FF386F" w:rsidRDefault="00D058AC" w:rsidP="00537496">
      <w:pPr>
        <w:pStyle w:val="Authornameandaffiliation"/>
      </w:pPr>
      <w:r>
        <w:t>London, United Kingdom</w:t>
      </w:r>
    </w:p>
    <w:p w14:paraId="3C03AE4B" w14:textId="7342EBB4" w:rsidR="00D058AC" w:rsidRDefault="00D058AC" w:rsidP="00537496">
      <w:pPr>
        <w:pStyle w:val="Authornameandaffiliation"/>
      </w:pPr>
      <w:r>
        <w:t xml:space="preserve">Email: </w:t>
      </w:r>
      <w:hyperlink r:id="rId11" w:history="1">
        <w:r w:rsidRPr="00BD3050">
          <w:rPr>
            <w:rStyle w:val="Hyperlink"/>
          </w:rPr>
          <w:t>ioannis.kourasis@corepower.energy</w:t>
        </w:r>
      </w:hyperlink>
    </w:p>
    <w:p w14:paraId="1A5F3849" w14:textId="77777777" w:rsidR="00A47FE8" w:rsidRDefault="00A47FE8" w:rsidP="00A47FE8">
      <w:pPr>
        <w:pStyle w:val="Authornameandaffiliation"/>
      </w:pPr>
    </w:p>
    <w:p w14:paraId="6E9493CB" w14:textId="4F1D1F4B" w:rsidR="00A47FE8" w:rsidRDefault="00A47FE8" w:rsidP="00A47FE8">
      <w:pPr>
        <w:pStyle w:val="Authornameandaffiliation"/>
      </w:pPr>
      <w:r>
        <w:t>J. MILES</w:t>
      </w:r>
    </w:p>
    <w:p w14:paraId="53822A40" w14:textId="77777777" w:rsidR="00A47FE8" w:rsidRPr="00FF386F" w:rsidRDefault="00A47FE8" w:rsidP="00A47FE8">
      <w:pPr>
        <w:pStyle w:val="Authornameandaffiliation"/>
      </w:pPr>
      <w:r>
        <w:t>CORE POWER (UK) Inc.</w:t>
      </w:r>
    </w:p>
    <w:p w14:paraId="439BC3E0" w14:textId="77777777" w:rsidR="00A47FE8" w:rsidRDefault="00A47FE8" w:rsidP="00A47FE8">
      <w:pPr>
        <w:pStyle w:val="Authornameandaffiliation"/>
      </w:pPr>
      <w:r>
        <w:t>London, United Kingdom</w:t>
      </w:r>
    </w:p>
    <w:p w14:paraId="666501E0" w14:textId="09D84D58" w:rsidR="00A47FE8" w:rsidRDefault="00A47FE8" w:rsidP="00A47FE8">
      <w:pPr>
        <w:pStyle w:val="Authornameandaffiliation"/>
      </w:pPr>
      <w:r>
        <w:t xml:space="preserve">Email: </w:t>
      </w:r>
      <w:hyperlink r:id="rId12" w:history="1">
        <w:r w:rsidRPr="00F643F7">
          <w:rPr>
            <w:rStyle w:val="Hyperlink"/>
          </w:rPr>
          <w:t>jake.miles@corepower.energy</w:t>
        </w:r>
      </w:hyperlink>
      <w:r>
        <w:t xml:space="preserve"> </w:t>
      </w:r>
    </w:p>
    <w:p w14:paraId="77AF4799" w14:textId="77777777" w:rsidR="00D058AC" w:rsidRDefault="00D058AC" w:rsidP="00537496">
      <w:pPr>
        <w:pStyle w:val="Authornameandaffiliation"/>
      </w:pPr>
    </w:p>
    <w:p w14:paraId="05642DB1" w14:textId="558BBABC" w:rsidR="00D058AC" w:rsidRDefault="00941E6A" w:rsidP="00537496">
      <w:pPr>
        <w:pStyle w:val="Authornameandaffiliation"/>
      </w:pPr>
      <w:r>
        <w:t>M. EL-SHANAWANY</w:t>
      </w:r>
    </w:p>
    <w:p w14:paraId="29AD9657" w14:textId="7D2717B7" w:rsidR="00941E6A" w:rsidRDefault="00941E6A" w:rsidP="00537496">
      <w:pPr>
        <w:pStyle w:val="Authornameandaffiliation"/>
      </w:pPr>
      <w:r>
        <w:t>Nuclear Energy in Maritime Organization</w:t>
      </w:r>
    </w:p>
    <w:p w14:paraId="42A409A6" w14:textId="7F4C975E" w:rsidR="00941E6A" w:rsidRDefault="00941E6A" w:rsidP="00537496">
      <w:pPr>
        <w:pStyle w:val="Authornameandaffiliation"/>
      </w:pPr>
      <w:r>
        <w:t>London, United Kingdom</w:t>
      </w:r>
    </w:p>
    <w:p w14:paraId="1DE1BD54" w14:textId="20082A7D" w:rsidR="00941E6A" w:rsidRPr="00FF386F" w:rsidRDefault="00941E6A" w:rsidP="00537496">
      <w:pPr>
        <w:pStyle w:val="Authornameandaffiliation"/>
      </w:pPr>
      <w:r>
        <w:t xml:space="preserve">Email: </w:t>
      </w:r>
      <w:hyperlink r:id="rId13" w:history="1">
        <w:r w:rsidRPr="00BD3050">
          <w:rPr>
            <w:rStyle w:val="Hyperlink"/>
          </w:rPr>
          <w:t>mamdouhelshanawany@hotmail.com</w:t>
        </w:r>
      </w:hyperlink>
      <w:r>
        <w:t xml:space="preserve"> </w:t>
      </w:r>
    </w:p>
    <w:p w14:paraId="2C7F19CB" w14:textId="77777777" w:rsidR="00FF386F" w:rsidRDefault="00FF386F"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50996C7A" w14:textId="794CBF97" w:rsidR="0067406F" w:rsidRDefault="00FE0E12" w:rsidP="004532C6">
      <w:pPr>
        <w:pStyle w:val="Abstracttext"/>
        <w:jc w:val="both"/>
      </w:pPr>
      <w:r>
        <w:t>Floating Nuclear Power Plants (FNPP</w:t>
      </w:r>
      <w:r w:rsidR="00557020">
        <w:t>s</w:t>
      </w:r>
      <w:r>
        <w:t>) present a promising pathway to broaden the acceptance of nuclear</w:t>
      </w:r>
      <w:r w:rsidR="00941E6A">
        <w:t>,</w:t>
      </w:r>
      <w:r>
        <w:t xml:space="preserve"> by addressing critical challenges faced by land-based reactors </w:t>
      </w:r>
      <w:r w:rsidR="00366128">
        <w:t xml:space="preserve">and streamlining deployment, </w:t>
      </w:r>
      <w:r>
        <w:t>The paper</w:t>
      </w:r>
      <w:r w:rsidR="00941E6A">
        <w:t xml:space="preserve"> </w:t>
      </w:r>
      <w:r w:rsidR="004532C6">
        <w:t>evaluates</w:t>
      </w:r>
      <w:r>
        <w:t xml:space="preserve"> the applicability of</w:t>
      </w:r>
      <w:r w:rsidR="00836B59">
        <w:t xml:space="preserve"> a</w:t>
      </w:r>
      <w:r>
        <w:t xml:space="preserve"> liquid-fueled Molten Salt Reactor</w:t>
      </w:r>
      <w:r w:rsidR="00836B59">
        <w:t xml:space="preserve"> (MSR) within </w:t>
      </w:r>
      <w:r w:rsidR="00366128">
        <w:t>FNPPs</w:t>
      </w:r>
      <w:r w:rsidR="00836B59">
        <w:t>. It spe</w:t>
      </w:r>
      <w:r w:rsidR="00366128">
        <w:t xml:space="preserve">cifically delivers an overview of the MSR concept, evaluating its design features and capabilities in the context of the marine environment and the operational profile of floating platforms. Additionally, the research investigates the potential </w:t>
      </w:r>
      <w:r w:rsidR="00216493">
        <w:t xml:space="preserve">effect of </w:t>
      </w:r>
      <w:r w:rsidR="004532C6">
        <w:t xml:space="preserve">sea </w:t>
      </w:r>
      <w:r w:rsidR="00216493">
        <w:t>water on MSR fuel criticality</w:t>
      </w:r>
      <w:r w:rsidR="00366128">
        <w:t>. The paper is aimed at enhancing the overall understanding of advanced reactors suitability for marine deployment, paving the way for a more cost-effective and easily deployable nuclear power solution.</w:t>
      </w:r>
    </w:p>
    <w:p w14:paraId="509ED4A6" w14:textId="5F0D673C" w:rsidR="0067406F" w:rsidRDefault="00A47FE8" w:rsidP="0067406F">
      <w:pPr>
        <w:pStyle w:val="Heading20"/>
        <w:numPr>
          <w:ilvl w:val="1"/>
          <w:numId w:val="10"/>
        </w:numPr>
      </w:pPr>
      <w:r>
        <w:t xml:space="preserve">introduction to </w:t>
      </w:r>
      <w:r w:rsidR="0067406F">
        <w:t>FLOATING NUCLEAR POWER PLANT</w:t>
      </w:r>
      <w:r w:rsidR="009F70E3">
        <w:t>s</w:t>
      </w:r>
    </w:p>
    <w:p w14:paraId="222E0279" w14:textId="29CDD400" w:rsidR="005C00AE" w:rsidRDefault="005C00AE" w:rsidP="005C00AE">
      <w:pPr>
        <w:pStyle w:val="Heading30"/>
        <w:rPr>
          <w:lang w:eastAsia="de-DE"/>
        </w:rPr>
      </w:pPr>
      <w:r>
        <w:rPr>
          <w:lang w:eastAsia="de-DE"/>
        </w:rPr>
        <w:t>F</w:t>
      </w:r>
      <w:r w:rsidR="005E4410">
        <w:rPr>
          <w:lang w:eastAsia="de-DE"/>
        </w:rPr>
        <w:t>loating Nuclear Power Plants</w:t>
      </w:r>
    </w:p>
    <w:p w14:paraId="5C3DC183" w14:textId="7B39219E" w:rsidR="0067406F" w:rsidRDefault="0067406F" w:rsidP="002E25E8">
      <w:pPr>
        <w:pStyle w:val="BodyText"/>
      </w:pPr>
      <w:r w:rsidRPr="00CC2FC3">
        <w:rPr>
          <w:lang w:eastAsia="de-DE"/>
        </w:rPr>
        <w:t>Floating Nuclear Power Plants, FNPP</w:t>
      </w:r>
      <w:r>
        <w:rPr>
          <w:lang w:eastAsia="de-DE"/>
        </w:rPr>
        <w:t>s</w:t>
      </w:r>
      <w:r w:rsidRPr="00CC2FC3">
        <w:rPr>
          <w:lang w:eastAsia="de-DE"/>
        </w:rPr>
        <w:t xml:space="preserve">, </w:t>
      </w:r>
      <w:r>
        <w:rPr>
          <w:lang w:eastAsia="de-DE"/>
        </w:rPr>
        <w:t>have the potential to be one of the main solutions for deploying power generation capacity quickly, economically, and at a large scale. The majority of the global power demand is situated close to the coast where FNPPs can be easily deployed. In addition, FNPPs have access to water</w:t>
      </w:r>
      <w:r w:rsidR="008347A3">
        <w:rPr>
          <w:lang w:eastAsia="de-DE"/>
        </w:rPr>
        <w:t xml:space="preserve"> for cooling</w:t>
      </w:r>
      <w:r>
        <w:rPr>
          <w:lang w:eastAsia="de-DE"/>
        </w:rPr>
        <w:t xml:space="preserve">, insensitivity to earthquakes and tsunamis, and greater transportability when compared to </w:t>
      </w:r>
      <w:r w:rsidR="0097420E">
        <w:rPr>
          <w:lang w:eastAsia="de-DE"/>
        </w:rPr>
        <w:t>terrestrial</w:t>
      </w:r>
      <w:r>
        <w:rPr>
          <w:lang w:eastAsia="de-DE"/>
        </w:rPr>
        <w:t xml:space="preserve"> reactors which make moving nuclear power generation offshore an </w:t>
      </w:r>
      <w:r w:rsidR="006212DF">
        <w:rPr>
          <w:lang w:eastAsia="de-DE"/>
        </w:rPr>
        <w:t>option worth investigating</w:t>
      </w:r>
      <w:r w:rsidR="00D544E4">
        <w:rPr>
          <w:lang w:eastAsia="de-DE"/>
        </w:rPr>
        <w:t xml:space="preserve"> </w:t>
      </w:r>
      <w:r w:rsidR="006212DF">
        <w:rPr>
          <w:lang w:eastAsia="de-DE"/>
        </w:rPr>
        <w:t>[</w:t>
      </w:r>
      <w:r w:rsidR="00A92C8C">
        <w:rPr>
          <w:lang w:eastAsia="de-DE"/>
        </w:rPr>
        <w:t>1</w:t>
      </w:r>
      <w:r w:rsidR="006212DF">
        <w:rPr>
          <w:lang w:eastAsia="de-DE"/>
        </w:rPr>
        <w:t>]</w:t>
      </w:r>
      <w:r>
        <w:rPr>
          <w:lang w:eastAsia="de-DE"/>
        </w:rPr>
        <w:t>.</w:t>
      </w:r>
    </w:p>
    <w:p w14:paraId="2128EBF5" w14:textId="3A04239B" w:rsidR="00B84084" w:rsidRDefault="0067406F" w:rsidP="00365E0A">
      <w:pPr>
        <w:pStyle w:val="BodyText"/>
        <w:rPr>
          <w:lang w:eastAsia="de-DE"/>
        </w:rPr>
      </w:pPr>
      <w:r w:rsidRPr="005048F3">
        <w:rPr>
          <w:lang w:eastAsia="de-DE"/>
        </w:rPr>
        <w:t xml:space="preserve">FNPPs are not only suited </w:t>
      </w:r>
      <w:r>
        <w:rPr>
          <w:lang w:eastAsia="de-DE"/>
        </w:rPr>
        <w:t>for</w:t>
      </w:r>
      <w:r w:rsidRPr="005048F3">
        <w:rPr>
          <w:lang w:eastAsia="de-DE"/>
        </w:rPr>
        <w:t xml:space="preserve"> power generation for remote islands, coastal settlements, and industrial sites but, for instance, also for the powering of offshore facilities which are expected to decarbonize.</w:t>
      </w:r>
      <w:r w:rsidR="00B84084">
        <w:rPr>
          <w:lang w:eastAsia="de-DE"/>
        </w:rPr>
        <w:t xml:space="preserve"> </w:t>
      </w:r>
    </w:p>
    <w:p w14:paraId="48359E20" w14:textId="44555591" w:rsidR="0067406F" w:rsidRDefault="00B84084" w:rsidP="00365E0A">
      <w:pPr>
        <w:pStyle w:val="BodyText"/>
        <w:rPr>
          <w:lang w:eastAsia="de-DE"/>
        </w:rPr>
      </w:pPr>
      <w:r>
        <w:rPr>
          <w:lang w:eastAsia="de-DE"/>
        </w:rPr>
        <w:t xml:space="preserve">All these </w:t>
      </w:r>
      <w:r w:rsidR="00B85AC3">
        <w:rPr>
          <w:lang w:eastAsia="de-DE"/>
        </w:rPr>
        <w:t>potential use-cases</w:t>
      </w:r>
      <w:r>
        <w:rPr>
          <w:lang w:eastAsia="de-DE"/>
        </w:rPr>
        <w:t xml:space="preserve"> have been recognized </w:t>
      </w:r>
      <w:r w:rsidR="002E25E8">
        <w:rPr>
          <w:lang w:eastAsia="de-DE"/>
        </w:rPr>
        <w:t>since the 90s [</w:t>
      </w:r>
      <w:r w:rsidR="00A92C8C">
        <w:rPr>
          <w:lang w:eastAsia="de-DE"/>
        </w:rPr>
        <w:t>2</w:t>
      </w:r>
      <w:r w:rsidR="002E25E8">
        <w:rPr>
          <w:lang w:eastAsia="de-DE"/>
        </w:rPr>
        <w:t>]</w:t>
      </w:r>
      <w:r>
        <w:rPr>
          <w:lang w:eastAsia="de-DE"/>
        </w:rPr>
        <w:t xml:space="preserve"> and two </w:t>
      </w:r>
      <w:r w:rsidRPr="00B84084">
        <w:rPr>
          <w:lang w:eastAsia="de-DE"/>
        </w:rPr>
        <w:t>FNPPs have been successfully deployed in the past, powered by Pressurised Water Reactors (PWR), namely the USS Sturgis</w:t>
      </w:r>
      <w:r w:rsidR="002E25E8">
        <w:rPr>
          <w:lang w:eastAsia="de-DE"/>
        </w:rPr>
        <w:t xml:space="preserve"> [</w:t>
      </w:r>
      <w:r w:rsidR="00A92C8C">
        <w:rPr>
          <w:lang w:eastAsia="de-DE"/>
        </w:rPr>
        <w:t>3</w:t>
      </w:r>
      <w:r w:rsidR="002E25E8">
        <w:rPr>
          <w:lang w:eastAsia="de-DE"/>
        </w:rPr>
        <w:t xml:space="preserve">] </w:t>
      </w:r>
      <w:r w:rsidRPr="00B84084">
        <w:rPr>
          <w:lang w:eastAsia="de-DE"/>
        </w:rPr>
        <w:t>and Akademi</w:t>
      </w:r>
      <w:r w:rsidR="00DC5808">
        <w:rPr>
          <w:lang w:eastAsia="de-DE"/>
        </w:rPr>
        <w:t>k</w:t>
      </w:r>
      <w:r w:rsidRPr="00B84084">
        <w:rPr>
          <w:lang w:eastAsia="de-DE"/>
        </w:rPr>
        <w:t xml:space="preserve"> Lomonosov</w:t>
      </w:r>
      <w:r w:rsidR="00DC5808">
        <w:rPr>
          <w:lang w:eastAsia="de-DE"/>
        </w:rPr>
        <w:t xml:space="preserve"> [</w:t>
      </w:r>
      <w:r w:rsidR="00A92C8C">
        <w:rPr>
          <w:lang w:eastAsia="de-DE"/>
        </w:rPr>
        <w:t>4</w:t>
      </w:r>
      <w:r w:rsidR="00DC5808">
        <w:rPr>
          <w:lang w:eastAsia="de-DE"/>
        </w:rPr>
        <w:t>].</w:t>
      </w:r>
    </w:p>
    <w:p w14:paraId="21414CD8" w14:textId="490B51E3" w:rsidR="006407FA" w:rsidRDefault="00B84084" w:rsidP="009679F4">
      <w:pPr>
        <w:pStyle w:val="BodyText"/>
      </w:pPr>
      <w:r>
        <w:t>Despite the multiple use cases and benefits on paper, FNPPs have not seen widespread development</w:t>
      </w:r>
      <w:r w:rsidR="00B85AC3">
        <w:t xml:space="preserve"> yet. However, the momentum behind FNPPs has risen significantly in </w:t>
      </w:r>
      <w:r w:rsidR="00ED02ED">
        <w:t>the recent</w:t>
      </w:r>
      <w:r w:rsidR="00B85AC3">
        <w:t xml:space="preserve"> </w:t>
      </w:r>
      <w:r w:rsidR="006407FA">
        <w:t>years</w:t>
      </w:r>
      <w:r w:rsidR="007477CF">
        <w:t>, mostly due to the developments in SMRs and advanced reactor technologies,</w:t>
      </w:r>
      <w:r w:rsidR="006407FA">
        <w:t xml:space="preserve"> leading to the 2023 IAEA Symposium on the </w:t>
      </w:r>
      <w:r w:rsidR="006407FA" w:rsidRPr="006407FA">
        <w:t>Deployment of Floating Nuclear Power Plants</w:t>
      </w:r>
      <w:r w:rsidR="001E5C6C">
        <w:t>.</w:t>
      </w:r>
      <w:r w:rsidR="007E5E2F">
        <w:t xml:space="preserve"> </w:t>
      </w:r>
      <w:r w:rsidR="001E5C6C">
        <w:t>Certain</w:t>
      </w:r>
      <w:r w:rsidR="0029204F">
        <w:t xml:space="preserve"> Gen IV reactor concepts</w:t>
      </w:r>
      <w:r w:rsidR="001E5C6C">
        <w:t xml:space="preserve"> promise</w:t>
      </w:r>
      <w:r w:rsidR="0029204F">
        <w:t xml:space="preserve"> design features that</w:t>
      </w:r>
      <w:r w:rsidR="009679F4">
        <w:t xml:space="preserve"> appear to be</w:t>
      </w:r>
      <w:r w:rsidR="0029204F">
        <w:t xml:space="preserve"> a great </w:t>
      </w:r>
      <w:r w:rsidR="00AB5D78">
        <w:t>fit for Floating Nuclear applications. To assess how applicable a reactor design is for FNPP deployment</w:t>
      </w:r>
      <w:r w:rsidR="00D518B2">
        <w:t xml:space="preserve">, the </w:t>
      </w:r>
      <w:r w:rsidR="001E5C6C">
        <w:t xml:space="preserve">paper defines </w:t>
      </w:r>
      <w:r w:rsidR="007477CF">
        <w:t>8</w:t>
      </w:r>
      <w:r w:rsidR="001E5C6C">
        <w:t xml:space="preserve"> key</w:t>
      </w:r>
      <w:r w:rsidR="00D518B2">
        <w:t xml:space="preserve"> reactor </w:t>
      </w:r>
      <w:r w:rsidR="003D5315">
        <w:t>technology</w:t>
      </w:r>
      <w:r w:rsidR="00D518B2">
        <w:t xml:space="preserve"> </w:t>
      </w:r>
      <w:r w:rsidR="009679F4">
        <w:t>evaluation criteria</w:t>
      </w:r>
      <w:r w:rsidR="00D518B2">
        <w:t xml:space="preserve"> </w:t>
      </w:r>
      <w:r w:rsidR="009679F4">
        <w:t>considering a wide range of applications, from a nearshore FNPP powering a port to an off-shore FNPP powering a desalination hydrogen production plant.</w:t>
      </w:r>
      <w:r w:rsidR="00AB5D78">
        <w:t xml:space="preserve"> </w:t>
      </w:r>
      <w:r w:rsidR="0029204F">
        <w:t xml:space="preserve"> </w:t>
      </w:r>
    </w:p>
    <w:p w14:paraId="5CE5BED2" w14:textId="147A77C4" w:rsidR="003935A1" w:rsidRDefault="00D518B2" w:rsidP="00CB3A5D">
      <w:pPr>
        <w:pStyle w:val="Heading30"/>
      </w:pPr>
      <w:r>
        <w:t xml:space="preserve">FNPP Reactor </w:t>
      </w:r>
      <w:r w:rsidR="008A6B71">
        <w:t>Technology Evaluation Criteria</w:t>
      </w:r>
    </w:p>
    <w:p w14:paraId="69DC4E67" w14:textId="77777777" w:rsidR="00585240" w:rsidRPr="00585240" w:rsidRDefault="00585240" w:rsidP="00585240">
      <w:pPr>
        <w:pStyle w:val="BodyText"/>
      </w:pPr>
    </w:p>
    <w:p w14:paraId="4866C7C0" w14:textId="5555EA50" w:rsidR="00CB3A5D" w:rsidRDefault="00CB3A5D" w:rsidP="00CB3A5D">
      <w:pPr>
        <w:pStyle w:val="BodyText"/>
        <w:ind w:firstLine="0"/>
      </w:pPr>
      <w:r>
        <w:lastRenderedPageBreak/>
        <w:t>TABLE 1.</w:t>
      </w:r>
      <w:r>
        <w:tab/>
      </w:r>
      <w:r w:rsidR="00A26B2A">
        <w:t>FNPP</w:t>
      </w:r>
      <w:r w:rsidR="00D518B2">
        <w:t xml:space="preserve"> REACTOR </w:t>
      </w:r>
      <w:r w:rsidR="003D5315">
        <w:t>TECHNOLOGY</w:t>
      </w:r>
      <w:r w:rsidR="00D518B2">
        <w:t xml:space="preserve"> EVALUATION</w:t>
      </w:r>
      <w:r w:rsidR="003E1668">
        <w:t xml:space="preserve"> CRITERIA</w:t>
      </w:r>
    </w:p>
    <w:p w14:paraId="2A09FB00" w14:textId="77777777" w:rsidR="00CB3A5D" w:rsidRDefault="00CB3A5D" w:rsidP="00CB3A5D">
      <w:pPr>
        <w:pStyle w:val="BodyText"/>
      </w:pPr>
    </w:p>
    <w:tbl>
      <w:tblPr>
        <w:tblStyle w:val="TableGrid"/>
        <w:tblW w:w="9498"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
        <w:gridCol w:w="2047"/>
        <w:gridCol w:w="7135"/>
      </w:tblGrid>
      <w:tr w:rsidR="00A815C6" w14:paraId="286264F5" w14:textId="77777777" w:rsidTr="00D05871">
        <w:trPr>
          <w:jc w:val="center"/>
        </w:trPr>
        <w:tc>
          <w:tcPr>
            <w:tcW w:w="316" w:type="dxa"/>
            <w:tcBorders>
              <w:top w:val="single" w:sz="4" w:space="0" w:color="auto"/>
              <w:bottom w:val="single" w:sz="4" w:space="0" w:color="auto"/>
            </w:tcBorders>
          </w:tcPr>
          <w:p w14:paraId="627CB435" w14:textId="05D46677" w:rsidR="00A815C6" w:rsidRDefault="00A815C6">
            <w:pPr>
              <w:pStyle w:val="BodyText"/>
              <w:ind w:firstLine="0"/>
            </w:pPr>
            <w:r>
              <w:t>#</w:t>
            </w:r>
          </w:p>
        </w:tc>
        <w:tc>
          <w:tcPr>
            <w:tcW w:w="2047" w:type="dxa"/>
            <w:tcBorders>
              <w:top w:val="single" w:sz="4" w:space="0" w:color="auto"/>
              <w:bottom w:val="single" w:sz="4" w:space="0" w:color="auto"/>
            </w:tcBorders>
          </w:tcPr>
          <w:p w14:paraId="5BEEF834" w14:textId="6AC553D5" w:rsidR="00A815C6" w:rsidRDefault="00BA306B">
            <w:pPr>
              <w:pStyle w:val="BodyText"/>
              <w:ind w:firstLine="0"/>
            </w:pPr>
            <w:r>
              <w:t xml:space="preserve"> </w:t>
            </w:r>
            <w:r w:rsidR="003E1668">
              <w:t>Evaluation</w:t>
            </w:r>
            <w:r w:rsidR="00A815C6">
              <w:t xml:space="preserve"> </w:t>
            </w:r>
            <w:r w:rsidR="000E40FC">
              <w:t>C</w:t>
            </w:r>
            <w:r w:rsidR="003E1668">
              <w:t>riteria</w:t>
            </w:r>
          </w:p>
        </w:tc>
        <w:tc>
          <w:tcPr>
            <w:tcW w:w="7135" w:type="dxa"/>
            <w:tcBorders>
              <w:top w:val="single" w:sz="4" w:space="0" w:color="auto"/>
              <w:bottom w:val="single" w:sz="4" w:space="0" w:color="auto"/>
            </w:tcBorders>
          </w:tcPr>
          <w:p w14:paraId="79B4CE7C" w14:textId="4CDBE2A2" w:rsidR="00A815C6" w:rsidRDefault="00A815C6">
            <w:pPr>
              <w:pStyle w:val="BodyText"/>
              <w:ind w:firstLine="0"/>
              <w:jc w:val="center"/>
            </w:pPr>
            <w:r>
              <w:t>Rationale</w:t>
            </w:r>
          </w:p>
        </w:tc>
      </w:tr>
      <w:tr w:rsidR="00A815C6" w14:paraId="42DF6CB5" w14:textId="77777777" w:rsidTr="00D05871">
        <w:trPr>
          <w:trHeight w:val="454"/>
          <w:jc w:val="center"/>
        </w:trPr>
        <w:tc>
          <w:tcPr>
            <w:tcW w:w="316" w:type="dxa"/>
            <w:tcBorders>
              <w:top w:val="single" w:sz="4" w:space="0" w:color="auto"/>
              <w:left w:val="nil"/>
              <w:bottom w:val="nil"/>
              <w:right w:val="nil"/>
            </w:tcBorders>
          </w:tcPr>
          <w:p w14:paraId="397C12A8" w14:textId="406B9103" w:rsidR="00A815C6" w:rsidRDefault="00A815C6">
            <w:pPr>
              <w:pStyle w:val="BodyText"/>
              <w:ind w:firstLine="0"/>
              <w:jc w:val="left"/>
              <w:rPr>
                <w:rStyle w:val="TabletextChar"/>
              </w:rPr>
            </w:pPr>
            <w:r>
              <w:rPr>
                <w:rStyle w:val="TabletextChar"/>
              </w:rPr>
              <w:t>1</w:t>
            </w:r>
          </w:p>
        </w:tc>
        <w:tc>
          <w:tcPr>
            <w:tcW w:w="2047" w:type="dxa"/>
            <w:tcBorders>
              <w:top w:val="single" w:sz="4" w:space="0" w:color="auto"/>
              <w:left w:val="nil"/>
              <w:bottom w:val="nil"/>
              <w:right w:val="nil"/>
            </w:tcBorders>
          </w:tcPr>
          <w:p w14:paraId="61C7D2DC" w14:textId="3E300565" w:rsidR="00A815C6" w:rsidRDefault="00816FB2" w:rsidP="00A624BE">
            <w:pPr>
              <w:pStyle w:val="BodyText"/>
              <w:spacing w:before="120" w:after="120"/>
              <w:ind w:firstLine="0"/>
              <w:jc w:val="left"/>
            </w:pPr>
            <w:r>
              <w:rPr>
                <w:rStyle w:val="TabletextChar"/>
              </w:rPr>
              <w:t xml:space="preserve">Availability - </w:t>
            </w:r>
            <w:r w:rsidR="006227E9">
              <w:rPr>
                <w:rStyle w:val="TabletextChar"/>
              </w:rPr>
              <w:t>Fuel Cycle</w:t>
            </w:r>
            <w:r w:rsidR="003D5315">
              <w:rPr>
                <w:rStyle w:val="TabletextChar"/>
              </w:rPr>
              <w:t xml:space="preserve"> Duration</w:t>
            </w:r>
            <w:r w:rsidR="006227E9">
              <w:rPr>
                <w:rStyle w:val="TabletextChar"/>
              </w:rPr>
              <w:t xml:space="preserve">, </w:t>
            </w:r>
            <w:r w:rsidR="003D5315">
              <w:rPr>
                <w:rStyle w:val="TabletextChar"/>
              </w:rPr>
              <w:t xml:space="preserve">Refuelling and Planned maintenance </w:t>
            </w:r>
            <w:r w:rsidR="00721EA3">
              <w:rPr>
                <w:rStyle w:val="TabletextChar"/>
              </w:rPr>
              <w:t>f</w:t>
            </w:r>
            <w:r w:rsidR="003D5315">
              <w:rPr>
                <w:rStyle w:val="TabletextChar"/>
              </w:rPr>
              <w:t>requency</w:t>
            </w:r>
          </w:p>
        </w:tc>
        <w:tc>
          <w:tcPr>
            <w:tcW w:w="7135" w:type="dxa"/>
            <w:tcBorders>
              <w:top w:val="single" w:sz="4" w:space="0" w:color="auto"/>
              <w:left w:val="nil"/>
              <w:bottom w:val="nil"/>
              <w:right w:val="nil"/>
            </w:tcBorders>
          </w:tcPr>
          <w:p w14:paraId="49F1232E" w14:textId="429F6DD4" w:rsidR="00A815C6" w:rsidRDefault="00F67E7D" w:rsidP="00A624BE">
            <w:pPr>
              <w:pStyle w:val="BodyText"/>
              <w:spacing w:before="120" w:after="120"/>
              <w:ind w:firstLine="0"/>
            </w:pPr>
            <w:r>
              <w:t xml:space="preserve">Compared to terrestrial plants, </w:t>
            </w:r>
            <w:r w:rsidR="006227E9">
              <w:t>FNPPs are more restricted in terms of space and resources available to transport, handle and store spent and fresh fuel</w:t>
            </w:r>
            <w:r>
              <w:t>.</w:t>
            </w:r>
            <w:r w:rsidR="000E0129">
              <w:t xml:space="preserve"> In addition, planned FNPP reactor outages w</w:t>
            </w:r>
            <w:r w:rsidR="00602850">
              <w:t>ill</w:t>
            </w:r>
            <w:r w:rsidR="000E0129">
              <w:t xml:space="preserve"> have a significant impact on coupled</w:t>
            </w:r>
            <w:r w:rsidR="001E5C6C">
              <w:t xml:space="preserve"> applications like data centers,</w:t>
            </w:r>
            <w:r w:rsidR="000E0129">
              <w:t xml:space="preserve"> desalination or hydrogen production plants</w:t>
            </w:r>
            <w:r w:rsidR="00F62F03">
              <w:t xml:space="preserve"> or the powering of remote areas lacking energy supply</w:t>
            </w:r>
            <w:r w:rsidR="000E0129">
              <w:t>.</w:t>
            </w:r>
            <w:r>
              <w:t xml:space="preserve"> </w:t>
            </w:r>
            <w:r w:rsidR="006227E9">
              <w:t>For th</w:t>
            </w:r>
            <w:r w:rsidR="000E0129">
              <w:t>ose reasons, FNPP</w:t>
            </w:r>
            <w:r w:rsidR="00602850">
              <w:t xml:space="preserve"> concepts</w:t>
            </w:r>
            <w:r w:rsidR="001E5C6C">
              <w:t xml:space="preserve"> in genera</w:t>
            </w:r>
            <w:r w:rsidR="00602850">
              <w:t>l</w:t>
            </w:r>
            <w:r w:rsidR="000E0129">
              <w:t xml:space="preserve"> benefit greatly from longer fuel cycles, with planned maintenance and refuelling frequency minimized</w:t>
            </w:r>
            <w:r>
              <w:t xml:space="preserve">. </w:t>
            </w:r>
            <w:r w:rsidR="000E0129">
              <w:t>In that respect,</w:t>
            </w:r>
            <w:r>
              <w:t xml:space="preserve"> </w:t>
            </w:r>
            <w:r w:rsidR="009679F4">
              <w:t>t</w:t>
            </w:r>
            <w:r>
              <w:t xml:space="preserve">he Akademik Lomonosov refuelling </w:t>
            </w:r>
            <w:r w:rsidR="001E5C6C">
              <w:t>plan</w:t>
            </w:r>
            <w:r>
              <w:t xml:space="preserve"> includes entire reactor core refuelling to achieve a maximum of 3.5 years between refuelling (instead of 12-18 months</w:t>
            </w:r>
            <w:r w:rsidR="001E5C6C">
              <w:t xml:space="preserve"> with standard refuelling plans</w:t>
            </w:r>
            <w:r>
              <w:t>).</w:t>
            </w:r>
            <w:r w:rsidR="00F62F03">
              <w:t xml:space="preserve"> Reactor technology should be evaluated for its ability to maximize the availability of the plant.</w:t>
            </w:r>
          </w:p>
        </w:tc>
      </w:tr>
      <w:tr w:rsidR="00D41346" w14:paraId="625F4778" w14:textId="77777777" w:rsidTr="00D05871">
        <w:trPr>
          <w:trHeight w:val="454"/>
          <w:jc w:val="center"/>
        </w:trPr>
        <w:tc>
          <w:tcPr>
            <w:tcW w:w="316" w:type="dxa"/>
            <w:tcBorders>
              <w:top w:val="nil"/>
              <w:left w:val="nil"/>
              <w:bottom w:val="nil"/>
              <w:right w:val="nil"/>
            </w:tcBorders>
          </w:tcPr>
          <w:p w14:paraId="7A3950B4" w14:textId="715208BF" w:rsidR="00D41346" w:rsidRDefault="001828F8">
            <w:pPr>
              <w:pStyle w:val="BodyText"/>
              <w:ind w:firstLine="0"/>
              <w:jc w:val="left"/>
            </w:pPr>
            <w:r>
              <w:t>2</w:t>
            </w:r>
          </w:p>
        </w:tc>
        <w:tc>
          <w:tcPr>
            <w:tcW w:w="2047" w:type="dxa"/>
            <w:tcBorders>
              <w:top w:val="nil"/>
              <w:left w:val="nil"/>
              <w:bottom w:val="nil"/>
              <w:right w:val="nil"/>
            </w:tcBorders>
          </w:tcPr>
          <w:p w14:paraId="03D9F37E" w14:textId="567271EE" w:rsidR="00D41346" w:rsidRPr="00CB3A5D" w:rsidRDefault="001828F8" w:rsidP="00A624BE">
            <w:pPr>
              <w:pStyle w:val="BodyText"/>
              <w:spacing w:before="120" w:after="120"/>
              <w:ind w:firstLine="0"/>
              <w:jc w:val="left"/>
            </w:pPr>
            <w:r>
              <w:t>Design Safety for Marine Accident Scenarios</w:t>
            </w:r>
          </w:p>
        </w:tc>
        <w:tc>
          <w:tcPr>
            <w:tcW w:w="7135" w:type="dxa"/>
            <w:tcBorders>
              <w:top w:val="nil"/>
              <w:left w:val="nil"/>
              <w:bottom w:val="nil"/>
              <w:right w:val="nil"/>
            </w:tcBorders>
          </w:tcPr>
          <w:p w14:paraId="5B5EE40A" w14:textId="330BF043" w:rsidR="00D41346" w:rsidRDefault="001828F8" w:rsidP="00A624BE">
            <w:pPr>
              <w:pStyle w:val="BodyText"/>
              <w:spacing w:before="120" w:after="120"/>
              <w:ind w:firstLine="0"/>
            </w:pPr>
            <w:r>
              <w:t>The safety case of FNPPs will have to consider marine related accidents, such as collision and sinking. In these accident conditions</w:t>
            </w:r>
            <w:r w:rsidR="00721EA3">
              <w:t xml:space="preserve"> the functions of</w:t>
            </w:r>
            <w:r>
              <w:t xml:space="preserve"> reactor shutdown, reactivity control, radiation shielding</w:t>
            </w:r>
            <w:r w:rsidR="00721EA3">
              <w:t>,</w:t>
            </w:r>
            <w:r>
              <w:t xml:space="preserve"> containment and decay heat removal must be performed, with the potential absence of reactor operating crew and the reactor containment partially or fully submerged underwater.</w:t>
            </w:r>
            <w:r w:rsidR="00C70F4F">
              <w:t xml:space="preserve"> Reactor technology should be evaluated for its ability to achieve this reliably</w:t>
            </w:r>
          </w:p>
        </w:tc>
      </w:tr>
      <w:tr w:rsidR="00A815C6" w14:paraId="326AB76E" w14:textId="77777777" w:rsidTr="00D05871">
        <w:trPr>
          <w:trHeight w:val="454"/>
          <w:jc w:val="center"/>
        </w:trPr>
        <w:tc>
          <w:tcPr>
            <w:tcW w:w="316" w:type="dxa"/>
            <w:tcBorders>
              <w:top w:val="nil"/>
              <w:left w:val="nil"/>
              <w:bottom w:val="nil"/>
              <w:right w:val="nil"/>
            </w:tcBorders>
          </w:tcPr>
          <w:p w14:paraId="4700E7E6" w14:textId="28CD765D" w:rsidR="00A815C6" w:rsidRPr="00CB3A5D" w:rsidRDefault="001828F8">
            <w:pPr>
              <w:pStyle w:val="BodyText"/>
              <w:ind w:firstLine="0"/>
              <w:jc w:val="left"/>
            </w:pPr>
            <w:r>
              <w:t>3</w:t>
            </w:r>
          </w:p>
        </w:tc>
        <w:tc>
          <w:tcPr>
            <w:tcW w:w="2047" w:type="dxa"/>
            <w:tcBorders>
              <w:top w:val="nil"/>
              <w:left w:val="nil"/>
              <w:bottom w:val="nil"/>
              <w:right w:val="nil"/>
            </w:tcBorders>
          </w:tcPr>
          <w:p w14:paraId="105A4328" w14:textId="5E28DB66" w:rsidR="00A815C6" w:rsidRDefault="002E7212" w:rsidP="00A624BE">
            <w:pPr>
              <w:pStyle w:val="BodyText"/>
              <w:spacing w:before="120" w:after="120"/>
              <w:ind w:firstLine="0"/>
              <w:jc w:val="left"/>
            </w:pPr>
            <w:r>
              <w:t>Plant Emergency Planning Zone Size</w:t>
            </w:r>
          </w:p>
        </w:tc>
        <w:tc>
          <w:tcPr>
            <w:tcW w:w="7135" w:type="dxa"/>
            <w:tcBorders>
              <w:top w:val="nil"/>
              <w:left w:val="nil"/>
              <w:bottom w:val="nil"/>
              <w:right w:val="nil"/>
            </w:tcBorders>
          </w:tcPr>
          <w:p w14:paraId="71CF227B" w14:textId="56AA22D6" w:rsidR="00A815C6" w:rsidRDefault="00282C6B" w:rsidP="00A624BE">
            <w:pPr>
              <w:pStyle w:val="BodyText"/>
              <w:spacing w:before="120" w:after="120"/>
              <w:ind w:firstLine="0"/>
            </w:pPr>
            <w:r>
              <w:t>For FNPP deployment near heavily populated areas like ports, or for coupling with hazardous facilities like hydrogen plants, the exten</w:t>
            </w:r>
            <w:r w:rsidR="00F238A7">
              <w:t>t</w:t>
            </w:r>
            <w:r>
              <w:t xml:space="preserve"> of the potential radiation exposure in case of severe accidents is an impactful factor </w:t>
            </w:r>
            <w:r w:rsidR="00C70F4F">
              <w:t>for</w:t>
            </w:r>
            <w:r>
              <w:t xml:space="preserve"> the feasibility of these</w:t>
            </w:r>
            <w:r w:rsidR="00C70F4F">
              <w:t xml:space="preserve"> floating</w:t>
            </w:r>
            <w:r>
              <w:t xml:space="preserve"> applications. Reactor technology should be evaluated for its inherent safety and ability to minimize the public risk, which is depicted on the size of the emergency preparedness and planning required.</w:t>
            </w:r>
          </w:p>
        </w:tc>
      </w:tr>
      <w:tr w:rsidR="00A815C6" w14:paraId="130659E3" w14:textId="77777777" w:rsidTr="00D05871">
        <w:trPr>
          <w:trHeight w:val="454"/>
          <w:jc w:val="center"/>
        </w:trPr>
        <w:tc>
          <w:tcPr>
            <w:tcW w:w="316" w:type="dxa"/>
            <w:tcBorders>
              <w:top w:val="nil"/>
              <w:left w:val="nil"/>
              <w:bottom w:val="nil"/>
              <w:right w:val="nil"/>
            </w:tcBorders>
          </w:tcPr>
          <w:p w14:paraId="5FBEA667" w14:textId="2C4BAEAB" w:rsidR="00A815C6" w:rsidRDefault="001828F8">
            <w:pPr>
              <w:pStyle w:val="BodyText"/>
              <w:ind w:firstLine="0"/>
              <w:jc w:val="left"/>
            </w:pPr>
            <w:r>
              <w:t>4</w:t>
            </w:r>
          </w:p>
        </w:tc>
        <w:tc>
          <w:tcPr>
            <w:tcW w:w="2047" w:type="dxa"/>
            <w:tcBorders>
              <w:top w:val="nil"/>
              <w:left w:val="nil"/>
              <w:bottom w:val="nil"/>
              <w:right w:val="nil"/>
            </w:tcBorders>
          </w:tcPr>
          <w:p w14:paraId="3002B6A7" w14:textId="0E07DC4A" w:rsidR="00A815C6" w:rsidRPr="00CB3A5D" w:rsidRDefault="009679F4" w:rsidP="00A624BE">
            <w:pPr>
              <w:pStyle w:val="BodyText"/>
              <w:spacing w:before="120" w:after="120"/>
              <w:ind w:firstLine="0"/>
              <w:jc w:val="left"/>
            </w:pPr>
            <w:r>
              <w:t xml:space="preserve">Plant </w:t>
            </w:r>
            <w:r w:rsidR="00A815C6">
              <w:t>Power output</w:t>
            </w:r>
          </w:p>
        </w:tc>
        <w:tc>
          <w:tcPr>
            <w:tcW w:w="7135" w:type="dxa"/>
            <w:tcBorders>
              <w:top w:val="nil"/>
              <w:left w:val="nil"/>
              <w:bottom w:val="nil"/>
              <w:right w:val="nil"/>
            </w:tcBorders>
          </w:tcPr>
          <w:p w14:paraId="7325FA75" w14:textId="246183F4" w:rsidR="00A815C6" w:rsidRDefault="00B951E6" w:rsidP="00A624BE">
            <w:pPr>
              <w:pStyle w:val="BodyText"/>
              <w:spacing w:before="120" w:after="120"/>
              <w:ind w:firstLine="0"/>
              <w:jc w:val="left"/>
            </w:pPr>
            <w:r>
              <w:t xml:space="preserve">FNPP applications </w:t>
            </w:r>
            <w:r w:rsidR="00721EA3">
              <w:t xml:space="preserve">range from GW scale </w:t>
            </w:r>
            <w:r w:rsidR="00C86D05">
              <w:t>offshore</w:t>
            </w:r>
            <w:r w:rsidR="00721EA3">
              <w:t xml:space="preserve"> concepts to 10s of MW scale concepts for powering data centers and desalination barges. Reactor technology should be evaluated against its ability to provide feasible solutions for a wide range of power outputs</w:t>
            </w:r>
            <w:r>
              <w:t>.</w:t>
            </w:r>
          </w:p>
        </w:tc>
      </w:tr>
      <w:tr w:rsidR="009679F4" w14:paraId="120E980D" w14:textId="77777777" w:rsidTr="00D05871">
        <w:trPr>
          <w:trHeight w:val="454"/>
          <w:jc w:val="center"/>
        </w:trPr>
        <w:tc>
          <w:tcPr>
            <w:tcW w:w="316" w:type="dxa"/>
            <w:tcBorders>
              <w:top w:val="nil"/>
              <w:left w:val="nil"/>
              <w:bottom w:val="nil"/>
              <w:right w:val="nil"/>
            </w:tcBorders>
          </w:tcPr>
          <w:p w14:paraId="2F73FBFA" w14:textId="05DBB756" w:rsidR="009679F4" w:rsidRDefault="00A10A5E">
            <w:pPr>
              <w:pStyle w:val="BodyText"/>
              <w:ind w:firstLine="0"/>
              <w:jc w:val="left"/>
            </w:pPr>
            <w:r>
              <w:t>5</w:t>
            </w:r>
          </w:p>
        </w:tc>
        <w:tc>
          <w:tcPr>
            <w:tcW w:w="2047" w:type="dxa"/>
            <w:tcBorders>
              <w:top w:val="nil"/>
              <w:left w:val="nil"/>
              <w:bottom w:val="nil"/>
              <w:right w:val="nil"/>
            </w:tcBorders>
          </w:tcPr>
          <w:p w14:paraId="0F967C97" w14:textId="358F7E27" w:rsidR="009679F4" w:rsidRDefault="009679F4" w:rsidP="00A624BE">
            <w:pPr>
              <w:pStyle w:val="BodyText"/>
              <w:spacing w:before="120" w:after="120"/>
              <w:ind w:firstLine="0"/>
              <w:jc w:val="left"/>
            </w:pPr>
            <w:r>
              <w:t>Plant Footprint</w:t>
            </w:r>
          </w:p>
        </w:tc>
        <w:tc>
          <w:tcPr>
            <w:tcW w:w="7135" w:type="dxa"/>
            <w:tcBorders>
              <w:top w:val="nil"/>
              <w:left w:val="nil"/>
              <w:bottom w:val="nil"/>
              <w:right w:val="nil"/>
            </w:tcBorders>
          </w:tcPr>
          <w:p w14:paraId="1B366D5F" w14:textId="5D91178A" w:rsidR="009679F4" w:rsidRDefault="009679F4" w:rsidP="00A624BE">
            <w:pPr>
              <w:pStyle w:val="BodyText"/>
              <w:spacing w:before="120" w:after="120"/>
              <w:ind w:firstLine="0"/>
              <w:jc w:val="left"/>
            </w:pPr>
            <w:r>
              <w:t xml:space="preserve">FNPP applications will have </w:t>
            </w:r>
            <w:r w:rsidR="00721EA3">
              <w:t>certain</w:t>
            </w:r>
            <w:r w:rsidR="00300F68">
              <w:t xml:space="preserve"> plant</w:t>
            </w:r>
            <w:r w:rsidR="00721EA3">
              <w:t xml:space="preserve"> </w:t>
            </w:r>
            <w:r>
              <w:t>footprint limitations</w:t>
            </w:r>
            <w:r w:rsidR="00721EA3">
              <w:t xml:space="preserve"> that don’t necessarily apply to terrestrial plants.</w:t>
            </w:r>
            <w:r>
              <w:t xml:space="preserve"> </w:t>
            </w:r>
            <w:r w:rsidR="00721EA3">
              <w:t>R</w:t>
            </w:r>
            <w:r>
              <w:t>eactor technology should be evaluated</w:t>
            </w:r>
            <w:r w:rsidR="00721EA3">
              <w:t xml:space="preserve"> for its ability to produce the required power with limited footprint.</w:t>
            </w:r>
            <w:r>
              <w:t xml:space="preserve"> </w:t>
            </w:r>
          </w:p>
        </w:tc>
      </w:tr>
      <w:tr w:rsidR="00A815C6" w14:paraId="0DD50A0B" w14:textId="77777777" w:rsidTr="00D05871">
        <w:trPr>
          <w:trHeight w:val="454"/>
          <w:jc w:val="center"/>
        </w:trPr>
        <w:tc>
          <w:tcPr>
            <w:tcW w:w="316" w:type="dxa"/>
            <w:tcBorders>
              <w:top w:val="nil"/>
              <w:left w:val="nil"/>
              <w:bottom w:val="nil"/>
              <w:right w:val="nil"/>
            </w:tcBorders>
          </w:tcPr>
          <w:p w14:paraId="173FAE3A" w14:textId="19528623" w:rsidR="00A815C6" w:rsidRDefault="00A10A5E">
            <w:pPr>
              <w:pStyle w:val="BodyText"/>
              <w:ind w:firstLine="0"/>
              <w:jc w:val="left"/>
            </w:pPr>
            <w:r>
              <w:t>6</w:t>
            </w:r>
          </w:p>
        </w:tc>
        <w:tc>
          <w:tcPr>
            <w:tcW w:w="2047" w:type="dxa"/>
            <w:tcBorders>
              <w:top w:val="nil"/>
              <w:left w:val="nil"/>
              <w:bottom w:val="nil"/>
              <w:right w:val="nil"/>
            </w:tcBorders>
          </w:tcPr>
          <w:p w14:paraId="7D756F17" w14:textId="6EA894D2" w:rsidR="00A815C6" w:rsidRDefault="009679F4" w:rsidP="00A624BE">
            <w:pPr>
              <w:pStyle w:val="BodyText"/>
              <w:spacing w:before="120" w:after="120"/>
              <w:ind w:firstLine="0"/>
              <w:jc w:val="left"/>
            </w:pPr>
            <w:r>
              <w:t xml:space="preserve">Output Heat Grade </w:t>
            </w:r>
          </w:p>
          <w:p w14:paraId="010BAE42" w14:textId="77777777" w:rsidR="00A815C6" w:rsidRPr="00CB3A5D" w:rsidRDefault="00A815C6" w:rsidP="00A624BE">
            <w:pPr>
              <w:pStyle w:val="BodyText"/>
              <w:spacing w:before="120" w:after="120"/>
              <w:ind w:firstLine="0"/>
              <w:jc w:val="left"/>
            </w:pPr>
          </w:p>
        </w:tc>
        <w:tc>
          <w:tcPr>
            <w:tcW w:w="7135" w:type="dxa"/>
            <w:tcBorders>
              <w:top w:val="nil"/>
              <w:left w:val="nil"/>
              <w:bottom w:val="nil"/>
              <w:right w:val="nil"/>
            </w:tcBorders>
          </w:tcPr>
          <w:p w14:paraId="3828BC85" w14:textId="2784452C" w:rsidR="00A815C6" w:rsidRDefault="00C86D05" w:rsidP="00A624BE">
            <w:pPr>
              <w:pStyle w:val="BodyText"/>
              <w:spacing w:before="120" w:after="120"/>
              <w:ind w:firstLine="0"/>
              <w:jc w:val="left"/>
            </w:pPr>
            <w:r>
              <w:t>O</w:t>
            </w:r>
            <w:r w:rsidR="00B951E6">
              <w:t xml:space="preserve">ne of the more promising FNPP applications is using the nuclear heat to directly </w:t>
            </w:r>
            <w:r w:rsidR="0097420E">
              <w:t>in</w:t>
            </w:r>
            <w:r w:rsidR="00B951E6">
              <w:t xml:space="preserve"> a chemical process like Haber Bosch [</w:t>
            </w:r>
            <w:r w:rsidR="00B8013F">
              <w:t>5</w:t>
            </w:r>
            <w:r w:rsidR="00B951E6">
              <w:t>].</w:t>
            </w:r>
            <w:r>
              <w:t xml:space="preserve"> Reactor technology should be evaluated against its ability to provide high grade heat.</w:t>
            </w:r>
          </w:p>
        </w:tc>
      </w:tr>
      <w:tr w:rsidR="00A815C6" w14:paraId="0A959D3B" w14:textId="77777777" w:rsidTr="00D05871">
        <w:trPr>
          <w:trHeight w:val="454"/>
          <w:jc w:val="center"/>
        </w:trPr>
        <w:tc>
          <w:tcPr>
            <w:tcW w:w="316" w:type="dxa"/>
            <w:tcBorders>
              <w:top w:val="nil"/>
              <w:left w:val="nil"/>
              <w:bottom w:val="nil"/>
              <w:right w:val="nil"/>
            </w:tcBorders>
          </w:tcPr>
          <w:p w14:paraId="4538D3C9" w14:textId="6651E609" w:rsidR="00A815C6" w:rsidRDefault="00A10A5E">
            <w:pPr>
              <w:pStyle w:val="BodyText"/>
              <w:ind w:firstLine="0"/>
              <w:jc w:val="left"/>
            </w:pPr>
            <w:r>
              <w:t>7</w:t>
            </w:r>
          </w:p>
        </w:tc>
        <w:tc>
          <w:tcPr>
            <w:tcW w:w="2047" w:type="dxa"/>
            <w:tcBorders>
              <w:top w:val="nil"/>
              <w:left w:val="nil"/>
              <w:bottom w:val="nil"/>
              <w:right w:val="nil"/>
            </w:tcBorders>
          </w:tcPr>
          <w:p w14:paraId="11DAF545" w14:textId="17FA2405" w:rsidR="00A815C6" w:rsidRDefault="00A815C6" w:rsidP="00A624BE">
            <w:pPr>
              <w:pStyle w:val="BodyText"/>
              <w:spacing w:before="120" w:after="120"/>
              <w:ind w:firstLine="0"/>
              <w:jc w:val="left"/>
            </w:pPr>
            <w:r>
              <w:t>Proliferation Resista</w:t>
            </w:r>
            <w:r w:rsidR="00895AC6">
              <w:t>n</w:t>
            </w:r>
            <w:r w:rsidR="001828F8">
              <w:t>ce</w:t>
            </w:r>
          </w:p>
          <w:p w14:paraId="30219479" w14:textId="77777777" w:rsidR="00A815C6" w:rsidRPr="003935A1" w:rsidRDefault="00A815C6" w:rsidP="00A624BE">
            <w:pPr>
              <w:pStyle w:val="BodyText"/>
              <w:spacing w:before="120" w:after="120"/>
              <w:ind w:firstLine="0"/>
              <w:jc w:val="left"/>
            </w:pPr>
          </w:p>
        </w:tc>
        <w:tc>
          <w:tcPr>
            <w:tcW w:w="7135" w:type="dxa"/>
            <w:tcBorders>
              <w:top w:val="nil"/>
              <w:left w:val="nil"/>
              <w:bottom w:val="nil"/>
              <w:right w:val="nil"/>
            </w:tcBorders>
          </w:tcPr>
          <w:p w14:paraId="1349A041" w14:textId="4985D870" w:rsidR="00A815C6" w:rsidRDefault="00330C07" w:rsidP="00A624BE">
            <w:pPr>
              <w:pStyle w:val="BodyText"/>
              <w:spacing w:before="120" w:after="120"/>
              <w:ind w:firstLine="0"/>
            </w:pPr>
            <w:r>
              <w:t>A mobile floating asset is susceptible to an extended set of threats, compared to a terrestrial nuclear plant. Reactors deployed in FNPPs would need increased proliferation resistance to meet international nuclear security standards.</w:t>
            </w:r>
          </w:p>
        </w:tc>
      </w:tr>
      <w:tr w:rsidR="00A815C6" w14:paraId="79F84D40" w14:textId="77777777" w:rsidTr="00F46872">
        <w:trPr>
          <w:trHeight w:val="454"/>
          <w:jc w:val="center"/>
        </w:trPr>
        <w:tc>
          <w:tcPr>
            <w:tcW w:w="316" w:type="dxa"/>
            <w:tcBorders>
              <w:top w:val="nil"/>
              <w:left w:val="nil"/>
              <w:bottom w:val="nil"/>
              <w:right w:val="nil"/>
            </w:tcBorders>
          </w:tcPr>
          <w:p w14:paraId="28BD9C14" w14:textId="75177C1D" w:rsidR="00A815C6" w:rsidRDefault="00A10A5E">
            <w:pPr>
              <w:pStyle w:val="BodyText"/>
              <w:ind w:firstLine="0"/>
              <w:jc w:val="left"/>
            </w:pPr>
            <w:r>
              <w:t>8</w:t>
            </w:r>
          </w:p>
        </w:tc>
        <w:tc>
          <w:tcPr>
            <w:tcW w:w="2047" w:type="dxa"/>
            <w:tcBorders>
              <w:top w:val="nil"/>
              <w:left w:val="nil"/>
              <w:bottom w:val="nil"/>
              <w:right w:val="nil"/>
            </w:tcBorders>
          </w:tcPr>
          <w:p w14:paraId="0D197539" w14:textId="1D8E2F83" w:rsidR="00A815C6" w:rsidRPr="003935A1" w:rsidRDefault="001828F8" w:rsidP="00A624BE">
            <w:pPr>
              <w:pStyle w:val="BodyText"/>
              <w:spacing w:before="120" w:after="120"/>
              <w:ind w:firstLine="0"/>
              <w:jc w:val="left"/>
            </w:pPr>
            <w:r>
              <w:t>Operation in marine conditions and transients</w:t>
            </w:r>
          </w:p>
        </w:tc>
        <w:tc>
          <w:tcPr>
            <w:tcW w:w="7135" w:type="dxa"/>
            <w:tcBorders>
              <w:top w:val="nil"/>
              <w:left w:val="nil"/>
              <w:bottom w:val="nil"/>
              <w:right w:val="nil"/>
            </w:tcBorders>
          </w:tcPr>
          <w:p w14:paraId="24B2C9E6" w14:textId="783113AF" w:rsidR="00A815C6" w:rsidRDefault="00386DF0" w:rsidP="00A624BE">
            <w:pPr>
              <w:pStyle w:val="BodyText"/>
              <w:spacing w:before="120" w:after="120"/>
              <w:ind w:firstLine="0"/>
            </w:pPr>
            <w:r>
              <w:t>Marine Conditions include the motions and accelerations experienced by the floating platform.</w:t>
            </w:r>
            <w:r w:rsidR="00C86D05">
              <w:t xml:space="preserve"> Reactor technology should be evaluated against its ability to operate in these conditions.</w:t>
            </w:r>
          </w:p>
        </w:tc>
      </w:tr>
      <w:tr w:rsidR="00F46872" w14:paraId="03FB9D0C" w14:textId="77777777" w:rsidTr="00D05871">
        <w:trPr>
          <w:trHeight w:val="454"/>
          <w:jc w:val="center"/>
        </w:trPr>
        <w:tc>
          <w:tcPr>
            <w:tcW w:w="316" w:type="dxa"/>
            <w:tcBorders>
              <w:top w:val="nil"/>
              <w:left w:val="nil"/>
              <w:bottom w:val="single" w:sz="4" w:space="0" w:color="auto"/>
              <w:right w:val="nil"/>
            </w:tcBorders>
          </w:tcPr>
          <w:p w14:paraId="153CF03D" w14:textId="66C475BA" w:rsidR="00F46872" w:rsidRDefault="00F46872">
            <w:pPr>
              <w:pStyle w:val="BodyText"/>
              <w:ind w:firstLine="0"/>
              <w:jc w:val="left"/>
            </w:pPr>
            <w:r>
              <w:t>9</w:t>
            </w:r>
          </w:p>
        </w:tc>
        <w:tc>
          <w:tcPr>
            <w:tcW w:w="2047" w:type="dxa"/>
            <w:tcBorders>
              <w:top w:val="nil"/>
              <w:left w:val="nil"/>
              <w:bottom w:val="single" w:sz="4" w:space="0" w:color="auto"/>
              <w:right w:val="nil"/>
            </w:tcBorders>
          </w:tcPr>
          <w:p w14:paraId="5DD90623" w14:textId="693457EB" w:rsidR="00F46872" w:rsidRDefault="00F46872" w:rsidP="00A624BE">
            <w:pPr>
              <w:pStyle w:val="BodyText"/>
              <w:spacing w:before="120" w:after="120"/>
              <w:ind w:firstLine="0"/>
              <w:jc w:val="left"/>
            </w:pPr>
            <w:r>
              <w:t>Transport in marine conditions and transients</w:t>
            </w:r>
          </w:p>
        </w:tc>
        <w:tc>
          <w:tcPr>
            <w:tcW w:w="7135" w:type="dxa"/>
            <w:tcBorders>
              <w:top w:val="nil"/>
              <w:left w:val="nil"/>
              <w:bottom w:val="single" w:sz="4" w:space="0" w:color="auto"/>
              <w:right w:val="nil"/>
            </w:tcBorders>
          </w:tcPr>
          <w:p w14:paraId="69CD4C79" w14:textId="6E73477B" w:rsidR="00F46872" w:rsidRDefault="00F46872" w:rsidP="00A624BE">
            <w:pPr>
              <w:pStyle w:val="BodyText"/>
              <w:spacing w:before="120" w:after="120"/>
              <w:ind w:firstLine="0"/>
            </w:pPr>
            <w:r>
              <w:t>As part of their commissioning and decommissioning, FNPP vessels will be transported via sea or inland waters. Reactor technology should be evaluated for its ability to be transported safely in marine conditions.</w:t>
            </w:r>
          </w:p>
        </w:tc>
      </w:tr>
    </w:tbl>
    <w:p w14:paraId="679584AF" w14:textId="77777777" w:rsidR="0097420E" w:rsidRDefault="0097420E" w:rsidP="0097420E">
      <w:pPr>
        <w:pStyle w:val="BodyText"/>
      </w:pPr>
    </w:p>
    <w:p w14:paraId="022F80DF" w14:textId="1AEF40CC" w:rsidR="0097420E" w:rsidRDefault="0097420E" w:rsidP="0097420E">
      <w:pPr>
        <w:pStyle w:val="BodyText"/>
      </w:pPr>
      <w:r>
        <w:t>The paper evaluates the liquid-fuelled Molten Salt Reactor concept, against these criteria, to form a better understanding of the applicability of MSRs in FNPPs.</w:t>
      </w:r>
    </w:p>
    <w:p w14:paraId="76D5C690" w14:textId="77777777" w:rsidR="0097420E" w:rsidRDefault="00EB060E" w:rsidP="0097420E">
      <w:pPr>
        <w:pStyle w:val="Heading20"/>
        <w:numPr>
          <w:ilvl w:val="0"/>
          <w:numId w:val="0"/>
        </w:numPr>
      </w:pPr>
      <w:r>
        <w:tab/>
      </w:r>
    </w:p>
    <w:p w14:paraId="74CD1556" w14:textId="79381049" w:rsidR="00E25B68" w:rsidRPr="00EB060E" w:rsidRDefault="00EB060E" w:rsidP="00C34DB5">
      <w:pPr>
        <w:pStyle w:val="Heading20"/>
      </w:pPr>
      <w:r>
        <w:lastRenderedPageBreak/>
        <w:t>MOLTEN SALT REACTOR</w:t>
      </w:r>
    </w:p>
    <w:p w14:paraId="3BAEB1A1" w14:textId="0CCB4F06" w:rsidR="009F70E3" w:rsidRPr="009F70E3" w:rsidRDefault="00397159" w:rsidP="00585240">
      <w:pPr>
        <w:pStyle w:val="Heading30"/>
        <w:numPr>
          <w:ilvl w:val="2"/>
          <w:numId w:val="40"/>
        </w:numPr>
      </w:pPr>
      <w:r>
        <w:t>Architecture and History</w:t>
      </w:r>
    </w:p>
    <w:p w14:paraId="213D516E" w14:textId="34FBAB3B" w:rsidR="0067406F" w:rsidRDefault="00580C2A" w:rsidP="0097420E">
      <w:pPr>
        <w:pStyle w:val="BodyText"/>
      </w:pPr>
      <w:r>
        <w:t xml:space="preserve">The </w:t>
      </w:r>
      <w:r w:rsidR="0067406F">
        <w:t>MS</w:t>
      </w:r>
      <w:r>
        <w:t>R</w:t>
      </w:r>
      <w:r w:rsidR="0067406F">
        <w:t xml:space="preserve"> </w:t>
      </w:r>
      <w:r>
        <w:t>is a liquid fueled</w:t>
      </w:r>
      <w:r w:rsidR="0067406F">
        <w:t xml:space="preserve"> nuclear reactor</w:t>
      </w:r>
      <w:r>
        <w:t xml:space="preserve"> technology,</w:t>
      </w:r>
      <w:r w:rsidR="0067406F">
        <w:t xml:space="preserve"> powered </w:t>
      </w:r>
      <w:r>
        <w:t xml:space="preserve">by a circulating molten salt fuel mixture, that can be designed to operate in the thermal or fast spectrum. </w:t>
      </w:r>
      <w:r w:rsidR="00A624BE">
        <w:t xml:space="preserve">The </w:t>
      </w:r>
      <w:r>
        <w:t>fuel salt mixture undergoes fission in the core</w:t>
      </w:r>
      <w:r w:rsidR="00302D89">
        <w:t>,</w:t>
      </w:r>
      <w:r>
        <w:t xml:space="preserve"> is circulated in the primary heat exchangers to extract the heat and then fed back in the core in a closed loop </w:t>
      </w:r>
      <w:r w:rsidR="008E3CE0">
        <w:t>Fig 1</w:t>
      </w:r>
      <w:r>
        <w:t xml:space="preserve">. </w:t>
      </w:r>
      <w:r w:rsidR="0067406F">
        <w:t>MSR</w:t>
      </w:r>
      <w:r>
        <w:t>s</w:t>
      </w:r>
      <w:r w:rsidR="0067406F">
        <w:t xml:space="preserve"> operate at </w:t>
      </w:r>
      <w:r w:rsidR="00A624BE">
        <w:t xml:space="preserve">close to </w:t>
      </w:r>
      <w:r w:rsidR="0067406F">
        <w:t>ambient pressure and run at a high temperature, between 500</w:t>
      </w:r>
      <w:r w:rsidR="0097420E">
        <w:t xml:space="preserve"> </w:t>
      </w:r>
      <w:r w:rsidR="0067406F">
        <w:t xml:space="preserve">– 700°C. </w:t>
      </w:r>
      <w:r>
        <w:t>The heat produced by the fuel salt is usually transferred to an intermediate coolant salt</w:t>
      </w:r>
      <w:r w:rsidR="00302D89">
        <w:t xml:space="preserve"> and can then be converted into electricity.</w:t>
      </w:r>
    </w:p>
    <w:p w14:paraId="3BE4B071" w14:textId="432D8199" w:rsidR="0067406F" w:rsidRDefault="00D41346" w:rsidP="00C34DB5">
      <w:pPr>
        <w:jc w:val="center"/>
        <w:rPr>
          <w:sz w:val="20"/>
          <w:lang w:eastAsia="de-DE"/>
        </w:rPr>
      </w:pPr>
      <w:r>
        <w:rPr>
          <w:rFonts w:ascii="Times" w:hAnsi="Times" w:cs="Times"/>
          <w:noProof/>
          <w:sz w:val="20"/>
        </w:rPr>
        <w:drawing>
          <wp:inline distT="0" distB="0" distL="0" distR="0" wp14:anchorId="33A06521" wp14:editId="4D6CF443">
            <wp:extent cx="4637784" cy="2647950"/>
            <wp:effectExtent l="0" t="0" r="0" b="0"/>
            <wp:docPr id="436518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56570" cy="2658676"/>
                    </a:xfrm>
                    <a:prstGeom prst="rect">
                      <a:avLst/>
                    </a:prstGeom>
                    <a:noFill/>
                    <a:ln>
                      <a:noFill/>
                    </a:ln>
                  </pic:spPr>
                </pic:pic>
              </a:graphicData>
            </a:graphic>
          </wp:inline>
        </w:drawing>
      </w:r>
    </w:p>
    <w:p w14:paraId="295D9715" w14:textId="2A03FC65" w:rsidR="0067406F" w:rsidRPr="00C34DB5" w:rsidRDefault="00C34DB5" w:rsidP="0067406F">
      <w:pPr>
        <w:rPr>
          <w:rFonts w:ascii="Times" w:hAnsi="Times" w:cs="Times"/>
          <w:i/>
          <w:iCs/>
          <w:sz w:val="20"/>
        </w:rPr>
      </w:pPr>
      <w:r w:rsidRPr="00C34DB5">
        <w:rPr>
          <w:rFonts w:ascii="Times" w:hAnsi="Times" w:cs="Times"/>
          <w:i/>
          <w:iCs/>
          <w:sz w:val="20"/>
        </w:rPr>
        <w:t xml:space="preserve">FIG </w:t>
      </w:r>
      <w:r w:rsidR="008E3CE0">
        <w:rPr>
          <w:rFonts w:ascii="Times" w:hAnsi="Times" w:cs="Times"/>
          <w:i/>
          <w:iCs/>
          <w:sz w:val="20"/>
        </w:rPr>
        <w:t>1</w:t>
      </w:r>
      <w:r w:rsidR="0067406F" w:rsidRPr="00C34DB5">
        <w:rPr>
          <w:rFonts w:ascii="Times" w:hAnsi="Times" w:cs="Times"/>
          <w:i/>
          <w:iCs/>
          <w:sz w:val="20"/>
        </w:rPr>
        <w:t xml:space="preserve">. </w:t>
      </w:r>
      <w:r w:rsidR="00302D89">
        <w:rPr>
          <w:rFonts w:ascii="Times" w:hAnsi="Times" w:cs="Times"/>
          <w:i/>
          <w:iCs/>
          <w:sz w:val="20"/>
        </w:rPr>
        <w:t xml:space="preserve">MSR Schematic </w:t>
      </w:r>
      <w:r w:rsidR="008B62D4">
        <w:rPr>
          <w:rFonts w:ascii="Times" w:hAnsi="Times" w:cs="Times"/>
          <w:i/>
          <w:iCs/>
          <w:sz w:val="20"/>
        </w:rPr>
        <w:t>based on [</w:t>
      </w:r>
      <w:r w:rsidR="00B8013F">
        <w:rPr>
          <w:rFonts w:ascii="Times" w:hAnsi="Times" w:cs="Times"/>
          <w:i/>
          <w:iCs/>
          <w:sz w:val="20"/>
        </w:rPr>
        <w:t>6</w:t>
      </w:r>
      <w:r w:rsidR="008B62D4">
        <w:rPr>
          <w:rFonts w:ascii="Times" w:hAnsi="Times" w:cs="Times"/>
          <w:i/>
          <w:iCs/>
          <w:sz w:val="20"/>
        </w:rPr>
        <w:t>]</w:t>
      </w:r>
      <w:r w:rsidR="00302D89">
        <w:rPr>
          <w:rFonts w:ascii="Times" w:hAnsi="Times" w:cs="Times"/>
          <w:i/>
          <w:iCs/>
          <w:sz w:val="20"/>
        </w:rPr>
        <w:t xml:space="preserve"> </w:t>
      </w:r>
    </w:p>
    <w:p w14:paraId="1449568A" w14:textId="77777777" w:rsidR="0067406F" w:rsidRDefault="0067406F" w:rsidP="0067406F">
      <w:pPr>
        <w:rPr>
          <w:sz w:val="20"/>
          <w:lang w:eastAsia="de-DE"/>
        </w:rPr>
      </w:pPr>
    </w:p>
    <w:p w14:paraId="49DBB95D" w14:textId="32660ADC" w:rsidR="0067406F" w:rsidRDefault="0067406F" w:rsidP="00C34DB5">
      <w:pPr>
        <w:rPr>
          <w:sz w:val="20"/>
        </w:rPr>
      </w:pPr>
      <w:r>
        <w:rPr>
          <w:sz w:val="20"/>
        </w:rPr>
        <w:t>MSRs can be designed to run on Uranium, Plutonium or Thorium</w:t>
      </w:r>
      <w:r w:rsidR="00A624BE">
        <w:rPr>
          <w:sz w:val="20"/>
        </w:rPr>
        <w:t>,</w:t>
      </w:r>
      <w:r>
        <w:rPr>
          <w:sz w:val="20"/>
        </w:rPr>
        <w:t xml:space="preserve"> dissolved in Fluoride or Chloride salts, with Fluoride salts preferred for thermal spectrum reactors and Chloride salts for fast spectrum ones.</w:t>
      </w:r>
      <w:r w:rsidR="00302D89">
        <w:rPr>
          <w:sz w:val="20"/>
        </w:rPr>
        <w:t xml:space="preserve"> Thermal spectrum MSRs require a graphite monolith to moderate the neutrons in the core, whereas fast spectrum MSRs require the use of a neutron reflecting material, instead of the graphite</w:t>
      </w:r>
      <w:r w:rsidR="00936F43">
        <w:rPr>
          <w:sz w:val="20"/>
        </w:rPr>
        <w:t xml:space="preserve">. The Aircraft Reactor Experiment (ARE) in 1954 followed by the 7 MWth Molten Salt Reactor Experiment (MSRE) in Oak Ridge National Laboratory have demonstrated most of the discussed MSR functions, setting the stage for multiple advanced reactor development programs </w:t>
      </w:r>
      <w:r w:rsidR="005023C9">
        <w:rPr>
          <w:sz w:val="20"/>
        </w:rPr>
        <w:t xml:space="preserve">of </w:t>
      </w:r>
      <w:r w:rsidR="00936F43">
        <w:rPr>
          <w:sz w:val="20"/>
        </w:rPr>
        <w:t>MSRs</w:t>
      </w:r>
      <w:r w:rsidR="005023C9">
        <w:rPr>
          <w:sz w:val="20"/>
        </w:rPr>
        <w:t xml:space="preserve"> since then.</w:t>
      </w:r>
    </w:p>
    <w:p w14:paraId="2A0892AE" w14:textId="29651337" w:rsidR="009F70E3" w:rsidRPr="00060CEB" w:rsidRDefault="00AA6D60" w:rsidP="0067406F">
      <w:pPr>
        <w:pStyle w:val="Heading30"/>
      </w:pPr>
      <w:r>
        <w:t>Evaluation of MSR Applicability in FNPPs</w:t>
      </w:r>
    </w:p>
    <w:p w14:paraId="336C1A94" w14:textId="3BE420DD" w:rsidR="00AA6D60" w:rsidRDefault="00AA6D60" w:rsidP="00AA6D60">
      <w:pPr>
        <w:pStyle w:val="BodyText"/>
      </w:pPr>
      <w:r>
        <w:t xml:space="preserve">An evaluation of a generic MSR design against the FNPP reactor design criteria is provided in </w:t>
      </w:r>
      <w:r w:rsidR="008E3CE0">
        <w:t>Table</w:t>
      </w:r>
      <w:r>
        <w:t xml:space="preserve"> </w:t>
      </w:r>
      <w:r w:rsidR="00CE2C72">
        <w:t>2</w:t>
      </w:r>
      <w:r>
        <w:t>.</w:t>
      </w:r>
    </w:p>
    <w:p w14:paraId="340DB345" w14:textId="77777777" w:rsidR="00CB3A5D" w:rsidRDefault="00CB3A5D" w:rsidP="00AA6D60">
      <w:pPr>
        <w:pStyle w:val="BodyText"/>
        <w:ind w:firstLine="0"/>
      </w:pPr>
    </w:p>
    <w:p w14:paraId="55446B71" w14:textId="5B5D5206" w:rsidR="00AA6D60" w:rsidRDefault="00AA6D60" w:rsidP="00AA6D60">
      <w:pPr>
        <w:pStyle w:val="BodyText"/>
        <w:ind w:firstLine="0"/>
      </w:pPr>
      <w:r>
        <w:t xml:space="preserve">TABLE </w:t>
      </w:r>
      <w:r w:rsidR="00CE2C72">
        <w:t>2</w:t>
      </w:r>
      <w:r>
        <w:t>.</w:t>
      </w:r>
      <w:r>
        <w:tab/>
        <w:t xml:space="preserve">EVALUATION OF MSR APPLICABILITY </w:t>
      </w:r>
      <w:r w:rsidR="008B3CDD">
        <w:t>BASED ON FNPP REQUIREMENTS</w:t>
      </w:r>
    </w:p>
    <w:p w14:paraId="3CDAB96C" w14:textId="77777777" w:rsidR="00AA6D60" w:rsidRDefault="00AA6D60" w:rsidP="00AA6D60">
      <w:pPr>
        <w:pStyle w:val="BodyText"/>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541"/>
        <w:gridCol w:w="7404"/>
      </w:tblGrid>
      <w:tr w:rsidR="00CB3A5D" w14:paraId="25E8F82F" w14:textId="77777777" w:rsidTr="00585240">
        <w:trPr>
          <w:jc w:val="center"/>
        </w:trPr>
        <w:tc>
          <w:tcPr>
            <w:tcW w:w="1250" w:type="dxa"/>
            <w:gridSpan w:val="2"/>
            <w:tcBorders>
              <w:top w:val="single" w:sz="4" w:space="0" w:color="auto"/>
              <w:bottom w:val="single" w:sz="4" w:space="0" w:color="auto"/>
            </w:tcBorders>
          </w:tcPr>
          <w:p w14:paraId="2E043711" w14:textId="77777777" w:rsidR="006F1521" w:rsidRDefault="006F1521">
            <w:pPr>
              <w:pStyle w:val="BodyText"/>
              <w:ind w:firstLine="0"/>
            </w:pPr>
            <w:r>
              <w:t>Design Requirement</w:t>
            </w:r>
          </w:p>
          <w:p w14:paraId="2E08493D" w14:textId="57771996" w:rsidR="00CB3A5D" w:rsidRDefault="00E913D3">
            <w:pPr>
              <w:pStyle w:val="BodyText"/>
              <w:ind w:firstLine="0"/>
            </w:pPr>
            <w:r>
              <w:t xml:space="preserve">TABLE 1 </w:t>
            </w:r>
            <w:r w:rsidR="003E092C">
              <w:t xml:space="preserve">Ref </w:t>
            </w:r>
            <w:r w:rsidR="006F1521">
              <w:t>#</w:t>
            </w:r>
          </w:p>
        </w:tc>
        <w:tc>
          <w:tcPr>
            <w:tcW w:w="7404" w:type="dxa"/>
            <w:tcBorders>
              <w:top w:val="single" w:sz="4" w:space="0" w:color="auto"/>
              <w:bottom w:val="single" w:sz="4" w:space="0" w:color="auto"/>
            </w:tcBorders>
          </w:tcPr>
          <w:p w14:paraId="0EEE7D4F" w14:textId="2202BB61" w:rsidR="00CB3A5D" w:rsidRDefault="00CB3A5D">
            <w:pPr>
              <w:pStyle w:val="BodyText"/>
              <w:ind w:firstLine="0"/>
              <w:jc w:val="center"/>
            </w:pPr>
            <w:r>
              <w:t>MSR Applicability</w:t>
            </w:r>
          </w:p>
        </w:tc>
      </w:tr>
      <w:tr w:rsidR="00CB3A5D" w14:paraId="73B117B5" w14:textId="77777777" w:rsidTr="00585240">
        <w:trPr>
          <w:jc w:val="center"/>
        </w:trPr>
        <w:tc>
          <w:tcPr>
            <w:tcW w:w="709" w:type="dxa"/>
            <w:tcBorders>
              <w:top w:val="single" w:sz="4" w:space="0" w:color="auto"/>
              <w:left w:val="nil"/>
              <w:bottom w:val="nil"/>
              <w:right w:val="nil"/>
            </w:tcBorders>
          </w:tcPr>
          <w:p w14:paraId="7585FB43" w14:textId="412452C5" w:rsidR="00CB3A5D" w:rsidRDefault="006F1521" w:rsidP="005023C9">
            <w:pPr>
              <w:pStyle w:val="BodyText"/>
              <w:spacing w:before="120" w:after="120"/>
              <w:ind w:firstLine="0"/>
              <w:jc w:val="left"/>
            </w:pPr>
            <w:r>
              <w:rPr>
                <w:rStyle w:val="TabletextChar"/>
              </w:rPr>
              <w:t>1</w:t>
            </w:r>
          </w:p>
        </w:tc>
        <w:tc>
          <w:tcPr>
            <w:tcW w:w="7945" w:type="dxa"/>
            <w:gridSpan w:val="2"/>
            <w:tcBorders>
              <w:top w:val="single" w:sz="4" w:space="0" w:color="auto"/>
              <w:left w:val="nil"/>
              <w:bottom w:val="nil"/>
              <w:right w:val="nil"/>
            </w:tcBorders>
          </w:tcPr>
          <w:p w14:paraId="30053187" w14:textId="3D92B7C7" w:rsidR="00CB3A5D" w:rsidRDefault="006F1521" w:rsidP="005023C9">
            <w:pPr>
              <w:pStyle w:val="BodyText"/>
              <w:spacing w:before="120" w:after="120"/>
              <w:ind w:firstLine="0"/>
            </w:pPr>
            <w:r w:rsidRPr="006F1521">
              <w:t xml:space="preserve">The liquid nature of the fuel allows for online </w:t>
            </w:r>
            <w:r w:rsidR="005C5AC3" w:rsidRPr="006F1521">
              <w:t>refuelling</w:t>
            </w:r>
            <w:r w:rsidRPr="006F1521">
              <w:t>, processing and fission product filtering</w:t>
            </w:r>
            <w:r w:rsidR="00936F43">
              <w:t>, offering high availability</w:t>
            </w:r>
            <w:r w:rsidRPr="006F1521">
              <w:t>. This</w:t>
            </w:r>
            <w:r w:rsidR="00964E06">
              <w:t xml:space="preserve"> </w:t>
            </w:r>
            <w:r w:rsidR="00936F43">
              <w:t>could</w:t>
            </w:r>
            <w:r w:rsidRPr="006F1521">
              <w:t xml:space="preserve"> allow for very long intervals (up to decades) between planned reactor outages </w:t>
            </w:r>
            <w:r w:rsidR="00964E06">
              <w:t>for refuelling and maintenance</w:t>
            </w:r>
            <w:r w:rsidRPr="006F1521">
              <w:t xml:space="preserve">. </w:t>
            </w:r>
            <w:r w:rsidR="005023C9" w:rsidRPr="006F1521">
              <w:t>Therefore</w:t>
            </w:r>
            <w:r w:rsidRPr="006F1521">
              <w:t>, the frequency of handling either fresh or spent fuel on board is minimized, in particular when compared to</w:t>
            </w:r>
            <w:r w:rsidR="00964E06">
              <w:t xml:space="preserve"> a</w:t>
            </w:r>
            <w:r w:rsidRPr="006F1521">
              <w:t xml:space="preserve"> PWR that require</w:t>
            </w:r>
            <w:r w:rsidR="00964E06">
              <w:t>s</w:t>
            </w:r>
            <w:r w:rsidRPr="006F1521">
              <w:t xml:space="preserve"> handling of the solid fuel assemblies every 18 to 24 months on average. This vastly improves the economics of the</w:t>
            </w:r>
            <w:r w:rsidR="00964E06">
              <w:t xml:space="preserve"> floating</w:t>
            </w:r>
            <w:r w:rsidRPr="006F1521">
              <w:t xml:space="preserve"> application</w:t>
            </w:r>
            <w:r w:rsidR="00964E06">
              <w:t xml:space="preserve">, </w:t>
            </w:r>
            <w:r w:rsidRPr="006F1521">
              <w:t xml:space="preserve">enhances proliferation resistance and </w:t>
            </w:r>
            <w:r w:rsidR="00964E06">
              <w:t>overall</w:t>
            </w:r>
            <w:r w:rsidRPr="006F1521">
              <w:t xml:space="preserve"> safety.</w:t>
            </w:r>
            <w:r w:rsidR="00936F43">
              <w:t xml:space="preserve"> However, storing the fresh fuel required to perform this function as well as the fission products that are being removed, will present added safeguarding and</w:t>
            </w:r>
            <w:r w:rsidR="00D55EF6">
              <w:t xml:space="preserve"> nuclear</w:t>
            </w:r>
            <w:r w:rsidR="00936F43">
              <w:t xml:space="preserve"> </w:t>
            </w:r>
            <w:r w:rsidR="00A03524">
              <w:t xml:space="preserve">material </w:t>
            </w:r>
            <w:r w:rsidR="00D55EF6">
              <w:lastRenderedPageBreak/>
              <w:t xml:space="preserve">accounting and control </w:t>
            </w:r>
            <w:r w:rsidR="00936F43">
              <w:t>issues that will need to be addressed</w:t>
            </w:r>
            <w:r w:rsidR="005023C9">
              <w:t xml:space="preserve"> according to IAEA standards</w:t>
            </w:r>
            <w:r w:rsidR="00421EB0">
              <w:t>.</w:t>
            </w:r>
          </w:p>
        </w:tc>
      </w:tr>
      <w:tr w:rsidR="00A10A5E" w14:paraId="700CA6D4" w14:textId="77777777" w:rsidTr="00585240">
        <w:trPr>
          <w:jc w:val="center"/>
        </w:trPr>
        <w:tc>
          <w:tcPr>
            <w:tcW w:w="709" w:type="dxa"/>
            <w:tcBorders>
              <w:top w:val="nil"/>
              <w:left w:val="nil"/>
              <w:bottom w:val="nil"/>
              <w:right w:val="nil"/>
            </w:tcBorders>
          </w:tcPr>
          <w:p w14:paraId="5BB82970" w14:textId="769BF442" w:rsidR="00A10A5E" w:rsidRDefault="00A10A5E" w:rsidP="005023C9">
            <w:pPr>
              <w:pStyle w:val="BodyText"/>
              <w:spacing w:before="120" w:after="120"/>
              <w:ind w:firstLine="0"/>
              <w:jc w:val="left"/>
            </w:pPr>
            <w:r>
              <w:lastRenderedPageBreak/>
              <w:t>2</w:t>
            </w:r>
          </w:p>
        </w:tc>
        <w:tc>
          <w:tcPr>
            <w:tcW w:w="7945" w:type="dxa"/>
            <w:gridSpan w:val="2"/>
            <w:tcBorders>
              <w:top w:val="nil"/>
              <w:left w:val="nil"/>
              <w:bottom w:val="nil"/>
              <w:right w:val="nil"/>
            </w:tcBorders>
          </w:tcPr>
          <w:p w14:paraId="431AA3D9" w14:textId="6C07C2B3" w:rsidR="00A10A5E" w:rsidRDefault="00A10A5E" w:rsidP="005023C9">
            <w:pPr>
              <w:pStyle w:val="BodyText"/>
              <w:spacing w:before="120" w:after="120"/>
              <w:ind w:firstLine="0"/>
            </w:pPr>
            <w:r>
              <w:t>Liquid fuel can be drained, cooled and solidified in a safely subcritical drain tank, which accommodates decay heat removal. In addition, an in-core MSR shutdown is possible by inserting neutron absorbing rods, or permanently poisoning the salt by dispersing neutron absorbing materials in it. These shutdown methods can be implemented under marine accident scenarios, in the case of operating crew needing to evacuate.</w:t>
            </w:r>
            <w:r w:rsidR="002E7212">
              <w:t xml:space="preserve"> </w:t>
            </w:r>
            <w:r w:rsidR="005023C9">
              <w:t xml:space="preserve">The effect that the presence of sea water will have in the criticality of those shutdown configurations needs to be further </w:t>
            </w:r>
            <w:r w:rsidR="00585240">
              <w:t>understood and</w:t>
            </w:r>
            <w:r w:rsidR="005023C9">
              <w:t xml:space="preserve"> is investigated in section 3 of the paper.</w:t>
            </w:r>
          </w:p>
        </w:tc>
      </w:tr>
      <w:tr w:rsidR="00CB3A5D" w14:paraId="40EA900E" w14:textId="77777777" w:rsidTr="00585240">
        <w:trPr>
          <w:jc w:val="center"/>
        </w:trPr>
        <w:tc>
          <w:tcPr>
            <w:tcW w:w="709" w:type="dxa"/>
            <w:tcBorders>
              <w:top w:val="nil"/>
              <w:left w:val="nil"/>
              <w:bottom w:val="nil"/>
              <w:right w:val="nil"/>
            </w:tcBorders>
          </w:tcPr>
          <w:p w14:paraId="6BE76D9E" w14:textId="28AAB4D6" w:rsidR="006F1521" w:rsidRDefault="00A10A5E" w:rsidP="005023C9">
            <w:pPr>
              <w:pStyle w:val="BodyText"/>
              <w:spacing w:before="120" w:after="120"/>
              <w:ind w:firstLine="0"/>
              <w:jc w:val="left"/>
            </w:pPr>
            <w:r>
              <w:t>3</w:t>
            </w:r>
          </w:p>
        </w:tc>
        <w:tc>
          <w:tcPr>
            <w:tcW w:w="7945" w:type="dxa"/>
            <w:gridSpan w:val="2"/>
            <w:tcBorders>
              <w:top w:val="nil"/>
              <w:left w:val="nil"/>
              <w:bottom w:val="nil"/>
              <w:right w:val="nil"/>
            </w:tcBorders>
          </w:tcPr>
          <w:p w14:paraId="286531C6" w14:textId="52A8CA32" w:rsidR="00CB3A5D" w:rsidRDefault="005C5AC3" w:rsidP="005023C9">
            <w:pPr>
              <w:pStyle w:val="BodyText"/>
              <w:spacing w:before="120" w:after="120"/>
              <w:ind w:firstLine="0"/>
            </w:pPr>
            <w:r>
              <w:t>MSR</w:t>
            </w:r>
            <w:r w:rsidR="00964E06">
              <w:t>s</w:t>
            </w:r>
            <w:r>
              <w:t xml:space="preserve"> operate at close to ambient pressure.</w:t>
            </w:r>
            <w:r w:rsidR="00964E06">
              <w:t xml:space="preserve"> During standard </w:t>
            </w:r>
            <w:r w:rsidR="002E7212">
              <w:t>operation, the</w:t>
            </w:r>
            <w:r>
              <w:t xml:space="preserve"> fuel salts are only under the pressure required for </w:t>
            </w:r>
            <w:r w:rsidR="00964E06">
              <w:t xml:space="preserve">their </w:t>
            </w:r>
            <w:r>
              <w:t>circulation</w:t>
            </w:r>
            <w:r w:rsidR="00964E06">
              <w:t>. The liquid fuel is also very accident tolerant, with an extremely high boiling point and a very strong negative temperature coefficient.</w:t>
            </w:r>
            <w:r w:rsidR="002E7212">
              <w:t xml:space="preserve"> In addition, due to some FPs being soluble in the fuel, and the rest filtered, MSRs will have a low fuel source term in paper. </w:t>
            </w:r>
            <w:r>
              <w:t xml:space="preserve">Utilizing </w:t>
            </w:r>
            <w:r w:rsidR="002E7212">
              <w:t xml:space="preserve">all </w:t>
            </w:r>
            <w:r>
              <w:t>th</w:t>
            </w:r>
            <w:r w:rsidR="00964E06">
              <w:t>ese</w:t>
            </w:r>
            <w:r>
              <w:t xml:space="preserve"> intrinsic safety feature</w:t>
            </w:r>
            <w:r w:rsidR="002E7212">
              <w:t>s</w:t>
            </w:r>
            <w:r>
              <w:t xml:space="preserve">, </w:t>
            </w:r>
            <w:r w:rsidR="002E7212">
              <w:t>MSR plants</w:t>
            </w:r>
            <w:r>
              <w:t xml:space="preserve"> </w:t>
            </w:r>
            <w:r w:rsidR="002E7212">
              <w:t>could achieve</w:t>
            </w:r>
            <w:r>
              <w:t xml:space="preserve"> an Emergency Planning Zone </w:t>
            </w:r>
            <w:r w:rsidR="00964E06">
              <w:t>at the site boundary</w:t>
            </w:r>
            <w:r>
              <w:t>, based on</w:t>
            </w:r>
            <w:r w:rsidR="002E7212">
              <w:t xml:space="preserve"> the</w:t>
            </w:r>
            <w:r>
              <w:t xml:space="preserve"> </w:t>
            </w:r>
            <w:r w:rsidR="00F730EA">
              <w:t>new risk-informed performance based regulatory guidelines</w:t>
            </w:r>
            <w:r w:rsidR="00C059FF">
              <w:t xml:space="preserve"> [</w:t>
            </w:r>
            <w:r w:rsidR="00B8013F">
              <w:t>5</w:t>
            </w:r>
            <w:r w:rsidR="00C059FF">
              <w:t>].</w:t>
            </w:r>
          </w:p>
        </w:tc>
      </w:tr>
      <w:tr w:rsidR="006F1521" w14:paraId="06772AEB" w14:textId="77777777" w:rsidTr="00585240">
        <w:trPr>
          <w:jc w:val="center"/>
        </w:trPr>
        <w:tc>
          <w:tcPr>
            <w:tcW w:w="709" w:type="dxa"/>
            <w:tcBorders>
              <w:top w:val="nil"/>
              <w:left w:val="nil"/>
              <w:bottom w:val="nil"/>
              <w:right w:val="nil"/>
            </w:tcBorders>
          </w:tcPr>
          <w:p w14:paraId="534A4DC8" w14:textId="6234277C" w:rsidR="006F1521" w:rsidRDefault="00A10A5E" w:rsidP="005023C9">
            <w:pPr>
              <w:pStyle w:val="BodyText"/>
              <w:spacing w:before="120" w:after="120"/>
              <w:ind w:firstLine="0"/>
              <w:jc w:val="left"/>
            </w:pPr>
            <w:r>
              <w:t>4</w:t>
            </w:r>
          </w:p>
        </w:tc>
        <w:tc>
          <w:tcPr>
            <w:tcW w:w="7945" w:type="dxa"/>
            <w:gridSpan w:val="2"/>
            <w:tcBorders>
              <w:top w:val="nil"/>
              <w:left w:val="nil"/>
              <w:bottom w:val="nil"/>
              <w:right w:val="nil"/>
            </w:tcBorders>
          </w:tcPr>
          <w:p w14:paraId="6496C101" w14:textId="405B2D70" w:rsidR="006F1521" w:rsidRDefault="008C7243" w:rsidP="005023C9">
            <w:pPr>
              <w:pStyle w:val="BodyText"/>
              <w:spacing w:before="120" w:after="120"/>
              <w:ind w:firstLine="0"/>
            </w:pPr>
            <w:r>
              <w:t>MSRs have only been operated successfully up to the 10MWth range</w:t>
            </w:r>
            <w:r w:rsidR="006D3CCA">
              <w:t>.</w:t>
            </w:r>
            <w:r>
              <w:t xml:space="preserve"> However, the MSR concept has no physical limitations on the power </w:t>
            </w:r>
            <w:r w:rsidR="005023C9">
              <w:t>output and</w:t>
            </w:r>
            <w:r>
              <w:t xml:space="preserve"> can in principle be scaled to achieve outputs to the hundreds of MWs.</w:t>
            </w:r>
          </w:p>
        </w:tc>
      </w:tr>
      <w:tr w:rsidR="006F1521" w14:paraId="63B51E7F" w14:textId="77777777" w:rsidTr="00585240">
        <w:trPr>
          <w:jc w:val="center"/>
        </w:trPr>
        <w:tc>
          <w:tcPr>
            <w:tcW w:w="709" w:type="dxa"/>
            <w:tcBorders>
              <w:top w:val="nil"/>
              <w:left w:val="nil"/>
              <w:bottom w:val="nil"/>
              <w:right w:val="nil"/>
            </w:tcBorders>
          </w:tcPr>
          <w:p w14:paraId="1B4EE87C" w14:textId="494633B1" w:rsidR="006F1521" w:rsidRDefault="005413AA" w:rsidP="005023C9">
            <w:pPr>
              <w:pStyle w:val="BodyText"/>
              <w:spacing w:before="120" w:after="120"/>
              <w:ind w:firstLine="0"/>
              <w:jc w:val="left"/>
            </w:pPr>
            <w:r>
              <w:t>5</w:t>
            </w:r>
          </w:p>
        </w:tc>
        <w:tc>
          <w:tcPr>
            <w:tcW w:w="7945" w:type="dxa"/>
            <w:gridSpan w:val="2"/>
            <w:tcBorders>
              <w:top w:val="nil"/>
              <w:left w:val="nil"/>
              <w:bottom w:val="nil"/>
              <w:right w:val="nil"/>
            </w:tcBorders>
          </w:tcPr>
          <w:p w14:paraId="3D398BCD" w14:textId="31658AF0" w:rsidR="006F1521" w:rsidRDefault="005A29D0" w:rsidP="005023C9">
            <w:pPr>
              <w:pStyle w:val="BodyText"/>
              <w:spacing w:before="120" w:after="120"/>
              <w:ind w:firstLine="0"/>
            </w:pPr>
            <w:r>
              <w:t>Compared to other reactors, MSRs have</w:t>
            </w:r>
            <w:r w:rsidR="00740922">
              <w:t xml:space="preserve"> a</w:t>
            </w:r>
            <w:r>
              <w:t xml:space="preserve"> </w:t>
            </w:r>
            <w:r w:rsidR="00740922">
              <w:t>much</w:t>
            </w:r>
            <w:r>
              <w:t xml:space="preserve"> smaller vessel size and do not require pressure vessels. However, MSRs do require extra space for a cover gas system, fuel tanks and fission product filtering.</w:t>
            </w:r>
            <w:r w:rsidR="00740922">
              <w:t xml:space="preserve"> Overall, judging from the MSRE footprint</w:t>
            </w:r>
            <w:r w:rsidR="00D05871">
              <w:t xml:space="preserve"> </w:t>
            </w:r>
            <w:r w:rsidR="005532DC">
              <w:t>[</w:t>
            </w:r>
            <w:r w:rsidR="00D05871">
              <w:t>7</w:t>
            </w:r>
            <w:r w:rsidR="005532DC">
              <w:t>]</w:t>
            </w:r>
            <w:r w:rsidR="00740922">
              <w:t xml:space="preserve"> and overall system architecture, a generic MSR plant footprint is small enough to fit on a floating platform.</w:t>
            </w:r>
          </w:p>
        </w:tc>
      </w:tr>
      <w:tr w:rsidR="005413AA" w14:paraId="6E7387E3" w14:textId="77777777" w:rsidTr="00585240">
        <w:trPr>
          <w:jc w:val="center"/>
        </w:trPr>
        <w:tc>
          <w:tcPr>
            <w:tcW w:w="709" w:type="dxa"/>
            <w:tcBorders>
              <w:top w:val="nil"/>
              <w:left w:val="nil"/>
              <w:bottom w:val="nil"/>
              <w:right w:val="nil"/>
            </w:tcBorders>
          </w:tcPr>
          <w:p w14:paraId="3FADA09E" w14:textId="2539DB3A" w:rsidR="005413AA" w:rsidRDefault="005413AA" w:rsidP="005023C9">
            <w:pPr>
              <w:pStyle w:val="BodyText"/>
              <w:spacing w:before="120" w:after="120"/>
              <w:ind w:firstLine="0"/>
              <w:jc w:val="left"/>
            </w:pPr>
            <w:r>
              <w:t>6</w:t>
            </w:r>
          </w:p>
        </w:tc>
        <w:tc>
          <w:tcPr>
            <w:tcW w:w="7945" w:type="dxa"/>
            <w:gridSpan w:val="2"/>
            <w:tcBorders>
              <w:top w:val="nil"/>
              <w:left w:val="nil"/>
              <w:bottom w:val="nil"/>
              <w:right w:val="nil"/>
            </w:tcBorders>
          </w:tcPr>
          <w:p w14:paraId="02F7909D" w14:textId="4B9D85E1" w:rsidR="005413AA" w:rsidRDefault="005413AA" w:rsidP="005023C9">
            <w:pPr>
              <w:pStyle w:val="BodyText"/>
              <w:spacing w:before="120" w:after="120"/>
              <w:ind w:firstLine="0"/>
            </w:pPr>
            <w:r>
              <w:t xml:space="preserve">MSR operating temperatures are in the range of 600 – 700 C, providing high </w:t>
            </w:r>
            <w:r w:rsidR="003D6E8C">
              <w:t>grade</w:t>
            </w:r>
            <w:r>
              <w:t xml:space="preserve"> heat for potential FNPP applications and increasing overall power conversion efficiency.</w:t>
            </w:r>
          </w:p>
        </w:tc>
      </w:tr>
      <w:tr w:rsidR="006F1521" w14:paraId="07A435DA" w14:textId="77777777" w:rsidTr="00585240">
        <w:trPr>
          <w:jc w:val="center"/>
        </w:trPr>
        <w:tc>
          <w:tcPr>
            <w:tcW w:w="709" w:type="dxa"/>
            <w:tcBorders>
              <w:top w:val="nil"/>
              <w:left w:val="nil"/>
              <w:bottom w:val="nil"/>
              <w:right w:val="nil"/>
            </w:tcBorders>
          </w:tcPr>
          <w:p w14:paraId="365FE4F9" w14:textId="7A10D785" w:rsidR="006F1521" w:rsidRDefault="005413AA" w:rsidP="005023C9">
            <w:pPr>
              <w:pStyle w:val="BodyText"/>
              <w:spacing w:before="120" w:after="120"/>
              <w:ind w:firstLine="0"/>
              <w:jc w:val="left"/>
            </w:pPr>
            <w:r>
              <w:t>7</w:t>
            </w:r>
          </w:p>
        </w:tc>
        <w:tc>
          <w:tcPr>
            <w:tcW w:w="7945" w:type="dxa"/>
            <w:gridSpan w:val="2"/>
            <w:tcBorders>
              <w:top w:val="nil"/>
              <w:left w:val="nil"/>
              <w:bottom w:val="nil"/>
              <w:right w:val="nil"/>
            </w:tcBorders>
          </w:tcPr>
          <w:p w14:paraId="17E00172" w14:textId="39FACE2F" w:rsidR="006F1521" w:rsidRDefault="00FF53EF" w:rsidP="005023C9">
            <w:pPr>
              <w:pStyle w:val="BodyText"/>
              <w:spacing w:before="120" w:after="120"/>
              <w:ind w:firstLine="0"/>
            </w:pPr>
            <w:r>
              <w:t>In a molten salt core</w:t>
            </w:r>
            <w:r w:rsidR="00EE6BE3">
              <w:t>, most of the fission products are soluble in the salt, creating a mixture of actinides and lanthanides. This</w:t>
            </w:r>
            <w:r>
              <w:t xml:space="preserve"> feature greatly increases proliferation resistance.</w:t>
            </w:r>
          </w:p>
        </w:tc>
      </w:tr>
      <w:tr w:rsidR="006F1521" w14:paraId="5E370406" w14:textId="77777777" w:rsidTr="004C51D4">
        <w:trPr>
          <w:jc w:val="center"/>
        </w:trPr>
        <w:tc>
          <w:tcPr>
            <w:tcW w:w="709" w:type="dxa"/>
            <w:tcBorders>
              <w:top w:val="nil"/>
              <w:left w:val="nil"/>
              <w:bottom w:val="nil"/>
              <w:right w:val="nil"/>
            </w:tcBorders>
          </w:tcPr>
          <w:p w14:paraId="6366D43E" w14:textId="0933BB7F" w:rsidR="006F1521" w:rsidRDefault="005413AA" w:rsidP="005023C9">
            <w:pPr>
              <w:pStyle w:val="BodyText"/>
              <w:spacing w:before="120" w:after="120"/>
              <w:ind w:firstLine="0"/>
              <w:jc w:val="left"/>
            </w:pPr>
            <w:r>
              <w:t>8</w:t>
            </w:r>
          </w:p>
        </w:tc>
        <w:tc>
          <w:tcPr>
            <w:tcW w:w="7945" w:type="dxa"/>
            <w:gridSpan w:val="2"/>
            <w:tcBorders>
              <w:top w:val="nil"/>
              <w:left w:val="nil"/>
              <w:bottom w:val="nil"/>
              <w:right w:val="nil"/>
            </w:tcBorders>
          </w:tcPr>
          <w:p w14:paraId="7AE92B82" w14:textId="3B9BB5DE" w:rsidR="006F1521" w:rsidRDefault="00FF53EF" w:rsidP="005023C9">
            <w:pPr>
              <w:pStyle w:val="BodyText"/>
              <w:spacing w:before="120" w:after="120"/>
              <w:ind w:firstLine="0"/>
            </w:pPr>
            <w:r>
              <w:t xml:space="preserve">In principle, liquid fuel will be affected by the motions and accelerations experienced in a marine environment. An MSR designed for a marine application should be able to operate at these motions and inclinations, by </w:t>
            </w:r>
            <w:r w:rsidR="00F959C0">
              <w:t>minimizing</w:t>
            </w:r>
            <w:r>
              <w:t xml:space="preserve"> free surface and utilizing forced flow systems. MSR designs</w:t>
            </w:r>
            <w:r w:rsidR="00F959C0">
              <w:t xml:space="preserve"> that are</w:t>
            </w:r>
            <w:r>
              <w:t xml:space="preserve"> based on natural </w:t>
            </w:r>
            <w:r w:rsidR="00F959C0">
              <w:t>circulation are not directly applicable for FNPP use.</w:t>
            </w:r>
          </w:p>
        </w:tc>
      </w:tr>
      <w:tr w:rsidR="004C51D4" w14:paraId="0053D1E3" w14:textId="77777777" w:rsidTr="00585240">
        <w:trPr>
          <w:jc w:val="center"/>
        </w:trPr>
        <w:tc>
          <w:tcPr>
            <w:tcW w:w="709" w:type="dxa"/>
            <w:tcBorders>
              <w:top w:val="nil"/>
              <w:left w:val="nil"/>
              <w:bottom w:val="single" w:sz="4" w:space="0" w:color="auto"/>
              <w:right w:val="nil"/>
            </w:tcBorders>
          </w:tcPr>
          <w:p w14:paraId="17EB7001" w14:textId="2AA7944F" w:rsidR="004C51D4" w:rsidRDefault="004C51D4" w:rsidP="005023C9">
            <w:pPr>
              <w:pStyle w:val="BodyText"/>
              <w:spacing w:before="120" w:after="120"/>
              <w:ind w:firstLine="0"/>
              <w:jc w:val="left"/>
            </w:pPr>
            <w:r>
              <w:t>9</w:t>
            </w:r>
          </w:p>
        </w:tc>
        <w:tc>
          <w:tcPr>
            <w:tcW w:w="7945" w:type="dxa"/>
            <w:gridSpan w:val="2"/>
            <w:tcBorders>
              <w:top w:val="nil"/>
              <w:left w:val="nil"/>
              <w:bottom w:val="single" w:sz="4" w:space="0" w:color="auto"/>
              <w:right w:val="nil"/>
            </w:tcBorders>
          </w:tcPr>
          <w:p w14:paraId="3E34880B" w14:textId="6144800C" w:rsidR="004C51D4" w:rsidRDefault="004C51D4" w:rsidP="005023C9">
            <w:pPr>
              <w:pStyle w:val="BodyText"/>
              <w:spacing w:before="120" w:after="120"/>
              <w:ind w:firstLine="0"/>
            </w:pPr>
            <w:r>
              <w:t>Prior to startup, MSR fresh fuel is in a stable solid form, hermetically sealed to prevent oxygen or hydrogen ingress.</w:t>
            </w:r>
            <w:r w:rsidR="000F2F15">
              <w:t xml:space="preserve"> The paper performs a brief evaluation of the criticality safety of this fissile material </w:t>
            </w:r>
            <w:r w:rsidR="00A20F33">
              <w:t>in the presence</w:t>
            </w:r>
            <w:r w:rsidR="00F975DE">
              <w:t xml:space="preserve"> of</w:t>
            </w:r>
            <w:r w:rsidR="000F2F15">
              <w:t xml:space="preserve"> water. </w:t>
            </w:r>
            <w:r>
              <w:t xml:space="preserve">Following reactor shutdown, MSR technology allows for the </w:t>
            </w:r>
            <w:r w:rsidR="000F2F15">
              <w:t>controlled</w:t>
            </w:r>
            <w:r>
              <w:t xml:space="preserve"> solidification of the fuel in a subcritical geometry as demonstrated by MSRE [7] with a cooling system </w:t>
            </w:r>
            <w:r w:rsidR="009B5E7E">
              <w:t>required</w:t>
            </w:r>
            <w:r>
              <w:t xml:space="preserve"> to remove decay heat</w:t>
            </w:r>
            <w:r w:rsidR="009B5E7E">
              <w:t xml:space="preserve">. In both cases, the </w:t>
            </w:r>
            <w:r w:rsidR="00DB2ED8">
              <w:t>fuel will be in a solid state so its</w:t>
            </w:r>
            <w:r w:rsidR="009B5E7E">
              <w:t xml:space="preserve"> geometry will not be</w:t>
            </w:r>
            <w:r w:rsidR="0075588F">
              <w:t xml:space="preserve"> significantly</w:t>
            </w:r>
            <w:r w:rsidR="009B5E7E">
              <w:t xml:space="preserve"> affected by marine motions</w:t>
            </w:r>
            <w:r w:rsidR="00DB2ED8">
              <w:t xml:space="preserve">. </w:t>
            </w:r>
            <w:r w:rsidR="000F2F15">
              <w:t xml:space="preserve">In addition, fission products </w:t>
            </w:r>
            <w:r w:rsidR="000F2F15">
              <w:t>that</w:t>
            </w:r>
            <w:r w:rsidR="000F2F15">
              <w:t xml:space="preserve"> have been separated from the fuel during operation and stored on</w:t>
            </w:r>
            <w:r w:rsidR="000F2F15">
              <w:t>-</w:t>
            </w:r>
            <w:r w:rsidR="000F2F15">
              <w:t>site</w:t>
            </w:r>
            <w:r w:rsidR="000F2F15">
              <w:t xml:space="preserve">, either solid or gaseous, can be </w:t>
            </w:r>
            <w:r w:rsidR="00A20F33">
              <w:t xml:space="preserve">treated and </w:t>
            </w:r>
            <w:r w:rsidR="000F2F15">
              <w:t>packaged according to nuclear material transport regulations prior to transportation.</w:t>
            </w:r>
            <w:r w:rsidR="00DB2ED8">
              <w:t xml:space="preserve"> Overall, MSR technology will allow the plant design to meet international standards for transport safety.</w:t>
            </w:r>
          </w:p>
        </w:tc>
      </w:tr>
    </w:tbl>
    <w:p w14:paraId="189DD321" w14:textId="73F6A076" w:rsidR="004A0FED" w:rsidRDefault="004A0FED">
      <w:pPr>
        <w:overflowPunct/>
        <w:autoSpaceDE/>
        <w:autoSpaceDN/>
        <w:adjustRightInd/>
        <w:textAlignment w:val="auto"/>
        <w:rPr>
          <w:b/>
          <w:sz w:val="20"/>
        </w:rPr>
      </w:pPr>
    </w:p>
    <w:p w14:paraId="25145BA9" w14:textId="23A092AD" w:rsidR="00386DF0" w:rsidRDefault="00C12695" w:rsidP="00386DF0">
      <w:pPr>
        <w:pStyle w:val="Heading30"/>
      </w:pPr>
      <w:r>
        <w:t xml:space="preserve">Technical </w:t>
      </w:r>
      <w:r w:rsidR="00386DF0">
        <w:t>Challenges</w:t>
      </w:r>
      <w:r w:rsidR="009679F4">
        <w:t xml:space="preserve"> and areas for development</w:t>
      </w:r>
    </w:p>
    <w:p w14:paraId="71F1E9CA" w14:textId="4E498FB1" w:rsidR="000B7B3C" w:rsidRDefault="004110DE" w:rsidP="000B7B3C">
      <w:pPr>
        <w:pStyle w:val="BodyText"/>
      </w:pPr>
      <w:r>
        <w:t>Molten Salt Reactors have</w:t>
      </w:r>
      <w:r w:rsidR="00DB314B">
        <w:t xml:space="preserve"> a number of areas that need to be researched</w:t>
      </w:r>
      <w:r w:rsidR="003E1668">
        <w:t xml:space="preserve"> and developed</w:t>
      </w:r>
      <w:r w:rsidR="00DB314B">
        <w:t xml:space="preserve"> in order to achieve</w:t>
      </w:r>
      <w:r w:rsidR="009679F4">
        <w:t xml:space="preserve"> technology readiness for</w:t>
      </w:r>
      <w:r w:rsidR="00DB314B">
        <w:t xml:space="preserve"> large scale commercial deployment</w:t>
      </w:r>
      <w:r w:rsidR="00B46D22">
        <w:t>,</w:t>
      </w:r>
      <w:r w:rsidR="00AD55F5">
        <w:t xml:space="preserve"> as showcased in </w:t>
      </w:r>
      <w:r w:rsidR="008E3CE0">
        <w:t>Table</w:t>
      </w:r>
      <w:r w:rsidR="00AD55F5">
        <w:t xml:space="preserve"> 3</w:t>
      </w:r>
      <w:r>
        <w:t>.</w:t>
      </w:r>
    </w:p>
    <w:p w14:paraId="6C031BAC" w14:textId="496FCCAE" w:rsidR="000B7B3C" w:rsidRPr="000B7B3C" w:rsidRDefault="000B7B3C" w:rsidP="000B7B3C">
      <w:pPr>
        <w:overflowPunct/>
        <w:autoSpaceDE/>
        <w:autoSpaceDN/>
        <w:adjustRightInd/>
        <w:textAlignment w:val="auto"/>
        <w:rPr>
          <w:sz w:val="20"/>
        </w:rPr>
      </w:pPr>
      <w:r>
        <w:br w:type="page"/>
      </w:r>
    </w:p>
    <w:p w14:paraId="2D8D6EE5" w14:textId="36ED03A8" w:rsidR="00AD55F5" w:rsidRDefault="00AD55F5" w:rsidP="00AD55F5">
      <w:pPr>
        <w:pStyle w:val="Caption"/>
        <w:keepNext/>
      </w:pPr>
      <w:r>
        <w:lastRenderedPageBreak/>
        <w:t>TABLE 3</w:t>
      </w:r>
      <w:r w:rsidR="008E3CE0">
        <w:t>.</w:t>
      </w:r>
      <w:r w:rsidR="008E3CE0">
        <w:tab/>
      </w:r>
      <w:r>
        <w:t xml:space="preserve"> MSR TECHNOLOGY</w:t>
      </w:r>
      <w:r w:rsidR="004110DE">
        <w:t>:</w:t>
      </w:r>
      <w:r>
        <w:t xml:space="preserve"> </w:t>
      </w:r>
      <w:r w:rsidR="00B46D22">
        <w:t xml:space="preserve">KEY </w:t>
      </w:r>
      <w:r>
        <w:t>AREAS OF RESEARCH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92"/>
      </w:tblGrid>
      <w:tr w:rsidR="000A24ED" w14:paraId="148FC224" w14:textId="77777777" w:rsidTr="00585240">
        <w:tc>
          <w:tcPr>
            <w:tcW w:w="1951" w:type="dxa"/>
            <w:tcBorders>
              <w:top w:val="single" w:sz="4" w:space="0" w:color="auto"/>
              <w:bottom w:val="single" w:sz="4" w:space="0" w:color="auto"/>
            </w:tcBorders>
          </w:tcPr>
          <w:p w14:paraId="023963A9" w14:textId="0FC567A0" w:rsidR="000A24ED" w:rsidRDefault="000A24ED" w:rsidP="00017477">
            <w:pPr>
              <w:pStyle w:val="BodyText"/>
              <w:ind w:firstLine="0"/>
            </w:pPr>
            <w:r>
              <w:t xml:space="preserve">MSR Technology Areas of Research </w:t>
            </w:r>
          </w:p>
        </w:tc>
        <w:tc>
          <w:tcPr>
            <w:tcW w:w="7292" w:type="dxa"/>
            <w:tcBorders>
              <w:top w:val="single" w:sz="4" w:space="0" w:color="auto"/>
              <w:bottom w:val="single" w:sz="4" w:space="0" w:color="auto"/>
            </w:tcBorders>
          </w:tcPr>
          <w:p w14:paraId="6EB0ED62" w14:textId="77777777" w:rsidR="000A24ED" w:rsidRDefault="000A24ED" w:rsidP="00017477">
            <w:pPr>
              <w:pStyle w:val="BodyText"/>
              <w:ind w:firstLine="0"/>
            </w:pPr>
          </w:p>
        </w:tc>
      </w:tr>
      <w:tr w:rsidR="000A24ED" w14:paraId="42D69BE7" w14:textId="77777777" w:rsidTr="00585240">
        <w:tc>
          <w:tcPr>
            <w:tcW w:w="1951" w:type="dxa"/>
            <w:tcBorders>
              <w:top w:val="single" w:sz="4" w:space="0" w:color="auto"/>
            </w:tcBorders>
          </w:tcPr>
          <w:p w14:paraId="6A179B18" w14:textId="483F8CD3" w:rsidR="000A24ED" w:rsidRDefault="000A24ED" w:rsidP="00017477">
            <w:pPr>
              <w:pStyle w:val="BodyText"/>
              <w:ind w:firstLine="0"/>
            </w:pPr>
            <w:r>
              <w:t>Salt-facing Materials</w:t>
            </w:r>
          </w:p>
        </w:tc>
        <w:tc>
          <w:tcPr>
            <w:tcW w:w="7292" w:type="dxa"/>
            <w:tcBorders>
              <w:top w:val="single" w:sz="4" w:space="0" w:color="auto"/>
            </w:tcBorders>
          </w:tcPr>
          <w:p w14:paraId="26A5D484" w14:textId="09F90A72" w:rsidR="000A24ED" w:rsidRDefault="000A24ED" w:rsidP="00017477">
            <w:pPr>
              <w:pStyle w:val="BodyText"/>
              <w:ind w:firstLine="0"/>
            </w:pPr>
            <w:r>
              <w:t xml:space="preserve">MSR requires materials that can operate at high temperatures 700 C, </w:t>
            </w:r>
            <w:r w:rsidR="00AD55F5">
              <w:t>withstanding salt driven</w:t>
            </w:r>
            <w:r>
              <w:t xml:space="preserve"> corrosion and erosion. Historically, </w:t>
            </w:r>
            <w:r w:rsidR="008346B7">
              <w:t>nickel</w:t>
            </w:r>
            <w:r>
              <w:t xml:space="preserve"> based alloys have been identified to meet these properties, however after a material is identified as a good candidate, tens of thousands of hours of testing and experimentation is needed to collect sufficient data for nuclear licencing.</w:t>
            </w:r>
          </w:p>
        </w:tc>
      </w:tr>
      <w:tr w:rsidR="000A24ED" w14:paraId="4CDCB5CD" w14:textId="77777777" w:rsidTr="00585240">
        <w:tc>
          <w:tcPr>
            <w:tcW w:w="1951" w:type="dxa"/>
          </w:tcPr>
          <w:p w14:paraId="3E27BF7D" w14:textId="7A82AB0A" w:rsidR="000A24ED" w:rsidRDefault="000A24ED" w:rsidP="00017477">
            <w:pPr>
              <w:pStyle w:val="BodyText"/>
              <w:ind w:firstLine="0"/>
            </w:pPr>
            <w:r>
              <w:t>Salt Chemistry</w:t>
            </w:r>
          </w:p>
        </w:tc>
        <w:tc>
          <w:tcPr>
            <w:tcW w:w="7292" w:type="dxa"/>
          </w:tcPr>
          <w:p w14:paraId="15E9FEB2" w14:textId="27819631" w:rsidR="000A24ED" w:rsidRDefault="000A24ED" w:rsidP="00017477">
            <w:pPr>
              <w:pStyle w:val="BodyText"/>
              <w:ind w:firstLine="0"/>
            </w:pPr>
            <w:r>
              <w:t>The solubility of minor actinides and lanthanides in molten salts remains uncertain and needs to be researched. In addition, chemistry research is needed in the area of REDOX control, for the purpose of minimizing corrosion of the salt facing alloys.</w:t>
            </w:r>
          </w:p>
        </w:tc>
      </w:tr>
      <w:tr w:rsidR="000A24ED" w14:paraId="094214AF" w14:textId="77777777" w:rsidTr="00585240">
        <w:tc>
          <w:tcPr>
            <w:tcW w:w="1951" w:type="dxa"/>
            <w:tcBorders>
              <w:bottom w:val="single" w:sz="4" w:space="0" w:color="auto"/>
            </w:tcBorders>
          </w:tcPr>
          <w:p w14:paraId="4A3749B8" w14:textId="06A77AF7" w:rsidR="000A24ED" w:rsidRDefault="000A24ED" w:rsidP="00017477">
            <w:pPr>
              <w:pStyle w:val="BodyText"/>
              <w:ind w:firstLine="0"/>
            </w:pPr>
            <w:r>
              <w:t>Nuclear Data</w:t>
            </w:r>
          </w:p>
        </w:tc>
        <w:tc>
          <w:tcPr>
            <w:tcW w:w="7292" w:type="dxa"/>
            <w:tcBorders>
              <w:bottom w:val="single" w:sz="4" w:space="0" w:color="auto"/>
            </w:tcBorders>
          </w:tcPr>
          <w:p w14:paraId="4614064A" w14:textId="27AFB8E6" w:rsidR="000A24ED" w:rsidRDefault="003B0C05" w:rsidP="00017477">
            <w:pPr>
              <w:pStyle w:val="BodyText"/>
              <w:ind w:firstLine="0"/>
            </w:pPr>
            <w:r>
              <w:t>More accurate c</w:t>
            </w:r>
            <w:r w:rsidR="000A24ED">
              <w:t>ross section data</w:t>
            </w:r>
            <w:r>
              <w:t xml:space="preserve"> than what is currently available</w:t>
            </w:r>
            <w:r w:rsidR="000A24ED">
              <w:t xml:space="preserve"> for high energy neutron reactions with the salt elements is needed to accurately predict MSR </w:t>
            </w:r>
            <w:r>
              <w:t>core physics and criticality safety.</w:t>
            </w:r>
          </w:p>
        </w:tc>
      </w:tr>
    </w:tbl>
    <w:p w14:paraId="46D539F3" w14:textId="77777777" w:rsidR="000A24ED" w:rsidRDefault="000A24ED" w:rsidP="004110DE">
      <w:pPr>
        <w:pStyle w:val="BodyText"/>
        <w:ind w:firstLine="0"/>
      </w:pPr>
    </w:p>
    <w:p w14:paraId="0372D3DB" w14:textId="34158AE6" w:rsidR="007F6DC6" w:rsidRPr="00173979" w:rsidRDefault="00C12695" w:rsidP="00173979">
      <w:pPr>
        <w:pStyle w:val="BodyText"/>
      </w:pPr>
      <w:r>
        <w:t>In addition,</w:t>
      </w:r>
      <w:r w:rsidR="00060CEB">
        <w:t xml:space="preserve"> MSR</w:t>
      </w:r>
      <w:r w:rsidR="00592D96">
        <w:t xml:space="preserve">s </w:t>
      </w:r>
      <w:r w:rsidR="00B46D22">
        <w:t>need</w:t>
      </w:r>
      <w:r w:rsidR="00060CEB">
        <w:t xml:space="preserve"> multiple </w:t>
      </w:r>
      <w:r>
        <w:t>ancillary</w:t>
      </w:r>
      <w:r w:rsidR="00060CEB">
        <w:t xml:space="preserve"> systems</w:t>
      </w:r>
      <w:r>
        <w:t xml:space="preserve"> to operate</w:t>
      </w:r>
      <w:r w:rsidR="00060CEB">
        <w:t>, other than the reactor vessel</w:t>
      </w:r>
      <w:r w:rsidR="009679F4">
        <w:t xml:space="preserve"> and power conversion system</w:t>
      </w:r>
      <w:r w:rsidR="00060CEB">
        <w:t xml:space="preserve">. These include an off-gas/salt processing system that separates non-soluble </w:t>
      </w:r>
      <w:r w:rsidR="00592D96">
        <w:t>FPs</w:t>
      </w:r>
      <w:r>
        <w:t xml:space="preserve"> from the fuel salt, a cover gas system</w:t>
      </w:r>
      <w:r w:rsidR="00B46D22">
        <w:t xml:space="preserve"> to prevent air from mixing with the salt</w:t>
      </w:r>
      <w:r>
        <w:t>, fuel storage tanks</w:t>
      </w:r>
      <w:r w:rsidR="00592D96">
        <w:t>, piping, pumps and valves that can operate under high temperature</w:t>
      </w:r>
      <w:r w:rsidR="00B32ED6">
        <w:t>s and withstand salt thermal expansion</w:t>
      </w:r>
      <w:r w:rsidR="00592D96">
        <w:t>,</w:t>
      </w:r>
      <w:r>
        <w:t xml:space="preserve"> meeting international nuclear safety standards. </w:t>
      </w:r>
      <w:r w:rsidR="00645E3D">
        <w:t>Developing</w:t>
      </w:r>
      <w:r w:rsidR="003B0C05">
        <w:t xml:space="preserve"> the technology readiness of</w:t>
      </w:r>
      <w:r w:rsidR="00645E3D">
        <w:t xml:space="preserve"> these systems structures and components</w:t>
      </w:r>
      <w:r w:rsidR="002B0478">
        <w:t xml:space="preserve"> and</w:t>
      </w:r>
      <w:r w:rsidR="00645E3D">
        <w:t xml:space="preserve"> integrating them in a marine asset</w:t>
      </w:r>
      <w:r w:rsidR="002B0478">
        <w:t>, also designing for an efficient</w:t>
      </w:r>
      <w:r w:rsidR="00592D96">
        <w:t xml:space="preserve"> operation and</w:t>
      </w:r>
      <w:r w:rsidR="002B0478">
        <w:t xml:space="preserve"> maintenance plan</w:t>
      </w:r>
      <w:r w:rsidR="00645E3D">
        <w:t xml:space="preserve"> w</w:t>
      </w:r>
      <w:r w:rsidR="00592D96">
        <w:t xml:space="preserve">ould require </w:t>
      </w:r>
      <w:r w:rsidR="002B0478">
        <w:t>significant resources spent</w:t>
      </w:r>
      <w:r w:rsidR="00645E3D">
        <w:t xml:space="preserve"> </w:t>
      </w:r>
      <w:r w:rsidR="002B0478">
        <w:t>in</w:t>
      </w:r>
      <w:r w:rsidR="00645E3D">
        <w:t xml:space="preserve"> component and materials testing, research and development.</w:t>
      </w:r>
    </w:p>
    <w:p w14:paraId="7329B98D" w14:textId="65B43647" w:rsidR="00EB060E" w:rsidRPr="00A30884" w:rsidRDefault="00B32ED6" w:rsidP="00A30884">
      <w:pPr>
        <w:pStyle w:val="BodyText"/>
      </w:pPr>
      <w:r>
        <w:t>Some</w:t>
      </w:r>
      <w:r w:rsidR="001C7BD2">
        <w:t xml:space="preserve"> exciting upcoming </w:t>
      </w:r>
      <w:r>
        <w:t>research</w:t>
      </w:r>
      <w:r w:rsidR="001C7BD2">
        <w:t xml:space="preserve"> in th</w:t>
      </w:r>
      <w:r w:rsidR="007F5C89">
        <w:t>e</w:t>
      </w:r>
      <w:r>
        <w:t xml:space="preserve">se areas is being done by the Molten Chloride Fast Reactor Program, a </w:t>
      </w:r>
      <w:r w:rsidR="00AB543F">
        <w:t>joint</w:t>
      </w:r>
      <w:r>
        <w:t xml:space="preserve"> </w:t>
      </w:r>
      <w:r w:rsidR="00AB543F">
        <w:t>c</w:t>
      </w:r>
      <w:r>
        <w:t>ollaboration between TerraPower, Southern Company, CORE POWER and Hyundai Heavy Industries.</w:t>
      </w:r>
      <w:r w:rsidR="00AB543F">
        <w:t xml:space="preserve"> Under this program, the Integrated Effects Tests is a Thermal-hydraulics testing facility that is performing component testing and operator training with non-fissile molten salts, and the</w:t>
      </w:r>
      <w:r w:rsidR="001C7BD2">
        <w:t xml:space="preserve"> Molten Chloride Reactor Experiment, </w:t>
      </w:r>
      <w:r w:rsidR="00293EF6">
        <w:t>is a</w:t>
      </w:r>
      <w:r w:rsidR="001C7BD2">
        <w:t xml:space="preserve"> 200 kW fast-spectrum chloride salt experimental reactor that will be built and operated </w:t>
      </w:r>
      <w:r w:rsidR="00293EF6">
        <w:t xml:space="preserve">in the following years </w:t>
      </w:r>
      <w:r w:rsidR="001C7BD2">
        <w:t>at Idaho National Laboratory</w:t>
      </w:r>
      <w:r w:rsidR="00293EF6">
        <w:t xml:space="preserve"> </w:t>
      </w:r>
      <w:r w:rsidR="00160122">
        <w:t>[</w:t>
      </w:r>
      <w:r w:rsidR="00D05871">
        <w:t>8</w:t>
      </w:r>
      <w:r w:rsidR="00160122">
        <w:t>]</w:t>
      </w:r>
      <w:r w:rsidR="00324A1F">
        <w:t>.</w:t>
      </w:r>
    </w:p>
    <w:p w14:paraId="3B055EDC" w14:textId="3A0DA1E4" w:rsidR="00C254A5" w:rsidRDefault="00EB060E" w:rsidP="00C254A5">
      <w:pPr>
        <w:pStyle w:val="Heading20"/>
      </w:pPr>
      <w:r w:rsidRPr="00EB060E">
        <w:t xml:space="preserve"> </w:t>
      </w:r>
      <w:r>
        <w:tab/>
      </w:r>
      <w:r w:rsidR="00216493">
        <w:t xml:space="preserve">evaluating </w:t>
      </w:r>
      <w:r w:rsidR="00C94FF4">
        <w:t>criticality safety</w:t>
      </w:r>
      <w:r w:rsidR="00216493">
        <w:t xml:space="preserve"> o</w:t>
      </w:r>
      <w:r w:rsidR="00F95EA7">
        <w:t xml:space="preserve">f water mixing with </w:t>
      </w:r>
      <w:r w:rsidR="00C94FF4">
        <w:t>fuel salt</w:t>
      </w:r>
    </w:p>
    <w:p w14:paraId="054429F2" w14:textId="3FC4AE6E" w:rsidR="008346B7" w:rsidRDefault="008346B7" w:rsidP="008346B7">
      <w:pPr>
        <w:pStyle w:val="BodyText"/>
      </w:pPr>
      <w:r>
        <w:t xml:space="preserve">As discussed, </w:t>
      </w:r>
      <w:r w:rsidR="0090360F">
        <w:t>to licence a reactor for use in marine applications, the reactor should be able to perform the safety function of criticality control under submerged conditions</w:t>
      </w:r>
      <w:r>
        <w:t>, following marine accidents. For an MSR that is shut down, one of the bounding criticality safety cases that need to be evaluated</w:t>
      </w:r>
      <w:r w:rsidR="0090360F">
        <w:t>,</w:t>
      </w:r>
      <w:r w:rsidR="00F95EA7">
        <w:t xml:space="preserve"> especially for the use in FNPPs</w:t>
      </w:r>
      <w:r w:rsidR="00C94FF4">
        <w:t>,</w:t>
      </w:r>
      <w:r>
        <w:t xml:space="preserve"> is water mixing with the fuel salt.</w:t>
      </w:r>
      <w:r w:rsidR="00F95EA7">
        <w:t xml:space="preserve"> A</w:t>
      </w:r>
      <w:r w:rsidR="00F95EA7" w:rsidRPr="008346B7">
        <w:t>ssuring that an ingress of water into any system does not lead to a criticality accident is essential</w:t>
      </w:r>
      <w:r w:rsidR="00F95EA7">
        <w:t xml:space="preserve">. </w:t>
      </w:r>
      <w:r w:rsidR="00F95EA7" w:rsidRPr="008346B7">
        <w:t xml:space="preserve">As such, this section </w:t>
      </w:r>
      <w:r w:rsidR="00F95EA7">
        <w:t>outlines</w:t>
      </w:r>
      <w:r w:rsidR="00F95EA7" w:rsidRPr="008346B7">
        <w:t xml:space="preserve"> the preliminary investigation into the effect of the hydrogen-to-heavy-metal ratio (H/HM) on </w:t>
      </w:r>
      <w:r w:rsidR="0090360F">
        <w:t>the k-effective</w:t>
      </w:r>
      <w:r w:rsidR="00F95EA7" w:rsidRPr="008346B7">
        <w:t xml:space="preserve"> of liquid fuels.</w:t>
      </w:r>
    </w:p>
    <w:p w14:paraId="484B5327" w14:textId="7ED6BA72" w:rsidR="00F527CF" w:rsidRPr="008346B7" w:rsidRDefault="00F527CF" w:rsidP="00585240">
      <w:pPr>
        <w:pStyle w:val="Heading30"/>
        <w:numPr>
          <w:ilvl w:val="2"/>
          <w:numId w:val="41"/>
        </w:numPr>
      </w:pPr>
      <w:r>
        <w:t>Methodology</w:t>
      </w:r>
    </w:p>
    <w:p w14:paraId="24B015D0" w14:textId="768A009E" w:rsidR="000B7B3C" w:rsidRDefault="00F527CF" w:rsidP="000B7B3C">
      <w:pPr>
        <w:pStyle w:val="BodyText"/>
      </w:pPr>
      <w:r w:rsidRPr="008346B7">
        <w:t>Three different liquid fuels are investigated in this study: the uranium-235 Molten Salt Reactor Experiment (MSRE) fuel [</w:t>
      </w:r>
      <w:r w:rsidR="00D05871">
        <w:t>9</w:t>
      </w:r>
      <w:r w:rsidRPr="008346B7">
        <w:t>], a thermal spectrum</w:t>
      </w:r>
      <w:r w:rsidR="004A5B55">
        <w:t xml:space="preserve"> FLiBe</w:t>
      </w:r>
      <w:r w:rsidRPr="008346B7">
        <w:t xml:space="preserve"> fuel</w:t>
      </w:r>
      <w:r w:rsidR="004A5B55">
        <w:t xml:space="preserve"> salt</w:t>
      </w:r>
      <w:r w:rsidRPr="008346B7">
        <w:t xml:space="preserve"> and </w:t>
      </w:r>
      <w:r w:rsidR="004A5B55">
        <w:t>a Chloride fuel salt</w:t>
      </w:r>
      <w:r w:rsidRPr="008346B7">
        <w:t xml:space="preserve"> [</w:t>
      </w:r>
      <w:r w:rsidR="00D05871">
        <w:t>10</w:t>
      </w:r>
      <w:r w:rsidRPr="008346B7">
        <w:t xml:space="preserve">]. The composition in terms of number densities (ND) are given in </w:t>
      </w:r>
      <w:r w:rsidR="008E3CE0">
        <w:t>T</w:t>
      </w:r>
      <w:r w:rsidRPr="008346B7">
        <w:t xml:space="preserve">able </w:t>
      </w:r>
      <w:r w:rsidR="008E3CE0">
        <w:t>4</w:t>
      </w:r>
      <w:r w:rsidRPr="008346B7">
        <w:t xml:space="preserve">. </w:t>
      </w:r>
      <w:r w:rsidR="004A5B55">
        <w:t>Analysis of the fuel-water mixtures</w:t>
      </w:r>
      <w:r w:rsidRPr="008346B7">
        <w:t xml:space="preserve"> was conducted using OpenMC, a Monte Carlo particle transport simulation code [</w:t>
      </w:r>
      <w:r w:rsidR="00D05871">
        <w:t>11</w:t>
      </w:r>
      <w:r w:rsidRPr="008346B7">
        <w:t>], with ENDF/B-VIII.0 nuclear data [</w:t>
      </w:r>
      <w:r w:rsidR="00D05871">
        <w:t>12</w:t>
      </w:r>
      <w:r w:rsidRPr="008346B7">
        <w:t>], to construct an infinitely reflected volume of liquid fuel. Then, by fixing the amount of each nuclide in the fuel salt, the value for hydrogen and oxygen could be determined and varied to form a mixture with different values of H/HM. For additional analysis, flux and radiative capture spectra were tallied using the ECCO-1968 energy group structure [</w:t>
      </w:r>
      <w:r w:rsidR="00D05871">
        <w:t>13</w:t>
      </w:r>
      <w:r w:rsidRPr="008346B7">
        <w:t>].</w:t>
      </w:r>
    </w:p>
    <w:p w14:paraId="2746A31D" w14:textId="77777777" w:rsidR="000B7B3C" w:rsidRDefault="000B7B3C">
      <w:pPr>
        <w:overflowPunct/>
        <w:autoSpaceDE/>
        <w:autoSpaceDN/>
        <w:adjustRightInd/>
        <w:textAlignment w:val="auto"/>
        <w:rPr>
          <w:sz w:val="20"/>
        </w:rPr>
      </w:pPr>
      <w:r>
        <w:br w:type="page"/>
      </w:r>
    </w:p>
    <w:p w14:paraId="44F49878" w14:textId="77777777" w:rsidR="000B7B3C" w:rsidRPr="000B7B3C" w:rsidRDefault="000B7B3C" w:rsidP="000B7B3C">
      <w:pPr>
        <w:pStyle w:val="BodyText"/>
      </w:pPr>
    </w:p>
    <w:p w14:paraId="19200891" w14:textId="614E3FED" w:rsidR="00543F08" w:rsidRDefault="00543F08" w:rsidP="00543F08">
      <w:pPr>
        <w:pStyle w:val="Caption"/>
        <w:keepNext/>
      </w:pPr>
      <w:r>
        <w:t>TABLE 4. FUEL</w:t>
      </w:r>
      <w:r>
        <w:t xml:space="preserve"> SALT</w:t>
      </w:r>
      <w:r>
        <w:t xml:space="preserve"> COMPOSITIONS</w:t>
      </w:r>
    </w:p>
    <w:tbl>
      <w:tblPr>
        <w:tblStyle w:val="TableGrid"/>
        <w:tblpPr w:leftFromText="180" w:rightFromText="180" w:vertAnchor="text" w:horzAnchor="margin" w:tblpXSpec="center" w:tblpY="1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
        <w:gridCol w:w="1421"/>
        <w:gridCol w:w="786"/>
        <w:gridCol w:w="1421"/>
        <w:gridCol w:w="786"/>
        <w:gridCol w:w="1421"/>
      </w:tblGrid>
      <w:tr w:rsidR="000B7B3C" w:rsidRPr="00D05871" w14:paraId="6F9ABB1E" w14:textId="77777777" w:rsidTr="000B7B3C">
        <w:trPr>
          <w:trHeight w:val="300"/>
        </w:trPr>
        <w:tc>
          <w:tcPr>
            <w:tcW w:w="0" w:type="auto"/>
            <w:gridSpan w:val="2"/>
            <w:tcBorders>
              <w:top w:val="single" w:sz="4" w:space="0" w:color="auto"/>
              <w:bottom w:val="single" w:sz="4" w:space="0" w:color="auto"/>
            </w:tcBorders>
            <w:noWrap/>
            <w:vAlign w:val="center"/>
            <w:hideMark/>
          </w:tcPr>
          <w:p w14:paraId="4FD71D41" w14:textId="77777777" w:rsidR="000B7B3C" w:rsidRPr="00D05871" w:rsidRDefault="000B7B3C" w:rsidP="000B7B3C">
            <w:pPr>
              <w:overflowPunct/>
              <w:autoSpaceDE/>
              <w:autoSpaceDN/>
              <w:adjustRightInd/>
              <w:jc w:val="center"/>
              <w:textAlignment w:val="auto"/>
              <w:rPr>
                <w:color w:val="000000"/>
                <w:sz w:val="18"/>
                <w:szCs w:val="18"/>
                <w:lang w:eastAsia="en-GB"/>
              </w:rPr>
            </w:pPr>
            <w:r w:rsidRPr="00D05871">
              <w:rPr>
                <w:color w:val="000000"/>
                <w:sz w:val="18"/>
                <w:szCs w:val="18"/>
                <w:lang w:eastAsia="en-GB"/>
              </w:rPr>
              <w:t>MSRE</w:t>
            </w:r>
          </w:p>
        </w:tc>
        <w:tc>
          <w:tcPr>
            <w:tcW w:w="0" w:type="auto"/>
            <w:gridSpan w:val="2"/>
            <w:tcBorders>
              <w:top w:val="single" w:sz="4" w:space="0" w:color="auto"/>
              <w:bottom w:val="single" w:sz="4" w:space="0" w:color="auto"/>
            </w:tcBorders>
            <w:noWrap/>
            <w:vAlign w:val="center"/>
            <w:hideMark/>
          </w:tcPr>
          <w:p w14:paraId="0A8A14B1" w14:textId="77777777" w:rsidR="000B7B3C" w:rsidRPr="00D05871" w:rsidRDefault="000B7B3C" w:rsidP="000B7B3C">
            <w:pPr>
              <w:overflowPunct/>
              <w:autoSpaceDE/>
              <w:autoSpaceDN/>
              <w:adjustRightInd/>
              <w:jc w:val="center"/>
              <w:textAlignment w:val="auto"/>
              <w:rPr>
                <w:color w:val="000000"/>
                <w:sz w:val="18"/>
                <w:szCs w:val="18"/>
                <w:lang w:eastAsia="en-GB"/>
              </w:rPr>
            </w:pPr>
            <w:r w:rsidRPr="00D05871">
              <w:rPr>
                <w:color w:val="000000"/>
                <w:sz w:val="18"/>
                <w:szCs w:val="18"/>
                <w:lang w:eastAsia="en-GB"/>
              </w:rPr>
              <w:t xml:space="preserve">LEU </w:t>
            </w:r>
            <w:r>
              <w:rPr>
                <w:color w:val="000000"/>
                <w:sz w:val="18"/>
                <w:szCs w:val="18"/>
                <w:lang w:eastAsia="en-GB"/>
              </w:rPr>
              <w:t>FLIBE</w:t>
            </w:r>
          </w:p>
        </w:tc>
        <w:tc>
          <w:tcPr>
            <w:tcW w:w="0" w:type="auto"/>
            <w:gridSpan w:val="2"/>
            <w:tcBorders>
              <w:top w:val="single" w:sz="4" w:space="0" w:color="auto"/>
              <w:bottom w:val="single" w:sz="4" w:space="0" w:color="auto"/>
            </w:tcBorders>
            <w:noWrap/>
            <w:vAlign w:val="center"/>
            <w:hideMark/>
          </w:tcPr>
          <w:p w14:paraId="6E48881D" w14:textId="77777777" w:rsidR="000B7B3C" w:rsidRPr="00D05871" w:rsidRDefault="000B7B3C" w:rsidP="000B7B3C">
            <w:pPr>
              <w:overflowPunct/>
              <w:autoSpaceDE/>
              <w:autoSpaceDN/>
              <w:adjustRightInd/>
              <w:jc w:val="center"/>
              <w:textAlignment w:val="auto"/>
              <w:rPr>
                <w:color w:val="000000"/>
                <w:sz w:val="18"/>
                <w:szCs w:val="18"/>
                <w:lang w:eastAsia="en-GB"/>
              </w:rPr>
            </w:pPr>
            <w:r>
              <w:rPr>
                <w:color w:val="000000"/>
                <w:sz w:val="18"/>
                <w:szCs w:val="18"/>
                <w:lang w:eastAsia="en-GB"/>
              </w:rPr>
              <w:t>CHLORIDE BASED</w:t>
            </w:r>
          </w:p>
        </w:tc>
      </w:tr>
      <w:tr w:rsidR="000B7B3C" w:rsidRPr="00D05871" w14:paraId="316AE996" w14:textId="77777777" w:rsidTr="000B7B3C">
        <w:trPr>
          <w:trHeight w:val="300"/>
        </w:trPr>
        <w:tc>
          <w:tcPr>
            <w:tcW w:w="0" w:type="auto"/>
            <w:tcBorders>
              <w:top w:val="single" w:sz="4" w:space="0" w:color="auto"/>
            </w:tcBorders>
            <w:noWrap/>
            <w:vAlign w:val="center"/>
            <w:hideMark/>
          </w:tcPr>
          <w:p w14:paraId="1E094E09" w14:textId="77777777" w:rsidR="000B7B3C" w:rsidRPr="00D05871" w:rsidRDefault="000B7B3C" w:rsidP="000B7B3C">
            <w:pPr>
              <w:overflowPunct/>
              <w:autoSpaceDE/>
              <w:autoSpaceDN/>
              <w:adjustRightInd/>
              <w:jc w:val="center"/>
              <w:textAlignment w:val="auto"/>
              <w:rPr>
                <w:color w:val="000000"/>
                <w:sz w:val="18"/>
                <w:szCs w:val="18"/>
                <w:lang w:eastAsia="en-GB"/>
              </w:rPr>
            </w:pPr>
            <w:r w:rsidRPr="00D05871">
              <w:rPr>
                <w:color w:val="000000"/>
                <w:sz w:val="18"/>
                <w:szCs w:val="18"/>
                <w:lang w:eastAsia="en-GB"/>
              </w:rPr>
              <w:t>Nuclide</w:t>
            </w:r>
          </w:p>
        </w:tc>
        <w:tc>
          <w:tcPr>
            <w:tcW w:w="0" w:type="auto"/>
            <w:tcBorders>
              <w:top w:val="single" w:sz="4" w:space="0" w:color="auto"/>
            </w:tcBorders>
            <w:noWrap/>
            <w:vAlign w:val="center"/>
            <w:hideMark/>
          </w:tcPr>
          <w:p w14:paraId="6603648B" w14:textId="77777777" w:rsidR="000B7B3C" w:rsidRPr="00D05871" w:rsidRDefault="000B7B3C" w:rsidP="000B7B3C">
            <w:pPr>
              <w:overflowPunct/>
              <w:autoSpaceDE/>
              <w:autoSpaceDN/>
              <w:adjustRightInd/>
              <w:jc w:val="center"/>
              <w:textAlignment w:val="auto"/>
              <w:rPr>
                <w:color w:val="000000"/>
                <w:sz w:val="18"/>
                <w:szCs w:val="18"/>
                <w:lang w:eastAsia="en-GB"/>
              </w:rPr>
            </w:pPr>
            <w:r w:rsidRPr="00D05871">
              <w:rPr>
                <w:color w:val="000000"/>
                <w:sz w:val="18"/>
                <w:szCs w:val="18"/>
                <w:lang w:eastAsia="en-GB"/>
              </w:rPr>
              <w:t>ND (at/barn-cm)</w:t>
            </w:r>
          </w:p>
        </w:tc>
        <w:tc>
          <w:tcPr>
            <w:tcW w:w="0" w:type="auto"/>
            <w:tcBorders>
              <w:top w:val="single" w:sz="4" w:space="0" w:color="auto"/>
            </w:tcBorders>
            <w:noWrap/>
            <w:vAlign w:val="center"/>
            <w:hideMark/>
          </w:tcPr>
          <w:p w14:paraId="2B3507F5" w14:textId="77777777" w:rsidR="000B7B3C" w:rsidRPr="00D05871" w:rsidRDefault="000B7B3C" w:rsidP="000B7B3C">
            <w:pPr>
              <w:overflowPunct/>
              <w:autoSpaceDE/>
              <w:autoSpaceDN/>
              <w:adjustRightInd/>
              <w:jc w:val="center"/>
              <w:textAlignment w:val="auto"/>
              <w:rPr>
                <w:color w:val="000000"/>
                <w:sz w:val="18"/>
                <w:szCs w:val="18"/>
                <w:lang w:eastAsia="en-GB"/>
              </w:rPr>
            </w:pPr>
            <w:r w:rsidRPr="00D05871">
              <w:rPr>
                <w:color w:val="000000"/>
                <w:sz w:val="18"/>
                <w:szCs w:val="18"/>
                <w:lang w:eastAsia="en-GB"/>
              </w:rPr>
              <w:t>Nuclide</w:t>
            </w:r>
          </w:p>
        </w:tc>
        <w:tc>
          <w:tcPr>
            <w:tcW w:w="0" w:type="auto"/>
            <w:noWrap/>
            <w:vAlign w:val="center"/>
            <w:hideMark/>
          </w:tcPr>
          <w:p w14:paraId="2C7F0537" w14:textId="77777777" w:rsidR="000B7B3C" w:rsidRPr="00D05871" w:rsidRDefault="000B7B3C" w:rsidP="000B7B3C">
            <w:pPr>
              <w:overflowPunct/>
              <w:autoSpaceDE/>
              <w:autoSpaceDN/>
              <w:adjustRightInd/>
              <w:jc w:val="center"/>
              <w:textAlignment w:val="auto"/>
              <w:rPr>
                <w:color w:val="000000"/>
                <w:sz w:val="18"/>
                <w:szCs w:val="18"/>
                <w:lang w:eastAsia="en-GB"/>
              </w:rPr>
            </w:pPr>
            <w:r w:rsidRPr="00D05871">
              <w:rPr>
                <w:color w:val="000000"/>
                <w:sz w:val="18"/>
                <w:szCs w:val="18"/>
                <w:lang w:eastAsia="en-GB"/>
              </w:rPr>
              <w:t>ND (at/barn-cm)</w:t>
            </w:r>
          </w:p>
        </w:tc>
        <w:tc>
          <w:tcPr>
            <w:tcW w:w="0" w:type="auto"/>
            <w:tcBorders>
              <w:top w:val="single" w:sz="4" w:space="0" w:color="auto"/>
            </w:tcBorders>
            <w:noWrap/>
            <w:vAlign w:val="center"/>
            <w:hideMark/>
          </w:tcPr>
          <w:p w14:paraId="1FF7E633" w14:textId="77777777" w:rsidR="000B7B3C" w:rsidRPr="00D05871" w:rsidRDefault="000B7B3C" w:rsidP="000B7B3C">
            <w:pPr>
              <w:overflowPunct/>
              <w:autoSpaceDE/>
              <w:autoSpaceDN/>
              <w:adjustRightInd/>
              <w:jc w:val="center"/>
              <w:textAlignment w:val="auto"/>
              <w:rPr>
                <w:color w:val="000000"/>
                <w:sz w:val="18"/>
                <w:szCs w:val="18"/>
                <w:lang w:eastAsia="en-GB"/>
              </w:rPr>
            </w:pPr>
            <w:r w:rsidRPr="00D05871">
              <w:rPr>
                <w:color w:val="000000"/>
                <w:sz w:val="18"/>
                <w:szCs w:val="18"/>
                <w:lang w:eastAsia="en-GB"/>
              </w:rPr>
              <w:t>Nuclide</w:t>
            </w:r>
          </w:p>
        </w:tc>
        <w:tc>
          <w:tcPr>
            <w:tcW w:w="0" w:type="auto"/>
            <w:tcBorders>
              <w:top w:val="single" w:sz="4" w:space="0" w:color="auto"/>
            </w:tcBorders>
            <w:noWrap/>
            <w:vAlign w:val="center"/>
            <w:hideMark/>
          </w:tcPr>
          <w:p w14:paraId="0446F67E" w14:textId="77777777" w:rsidR="000B7B3C" w:rsidRPr="00D05871" w:rsidRDefault="000B7B3C" w:rsidP="000B7B3C">
            <w:pPr>
              <w:overflowPunct/>
              <w:autoSpaceDE/>
              <w:autoSpaceDN/>
              <w:adjustRightInd/>
              <w:jc w:val="center"/>
              <w:textAlignment w:val="auto"/>
              <w:rPr>
                <w:color w:val="000000"/>
                <w:sz w:val="18"/>
                <w:szCs w:val="18"/>
                <w:lang w:eastAsia="en-GB"/>
              </w:rPr>
            </w:pPr>
            <w:r w:rsidRPr="00D05871">
              <w:rPr>
                <w:color w:val="000000"/>
                <w:sz w:val="18"/>
                <w:szCs w:val="18"/>
                <w:lang w:eastAsia="en-GB"/>
              </w:rPr>
              <w:t>ND (at/barn-cm)</w:t>
            </w:r>
          </w:p>
        </w:tc>
      </w:tr>
      <w:tr w:rsidR="000B7B3C" w:rsidRPr="00D05871" w14:paraId="75E0BE93" w14:textId="77777777" w:rsidTr="000B7B3C">
        <w:trPr>
          <w:trHeight w:val="300"/>
        </w:trPr>
        <w:tc>
          <w:tcPr>
            <w:tcW w:w="0" w:type="auto"/>
            <w:noWrap/>
            <w:vAlign w:val="center"/>
            <w:hideMark/>
          </w:tcPr>
          <w:p w14:paraId="6D8FE09A" w14:textId="77777777" w:rsidR="000B7B3C" w:rsidRPr="00D05871" w:rsidRDefault="000B7B3C" w:rsidP="000B7B3C">
            <w:pPr>
              <w:overflowPunct/>
              <w:autoSpaceDE/>
              <w:autoSpaceDN/>
              <w:adjustRightInd/>
              <w:jc w:val="center"/>
              <w:textAlignment w:val="auto"/>
              <w:rPr>
                <w:color w:val="000000"/>
                <w:sz w:val="18"/>
                <w:szCs w:val="18"/>
                <w:lang w:eastAsia="en-GB"/>
              </w:rPr>
            </w:pPr>
            <w:r w:rsidRPr="00D05871">
              <w:rPr>
                <w:color w:val="000000"/>
                <w:sz w:val="18"/>
                <w:szCs w:val="18"/>
                <w:lang w:eastAsia="en-GB"/>
              </w:rPr>
              <w:t>U235</w:t>
            </w:r>
          </w:p>
        </w:tc>
        <w:tc>
          <w:tcPr>
            <w:tcW w:w="0" w:type="auto"/>
            <w:noWrap/>
            <w:vAlign w:val="center"/>
            <w:hideMark/>
          </w:tcPr>
          <w:p w14:paraId="43A86E3A" w14:textId="77777777" w:rsidR="000B7B3C" w:rsidRPr="00D05871" w:rsidRDefault="000B7B3C" w:rsidP="000B7B3C">
            <w:pPr>
              <w:overflowPunct/>
              <w:autoSpaceDE/>
              <w:autoSpaceDN/>
              <w:adjustRightInd/>
              <w:jc w:val="center"/>
              <w:textAlignment w:val="auto"/>
              <w:rPr>
                <w:color w:val="000000"/>
                <w:sz w:val="18"/>
                <w:szCs w:val="18"/>
                <w:lang w:eastAsia="en-GB"/>
              </w:rPr>
            </w:pPr>
            <w:r w:rsidRPr="00D05871">
              <w:rPr>
                <w:color w:val="000000"/>
                <w:sz w:val="18"/>
                <w:szCs w:val="18"/>
                <w:lang w:eastAsia="en-GB"/>
              </w:rPr>
              <w:t>8.556E-05</w:t>
            </w:r>
          </w:p>
        </w:tc>
        <w:tc>
          <w:tcPr>
            <w:tcW w:w="0" w:type="auto"/>
            <w:noWrap/>
            <w:vAlign w:val="center"/>
            <w:hideMark/>
          </w:tcPr>
          <w:p w14:paraId="2F9991B2" w14:textId="77777777" w:rsidR="000B7B3C" w:rsidRPr="00D05871" w:rsidRDefault="000B7B3C" w:rsidP="000B7B3C">
            <w:pPr>
              <w:overflowPunct/>
              <w:autoSpaceDE/>
              <w:autoSpaceDN/>
              <w:adjustRightInd/>
              <w:jc w:val="center"/>
              <w:textAlignment w:val="auto"/>
              <w:rPr>
                <w:color w:val="000000"/>
                <w:sz w:val="18"/>
                <w:szCs w:val="18"/>
                <w:lang w:eastAsia="en-GB"/>
              </w:rPr>
            </w:pPr>
            <w:r w:rsidRPr="00D05871">
              <w:rPr>
                <w:color w:val="000000"/>
                <w:sz w:val="18"/>
                <w:szCs w:val="18"/>
                <w:lang w:eastAsia="en-GB"/>
              </w:rPr>
              <w:t>U235</w:t>
            </w:r>
          </w:p>
        </w:tc>
        <w:tc>
          <w:tcPr>
            <w:tcW w:w="0" w:type="auto"/>
            <w:noWrap/>
            <w:vAlign w:val="center"/>
            <w:hideMark/>
          </w:tcPr>
          <w:p w14:paraId="31771F59" w14:textId="77777777" w:rsidR="000B7B3C" w:rsidRPr="00D05871" w:rsidRDefault="000B7B3C" w:rsidP="000B7B3C">
            <w:pPr>
              <w:overflowPunct/>
              <w:autoSpaceDE/>
              <w:autoSpaceDN/>
              <w:adjustRightInd/>
              <w:jc w:val="center"/>
              <w:textAlignment w:val="auto"/>
              <w:rPr>
                <w:color w:val="000000"/>
                <w:sz w:val="18"/>
                <w:szCs w:val="18"/>
                <w:lang w:eastAsia="en-GB"/>
              </w:rPr>
            </w:pPr>
            <w:r w:rsidRPr="00D05871">
              <w:rPr>
                <w:color w:val="000000"/>
                <w:sz w:val="18"/>
                <w:szCs w:val="18"/>
                <w:lang w:eastAsia="en-GB"/>
              </w:rPr>
              <w:t>4.452E-05</w:t>
            </w:r>
          </w:p>
        </w:tc>
        <w:tc>
          <w:tcPr>
            <w:tcW w:w="0" w:type="auto"/>
            <w:noWrap/>
            <w:vAlign w:val="center"/>
            <w:hideMark/>
          </w:tcPr>
          <w:p w14:paraId="41FA7053" w14:textId="77777777" w:rsidR="000B7B3C" w:rsidRPr="00D05871" w:rsidRDefault="000B7B3C" w:rsidP="000B7B3C">
            <w:pPr>
              <w:overflowPunct/>
              <w:autoSpaceDE/>
              <w:autoSpaceDN/>
              <w:adjustRightInd/>
              <w:jc w:val="center"/>
              <w:textAlignment w:val="auto"/>
              <w:rPr>
                <w:color w:val="000000"/>
                <w:sz w:val="18"/>
                <w:szCs w:val="18"/>
                <w:lang w:eastAsia="en-GB"/>
              </w:rPr>
            </w:pPr>
            <w:r w:rsidRPr="00D05871">
              <w:rPr>
                <w:color w:val="000000"/>
                <w:sz w:val="18"/>
                <w:szCs w:val="18"/>
                <w:lang w:eastAsia="en-GB"/>
              </w:rPr>
              <w:t>U235</w:t>
            </w:r>
          </w:p>
        </w:tc>
        <w:tc>
          <w:tcPr>
            <w:tcW w:w="0" w:type="auto"/>
            <w:noWrap/>
            <w:vAlign w:val="center"/>
            <w:hideMark/>
          </w:tcPr>
          <w:p w14:paraId="3FB3F592" w14:textId="77777777" w:rsidR="000B7B3C" w:rsidRPr="00D05871" w:rsidRDefault="000B7B3C" w:rsidP="000B7B3C">
            <w:pPr>
              <w:overflowPunct/>
              <w:autoSpaceDE/>
              <w:autoSpaceDN/>
              <w:adjustRightInd/>
              <w:jc w:val="center"/>
              <w:textAlignment w:val="auto"/>
              <w:rPr>
                <w:color w:val="000000"/>
                <w:sz w:val="18"/>
                <w:szCs w:val="18"/>
                <w:lang w:eastAsia="en-GB"/>
              </w:rPr>
            </w:pPr>
            <w:r w:rsidRPr="00D05871">
              <w:rPr>
                <w:color w:val="000000"/>
                <w:sz w:val="18"/>
                <w:szCs w:val="18"/>
                <w:lang w:eastAsia="en-GB"/>
              </w:rPr>
              <w:t>4.880E-04</w:t>
            </w:r>
          </w:p>
        </w:tc>
      </w:tr>
      <w:tr w:rsidR="000B7B3C" w:rsidRPr="00D05871" w14:paraId="77DADCE8" w14:textId="77777777" w:rsidTr="000B7B3C">
        <w:trPr>
          <w:trHeight w:val="300"/>
        </w:trPr>
        <w:tc>
          <w:tcPr>
            <w:tcW w:w="0" w:type="auto"/>
            <w:noWrap/>
            <w:vAlign w:val="center"/>
            <w:hideMark/>
          </w:tcPr>
          <w:p w14:paraId="49FBF3C1" w14:textId="77777777" w:rsidR="000B7B3C" w:rsidRPr="00D05871" w:rsidRDefault="000B7B3C" w:rsidP="000B7B3C">
            <w:pPr>
              <w:overflowPunct/>
              <w:autoSpaceDE/>
              <w:autoSpaceDN/>
              <w:adjustRightInd/>
              <w:jc w:val="center"/>
              <w:textAlignment w:val="auto"/>
              <w:rPr>
                <w:color w:val="000000"/>
                <w:sz w:val="18"/>
                <w:szCs w:val="18"/>
                <w:lang w:eastAsia="en-GB"/>
              </w:rPr>
            </w:pPr>
            <w:r w:rsidRPr="00D05871">
              <w:rPr>
                <w:color w:val="000000"/>
                <w:sz w:val="18"/>
                <w:szCs w:val="18"/>
                <w:lang w:eastAsia="en-GB"/>
              </w:rPr>
              <w:t>U238</w:t>
            </w:r>
          </w:p>
        </w:tc>
        <w:tc>
          <w:tcPr>
            <w:tcW w:w="0" w:type="auto"/>
            <w:noWrap/>
            <w:vAlign w:val="center"/>
            <w:hideMark/>
          </w:tcPr>
          <w:p w14:paraId="61C311BF" w14:textId="77777777" w:rsidR="000B7B3C" w:rsidRPr="00D05871" w:rsidRDefault="000B7B3C" w:rsidP="000B7B3C">
            <w:pPr>
              <w:overflowPunct/>
              <w:autoSpaceDE/>
              <w:autoSpaceDN/>
              <w:adjustRightInd/>
              <w:jc w:val="center"/>
              <w:textAlignment w:val="auto"/>
              <w:rPr>
                <w:color w:val="000000"/>
                <w:sz w:val="18"/>
                <w:szCs w:val="18"/>
                <w:lang w:eastAsia="en-GB"/>
              </w:rPr>
            </w:pPr>
            <w:r w:rsidRPr="00D05871">
              <w:rPr>
                <w:color w:val="000000"/>
                <w:sz w:val="18"/>
                <w:szCs w:val="18"/>
                <w:lang w:eastAsia="en-GB"/>
              </w:rPr>
              <w:t>1.743E-04</w:t>
            </w:r>
          </w:p>
        </w:tc>
        <w:tc>
          <w:tcPr>
            <w:tcW w:w="0" w:type="auto"/>
            <w:noWrap/>
            <w:vAlign w:val="center"/>
            <w:hideMark/>
          </w:tcPr>
          <w:p w14:paraId="138CB60A" w14:textId="77777777" w:rsidR="000B7B3C" w:rsidRPr="00D05871" w:rsidRDefault="000B7B3C" w:rsidP="000B7B3C">
            <w:pPr>
              <w:overflowPunct/>
              <w:autoSpaceDE/>
              <w:autoSpaceDN/>
              <w:adjustRightInd/>
              <w:jc w:val="center"/>
              <w:textAlignment w:val="auto"/>
              <w:rPr>
                <w:color w:val="000000"/>
                <w:sz w:val="18"/>
                <w:szCs w:val="18"/>
                <w:lang w:eastAsia="en-GB"/>
              </w:rPr>
            </w:pPr>
            <w:r w:rsidRPr="00D05871">
              <w:rPr>
                <w:color w:val="000000"/>
                <w:sz w:val="18"/>
                <w:szCs w:val="18"/>
                <w:lang w:eastAsia="en-GB"/>
              </w:rPr>
              <w:t>U238</w:t>
            </w:r>
          </w:p>
        </w:tc>
        <w:tc>
          <w:tcPr>
            <w:tcW w:w="0" w:type="auto"/>
            <w:noWrap/>
            <w:vAlign w:val="center"/>
            <w:hideMark/>
          </w:tcPr>
          <w:p w14:paraId="18305575" w14:textId="77777777" w:rsidR="000B7B3C" w:rsidRPr="00D05871" w:rsidRDefault="000B7B3C" w:rsidP="000B7B3C">
            <w:pPr>
              <w:overflowPunct/>
              <w:autoSpaceDE/>
              <w:autoSpaceDN/>
              <w:adjustRightInd/>
              <w:jc w:val="center"/>
              <w:textAlignment w:val="auto"/>
              <w:rPr>
                <w:color w:val="000000"/>
                <w:sz w:val="18"/>
                <w:szCs w:val="18"/>
                <w:lang w:eastAsia="en-GB"/>
              </w:rPr>
            </w:pPr>
            <w:r w:rsidRPr="00D05871">
              <w:rPr>
                <w:color w:val="000000"/>
                <w:sz w:val="18"/>
                <w:szCs w:val="18"/>
                <w:lang w:eastAsia="en-GB"/>
              </w:rPr>
              <w:t>3.401E-03</w:t>
            </w:r>
          </w:p>
        </w:tc>
        <w:tc>
          <w:tcPr>
            <w:tcW w:w="0" w:type="auto"/>
            <w:noWrap/>
            <w:vAlign w:val="center"/>
            <w:hideMark/>
          </w:tcPr>
          <w:p w14:paraId="114B2959" w14:textId="77777777" w:rsidR="000B7B3C" w:rsidRPr="00D05871" w:rsidRDefault="000B7B3C" w:rsidP="000B7B3C">
            <w:pPr>
              <w:overflowPunct/>
              <w:autoSpaceDE/>
              <w:autoSpaceDN/>
              <w:adjustRightInd/>
              <w:jc w:val="center"/>
              <w:textAlignment w:val="auto"/>
              <w:rPr>
                <w:color w:val="000000"/>
                <w:sz w:val="18"/>
                <w:szCs w:val="18"/>
                <w:lang w:eastAsia="en-GB"/>
              </w:rPr>
            </w:pPr>
            <w:r w:rsidRPr="00D05871">
              <w:rPr>
                <w:color w:val="000000"/>
                <w:sz w:val="18"/>
                <w:szCs w:val="18"/>
                <w:lang w:eastAsia="en-GB"/>
              </w:rPr>
              <w:t>U238</w:t>
            </w:r>
          </w:p>
        </w:tc>
        <w:tc>
          <w:tcPr>
            <w:tcW w:w="0" w:type="auto"/>
            <w:noWrap/>
            <w:vAlign w:val="center"/>
            <w:hideMark/>
          </w:tcPr>
          <w:p w14:paraId="0B7DE585" w14:textId="77777777" w:rsidR="000B7B3C" w:rsidRPr="00D05871" w:rsidRDefault="000B7B3C" w:rsidP="000B7B3C">
            <w:pPr>
              <w:overflowPunct/>
              <w:autoSpaceDE/>
              <w:autoSpaceDN/>
              <w:adjustRightInd/>
              <w:jc w:val="center"/>
              <w:textAlignment w:val="auto"/>
              <w:rPr>
                <w:color w:val="000000"/>
                <w:sz w:val="18"/>
                <w:szCs w:val="18"/>
                <w:lang w:eastAsia="en-GB"/>
              </w:rPr>
            </w:pPr>
            <w:r w:rsidRPr="00D05871">
              <w:rPr>
                <w:color w:val="000000"/>
                <w:sz w:val="18"/>
                <w:szCs w:val="18"/>
                <w:lang w:eastAsia="en-GB"/>
              </w:rPr>
              <w:t>3.898E-03</w:t>
            </w:r>
          </w:p>
        </w:tc>
      </w:tr>
      <w:tr w:rsidR="000B7B3C" w:rsidRPr="00D05871" w14:paraId="7C1A9095" w14:textId="77777777" w:rsidTr="000B7B3C">
        <w:trPr>
          <w:trHeight w:val="300"/>
        </w:trPr>
        <w:tc>
          <w:tcPr>
            <w:tcW w:w="0" w:type="auto"/>
            <w:noWrap/>
            <w:vAlign w:val="center"/>
            <w:hideMark/>
          </w:tcPr>
          <w:p w14:paraId="225995F6" w14:textId="77777777" w:rsidR="000B7B3C" w:rsidRPr="00D05871" w:rsidRDefault="000B7B3C" w:rsidP="000B7B3C">
            <w:pPr>
              <w:overflowPunct/>
              <w:autoSpaceDE/>
              <w:autoSpaceDN/>
              <w:adjustRightInd/>
              <w:jc w:val="center"/>
              <w:textAlignment w:val="auto"/>
              <w:rPr>
                <w:color w:val="000000"/>
                <w:sz w:val="18"/>
                <w:szCs w:val="18"/>
                <w:lang w:eastAsia="en-GB"/>
              </w:rPr>
            </w:pPr>
            <w:r w:rsidRPr="00D05871">
              <w:rPr>
                <w:color w:val="000000"/>
                <w:sz w:val="18"/>
                <w:szCs w:val="18"/>
                <w:lang w:eastAsia="en-GB"/>
              </w:rPr>
              <w:t>Li6</w:t>
            </w:r>
          </w:p>
        </w:tc>
        <w:tc>
          <w:tcPr>
            <w:tcW w:w="0" w:type="auto"/>
            <w:noWrap/>
            <w:vAlign w:val="center"/>
            <w:hideMark/>
          </w:tcPr>
          <w:p w14:paraId="61DAC493" w14:textId="77777777" w:rsidR="000B7B3C" w:rsidRPr="00D05871" w:rsidRDefault="000B7B3C" w:rsidP="000B7B3C">
            <w:pPr>
              <w:overflowPunct/>
              <w:autoSpaceDE/>
              <w:autoSpaceDN/>
              <w:adjustRightInd/>
              <w:jc w:val="center"/>
              <w:textAlignment w:val="auto"/>
              <w:rPr>
                <w:color w:val="000000"/>
                <w:sz w:val="18"/>
                <w:szCs w:val="18"/>
                <w:lang w:eastAsia="en-GB"/>
              </w:rPr>
            </w:pPr>
            <w:r w:rsidRPr="00D05871">
              <w:rPr>
                <w:color w:val="000000"/>
                <w:sz w:val="18"/>
                <w:szCs w:val="18"/>
                <w:lang w:eastAsia="en-GB"/>
              </w:rPr>
              <w:t>0.000E+00</w:t>
            </w:r>
          </w:p>
        </w:tc>
        <w:tc>
          <w:tcPr>
            <w:tcW w:w="0" w:type="auto"/>
            <w:noWrap/>
            <w:vAlign w:val="center"/>
            <w:hideMark/>
          </w:tcPr>
          <w:p w14:paraId="20B41CD0" w14:textId="77777777" w:rsidR="000B7B3C" w:rsidRPr="00D05871" w:rsidRDefault="000B7B3C" w:rsidP="000B7B3C">
            <w:pPr>
              <w:overflowPunct/>
              <w:autoSpaceDE/>
              <w:autoSpaceDN/>
              <w:adjustRightInd/>
              <w:jc w:val="center"/>
              <w:textAlignment w:val="auto"/>
              <w:rPr>
                <w:color w:val="000000"/>
                <w:sz w:val="18"/>
                <w:szCs w:val="18"/>
                <w:lang w:eastAsia="en-GB"/>
              </w:rPr>
            </w:pPr>
            <w:r w:rsidRPr="00D05871">
              <w:rPr>
                <w:color w:val="000000"/>
                <w:sz w:val="18"/>
                <w:szCs w:val="18"/>
                <w:lang w:eastAsia="en-GB"/>
              </w:rPr>
              <w:t>Li6</w:t>
            </w:r>
          </w:p>
        </w:tc>
        <w:tc>
          <w:tcPr>
            <w:tcW w:w="0" w:type="auto"/>
            <w:noWrap/>
            <w:vAlign w:val="center"/>
            <w:hideMark/>
          </w:tcPr>
          <w:p w14:paraId="38C21022" w14:textId="77777777" w:rsidR="000B7B3C" w:rsidRPr="00D05871" w:rsidRDefault="000B7B3C" w:rsidP="000B7B3C">
            <w:pPr>
              <w:overflowPunct/>
              <w:autoSpaceDE/>
              <w:autoSpaceDN/>
              <w:adjustRightInd/>
              <w:jc w:val="center"/>
              <w:textAlignment w:val="auto"/>
              <w:rPr>
                <w:color w:val="000000"/>
                <w:sz w:val="18"/>
                <w:szCs w:val="18"/>
                <w:lang w:eastAsia="en-GB"/>
              </w:rPr>
            </w:pPr>
            <w:r w:rsidRPr="00D05871">
              <w:rPr>
                <w:color w:val="000000"/>
                <w:sz w:val="18"/>
                <w:szCs w:val="18"/>
                <w:lang w:eastAsia="en-GB"/>
              </w:rPr>
              <w:t>9.155E-07</w:t>
            </w:r>
          </w:p>
        </w:tc>
        <w:tc>
          <w:tcPr>
            <w:tcW w:w="0" w:type="auto"/>
            <w:noWrap/>
            <w:vAlign w:val="center"/>
            <w:hideMark/>
          </w:tcPr>
          <w:p w14:paraId="07F1C784" w14:textId="77777777" w:rsidR="000B7B3C" w:rsidRPr="00D05871" w:rsidRDefault="000B7B3C" w:rsidP="000B7B3C">
            <w:pPr>
              <w:overflowPunct/>
              <w:autoSpaceDE/>
              <w:autoSpaceDN/>
              <w:adjustRightInd/>
              <w:jc w:val="center"/>
              <w:textAlignment w:val="auto"/>
              <w:rPr>
                <w:color w:val="000000"/>
                <w:sz w:val="18"/>
                <w:szCs w:val="18"/>
                <w:lang w:eastAsia="en-GB"/>
              </w:rPr>
            </w:pPr>
            <w:r w:rsidRPr="00D05871">
              <w:rPr>
                <w:color w:val="000000"/>
                <w:sz w:val="18"/>
                <w:szCs w:val="18"/>
                <w:lang w:eastAsia="en-GB"/>
              </w:rPr>
              <w:t>Cl35</w:t>
            </w:r>
          </w:p>
        </w:tc>
        <w:tc>
          <w:tcPr>
            <w:tcW w:w="0" w:type="auto"/>
            <w:noWrap/>
            <w:vAlign w:val="center"/>
            <w:hideMark/>
          </w:tcPr>
          <w:p w14:paraId="617FBA4A" w14:textId="77777777" w:rsidR="000B7B3C" w:rsidRPr="00D05871" w:rsidRDefault="000B7B3C" w:rsidP="000B7B3C">
            <w:pPr>
              <w:overflowPunct/>
              <w:autoSpaceDE/>
              <w:autoSpaceDN/>
              <w:adjustRightInd/>
              <w:jc w:val="center"/>
              <w:textAlignment w:val="auto"/>
              <w:rPr>
                <w:color w:val="000000"/>
                <w:sz w:val="18"/>
                <w:szCs w:val="18"/>
                <w:lang w:eastAsia="en-GB"/>
              </w:rPr>
            </w:pPr>
            <w:r w:rsidRPr="00D05871">
              <w:rPr>
                <w:color w:val="000000"/>
                <w:sz w:val="18"/>
                <w:szCs w:val="18"/>
                <w:lang w:eastAsia="en-GB"/>
              </w:rPr>
              <w:t>1.780E-02</w:t>
            </w:r>
          </w:p>
        </w:tc>
      </w:tr>
      <w:tr w:rsidR="000B7B3C" w:rsidRPr="00D05871" w14:paraId="3AAE3743" w14:textId="77777777" w:rsidTr="000B7B3C">
        <w:trPr>
          <w:trHeight w:val="300"/>
        </w:trPr>
        <w:tc>
          <w:tcPr>
            <w:tcW w:w="0" w:type="auto"/>
            <w:noWrap/>
            <w:vAlign w:val="center"/>
            <w:hideMark/>
          </w:tcPr>
          <w:p w14:paraId="22298CF5" w14:textId="77777777" w:rsidR="000B7B3C" w:rsidRPr="00D05871" w:rsidRDefault="000B7B3C" w:rsidP="000B7B3C">
            <w:pPr>
              <w:overflowPunct/>
              <w:autoSpaceDE/>
              <w:autoSpaceDN/>
              <w:adjustRightInd/>
              <w:jc w:val="center"/>
              <w:textAlignment w:val="auto"/>
              <w:rPr>
                <w:color w:val="000000"/>
                <w:sz w:val="18"/>
                <w:szCs w:val="18"/>
                <w:lang w:eastAsia="en-GB"/>
              </w:rPr>
            </w:pPr>
            <w:r w:rsidRPr="00D05871">
              <w:rPr>
                <w:color w:val="000000"/>
                <w:sz w:val="18"/>
                <w:szCs w:val="18"/>
                <w:lang w:eastAsia="en-GB"/>
              </w:rPr>
              <w:t>Li7</w:t>
            </w:r>
          </w:p>
        </w:tc>
        <w:tc>
          <w:tcPr>
            <w:tcW w:w="0" w:type="auto"/>
            <w:noWrap/>
            <w:vAlign w:val="center"/>
            <w:hideMark/>
          </w:tcPr>
          <w:p w14:paraId="2F114AFA" w14:textId="77777777" w:rsidR="000B7B3C" w:rsidRPr="00D05871" w:rsidRDefault="000B7B3C" w:rsidP="000B7B3C">
            <w:pPr>
              <w:overflowPunct/>
              <w:autoSpaceDE/>
              <w:autoSpaceDN/>
              <w:adjustRightInd/>
              <w:jc w:val="center"/>
              <w:textAlignment w:val="auto"/>
              <w:rPr>
                <w:color w:val="000000"/>
                <w:sz w:val="18"/>
                <w:szCs w:val="18"/>
                <w:lang w:eastAsia="en-GB"/>
              </w:rPr>
            </w:pPr>
            <w:r w:rsidRPr="00D05871">
              <w:rPr>
                <w:color w:val="000000"/>
                <w:sz w:val="18"/>
                <w:szCs w:val="18"/>
                <w:lang w:eastAsia="en-GB"/>
              </w:rPr>
              <w:t>2.057E-02</w:t>
            </w:r>
          </w:p>
        </w:tc>
        <w:tc>
          <w:tcPr>
            <w:tcW w:w="0" w:type="auto"/>
            <w:noWrap/>
            <w:vAlign w:val="center"/>
            <w:hideMark/>
          </w:tcPr>
          <w:p w14:paraId="45762699" w14:textId="77777777" w:rsidR="000B7B3C" w:rsidRPr="00D05871" w:rsidRDefault="000B7B3C" w:rsidP="000B7B3C">
            <w:pPr>
              <w:overflowPunct/>
              <w:autoSpaceDE/>
              <w:autoSpaceDN/>
              <w:adjustRightInd/>
              <w:jc w:val="center"/>
              <w:textAlignment w:val="auto"/>
              <w:rPr>
                <w:color w:val="000000"/>
                <w:sz w:val="18"/>
                <w:szCs w:val="18"/>
                <w:lang w:eastAsia="en-GB"/>
              </w:rPr>
            </w:pPr>
            <w:r w:rsidRPr="00D05871">
              <w:rPr>
                <w:color w:val="000000"/>
                <w:sz w:val="18"/>
                <w:szCs w:val="18"/>
                <w:lang w:eastAsia="en-GB"/>
              </w:rPr>
              <w:t>Li7</w:t>
            </w:r>
          </w:p>
        </w:tc>
        <w:tc>
          <w:tcPr>
            <w:tcW w:w="0" w:type="auto"/>
            <w:noWrap/>
            <w:vAlign w:val="center"/>
            <w:hideMark/>
          </w:tcPr>
          <w:p w14:paraId="60B383E3" w14:textId="77777777" w:rsidR="000B7B3C" w:rsidRPr="00D05871" w:rsidRDefault="000B7B3C" w:rsidP="000B7B3C">
            <w:pPr>
              <w:overflowPunct/>
              <w:autoSpaceDE/>
              <w:autoSpaceDN/>
              <w:adjustRightInd/>
              <w:jc w:val="center"/>
              <w:textAlignment w:val="auto"/>
              <w:rPr>
                <w:color w:val="000000"/>
                <w:sz w:val="18"/>
                <w:szCs w:val="18"/>
                <w:lang w:eastAsia="en-GB"/>
              </w:rPr>
            </w:pPr>
            <w:r w:rsidRPr="00D05871">
              <w:rPr>
                <w:color w:val="000000"/>
                <w:sz w:val="18"/>
                <w:szCs w:val="18"/>
                <w:lang w:eastAsia="en-GB"/>
              </w:rPr>
              <w:t>4.684E-02</w:t>
            </w:r>
          </w:p>
        </w:tc>
        <w:tc>
          <w:tcPr>
            <w:tcW w:w="0" w:type="auto"/>
            <w:noWrap/>
            <w:vAlign w:val="center"/>
            <w:hideMark/>
          </w:tcPr>
          <w:p w14:paraId="61D7802B" w14:textId="77777777" w:rsidR="000B7B3C" w:rsidRPr="00D05871" w:rsidRDefault="000B7B3C" w:rsidP="000B7B3C">
            <w:pPr>
              <w:overflowPunct/>
              <w:autoSpaceDE/>
              <w:autoSpaceDN/>
              <w:adjustRightInd/>
              <w:jc w:val="center"/>
              <w:textAlignment w:val="auto"/>
              <w:rPr>
                <w:color w:val="000000"/>
                <w:sz w:val="18"/>
                <w:szCs w:val="18"/>
                <w:lang w:eastAsia="en-GB"/>
              </w:rPr>
            </w:pPr>
            <w:r w:rsidRPr="00D05871">
              <w:rPr>
                <w:color w:val="000000"/>
                <w:sz w:val="18"/>
                <w:szCs w:val="18"/>
                <w:lang w:eastAsia="en-GB"/>
              </w:rPr>
              <w:t>Cl37</w:t>
            </w:r>
          </w:p>
        </w:tc>
        <w:tc>
          <w:tcPr>
            <w:tcW w:w="0" w:type="auto"/>
            <w:noWrap/>
            <w:vAlign w:val="center"/>
            <w:hideMark/>
          </w:tcPr>
          <w:p w14:paraId="235CD042" w14:textId="77777777" w:rsidR="000B7B3C" w:rsidRPr="00D05871" w:rsidRDefault="000B7B3C" w:rsidP="000B7B3C">
            <w:pPr>
              <w:overflowPunct/>
              <w:autoSpaceDE/>
              <w:autoSpaceDN/>
              <w:adjustRightInd/>
              <w:jc w:val="center"/>
              <w:textAlignment w:val="auto"/>
              <w:rPr>
                <w:color w:val="000000"/>
                <w:sz w:val="18"/>
                <w:szCs w:val="18"/>
                <w:lang w:eastAsia="en-GB"/>
              </w:rPr>
            </w:pPr>
            <w:r w:rsidRPr="00D05871">
              <w:rPr>
                <w:color w:val="000000"/>
                <w:sz w:val="18"/>
                <w:szCs w:val="18"/>
                <w:lang w:eastAsia="en-GB"/>
              </w:rPr>
              <w:t>5.695E-03</w:t>
            </w:r>
          </w:p>
        </w:tc>
      </w:tr>
      <w:tr w:rsidR="000B7B3C" w:rsidRPr="00D05871" w14:paraId="1451BCB3" w14:textId="77777777" w:rsidTr="000B7B3C">
        <w:trPr>
          <w:trHeight w:val="300"/>
        </w:trPr>
        <w:tc>
          <w:tcPr>
            <w:tcW w:w="0" w:type="auto"/>
            <w:noWrap/>
            <w:vAlign w:val="center"/>
            <w:hideMark/>
          </w:tcPr>
          <w:p w14:paraId="488AE386" w14:textId="77777777" w:rsidR="000B7B3C" w:rsidRPr="00D05871" w:rsidRDefault="000B7B3C" w:rsidP="000B7B3C">
            <w:pPr>
              <w:overflowPunct/>
              <w:autoSpaceDE/>
              <w:autoSpaceDN/>
              <w:adjustRightInd/>
              <w:jc w:val="center"/>
              <w:textAlignment w:val="auto"/>
              <w:rPr>
                <w:color w:val="000000"/>
                <w:sz w:val="18"/>
                <w:szCs w:val="18"/>
                <w:lang w:eastAsia="en-GB"/>
              </w:rPr>
            </w:pPr>
            <w:r w:rsidRPr="00D05871">
              <w:rPr>
                <w:color w:val="000000"/>
                <w:sz w:val="18"/>
                <w:szCs w:val="18"/>
                <w:lang w:eastAsia="en-GB"/>
              </w:rPr>
              <w:t>Be9</w:t>
            </w:r>
          </w:p>
        </w:tc>
        <w:tc>
          <w:tcPr>
            <w:tcW w:w="0" w:type="auto"/>
            <w:noWrap/>
            <w:vAlign w:val="center"/>
            <w:hideMark/>
          </w:tcPr>
          <w:p w14:paraId="134771E3" w14:textId="77777777" w:rsidR="000B7B3C" w:rsidRPr="00D05871" w:rsidRDefault="000B7B3C" w:rsidP="000B7B3C">
            <w:pPr>
              <w:overflowPunct/>
              <w:autoSpaceDE/>
              <w:autoSpaceDN/>
              <w:adjustRightInd/>
              <w:jc w:val="center"/>
              <w:textAlignment w:val="auto"/>
              <w:rPr>
                <w:color w:val="000000"/>
                <w:sz w:val="18"/>
                <w:szCs w:val="18"/>
                <w:lang w:eastAsia="en-GB"/>
              </w:rPr>
            </w:pPr>
            <w:r w:rsidRPr="00D05871">
              <w:rPr>
                <w:color w:val="000000"/>
                <w:sz w:val="18"/>
                <w:szCs w:val="18"/>
                <w:lang w:eastAsia="en-GB"/>
              </w:rPr>
              <w:t>9.341E-03</w:t>
            </w:r>
          </w:p>
        </w:tc>
        <w:tc>
          <w:tcPr>
            <w:tcW w:w="0" w:type="auto"/>
            <w:noWrap/>
            <w:vAlign w:val="center"/>
            <w:hideMark/>
          </w:tcPr>
          <w:p w14:paraId="36E8BBA6" w14:textId="77777777" w:rsidR="000B7B3C" w:rsidRPr="00D05871" w:rsidRDefault="000B7B3C" w:rsidP="000B7B3C">
            <w:pPr>
              <w:overflowPunct/>
              <w:autoSpaceDE/>
              <w:autoSpaceDN/>
              <w:adjustRightInd/>
              <w:jc w:val="center"/>
              <w:textAlignment w:val="auto"/>
              <w:rPr>
                <w:color w:val="000000"/>
                <w:sz w:val="18"/>
                <w:szCs w:val="18"/>
                <w:lang w:eastAsia="en-GB"/>
              </w:rPr>
            </w:pPr>
            <w:r w:rsidRPr="00D05871">
              <w:rPr>
                <w:color w:val="000000"/>
                <w:sz w:val="18"/>
                <w:szCs w:val="18"/>
                <w:lang w:eastAsia="en-GB"/>
              </w:rPr>
              <w:t>Be9</w:t>
            </w:r>
          </w:p>
        </w:tc>
        <w:tc>
          <w:tcPr>
            <w:tcW w:w="0" w:type="auto"/>
            <w:noWrap/>
            <w:vAlign w:val="center"/>
            <w:hideMark/>
          </w:tcPr>
          <w:p w14:paraId="1973B343" w14:textId="77777777" w:rsidR="000B7B3C" w:rsidRPr="00D05871" w:rsidRDefault="000B7B3C" w:rsidP="000B7B3C">
            <w:pPr>
              <w:overflowPunct/>
              <w:autoSpaceDE/>
              <w:autoSpaceDN/>
              <w:adjustRightInd/>
              <w:jc w:val="center"/>
              <w:textAlignment w:val="auto"/>
              <w:rPr>
                <w:color w:val="000000"/>
                <w:sz w:val="18"/>
                <w:szCs w:val="18"/>
                <w:lang w:eastAsia="en-GB"/>
              </w:rPr>
            </w:pPr>
            <w:r w:rsidRPr="00D05871">
              <w:rPr>
                <w:color w:val="000000"/>
                <w:sz w:val="18"/>
                <w:szCs w:val="18"/>
                <w:lang w:eastAsia="en-GB"/>
              </w:rPr>
              <w:t>4.594E-03</w:t>
            </w:r>
          </w:p>
        </w:tc>
        <w:tc>
          <w:tcPr>
            <w:tcW w:w="0" w:type="auto"/>
            <w:noWrap/>
            <w:vAlign w:val="center"/>
            <w:hideMark/>
          </w:tcPr>
          <w:p w14:paraId="06B0D0A8" w14:textId="77777777" w:rsidR="000B7B3C" w:rsidRPr="00D05871" w:rsidRDefault="000B7B3C" w:rsidP="000B7B3C">
            <w:pPr>
              <w:overflowPunct/>
              <w:autoSpaceDE/>
              <w:autoSpaceDN/>
              <w:adjustRightInd/>
              <w:jc w:val="center"/>
              <w:textAlignment w:val="auto"/>
              <w:rPr>
                <w:color w:val="000000"/>
                <w:sz w:val="18"/>
                <w:szCs w:val="18"/>
                <w:lang w:eastAsia="en-GB"/>
              </w:rPr>
            </w:pPr>
            <w:r w:rsidRPr="00D05871">
              <w:rPr>
                <w:color w:val="000000"/>
                <w:sz w:val="18"/>
                <w:szCs w:val="18"/>
                <w:lang w:eastAsia="en-GB"/>
              </w:rPr>
              <w:t>Na23</w:t>
            </w:r>
          </w:p>
        </w:tc>
        <w:tc>
          <w:tcPr>
            <w:tcW w:w="0" w:type="auto"/>
            <w:noWrap/>
            <w:vAlign w:val="center"/>
            <w:hideMark/>
          </w:tcPr>
          <w:p w14:paraId="4841832A" w14:textId="77777777" w:rsidR="000B7B3C" w:rsidRPr="00D05871" w:rsidRDefault="000B7B3C" w:rsidP="000B7B3C">
            <w:pPr>
              <w:overflowPunct/>
              <w:autoSpaceDE/>
              <w:autoSpaceDN/>
              <w:adjustRightInd/>
              <w:jc w:val="center"/>
              <w:textAlignment w:val="auto"/>
              <w:rPr>
                <w:color w:val="000000"/>
                <w:sz w:val="18"/>
                <w:szCs w:val="18"/>
                <w:lang w:eastAsia="en-GB"/>
              </w:rPr>
            </w:pPr>
            <w:r w:rsidRPr="00D05871">
              <w:rPr>
                <w:color w:val="000000"/>
                <w:sz w:val="18"/>
                <w:szCs w:val="18"/>
                <w:lang w:eastAsia="en-GB"/>
              </w:rPr>
              <w:t>1.034E-02</w:t>
            </w:r>
          </w:p>
        </w:tc>
      </w:tr>
      <w:tr w:rsidR="000B7B3C" w:rsidRPr="00D05871" w14:paraId="23ADB9D8" w14:textId="77777777" w:rsidTr="000B7B3C">
        <w:trPr>
          <w:trHeight w:val="300"/>
        </w:trPr>
        <w:tc>
          <w:tcPr>
            <w:tcW w:w="0" w:type="auto"/>
            <w:noWrap/>
            <w:vAlign w:val="center"/>
            <w:hideMark/>
          </w:tcPr>
          <w:p w14:paraId="1EC0DBB9" w14:textId="77777777" w:rsidR="000B7B3C" w:rsidRPr="00D05871" w:rsidRDefault="000B7B3C" w:rsidP="000B7B3C">
            <w:pPr>
              <w:overflowPunct/>
              <w:autoSpaceDE/>
              <w:autoSpaceDN/>
              <w:adjustRightInd/>
              <w:jc w:val="center"/>
              <w:textAlignment w:val="auto"/>
              <w:rPr>
                <w:color w:val="000000"/>
                <w:sz w:val="18"/>
                <w:szCs w:val="18"/>
                <w:lang w:eastAsia="en-GB"/>
              </w:rPr>
            </w:pPr>
            <w:r w:rsidRPr="00D05871">
              <w:rPr>
                <w:color w:val="000000"/>
                <w:sz w:val="18"/>
                <w:szCs w:val="18"/>
                <w:lang w:eastAsia="en-GB"/>
              </w:rPr>
              <w:t>F19</w:t>
            </w:r>
          </w:p>
        </w:tc>
        <w:tc>
          <w:tcPr>
            <w:tcW w:w="0" w:type="auto"/>
            <w:noWrap/>
            <w:vAlign w:val="center"/>
            <w:hideMark/>
          </w:tcPr>
          <w:p w14:paraId="67BA00A0" w14:textId="77777777" w:rsidR="000B7B3C" w:rsidRPr="00D05871" w:rsidRDefault="000B7B3C" w:rsidP="000B7B3C">
            <w:pPr>
              <w:overflowPunct/>
              <w:autoSpaceDE/>
              <w:autoSpaceDN/>
              <w:adjustRightInd/>
              <w:jc w:val="center"/>
              <w:textAlignment w:val="auto"/>
              <w:rPr>
                <w:color w:val="000000"/>
                <w:sz w:val="18"/>
                <w:szCs w:val="18"/>
                <w:lang w:eastAsia="en-GB"/>
              </w:rPr>
            </w:pPr>
            <w:r w:rsidRPr="00D05871">
              <w:rPr>
                <w:color w:val="000000"/>
                <w:sz w:val="18"/>
                <w:szCs w:val="18"/>
                <w:lang w:eastAsia="en-GB"/>
              </w:rPr>
              <w:t>4.670E-02</w:t>
            </w:r>
          </w:p>
        </w:tc>
        <w:tc>
          <w:tcPr>
            <w:tcW w:w="0" w:type="auto"/>
            <w:noWrap/>
            <w:vAlign w:val="center"/>
            <w:hideMark/>
          </w:tcPr>
          <w:p w14:paraId="65B6F1B5" w14:textId="77777777" w:rsidR="000B7B3C" w:rsidRPr="00D05871" w:rsidRDefault="000B7B3C" w:rsidP="000B7B3C">
            <w:pPr>
              <w:overflowPunct/>
              <w:autoSpaceDE/>
              <w:autoSpaceDN/>
              <w:adjustRightInd/>
              <w:jc w:val="center"/>
              <w:textAlignment w:val="auto"/>
              <w:rPr>
                <w:color w:val="000000"/>
                <w:sz w:val="18"/>
                <w:szCs w:val="18"/>
                <w:lang w:eastAsia="en-GB"/>
              </w:rPr>
            </w:pPr>
            <w:r w:rsidRPr="00D05871">
              <w:rPr>
                <w:color w:val="000000"/>
                <w:sz w:val="18"/>
                <w:szCs w:val="18"/>
                <w:lang w:eastAsia="en-GB"/>
              </w:rPr>
              <w:t>F19</w:t>
            </w:r>
          </w:p>
        </w:tc>
        <w:tc>
          <w:tcPr>
            <w:tcW w:w="0" w:type="auto"/>
            <w:noWrap/>
            <w:vAlign w:val="center"/>
            <w:hideMark/>
          </w:tcPr>
          <w:p w14:paraId="3663A910" w14:textId="77777777" w:rsidR="000B7B3C" w:rsidRPr="00D05871" w:rsidRDefault="000B7B3C" w:rsidP="000B7B3C">
            <w:pPr>
              <w:overflowPunct/>
              <w:autoSpaceDE/>
              <w:autoSpaceDN/>
              <w:adjustRightInd/>
              <w:jc w:val="center"/>
              <w:textAlignment w:val="auto"/>
              <w:rPr>
                <w:color w:val="000000"/>
                <w:sz w:val="18"/>
                <w:szCs w:val="18"/>
                <w:lang w:eastAsia="en-GB"/>
              </w:rPr>
            </w:pPr>
            <w:r w:rsidRPr="00D05871">
              <w:rPr>
                <w:color w:val="000000"/>
                <w:sz w:val="18"/>
                <w:szCs w:val="18"/>
                <w:lang w:eastAsia="en-GB"/>
              </w:rPr>
              <w:t>4.364E-02</w:t>
            </w:r>
          </w:p>
        </w:tc>
        <w:tc>
          <w:tcPr>
            <w:tcW w:w="0" w:type="auto"/>
            <w:noWrap/>
            <w:vAlign w:val="center"/>
            <w:hideMark/>
          </w:tcPr>
          <w:p w14:paraId="28598B67" w14:textId="77777777" w:rsidR="000B7B3C" w:rsidRPr="00D05871" w:rsidRDefault="000B7B3C" w:rsidP="000B7B3C">
            <w:pPr>
              <w:overflowPunct/>
              <w:autoSpaceDE/>
              <w:autoSpaceDN/>
              <w:adjustRightInd/>
              <w:jc w:val="center"/>
              <w:textAlignment w:val="auto"/>
              <w:rPr>
                <w:color w:val="000000"/>
                <w:sz w:val="18"/>
                <w:szCs w:val="18"/>
                <w:lang w:eastAsia="en-GB"/>
              </w:rPr>
            </w:pPr>
          </w:p>
        </w:tc>
        <w:tc>
          <w:tcPr>
            <w:tcW w:w="0" w:type="auto"/>
            <w:noWrap/>
            <w:vAlign w:val="center"/>
            <w:hideMark/>
          </w:tcPr>
          <w:p w14:paraId="0E45B7ED" w14:textId="77777777" w:rsidR="000B7B3C" w:rsidRPr="00D05871" w:rsidRDefault="000B7B3C" w:rsidP="000B7B3C">
            <w:pPr>
              <w:overflowPunct/>
              <w:autoSpaceDE/>
              <w:autoSpaceDN/>
              <w:adjustRightInd/>
              <w:jc w:val="center"/>
              <w:textAlignment w:val="auto"/>
              <w:rPr>
                <w:sz w:val="18"/>
                <w:szCs w:val="18"/>
                <w:lang w:eastAsia="en-GB"/>
              </w:rPr>
            </w:pPr>
          </w:p>
        </w:tc>
      </w:tr>
      <w:tr w:rsidR="000B7B3C" w:rsidRPr="00D05871" w14:paraId="2A080636" w14:textId="77777777" w:rsidTr="000B7B3C">
        <w:trPr>
          <w:trHeight w:val="300"/>
        </w:trPr>
        <w:tc>
          <w:tcPr>
            <w:tcW w:w="0" w:type="auto"/>
            <w:tcBorders>
              <w:bottom w:val="single" w:sz="4" w:space="0" w:color="auto"/>
            </w:tcBorders>
            <w:noWrap/>
            <w:vAlign w:val="center"/>
            <w:hideMark/>
          </w:tcPr>
          <w:p w14:paraId="5ABF5687" w14:textId="77777777" w:rsidR="000B7B3C" w:rsidRPr="00D05871" w:rsidRDefault="000B7B3C" w:rsidP="000B7B3C">
            <w:pPr>
              <w:overflowPunct/>
              <w:autoSpaceDE/>
              <w:autoSpaceDN/>
              <w:adjustRightInd/>
              <w:jc w:val="center"/>
              <w:textAlignment w:val="auto"/>
              <w:rPr>
                <w:color w:val="000000"/>
                <w:sz w:val="18"/>
                <w:szCs w:val="18"/>
                <w:lang w:eastAsia="en-GB"/>
              </w:rPr>
            </w:pPr>
            <w:r w:rsidRPr="00D05871">
              <w:rPr>
                <w:color w:val="000000"/>
                <w:sz w:val="18"/>
                <w:szCs w:val="18"/>
                <w:lang w:eastAsia="en-GB"/>
              </w:rPr>
              <w:t>Zr</w:t>
            </w:r>
          </w:p>
        </w:tc>
        <w:tc>
          <w:tcPr>
            <w:tcW w:w="0" w:type="auto"/>
            <w:tcBorders>
              <w:bottom w:val="single" w:sz="4" w:space="0" w:color="auto"/>
            </w:tcBorders>
            <w:noWrap/>
            <w:vAlign w:val="center"/>
            <w:hideMark/>
          </w:tcPr>
          <w:p w14:paraId="796768AF" w14:textId="77777777" w:rsidR="000B7B3C" w:rsidRPr="00D05871" w:rsidRDefault="000B7B3C" w:rsidP="000B7B3C">
            <w:pPr>
              <w:overflowPunct/>
              <w:autoSpaceDE/>
              <w:autoSpaceDN/>
              <w:adjustRightInd/>
              <w:jc w:val="center"/>
              <w:textAlignment w:val="auto"/>
              <w:rPr>
                <w:color w:val="000000"/>
                <w:sz w:val="18"/>
                <w:szCs w:val="18"/>
                <w:lang w:eastAsia="en-GB"/>
              </w:rPr>
            </w:pPr>
            <w:r w:rsidRPr="00D05871">
              <w:rPr>
                <w:color w:val="000000"/>
                <w:sz w:val="18"/>
                <w:szCs w:val="18"/>
                <w:lang w:eastAsia="en-GB"/>
              </w:rPr>
              <w:t>1.572E-03</w:t>
            </w:r>
          </w:p>
        </w:tc>
        <w:tc>
          <w:tcPr>
            <w:tcW w:w="0" w:type="auto"/>
            <w:tcBorders>
              <w:bottom w:val="single" w:sz="4" w:space="0" w:color="auto"/>
            </w:tcBorders>
            <w:noWrap/>
            <w:vAlign w:val="center"/>
            <w:hideMark/>
          </w:tcPr>
          <w:p w14:paraId="0F27F425" w14:textId="77777777" w:rsidR="000B7B3C" w:rsidRPr="00D05871" w:rsidRDefault="000B7B3C" w:rsidP="000B7B3C">
            <w:pPr>
              <w:overflowPunct/>
              <w:autoSpaceDE/>
              <w:autoSpaceDN/>
              <w:adjustRightInd/>
              <w:jc w:val="center"/>
              <w:textAlignment w:val="auto"/>
              <w:rPr>
                <w:color w:val="000000"/>
                <w:sz w:val="18"/>
                <w:szCs w:val="18"/>
                <w:lang w:eastAsia="en-GB"/>
              </w:rPr>
            </w:pPr>
          </w:p>
        </w:tc>
        <w:tc>
          <w:tcPr>
            <w:tcW w:w="0" w:type="auto"/>
            <w:tcBorders>
              <w:bottom w:val="single" w:sz="4" w:space="0" w:color="auto"/>
            </w:tcBorders>
            <w:noWrap/>
            <w:vAlign w:val="center"/>
            <w:hideMark/>
          </w:tcPr>
          <w:p w14:paraId="0ACDD895" w14:textId="77777777" w:rsidR="000B7B3C" w:rsidRPr="00D05871" w:rsidRDefault="000B7B3C" w:rsidP="000B7B3C">
            <w:pPr>
              <w:overflowPunct/>
              <w:autoSpaceDE/>
              <w:autoSpaceDN/>
              <w:adjustRightInd/>
              <w:jc w:val="center"/>
              <w:textAlignment w:val="auto"/>
              <w:rPr>
                <w:sz w:val="18"/>
                <w:szCs w:val="18"/>
                <w:lang w:eastAsia="en-GB"/>
              </w:rPr>
            </w:pPr>
          </w:p>
        </w:tc>
        <w:tc>
          <w:tcPr>
            <w:tcW w:w="0" w:type="auto"/>
            <w:tcBorders>
              <w:bottom w:val="single" w:sz="4" w:space="0" w:color="auto"/>
            </w:tcBorders>
            <w:noWrap/>
            <w:vAlign w:val="center"/>
            <w:hideMark/>
          </w:tcPr>
          <w:p w14:paraId="15FA74E5" w14:textId="77777777" w:rsidR="000B7B3C" w:rsidRPr="00D05871" w:rsidRDefault="000B7B3C" w:rsidP="000B7B3C">
            <w:pPr>
              <w:overflowPunct/>
              <w:autoSpaceDE/>
              <w:autoSpaceDN/>
              <w:adjustRightInd/>
              <w:jc w:val="center"/>
              <w:textAlignment w:val="auto"/>
              <w:rPr>
                <w:sz w:val="18"/>
                <w:szCs w:val="18"/>
                <w:lang w:eastAsia="en-GB"/>
              </w:rPr>
            </w:pPr>
          </w:p>
        </w:tc>
        <w:tc>
          <w:tcPr>
            <w:tcW w:w="0" w:type="auto"/>
            <w:tcBorders>
              <w:bottom w:val="single" w:sz="4" w:space="0" w:color="auto"/>
            </w:tcBorders>
            <w:noWrap/>
            <w:vAlign w:val="center"/>
            <w:hideMark/>
          </w:tcPr>
          <w:p w14:paraId="44632179" w14:textId="77777777" w:rsidR="000B7B3C" w:rsidRPr="00D05871" w:rsidRDefault="000B7B3C" w:rsidP="000B7B3C">
            <w:pPr>
              <w:overflowPunct/>
              <w:autoSpaceDE/>
              <w:autoSpaceDN/>
              <w:adjustRightInd/>
              <w:jc w:val="center"/>
              <w:textAlignment w:val="auto"/>
              <w:rPr>
                <w:sz w:val="18"/>
                <w:szCs w:val="18"/>
                <w:lang w:eastAsia="en-GB"/>
              </w:rPr>
            </w:pPr>
          </w:p>
        </w:tc>
      </w:tr>
    </w:tbl>
    <w:p w14:paraId="7DA3473C" w14:textId="77777777" w:rsidR="00F527CF" w:rsidRDefault="00F527CF" w:rsidP="000B7B3C">
      <w:pPr>
        <w:pStyle w:val="BodyText"/>
        <w:ind w:firstLine="0"/>
      </w:pPr>
    </w:p>
    <w:p w14:paraId="7D2C5E0A" w14:textId="0AF34046" w:rsidR="00F527CF" w:rsidRDefault="00F527CF" w:rsidP="00F527CF">
      <w:pPr>
        <w:pStyle w:val="Heading30"/>
      </w:pPr>
      <w:r>
        <w:t>Results</w:t>
      </w:r>
    </w:p>
    <w:p w14:paraId="1789EF6E" w14:textId="4E2C00D9" w:rsidR="00F527CF" w:rsidRPr="008346B7" w:rsidRDefault="00F527CF" w:rsidP="008346B7">
      <w:pPr>
        <w:pStyle w:val="BodyText"/>
      </w:pPr>
      <w:r w:rsidRPr="008346B7">
        <w:rPr>
          <w:noProof/>
        </w:rPr>
        <w:drawing>
          <wp:anchor distT="0" distB="0" distL="114300" distR="114300" simplePos="0" relativeHeight="251659264" behindDoc="0" locked="0" layoutInCell="1" allowOverlap="1" wp14:anchorId="0010901D" wp14:editId="13F3B2D4">
            <wp:simplePos x="0" y="0"/>
            <wp:positionH relativeFrom="column">
              <wp:posOffset>714375</wp:posOffset>
            </wp:positionH>
            <wp:positionV relativeFrom="paragraph">
              <wp:posOffset>1057910</wp:posOffset>
            </wp:positionV>
            <wp:extent cx="4667250" cy="3919220"/>
            <wp:effectExtent l="0" t="0" r="0" b="0"/>
            <wp:wrapTopAndBottom/>
            <wp:docPr id="2143621890" name="Picture 1" descr="A group of graphs showing different types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621890" name="Picture 1" descr="A group of graphs showing different types of data&#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67250" cy="3919220"/>
                    </a:xfrm>
                    <a:prstGeom prst="rect">
                      <a:avLst/>
                    </a:prstGeom>
                  </pic:spPr>
                </pic:pic>
              </a:graphicData>
            </a:graphic>
            <wp14:sizeRelH relativeFrom="margin">
              <wp14:pctWidth>0</wp14:pctWidth>
            </wp14:sizeRelH>
            <wp14:sizeRelV relativeFrom="margin">
              <wp14:pctHeight>0</wp14:pctHeight>
            </wp14:sizeRelV>
          </wp:anchor>
        </w:drawing>
      </w:r>
      <w:r w:rsidRPr="008346B7">
        <w:t xml:space="preserve">Results of keff vs H/HM for four different fuels are given in Fig </w:t>
      </w:r>
      <w:r w:rsidR="00E93881">
        <w:t>2</w:t>
      </w:r>
      <w:r w:rsidRPr="008346B7">
        <w:t xml:space="preserve">. A typical LWR fuel (3.5 wt% enriched Uranium Dioxide or UOX) is given to exemplify how H/HM graphs will look in LWRs. For MSRE and </w:t>
      </w:r>
      <w:r w:rsidR="002040D0">
        <w:t>FLiBe</w:t>
      </w:r>
      <w:r w:rsidRPr="008346B7">
        <w:t xml:space="preserve"> fuels, their behaviour is analogous to that of the LWR, where the two characteristic regions of under- and over-moderation can be seen, which lie either side of the optimal moderation. On the other hand, the </w:t>
      </w:r>
      <w:r w:rsidR="004A5B55">
        <w:t>Chloride</w:t>
      </w:r>
      <w:r w:rsidRPr="008346B7">
        <w:t xml:space="preserve"> fuel</w:t>
      </w:r>
      <w:r w:rsidR="004A5B55">
        <w:t xml:space="preserve"> salt</w:t>
      </w:r>
      <w:r w:rsidRPr="008346B7">
        <w:t xml:space="preserve"> results show that keff decreases with increased moderation, with no amount of moderation leading to a spike.</w:t>
      </w:r>
    </w:p>
    <w:p w14:paraId="189A6207" w14:textId="72BE9D1E" w:rsidR="00E93881" w:rsidRPr="00C34DB5" w:rsidRDefault="00E93881" w:rsidP="0057204F">
      <w:pPr>
        <w:jc w:val="center"/>
        <w:rPr>
          <w:rFonts w:ascii="Times" w:hAnsi="Times" w:cs="Times"/>
          <w:i/>
          <w:iCs/>
          <w:sz w:val="20"/>
        </w:rPr>
      </w:pPr>
      <w:r w:rsidRPr="00C34DB5">
        <w:rPr>
          <w:rFonts w:ascii="Times" w:hAnsi="Times" w:cs="Times"/>
          <w:i/>
          <w:iCs/>
          <w:sz w:val="20"/>
        </w:rPr>
        <w:t xml:space="preserve">FIG </w:t>
      </w:r>
      <w:r>
        <w:rPr>
          <w:rFonts w:ascii="Times" w:hAnsi="Times" w:cs="Times"/>
          <w:i/>
          <w:iCs/>
          <w:sz w:val="20"/>
        </w:rPr>
        <w:t>2</w:t>
      </w:r>
      <w:r w:rsidRPr="00C34DB5">
        <w:rPr>
          <w:rFonts w:ascii="Times" w:hAnsi="Times" w:cs="Times"/>
          <w:i/>
          <w:iCs/>
          <w:sz w:val="20"/>
        </w:rPr>
        <w:t xml:space="preserve">. </w:t>
      </w:r>
      <w:r>
        <w:rPr>
          <w:rFonts w:ascii="Times" w:hAnsi="Times" w:cs="Times"/>
          <w:i/>
          <w:iCs/>
          <w:sz w:val="20"/>
        </w:rPr>
        <w:t>k-effective vs. H/HM for different fuel salt compositions</w:t>
      </w:r>
    </w:p>
    <w:p w14:paraId="1C5F8C69" w14:textId="77777777" w:rsidR="00E93881" w:rsidRDefault="00E93881" w:rsidP="00E93881">
      <w:pPr>
        <w:pStyle w:val="BodyText"/>
        <w:ind w:firstLine="0"/>
      </w:pPr>
    </w:p>
    <w:p w14:paraId="0676B2D6" w14:textId="5D8B76F6" w:rsidR="00081F05" w:rsidRDefault="00F527CF" w:rsidP="008346B7">
      <w:pPr>
        <w:pStyle w:val="BodyText"/>
      </w:pPr>
      <w:r w:rsidRPr="008346B7">
        <w:t xml:space="preserve">By investigating spectral changes, the effect of increased moderation can be better understood. Fig </w:t>
      </w:r>
      <w:r w:rsidR="00081F05">
        <w:t>3</w:t>
      </w:r>
      <w:r w:rsidRPr="008346B7">
        <w:t xml:space="preserve"> displays the total neutron flux spectrum, normalised to a power density of 20MW/MTHM, as in [</w:t>
      </w:r>
      <w:r w:rsidR="00D05871">
        <w:t>10</w:t>
      </w:r>
      <w:r w:rsidRPr="008346B7">
        <w:t xml:space="preserve">]. When there is no water (blue), the spectrum is comparatively harder compared to the other cases. As hydrogen concentration is increased, there is a higher proportion of neutrons being thermalised into and passed the </w:t>
      </w:r>
      <w:r w:rsidRPr="008346B7">
        <w:lastRenderedPageBreak/>
        <w:t xml:space="preserve">resonance regions. Consequently, there are more neutrons being captured by the sodium and chlorine in the </w:t>
      </w:r>
      <w:r w:rsidR="00C81184">
        <w:t>chloride</w:t>
      </w:r>
      <w:r w:rsidRPr="008346B7">
        <w:t xml:space="preserve"> fuel as seen by the increased radiative capture with increased moderation in table </w:t>
      </w:r>
      <w:r w:rsidR="00081F05">
        <w:t>5</w:t>
      </w:r>
      <w:r w:rsidRPr="008346B7">
        <w:t>.</w:t>
      </w:r>
    </w:p>
    <w:p w14:paraId="0BFD9B0B" w14:textId="77777777" w:rsidR="00081F05" w:rsidRDefault="00081F05" w:rsidP="008346B7">
      <w:pPr>
        <w:pStyle w:val="BodyText"/>
      </w:pPr>
    </w:p>
    <w:p w14:paraId="7AF65E92" w14:textId="63FC5B1E" w:rsidR="00F527CF" w:rsidRDefault="00F527CF" w:rsidP="00081F05">
      <w:pPr>
        <w:pStyle w:val="Caption"/>
        <w:keepNext/>
      </w:pPr>
      <w:r w:rsidRPr="008346B7">
        <w:t xml:space="preserve"> </w:t>
      </w:r>
      <w:r w:rsidR="00081F05">
        <w:t>TABLE 5.</w:t>
      </w:r>
      <w:r w:rsidR="00081F05">
        <w:tab/>
        <w:t xml:space="preserve"> RADIATIVE CAPTURE IN CHLORIDE FUEL AT DIFFERENT VALUES OF H/HM</w:t>
      </w:r>
    </w:p>
    <w:tbl>
      <w:tblPr>
        <w:tblStyle w:val="TableGrid"/>
        <w:tblpPr w:leftFromText="180" w:rightFromText="180" w:vertAnchor="text" w:horzAnchor="margin" w:tblpXSpec="center" w:tblpY="142"/>
        <w:tblW w:w="7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
        <w:gridCol w:w="1524"/>
        <w:gridCol w:w="1524"/>
        <w:gridCol w:w="1524"/>
        <w:gridCol w:w="1525"/>
      </w:tblGrid>
      <w:tr w:rsidR="00F527CF" w:rsidRPr="00C42708" w14:paraId="46C6B343" w14:textId="77777777" w:rsidTr="00585240">
        <w:trPr>
          <w:trHeight w:val="300"/>
        </w:trPr>
        <w:tc>
          <w:tcPr>
            <w:tcW w:w="1524" w:type="dxa"/>
            <w:tcBorders>
              <w:top w:val="single" w:sz="4" w:space="0" w:color="auto"/>
              <w:bottom w:val="single" w:sz="4" w:space="0" w:color="auto"/>
            </w:tcBorders>
            <w:noWrap/>
            <w:vAlign w:val="center"/>
            <w:hideMark/>
          </w:tcPr>
          <w:p w14:paraId="73D5ABDD" w14:textId="77777777" w:rsidR="00F527CF" w:rsidRPr="00C42708" w:rsidRDefault="00F527CF" w:rsidP="007175EA">
            <w:pPr>
              <w:pStyle w:val="Tabletext"/>
              <w:rPr>
                <w:lang w:eastAsia="en-GB"/>
              </w:rPr>
            </w:pPr>
            <w:r>
              <w:rPr>
                <w:lang w:eastAsia="en-GB"/>
              </w:rPr>
              <w:t>Reaction rate [s</w:t>
            </w:r>
            <w:r>
              <w:rPr>
                <w:vertAlign w:val="superscript"/>
                <w:lang w:eastAsia="en-GB"/>
              </w:rPr>
              <w:t>-1</w:t>
            </w:r>
            <w:r>
              <w:rPr>
                <w:lang w:eastAsia="en-GB"/>
              </w:rPr>
              <w:t>]</w:t>
            </w:r>
          </w:p>
        </w:tc>
        <w:tc>
          <w:tcPr>
            <w:tcW w:w="1524" w:type="dxa"/>
            <w:tcBorders>
              <w:top w:val="single" w:sz="4" w:space="0" w:color="auto"/>
              <w:bottom w:val="single" w:sz="4" w:space="0" w:color="auto"/>
            </w:tcBorders>
            <w:noWrap/>
            <w:vAlign w:val="center"/>
            <w:hideMark/>
          </w:tcPr>
          <w:p w14:paraId="672F3CBC" w14:textId="77777777" w:rsidR="00F527CF" w:rsidRPr="00C42708" w:rsidRDefault="00F527CF" w:rsidP="007175EA">
            <w:pPr>
              <w:pStyle w:val="Tabletext"/>
              <w:rPr>
                <w:lang w:eastAsia="en-GB"/>
              </w:rPr>
            </w:pPr>
            <w:r w:rsidRPr="00C42708">
              <w:rPr>
                <w:lang w:eastAsia="en-GB"/>
              </w:rPr>
              <w:t>No Water</w:t>
            </w:r>
          </w:p>
        </w:tc>
        <w:tc>
          <w:tcPr>
            <w:tcW w:w="1524" w:type="dxa"/>
            <w:tcBorders>
              <w:top w:val="single" w:sz="4" w:space="0" w:color="auto"/>
              <w:bottom w:val="single" w:sz="4" w:space="0" w:color="auto"/>
            </w:tcBorders>
            <w:noWrap/>
            <w:vAlign w:val="center"/>
            <w:hideMark/>
          </w:tcPr>
          <w:p w14:paraId="1A39F774" w14:textId="4B34E730" w:rsidR="00F527CF" w:rsidRPr="00C42708" w:rsidRDefault="00585240" w:rsidP="007175EA">
            <w:pPr>
              <w:pStyle w:val="Tabletext"/>
              <w:rPr>
                <w:lang w:eastAsia="en-GB"/>
              </w:rPr>
            </w:pPr>
            <w:r>
              <w:rPr>
                <w:lang w:eastAsia="en-GB"/>
              </w:rPr>
              <w:t xml:space="preserve">H/M = </w:t>
            </w:r>
            <w:r w:rsidR="00F527CF" w:rsidRPr="00C42708">
              <w:rPr>
                <w:lang w:eastAsia="en-GB"/>
              </w:rPr>
              <w:t>0.01</w:t>
            </w:r>
          </w:p>
        </w:tc>
        <w:tc>
          <w:tcPr>
            <w:tcW w:w="1524" w:type="dxa"/>
            <w:tcBorders>
              <w:top w:val="single" w:sz="4" w:space="0" w:color="auto"/>
              <w:bottom w:val="single" w:sz="4" w:space="0" w:color="auto"/>
            </w:tcBorders>
            <w:noWrap/>
            <w:vAlign w:val="center"/>
            <w:hideMark/>
          </w:tcPr>
          <w:p w14:paraId="3CD6D9FC" w14:textId="3467517B" w:rsidR="00F527CF" w:rsidRPr="00C42708" w:rsidRDefault="00585240" w:rsidP="007175EA">
            <w:pPr>
              <w:pStyle w:val="Tabletext"/>
              <w:rPr>
                <w:lang w:eastAsia="en-GB"/>
              </w:rPr>
            </w:pPr>
            <w:r>
              <w:rPr>
                <w:lang w:eastAsia="en-GB"/>
              </w:rPr>
              <w:t xml:space="preserve">H/HM = </w:t>
            </w:r>
            <w:r w:rsidR="00F527CF" w:rsidRPr="00C42708">
              <w:rPr>
                <w:lang w:eastAsia="en-GB"/>
              </w:rPr>
              <w:t>1</w:t>
            </w:r>
          </w:p>
        </w:tc>
        <w:tc>
          <w:tcPr>
            <w:tcW w:w="1525" w:type="dxa"/>
            <w:tcBorders>
              <w:top w:val="single" w:sz="4" w:space="0" w:color="auto"/>
              <w:bottom w:val="single" w:sz="4" w:space="0" w:color="auto"/>
            </w:tcBorders>
            <w:noWrap/>
            <w:vAlign w:val="center"/>
            <w:hideMark/>
          </w:tcPr>
          <w:p w14:paraId="19755EE8" w14:textId="14FD6986" w:rsidR="00F527CF" w:rsidRPr="00C42708" w:rsidRDefault="00585240" w:rsidP="007175EA">
            <w:pPr>
              <w:pStyle w:val="Tabletext"/>
              <w:rPr>
                <w:lang w:eastAsia="en-GB"/>
              </w:rPr>
            </w:pPr>
            <w:r>
              <w:rPr>
                <w:lang w:eastAsia="en-GB"/>
              </w:rPr>
              <w:t xml:space="preserve">H/HM = </w:t>
            </w:r>
            <w:r w:rsidR="00F527CF" w:rsidRPr="00C42708">
              <w:rPr>
                <w:lang w:eastAsia="en-GB"/>
              </w:rPr>
              <w:t>100</w:t>
            </w:r>
          </w:p>
        </w:tc>
      </w:tr>
      <w:tr w:rsidR="00F527CF" w:rsidRPr="00C42708" w14:paraId="7F737C84" w14:textId="77777777" w:rsidTr="00585240">
        <w:trPr>
          <w:trHeight w:val="300"/>
        </w:trPr>
        <w:tc>
          <w:tcPr>
            <w:tcW w:w="1524" w:type="dxa"/>
            <w:tcBorders>
              <w:top w:val="single" w:sz="4" w:space="0" w:color="auto"/>
            </w:tcBorders>
            <w:noWrap/>
            <w:vAlign w:val="center"/>
            <w:hideMark/>
          </w:tcPr>
          <w:p w14:paraId="4FD7E808" w14:textId="18F6B792" w:rsidR="00F527CF" w:rsidRPr="00C42708" w:rsidRDefault="00F527CF" w:rsidP="007175EA">
            <w:pPr>
              <w:pStyle w:val="Tabletext"/>
              <w:rPr>
                <w:lang w:eastAsia="en-GB"/>
              </w:rPr>
            </w:pPr>
            <w:r w:rsidRPr="00C42708">
              <w:rPr>
                <w:lang w:eastAsia="en-GB"/>
              </w:rPr>
              <w:t>Na-23</w:t>
            </w:r>
            <w:r>
              <w:rPr>
                <w:lang w:eastAsia="en-GB"/>
              </w:rPr>
              <w:t xml:space="preserve"> (n,γ)</w:t>
            </w:r>
          </w:p>
        </w:tc>
        <w:tc>
          <w:tcPr>
            <w:tcW w:w="1524" w:type="dxa"/>
            <w:tcBorders>
              <w:top w:val="single" w:sz="4" w:space="0" w:color="auto"/>
            </w:tcBorders>
            <w:noWrap/>
            <w:vAlign w:val="center"/>
            <w:hideMark/>
          </w:tcPr>
          <w:p w14:paraId="28ED5AD1" w14:textId="77777777" w:rsidR="00F527CF" w:rsidRPr="00C42708" w:rsidRDefault="00F527CF" w:rsidP="007175EA">
            <w:pPr>
              <w:pStyle w:val="Tabletext"/>
              <w:rPr>
                <w:lang w:eastAsia="en-GB"/>
              </w:rPr>
            </w:pPr>
            <w:r w:rsidRPr="00C42708">
              <w:rPr>
                <w:lang w:eastAsia="en-GB"/>
              </w:rPr>
              <w:t>6.641E+08</w:t>
            </w:r>
          </w:p>
        </w:tc>
        <w:tc>
          <w:tcPr>
            <w:tcW w:w="1524" w:type="dxa"/>
            <w:tcBorders>
              <w:top w:val="single" w:sz="4" w:space="0" w:color="auto"/>
            </w:tcBorders>
            <w:noWrap/>
            <w:vAlign w:val="center"/>
            <w:hideMark/>
          </w:tcPr>
          <w:p w14:paraId="34C1CA96" w14:textId="77777777" w:rsidR="00F527CF" w:rsidRPr="00C42708" w:rsidRDefault="00F527CF" w:rsidP="007175EA">
            <w:pPr>
              <w:pStyle w:val="Tabletext"/>
              <w:rPr>
                <w:lang w:eastAsia="en-GB"/>
              </w:rPr>
            </w:pPr>
            <w:r w:rsidRPr="00C42708">
              <w:rPr>
                <w:lang w:eastAsia="en-GB"/>
              </w:rPr>
              <w:t>6.502E+08</w:t>
            </w:r>
          </w:p>
        </w:tc>
        <w:tc>
          <w:tcPr>
            <w:tcW w:w="1524" w:type="dxa"/>
            <w:tcBorders>
              <w:top w:val="single" w:sz="4" w:space="0" w:color="auto"/>
            </w:tcBorders>
            <w:noWrap/>
            <w:vAlign w:val="center"/>
            <w:hideMark/>
          </w:tcPr>
          <w:p w14:paraId="09859AFC" w14:textId="77777777" w:rsidR="00F527CF" w:rsidRPr="00C42708" w:rsidRDefault="00F527CF" w:rsidP="007175EA">
            <w:pPr>
              <w:pStyle w:val="Tabletext"/>
              <w:rPr>
                <w:lang w:eastAsia="en-GB"/>
              </w:rPr>
            </w:pPr>
            <w:r w:rsidRPr="00C42708">
              <w:rPr>
                <w:lang w:eastAsia="en-GB"/>
              </w:rPr>
              <w:t>5.288E+08</w:t>
            </w:r>
          </w:p>
        </w:tc>
        <w:tc>
          <w:tcPr>
            <w:tcW w:w="1525" w:type="dxa"/>
            <w:tcBorders>
              <w:top w:val="single" w:sz="4" w:space="0" w:color="auto"/>
            </w:tcBorders>
            <w:noWrap/>
            <w:vAlign w:val="center"/>
            <w:hideMark/>
          </w:tcPr>
          <w:p w14:paraId="65977BC1" w14:textId="77777777" w:rsidR="00F527CF" w:rsidRPr="00C42708" w:rsidRDefault="00F527CF" w:rsidP="007175EA">
            <w:pPr>
              <w:pStyle w:val="Tabletext"/>
              <w:rPr>
                <w:lang w:eastAsia="en-GB"/>
              </w:rPr>
            </w:pPr>
            <w:r w:rsidRPr="00C42708">
              <w:rPr>
                <w:lang w:eastAsia="en-GB"/>
              </w:rPr>
              <w:t>1.038E+09</w:t>
            </w:r>
          </w:p>
        </w:tc>
      </w:tr>
      <w:tr w:rsidR="00F527CF" w:rsidRPr="00C42708" w14:paraId="35B45B0B" w14:textId="77777777" w:rsidTr="00585240">
        <w:trPr>
          <w:trHeight w:val="300"/>
        </w:trPr>
        <w:tc>
          <w:tcPr>
            <w:tcW w:w="1524" w:type="dxa"/>
            <w:noWrap/>
            <w:vAlign w:val="center"/>
            <w:hideMark/>
          </w:tcPr>
          <w:p w14:paraId="0C7CD941" w14:textId="77777777" w:rsidR="00F527CF" w:rsidRPr="00C42708" w:rsidRDefault="00F527CF" w:rsidP="007175EA">
            <w:pPr>
              <w:pStyle w:val="Tabletext"/>
              <w:rPr>
                <w:lang w:eastAsia="en-GB"/>
              </w:rPr>
            </w:pPr>
            <w:r w:rsidRPr="00C42708">
              <w:rPr>
                <w:lang w:eastAsia="en-GB"/>
              </w:rPr>
              <w:t>Cl-35</w:t>
            </w:r>
            <w:r>
              <w:rPr>
                <w:lang w:eastAsia="en-GB"/>
              </w:rPr>
              <w:t xml:space="preserve"> (n,γ)</w:t>
            </w:r>
          </w:p>
        </w:tc>
        <w:tc>
          <w:tcPr>
            <w:tcW w:w="1524" w:type="dxa"/>
            <w:noWrap/>
            <w:vAlign w:val="center"/>
            <w:hideMark/>
          </w:tcPr>
          <w:p w14:paraId="2CA74B7C" w14:textId="77777777" w:rsidR="00F527CF" w:rsidRPr="00C42708" w:rsidRDefault="00F527CF" w:rsidP="007175EA">
            <w:pPr>
              <w:pStyle w:val="Tabletext"/>
              <w:rPr>
                <w:lang w:eastAsia="en-GB"/>
              </w:rPr>
            </w:pPr>
            <w:r w:rsidRPr="00C42708">
              <w:rPr>
                <w:lang w:eastAsia="en-GB"/>
              </w:rPr>
              <w:t>5.692E+09</w:t>
            </w:r>
          </w:p>
        </w:tc>
        <w:tc>
          <w:tcPr>
            <w:tcW w:w="1524" w:type="dxa"/>
            <w:noWrap/>
            <w:vAlign w:val="center"/>
            <w:hideMark/>
          </w:tcPr>
          <w:p w14:paraId="2907A8B8" w14:textId="77777777" w:rsidR="00F527CF" w:rsidRPr="00C42708" w:rsidRDefault="00F527CF" w:rsidP="007175EA">
            <w:pPr>
              <w:pStyle w:val="Tabletext"/>
              <w:rPr>
                <w:lang w:eastAsia="en-GB"/>
              </w:rPr>
            </w:pPr>
            <w:r w:rsidRPr="00C42708">
              <w:rPr>
                <w:lang w:eastAsia="en-GB"/>
              </w:rPr>
              <w:t>6.315E+09</w:t>
            </w:r>
          </w:p>
        </w:tc>
        <w:tc>
          <w:tcPr>
            <w:tcW w:w="1524" w:type="dxa"/>
            <w:noWrap/>
            <w:vAlign w:val="center"/>
            <w:hideMark/>
          </w:tcPr>
          <w:p w14:paraId="25E05810" w14:textId="77777777" w:rsidR="00F527CF" w:rsidRPr="00C42708" w:rsidRDefault="00F527CF" w:rsidP="007175EA">
            <w:pPr>
              <w:pStyle w:val="Tabletext"/>
              <w:rPr>
                <w:lang w:eastAsia="en-GB"/>
              </w:rPr>
            </w:pPr>
            <w:r w:rsidRPr="00C42708">
              <w:rPr>
                <w:lang w:eastAsia="en-GB"/>
              </w:rPr>
              <w:t>7.213E+10</w:t>
            </w:r>
          </w:p>
        </w:tc>
        <w:tc>
          <w:tcPr>
            <w:tcW w:w="1525" w:type="dxa"/>
            <w:noWrap/>
            <w:vAlign w:val="center"/>
            <w:hideMark/>
          </w:tcPr>
          <w:p w14:paraId="2A9F20A6" w14:textId="77777777" w:rsidR="00F527CF" w:rsidRPr="00C42708" w:rsidRDefault="00F527CF" w:rsidP="007175EA">
            <w:pPr>
              <w:pStyle w:val="Tabletext"/>
              <w:rPr>
                <w:lang w:eastAsia="en-GB"/>
              </w:rPr>
            </w:pPr>
            <w:r w:rsidRPr="00C42708">
              <w:rPr>
                <w:lang w:eastAsia="en-GB"/>
              </w:rPr>
              <w:t>3.229E+11</w:t>
            </w:r>
          </w:p>
        </w:tc>
      </w:tr>
      <w:tr w:rsidR="00F527CF" w:rsidRPr="00C42708" w14:paraId="09E2C796" w14:textId="77777777" w:rsidTr="00585240">
        <w:trPr>
          <w:trHeight w:val="300"/>
        </w:trPr>
        <w:tc>
          <w:tcPr>
            <w:tcW w:w="1524" w:type="dxa"/>
            <w:tcBorders>
              <w:bottom w:val="single" w:sz="4" w:space="0" w:color="auto"/>
            </w:tcBorders>
            <w:noWrap/>
            <w:vAlign w:val="center"/>
            <w:hideMark/>
          </w:tcPr>
          <w:p w14:paraId="63158D8F" w14:textId="77777777" w:rsidR="00F527CF" w:rsidRPr="00C42708" w:rsidRDefault="00F527CF" w:rsidP="007175EA">
            <w:pPr>
              <w:pStyle w:val="Tabletext"/>
              <w:rPr>
                <w:lang w:eastAsia="en-GB"/>
              </w:rPr>
            </w:pPr>
            <w:r w:rsidRPr="00C42708">
              <w:rPr>
                <w:lang w:eastAsia="en-GB"/>
              </w:rPr>
              <w:t>Cl-37</w:t>
            </w:r>
            <w:r>
              <w:rPr>
                <w:lang w:eastAsia="en-GB"/>
              </w:rPr>
              <w:t xml:space="preserve"> (n,γ)</w:t>
            </w:r>
          </w:p>
        </w:tc>
        <w:tc>
          <w:tcPr>
            <w:tcW w:w="1524" w:type="dxa"/>
            <w:tcBorders>
              <w:bottom w:val="single" w:sz="4" w:space="0" w:color="auto"/>
            </w:tcBorders>
            <w:noWrap/>
            <w:vAlign w:val="center"/>
            <w:hideMark/>
          </w:tcPr>
          <w:p w14:paraId="4CE49B9D" w14:textId="77777777" w:rsidR="00F527CF" w:rsidRPr="00C42708" w:rsidRDefault="00F527CF" w:rsidP="007175EA">
            <w:pPr>
              <w:pStyle w:val="Tabletext"/>
              <w:rPr>
                <w:lang w:eastAsia="en-GB"/>
              </w:rPr>
            </w:pPr>
            <w:r w:rsidRPr="00C42708">
              <w:rPr>
                <w:lang w:eastAsia="en-GB"/>
              </w:rPr>
              <w:t>1.329E+09</w:t>
            </w:r>
          </w:p>
        </w:tc>
        <w:tc>
          <w:tcPr>
            <w:tcW w:w="1524" w:type="dxa"/>
            <w:tcBorders>
              <w:bottom w:val="single" w:sz="4" w:space="0" w:color="auto"/>
            </w:tcBorders>
            <w:noWrap/>
            <w:vAlign w:val="center"/>
            <w:hideMark/>
          </w:tcPr>
          <w:p w14:paraId="7932A8C1" w14:textId="77777777" w:rsidR="00F527CF" w:rsidRPr="00C42708" w:rsidRDefault="00F527CF" w:rsidP="007175EA">
            <w:pPr>
              <w:pStyle w:val="Tabletext"/>
              <w:rPr>
                <w:lang w:eastAsia="en-GB"/>
              </w:rPr>
            </w:pPr>
            <w:r w:rsidRPr="00C42708">
              <w:rPr>
                <w:lang w:eastAsia="en-GB"/>
              </w:rPr>
              <w:t>1.373E+09</w:t>
            </w:r>
          </w:p>
        </w:tc>
        <w:tc>
          <w:tcPr>
            <w:tcW w:w="1524" w:type="dxa"/>
            <w:tcBorders>
              <w:bottom w:val="single" w:sz="4" w:space="0" w:color="auto"/>
            </w:tcBorders>
            <w:noWrap/>
            <w:vAlign w:val="center"/>
            <w:hideMark/>
          </w:tcPr>
          <w:p w14:paraId="2780E256" w14:textId="77777777" w:rsidR="00F527CF" w:rsidRPr="00C42708" w:rsidRDefault="00F527CF" w:rsidP="007175EA">
            <w:pPr>
              <w:pStyle w:val="Tabletext"/>
              <w:rPr>
                <w:lang w:eastAsia="en-GB"/>
              </w:rPr>
            </w:pPr>
            <w:r w:rsidRPr="00C42708">
              <w:rPr>
                <w:lang w:eastAsia="en-GB"/>
              </w:rPr>
              <w:t>1.762E+09</w:t>
            </w:r>
          </w:p>
        </w:tc>
        <w:tc>
          <w:tcPr>
            <w:tcW w:w="1525" w:type="dxa"/>
            <w:tcBorders>
              <w:bottom w:val="single" w:sz="4" w:space="0" w:color="auto"/>
            </w:tcBorders>
            <w:noWrap/>
            <w:vAlign w:val="center"/>
            <w:hideMark/>
          </w:tcPr>
          <w:p w14:paraId="1677B837" w14:textId="77777777" w:rsidR="00F527CF" w:rsidRPr="00C42708" w:rsidRDefault="00F527CF" w:rsidP="007175EA">
            <w:pPr>
              <w:pStyle w:val="Tabletext"/>
              <w:rPr>
                <w:lang w:eastAsia="en-GB"/>
              </w:rPr>
            </w:pPr>
            <w:r w:rsidRPr="00C42708">
              <w:rPr>
                <w:lang w:eastAsia="en-GB"/>
              </w:rPr>
              <w:t>2.337E+09</w:t>
            </w:r>
          </w:p>
        </w:tc>
      </w:tr>
    </w:tbl>
    <w:p w14:paraId="5C0F8268" w14:textId="77777777" w:rsidR="00F527CF" w:rsidRDefault="00F527CF" w:rsidP="00F527CF">
      <w:pPr>
        <w:pStyle w:val="BodyText"/>
        <w:ind w:left="567" w:firstLine="0"/>
      </w:pPr>
    </w:p>
    <w:p w14:paraId="5A0AC378" w14:textId="77777777" w:rsidR="00F527CF" w:rsidRDefault="00F527CF" w:rsidP="00F527CF">
      <w:pPr>
        <w:pStyle w:val="BodyText"/>
        <w:ind w:left="567" w:firstLine="0"/>
      </w:pPr>
    </w:p>
    <w:p w14:paraId="69F9BDD0" w14:textId="77777777" w:rsidR="00F527CF" w:rsidRPr="0095231C" w:rsidRDefault="00F527CF" w:rsidP="00F527CF">
      <w:pPr>
        <w:pStyle w:val="BodyText"/>
        <w:ind w:left="567" w:firstLine="0"/>
      </w:pPr>
    </w:p>
    <w:p w14:paraId="2CF3D1FE" w14:textId="77777777" w:rsidR="00F527CF" w:rsidRDefault="00F527CF" w:rsidP="00F527CF">
      <w:pPr>
        <w:pStyle w:val="BodyText"/>
        <w:ind w:left="567" w:firstLine="0"/>
      </w:pPr>
    </w:p>
    <w:p w14:paraId="20CBD9AA" w14:textId="69875883" w:rsidR="00F527CF" w:rsidRDefault="00F527CF" w:rsidP="00F527CF">
      <w:pPr>
        <w:pStyle w:val="BodyText"/>
        <w:ind w:firstLine="0"/>
      </w:pPr>
    </w:p>
    <w:p w14:paraId="59122AF2" w14:textId="64286C46" w:rsidR="00081F05" w:rsidRDefault="00081F05" w:rsidP="00C23148">
      <w:pPr>
        <w:pStyle w:val="BodyText"/>
        <w:ind w:firstLine="0"/>
      </w:pPr>
    </w:p>
    <w:p w14:paraId="6C330272" w14:textId="7DCEA9F8" w:rsidR="00081F05" w:rsidRDefault="007C4F9C" w:rsidP="00C23148">
      <w:pPr>
        <w:pStyle w:val="BodyText"/>
        <w:ind w:firstLine="0"/>
      </w:pPr>
      <w:r w:rsidRPr="00F42515">
        <w:rPr>
          <w:noProof/>
        </w:rPr>
        <w:drawing>
          <wp:anchor distT="0" distB="0" distL="114300" distR="114300" simplePos="0" relativeHeight="251657728" behindDoc="0" locked="0" layoutInCell="1" allowOverlap="1" wp14:anchorId="2C949094" wp14:editId="7290D954">
            <wp:simplePos x="0" y="0"/>
            <wp:positionH relativeFrom="column">
              <wp:posOffset>981075</wp:posOffset>
            </wp:positionH>
            <wp:positionV relativeFrom="page">
              <wp:posOffset>2743200</wp:posOffset>
            </wp:positionV>
            <wp:extent cx="3768725" cy="2152650"/>
            <wp:effectExtent l="0" t="0" r="0" b="0"/>
            <wp:wrapTopAndBottom/>
            <wp:docPr id="2052915083" name="Picture 1" descr="A graph of different valu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915083" name="Picture 1" descr="A graph of different values&#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68725" cy="2152650"/>
                    </a:xfrm>
                    <a:prstGeom prst="rect">
                      <a:avLst/>
                    </a:prstGeom>
                  </pic:spPr>
                </pic:pic>
              </a:graphicData>
            </a:graphic>
            <wp14:sizeRelH relativeFrom="margin">
              <wp14:pctWidth>0</wp14:pctWidth>
            </wp14:sizeRelH>
            <wp14:sizeRelV relativeFrom="margin">
              <wp14:pctHeight>0</wp14:pctHeight>
            </wp14:sizeRelV>
          </wp:anchor>
        </w:drawing>
      </w:r>
    </w:p>
    <w:p w14:paraId="534F8213" w14:textId="1878110A" w:rsidR="00F527CF" w:rsidRPr="00F527CF" w:rsidRDefault="00F527CF" w:rsidP="00C23148">
      <w:pPr>
        <w:pStyle w:val="BodyText"/>
        <w:ind w:firstLine="0"/>
      </w:pPr>
    </w:p>
    <w:p w14:paraId="06CA20DA" w14:textId="43CB9C23" w:rsidR="00081F05" w:rsidRPr="00C34DB5" w:rsidRDefault="00081F05" w:rsidP="0057204F">
      <w:pPr>
        <w:jc w:val="center"/>
        <w:rPr>
          <w:rFonts w:ascii="Times" w:hAnsi="Times" w:cs="Times"/>
          <w:i/>
          <w:iCs/>
          <w:sz w:val="20"/>
        </w:rPr>
      </w:pPr>
      <w:r w:rsidRPr="00C34DB5">
        <w:rPr>
          <w:rFonts w:ascii="Times" w:hAnsi="Times" w:cs="Times"/>
          <w:i/>
          <w:iCs/>
          <w:sz w:val="20"/>
        </w:rPr>
        <w:t xml:space="preserve">FIG </w:t>
      </w:r>
      <w:r>
        <w:rPr>
          <w:rFonts w:ascii="Times" w:hAnsi="Times" w:cs="Times"/>
          <w:i/>
          <w:iCs/>
          <w:sz w:val="20"/>
        </w:rPr>
        <w:t>3</w:t>
      </w:r>
      <w:r w:rsidRPr="00C34DB5">
        <w:rPr>
          <w:rFonts w:ascii="Times" w:hAnsi="Times" w:cs="Times"/>
          <w:i/>
          <w:iCs/>
          <w:sz w:val="20"/>
        </w:rPr>
        <w:t xml:space="preserve">. </w:t>
      </w:r>
      <w:r>
        <w:rPr>
          <w:rFonts w:ascii="Times" w:hAnsi="Times" w:cs="Times"/>
          <w:i/>
          <w:iCs/>
          <w:sz w:val="20"/>
        </w:rPr>
        <w:t>Neutron flux spectrum for different values of H/HM</w:t>
      </w:r>
    </w:p>
    <w:p w14:paraId="2B036486" w14:textId="524EBE9B" w:rsidR="00EB060E" w:rsidRDefault="00643AEB" w:rsidP="005F2EAC">
      <w:pPr>
        <w:pStyle w:val="Heading20"/>
      </w:pPr>
      <w:r w:rsidRPr="005F2EAC">
        <w:t>COnclusions</w:t>
      </w:r>
    </w:p>
    <w:p w14:paraId="2AE57762" w14:textId="1424BE38" w:rsidR="005360B0" w:rsidRPr="005360B0" w:rsidRDefault="00421EB0" w:rsidP="005360B0">
      <w:pPr>
        <w:pStyle w:val="BodyText"/>
      </w:pPr>
      <w:r>
        <w:t>The Molten Salt Reactor concept appears as a promising candidate for use in FNPP applications, taking advantage of the liquid fuel and increased passive safety features to achieve competitive economics with online refuelling, increased availability</w:t>
      </w:r>
      <w:r w:rsidR="002F20F9">
        <w:t xml:space="preserve"> and</w:t>
      </w:r>
      <w:r>
        <w:t xml:space="preserve"> </w:t>
      </w:r>
      <w:r w:rsidR="00690582">
        <w:t>high-grade</w:t>
      </w:r>
      <w:r>
        <w:t xml:space="preserve"> heat. In terms of candidates, </w:t>
      </w:r>
      <w:r w:rsidR="00690582">
        <w:t>chlori</w:t>
      </w:r>
      <w:r w:rsidR="0090360F">
        <w:t>n</w:t>
      </w:r>
      <w:r w:rsidR="00690582">
        <w:t>e-based</w:t>
      </w:r>
      <w:r>
        <w:t xml:space="preserve"> fuel salts show promising results in the criticality safety bounding case of water-fuel mixing which is an important factor for licencing these technologies in Marine Applications. </w:t>
      </w:r>
      <w:r w:rsidR="002F20F9">
        <w:t>For achieving commercial deployment of MSRs in FNPPs, significant progress still needs to be made in the development of systems and the testing of salt-facing materials.</w:t>
      </w:r>
    </w:p>
    <w:p w14:paraId="32B76F9D" w14:textId="190D36FE" w:rsidR="00D26ADA" w:rsidRDefault="00D26ADA" w:rsidP="00537496">
      <w:pPr>
        <w:pStyle w:val="Otherunnumberedheadings"/>
      </w:pPr>
      <w:r>
        <w:t>References</w:t>
      </w:r>
    </w:p>
    <w:p w14:paraId="3BA56E06" w14:textId="0E6A68E1" w:rsidR="00F45EEE" w:rsidRPr="007548F2" w:rsidRDefault="00D05871" w:rsidP="00D05871">
      <w:pPr>
        <w:pStyle w:val="Referencelist"/>
      </w:pPr>
      <w:r w:rsidRPr="007548F2">
        <w:rPr>
          <w:color w:val="222222"/>
          <w:shd w:val="clear" w:color="auto" w:fill="FFFFFF"/>
        </w:rPr>
        <w:t>Buongiorno J, Jurewicz J, Golay M, Todreas N. The offshore floating nuclear plant concept. Nuclear Technology. 2016 Apr 1;194(1):1-4.</w:t>
      </w:r>
    </w:p>
    <w:p w14:paraId="213456D3" w14:textId="26FC60AC" w:rsidR="00D05871" w:rsidRPr="007548F2" w:rsidRDefault="00D05871" w:rsidP="00D05871">
      <w:pPr>
        <w:pStyle w:val="Referencelist"/>
      </w:pPr>
      <w:r w:rsidRPr="007548F2">
        <w:t>International Atomic Energy Agency. Floating Nuclear Energy Plants for Seawater Desalination. IAEA TECDOC series; 1997.</w:t>
      </w:r>
    </w:p>
    <w:p w14:paraId="07C0708E" w14:textId="77777777" w:rsidR="00D05871" w:rsidRPr="007548F2" w:rsidRDefault="00D05871" w:rsidP="00D05871">
      <w:pPr>
        <w:pStyle w:val="Referencelist"/>
      </w:pPr>
      <w:r w:rsidRPr="007548F2">
        <w:t>Williams GH. World War II U.S. Navy Vessels in Private Hands. McFarland Books; 2013.</w:t>
      </w:r>
    </w:p>
    <w:p w14:paraId="5C77FDB0" w14:textId="77777777" w:rsidR="00D05871" w:rsidRPr="007548F2" w:rsidRDefault="00D05871" w:rsidP="00D05871">
      <w:pPr>
        <w:pStyle w:val="Referencelist"/>
      </w:pPr>
      <w:r w:rsidRPr="007548F2">
        <w:t>NS Energy, Akademik Lomonosov Floating Nuclear Power Plant, 2020</w:t>
      </w:r>
    </w:p>
    <w:p w14:paraId="0A80DBBA" w14:textId="77777777" w:rsidR="00D05871" w:rsidRPr="007548F2" w:rsidRDefault="00D05871" w:rsidP="00D05871">
      <w:pPr>
        <w:pStyle w:val="Referencelist"/>
      </w:pPr>
      <w:r w:rsidRPr="007548F2">
        <w:t>Won H, et al. Integrated System Model of a Floating Maritime Nuclear System for Ammonia Production. American Nuclear Society; 2023.</w:t>
      </w:r>
    </w:p>
    <w:p w14:paraId="393DBC9A" w14:textId="77777777" w:rsidR="00D05871" w:rsidRPr="007548F2" w:rsidRDefault="00D05871" w:rsidP="00D05871">
      <w:pPr>
        <w:pStyle w:val="Referencelist"/>
      </w:pPr>
      <w:r w:rsidRPr="007548F2">
        <w:t>Pioro I, Handbook of Generation IV Nuclear Reactors. Elsevier eBooks. 2023</w:t>
      </w:r>
    </w:p>
    <w:p w14:paraId="5696CE0B" w14:textId="77777777" w:rsidR="00D05871" w:rsidRPr="007548F2" w:rsidRDefault="00D05871" w:rsidP="00D05871">
      <w:pPr>
        <w:pStyle w:val="Referencelist"/>
      </w:pPr>
      <w:r w:rsidRPr="007548F2">
        <w:rPr>
          <w:shd w:val="clear" w:color="auto" w:fill="FFFFFF"/>
        </w:rPr>
        <w:t>Haubenreich PN, Engel JR, Prince BE, Claiborne HC. MSRE design and operations report. Part III. Nuclear analysis. Oak Ridge National Lab.(ORNL), Oak Ridge, TN (United States); 1964.</w:t>
      </w:r>
    </w:p>
    <w:p w14:paraId="621183FC" w14:textId="77777777" w:rsidR="00D05871" w:rsidRPr="007548F2" w:rsidRDefault="00D05871" w:rsidP="00D05871">
      <w:pPr>
        <w:pStyle w:val="Referencelist"/>
      </w:pPr>
      <w:r w:rsidRPr="007548F2">
        <w:t>Southern Company. TerraPower Molten Chloride Reactor Experiment TICAP Tabletop Exercise Report. Document Number SC-16166-202 Rev 0; 2021.</w:t>
      </w:r>
    </w:p>
    <w:p w14:paraId="5B31A348" w14:textId="77777777" w:rsidR="00D05871" w:rsidRPr="007548F2" w:rsidRDefault="00D05871" w:rsidP="00D05871">
      <w:pPr>
        <w:pStyle w:val="Referencelist"/>
      </w:pPr>
      <w:r w:rsidRPr="007548F2">
        <w:rPr>
          <w:shd w:val="clear" w:color="auto" w:fill="FFFFFF"/>
        </w:rPr>
        <w:t>Thoma RE. CHEMICAL ASPECTS OF MSRE OPERATIONS. Oak Ridge National Lab.(ORNL), Oak Ridge, TN (United States); 1971 Jan 1.</w:t>
      </w:r>
    </w:p>
    <w:p w14:paraId="066D5F7B" w14:textId="77777777" w:rsidR="00D05871" w:rsidRPr="007548F2" w:rsidRDefault="00D05871" w:rsidP="00D05871">
      <w:pPr>
        <w:pStyle w:val="Referencelist"/>
      </w:pPr>
      <w:r w:rsidRPr="007548F2">
        <w:rPr>
          <w:shd w:val="clear" w:color="auto" w:fill="FFFFFF"/>
        </w:rPr>
        <w:lastRenderedPageBreak/>
        <w:t>Wheeler AM, Singh V, Miller LF, Chvála O. Initial calculations for source term of Molten Salt Reactors. Progress in Nuclear Energy. 2021 Feb 1;132:103616.</w:t>
      </w:r>
    </w:p>
    <w:p w14:paraId="40761E04" w14:textId="0867CCE7" w:rsidR="00D05871" w:rsidRPr="007548F2" w:rsidRDefault="00D05871" w:rsidP="00D05871">
      <w:pPr>
        <w:pStyle w:val="Referencelist"/>
      </w:pPr>
      <w:r w:rsidRPr="007548F2">
        <w:rPr>
          <w:color w:val="222222"/>
          <w:shd w:val="clear" w:color="auto" w:fill="FFFFFF"/>
        </w:rPr>
        <w:t>Romano PK, Horelik NE, Herman BR, Nelson AG, Forget B, Smith K. OpenMC: A state-of-the-art Monte Carlo code for research and development. Annals of Nuclear Energy. 2015 Aug 1;82:90-7.</w:t>
      </w:r>
    </w:p>
    <w:p w14:paraId="5347F439" w14:textId="77777777" w:rsidR="00D05871" w:rsidRPr="007548F2" w:rsidRDefault="00D05871" w:rsidP="00D05871">
      <w:pPr>
        <w:pStyle w:val="Referencelist"/>
      </w:pPr>
      <w:r w:rsidRPr="007548F2">
        <w:t>Brown DA, Chadwick MB, Capote R, Kahler AC, Trkov A, Herman MW, Sonzogni AA, Danon Y, Carlson AD, Dunn M, Smith DL. ENDF/B-VIII. 0: the 8th major release of the nuclear reaction data library with CIELO-project cross sections, new standards and thermal scattering data. Nuclear Data Sheets. 2018 Feb 1;148:1-42.</w:t>
      </w:r>
    </w:p>
    <w:p w14:paraId="55DE7C00" w14:textId="709DC2D9" w:rsidR="00D05871" w:rsidRPr="00662532" w:rsidRDefault="00D05871" w:rsidP="00F46872">
      <w:pPr>
        <w:pStyle w:val="Referencelist"/>
      </w:pPr>
      <w:r w:rsidRPr="007548F2">
        <w:rPr>
          <w:shd w:val="clear" w:color="auto" w:fill="FFFFFF"/>
        </w:rPr>
        <w:t>Lindley BA, Hosking JG, Smith PJ, Powney DJ, Tollit BS, Newton TD, Perry R, Ware TC, Smith PN. Current status of the reactor physics code WIMS and recent developments. Annals of Nuclear Energy. 2017 Apr 1;102:148-57.</w:t>
      </w:r>
    </w:p>
    <w:sectPr w:rsidR="00D05871" w:rsidRPr="00662532" w:rsidSect="00F17069">
      <w:headerReference w:type="even" r:id="rId17"/>
      <w:headerReference w:type="default" r:id="rId18"/>
      <w:footerReference w:type="even" r:id="rId19"/>
      <w:footerReference w:type="default" r:id="rId20"/>
      <w:headerReference w:type="first" r:id="rId21"/>
      <w:footerReference w:type="first" r:id="rId22"/>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71C33" w14:textId="77777777" w:rsidR="00A05232" w:rsidRDefault="00A05232">
      <w:r>
        <w:separator/>
      </w:r>
    </w:p>
  </w:endnote>
  <w:endnote w:type="continuationSeparator" w:id="0">
    <w:p w14:paraId="27044DA1" w14:textId="77777777" w:rsidR="00A05232" w:rsidRDefault="00A05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altName w:val="﷽﷽﷽﷽﷽﷽﷽﷽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7DFE1" w14:textId="77777777" w:rsidR="00A05232" w:rsidRDefault="00A05232">
      <w:r>
        <w:t>___________________________________________________________________________</w:t>
      </w:r>
    </w:p>
  </w:footnote>
  <w:footnote w:type="continuationSeparator" w:id="0">
    <w:p w14:paraId="03D3D6FC" w14:textId="77777777" w:rsidR="00A05232" w:rsidRDefault="00A05232">
      <w:r>
        <w:t>___________________________________________________________________________</w:t>
      </w:r>
    </w:p>
  </w:footnote>
  <w:footnote w:type="continuationNotice" w:id="1">
    <w:p w14:paraId="0C915F82" w14:textId="77777777" w:rsidR="00A05232" w:rsidRDefault="00A052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F522D" w14:textId="7FD48CE9" w:rsidR="00CF7AF3" w:rsidRDefault="00CF7AF3" w:rsidP="00CF7AF3">
    <w:pPr>
      <w:pStyle w:val="Runninghead"/>
    </w:pPr>
    <w:r>
      <w:tab/>
      <w:t>IAEA-CN-3</w:t>
    </w:r>
    <w:r w:rsidR="00E243A8">
      <w:t>74</w:t>
    </w:r>
    <w:r>
      <w:t>/</w:t>
    </w:r>
    <w:r w:rsidR="00E243A8">
      <w:t>23</w:t>
    </w:r>
    <w:r w:rsidR="00544560">
      <w:t>3</w:t>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9C4E1" w14:textId="605BAAD2" w:rsidR="00E20E70" w:rsidRDefault="00544560" w:rsidP="00B82FA5">
    <w:pPr>
      <w:pStyle w:val="Runninghead"/>
    </w:pPr>
    <w:r>
      <w:t>I. KOURASIS</w:t>
    </w:r>
    <w:r w:rsidR="00941E6A">
      <w:t xml:space="preserve"> 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0"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472AA"/>
    <w:multiLevelType w:val="multilevel"/>
    <w:tmpl w:val="9D86C0A4"/>
    <w:lvl w:ilvl="0">
      <w:start w:val="1"/>
      <w:numFmt w:val="decimal"/>
      <w:pStyle w:val="heading1"/>
      <w:lvlText w:val="%1"/>
      <w:lvlJc w:val="left"/>
      <w:pPr>
        <w:ind w:left="374" w:hanging="374"/>
      </w:pPr>
      <w:rPr>
        <w:rFonts w:hint="default"/>
      </w:rPr>
    </w:lvl>
    <w:lvl w:ilvl="1">
      <w:start w:val="1"/>
      <w:numFmt w:val="decimal"/>
      <w:pStyle w:val="heading2"/>
      <w:lvlText w:val="%1.%2"/>
      <w:lvlJc w:val="left"/>
      <w:pPr>
        <w:ind w:left="522" w:hanging="522"/>
      </w:pPr>
      <w:rPr>
        <w:rFonts w:hint="default"/>
      </w:rPr>
    </w:lvl>
    <w:lvl w:ilvl="2">
      <w:start w:val="1"/>
      <w:numFmt w:val="decimal"/>
      <w:pStyle w:val="heading3"/>
      <w:lvlText w:val="%1.%2.%3"/>
      <w:lvlJc w:val="left"/>
      <w:pPr>
        <w:ind w:left="663" w:hanging="663"/>
      </w:pPr>
      <w:rPr>
        <w:rFonts w:hint="default"/>
      </w:rPr>
    </w:lvl>
    <w:lvl w:ilvl="3">
      <w:start w:val="1"/>
      <w:numFmt w:val="decimal"/>
      <w:pStyle w:val="heading4"/>
      <w:lvlText w:val="%1.%2.%3.%4"/>
      <w:lvlJc w:val="left"/>
      <w:pPr>
        <w:ind w:left="805" w:hanging="805"/>
      </w:pPr>
      <w:rPr>
        <w:rFonts w:hint="default"/>
      </w:rPr>
    </w:lvl>
    <w:lvl w:ilvl="4">
      <w:start w:val="1"/>
      <w:numFmt w:val="decimal"/>
      <w:pStyle w:val="heading5"/>
      <w:lvlText w:val="%1.%2.%3.%4.%5"/>
      <w:lvlJc w:val="left"/>
      <w:pPr>
        <w:ind w:left="953" w:hanging="953"/>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3" w15:restartNumberingAfterBreak="0">
    <w:nsid w:val="12FA2886"/>
    <w:multiLevelType w:val="hybridMultilevel"/>
    <w:tmpl w:val="9A76255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B5508C"/>
    <w:multiLevelType w:val="hybridMultilevel"/>
    <w:tmpl w:val="CF80F8D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9" w15:restartNumberingAfterBreak="0">
    <w:nsid w:val="3A6321D6"/>
    <w:multiLevelType w:val="hybridMultilevel"/>
    <w:tmpl w:val="FF7CCCCA"/>
    <w:lvl w:ilvl="0" w:tplc="48090001">
      <w:start w:val="1"/>
      <w:numFmt w:val="bullet"/>
      <w:lvlText w:val=""/>
      <w:lvlJc w:val="left"/>
      <w:pPr>
        <w:ind w:left="720" w:hanging="360"/>
      </w:pPr>
      <w:rPr>
        <w:rFonts w:ascii="Symbol" w:hAnsi="Symbol" w:hint="default"/>
      </w:rPr>
    </w:lvl>
    <w:lvl w:ilvl="1" w:tplc="1DE8C70A">
      <w:numFmt w:val="bullet"/>
      <w:lvlText w:val="•"/>
      <w:lvlJc w:val="left"/>
      <w:pPr>
        <w:ind w:left="1920" w:hanging="840"/>
      </w:pPr>
      <w:rPr>
        <w:rFonts w:ascii="Times New Roman" w:eastAsiaTheme="minorEastAsia" w:hAnsi="Times New Roman" w:cs="Times New Roman"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3B6E3A55"/>
    <w:multiLevelType w:val="hybridMultilevel"/>
    <w:tmpl w:val="6DFA90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A76BE4"/>
    <w:multiLevelType w:val="hybridMultilevel"/>
    <w:tmpl w:val="8C34434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4"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4963EE"/>
    <w:multiLevelType w:val="multilevel"/>
    <w:tmpl w:val="E8EE85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D51093"/>
    <w:multiLevelType w:val="multilevel"/>
    <w:tmpl w:val="733C22B4"/>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0"/>
      <w:suff w:val="space"/>
      <w:lvlText w:val="%1%2."/>
      <w:lvlJc w:val="left"/>
      <w:pPr>
        <w:ind w:left="0" w:firstLine="0"/>
      </w:pPr>
      <w:rPr>
        <w:rFonts w:hint="default"/>
        <w:color w:val="auto"/>
      </w:rPr>
    </w:lvl>
    <w:lvl w:ilvl="2">
      <w:start w:val="1"/>
      <w:numFmt w:val="decimal"/>
      <w:lvlRestart w:val="0"/>
      <w:pStyle w:val="Heading30"/>
      <w:lvlText w:val="%1%2.%3."/>
      <w:lvlJc w:val="left"/>
      <w:pPr>
        <w:ind w:left="0" w:firstLine="0"/>
      </w:pPr>
      <w:rPr>
        <w:rFonts w:hint="default"/>
      </w:rPr>
    </w:lvl>
    <w:lvl w:ilvl="3">
      <w:start w:val="1"/>
      <w:numFmt w:val="decimal"/>
      <w:lvlRestart w:val="0"/>
      <w:pStyle w:val="Heading40"/>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8"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78158">
    <w:abstractNumId w:val="13"/>
  </w:num>
  <w:num w:numId="2" w16cid:durableId="59716700">
    <w:abstractNumId w:val="6"/>
  </w:num>
  <w:num w:numId="3" w16cid:durableId="731540123">
    <w:abstractNumId w:val="17"/>
  </w:num>
  <w:num w:numId="4" w16cid:durableId="744034000">
    <w:abstractNumId w:val="17"/>
  </w:num>
  <w:num w:numId="5" w16cid:durableId="1474641089">
    <w:abstractNumId w:val="17"/>
  </w:num>
  <w:num w:numId="6" w16cid:durableId="528497540">
    <w:abstractNumId w:val="8"/>
  </w:num>
  <w:num w:numId="7" w16cid:durableId="176696273">
    <w:abstractNumId w:val="14"/>
  </w:num>
  <w:num w:numId="8" w16cid:durableId="1131169468">
    <w:abstractNumId w:val="18"/>
  </w:num>
  <w:num w:numId="9" w16cid:durableId="1007632637">
    <w:abstractNumId w:val="2"/>
  </w:num>
  <w:num w:numId="10" w16cid:durableId="422917246">
    <w:abstractNumId w:val="17"/>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0"/>
        <w:lvlText w:val="%1%2."/>
        <w:lvlJc w:val="left"/>
        <w:pPr>
          <w:ind w:left="0" w:firstLine="0"/>
        </w:pPr>
        <w:rPr>
          <w:rFonts w:hint="default"/>
          <w:color w:val="auto"/>
        </w:rPr>
      </w:lvl>
    </w:lvlOverride>
    <w:lvlOverride w:ilvl="2">
      <w:lvl w:ilvl="2">
        <w:start w:val="1"/>
        <w:numFmt w:val="decimal"/>
        <w:lvlRestart w:val="0"/>
        <w:pStyle w:val="Heading30"/>
        <w:lvlText w:val="%1%2.%3."/>
        <w:lvlJc w:val="left"/>
        <w:pPr>
          <w:ind w:left="0" w:firstLine="0"/>
        </w:pPr>
        <w:rPr>
          <w:rFonts w:hint="default"/>
        </w:rPr>
      </w:lvl>
    </w:lvlOverride>
    <w:lvlOverride w:ilvl="3">
      <w:lvl w:ilvl="3">
        <w:start w:val="1"/>
        <w:numFmt w:val="none"/>
        <w:lvlRestart w:val="0"/>
        <w:pStyle w:val="Heading40"/>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7"/>
  </w:num>
  <w:num w:numId="12" w16cid:durableId="468400009">
    <w:abstractNumId w:val="17"/>
  </w:num>
  <w:num w:numId="13" w16cid:durableId="1927378143">
    <w:abstractNumId w:val="17"/>
  </w:num>
  <w:num w:numId="14" w16cid:durableId="1289622783">
    <w:abstractNumId w:val="17"/>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0"/>
        <w:suff w:val="space"/>
        <w:lvlText w:val="%1%2."/>
        <w:lvlJc w:val="left"/>
        <w:pPr>
          <w:ind w:left="0" w:firstLine="0"/>
        </w:pPr>
        <w:rPr>
          <w:rFonts w:hint="default"/>
          <w:color w:val="auto"/>
        </w:rPr>
      </w:lvl>
    </w:lvlOverride>
    <w:lvlOverride w:ilvl="2">
      <w:lvl w:ilvl="2">
        <w:start w:val="1"/>
        <w:numFmt w:val="decimal"/>
        <w:lvlRestart w:val="0"/>
        <w:pStyle w:val="Heading30"/>
        <w:suff w:val="space"/>
        <w:lvlText w:val="%1%2.%3."/>
        <w:lvlJc w:val="left"/>
        <w:pPr>
          <w:ind w:left="0" w:firstLine="0"/>
        </w:pPr>
        <w:rPr>
          <w:rFonts w:hint="default"/>
        </w:rPr>
      </w:lvl>
    </w:lvlOverride>
    <w:lvlOverride w:ilvl="3">
      <w:lvl w:ilvl="3">
        <w:start w:val="1"/>
        <w:numFmt w:val="decimal"/>
        <w:lvlRestart w:val="0"/>
        <w:pStyle w:val="Heading40"/>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7"/>
  </w:num>
  <w:num w:numId="16" w16cid:durableId="656224632">
    <w:abstractNumId w:val="17"/>
  </w:num>
  <w:num w:numId="17" w16cid:durableId="784034295">
    <w:abstractNumId w:val="17"/>
  </w:num>
  <w:num w:numId="18" w16cid:durableId="12935558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7"/>
  </w:num>
  <w:num w:numId="20" w16cid:durableId="2113888906">
    <w:abstractNumId w:val="4"/>
  </w:num>
  <w:num w:numId="21" w16cid:durableId="1417746791">
    <w:abstractNumId w:val="17"/>
  </w:num>
  <w:num w:numId="22" w16cid:durableId="1720975952">
    <w:abstractNumId w:val="5"/>
  </w:num>
  <w:num w:numId="23" w16cid:durableId="983584939">
    <w:abstractNumId w:val="1"/>
  </w:num>
  <w:num w:numId="24" w16cid:durableId="76482875">
    <w:abstractNumId w:val="16"/>
  </w:num>
  <w:num w:numId="25" w16cid:durableId="1024988134">
    <w:abstractNumId w:val="17"/>
  </w:num>
  <w:num w:numId="26" w16cid:durableId="2000382986">
    <w:abstractNumId w:val="17"/>
  </w:num>
  <w:num w:numId="27" w16cid:durableId="1390575348">
    <w:abstractNumId w:val="17"/>
  </w:num>
  <w:num w:numId="28" w16cid:durableId="621231405">
    <w:abstractNumId w:val="17"/>
  </w:num>
  <w:num w:numId="29" w16cid:durableId="995762299">
    <w:abstractNumId w:val="17"/>
  </w:num>
  <w:num w:numId="30" w16cid:durableId="320278723">
    <w:abstractNumId w:val="11"/>
  </w:num>
  <w:num w:numId="31" w16cid:durableId="1695614948">
    <w:abstractNumId w:val="11"/>
  </w:num>
  <w:num w:numId="32" w16cid:durableId="195823161">
    <w:abstractNumId w:val="17"/>
  </w:num>
  <w:num w:numId="33" w16cid:durableId="1972322305">
    <w:abstractNumId w:val="0"/>
  </w:num>
  <w:num w:numId="34" w16cid:durableId="990519429">
    <w:abstractNumId w:val="9"/>
  </w:num>
  <w:num w:numId="35" w16cid:durableId="804734658">
    <w:abstractNumId w:val="12"/>
  </w:num>
  <w:num w:numId="36" w16cid:durableId="1110930805">
    <w:abstractNumId w:val="7"/>
  </w:num>
  <w:num w:numId="37" w16cid:durableId="747310584">
    <w:abstractNumId w:val="3"/>
  </w:num>
  <w:num w:numId="38" w16cid:durableId="137577540">
    <w:abstractNumId w:val="15"/>
  </w:num>
  <w:num w:numId="39" w16cid:durableId="1880044788">
    <w:abstractNumId w:val="10"/>
  </w:num>
  <w:num w:numId="40" w16cid:durableId="3253290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634280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17268"/>
    <w:rsid w:val="00017477"/>
    <w:rsid w:val="000229AB"/>
    <w:rsid w:val="0002569A"/>
    <w:rsid w:val="00035912"/>
    <w:rsid w:val="00037321"/>
    <w:rsid w:val="00051FB3"/>
    <w:rsid w:val="00054E4E"/>
    <w:rsid w:val="00060CEB"/>
    <w:rsid w:val="00072911"/>
    <w:rsid w:val="00081F05"/>
    <w:rsid w:val="00095401"/>
    <w:rsid w:val="00095BC8"/>
    <w:rsid w:val="000A0299"/>
    <w:rsid w:val="000A24ED"/>
    <w:rsid w:val="000B7B3C"/>
    <w:rsid w:val="000C6F25"/>
    <w:rsid w:val="000D0150"/>
    <w:rsid w:val="000D7A05"/>
    <w:rsid w:val="000E0129"/>
    <w:rsid w:val="000E0D1D"/>
    <w:rsid w:val="000E40FC"/>
    <w:rsid w:val="000F0424"/>
    <w:rsid w:val="000F2F15"/>
    <w:rsid w:val="000F7E94"/>
    <w:rsid w:val="00102A55"/>
    <w:rsid w:val="00107378"/>
    <w:rsid w:val="001119D6"/>
    <w:rsid w:val="00117D38"/>
    <w:rsid w:val="00125F7F"/>
    <w:rsid w:val="00127A95"/>
    <w:rsid w:val="001308F2"/>
    <w:rsid w:val="001313E8"/>
    <w:rsid w:val="00154FA3"/>
    <w:rsid w:val="00156AAE"/>
    <w:rsid w:val="00160122"/>
    <w:rsid w:val="00164F18"/>
    <w:rsid w:val="00172E89"/>
    <w:rsid w:val="00173979"/>
    <w:rsid w:val="001828F8"/>
    <w:rsid w:val="00192CAA"/>
    <w:rsid w:val="0019393F"/>
    <w:rsid w:val="001A38EF"/>
    <w:rsid w:val="001B156F"/>
    <w:rsid w:val="001B5478"/>
    <w:rsid w:val="001C58F5"/>
    <w:rsid w:val="001C7BD2"/>
    <w:rsid w:val="001D3CAB"/>
    <w:rsid w:val="001D5CEE"/>
    <w:rsid w:val="001E5C6C"/>
    <w:rsid w:val="001F25BA"/>
    <w:rsid w:val="002040D0"/>
    <w:rsid w:val="00206BAC"/>
    <w:rsid w:val="002071D9"/>
    <w:rsid w:val="00216493"/>
    <w:rsid w:val="0022739F"/>
    <w:rsid w:val="00245DE2"/>
    <w:rsid w:val="00251006"/>
    <w:rsid w:val="00256822"/>
    <w:rsid w:val="00257207"/>
    <w:rsid w:val="0026525A"/>
    <w:rsid w:val="002731C5"/>
    <w:rsid w:val="00274790"/>
    <w:rsid w:val="002817A4"/>
    <w:rsid w:val="00282C6B"/>
    <w:rsid w:val="00285755"/>
    <w:rsid w:val="0029204F"/>
    <w:rsid w:val="00293EF6"/>
    <w:rsid w:val="002A1F9C"/>
    <w:rsid w:val="002A354C"/>
    <w:rsid w:val="002A6E87"/>
    <w:rsid w:val="002B0478"/>
    <w:rsid w:val="002B116B"/>
    <w:rsid w:val="002B29C2"/>
    <w:rsid w:val="002C4208"/>
    <w:rsid w:val="002E25E8"/>
    <w:rsid w:val="002E7212"/>
    <w:rsid w:val="002E7525"/>
    <w:rsid w:val="002F03A6"/>
    <w:rsid w:val="002F20F9"/>
    <w:rsid w:val="00300F68"/>
    <w:rsid w:val="00302D89"/>
    <w:rsid w:val="00324A1F"/>
    <w:rsid w:val="00325C76"/>
    <w:rsid w:val="00330C07"/>
    <w:rsid w:val="00334DE9"/>
    <w:rsid w:val="00340834"/>
    <w:rsid w:val="00346E01"/>
    <w:rsid w:val="00352DE1"/>
    <w:rsid w:val="003640C9"/>
    <w:rsid w:val="00364A53"/>
    <w:rsid w:val="00365E0A"/>
    <w:rsid w:val="00366128"/>
    <w:rsid w:val="003700C7"/>
    <w:rsid w:val="003728E6"/>
    <w:rsid w:val="00385043"/>
    <w:rsid w:val="00385186"/>
    <w:rsid w:val="00386DF0"/>
    <w:rsid w:val="003935A1"/>
    <w:rsid w:val="00397159"/>
    <w:rsid w:val="00397784"/>
    <w:rsid w:val="003B0C05"/>
    <w:rsid w:val="003B5E0E"/>
    <w:rsid w:val="003B7F92"/>
    <w:rsid w:val="003C21E3"/>
    <w:rsid w:val="003C5AF3"/>
    <w:rsid w:val="003D255A"/>
    <w:rsid w:val="003D3729"/>
    <w:rsid w:val="003D5315"/>
    <w:rsid w:val="003D6E8C"/>
    <w:rsid w:val="003E092C"/>
    <w:rsid w:val="003E1668"/>
    <w:rsid w:val="003F0FB5"/>
    <w:rsid w:val="003F28A9"/>
    <w:rsid w:val="004110DE"/>
    <w:rsid w:val="00413AE0"/>
    <w:rsid w:val="00416949"/>
    <w:rsid w:val="00421EB0"/>
    <w:rsid w:val="0043250E"/>
    <w:rsid w:val="00435915"/>
    <w:rsid w:val="004370D8"/>
    <w:rsid w:val="0044534E"/>
    <w:rsid w:val="004532C6"/>
    <w:rsid w:val="0045728A"/>
    <w:rsid w:val="0046129C"/>
    <w:rsid w:val="00472C43"/>
    <w:rsid w:val="004A0FED"/>
    <w:rsid w:val="004A5B55"/>
    <w:rsid w:val="004C44F8"/>
    <w:rsid w:val="004C51D4"/>
    <w:rsid w:val="004D49BB"/>
    <w:rsid w:val="004E48A3"/>
    <w:rsid w:val="005023C9"/>
    <w:rsid w:val="00510166"/>
    <w:rsid w:val="00510FD8"/>
    <w:rsid w:val="005131D8"/>
    <w:rsid w:val="00516886"/>
    <w:rsid w:val="00531F6E"/>
    <w:rsid w:val="00534A5B"/>
    <w:rsid w:val="0053534D"/>
    <w:rsid w:val="005360B0"/>
    <w:rsid w:val="00537496"/>
    <w:rsid w:val="005413AA"/>
    <w:rsid w:val="00543F08"/>
    <w:rsid w:val="00544560"/>
    <w:rsid w:val="00544ED3"/>
    <w:rsid w:val="005532DC"/>
    <w:rsid w:val="00557020"/>
    <w:rsid w:val="00560F0B"/>
    <w:rsid w:val="005707B8"/>
    <w:rsid w:val="0057204F"/>
    <w:rsid w:val="00580C2A"/>
    <w:rsid w:val="00584698"/>
    <w:rsid w:val="0058477B"/>
    <w:rsid w:val="00585240"/>
    <w:rsid w:val="0058654F"/>
    <w:rsid w:val="00592D96"/>
    <w:rsid w:val="00594B57"/>
    <w:rsid w:val="00594FA8"/>
    <w:rsid w:val="00596ACA"/>
    <w:rsid w:val="005A29D0"/>
    <w:rsid w:val="005A6B4E"/>
    <w:rsid w:val="005B24B3"/>
    <w:rsid w:val="005C00AE"/>
    <w:rsid w:val="005C0CBA"/>
    <w:rsid w:val="005C3810"/>
    <w:rsid w:val="005C5AC3"/>
    <w:rsid w:val="005D47E1"/>
    <w:rsid w:val="005E39BC"/>
    <w:rsid w:val="005E4410"/>
    <w:rsid w:val="005F00A0"/>
    <w:rsid w:val="005F01BD"/>
    <w:rsid w:val="005F2EAC"/>
    <w:rsid w:val="00602850"/>
    <w:rsid w:val="00606294"/>
    <w:rsid w:val="006062EC"/>
    <w:rsid w:val="006212DF"/>
    <w:rsid w:val="00622669"/>
    <w:rsid w:val="006227E9"/>
    <w:rsid w:val="006300C3"/>
    <w:rsid w:val="006407FA"/>
    <w:rsid w:val="006435D1"/>
    <w:rsid w:val="00643AEB"/>
    <w:rsid w:val="00644DC0"/>
    <w:rsid w:val="00645E3D"/>
    <w:rsid w:val="00647F33"/>
    <w:rsid w:val="00662532"/>
    <w:rsid w:val="0067406F"/>
    <w:rsid w:val="00675492"/>
    <w:rsid w:val="00677563"/>
    <w:rsid w:val="00680C47"/>
    <w:rsid w:val="00684437"/>
    <w:rsid w:val="00690582"/>
    <w:rsid w:val="00692D7D"/>
    <w:rsid w:val="006A6728"/>
    <w:rsid w:val="006A6990"/>
    <w:rsid w:val="006B0407"/>
    <w:rsid w:val="006B2274"/>
    <w:rsid w:val="006C106D"/>
    <w:rsid w:val="006C27E8"/>
    <w:rsid w:val="006D3CCA"/>
    <w:rsid w:val="006F1521"/>
    <w:rsid w:val="007175EA"/>
    <w:rsid w:val="00717C6F"/>
    <w:rsid w:val="00721EA3"/>
    <w:rsid w:val="007327B2"/>
    <w:rsid w:val="00735344"/>
    <w:rsid w:val="00740466"/>
    <w:rsid w:val="00740922"/>
    <w:rsid w:val="007445DA"/>
    <w:rsid w:val="007458A0"/>
    <w:rsid w:val="007477CF"/>
    <w:rsid w:val="00754204"/>
    <w:rsid w:val="00754517"/>
    <w:rsid w:val="007548F2"/>
    <w:rsid w:val="0075588F"/>
    <w:rsid w:val="00760586"/>
    <w:rsid w:val="00773B94"/>
    <w:rsid w:val="00792131"/>
    <w:rsid w:val="00797E42"/>
    <w:rsid w:val="007B21D9"/>
    <w:rsid w:val="007B4FD1"/>
    <w:rsid w:val="007B641C"/>
    <w:rsid w:val="007C4F9C"/>
    <w:rsid w:val="007D649A"/>
    <w:rsid w:val="007E5E2F"/>
    <w:rsid w:val="007F5C89"/>
    <w:rsid w:val="007F6DC6"/>
    <w:rsid w:val="00802381"/>
    <w:rsid w:val="008039DC"/>
    <w:rsid w:val="00805C32"/>
    <w:rsid w:val="00816FB2"/>
    <w:rsid w:val="008234E4"/>
    <w:rsid w:val="008323B4"/>
    <w:rsid w:val="008346B7"/>
    <w:rsid w:val="008347A3"/>
    <w:rsid w:val="00836B59"/>
    <w:rsid w:val="00862DB0"/>
    <w:rsid w:val="00882DAA"/>
    <w:rsid w:val="0088379F"/>
    <w:rsid w:val="00883848"/>
    <w:rsid w:val="00895AC6"/>
    <w:rsid w:val="00897ED5"/>
    <w:rsid w:val="008A2D43"/>
    <w:rsid w:val="008A6B71"/>
    <w:rsid w:val="008A75DA"/>
    <w:rsid w:val="008B3CDD"/>
    <w:rsid w:val="008B62D4"/>
    <w:rsid w:val="008B6BB9"/>
    <w:rsid w:val="008C2217"/>
    <w:rsid w:val="008C544E"/>
    <w:rsid w:val="008C7243"/>
    <w:rsid w:val="008D3508"/>
    <w:rsid w:val="008D3736"/>
    <w:rsid w:val="008E2798"/>
    <w:rsid w:val="008E3CE0"/>
    <w:rsid w:val="00900836"/>
    <w:rsid w:val="0090360F"/>
    <w:rsid w:val="00906D94"/>
    <w:rsid w:val="00911543"/>
    <w:rsid w:val="00925EF4"/>
    <w:rsid w:val="00927D41"/>
    <w:rsid w:val="00930553"/>
    <w:rsid w:val="00936F43"/>
    <w:rsid w:val="00941E6A"/>
    <w:rsid w:val="00943689"/>
    <w:rsid w:val="009519C9"/>
    <w:rsid w:val="00964E06"/>
    <w:rsid w:val="009679F4"/>
    <w:rsid w:val="0097420E"/>
    <w:rsid w:val="009927F1"/>
    <w:rsid w:val="00994735"/>
    <w:rsid w:val="009B39CB"/>
    <w:rsid w:val="009B5E7E"/>
    <w:rsid w:val="009C5C0B"/>
    <w:rsid w:val="009C68CB"/>
    <w:rsid w:val="009C73E2"/>
    <w:rsid w:val="009C7775"/>
    <w:rsid w:val="009D0B86"/>
    <w:rsid w:val="009E0D5B"/>
    <w:rsid w:val="009E1558"/>
    <w:rsid w:val="009E1EB9"/>
    <w:rsid w:val="009E522F"/>
    <w:rsid w:val="009F70E3"/>
    <w:rsid w:val="00A02438"/>
    <w:rsid w:val="00A03524"/>
    <w:rsid w:val="00A05232"/>
    <w:rsid w:val="00A10A5E"/>
    <w:rsid w:val="00A20F33"/>
    <w:rsid w:val="00A21154"/>
    <w:rsid w:val="00A217CB"/>
    <w:rsid w:val="00A2330A"/>
    <w:rsid w:val="00A26B2A"/>
    <w:rsid w:val="00A30884"/>
    <w:rsid w:val="00A42898"/>
    <w:rsid w:val="00A47FE8"/>
    <w:rsid w:val="00A508DC"/>
    <w:rsid w:val="00A50EEA"/>
    <w:rsid w:val="00A5101E"/>
    <w:rsid w:val="00A624BE"/>
    <w:rsid w:val="00A63670"/>
    <w:rsid w:val="00A815C6"/>
    <w:rsid w:val="00A81700"/>
    <w:rsid w:val="00A92C8C"/>
    <w:rsid w:val="00A936A3"/>
    <w:rsid w:val="00AA28CD"/>
    <w:rsid w:val="00AA6D60"/>
    <w:rsid w:val="00AB543F"/>
    <w:rsid w:val="00AB5D78"/>
    <w:rsid w:val="00AB6ACE"/>
    <w:rsid w:val="00AC5A3A"/>
    <w:rsid w:val="00AC6722"/>
    <w:rsid w:val="00AD4691"/>
    <w:rsid w:val="00AD55F5"/>
    <w:rsid w:val="00AD7F61"/>
    <w:rsid w:val="00AE5A0E"/>
    <w:rsid w:val="00B000F8"/>
    <w:rsid w:val="00B14237"/>
    <w:rsid w:val="00B15159"/>
    <w:rsid w:val="00B16CC3"/>
    <w:rsid w:val="00B20F68"/>
    <w:rsid w:val="00B26B25"/>
    <w:rsid w:val="00B32ED6"/>
    <w:rsid w:val="00B40646"/>
    <w:rsid w:val="00B43163"/>
    <w:rsid w:val="00B46D22"/>
    <w:rsid w:val="00B531B6"/>
    <w:rsid w:val="00B70E37"/>
    <w:rsid w:val="00B7175F"/>
    <w:rsid w:val="00B8013F"/>
    <w:rsid w:val="00B8199D"/>
    <w:rsid w:val="00B82FA5"/>
    <w:rsid w:val="00B84084"/>
    <w:rsid w:val="00B85AC3"/>
    <w:rsid w:val="00B91B78"/>
    <w:rsid w:val="00B951E6"/>
    <w:rsid w:val="00BA306B"/>
    <w:rsid w:val="00BB0454"/>
    <w:rsid w:val="00BB2ADB"/>
    <w:rsid w:val="00BB491D"/>
    <w:rsid w:val="00BB57E3"/>
    <w:rsid w:val="00BC0304"/>
    <w:rsid w:val="00BD1400"/>
    <w:rsid w:val="00BD1CF4"/>
    <w:rsid w:val="00BD5161"/>
    <w:rsid w:val="00BD605C"/>
    <w:rsid w:val="00BD642D"/>
    <w:rsid w:val="00BE214D"/>
    <w:rsid w:val="00BE2A76"/>
    <w:rsid w:val="00BE5E12"/>
    <w:rsid w:val="00BF27AF"/>
    <w:rsid w:val="00C059FF"/>
    <w:rsid w:val="00C0761D"/>
    <w:rsid w:val="00C07C90"/>
    <w:rsid w:val="00C1228E"/>
    <w:rsid w:val="00C12695"/>
    <w:rsid w:val="00C16765"/>
    <w:rsid w:val="00C218AC"/>
    <w:rsid w:val="00C23148"/>
    <w:rsid w:val="00C254A5"/>
    <w:rsid w:val="00C34DB5"/>
    <w:rsid w:val="00C402DD"/>
    <w:rsid w:val="00C50F5A"/>
    <w:rsid w:val="00C55E60"/>
    <w:rsid w:val="00C63606"/>
    <w:rsid w:val="00C65E60"/>
    <w:rsid w:val="00C70F4F"/>
    <w:rsid w:val="00C81184"/>
    <w:rsid w:val="00C86D05"/>
    <w:rsid w:val="00C94FF4"/>
    <w:rsid w:val="00C96050"/>
    <w:rsid w:val="00CA3850"/>
    <w:rsid w:val="00CB3A5D"/>
    <w:rsid w:val="00CB3F4B"/>
    <w:rsid w:val="00CC3BD5"/>
    <w:rsid w:val="00CC4034"/>
    <w:rsid w:val="00CE2C72"/>
    <w:rsid w:val="00CE5A52"/>
    <w:rsid w:val="00CF7AF3"/>
    <w:rsid w:val="00D00819"/>
    <w:rsid w:val="00D01356"/>
    <w:rsid w:val="00D05871"/>
    <w:rsid w:val="00D058AC"/>
    <w:rsid w:val="00D2588A"/>
    <w:rsid w:val="00D26ADA"/>
    <w:rsid w:val="00D35A78"/>
    <w:rsid w:val="00D41346"/>
    <w:rsid w:val="00D426F1"/>
    <w:rsid w:val="00D518B2"/>
    <w:rsid w:val="00D544E4"/>
    <w:rsid w:val="00D555A1"/>
    <w:rsid w:val="00D55EF6"/>
    <w:rsid w:val="00D64623"/>
    <w:rsid w:val="00D64DC2"/>
    <w:rsid w:val="00D67D86"/>
    <w:rsid w:val="00D74C71"/>
    <w:rsid w:val="00D76682"/>
    <w:rsid w:val="00D932C9"/>
    <w:rsid w:val="00DA0C59"/>
    <w:rsid w:val="00DA1996"/>
    <w:rsid w:val="00DA42F1"/>
    <w:rsid w:val="00DA46CA"/>
    <w:rsid w:val="00DB2ED8"/>
    <w:rsid w:val="00DB314B"/>
    <w:rsid w:val="00DC17BB"/>
    <w:rsid w:val="00DC5808"/>
    <w:rsid w:val="00DD368B"/>
    <w:rsid w:val="00DE5698"/>
    <w:rsid w:val="00DF1144"/>
    <w:rsid w:val="00DF21EB"/>
    <w:rsid w:val="00E11C78"/>
    <w:rsid w:val="00E16D7A"/>
    <w:rsid w:val="00E20E70"/>
    <w:rsid w:val="00E21C41"/>
    <w:rsid w:val="00E243A8"/>
    <w:rsid w:val="00E25B68"/>
    <w:rsid w:val="00E3119B"/>
    <w:rsid w:val="00E36B8E"/>
    <w:rsid w:val="00E516CB"/>
    <w:rsid w:val="00E5232F"/>
    <w:rsid w:val="00E778DD"/>
    <w:rsid w:val="00E77AA7"/>
    <w:rsid w:val="00E83B19"/>
    <w:rsid w:val="00E84003"/>
    <w:rsid w:val="00E86A18"/>
    <w:rsid w:val="00E913D3"/>
    <w:rsid w:val="00E918D0"/>
    <w:rsid w:val="00E93881"/>
    <w:rsid w:val="00E9460E"/>
    <w:rsid w:val="00E96075"/>
    <w:rsid w:val="00EA3CDE"/>
    <w:rsid w:val="00EA7979"/>
    <w:rsid w:val="00EA7D6D"/>
    <w:rsid w:val="00EB060E"/>
    <w:rsid w:val="00EB67A5"/>
    <w:rsid w:val="00EB7370"/>
    <w:rsid w:val="00EC10FC"/>
    <w:rsid w:val="00EC3385"/>
    <w:rsid w:val="00ED02ED"/>
    <w:rsid w:val="00ED795F"/>
    <w:rsid w:val="00EE0041"/>
    <w:rsid w:val="00EE29B9"/>
    <w:rsid w:val="00EE6521"/>
    <w:rsid w:val="00EE6BE3"/>
    <w:rsid w:val="00EE785A"/>
    <w:rsid w:val="00F004EE"/>
    <w:rsid w:val="00F11156"/>
    <w:rsid w:val="00F112C5"/>
    <w:rsid w:val="00F17069"/>
    <w:rsid w:val="00F238A7"/>
    <w:rsid w:val="00F24504"/>
    <w:rsid w:val="00F30D48"/>
    <w:rsid w:val="00F340DA"/>
    <w:rsid w:val="00F35684"/>
    <w:rsid w:val="00F35694"/>
    <w:rsid w:val="00F42AE0"/>
    <w:rsid w:val="00F42E23"/>
    <w:rsid w:val="00F45EEE"/>
    <w:rsid w:val="00F46872"/>
    <w:rsid w:val="00F51E9C"/>
    <w:rsid w:val="00F523CA"/>
    <w:rsid w:val="00F527CF"/>
    <w:rsid w:val="00F62F03"/>
    <w:rsid w:val="00F66554"/>
    <w:rsid w:val="00F67E7D"/>
    <w:rsid w:val="00F730EA"/>
    <w:rsid w:val="00F74A9D"/>
    <w:rsid w:val="00F959C0"/>
    <w:rsid w:val="00F95EA7"/>
    <w:rsid w:val="00F975DE"/>
    <w:rsid w:val="00FC4461"/>
    <w:rsid w:val="00FC491D"/>
    <w:rsid w:val="00FC7DDD"/>
    <w:rsid w:val="00FD1629"/>
    <w:rsid w:val="00FD42BF"/>
    <w:rsid w:val="00FE0835"/>
    <w:rsid w:val="00FE0E12"/>
    <w:rsid w:val="00FE6479"/>
    <w:rsid w:val="00FF386F"/>
    <w:rsid w:val="00FF4891"/>
    <w:rsid w:val="00FF53E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EFFAC"/>
  <w15:docId w15:val="{2870C585-8965-45C5-AFE5-3CD27A14A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annotation text" w:uiPriority="99"/>
    <w:lsdException w:name="header" w:locked="0" w:uiPriority="0"/>
    <w:lsdException w:name="footer" w:locked="0" w:uiPriority="99"/>
    <w:lsdException w:name="caption" w:locked="0" w:uiPriority="0"/>
    <w:lsdException w:name="footnote reference" w:locked="0" w:uiPriority="0"/>
    <w:lsdException w:name="annotation reference" w:uiPriority="99"/>
    <w:lsdException w:name="endnote reference" w:uiPriority="99"/>
    <w:lsdException w:name="endnote text" w:uiPriority="99"/>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0">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0">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0">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0">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0">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Hyperlink">
    <w:name w:val="Hyperlink"/>
    <w:basedOn w:val="DefaultParagraphFont"/>
    <w:uiPriority w:val="49"/>
    <w:locked/>
    <w:rsid w:val="00D058AC"/>
    <w:rPr>
      <w:color w:val="0000FF" w:themeColor="hyperlink"/>
      <w:u w:val="single"/>
    </w:rPr>
  </w:style>
  <w:style w:type="character" w:styleId="UnresolvedMention">
    <w:name w:val="Unresolved Mention"/>
    <w:basedOn w:val="DefaultParagraphFont"/>
    <w:uiPriority w:val="99"/>
    <w:semiHidden/>
    <w:unhideWhenUsed/>
    <w:rsid w:val="00D058AC"/>
    <w:rPr>
      <w:color w:val="605E5C"/>
      <w:shd w:val="clear" w:color="auto" w:fill="E1DFDD"/>
    </w:rPr>
  </w:style>
  <w:style w:type="character" w:styleId="EndnoteReference">
    <w:name w:val="endnote reference"/>
    <w:basedOn w:val="DefaultParagraphFont"/>
    <w:uiPriority w:val="99"/>
    <w:unhideWhenUsed/>
    <w:locked/>
    <w:rsid w:val="00154FA3"/>
    <w:rPr>
      <w:vertAlign w:val="superscript"/>
    </w:rPr>
  </w:style>
  <w:style w:type="paragraph" w:styleId="EndnoteText">
    <w:name w:val="endnote text"/>
    <w:basedOn w:val="Normal"/>
    <w:link w:val="EndnoteTextChar"/>
    <w:uiPriority w:val="99"/>
    <w:unhideWhenUsed/>
    <w:locked/>
    <w:rsid w:val="00154FA3"/>
    <w:pPr>
      <w:overflowPunct/>
      <w:autoSpaceDE/>
      <w:autoSpaceDN/>
      <w:adjustRightInd/>
      <w:textAlignment w:val="auto"/>
    </w:pPr>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rsid w:val="00154FA3"/>
    <w:rPr>
      <w:rFonts w:asciiTheme="minorHAnsi" w:eastAsiaTheme="minorHAnsi" w:hAnsiTheme="minorHAnsi" w:cstheme="minorBidi"/>
      <w:lang w:eastAsia="en-US"/>
    </w:rPr>
  </w:style>
  <w:style w:type="paragraph" w:customStyle="1" w:styleId="heading1">
    <w:name w:val="heading1"/>
    <w:basedOn w:val="Normal"/>
    <w:next w:val="Normal"/>
    <w:link w:val="heading1Znak"/>
    <w:rsid w:val="008323B4"/>
    <w:pPr>
      <w:keepNext/>
      <w:keepLines/>
      <w:numPr>
        <w:numId w:val="33"/>
      </w:numPr>
      <w:tabs>
        <w:tab w:val="left" w:pos="454"/>
      </w:tabs>
      <w:suppressAutoHyphens/>
      <w:spacing w:before="600" w:after="320" w:line="240" w:lineRule="atLeast"/>
      <w:outlineLvl w:val="1"/>
    </w:pPr>
    <w:rPr>
      <w:rFonts w:ascii="Times" w:eastAsiaTheme="minorEastAsia" w:hAnsi="Times"/>
      <w:b/>
      <w:sz w:val="24"/>
      <w:lang w:val="en-US" w:eastAsia="de-DE"/>
    </w:rPr>
  </w:style>
  <w:style w:type="paragraph" w:customStyle="1" w:styleId="heading2">
    <w:name w:val="heading2"/>
    <w:basedOn w:val="heading1"/>
    <w:next w:val="Normal"/>
    <w:rsid w:val="008323B4"/>
    <w:pPr>
      <w:numPr>
        <w:ilvl w:val="1"/>
      </w:numPr>
      <w:tabs>
        <w:tab w:val="num" w:pos="360"/>
        <w:tab w:val="left" w:pos="510"/>
        <w:tab w:val="num" w:pos="918"/>
      </w:tabs>
      <w:ind w:left="459" w:firstLine="0"/>
      <w:outlineLvl w:val="2"/>
    </w:pPr>
    <w:rPr>
      <w:i/>
    </w:rPr>
  </w:style>
  <w:style w:type="paragraph" w:customStyle="1" w:styleId="heading3">
    <w:name w:val="heading3"/>
    <w:basedOn w:val="Normal"/>
    <w:next w:val="Normal"/>
    <w:rsid w:val="008323B4"/>
    <w:pPr>
      <w:numPr>
        <w:ilvl w:val="2"/>
        <w:numId w:val="33"/>
      </w:numPr>
      <w:tabs>
        <w:tab w:val="left" w:pos="284"/>
      </w:tabs>
      <w:suppressAutoHyphens/>
      <w:spacing w:before="480" w:after="240" w:line="240" w:lineRule="atLeast"/>
      <w:outlineLvl w:val="3"/>
    </w:pPr>
    <w:rPr>
      <w:rFonts w:ascii="Times" w:eastAsiaTheme="minorEastAsia" w:hAnsi="Times"/>
      <w:b/>
      <w:sz w:val="20"/>
      <w:lang w:val="en-US" w:eastAsia="de-DE"/>
    </w:rPr>
  </w:style>
  <w:style w:type="paragraph" w:customStyle="1" w:styleId="heading4">
    <w:name w:val="heading4"/>
    <w:basedOn w:val="Normal"/>
    <w:next w:val="Normal"/>
    <w:rsid w:val="008323B4"/>
    <w:pPr>
      <w:keepNext/>
      <w:numPr>
        <w:ilvl w:val="3"/>
        <w:numId w:val="33"/>
      </w:numPr>
      <w:suppressAutoHyphens/>
      <w:spacing w:before="480" w:after="240" w:line="240" w:lineRule="atLeast"/>
      <w:outlineLvl w:val="4"/>
    </w:pPr>
    <w:rPr>
      <w:rFonts w:ascii="Times" w:eastAsiaTheme="minorEastAsia" w:hAnsi="Times"/>
      <w:sz w:val="20"/>
      <w:lang w:val="en-US" w:eastAsia="de-DE"/>
    </w:rPr>
  </w:style>
  <w:style w:type="paragraph" w:customStyle="1" w:styleId="heading5">
    <w:name w:val="heading5"/>
    <w:basedOn w:val="heading4"/>
    <w:next w:val="Normal"/>
    <w:rsid w:val="008323B4"/>
    <w:pPr>
      <w:numPr>
        <w:ilvl w:val="4"/>
      </w:numPr>
      <w:spacing w:before="360" w:after="120"/>
      <w:outlineLvl w:val="5"/>
    </w:pPr>
    <w:rPr>
      <w:i/>
    </w:rPr>
  </w:style>
  <w:style w:type="character" w:customStyle="1" w:styleId="heading1Znak">
    <w:name w:val="heading1 Znak"/>
    <w:basedOn w:val="DefaultParagraphFont"/>
    <w:link w:val="heading1"/>
    <w:rsid w:val="008323B4"/>
    <w:rPr>
      <w:rFonts w:ascii="Times" w:eastAsiaTheme="minorEastAsia" w:hAnsi="Times"/>
      <w:b/>
      <w:sz w:val="24"/>
      <w:lang w:val="en-US" w:eastAsia="de-DE"/>
    </w:rPr>
  </w:style>
  <w:style w:type="paragraph" w:customStyle="1" w:styleId="figlegendbold">
    <w:name w:val="figlegend bold"/>
    <w:basedOn w:val="Normal"/>
    <w:link w:val="figlegendboldZnak"/>
    <w:qFormat/>
    <w:rsid w:val="008323B4"/>
    <w:pPr>
      <w:keepLines/>
      <w:spacing w:before="120" w:after="240" w:line="200" w:lineRule="atLeast"/>
      <w:jc w:val="both"/>
    </w:pPr>
    <w:rPr>
      <w:rFonts w:ascii="Times" w:eastAsiaTheme="minorEastAsia" w:hAnsi="Times"/>
      <w:b/>
      <w:sz w:val="17"/>
      <w:lang w:val="en-US" w:eastAsia="de-DE"/>
    </w:rPr>
  </w:style>
  <w:style w:type="character" w:customStyle="1" w:styleId="figlegendboldZnak">
    <w:name w:val="figlegend bold Znak"/>
    <w:basedOn w:val="DefaultParagraphFont"/>
    <w:link w:val="figlegendbold"/>
    <w:rsid w:val="008323B4"/>
    <w:rPr>
      <w:rFonts w:ascii="Times" w:eastAsiaTheme="minorEastAsia" w:hAnsi="Times"/>
      <w:b/>
      <w:sz w:val="17"/>
      <w:lang w:val="en-US" w:eastAsia="de-DE"/>
    </w:rPr>
  </w:style>
  <w:style w:type="paragraph" w:customStyle="1" w:styleId="tablelegendbold">
    <w:name w:val="tablelegend bold"/>
    <w:basedOn w:val="Normal"/>
    <w:link w:val="tablelegendboldZnak"/>
    <w:qFormat/>
    <w:rsid w:val="008323B4"/>
    <w:pPr>
      <w:keepNext/>
      <w:keepLines/>
      <w:spacing w:before="240" w:after="120" w:line="200" w:lineRule="atLeast"/>
      <w:jc w:val="both"/>
    </w:pPr>
    <w:rPr>
      <w:rFonts w:ascii="Times" w:eastAsiaTheme="minorEastAsia" w:hAnsi="Times"/>
      <w:b/>
      <w:sz w:val="17"/>
      <w:lang w:val="en-US" w:eastAsia="de-DE"/>
    </w:rPr>
  </w:style>
  <w:style w:type="character" w:customStyle="1" w:styleId="tablelegendboldZnak">
    <w:name w:val="tablelegend bold Znak"/>
    <w:basedOn w:val="DefaultParagraphFont"/>
    <w:link w:val="tablelegendbold"/>
    <w:rsid w:val="008323B4"/>
    <w:rPr>
      <w:rFonts w:ascii="Times" w:eastAsiaTheme="minorEastAsia" w:hAnsi="Times"/>
      <w:b/>
      <w:sz w:val="17"/>
      <w:lang w:val="en-US" w:eastAsia="de-DE"/>
    </w:rPr>
  </w:style>
  <w:style w:type="paragraph" w:styleId="ListParagraph">
    <w:name w:val="List Paragraph"/>
    <w:basedOn w:val="Normal"/>
    <w:uiPriority w:val="34"/>
    <w:qFormat/>
    <w:locked/>
    <w:rsid w:val="008323B4"/>
    <w:pPr>
      <w:widowControl w:val="0"/>
      <w:overflowPunct/>
      <w:autoSpaceDE/>
      <w:autoSpaceDN/>
      <w:adjustRightInd/>
      <w:ind w:left="720"/>
      <w:contextualSpacing/>
      <w:jc w:val="both"/>
      <w:textAlignment w:val="auto"/>
    </w:pPr>
    <w:rPr>
      <w:rFonts w:asciiTheme="minorHAnsi" w:eastAsiaTheme="minorEastAsia" w:hAnsiTheme="minorHAnsi" w:cstheme="minorBidi"/>
      <w:kern w:val="2"/>
      <w:sz w:val="21"/>
      <w:szCs w:val="22"/>
      <w:lang w:val="en-US" w:eastAsia="ja-JP"/>
    </w:rPr>
  </w:style>
  <w:style w:type="character" w:styleId="IntenseEmphasis">
    <w:name w:val="Intense Emphasis"/>
    <w:basedOn w:val="DefaultParagraphFont"/>
    <w:uiPriority w:val="21"/>
    <w:qFormat/>
    <w:locked/>
    <w:rsid w:val="008323B4"/>
    <w:rPr>
      <w:i/>
      <w:iCs/>
      <w:color w:val="4F81BD" w:themeColor="accent1"/>
    </w:rPr>
  </w:style>
  <w:style w:type="character" w:styleId="CommentReference">
    <w:name w:val="annotation reference"/>
    <w:basedOn w:val="DefaultParagraphFont"/>
    <w:uiPriority w:val="99"/>
    <w:locked/>
    <w:rsid w:val="003640C9"/>
    <w:rPr>
      <w:sz w:val="16"/>
      <w:szCs w:val="16"/>
    </w:rPr>
  </w:style>
  <w:style w:type="paragraph" w:styleId="CommentText">
    <w:name w:val="annotation text"/>
    <w:basedOn w:val="Normal"/>
    <w:link w:val="CommentTextChar"/>
    <w:uiPriority w:val="99"/>
    <w:locked/>
    <w:rsid w:val="003640C9"/>
    <w:rPr>
      <w:sz w:val="20"/>
    </w:rPr>
  </w:style>
  <w:style w:type="character" w:customStyle="1" w:styleId="CommentTextChar">
    <w:name w:val="Comment Text Char"/>
    <w:basedOn w:val="DefaultParagraphFont"/>
    <w:link w:val="CommentText"/>
    <w:uiPriority w:val="99"/>
    <w:rsid w:val="003640C9"/>
    <w:rPr>
      <w:lang w:eastAsia="en-US"/>
    </w:rPr>
  </w:style>
  <w:style w:type="paragraph" w:styleId="CommentSubject">
    <w:name w:val="annotation subject"/>
    <w:basedOn w:val="CommentText"/>
    <w:next w:val="CommentText"/>
    <w:link w:val="CommentSubjectChar"/>
    <w:uiPriority w:val="49"/>
    <w:locked/>
    <w:rsid w:val="003640C9"/>
    <w:rPr>
      <w:b/>
      <w:bCs/>
    </w:rPr>
  </w:style>
  <w:style w:type="character" w:customStyle="1" w:styleId="CommentSubjectChar">
    <w:name w:val="Comment Subject Char"/>
    <w:basedOn w:val="CommentTextChar"/>
    <w:link w:val="CommentSubject"/>
    <w:uiPriority w:val="49"/>
    <w:rsid w:val="003640C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9769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mdouhelshanawany@hotmai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jake.miles@corepower.energ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annis.kourasis@corepower.energy"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2.xml><?xml version="1.0" encoding="utf-8"?>
<p:properties xmlns:p="http://schemas.microsoft.com/office/2006/metadata/properties" xmlns:xsi="http://www.w3.org/2001/XMLSchema-instance" xmlns:pc="http://schemas.microsoft.com/office/infopath/2007/PartnerControls">
  <documentManagement>
    <_activity xmlns="27eb5997-2ae3-40f9-b223-e95b38338c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ED18C0B482D943977552EE8E80A773" ma:contentTypeVersion="8" ma:contentTypeDescription="Create a new document." ma:contentTypeScope="" ma:versionID="c2a1f93461174bbfd5eac513ab2ec69b">
  <xsd:schema xmlns:xsd="http://www.w3.org/2001/XMLSchema" xmlns:xs="http://www.w3.org/2001/XMLSchema" xmlns:p="http://schemas.microsoft.com/office/2006/metadata/properties" xmlns:ns3="27eb5997-2ae3-40f9-b223-e95b38338cc1" xmlns:ns4="2f4cbb0b-2cb5-48e7-a566-2f971d97567c" targetNamespace="http://schemas.microsoft.com/office/2006/metadata/properties" ma:root="true" ma:fieldsID="bef317acf6827ef5d39090ffdf3ee118" ns3:_="" ns4:_="">
    <xsd:import namespace="27eb5997-2ae3-40f9-b223-e95b38338cc1"/>
    <xsd:import namespace="2f4cbb0b-2cb5-48e7-a566-2f971d97567c"/>
    <xsd:element name="properties">
      <xsd:complexType>
        <xsd:sequence>
          <xsd:element name="documentManagement">
            <xsd:complexType>
              <xsd:all>
                <xsd:element ref="ns3:_activity"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eb5997-2ae3-40f9-b223-e95b38338cc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4cbb0b-2cb5-48e7-a566-2f971d97567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customXml/itemProps2.xml><?xml version="1.0" encoding="utf-8"?>
<ds:datastoreItem xmlns:ds="http://schemas.openxmlformats.org/officeDocument/2006/customXml" ds:itemID="{BD10FFC6-EAF2-4491-B8F6-4DA83255DFB0}">
  <ds:schemaRefs>
    <ds:schemaRef ds:uri="http://schemas.microsoft.com/office/2006/metadata/properties"/>
    <ds:schemaRef ds:uri="http://schemas.microsoft.com/office/infopath/2007/PartnerControls"/>
    <ds:schemaRef ds:uri="27eb5997-2ae3-40f9-b223-e95b38338cc1"/>
  </ds:schemaRefs>
</ds:datastoreItem>
</file>

<file path=customXml/itemProps3.xml><?xml version="1.0" encoding="utf-8"?>
<ds:datastoreItem xmlns:ds="http://schemas.openxmlformats.org/officeDocument/2006/customXml" ds:itemID="{17451078-F046-482C-B160-5C113E966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eb5997-2ae3-40f9-b223-e95b38338cc1"/>
    <ds:schemaRef ds:uri="2f4cbb0b-2cb5-48e7-a566-2f971d975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576D0E-99EE-48C9-84A4-A5DE5260BA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IAEA Blank (r01)</Template>
  <TotalTime>5675</TotalTime>
  <Pages>8</Pages>
  <Words>3191</Words>
  <Characters>18195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21344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subject/>
  <dc:creator>Scott Edwards</dc:creator>
  <cp:keywords/>
  <dc:description/>
  <cp:lastModifiedBy>Ioannis Kourasis</cp:lastModifiedBy>
  <cp:revision>47</cp:revision>
  <cp:lastPrinted>2024-03-19T16:52:00Z</cp:lastPrinted>
  <dcterms:created xsi:type="dcterms:W3CDTF">2024-05-30T00:24:00Z</dcterms:created>
  <dcterms:modified xsi:type="dcterms:W3CDTF">2024-09-04T12:43:00Z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0x010100F0ED18C0B482D943977552EE8E80A773</vt:lpwstr>
  </property>
</Properties>
</file>