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AC9F" w14:textId="1C958E58" w:rsidR="006062E8" w:rsidRDefault="006062E8" w:rsidP="00821296">
      <w:pPr>
        <w:pStyle w:val="Heading1"/>
      </w:pPr>
      <w:bookmarkStart w:id="0" w:name="_Hlk170555680"/>
      <w:bookmarkEnd w:id="0"/>
      <w:r w:rsidRPr="006062E8">
        <w:t xml:space="preserve">Some Technical and Institutional Issues to Accelerate </w:t>
      </w:r>
      <w:r w:rsidR="00821296">
        <w:t xml:space="preserve">THE </w:t>
      </w:r>
      <w:r w:rsidRPr="006062E8">
        <w:t>Deployment of S</w:t>
      </w:r>
      <w:r w:rsidR="00821296">
        <w:t xml:space="preserve">MALL MODULAR reactors </w:t>
      </w:r>
      <w:r w:rsidRPr="006062E8">
        <w:t xml:space="preserve"> </w:t>
      </w:r>
    </w:p>
    <w:p w14:paraId="7A489224" w14:textId="4A30E0B9" w:rsidR="003B5E0E" w:rsidRPr="003B5E0E" w:rsidRDefault="003B5E0E" w:rsidP="006062E8">
      <w:pPr>
        <w:pStyle w:val="Subtitle"/>
        <w:ind w:left="0"/>
      </w:pPr>
    </w:p>
    <w:p w14:paraId="335E8A6F" w14:textId="35837251" w:rsidR="008854B9" w:rsidRDefault="00F56709" w:rsidP="008D7E89">
      <w:pPr>
        <w:pStyle w:val="Authornameandaffiliation"/>
      </w:pPr>
      <w:r>
        <w:t>V</w:t>
      </w:r>
      <w:r w:rsidRPr="00FF386F">
        <w:t>.</w:t>
      </w:r>
      <w:r>
        <w:t>I.</w:t>
      </w:r>
      <w:r w:rsidRPr="00FF386F">
        <w:t xml:space="preserve"> </w:t>
      </w:r>
      <w:r>
        <w:t>USANOV,</w:t>
      </w:r>
      <w:r w:rsidRPr="00821296">
        <w:t xml:space="preserve"> </w:t>
      </w:r>
      <w:r w:rsidR="00821296" w:rsidRPr="00821296">
        <w:t>V.M. TROYANOV</w:t>
      </w:r>
      <w:r w:rsidR="00821296">
        <w:t xml:space="preserve">, </w:t>
      </w:r>
      <w:r w:rsidR="00821296" w:rsidRPr="00821296">
        <w:t>I.A. KUZINA</w:t>
      </w:r>
      <w:r w:rsidR="00821296">
        <w:t>,</w:t>
      </w:r>
      <w:r w:rsidR="00821296" w:rsidRPr="00821296">
        <w:t xml:space="preserve"> A.V. GULEVICH</w:t>
      </w:r>
      <w:r w:rsidR="00821296">
        <w:t>,</w:t>
      </w:r>
      <w:r w:rsidR="00821296" w:rsidRPr="00821296">
        <w:t xml:space="preserve"> A.G VERBITSKY</w:t>
      </w:r>
      <w:r w:rsidR="008854B9">
        <w:t>,</w:t>
      </w:r>
      <w:r w:rsidR="008854B9" w:rsidRPr="008854B9">
        <w:t xml:space="preserve"> </w:t>
      </w:r>
    </w:p>
    <w:p w14:paraId="32159D0F" w14:textId="4D4A384C" w:rsidR="003B5E0E" w:rsidRDefault="008854B9" w:rsidP="008D7E89">
      <w:pPr>
        <w:pStyle w:val="Authornameandaffiliation"/>
      </w:pPr>
      <w:r w:rsidRPr="008854B9">
        <w:t>Y.V. OSHEIKO</w:t>
      </w:r>
    </w:p>
    <w:p w14:paraId="02370931" w14:textId="0031EB6C" w:rsidR="00FF386F" w:rsidRDefault="006062E8" w:rsidP="008D7E89">
      <w:pPr>
        <w:pStyle w:val="Authornameandaffiliation"/>
      </w:pPr>
      <w:r w:rsidRPr="006062E8">
        <w:t>State Scientific Centre of the Russian Federation</w:t>
      </w:r>
      <w:r w:rsidR="007A726B">
        <w:t xml:space="preserve"> -</w:t>
      </w:r>
      <w:r w:rsidRPr="006062E8">
        <w:t xml:space="preserve"> </w:t>
      </w:r>
    </w:p>
    <w:p w14:paraId="332EE522" w14:textId="77777777" w:rsidR="008854B9" w:rsidRDefault="008237A0" w:rsidP="008D7E89">
      <w:pPr>
        <w:pStyle w:val="Authornameandaffiliation"/>
      </w:pPr>
      <w:proofErr w:type="spellStart"/>
      <w:r>
        <w:t>Leypunsky</w:t>
      </w:r>
      <w:proofErr w:type="spellEnd"/>
      <w:r>
        <w:t xml:space="preserve"> Institute for Physics and Power Engineering</w:t>
      </w:r>
      <w:r w:rsidR="008854B9">
        <w:t>,</w:t>
      </w:r>
      <w:r w:rsidR="007A726B">
        <w:t xml:space="preserve"> </w:t>
      </w:r>
      <w:r w:rsidR="008854B9" w:rsidRPr="008854B9">
        <w:t xml:space="preserve">Joint-Stock Company, </w:t>
      </w:r>
    </w:p>
    <w:p w14:paraId="14684DE2" w14:textId="49306093" w:rsidR="00FF386F" w:rsidRDefault="007A726B" w:rsidP="008854B9">
      <w:pPr>
        <w:pStyle w:val="Authornameandaffiliation"/>
      </w:pPr>
      <w:r>
        <w:t>IPPE</w:t>
      </w:r>
      <w:r w:rsidR="008237A0">
        <w:t xml:space="preserve"> </w:t>
      </w:r>
      <w:r w:rsidR="008854B9">
        <w:t xml:space="preserve">JSC, </w:t>
      </w:r>
      <w:proofErr w:type="spellStart"/>
      <w:r w:rsidR="006062E8" w:rsidRPr="006062E8">
        <w:t>Obninsk</w:t>
      </w:r>
      <w:proofErr w:type="spellEnd"/>
      <w:r w:rsidR="006062E8" w:rsidRPr="006062E8">
        <w:t>, Russia</w:t>
      </w:r>
      <w:r w:rsidR="006062E8">
        <w:t xml:space="preserve"> </w:t>
      </w:r>
    </w:p>
    <w:p w14:paraId="73A9C62E" w14:textId="3BB9CCC3" w:rsidR="008854B9" w:rsidRPr="008854B9" w:rsidRDefault="00FF386F" w:rsidP="008854B9">
      <w:pPr>
        <w:pStyle w:val="Authornameandaffiliation"/>
      </w:pPr>
      <w:r>
        <w:t xml:space="preserve">Email: </w:t>
      </w:r>
      <w:r w:rsidR="006062E8">
        <w:t>vouss</w:t>
      </w:r>
      <w:r>
        <w:t>@</w:t>
      </w:r>
      <w:r w:rsidR="006062E8">
        <w:t>i</w:t>
      </w:r>
      <w:r w:rsidR="008237A0">
        <w:t>ppe</w:t>
      </w:r>
      <w:r>
        <w:t>.</w:t>
      </w:r>
      <w:r w:rsidR="008237A0">
        <w:t>ru</w:t>
      </w:r>
    </w:p>
    <w:p w14:paraId="47DE7F9E" w14:textId="77777777" w:rsidR="008854B9" w:rsidRDefault="008854B9" w:rsidP="00537496">
      <w:pPr>
        <w:pStyle w:val="Authornameandaffiliation"/>
        <w:rPr>
          <w:b/>
        </w:rPr>
      </w:pPr>
    </w:p>
    <w:p w14:paraId="230D4575" w14:textId="5324DA7B"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0EA0CC58" w14:textId="77777777" w:rsidR="008854B9" w:rsidRPr="008854B9" w:rsidRDefault="008854B9" w:rsidP="008854B9">
      <w:pPr>
        <w:pStyle w:val="Abstracttext"/>
      </w:pPr>
      <w:r w:rsidRPr="008854B9">
        <w:t xml:space="preserve">The vision on the development and deployment of SMRs is presented in the paper. SMRs have been built in Russia since 1954. Before the early 2000s only shipboard nuclear power facilities were used while land-based SMRs of various types were designed but not built. New driving forces for the penetration of SMRs into the energy sector of the country, which have arisen recently, are discussed in the paper. The accelerated development of the north-eastern regions with rich natural resources but low population density and high cost of energy generation has created favorable conditions for the priority use of SMRs. Intensive research and development work was deployed to reconsider the approaches used for construction of the reactors of large capacities in order to find new solutions to meet specific </w:t>
      </w:r>
      <w:bookmarkStart w:id="1" w:name="_Hlk170541054"/>
      <w:r w:rsidRPr="008854B9">
        <w:t xml:space="preserve">requirements </w:t>
      </w:r>
      <w:bookmarkEnd w:id="1"/>
      <w:r w:rsidRPr="008854B9">
        <w:t xml:space="preserve">of today for small reactors. Comparison of the feasibility of these requirements for small PWRs of Generation III </w:t>
      </w:r>
      <w:r w:rsidRPr="008854B9">
        <w:rPr>
          <w:vertAlign w:val="superscript"/>
        </w:rPr>
        <w:t>+</w:t>
      </w:r>
      <w:r w:rsidRPr="008854B9">
        <w:t xml:space="preserve"> and Generation IV reactors is provided in the paper. The discussion on the requirements to SMRs and some ways for their implementation is supplemented by consideration of their role as a large sustainable component of the future national and global energy sector. </w:t>
      </w:r>
    </w:p>
    <w:p w14:paraId="03C6D75B" w14:textId="2762C61B" w:rsidR="00647F33" w:rsidRDefault="00FD1584" w:rsidP="00537496">
      <w:pPr>
        <w:pStyle w:val="Heading2"/>
        <w:numPr>
          <w:ilvl w:val="1"/>
          <w:numId w:val="10"/>
        </w:numPr>
      </w:pPr>
      <w:r w:rsidRPr="002F3F88">
        <w:rPr>
          <w:lang w:val="en-US"/>
        </w:rPr>
        <w:t xml:space="preserve"> </w:t>
      </w:r>
      <w:r w:rsidR="00F523CA">
        <w:t>INTRODUCTION</w:t>
      </w:r>
    </w:p>
    <w:p w14:paraId="65AA7FC9" w14:textId="37C5F506" w:rsidR="00FD1584" w:rsidRPr="00FD1584" w:rsidRDefault="00FD1584" w:rsidP="00FD1584">
      <w:pPr>
        <w:pStyle w:val="BodyText"/>
        <w:rPr>
          <w:lang w:val="en-US"/>
        </w:rPr>
      </w:pPr>
      <w:r w:rsidRPr="00FD1584">
        <w:rPr>
          <w:lang w:val="en-US"/>
        </w:rPr>
        <w:t xml:space="preserve">Currently, an increased interest in nuclear plants with small modular reactors (SMRs) is observed and a large number of designs of these reactors have been developed while the role and prospects of SMRs are still being discussed, and their deployment is very low. The paper provides a vision of the Institute for Physics and Power Engineering (IPPE) on the status and future of SMRs and small NPPs with SMRs. Special attention is focused on the analysis of impediments slowing down the development and on finding the driving forces for deployment of SMRs as a component of a sustainable nuclear energy system (NES). The IPPE was one of the pioneers in the </w:t>
      </w:r>
      <w:r>
        <w:rPr>
          <w:lang w:val="en-US"/>
        </w:rPr>
        <w:t xml:space="preserve">development and deployment </w:t>
      </w:r>
      <w:r w:rsidRPr="00FD1584">
        <w:rPr>
          <w:lang w:val="en-US"/>
        </w:rPr>
        <w:t xml:space="preserve">of small NPPs in the USSR/Russia and in the world. The paper is divided into three parts: a motivation for deployment of small NPPs with SMRs in the past and now, the role of technical innovations in the acceleration of the SMRs penetration into the energy sector of the country, and consideration of institutional innovations as a supplement to the main stream of R&amp;D activities aimed at enhancing SMRs competitive abilities. </w:t>
      </w:r>
    </w:p>
    <w:p w14:paraId="197D0FAF" w14:textId="1F241946" w:rsidR="00FD1584" w:rsidRDefault="00FD1584" w:rsidP="00FD1584">
      <w:pPr>
        <w:pStyle w:val="BodyText"/>
        <w:rPr>
          <w:lang w:val="en-US"/>
        </w:rPr>
      </w:pPr>
      <w:r w:rsidRPr="00FD1584">
        <w:rPr>
          <w:lang w:val="en-US"/>
        </w:rPr>
        <w:t xml:space="preserve">The analysis of the SMRs penetration phase is made with consideration of specific economic and geographical conditions of Russia. Technical innovations under investigation in the IPPE are within the framework of fundamental developments carried out </w:t>
      </w:r>
      <w:r w:rsidR="004D4A25" w:rsidRPr="004D4A25">
        <w:t xml:space="preserve">towards the development of </w:t>
      </w:r>
      <w:r w:rsidR="004D4A25">
        <w:rPr>
          <w:lang w:val="en-US"/>
        </w:rPr>
        <w:t xml:space="preserve">Generation </w:t>
      </w:r>
      <w:r w:rsidR="004D4A25">
        <w:t>IV</w:t>
      </w:r>
      <w:r w:rsidR="004D4A25" w:rsidRPr="004D4A25">
        <w:t xml:space="preserve"> reactor</w:t>
      </w:r>
      <w:r w:rsidR="004D4A25">
        <w:t xml:space="preserve"> systems</w:t>
      </w:r>
      <w:r w:rsidRPr="00FD1584">
        <w:rPr>
          <w:lang w:val="en-US"/>
        </w:rPr>
        <w:t xml:space="preserve">. The prospects for large-scale deployment of SMRs as a sustainable component of the world nuclear power are discussed in the paper in a broad context without reference to the specific conditions of any country. Some of these ideas were discussed with foreign participants of the IAEA/ INPRO ASENES project "Scenarios for the Sustainable Development of SMRs" during implementation of the project.  </w:t>
      </w:r>
    </w:p>
    <w:p w14:paraId="74CD1556" w14:textId="5145CC50" w:rsidR="00E25B68" w:rsidRDefault="00BF285D" w:rsidP="0026525A">
      <w:pPr>
        <w:pStyle w:val="Heading2"/>
        <w:numPr>
          <w:ilvl w:val="1"/>
          <w:numId w:val="10"/>
        </w:numPr>
        <w:rPr>
          <w:lang w:val="en-US"/>
        </w:rPr>
      </w:pPr>
      <w:r w:rsidRPr="00BF285D">
        <w:t xml:space="preserve">contribution of </w:t>
      </w:r>
      <w:r w:rsidR="00414E7E">
        <w:rPr>
          <w:lang w:val="en-US"/>
        </w:rPr>
        <w:t>The</w:t>
      </w:r>
      <w:r w:rsidRPr="00BF285D">
        <w:rPr>
          <w:lang w:val="en-US"/>
        </w:rPr>
        <w:t xml:space="preserve"> </w:t>
      </w:r>
      <w:r>
        <w:rPr>
          <w:lang w:val="en-US"/>
        </w:rPr>
        <w:t xml:space="preserve">institute for physics and power engineering to </w:t>
      </w:r>
      <w:r w:rsidRPr="00BF285D">
        <w:t xml:space="preserve">the first </w:t>
      </w:r>
      <w:r>
        <w:rPr>
          <w:lang w:val="en-US"/>
        </w:rPr>
        <w:t xml:space="preserve">phase </w:t>
      </w:r>
      <w:r w:rsidRPr="00BF285D">
        <w:t xml:space="preserve">of </w:t>
      </w:r>
      <w:r>
        <w:t xml:space="preserve">SMR </w:t>
      </w:r>
      <w:r w:rsidRPr="00BF285D">
        <w:t xml:space="preserve">development and evaluation of the experience </w:t>
      </w:r>
      <w:r>
        <w:rPr>
          <w:lang w:val="en-US"/>
        </w:rPr>
        <w:t>GAINED</w:t>
      </w:r>
    </w:p>
    <w:p w14:paraId="3F77D388" w14:textId="77777777" w:rsidR="003D0FC3" w:rsidRPr="003D0FC3" w:rsidRDefault="003D0FC3" w:rsidP="003D0FC3">
      <w:pPr>
        <w:pStyle w:val="BodyText"/>
        <w:rPr>
          <w:lang w:val="en-US"/>
        </w:rPr>
      </w:pPr>
      <w:proofErr w:type="spellStart"/>
      <w:r w:rsidRPr="003D0FC3">
        <w:rPr>
          <w:lang w:val="en-US"/>
        </w:rPr>
        <w:t>Leypunsky</w:t>
      </w:r>
      <w:proofErr w:type="spellEnd"/>
      <w:r w:rsidRPr="003D0FC3">
        <w:rPr>
          <w:lang w:val="en-US"/>
        </w:rPr>
        <w:t xml:space="preserve"> Institute for Physics and Power Engineering (IPPE) is one of the founders of the direction related to the development of the NPPs with small reactors (NPP-SMR) in the USSR /Russia and in the world. In cooperation with other organizations, the following small NPPs were developed in IPPE and built as part of the initial phase of nuclear power development in the country: </w:t>
      </w:r>
    </w:p>
    <w:p w14:paraId="72FAED55" w14:textId="77777777" w:rsidR="003D0FC3" w:rsidRPr="003D0FC3" w:rsidRDefault="003D0FC3" w:rsidP="003D0FC3">
      <w:pPr>
        <w:pStyle w:val="BodyText"/>
        <w:rPr>
          <w:lang w:val="en-US"/>
        </w:rPr>
      </w:pPr>
      <w:r w:rsidRPr="003D0FC3">
        <w:rPr>
          <w:lang w:val="en-US"/>
        </w:rPr>
        <w:t>—</w:t>
      </w:r>
      <w:r w:rsidRPr="003D0FC3">
        <w:rPr>
          <w:lang w:val="en-US"/>
        </w:rPr>
        <w:tab/>
        <w:t xml:space="preserve">The world’s first NPP in </w:t>
      </w:r>
      <w:proofErr w:type="spellStart"/>
      <w:r w:rsidRPr="003D0FC3">
        <w:rPr>
          <w:lang w:val="en-US"/>
        </w:rPr>
        <w:t>Obninsk</w:t>
      </w:r>
      <w:proofErr w:type="spellEnd"/>
      <w:r w:rsidRPr="003D0FC3">
        <w:rPr>
          <w:lang w:val="en-US"/>
        </w:rPr>
        <w:t xml:space="preserve"> of 5 MW(e) that was built </w:t>
      </w:r>
      <w:proofErr w:type="gramStart"/>
      <w:r w:rsidRPr="003D0FC3">
        <w:rPr>
          <w:lang w:val="en-US"/>
        </w:rPr>
        <w:t>during</w:t>
      </w:r>
      <w:proofErr w:type="gramEnd"/>
      <w:r w:rsidRPr="003D0FC3">
        <w:rPr>
          <w:lang w:val="en-US"/>
        </w:rPr>
        <w:t xml:space="preserve"> 5 years and operated from 1954 to 2002;</w:t>
      </w:r>
    </w:p>
    <w:p w14:paraId="1F6FC96C" w14:textId="77777777" w:rsidR="003D0FC3" w:rsidRPr="003D0FC3" w:rsidRDefault="003D0FC3" w:rsidP="003D0FC3">
      <w:pPr>
        <w:pStyle w:val="BodyText"/>
        <w:rPr>
          <w:lang w:val="en-US"/>
        </w:rPr>
      </w:pPr>
      <w:r w:rsidRPr="003D0FC3">
        <w:rPr>
          <w:lang w:val="en-US"/>
        </w:rPr>
        <w:lastRenderedPageBreak/>
        <w:t>—</w:t>
      </w:r>
      <w:r w:rsidRPr="003D0FC3">
        <w:rPr>
          <w:lang w:val="en-US"/>
        </w:rPr>
        <w:tab/>
        <w:t xml:space="preserve">The transportable small NPP ТES-3 of 1.5 </w:t>
      </w:r>
      <w:proofErr w:type="spellStart"/>
      <w:r w:rsidRPr="003D0FC3">
        <w:rPr>
          <w:lang w:val="en-US"/>
        </w:rPr>
        <w:t>МWe</w:t>
      </w:r>
      <w:proofErr w:type="spellEnd"/>
      <w:r w:rsidRPr="003D0FC3">
        <w:rPr>
          <w:lang w:val="en-US"/>
        </w:rPr>
        <w:t xml:space="preserve"> operated from 1961 to 1969; </w:t>
      </w:r>
    </w:p>
    <w:p w14:paraId="1E8EEB4F" w14:textId="77777777" w:rsidR="003D0FC3" w:rsidRPr="003D0FC3" w:rsidRDefault="003D0FC3" w:rsidP="003D0FC3">
      <w:pPr>
        <w:pStyle w:val="BodyText"/>
        <w:rPr>
          <w:lang w:val="en-US"/>
        </w:rPr>
      </w:pPr>
      <w:r w:rsidRPr="003D0FC3">
        <w:rPr>
          <w:lang w:val="en-US"/>
        </w:rPr>
        <w:t>—</w:t>
      </w:r>
      <w:r w:rsidRPr="003D0FC3">
        <w:rPr>
          <w:lang w:val="en-US"/>
        </w:rPr>
        <w:tab/>
        <w:t>Shipboard nuclear power facilities for submarines with lead-bismuth coolant;</w:t>
      </w:r>
    </w:p>
    <w:p w14:paraId="6BE5FC94" w14:textId="77777777" w:rsidR="003D0FC3" w:rsidRPr="003D0FC3" w:rsidRDefault="003D0FC3" w:rsidP="003D0FC3">
      <w:pPr>
        <w:pStyle w:val="BodyText"/>
        <w:rPr>
          <w:lang w:val="en-US"/>
        </w:rPr>
      </w:pPr>
      <w:r w:rsidRPr="003D0FC3">
        <w:rPr>
          <w:lang w:val="en-US"/>
        </w:rPr>
        <w:t>—</w:t>
      </w:r>
      <w:r w:rsidRPr="003D0FC3">
        <w:rPr>
          <w:lang w:val="en-US"/>
        </w:rPr>
        <w:tab/>
        <w:t xml:space="preserve">The </w:t>
      </w:r>
      <w:proofErr w:type="spellStart"/>
      <w:r w:rsidRPr="003D0FC3">
        <w:rPr>
          <w:lang w:val="en-US"/>
        </w:rPr>
        <w:t>Bilibino</w:t>
      </w:r>
      <w:proofErr w:type="spellEnd"/>
      <w:r w:rsidRPr="003D0FC3">
        <w:rPr>
          <w:lang w:val="en-US"/>
        </w:rPr>
        <w:t xml:space="preserve"> NPP in Arctic of 48 MW(e) and 25 </w:t>
      </w:r>
      <w:proofErr w:type="spellStart"/>
      <w:r w:rsidRPr="003D0FC3">
        <w:rPr>
          <w:lang w:val="en-US"/>
        </w:rPr>
        <w:t>Gсal</w:t>
      </w:r>
      <w:proofErr w:type="spellEnd"/>
      <w:r w:rsidRPr="003D0FC3">
        <w:rPr>
          <w:lang w:val="en-US"/>
        </w:rPr>
        <w:t xml:space="preserve">/h of heat launched up in </w:t>
      </w:r>
      <w:proofErr w:type="gramStart"/>
      <w:r w:rsidRPr="003D0FC3">
        <w:rPr>
          <w:lang w:val="en-US"/>
        </w:rPr>
        <w:t>1974;</w:t>
      </w:r>
      <w:proofErr w:type="gramEnd"/>
    </w:p>
    <w:p w14:paraId="7117B385" w14:textId="7D03EDC3" w:rsidR="003D0FC3" w:rsidRPr="003D0FC3" w:rsidRDefault="002F3F88" w:rsidP="003D0FC3">
      <w:pPr>
        <w:pStyle w:val="BodyText"/>
        <w:rPr>
          <w:lang w:val="en-US"/>
        </w:rPr>
      </w:pPr>
      <w:r>
        <w:rPr>
          <w:lang w:val="en-US"/>
        </w:rPr>
        <w:t>—</w:t>
      </w:r>
      <w:r>
        <w:rPr>
          <w:lang w:val="en-US"/>
        </w:rPr>
        <w:tab/>
      </w:r>
      <w:r w:rsidR="003D0FC3" w:rsidRPr="003D0FC3">
        <w:rPr>
          <w:lang w:val="en-US"/>
        </w:rPr>
        <w:t xml:space="preserve">The </w:t>
      </w:r>
      <w:proofErr w:type="spellStart"/>
      <w:r w:rsidR="003D0FC3" w:rsidRPr="003D0FC3">
        <w:rPr>
          <w:lang w:val="en-US"/>
        </w:rPr>
        <w:t>Beloyarsk</w:t>
      </w:r>
      <w:proofErr w:type="spellEnd"/>
      <w:r w:rsidR="003D0FC3" w:rsidRPr="003D0FC3">
        <w:rPr>
          <w:lang w:val="en-US"/>
        </w:rPr>
        <w:t xml:space="preserve"> NPP with two units of 150 МW(e) operated from 1964 to 1989.</w:t>
      </w:r>
    </w:p>
    <w:p w14:paraId="354EFBF7" w14:textId="77777777" w:rsidR="003D0FC3" w:rsidRPr="003D0FC3" w:rsidRDefault="003D0FC3" w:rsidP="003D0FC3">
      <w:pPr>
        <w:pStyle w:val="BodyText"/>
        <w:rPr>
          <w:lang w:val="en-US"/>
        </w:rPr>
      </w:pPr>
      <w:r w:rsidRPr="003D0FC3">
        <w:rPr>
          <w:lang w:val="en-US"/>
        </w:rPr>
        <w:t xml:space="preserve">The first phase of small NPPs deployment allowed us to get valuable experience that was used in designing and construction of subsequent NPPs. The </w:t>
      </w:r>
      <w:proofErr w:type="spellStart"/>
      <w:r w:rsidRPr="003D0FC3">
        <w:rPr>
          <w:lang w:val="en-US"/>
        </w:rPr>
        <w:t>Obninsk</w:t>
      </w:r>
      <w:proofErr w:type="spellEnd"/>
      <w:r w:rsidRPr="003D0FC3">
        <w:rPr>
          <w:lang w:val="en-US"/>
        </w:rPr>
        <w:t xml:space="preserve"> NPP has demonstrated the fundamental possibility of safe electricity generation and thus opened the way to larger NPPs. The Arctic </w:t>
      </w:r>
      <w:proofErr w:type="spellStart"/>
      <w:r w:rsidRPr="003D0FC3">
        <w:rPr>
          <w:lang w:val="en-US"/>
        </w:rPr>
        <w:t>Bilibino</w:t>
      </w:r>
      <w:proofErr w:type="spellEnd"/>
      <w:r w:rsidRPr="003D0FC3">
        <w:rPr>
          <w:lang w:val="en-US"/>
        </w:rPr>
        <w:t xml:space="preserve"> NPP has confirmed the efficiency of small NPPs for electricity and heat supply to the settlements and mining enterprises in the remote regions where the energy price is much higher than in the central part of the country. At the same time, the need for a lower capacity and less number of staff was identified from the experience of the </w:t>
      </w:r>
      <w:proofErr w:type="spellStart"/>
      <w:r w:rsidRPr="003D0FC3">
        <w:rPr>
          <w:lang w:val="en-US"/>
        </w:rPr>
        <w:t>Bilibino</w:t>
      </w:r>
      <w:proofErr w:type="spellEnd"/>
      <w:r w:rsidRPr="003D0FC3">
        <w:rPr>
          <w:lang w:val="en-US"/>
        </w:rPr>
        <w:t xml:space="preserve"> NPP operation. The transportable ТES-3 and other transportable NPPs of the type constructed a little later have shown possibility of implementing practically unmanned operation, at the same time identifying the need for strengthening radiation protection due to tightening radiation safety standards.</w:t>
      </w:r>
    </w:p>
    <w:p w14:paraId="59E5CBC3" w14:textId="3224F5F1" w:rsidR="003D0FC3" w:rsidRPr="003D0FC3" w:rsidRDefault="003D0FC3" w:rsidP="003D0FC3">
      <w:pPr>
        <w:pStyle w:val="BodyText"/>
        <w:rPr>
          <w:lang w:val="en-US"/>
        </w:rPr>
      </w:pPr>
      <w:r w:rsidRPr="003D0FC3">
        <w:rPr>
          <w:lang w:val="en-US"/>
        </w:rPr>
        <w:t>After the completion of the first phase of SMRs building, only nuclear power facilities for marine engines were put into operation while in the central parts of the country only large NPPs competitive with other land-based power plants were constructed. SMRs of various types were designed, but not built.</w:t>
      </w:r>
    </w:p>
    <w:p w14:paraId="1B297C48" w14:textId="2D266A9F" w:rsidR="00EE0041" w:rsidRDefault="00BF285D" w:rsidP="0026525A">
      <w:pPr>
        <w:pStyle w:val="Heading2"/>
        <w:numPr>
          <w:ilvl w:val="1"/>
          <w:numId w:val="10"/>
        </w:numPr>
      </w:pPr>
      <w:r w:rsidRPr="00BF285D">
        <w:t xml:space="preserve">Prerequisites and ways for implementation a new </w:t>
      </w:r>
      <w:r w:rsidR="00F3412D">
        <w:t xml:space="preserve">phase </w:t>
      </w:r>
      <w:r w:rsidRPr="00BF285D">
        <w:t xml:space="preserve">in development </w:t>
      </w:r>
      <w:r>
        <w:t xml:space="preserve">and deployment </w:t>
      </w:r>
      <w:r w:rsidRPr="00BF285D">
        <w:t>of small NPP</w:t>
      </w:r>
      <w:r w:rsidR="00F3412D">
        <w:t xml:space="preserve">s </w:t>
      </w:r>
    </w:p>
    <w:p w14:paraId="3C2FDA78" w14:textId="13F6EE9F" w:rsidR="00967AB8" w:rsidRDefault="00967AB8" w:rsidP="00537496">
      <w:pPr>
        <w:pStyle w:val="BodyText"/>
      </w:pPr>
      <w:r w:rsidRPr="00967AB8">
        <w:t xml:space="preserve">The course towards accelerated economic development of </w:t>
      </w:r>
      <w:r w:rsidR="00B17BEA" w:rsidRPr="00B17BEA">
        <w:t xml:space="preserve">northern, eastern and arctic regions of Russia </w:t>
      </w:r>
      <w:r w:rsidRPr="00967AB8">
        <w:t>aimed at the growth of mining and processing plants</w:t>
      </w:r>
      <w:r w:rsidR="00B17BEA">
        <w:t xml:space="preserve"> production</w:t>
      </w:r>
      <w:r w:rsidRPr="00967AB8">
        <w:t>, modernization of ports of the Northern Sea Route and navigation infrastructure, etc., raised the question of autonomous energy supply for these regions</w:t>
      </w:r>
      <w:r w:rsidR="00B17BEA">
        <w:t>.</w:t>
      </w:r>
      <w:r w:rsidRPr="00967AB8">
        <w:t xml:space="preserve"> </w:t>
      </w:r>
      <w:r w:rsidR="00B17BEA" w:rsidRPr="00B17BEA">
        <w:t xml:space="preserve">Therefore, for reliable energy supply to newly constructed facilities in the </w:t>
      </w:r>
      <w:r w:rsidR="00B17BEA" w:rsidRPr="00967AB8">
        <w:t>north</w:t>
      </w:r>
      <w:r w:rsidR="002F3F88">
        <w:t>-</w:t>
      </w:r>
      <w:r w:rsidR="00B17BEA" w:rsidRPr="00967AB8">
        <w:t>eastern regions</w:t>
      </w:r>
      <w:r w:rsidR="00B17BEA" w:rsidRPr="00B17BEA">
        <w:t xml:space="preserve">, it is necessary either to create an infrastructure for providing fossil fuels, or to quickly develop and implement nuclear energy sources capable of operating in autonomous mode for a long time. </w:t>
      </w:r>
      <w:r w:rsidR="00B17BEA">
        <w:t>E</w:t>
      </w:r>
      <w:r w:rsidR="00B17BEA" w:rsidRPr="00B17BEA">
        <w:t xml:space="preserve">nergy sources </w:t>
      </w:r>
      <w:r w:rsidR="00B17BEA">
        <w:t xml:space="preserve">like </w:t>
      </w:r>
      <w:r w:rsidR="00B17BEA" w:rsidRPr="00B17BEA">
        <w:t>wind, sun, etc. can serve as part of autonomous networks</w:t>
      </w:r>
      <w:r w:rsidR="003D0FC3">
        <w:t>,</w:t>
      </w:r>
      <w:r w:rsidR="00B17BEA" w:rsidRPr="00B17BEA">
        <w:t xml:space="preserve"> only as auxiliary ones.</w:t>
      </w:r>
    </w:p>
    <w:p w14:paraId="2191A402" w14:textId="7E5CCC4E" w:rsidR="00EE0041" w:rsidRDefault="005C4B52" w:rsidP="00537496">
      <w:pPr>
        <w:pStyle w:val="BodyText"/>
      </w:pPr>
      <w:bookmarkStart w:id="2" w:name="_Hlk170555306"/>
      <w:r>
        <w:t xml:space="preserve">As shown in Fig.1, </w:t>
      </w:r>
      <w:r w:rsidR="008A4BE2">
        <w:t>t</w:t>
      </w:r>
      <w:r w:rsidR="00B17BEA" w:rsidRPr="00B17BEA">
        <w:t xml:space="preserve">he </w:t>
      </w:r>
      <w:r w:rsidR="00B17BEA" w:rsidRPr="00967AB8">
        <w:t xml:space="preserve">regions </w:t>
      </w:r>
      <w:bookmarkEnd w:id="2"/>
      <w:r w:rsidR="00B17BEA" w:rsidRPr="00967AB8">
        <w:t xml:space="preserve">of the country </w:t>
      </w:r>
      <w:r w:rsidR="008A4BE2">
        <w:t xml:space="preserve">that </w:t>
      </w:r>
      <w:r w:rsidR="00B17BEA" w:rsidRPr="00B17BEA">
        <w:t>are zone</w:t>
      </w:r>
      <w:r w:rsidR="00B17BEA">
        <w:t>s</w:t>
      </w:r>
      <w:r w:rsidR="00B17BEA" w:rsidRPr="00B17BEA">
        <w:t xml:space="preserve"> of decentralized energy supply</w:t>
      </w:r>
      <w:r w:rsidR="007544C0" w:rsidRPr="007544C0">
        <w:t xml:space="preserve"> occupy over 80% of the territory of Russia</w:t>
      </w:r>
      <w:r w:rsidR="007544C0">
        <w:t>.</w:t>
      </w:r>
      <w:r w:rsidR="007544C0" w:rsidRPr="007544C0">
        <w:t xml:space="preserve"> </w:t>
      </w:r>
      <w:r w:rsidR="007544C0">
        <w:t xml:space="preserve">The </w:t>
      </w:r>
      <w:r w:rsidR="00B17BEA" w:rsidRPr="00B17BEA">
        <w:t>power generation is carried out either at the expense of energy resources extracted locally or through the supply of fuel under government programs</w:t>
      </w:r>
      <w:r>
        <w:t>.</w:t>
      </w:r>
    </w:p>
    <w:p w14:paraId="47962953" w14:textId="03E0504D" w:rsidR="00D57F86" w:rsidRDefault="00D57F86" w:rsidP="00537496">
      <w:pPr>
        <w:pStyle w:val="BodyText"/>
      </w:pPr>
    </w:p>
    <w:p w14:paraId="5BD0FE8A" w14:textId="4F754EA6" w:rsidR="00D57F86" w:rsidRDefault="00AC1FC5" w:rsidP="00D57F86">
      <w:pPr>
        <w:pStyle w:val="BodyText"/>
        <w:jc w:val="center"/>
      </w:pPr>
      <w:r>
        <w:rPr>
          <w:noProof/>
          <w:lang w:val="ru-RU" w:eastAsia="ru-RU"/>
        </w:rPr>
        <mc:AlternateContent>
          <mc:Choice Requires="wps">
            <w:drawing>
              <wp:anchor distT="0" distB="0" distL="114300" distR="114300" simplePos="0" relativeHeight="251667456" behindDoc="0" locked="0" layoutInCell="1" allowOverlap="1" wp14:anchorId="6F69444C" wp14:editId="48FB8B42">
                <wp:simplePos x="0" y="0"/>
                <wp:positionH relativeFrom="column">
                  <wp:posOffset>2334986</wp:posOffset>
                </wp:positionH>
                <wp:positionV relativeFrom="paragraph">
                  <wp:posOffset>5443</wp:posOffset>
                </wp:positionV>
                <wp:extent cx="2176780" cy="1507671"/>
                <wp:effectExtent l="0" t="0" r="13970" b="16510"/>
                <wp:wrapNone/>
                <wp:docPr id="725061083" name="Овал 28"/>
                <wp:cNvGraphicFramePr/>
                <a:graphic xmlns:a="http://schemas.openxmlformats.org/drawingml/2006/main">
                  <a:graphicData uri="http://schemas.microsoft.com/office/word/2010/wordprocessingShape">
                    <wps:wsp>
                      <wps:cNvSpPr/>
                      <wps:spPr>
                        <a:xfrm>
                          <a:off x="0" y="0"/>
                          <a:ext cx="2176780" cy="1507671"/>
                        </a:xfrm>
                        <a:prstGeom prst="ellipse">
                          <a:avLst/>
                        </a:prstGeom>
                        <a:solidFill>
                          <a:srgbClr val="92D050">
                            <a:alpha val="47000"/>
                          </a:srgbClr>
                        </a:solidFill>
                        <a:ln w="1905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F68F8" id="Овал 28" o:spid="_x0000_s1026" style="position:absolute;margin-left:183.85pt;margin-top:.45pt;width:171.4pt;height:1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" fillcolor="#92d050" strokecolor="red" strokeweight="1.5pt">
                <v:fill opacity="30840f"/>
                <v:stroke dashstyle="dash"/>
              </v:oval>
            </w:pict>
          </mc:Fallback>
        </mc:AlternateContent>
      </w:r>
      <w:r w:rsidR="00D57F86">
        <w:rPr>
          <w:noProof/>
          <w:lang w:val="ru-RU" w:eastAsia="ru-RU"/>
        </w:rPr>
        <w:drawing>
          <wp:inline distT="0" distB="0" distL="0" distR="0" wp14:anchorId="53C54EEC" wp14:editId="37BFD01D">
            <wp:extent cx="2940751" cy="1746885"/>
            <wp:effectExtent l="0" t="0" r="0" b="5715"/>
            <wp:docPr id="125312888"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5582" cy="1767575"/>
                    </a:xfrm>
                    <a:prstGeom prst="rect">
                      <a:avLst/>
                    </a:prstGeom>
                    <a:noFill/>
                    <a:ln>
                      <a:noFill/>
                    </a:ln>
                  </pic:spPr>
                </pic:pic>
              </a:graphicData>
            </a:graphic>
          </wp:inline>
        </w:drawing>
      </w:r>
    </w:p>
    <w:p w14:paraId="2E5D89CC" w14:textId="3B9E4472" w:rsidR="00D57F86" w:rsidRPr="00AC1FC5" w:rsidRDefault="00AC1FC5" w:rsidP="00C47AA5">
      <w:pPr>
        <w:pStyle w:val="BodyText"/>
        <w:spacing w:before="120" w:after="120"/>
        <w:contextualSpacing w:val="0"/>
        <w:jc w:val="center"/>
        <w:rPr>
          <w:sz w:val="18"/>
          <w:szCs w:val="18"/>
        </w:rPr>
      </w:pPr>
      <w:r w:rsidRPr="00AC1FC5">
        <w:rPr>
          <w:i/>
          <w:sz w:val="18"/>
          <w:szCs w:val="18"/>
        </w:rPr>
        <w:t xml:space="preserve">FIG. </w:t>
      </w:r>
      <w:r w:rsidRPr="00AC1FC5">
        <w:rPr>
          <w:i/>
          <w:sz w:val="18"/>
          <w:szCs w:val="18"/>
        </w:rPr>
        <w:fldChar w:fldCharType="begin"/>
      </w:r>
      <w:r w:rsidRPr="00AC1FC5">
        <w:rPr>
          <w:i/>
          <w:sz w:val="18"/>
          <w:szCs w:val="18"/>
        </w:rPr>
        <w:instrText xml:space="preserve"> SEQ Figure \* ARABIC </w:instrText>
      </w:r>
      <w:r w:rsidRPr="00AC1FC5">
        <w:rPr>
          <w:i/>
          <w:sz w:val="18"/>
          <w:szCs w:val="18"/>
        </w:rPr>
        <w:fldChar w:fldCharType="separate"/>
      </w:r>
      <w:r w:rsidRPr="00AC1FC5">
        <w:rPr>
          <w:i/>
          <w:noProof/>
          <w:sz w:val="18"/>
          <w:szCs w:val="18"/>
        </w:rPr>
        <w:t>1</w:t>
      </w:r>
      <w:r w:rsidRPr="00AC1FC5">
        <w:rPr>
          <w:i/>
          <w:sz w:val="18"/>
          <w:szCs w:val="18"/>
        </w:rPr>
        <w:fldChar w:fldCharType="end"/>
      </w:r>
      <w:r w:rsidRPr="00AC1FC5">
        <w:rPr>
          <w:i/>
          <w:sz w:val="18"/>
          <w:szCs w:val="18"/>
        </w:rPr>
        <w:t xml:space="preserve">. </w:t>
      </w:r>
      <w:r w:rsidRPr="00AC1FC5">
        <w:rPr>
          <w:i/>
          <w:iCs/>
          <w:sz w:val="18"/>
          <w:szCs w:val="18"/>
        </w:rPr>
        <w:t>The territory of Russia</w:t>
      </w:r>
      <w:r w:rsidRPr="00AC1FC5">
        <w:rPr>
          <w:i/>
          <w:sz w:val="18"/>
          <w:szCs w:val="18"/>
        </w:rPr>
        <w:t xml:space="preserve"> </w:t>
      </w:r>
      <w:r w:rsidR="002F3F88">
        <w:rPr>
          <w:i/>
          <w:sz w:val="18"/>
          <w:szCs w:val="18"/>
          <w:lang w:val="en-US"/>
        </w:rPr>
        <w:t xml:space="preserve">in the oval is the </w:t>
      </w:r>
      <w:r w:rsidR="0003289B">
        <w:rPr>
          <w:i/>
          <w:sz w:val="18"/>
          <w:szCs w:val="18"/>
          <w:lang w:val="en-US"/>
        </w:rPr>
        <w:t xml:space="preserve">part of </w:t>
      </w:r>
      <w:r w:rsidR="002F3F88">
        <w:rPr>
          <w:i/>
          <w:sz w:val="18"/>
          <w:szCs w:val="18"/>
          <w:lang w:val="en-US"/>
        </w:rPr>
        <w:t xml:space="preserve">the </w:t>
      </w:r>
      <w:r w:rsidR="0003289B">
        <w:rPr>
          <w:i/>
          <w:sz w:val="18"/>
          <w:szCs w:val="18"/>
          <w:lang w:val="en-US"/>
        </w:rPr>
        <w:t xml:space="preserve">country </w:t>
      </w:r>
      <w:r w:rsidRPr="00AC1FC5">
        <w:rPr>
          <w:i/>
          <w:sz w:val="18"/>
          <w:szCs w:val="18"/>
        </w:rPr>
        <w:t xml:space="preserve">with </w:t>
      </w:r>
      <w:r w:rsidRPr="00AC1FC5">
        <w:rPr>
          <w:i/>
          <w:iCs/>
          <w:sz w:val="18"/>
          <w:szCs w:val="18"/>
        </w:rPr>
        <w:t>decentralized energy supply</w:t>
      </w:r>
    </w:p>
    <w:p w14:paraId="08EE9D5D" w14:textId="3AF1C9FD" w:rsidR="00D57F86" w:rsidRDefault="002F3F88" w:rsidP="00C47AA5">
      <w:pPr>
        <w:pStyle w:val="BodyText"/>
        <w:spacing w:after="120"/>
        <w:contextualSpacing w:val="0"/>
      </w:pPr>
      <w:r>
        <w:t>E</w:t>
      </w:r>
      <w:r w:rsidRPr="002F3F88">
        <w:t xml:space="preserve">stimated by the authors </w:t>
      </w:r>
      <w:r w:rsidR="00C47AA5">
        <w:t xml:space="preserve">difference </w:t>
      </w:r>
      <w:bookmarkStart w:id="3" w:name="_Hlk170557415"/>
      <w:r>
        <w:t xml:space="preserve">in </w:t>
      </w:r>
      <w:r w:rsidR="00C47AA5">
        <w:t>population density and e</w:t>
      </w:r>
      <w:r w:rsidR="00C47AA5" w:rsidRPr="00C47AA5">
        <w:t xml:space="preserve">lectricity generation </w:t>
      </w:r>
      <w:bookmarkEnd w:id="3"/>
      <w:r w:rsidR="00A81AF2">
        <w:t xml:space="preserve">prices </w:t>
      </w:r>
      <w:r w:rsidR="00C47AA5">
        <w:t xml:space="preserve">in </w:t>
      </w:r>
      <w:r w:rsidR="00665A1F">
        <w:t xml:space="preserve">two </w:t>
      </w:r>
      <w:r w:rsidR="00C47AA5">
        <w:t xml:space="preserve">regions of Russia is shown in </w:t>
      </w:r>
      <w:r w:rsidR="005851EE">
        <w:t>Table 1</w:t>
      </w:r>
      <w:r w:rsidR="00C47AA5">
        <w:t>.</w:t>
      </w:r>
      <w:r w:rsidR="005851EE">
        <w:t xml:space="preserve">  </w:t>
      </w:r>
    </w:p>
    <w:p w14:paraId="41DDE12B" w14:textId="7D46BCD0" w:rsidR="005851EE" w:rsidRDefault="005851EE" w:rsidP="005851EE">
      <w:pPr>
        <w:pStyle w:val="BodyText"/>
        <w:ind w:firstLine="0"/>
      </w:pPr>
      <w:bookmarkStart w:id="4" w:name="_Hlk170586504"/>
      <w:r>
        <w:t>TABLE 1.</w:t>
      </w:r>
      <w:r>
        <w:tab/>
      </w:r>
      <w:r w:rsidR="00C47AA5" w:rsidRPr="00C47AA5">
        <w:t xml:space="preserve">POPULATION DENSITY AND ELECTRICITY GENERATION COST </w:t>
      </w:r>
      <w:r w:rsidR="00C47AA5">
        <w:t xml:space="preserve">IN DIFFERENT REGIONS OF RUSSIA </w:t>
      </w:r>
    </w:p>
    <w:p w14:paraId="7813F846" w14:textId="77777777" w:rsidR="005851EE" w:rsidRDefault="005851EE" w:rsidP="005851EE">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1843"/>
        <w:gridCol w:w="1701"/>
      </w:tblGrid>
      <w:tr w:rsidR="005851EE" w14:paraId="56ADCD43" w14:textId="77777777" w:rsidTr="004C6EA3">
        <w:trPr>
          <w:jc w:val="center"/>
        </w:trPr>
        <w:tc>
          <w:tcPr>
            <w:tcW w:w="3970" w:type="dxa"/>
            <w:tcBorders>
              <w:top w:val="single" w:sz="4" w:space="0" w:color="auto"/>
              <w:bottom w:val="single" w:sz="4" w:space="0" w:color="auto"/>
            </w:tcBorders>
          </w:tcPr>
          <w:p w14:paraId="3128847A" w14:textId="1F445826" w:rsidR="005851EE" w:rsidRDefault="007B4D77" w:rsidP="00757903">
            <w:pPr>
              <w:pStyle w:val="BodyText"/>
              <w:ind w:firstLine="0"/>
            </w:pPr>
            <w:bookmarkStart w:id="5" w:name="_Hlk170585868"/>
            <w:bookmarkEnd w:id="4"/>
            <w:r>
              <w:t>Indicator</w:t>
            </w:r>
          </w:p>
        </w:tc>
        <w:tc>
          <w:tcPr>
            <w:tcW w:w="1843" w:type="dxa"/>
            <w:tcBorders>
              <w:top w:val="single" w:sz="4" w:space="0" w:color="auto"/>
              <w:bottom w:val="single" w:sz="4" w:space="0" w:color="auto"/>
            </w:tcBorders>
          </w:tcPr>
          <w:p w14:paraId="7A6EF749" w14:textId="29D35352" w:rsidR="005851EE" w:rsidRDefault="007B4D77" w:rsidP="00757903">
            <w:pPr>
              <w:pStyle w:val="BodyText"/>
              <w:ind w:firstLine="0"/>
              <w:jc w:val="center"/>
            </w:pPr>
            <w:r>
              <w:t xml:space="preserve">European part </w:t>
            </w:r>
          </w:p>
        </w:tc>
        <w:tc>
          <w:tcPr>
            <w:tcW w:w="1701" w:type="dxa"/>
            <w:tcBorders>
              <w:top w:val="single" w:sz="4" w:space="0" w:color="auto"/>
              <w:bottom w:val="single" w:sz="4" w:space="0" w:color="auto"/>
            </w:tcBorders>
          </w:tcPr>
          <w:p w14:paraId="0E11A9DA" w14:textId="30D55B2F" w:rsidR="005851EE" w:rsidRDefault="007B4D77" w:rsidP="00757903">
            <w:pPr>
              <w:pStyle w:val="BodyText"/>
              <w:ind w:firstLine="0"/>
              <w:jc w:val="center"/>
            </w:pPr>
            <w:r>
              <w:t>Remote regions</w:t>
            </w:r>
          </w:p>
        </w:tc>
      </w:tr>
      <w:tr w:rsidR="005851EE" w14:paraId="09D6F15B" w14:textId="77777777" w:rsidTr="004C6EA3">
        <w:trPr>
          <w:jc w:val="center"/>
        </w:trPr>
        <w:tc>
          <w:tcPr>
            <w:tcW w:w="3970" w:type="dxa"/>
            <w:tcBorders>
              <w:top w:val="single" w:sz="4" w:space="0" w:color="auto"/>
            </w:tcBorders>
          </w:tcPr>
          <w:p w14:paraId="64A85E9A" w14:textId="2917C97E" w:rsidR="005851EE" w:rsidRDefault="005851EE" w:rsidP="00757903">
            <w:pPr>
              <w:pStyle w:val="BodyText"/>
              <w:ind w:firstLine="0"/>
            </w:pPr>
            <w:r>
              <w:rPr>
                <w:rStyle w:val="TabletextChar"/>
              </w:rPr>
              <w:t>Population density, person/km</w:t>
            </w:r>
            <w:r w:rsidRPr="005851EE">
              <w:rPr>
                <w:rStyle w:val="TabletextChar"/>
                <w:vertAlign w:val="superscript"/>
              </w:rPr>
              <w:t xml:space="preserve">2 </w:t>
            </w:r>
          </w:p>
        </w:tc>
        <w:tc>
          <w:tcPr>
            <w:tcW w:w="1843" w:type="dxa"/>
            <w:tcBorders>
              <w:top w:val="single" w:sz="4" w:space="0" w:color="auto"/>
            </w:tcBorders>
          </w:tcPr>
          <w:p w14:paraId="2A421CED" w14:textId="1297856C" w:rsidR="005851EE" w:rsidRDefault="007B4D77" w:rsidP="00757903">
            <w:pPr>
              <w:pStyle w:val="BodyText"/>
              <w:ind w:firstLine="0"/>
              <w:jc w:val="center"/>
            </w:pPr>
            <w:r>
              <w:t>30-80</w:t>
            </w:r>
          </w:p>
        </w:tc>
        <w:tc>
          <w:tcPr>
            <w:tcW w:w="1701" w:type="dxa"/>
            <w:tcBorders>
              <w:top w:val="single" w:sz="4" w:space="0" w:color="auto"/>
            </w:tcBorders>
          </w:tcPr>
          <w:p w14:paraId="455C87EA" w14:textId="36AE46B1" w:rsidR="005851EE" w:rsidRDefault="007B4D77" w:rsidP="00757903">
            <w:pPr>
              <w:pStyle w:val="BodyText"/>
              <w:ind w:firstLine="0"/>
              <w:jc w:val="center"/>
            </w:pPr>
            <w:r>
              <w:t>&lt;</w:t>
            </w:r>
            <w:r>
              <w:rPr>
                <w:lang w:val="ru-RU"/>
              </w:rPr>
              <w:t xml:space="preserve"> </w:t>
            </w:r>
            <w:r>
              <w:t>1</w:t>
            </w:r>
          </w:p>
        </w:tc>
      </w:tr>
      <w:tr w:rsidR="005851EE" w14:paraId="17AAD9B9" w14:textId="77777777" w:rsidTr="004C6EA3">
        <w:trPr>
          <w:jc w:val="center"/>
        </w:trPr>
        <w:tc>
          <w:tcPr>
            <w:tcW w:w="3970" w:type="dxa"/>
          </w:tcPr>
          <w:p w14:paraId="15F5DF44" w14:textId="0CF8987D" w:rsidR="005851EE" w:rsidRDefault="004C6EA3" w:rsidP="00757903">
            <w:pPr>
              <w:pStyle w:val="BodyText"/>
              <w:ind w:firstLine="0"/>
            </w:pPr>
            <w:bookmarkStart w:id="6" w:name="_Hlk170557296"/>
            <w:r>
              <w:t>Electricity generation cost</w:t>
            </w:r>
            <w:bookmarkEnd w:id="6"/>
            <w:r>
              <w:t xml:space="preserve">, </w:t>
            </w:r>
            <w:r w:rsidR="00C47AA5">
              <w:t>RUB</w:t>
            </w:r>
            <w:r>
              <w:t xml:space="preserve">/kWh </w:t>
            </w:r>
          </w:p>
        </w:tc>
        <w:tc>
          <w:tcPr>
            <w:tcW w:w="1843" w:type="dxa"/>
          </w:tcPr>
          <w:p w14:paraId="1482F7D1" w14:textId="4F351E3F" w:rsidR="005851EE" w:rsidRPr="007B4D77" w:rsidRDefault="007B4D77" w:rsidP="00757903">
            <w:pPr>
              <w:pStyle w:val="BodyText"/>
              <w:ind w:firstLine="0"/>
              <w:jc w:val="center"/>
              <w:rPr>
                <w:lang w:val="ru-RU"/>
              </w:rPr>
            </w:pPr>
            <w:r>
              <w:rPr>
                <w:lang w:val="ru-RU"/>
              </w:rPr>
              <w:t>2-3</w:t>
            </w:r>
          </w:p>
        </w:tc>
        <w:tc>
          <w:tcPr>
            <w:tcW w:w="1701" w:type="dxa"/>
          </w:tcPr>
          <w:p w14:paraId="7F69C4AB" w14:textId="418A0302" w:rsidR="005851EE" w:rsidRDefault="00C47AA5" w:rsidP="00757903">
            <w:pPr>
              <w:pStyle w:val="BodyText"/>
              <w:ind w:firstLine="0"/>
              <w:jc w:val="center"/>
            </w:pPr>
            <w:r>
              <w:t>14-43</w:t>
            </w:r>
          </w:p>
        </w:tc>
      </w:tr>
      <w:bookmarkEnd w:id="5"/>
    </w:tbl>
    <w:p w14:paraId="2C550DCF" w14:textId="77777777" w:rsidR="005851EE" w:rsidRDefault="005851EE" w:rsidP="00537496">
      <w:pPr>
        <w:pStyle w:val="BodyText"/>
      </w:pPr>
    </w:p>
    <w:p w14:paraId="2DA1F841" w14:textId="529C5345" w:rsidR="00D82444" w:rsidRDefault="00D82444" w:rsidP="00537496">
      <w:pPr>
        <w:pStyle w:val="BodyText"/>
      </w:pPr>
      <w:r>
        <w:lastRenderedPageBreak/>
        <w:t xml:space="preserve">It can be seen that </w:t>
      </w:r>
      <w:r w:rsidR="002F3F88">
        <w:t xml:space="preserve">the </w:t>
      </w:r>
      <w:r>
        <w:t>difference</w:t>
      </w:r>
      <w:r w:rsidRPr="00D82444">
        <w:t xml:space="preserve"> </w:t>
      </w:r>
      <w:r w:rsidR="002F3F88">
        <w:t xml:space="preserve">in </w:t>
      </w:r>
      <w:r>
        <w:t>e</w:t>
      </w:r>
      <w:r w:rsidRPr="00C47AA5">
        <w:t xml:space="preserve">lectricity generation </w:t>
      </w:r>
      <w:r>
        <w:t>prices in two regions of Russia can reach</w:t>
      </w:r>
      <w:r w:rsidRPr="00D82444">
        <w:rPr>
          <w:lang w:val="en-US"/>
        </w:rPr>
        <w:t xml:space="preserve"> </w:t>
      </w:r>
      <w:r>
        <w:rPr>
          <w:lang w:val="en-US"/>
        </w:rPr>
        <w:t>up to</w:t>
      </w:r>
      <w:r>
        <w:t xml:space="preserve"> 20 times.</w:t>
      </w:r>
      <w:r w:rsidRPr="00D82444">
        <w:rPr>
          <w:sz w:val="22"/>
        </w:rPr>
        <w:t xml:space="preserve"> </w:t>
      </w:r>
      <w:r w:rsidRPr="00D82444">
        <w:t>The cost of</w:t>
      </w:r>
      <w:r>
        <w:rPr>
          <w:sz w:val="22"/>
        </w:rPr>
        <w:t xml:space="preserve"> </w:t>
      </w:r>
      <w:r>
        <w:t>o</w:t>
      </w:r>
      <w:r w:rsidRPr="00D82444">
        <w:t>rganic fuel</w:t>
      </w:r>
      <w:r>
        <w:t xml:space="preserve"> </w:t>
      </w:r>
      <w:r w:rsidR="00D72BDA" w:rsidRPr="00D72BDA">
        <w:t xml:space="preserve">in </w:t>
      </w:r>
      <w:r w:rsidR="006F2B6F">
        <w:t>the cost of electricity generation is about half of the full cost of electricity</w:t>
      </w:r>
      <w:r w:rsidR="002F3F88" w:rsidRPr="002F3F88">
        <w:rPr>
          <w:sz w:val="22"/>
        </w:rPr>
        <w:t xml:space="preserve"> </w:t>
      </w:r>
      <w:r w:rsidR="002F3F88" w:rsidRPr="002F3F88">
        <w:t xml:space="preserve">for many regions of the country </w:t>
      </w:r>
      <w:r w:rsidR="002F3F88" w:rsidRPr="002F3F88">
        <w:rPr>
          <w:lang w:val="en-US"/>
        </w:rPr>
        <w:t xml:space="preserve">with </w:t>
      </w:r>
      <w:r w:rsidR="002F3F88" w:rsidRPr="002F3F88">
        <w:t>decentralized energy supply</w:t>
      </w:r>
      <w:r w:rsidR="006F2B6F">
        <w:t xml:space="preserve">. </w:t>
      </w:r>
      <w:r w:rsidR="006F2B6F">
        <w:rPr>
          <w:lang w:val="en-US"/>
        </w:rPr>
        <w:t>T</w:t>
      </w:r>
      <w:r w:rsidR="006F2B6F" w:rsidRPr="006F2B6F">
        <w:t xml:space="preserve">he state subsidizes the </w:t>
      </w:r>
      <w:r w:rsidR="006F2B6F">
        <w:t xml:space="preserve">main share of </w:t>
      </w:r>
      <w:r w:rsidR="006F2B6F">
        <w:rPr>
          <w:lang w:val="en-US"/>
        </w:rPr>
        <w:t xml:space="preserve">the power plants </w:t>
      </w:r>
      <w:r w:rsidR="006F2B6F">
        <w:t>expenses</w:t>
      </w:r>
      <w:r w:rsidR="00BA0CB5">
        <w:t>.</w:t>
      </w:r>
      <w:r w:rsidR="006F2B6F">
        <w:t xml:space="preserve"> </w:t>
      </w:r>
    </w:p>
    <w:p w14:paraId="26BED026" w14:textId="322636D7" w:rsidR="00D82444" w:rsidRPr="005F4F17" w:rsidRDefault="00BA0CB5" w:rsidP="005F4F17">
      <w:pPr>
        <w:pStyle w:val="BodyText"/>
        <w:rPr>
          <w:lang w:val="en-US"/>
        </w:rPr>
      </w:pPr>
      <w:r w:rsidRPr="00BA0CB5">
        <w:t>The course towards accelerated economic development of north</w:t>
      </w:r>
      <w:r w:rsidR="002F3F88">
        <w:t>-</w:t>
      </w:r>
      <w:r w:rsidRPr="00BA0CB5">
        <w:t>eastern regions of the country raised the question of autonomous energy supply for these regions</w:t>
      </w:r>
      <w:r>
        <w:t>.</w:t>
      </w:r>
      <w:r w:rsidRPr="00BA0CB5">
        <w:t xml:space="preserve"> </w:t>
      </w:r>
      <w:r w:rsidR="003333DB" w:rsidRPr="003333DB">
        <w:t xml:space="preserve">The only technology </w:t>
      </w:r>
      <w:r w:rsidR="003333DB" w:rsidRPr="003333DB">
        <w:rPr>
          <w:lang w:val="en-US"/>
        </w:rPr>
        <w:t>that can answer this question at present and in the near future is the light-water reactor technology, most likely PWR/VVER reactors with a steam turbine.</w:t>
      </w:r>
      <w:r w:rsidR="003333DB">
        <w:rPr>
          <w:lang w:val="en-US"/>
        </w:rPr>
        <w:t xml:space="preserve"> </w:t>
      </w:r>
      <w:r w:rsidR="003333DB">
        <w:t>SMRs of this</w:t>
      </w:r>
      <w:r w:rsidR="008D33A9">
        <w:t xml:space="preserve"> type are successfully </w:t>
      </w:r>
      <w:r w:rsidR="003333DB">
        <w:rPr>
          <w:lang w:val="en-US"/>
        </w:rPr>
        <w:t xml:space="preserve">operated </w:t>
      </w:r>
      <w:r w:rsidR="008D33A9">
        <w:t>as s</w:t>
      </w:r>
      <w:r w:rsidR="008D33A9" w:rsidRPr="008D33A9">
        <w:t>hipboard nuclear power facility</w:t>
      </w:r>
      <w:r w:rsidR="008D33A9">
        <w:t xml:space="preserve"> </w:t>
      </w:r>
      <w:r w:rsidR="00485067" w:rsidRPr="00485067">
        <w:t>in the naval and civil fleets</w:t>
      </w:r>
      <w:r w:rsidR="00485067">
        <w:rPr>
          <w:lang w:val="en-US"/>
        </w:rPr>
        <w:t>.</w:t>
      </w:r>
      <w:r w:rsidR="00485067" w:rsidRPr="00485067">
        <w:t xml:space="preserve"> </w:t>
      </w:r>
      <w:r w:rsidR="003333DB">
        <w:t>Twelve</w:t>
      </w:r>
      <w:r w:rsidRPr="00BA0CB5">
        <w:t xml:space="preserve"> nuclear icebreakers were designed </w:t>
      </w:r>
      <w:r w:rsidR="00485067">
        <w:t xml:space="preserve">and operated </w:t>
      </w:r>
      <w:r w:rsidRPr="00BA0CB5">
        <w:t>in the Soviet Union and Russia</w:t>
      </w:r>
      <w:r w:rsidR="00485067">
        <w:t>.</w:t>
      </w:r>
      <w:r w:rsidR="003333DB">
        <w:t xml:space="preserve"> Seven</w:t>
      </w:r>
      <w:r w:rsidRPr="00BA0CB5">
        <w:t xml:space="preserve"> of them are in service, </w:t>
      </w:r>
      <w:r w:rsidR="003333DB">
        <w:t>while</w:t>
      </w:r>
      <w:r w:rsidR="00485067">
        <w:t xml:space="preserve"> </w:t>
      </w:r>
      <w:r w:rsidRPr="00BA0CB5">
        <w:t xml:space="preserve">several </w:t>
      </w:r>
      <w:r w:rsidR="00485067">
        <w:t xml:space="preserve">more </w:t>
      </w:r>
      <w:r w:rsidRPr="00BA0CB5">
        <w:t>are under construction</w:t>
      </w:r>
      <w:r w:rsidR="00485067">
        <w:t>.</w:t>
      </w:r>
      <w:r w:rsidRPr="00BA0CB5">
        <w:t xml:space="preserve"> In 2010, the ‘Academic</w:t>
      </w:r>
      <w:r w:rsidR="003333DB">
        <w:t xml:space="preserve"> Lomonosov’ floating NPP (70 MW(</w:t>
      </w:r>
      <w:r w:rsidRPr="00BA0CB5">
        <w:t>e)</w:t>
      </w:r>
      <w:r w:rsidR="003333DB">
        <w:t>)</w:t>
      </w:r>
      <w:r w:rsidRPr="00BA0CB5">
        <w:t xml:space="preserve"> was launched, which became the northernmost NPP in the world</w:t>
      </w:r>
      <w:r w:rsidR="00485067">
        <w:t>.</w:t>
      </w:r>
      <w:r w:rsidRPr="00BA0CB5">
        <w:t xml:space="preserve"> A license was obtained to </w:t>
      </w:r>
      <w:r w:rsidR="003333DB">
        <w:t>construct</w:t>
      </w:r>
      <w:r w:rsidR="005F4F17">
        <w:t xml:space="preserve"> </w:t>
      </w:r>
      <w:r w:rsidRPr="00BA0CB5">
        <w:t xml:space="preserve">the first land-based small </w:t>
      </w:r>
      <w:r w:rsidR="005F4F17">
        <w:t xml:space="preserve">NPP </w:t>
      </w:r>
      <w:r w:rsidRPr="00BA0CB5">
        <w:t>in Yakutia</w:t>
      </w:r>
      <w:r w:rsidR="005F4F17">
        <w:t xml:space="preserve">. </w:t>
      </w:r>
      <w:r w:rsidR="005F4F17" w:rsidRPr="005F4F17">
        <w:t xml:space="preserve">Negotiations regarding construction </w:t>
      </w:r>
      <w:r w:rsidR="00F24190">
        <w:t xml:space="preserve">SMRs of Russian design </w:t>
      </w:r>
      <w:r w:rsidR="00F24190">
        <w:rPr>
          <w:lang w:val="en-US"/>
        </w:rPr>
        <w:t xml:space="preserve">for </w:t>
      </w:r>
      <w:r w:rsidR="00F24190">
        <w:t xml:space="preserve">small NPPs </w:t>
      </w:r>
      <w:r w:rsidR="005F4F17" w:rsidRPr="005F4F17">
        <w:t xml:space="preserve">are underway </w:t>
      </w:r>
      <w:r w:rsidR="00F24190">
        <w:t xml:space="preserve">with </w:t>
      </w:r>
      <w:r w:rsidR="005F4F17">
        <w:t>some countries of the world.</w:t>
      </w:r>
    </w:p>
    <w:p w14:paraId="426D8B7B" w14:textId="2EF14695" w:rsidR="00BA0CB5" w:rsidRDefault="003333DB" w:rsidP="00537496">
      <w:pPr>
        <w:pStyle w:val="BodyText"/>
      </w:pPr>
      <w:r>
        <w:t xml:space="preserve">However, </w:t>
      </w:r>
      <w:r w:rsidR="00BA0CB5" w:rsidRPr="00BA0CB5">
        <w:t>PWR</w:t>
      </w:r>
      <w:r>
        <w:t>-type reactors with a steam turbine have</w:t>
      </w:r>
      <w:r w:rsidR="00BA0CB5" w:rsidRPr="00BA0CB5">
        <w:t xml:space="preserve"> physical and technological featu</w:t>
      </w:r>
      <w:r>
        <w:t>res that to some extent limit their</w:t>
      </w:r>
      <w:r w:rsidR="00BA0CB5" w:rsidRPr="00BA0CB5">
        <w:t xml:space="preserve"> adapt</w:t>
      </w:r>
      <w:r w:rsidR="00F021F4">
        <w:t>ation</w:t>
      </w:r>
      <w:r w:rsidR="00BA0CB5" w:rsidRPr="00BA0CB5">
        <w:t xml:space="preserve"> to the specific conditions of remote, hard-to-reach regions with decentralized energy supply</w:t>
      </w:r>
      <w:r w:rsidR="00F021F4">
        <w:t>.</w:t>
      </w:r>
      <w:r w:rsidR="006A3DA5">
        <w:t xml:space="preserve"> </w:t>
      </w:r>
      <w:r w:rsidR="006A3DA5" w:rsidRPr="00BA0CB5">
        <w:t xml:space="preserve">Russian </w:t>
      </w:r>
      <w:r>
        <w:t xml:space="preserve">research </w:t>
      </w:r>
      <w:r w:rsidR="006A3DA5" w:rsidRPr="00BA0CB5">
        <w:t xml:space="preserve">and design organizations are developing tens of prospective designs of SMRs for small NPPs of PWR type based on </w:t>
      </w:r>
      <w:r w:rsidR="006A3DA5">
        <w:t xml:space="preserve">new technical </w:t>
      </w:r>
      <w:r w:rsidR="006A3DA5" w:rsidRPr="00BA0CB5">
        <w:t>solutions</w:t>
      </w:r>
      <w:r w:rsidR="006A3DA5">
        <w:t>.</w:t>
      </w:r>
    </w:p>
    <w:p w14:paraId="18E2EBEC" w14:textId="77777777" w:rsidR="00B378BD" w:rsidRPr="003333DB" w:rsidRDefault="00B378BD" w:rsidP="00305DA0">
      <w:pPr>
        <w:pStyle w:val="BodyText"/>
      </w:pPr>
    </w:p>
    <w:p w14:paraId="3ED0A305" w14:textId="754DEF66" w:rsidR="00B378BD" w:rsidRDefault="00B378BD" w:rsidP="00063AB2">
      <w:pPr>
        <w:pStyle w:val="BodyText"/>
        <w:tabs>
          <w:tab w:val="left" w:pos="567"/>
        </w:tabs>
        <w:ind w:left="567" w:hanging="567"/>
        <w:rPr>
          <w:lang w:val="en-US"/>
        </w:rPr>
      </w:pPr>
      <w:r w:rsidRPr="00B378BD">
        <w:rPr>
          <w:lang w:val="en-US"/>
        </w:rPr>
        <w:t xml:space="preserve">4. </w:t>
      </w:r>
      <w:r w:rsidR="00063AB2">
        <w:rPr>
          <w:lang w:val="en-US"/>
        </w:rPr>
        <w:tab/>
      </w:r>
      <w:r w:rsidRPr="00B378BD">
        <w:rPr>
          <w:lang w:val="en-US"/>
        </w:rPr>
        <w:t>R&amp;D ON GENERATION-IV SMR</w:t>
      </w:r>
      <w:r w:rsidR="00F3412D">
        <w:rPr>
          <w:lang w:val="en-US"/>
        </w:rPr>
        <w:t>s</w:t>
      </w:r>
      <w:r w:rsidRPr="00B378BD">
        <w:rPr>
          <w:lang w:val="en-US"/>
        </w:rPr>
        <w:t xml:space="preserve"> WITH METAL COOLANTS </w:t>
      </w:r>
    </w:p>
    <w:p w14:paraId="6B77C8C0" w14:textId="77777777" w:rsidR="00B378BD" w:rsidRDefault="00B378BD" w:rsidP="00305DA0">
      <w:pPr>
        <w:pStyle w:val="BodyText"/>
        <w:rPr>
          <w:lang w:val="en-US"/>
        </w:rPr>
      </w:pPr>
    </w:p>
    <w:p w14:paraId="482A4293" w14:textId="401DE8AE" w:rsidR="00305DA0" w:rsidRPr="00305DA0" w:rsidRDefault="006A3DA5" w:rsidP="00305DA0">
      <w:pPr>
        <w:pStyle w:val="BodyText"/>
        <w:rPr>
          <w:lang w:val="en-US"/>
        </w:rPr>
      </w:pPr>
      <w:r w:rsidRPr="006A3DA5">
        <w:rPr>
          <w:lang w:val="en-US"/>
        </w:rPr>
        <w:t xml:space="preserve">The focus of R&amp;D activities of the Institute for Physics and Power Engineering </w:t>
      </w:r>
      <w:r w:rsidR="0099298B">
        <w:rPr>
          <w:lang w:val="en-US"/>
        </w:rPr>
        <w:t xml:space="preserve">(IPPE) in the area of small reactors </w:t>
      </w:r>
      <w:r w:rsidRPr="006A3DA5">
        <w:rPr>
          <w:lang w:val="en-US"/>
        </w:rPr>
        <w:t>is SMRs with metal coolant</w:t>
      </w:r>
      <w:r>
        <w:rPr>
          <w:lang w:val="en-US"/>
        </w:rPr>
        <w:t xml:space="preserve">s. </w:t>
      </w:r>
      <w:r w:rsidR="00AB6865" w:rsidRPr="00AB6865">
        <w:rPr>
          <w:lang w:val="en-US"/>
        </w:rPr>
        <w:t xml:space="preserve">Despite Russia’s </w:t>
      </w:r>
      <w:r w:rsidR="00AB6865">
        <w:rPr>
          <w:lang w:val="en-US"/>
        </w:rPr>
        <w:t xml:space="preserve">scientific </w:t>
      </w:r>
      <w:r w:rsidR="00AB6865" w:rsidRPr="00AB6865">
        <w:rPr>
          <w:lang w:val="en-US"/>
        </w:rPr>
        <w:t xml:space="preserve">leadership in the creation and operation of fast reactors with sodium coolant, there is only one project </w:t>
      </w:r>
      <w:r w:rsidR="00AB6865">
        <w:rPr>
          <w:lang w:val="en-US"/>
        </w:rPr>
        <w:t xml:space="preserve">of small NPP </w:t>
      </w:r>
      <w:r w:rsidR="00AB6865" w:rsidRPr="00AB6865">
        <w:rPr>
          <w:lang w:val="en-US"/>
        </w:rPr>
        <w:t xml:space="preserve">with a fast sodium reactor - the BN GT-300 project proposed by </w:t>
      </w:r>
      <w:r w:rsidR="00AB6865">
        <w:rPr>
          <w:lang w:val="en-US"/>
        </w:rPr>
        <w:t xml:space="preserve">IPPE. </w:t>
      </w:r>
      <w:r w:rsidR="0099298B">
        <w:rPr>
          <w:lang w:val="en-US"/>
        </w:rPr>
        <w:t xml:space="preserve">The project has not demonstrated the break-through characteristics </w:t>
      </w:r>
      <w:r w:rsidR="00063AB2">
        <w:rPr>
          <w:lang w:val="en-US"/>
        </w:rPr>
        <w:t xml:space="preserve">required </w:t>
      </w:r>
      <w:r w:rsidR="0099298B">
        <w:rPr>
          <w:lang w:val="en-US"/>
        </w:rPr>
        <w:t>for the construction in the near prospect and</w:t>
      </w:r>
      <w:r w:rsidR="00063AB2">
        <w:rPr>
          <w:lang w:val="en-US"/>
        </w:rPr>
        <w:t xml:space="preserve"> is currently frozen. F</w:t>
      </w:r>
      <w:r w:rsidR="0099298B">
        <w:rPr>
          <w:lang w:val="en-US"/>
        </w:rPr>
        <w:t xml:space="preserve">or a long time </w:t>
      </w:r>
      <w:r w:rsidR="00063AB2" w:rsidRPr="00063AB2">
        <w:rPr>
          <w:lang w:val="en-US"/>
        </w:rPr>
        <w:t xml:space="preserve">IPPE </w:t>
      </w:r>
      <w:r w:rsidR="00063AB2">
        <w:rPr>
          <w:lang w:val="en-US"/>
        </w:rPr>
        <w:t xml:space="preserve">rendered a </w:t>
      </w:r>
      <w:r w:rsidRPr="006A3DA5">
        <w:rPr>
          <w:lang w:val="en-US"/>
        </w:rPr>
        <w:t>scientific supervision of the development of SVBR-100 multi-purpose modular fast reactor based on the experience in the development and operation of lead-bismuth cooled shipboard reactors</w:t>
      </w:r>
      <w:r>
        <w:rPr>
          <w:lang w:val="en-US"/>
        </w:rPr>
        <w:t>.</w:t>
      </w:r>
      <w:r w:rsidRPr="006A3DA5">
        <w:t xml:space="preserve"> </w:t>
      </w:r>
      <w:r w:rsidRPr="006A3DA5">
        <w:rPr>
          <w:lang w:val="en-US"/>
        </w:rPr>
        <w:t xml:space="preserve">The SVBR-100 meets the </w:t>
      </w:r>
      <w:r>
        <w:rPr>
          <w:lang w:val="en-US"/>
        </w:rPr>
        <w:t xml:space="preserve">safety </w:t>
      </w:r>
      <w:r w:rsidRPr="006A3DA5">
        <w:rPr>
          <w:lang w:val="en-US"/>
        </w:rPr>
        <w:t xml:space="preserve">requirements </w:t>
      </w:r>
      <w:r>
        <w:rPr>
          <w:lang w:val="en-US"/>
        </w:rPr>
        <w:t>of</w:t>
      </w:r>
      <w:r w:rsidR="00063AB2">
        <w:rPr>
          <w:lang w:val="en-US"/>
        </w:rPr>
        <w:t xml:space="preserve"> G</w:t>
      </w:r>
      <w:r w:rsidRPr="006A3DA5">
        <w:rPr>
          <w:lang w:val="en-US"/>
        </w:rPr>
        <w:t>eneration IV reactors</w:t>
      </w:r>
      <w:r w:rsidR="00305DA0">
        <w:rPr>
          <w:lang w:val="en-US"/>
        </w:rPr>
        <w:t>.</w:t>
      </w:r>
      <w:r w:rsidRPr="006A3DA5">
        <w:rPr>
          <w:lang w:val="en-US"/>
        </w:rPr>
        <w:t xml:space="preserve"> </w:t>
      </w:r>
      <w:r w:rsidR="00B378BD">
        <w:rPr>
          <w:lang w:val="en-US"/>
        </w:rPr>
        <w:t>T</w:t>
      </w:r>
      <w:r w:rsidR="00305DA0" w:rsidRPr="00305DA0">
        <w:rPr>
          <w:lang w:val="en-US"/>
        </w:rPr>
        <w:t xml:space="preserve">he </w:t>
      </w:r>
      <w:r w:rsidR="00B378BD">
        <w:rPr>
          <w:lang w:val="en-US"/>
        </w:rPr>
        <w:t xml:space="preserve">project of </w:t>
      </w:r>
      <w:r w:rsidR="00305DA0" w:rsidRPr="00305DA0">
        <w:rPr>
          <w:lang w:val="en-US"/>
        </w:rPr>
        <w:t>SVBR-100 reactor plant</w:t>
      </w:r>
      <w:r w:rsidR="00B378BD">
        <w:rPr>
          <w:lang w:val="en-US"/>
        </w:rPr>
        <w:t xml:space="preserve"> includes </w:t>
      </w:r>
      <w:r w:rsidR="00B378BD" w:rsidRPr="00B378BD">
        <w:rPr>
          <w:lang w:val="en-US"/>
        </w:rPr>
        <w:t xml:space="preserve">the following </w:t>
      </w:r>
      <w:r w:rsidR="00B378BD" w:rsidRPr="00305DA0">
        <w:rPr>
          <w:lang w:val="en-US"/>
        </w:rPr>
        <w:t xml:space="preserve">characteristic </w:t>
      </w:r>
      <w:r w:rsidR="00B378BD" w:rsidRPr="00B378BD">
        <w:rPr>
          <w:lang w:val="en-US"/>
        </w:rPr>
        <w:t>features</w:t>
      </w:r>
      <w:r w:rsidR="00305DA0" w:rsidRPr="00305DA0">
        <w:rPr>
          <w:lang w:val="en-US"/>
        </w:rPr>
        <w:t>:</w:t>
      </w:r>
    </w:p>
    <w:p w14:paraId="70B57D1B" w14:textId="56743114" w:rsidR="00305DA0" w:rsidRDefault="00305DA0" w:rsidP="00305DA0">
      <w:pPr>
        <w:pStyle w:val="BodyText"/>
        <w:numPr>
          <w:ilvl w:val="0"/>
          <w:numId w:val="33"/>
        </w:numPr>
        <w:rPr>
          <w:lang w:val="en-US"/>
        </w:rPr>
      </w:pPr>
      <w:bookmarkStart w:id="7" w:name="_Hlk170621434"/>
      <w:r>
        <w:rPr>
          <w:lang w:val="en-US"/>
        </w:rPr>
        <w:t>F</w:t>
      </w:r>
      <w:r w:rsidRPr="00305DA0">
        <w:rPr>
          <w:lang w:val="en-US"/>
        </w:rPr>
        <w:t>ast neutron</w:t>
      </w:r>
      <w:bookmarkEnd w:id="7"/>
      <w:r w:rsidRPr="00305DA0">
        <w:rPr>
          <w:lang w:val="en-US"/>
        </w:rPr>
        <w:t xml:space="preserve"> reactor with a chemically inert lead-bismuth coolant of the primary circuit;</w:t>
      </w:r>
    </w:p>
    <w:p w14:paraId="5D6D1864" w14:textId="77777777" w:rsidR="00305DA0" w:rsidRDefault="00305DA0" w:rsidP="00305DA0">
      <w:pPr>
        <w:pStyle w:val="BodyText"/>
        <w:numPr>
          <w:ilvl w:val="0"/>
          <w:numId w:val="33"/>
        </w:numPr>
        <w:rPr>
          <w:lang w:val="en-US"/>
        </w:rPr>
      </w:pPr>
      <w:r>
        <w:rPr>
          <w:lang w:val="en-US"/>
        </w:rPr>
        <w:t>I</w:t>
      </w:r>
      <w:r w:rsidRPr="00305DA0">
        <w:rPr>
          <w:lang w:val="en-US"/>
        </w:rPr>
        <w:t>ntegral reactor layout, in which all equipment</w:t>
      </w:r>
      <w:r>
        <w:rPr>
          <w:lang w:val="en-US"/>
        </w:rPr>
        <w:t xml:space="preserve"> of </w:t>
      </w:r>
      <w:r w:rsidRPr="00305DA0">
        <w:rPr>
          <w:lang w:val="en-US"/>
        </w:rPr>
        <w:t xml:space="preserve">the primary circuit is </w:t>
      </w:r>
      <w:r>
        <w:rPr>
          <w:lang w:val="en-US"/>
        </w:rPr>
        <w:t xml:space="preserve">placed </w:t>
      </w:r>
      <w:r w:rsidRPr="00305DA0">
        <w:rPr>
          <w:lang w:val="en-US"/>
        </w:rPr>
        <w:t>in a reactor vessel</w:t>
      </w:r>
      <w:r>
        <w:rPr>
          <w:lang w:val="en-US"/>
        </w:rPr>
        <w:t>;</w:t>
      </w:r>
    </w:p>
    <w:p w14:paraId="4D406A1F" w14:textId="428BAC40" w:rsidR="00305DA0" w:rsidRDefault="00305DA0" w:rsidP="00305DA0">
      <w:pPr>
        <w:pStyle w:val="BodyText"/>
        <w:numPr>
          <w:ilvl w:val="0"/>
          <w:numId w:val="33"/>
        </w:numPr>
        <w:rPr>
          <w:lang w:val="en-US"/>
        </w:rPr>
      </w:pPr>
      <w:r>
        <w:rPr>
          <w:lang w:val="en-US"/>
        </w:rPr>
        <w:t>D</w:t>
      </w:r>
      <w:r w:rsidRPr="00305DA0">
        <w:rPr>
          <w:lang w:val="en-US"/>
        </w:rPr>
        <w:t xml:space="preserve">ouble-circuit </w:t>
      </w:r>
      <w:r w:rsidR="00063AB2">
        <w:rPr>
          <w:lang w:val="en-US"/>
        </w:rPr>
        <w:t xml:space="preserve">scheme of </w:t>
      </w:r>
      <w:r w:rsidRPr="00305DA0">
        <w:rPr>
          <w:lang w:val="en-US"/>
        </w:rPr>
        <w:t>heat removal scheme from the core;</w:t>
      </w:r>
    </w:p>
    <w:p w14:paraId="57DCCD1D" w14:textId="78B3E2ED" w:rsidR="00305DA0" w:rsidRDefault="00305DA0" w:rsidP="00305DA0">
      <w:pPr>
        <w:pStyle w:val="BodyText"/>
        <w:numPr>
          <w:ilvl w:val="0"/>
          <w:numId w:val="33"/>
        </w:numPr>
        <w:rPr>
          <w:lang w:val="en-US"/>
        </w:rPr>
      </w:pPr>
      <w:r>
        <w:rPr>
          <w:lang w:val="en-US"/>
        </w:rPr>
        <w:t>N</w:t>
      </w:r>
      <w:r w:rsidRPr="00305DA0">
        <w:rPr>
          <w:lang w:val="en-US"/>
        </w:rPr>
        <w:t xml:space="preserve">atural circulation </w:t>
      </w:r>
      <w:r w:rsidR="00063AB2">
        <w:rPr>
          <w:lang w:val="en-US"/>
        </w:rPr>
        <w:t xml:space="preserve">of coolant in the primary and secondary circuits </w:t>
      </w:r>
      <w:r w:rsidRPr="00305DA0">
        <w:rPr>
          <w:lang w:val="en-US"/>
        </w:rPr>
        <w:t>of the reactor plant</w:t>
      </w:r>
      <w:r w:rsidR="00063AB2">
        <w:rPr>
          <w:lang w:val="en-US"/>
        </w:rPr>
        <w:t>,</w:t>
      </w:r>
      <w:r>
        <w:rPr>
          <w:lang w:val="en-US"/>
        </w:rPr>
        <w:t xml:space="preserve"> </w:t>
      </w:r>
      <w:r w:rsidRPr="00305DA0">
        <w:rPr>
          <w:lang w:val="en-US"/>
        </w:rPr>
        <w:t>sufficient for passive cooling of the reactor</w:t>
      </w:r>
      <w:r>
        <w:rPr>
          <w:lang w:val="en-US"/>
        </w:rPr>
        <w:t xml:space="preserve"> </w:t>
      </w:r>
      <w:r w:rsidRPr="00305DA0">
        <w:rPr>
          <w:lang w:val="en-US"/>
        </w:rPr>
        <w:t>without overheating of the core;</w:t>
      </w:r>
    </w:p>
    <w:p w14:paraId="4FC94FF3" w14:textId="77777777" w:rsidR="001413F3" w:rsidRDefault="00305DA0" w:rsidP="001413F3">
      <w:pPr>
        <w:pStyle w:val="BodyText"/>
        <w:numPr>
          <w:ilvl w:val="0"/>
          <w:numId w:val="33"/>
        </w:numPr>
        <w:rPr>
          <w:lang w:val="en-US"/>
        </w:rPr>
      </w:pPr>
      <w:r>
        <w:rPr>
          <w:lang w:val="en-US"/>
        </w:rPr>
        <w:t>S</w:t>
      </w:r>
      <w:r w:rsidRPr="00305DA0">
        <w:rPr>
          <w:lang w:val="en-US"/>
        </w:rPr>
        <w:t>ignificant reduction in the number of safety systems</w:t>
      </w:r>
      <w:r w:rsidR="001413F3">
        <w:rPr>
          <w:lang w:val="en-US"/>
        </w:rPr>
        <w:t xml:space="preserve"> in </w:t>
      </w:r>
      <w:r w:rsidRPr="001413F3">
        <w:rPr>
          <w:lang w:val="en-US"/>
        </w:rPr>
        <w:t>comparison with pressurized water reactors;</w:t>
      </w:r>
    </w:p>
    <w:p w14:paraId="0C9B5D5A" w14:textId="2815849A" w:rsidR="00305DA0" w:rsidRDefault="001413F3" w:rsidP="001413F3">
      <w:pPr>
        <w:pStyle w:val="BodyText"/>
        <w:numPr>
          <w:ilvl w:val="0"/>
          <w:numId w:val="33"/>
        </w:numPr>
        <w:rPr>
          <w:lang w:val="en-US"/>
        </w:rPr>
      </w:pPr>
      <w:r>
        <w:rPr>
          <w:lang w:val="en-US"/>
        </w:rPr>
        <w:t>T</w:t>
      </w:r>
      <w:r w:rsidR="00305DA0" w:rsidRPr="001413F3">
        <w:rPr>
          <w:lang w:val="en-US"/>
        </w:rPr>
        <w:t xml:space="preserve">he main components of the reactor </w:t>
      </w:r>
      <w:proofErr w:type="spellStart"/>
      <w:r w:rsidR="00305DA0" w:rsidRPr="001413F3">
        <w:rPr>
          <w:lang w:val="en-US"/>
        </w:rPr>
        <w:t>monoblock</w:t>
      </w:r>
      <w:proofErr w:type="spellEnd"/>
      <w:r w:rsidR="00305DA0" w:rsidRPr="001413F3">
        <w:rPr>
          <w:lang w:val="en-US"/>
        </w:rPr>
        <w:t xml:space="preserve"> and reactor plant are made in the form</w:t>
      </w:r>
      <w:r>
        <w:rPr>
          <w:lang w:val="en-US"/>
        </w:rPr>
        <w:t xml:space="preserve"> of </w:t>
      </w:r>
      <w:r w:rsidR="00305DA0" w:rsidRPr="001413F3">
        <w:rPr>
          <w:lang w:val="en-US"/>
        </w:rPr>
        <w:t>individual modules, which makes it possible to replace them and</w:t>
      </w:r>
      <w:r>
        <w:rPr>
          <w:lang w:val="en-US"/>
        </w:rPr>
        <w:t xml:space="preserve"> </w:t>
      </w:r>
      <w:r w:rsidR="00305DA0" w:rsidRPr="001413F3">
        <w:rPr>
          <w:lang w:val="en-US"/>
        </w:rPr>
        <w:t>repair</w:t>
      </w:r>
      <w:r w:rsidR="00063AB2">
        <w:rPr>
          <w:lang w:val="en-US"/>
        </w:rPr>
        <w:t>;</w:t>
      </w:r>
      <w:r>
        <w:rPr>
          <w:lang w:val="en-US"/>
        </w:rPr>
        <w:t xml:space="preserve"> and some other advanced solutions important for safety and economics</w:t>
      </w:r>
      <w:r w:rsidR="0047306C">
        <w:rPr>
          <w:lang w:val="en-US"/>
        </w:rPr>
        <w:t xml:space="preserve">. </w:t>
      </w:r>
    </w:p>
    <w:p w14:paraId="13F8D6D3" w14:textId="0AE6FF3A" w:rsidR="001413F3" w:rsidRPr="00FD282A" w:rsidRDefault="002A56AA" w:rsidP="00D826C1">
      <w:pPr>
        <w:pStyle w:val="BodyText"/>
        <w:rPr>
          <w:lang w:val="en-US"/>
        </w:rPr>
      </w:pPr>
      <w:r w:rsidRPr="002A56AA">
        <w:rPr>
          <w:lang w:val="en-US"/>
        </w:rPr>
        <w:t xml:space="preserve">All </w:t>
      </w:r>
      <w:r w:rsidR="00063AB2">
        <w:rPr>
          <w:lang w:val="en-US"/>
        </w:rPr>
        <w:t xml:space="preserve">the </w:t>
      </w:r>
      <w:r w:rsidRPr="002A56AA">
        <w:rPr>
          <w:lang w:val="en-US"/>
        </w:rPr>
        <w:t xml:space="preserve">documentation of the technical </w:t>
      </w:r>
      <w:r w:rsidR="00D826C1">
        <w:rPr>
          <w:lang w:val="en-US"/>
        </w:rPr>
        <w:t xml:space="preserve">reactor </w:t>
      </w:r>
      <w:r w:rsidRPr="002A56AA">
        <w:rPr>
          <w:lang w:val="en-US"/>
        </w:rPr>
        <w:t xml:space="preserve">design </w:t>
      </w:r>
      <w:r w:rsidR="00D826C1">
        <w:rPr>
          <w:lang w:val="en-US"/>
        </w:rPr>
        <w:t xml:space="preserve">has met </w:t>
      </w:r>
      <w:r w:rsidRPr="002A56AA">
        <w:rPr>
          <w:lang w:val="en-US"/>
        </w:rPr>
        <w:t>technological</w:t>
      </w:r>
      <w:r>
        <w:rPr>
          <w:lang w:val="en-US"/>
        </w:rPr>
        <w:t xml:space="preserve"> </w:t>
      </w:r>
      <w:r w:rsidRPr="002A56AA">
        <w:rPr>
          <w:lang w:val="en-US"/>
        </w:rPr>
        <w:t>control at potential</w:t>
      </w:r>
      <w:r w:rsidR="00D826C1">
        <w:rPr>
          <w:lang w:val="en-US"/>
        </w:rPr>
        <w:t xml:space="preserve"> </w:t>
      </w:r>
      <w:r w:rsidRPr="002A56AA">
        <w:rPr>
          <w:lang w:val="en-US"/>
        </w:rPr>
        <w:t>manufacturing enterprises with confirmation</w:t>
      </w:r>
      <w:r w:rsidR="000F6BB7">
        <w:rPr>
          <w:lang w:val="en-US"/>
        </w:rPr>
        <w:t xml:space="preserve"> of </w:t>
      </w:r>
      <w:r w:rsidR="00D826C1">
        <w:rPr>
          <w:lang w:val="en-US"/>
        </w:rPr>
        <w:t>readiness for</w:t>
      </w:r>
      <w:r w:rsidRPr="002A56AA">
        <w:rPr>
          <w:lang w:val="en-US"/>
        </w:rPr>
        <w:t xml:space="preserve"> production</w:t>
      </w:r>
      <w:r w:rsidR="000F6BB7">
        <w:rPr>
          <w:lang w:val="en-US"/>
        </w:rPr>
        <w:t xml:space="preserve">. </w:t>
      </w:r>
      <w:r w:rsidR="00272D0D">
        <w:rPr>
          <w:lang w:val="en-US"/>
        </w:rPr>
        <w:t xml:space="preserve">The </w:t>
      </w:r>
      <w:r w:rsidR="00D826C1">
        <w:rPr>
          <w:lang w:val="en-US"/>
        </w:rPr>
        <w:t>public-</w:t>
      </w:r>
      <w:r w:rsidR="00FD282A">
        <w:rPr>
          <w:lang w:val="en-US"/>
        </w:rPr>
        <w:t>p</w:t>
      </w:r>
      <w:r w:rsidR="00272D0D">
        <w:rPr>
          <w:lang w:val="en-US"/>
        </w:rPr>
        <w:t xml:space="preserve">rivate partnership </w:t>
      </w:r>
      <w:r w:rsidR="00D826C1">
        <w:rPr>
          <w:lang w:val="en-US"/>
        </w:rPr>
        <w:t xml:space="preserve">model </w:t>
      </w:r>
      <w:r w:rsidR="00272D0D">
        <w:rPr>
          <w:lang w:val="en-US"/>
        </w:rPr>
        <w:t xml:space="preserve">that was </w:t>
      </w:r>
      <w:r w:rsidR="00D826C1">
        <w:rPr>
          <w:lang w:val="en-US"/>
        </w:rPr>
        <w:t xml:space="preserve">tested </w:t>
      </w:r>
      <w:r w:rsidR="00FD282A">
        <w:rPr>
          <w:lang w:val="en-US"/>
        </w:rPr>
        <w:t xml:space="preserve">in </w:t>
      </w:r>
      <w:r w:rsidR="00D826C1">
        <w:rPr>
          <w:lang w:val="en-US"/>
        </w:rPr>
        <w:t xml:space="preserve">the course </w:t>
      </w:r>
      <w:r w:rsidR="00FD282A">
        <w:rPr>
          <w:lang w:val="en-US"/>
        </w:rPr>
        <w:t>of</w:t>
      </w:r>
      <w:r w:rsidR="00272D0D">
        <w:rPr>
          <w:lang w:val="en-US"/>
        </w:rPr>
        <w:t xml:space="preserve"> </w:t>
      </w:r>
      <w:r w:rsidR="00272D0D" w:rsidRPr="00305DA0">
        <w:rPr>
          <w:lang w:val="en-US"/>
        </w:rPr>
        <w:t xml:space="preserve">SVBR-100 </w:t>
      </w:r>
      <w:r w:rsidR="00272D0D">
        <w:rPr>
          <w:lang w:val="en-US"/>
        </w:rPr>
        <w:t>development assumed financi</w:t>
      </w:r>
      <w:r w:rsidR="00CD4142">
        <w:rPr>
          <w:lang w:val="en-US"/>
        </w:rPr>
        <w:t>al assistance</w:t>
      </w:r>
      <w:r w:rsidR="00272D0D">
        <w:rPr>
          <w:lang w:val="en-US"/>
        </w:rPr>
        <w:t xml:space="preserve"> from </w:t>
      </w:r>
      <w:r w:rsidR="00CD4142">
        <w:rPr>
          <w:lang w:val="en-US"/>
        </w:rPr>
        <w:t xml:space="preserve">a utility that was interested in </w:t>
      </w:r>
      <w:r w:rsidRPr="002A56AA">
        <w:rPr>
          <w:lang w:val="en-US"/>
        </w:rPr>
        <w:t>long-term,</w:t>
      </w:r>
      <w:r w:rsidR="00CD4142">
        <w:rPr>
          <w:lang w:val="en-US"/>
        </w:rPr>
        <w:t xml:space="preserve"> </w:t>
      </w:r>
      <w:r w:rsidRPr="002A56AA">
        <w:rPr>
          <w:lang w:val="en-US"/>
        </w:rPr>
        <w:t>reliable and affordable electricity</w:t>
      </w:r>
      <w:r w:rsidR="00CD4142">
        <w:rPr>
          <w:lang w:val="en-US"/>
        </w:rPr>
        <w:t xml:space="preserve"> </w:t>
      </w:r>
      <w:r w:rsidR="0047306C">
        <w:rPr>
          <w:lang w:val="en-US"/>
        </w:rPr>
        <w:t xml:space="preserve">supply </w:t>
      </w:r>
      <w:r w:rsidR="00CD4142">
        <w:rPr>
          <w:lang w:val="en-US"/>
        </w:rPr>
        <w:t xml:space="preserve">along with </w:t>
      </w:r>
      <w:r w:rsidRPr="002A56AA">
        <w:rPr>
          <w:lang w:val="en-US"/>
        </w:rPr>
        <w:t>reduc</w:t>
      </w:r>
      <w:r w:rsidR="00D826C1">
        <w:rPr>
          <w:lang w:val="en-US"/>
        </w:rPr>
        <w:t>tion of</w:t>
      </w:r>
      <w:r w:rsidRPr="002A56AA">
        <w:rPr>
          <w:lang w:val="en-US"/>
        </w:rPr>
        <w:t xml:space="preserve"> greenhouse gas emissions by at least 2.5 million tons</w:t>
      </w:r>
      <w:r w:rsidR="00CD4142">
        <w:rPr>
          <w:lang w:val="en-US"/>
        </w:rPr>
        <w:t xml:space="preserve"> </w:t>
      </w:r>
      <w:r w:rsidR="00D826C1">
        <w:rPr>
          <w:lang w:val="en-US"/>
        </w:rPr>
        <w:t xml:space="preserve">of </w:t>
      </w:r>
      <w:r w:rsidRPr="002A56AA">
        <w:rPr>
          <w:lang w:val="en-US"/>
        </w:rPr>
        <w:t>CO2 per year from 2026</w:t>
      </w:r>
      <w:r w:rsidR="00CD4142">
        <w:rPr>
          <w:lang w:val="en-US"/>
        </w:rPr>
        <w:t xml:space="preserve">. </w:t>
      </w:r>
      <w:r w:rsidR="00CD4142" w:rsidRPr="00CD4142">
        <w:rPr>
          <w:lang w:val="en-US"/>
        </w:rPr>
        <w:t xml:space="preserve">However, </w:t>
      </w:r>
      <w:r w:rsidR="00FD282A">
        <w:rPr>
          <w:lang w:val="en-US"/>
        </w:rPr>
        <w:t xml:space="preserve">the issues of </w:t>
      </w:r>
      <w:r w:rsidR="00CD4142" w:rsidRPr="00CD4142">
        <w:rPr>
          <w:lang w:val="en-US"/>
        </w:rPr>
        <w:t xml:space="preserve">interaction </w:t>
      </w:r>
      <w:r w:rsidR="0047306C">
        <w:rPr>
          <w:lang w:val="en-US"/>
        </w:rPr>
        <w:t xml:space="preserve">of state </w:t>
      </w:r>
      <w:r w:rsidR="00FD282A">
        <w:rPr>
          <w:lang w:val="en-US"/>
        </w:rPr>
        <w:t>and</w:t>
      </w:r>
      <w:r w:rsidR="0047306C">
        <w:rPr>
          <w:lang w:val="en-US"/>
        </w:rPr>
        <w:t xml:space="preserve"> private capital </w:t>
      </w:r>
      <w:r w:rsidR="00CD4142" w:rsidRPr="00CD4142">
        <w:rPr>
          <w:lang w:val="en-US"/>
        </w:rPr>
        <w:t xml:space="preserve">are new for Russian nuclear </w:t>
      </w:r>
      <w:r w:rsidR="008D7E89">
        <w:rPr>
          <w:lang w:val="en-US"/>
        </w:rPr>
        <w:t xml:space="preserve">business </w:t>
      </w:r>
      <w:r w:rsidR="00CD4142" w:rsidRPr="00CD4142">
        <w:rPr>
          <w:lang w:val="en-US"/>
        </w:rPr>
        <w:t xml:space="preserve">and the problems that have arisen </w:t>
      </w:r>
      <w:r w:rsidR="0047306C">
        <w:rPr>
          <w:lang w:val="en-US"/>
        </w:rPr>
        <w:t xml:space="preserve">are awaiting </w:t>
      </w:r>
      <w:r w:rsidR="008D7E89">
        <w:rPr>
          <w:lang w:val="en-US"/>
        </w:rPr>
        <w:t xml:space="preserve">their </w:t>
      </w:r>
      <w:r w:rsidR="0047306C">
        <w:rPr>
          <w:lang w:val="en-US"/>
        </w:rPr>
        <w:t>resolution</w:t>
      </w:r>
      <w:r w:rsidR="00CD4142" w:rsidRPr="00CD4142">
        <w:rPr>
          <w:lang w:val="en-US"/>
        </w:rPr>
        <w:t>.</w:t>
      </w:r>
    </w:p>
    <w:p w14:paraId="1DF0EFE1" w14:textId="2492F3C0" w:rsidR="0065571E" w:rsidRDefault="004B2FAE" w:rsidP="0065571E">
      <w:pPr>
        <w:pStyle w:val="BodyText"/>
        <w:rPr>
          <w:lang w:val="en-US"/>
        </w:rPr>
      </w:pPr>
      <w:r w:rsidRPr="004B2FAE">
        <w:rPr>
          <w:lang w:val="en-US"/>
        </w:rPr>
        <w:t xml:space="preserve">Recently, the concept of lead-bismuth reactors has been developed at IPPE with an orientation towards the specific conditions of the north-eastern regions of the country. In particular, the SVGT reactor </w:t>
      </w:r>
      <w:r>
        <w:rPr>
          <w:lang w:val="en-US"/>
        </w:rPr>
        <w:t>is being developed</w:t>
      </w:r>
      <w:r w:rsidRPr="004B2FAE">
        <w:rPr>
          <w:lang w:val="en-US"/>
        </w:rPr>
        <w:t xml:space="preserve"> </w:t>
      </w:r>
      <w:r w:rsidR="00A139DF" w:rsidRPr="00A139DF">
        <w:rPr>
          <w:lang w:val="en-US"/>
        </w:rPr>
        <w:t>with lead-bismuth coolant in the primary circuit and an open-cycle gas turbine converter in the second</w:t>
      </w:r>
      <w:r>
        <w:rPr>
          <w:lang w:val="en-US"/>
        </w:rPr>
        <w:t>ary circuit</w:t>
      </w:r>
      <w:r w:rsidR="00A139DF" w:rsidRPr="00A139DF">
        <w:rPr>
          <w:lang w:val="en-US"/>
        </w:rPr>
        <w:t>.</w:t>
      </w:r>
      <w:r w:rsidR="00A139DF">
        <w:rPr>
          <w:lang w:val="en-US"/>
        </w:rPr>
        <w:t xml:space="preserve"> </w:t>
      </w:r>
      <w:r w:rsidR="0065571E" w:rsidRPr="0065571E">
        <w:rPr>
          <w:lang w:val="en-US"/>
        </w:rPr>
        <w:t xml:space="preserve">The project </w:t>
      </w:r>
      <w:r>
        <w:rPr>
          <w:lang w:val="en-US"/>
        </w:rPr>
        <w:t xml:space="preserve">under development </w:t>
      </w:r>
      <w:r w:rsidR="0065571E" w:rsidRPr="0065571E">
        <w:rPr>
          <w:lang w:val="en-US"/>
        </w:rPr>
        <w:t xml:space="preserve">is based on the following basic </w:t>
      </w:r>
      <w:r w:rsidR="0065571E">
        <w:rPr>
          <w:lang w:val="en-US"/>
        </w:rPr>
        <w:t>provisions</w:t>
      </w:r>
      <w:r w:rsidR="0065571E" w:rsidRPr="0065571E">
        <w:rPr>
          <w:lang w:val="en-US"/>
        </w:rPr>
        <w:t>:</w:t>
      </w:r>
    </w:p>
    <w:p w14:paraId="3C6EA882" w14:textId="7A4F4075" w:rsidR="006E190C" w:rsidRDefault="0065571E" w:rsidP="006E190C">
      <w:pPr>
        <w:pStyle w:val="BodyText"/>
        <w:tabs>
          <w:tab w:val="left" w:pos="993"/>
        </w:tabs>
        <w:rPr>
          <w:lang w:val="en-US"/>
        </w:rPr>
      </w:pPr>
      <w:r w:rsidRPr="0065571E">
        <w:rPr>
          <w:lang w:val="en-US"/>
        </w:rPr>
        <w:t xml:space="preserve"> —</w:t>
      </w:r>
      <w:r w:rsidRPr="0065571E">
        <w:rPr>
          <w:lang w:val="en-US"/>
        </w:rPr>
        <w:tab/>
      </w:r>
      <w:r w:rsidR="004B2FAE">
        <w:rPr>
          <w:lang w:val="en-US"/>
        </w:rPr>
        <w:t xml:space="preserve">Operating </w:t>
      </w:r>
      <w:r w:rsidR="00FD282A" w:rsidRPr="00FD282A">
        <w:rPr>
          <w:lang w:val="en-US"/>
        </w:rPr>
        <w:t xml:space="preserve">experience </w:t>
      </w:r>
      <w:r w:rsidR="008261A6">
        <w:rPr>
          <w:lang w:val="en-US"/>
        </w:rPr>
        <w:t>i</w:t>
      </w:r>
      <w:r w:rsidR="00FD282A" w:rsidRPr="00FD282A">
        <w:rPr>
          <w:lang w:val="en-US"/>
        </w:rPr>
        <w:t>n nuclear submarines</w:t>
      </w:r>
      <w:r w:rsidR="006E190C">
        <w:rPr>
          <w:lang w:val="en-US"/>
        </w:rPr>
        <w:t xml:space="preserve">, </w:t>
      </w:r>
      <w:r w:rsidR="00FD282A" w:rsidRPr="00FD282A">
        <w:rPr>
          <w:lang w:val="en-US"/>
        </w:rPr>
        <w:t xml:space="preserve">developing the technical design of the SVBR-100 </w:t>
      </w:r>
      <w:r w:rsidR="006E190C">
        <w:rPr>
          <w:lang w:val="en-US"/>
        </w:rPr>
        <w:t xml:space="preserve">and </w:t>
      </w:r>
      <w:r w:rsidR="00FD282A" w:rsidRPr="00FD282A">
        <w:rPr>
          <w:lang w:val="en-US"/>
        </w:rPr>
        <w:t>developing and operati</w:t>
      </w:r>
      <w:r w:rsidR="008261A6">
        <w:rPr>
          <w:lang w:val="en-US"/>
        </w:rPr>
        <w:t>on</w:t>
      </w:r>
      <w:r w:rsidR="00FD282A" w:rsidRPr="00FD282A">
        <w:rPr>
          <w:lang w:val="en-US"/>
        </w:rPr>
        <w:t xml:space="preserve"> </w:t>
      </w:r>
      <w:r w:rsidR="008261A6">
        <w:rPr>
          <w:lang w:val="en-US"/>
        </w:rPr>
        <w:t xml:space="preserve">of the </w:t>
      </w:r>
      <w:r w:rsidR="00FD282A" w:rsidRPr="00FD282A">
        <w:rPr>
          <w:lang w:val="en-US"/>
        </w:rPr>
        <w:t>open-cycle aviation and marine gas turbine engines</w:t>
      </w:r>
      <w:r w:rsidR="006E190C">
        <w:rPr>
          <w:lang w:val="en-US"/>
        </w:rPr>
        <w:t>;</w:t>
      </w:r>
    </w:p>
    <w:p w14:paraId="3F12EC36" w14:textId="1F192751" w:rsidR="00491FAC" w:rsidRDefault="00FD282A" w:rsidP="00491FAC">
      <w:pPr>
        <w:pStyle w:val="BodyText"/>
        <w:numPr>
          <w:ilvl w:val="0"/>
          <w:numId w:val="33"/>
        </w:numPr>
        <w:tabs>
          <w:tab w:val="left" w:pos="615"/>
          <w:tab w:val="left" w:pos="993"/>
        </w:tabs>
        <w:ind w:left="0" w:firstLine="630"/>
        <w:rPr>
          <w:lang w:val="en-US"/>
        </w:rPr>
      </w:pPr>
      <w:r w:rsidRPr="00FD282A">
        <w:rPr>
          <w:lang w:val="en-US"/>
        </w:rPr>
        <w:lastRenderedPageBreak/>
        <w:t>Requirements aris</w:t>
      </w:r>
      <w:r w:rsidR="006E190C">
        <w:rPr>
          <w:lang w:val="en-US"/>
        </w:rPr>
        <w:t>ing</w:t>
      </w:r>
      <w:r w:rsidRPr="00FD282A">
        <w:rPr>
          <w:lang w:val="en-US"/>
        </w:rPr>
        <w:t xml:space="preserve"> from the conditions of the region where the</w:t>
      </w:r>
      <w:r w:rsidR="006E190C" w:rsidRPr="006E190C">
        <w:rPr>
          <w:lang w:val="en-US"/>
        </w:rPr>
        <w:t xml:space="preserve"> </w:t>
      </w:r>
      <w:r w:rsidR="006E190C">
        <w:rPr>
          <w:lang w:val="en-US"/>
        </w:rPr>
        <w:t>SMRs</w:t>
      </w:r>
      <w:r w:rsidRPr="00FD282A">
        <w:rPr>
          <w:lang w:val="en-US"/>
        </w:rPr>
        <w:t xml:space="preserve"> </w:t>
      </w:r>
      <w:r w:rsidR="006E190C">
        <w:rPr>
          <w:lang w:val="en-US"/>
        </w:rPr>
        <w:t xml:space="preserve">has to be </w:t>
      </w:r>
      <w:r w:rsidRPr="00FD282A">
        <w:rPr>
          <w:lang w:val="en-US"/>
        </w:rPr>
        <w:t>located</w:t>
      </w:r>
      <w:r w:rsidR="006E190C">
        <w:rPr>
          <w:lang w:val="en-US"/>
        </w:rPr>
        <w:t xml:space="preserve"> including </w:t>
      </w:r>
      <w:r w:rsidR="00491FAC">
        <w:rPr>
          <w:lang w:val="en-US"/>
        </w:rPr>
        <w:t>absence of</w:t>
      </w:r>
      <w:r w:rsidRPr="006E190C">
        <w:rPr>
          <w:lang w:val="en-US"/>
        </w:rPr>
        <w:t xml:space="preserve"> industrial infrastructure, ambient temperatures down to –70°C, </w:t>
      </w:r>
      <w:r w:rsidR="00491FAC">
        <w:rPr>
          <w:lang w:val="en-US"/>
        </w:rPr>
        <w:t xml:space="preserve">need for </w:t>
      </w:r>
      <w:r w:rsidRPr="006E190C">
        <w:rPr>
          <w:lang w:val="en-US"/>
        </w:rPr>
        <w:t>the generation of thermal energy for heating industrial facilities</w:t>
      </w:r>
      <w:r w:rsidR="00D003EA">
        <w:rPr>
          <w:lang w:val="en-US"/>
        </w:rPr>
        <w:t xml:space="preserve"> and residential areas</w:t>
      </w:r>
      <w:r w:rsidR="00491FAC">
        <w:rPr>
          <w:lang w:val="en-US"/>
        </w:rPr>
        <w:t>,</w:t>
      </w:r>
      <w:r w:rsidRPr="006E190C">
        <w:rPr>
          <w:lang w:val="en-US"/>
        </w:rPr>
        <w:t xml:space="preserve"> </w:t>
      </w:r>
      <w:r w:rsidR="008261A6">
        <w:rPr>
          <w:lang w:val="en-US"/>
        </w:rPr>
        <w:t xml:space="preserve">simple design, </w:t>
      </w:r>
      <w:r w:rsidR="00491FAC">
        <w:rPr>
          <w:lang w:val="en-US"/>
        </w:rPr>
        <w:t>etc.;</w:t>
      </w:r>
    </w:p>
    <w:p w14:paraId="6C3EE715" w14:textId="03F1C929" w:rsidR="00096B70" w:rsidRDefault="00096B70" w:rsidP="00096B70">
      <w:pPr>
        <w:pStyle w:val="BodyText"/>
        <w:numPr>
          <w:ilvl w:val="0"/>
          <w:numId w:val="33"/>
        </w:numPr>
        <w:tabs>
          <w:tab w:val="left" w:pos="615"/>
          <w:tab w:val="left" w:pos="993"/>
        </w:tabs>
        <w:rPr>
          <w:lang w:val="en-US"/>
        </w:rPr>
      </w:pPr>
      <w:r>
        <w:rPr>
          <w:lang w:val="en-US"/>
        </w:rPr>
        <w:t xml:space="preserve">The </w:t>
      </w:r>
      <w:r w:rsidRPr="00096B70">
        <w:rPr>
          <w:lang w:val="en-US"/>
        </w:rPr>
        <w:t>elimination of accidents with loss of coolant, meltdown of the core, explosions and fires due to internal causes</w:t>
      </w:r>
      <w:r>
        <w:rPr>
          <w:lang w:val="en-US"/>
        </w:rPr>
        <w:t>;</w:t>
      </w:r>
      <w:r w:rsidRPr="00096B70">
        <w:rPr>
          <w:lang w:val="en-US"/>
        </w:rPr>
        <w:t xml:space="preserve"> </w:t>
      </w:r>
    </w:p>
    <w:p w14:paraId="71AF482D" w14:textId="4433F28F" w:rsidR="008261A6" w:rsidRDefault="00FD282A" w:rsidP="00096B70">
      <w:pPr>
        <w:pStyle w:val="BodyText"/>
        <w:numPr>
          <w:ilvl w:val="0"/>
          <w:numId w:val="33"/>
        </w:numPr>
        <w:tabs>
          <w:tab w:val="left" w:pos="615"/>
          <w:tab w:val="left" w:pos="993"/>
        </w:tabs>
        <w:rPr>
          <w:lang w:val="en-US"/>
        </w:rPr>
      </w:pPr>
      <w:r w:rsidRPr="00491FAC">
        <w:rPr>
          <w:lang w:val="en-US"/>
        </w:rPr>
        <w:t xml:space="preserve">The duration of the campaign without on-site fuel reloading ensured for at least 15-20 years, transportation of the reactor with loaded fuel and coolant </w:t>
      </w:r>
      <w:r w:rsidR="008261A6">
        <w:rPr>
          <w:lang w:val="en-US"/>
        </w:rPr>
        <w:t xml:space="preserve">in a </w:t>
      </w:r>
      <w:r w:rsidR="008261A6" w:rsidRPr="008261A6">
        <w:rPr>
          <w:lang w:val="en-US"/>
        </w:rPr>
        <w:t xml:space="preserve">“frozen” </w:t>
      </w:r>
      <w:r w:rsidR="008261A6">
        <w:rPr>
          <w:lang w:val="en-US"/>
        </w:rPr>
        <w:t xml:space="preserve">state </w:t>
      </w:r>
      <w:r w:rsidRPr="00491FAC">
        <w:rPr>
          <w:lang w:val="en-US"/>
        </w:rPr>
        <w:t>to the placement site, relocation to another site and its removal at the end of its service life to the supplier plant along with the spent fuel</w:t>
      </w:r>
      <w:r w:rsidR="00491FAC">
        <w:rPr>
          <w:lang w:val="en-US"/>
        </w:rPr>
        <w:t>;</w:t>
      </w:r>
    </w:p>
    <w:p w14:paraId="693FAA2B" w14:textId="08F1375E" w:rsidR="001F7BD6" w:rsidRDefault="00FD282A" w:rsidP="001F7BD6">
      <w:pPr>
        <w:pStyle w:val="BodyText"/>
        <w:numPr>
          <w:ilvl w:val="0"/>
          <w:numId w:val="33"/>
        </w:numPr>
        <w:tabs>
          <w:tab w:val="left" w:pos="615"/>
          <w:tab w:val="left" w:pos="993"/>
        </w:tabs>
        <w:ind w:left="0" w:firstLine="630"/>
        <w:rPr>
          <w:lang w:val="en-US"/>
        </w:rPr>
      </w:pPr>
      <w:r w:rsidRPr="008261A6">
        <w:rPr>
          <w:lang w:val="en-US"/>
        </w:rPr>
        <w:t>The use of air as the working fluid of a gas turbine</w:t>
      </w:r>
      <w:r w:rsidR="00096B70">
        <w:rPr>
          <w:lang w:val="en-US"/>
        </w:rPr>
        <w:t>.</w:t>
      </w:r>
    </w:p>
    <w:p w14:paraId="3A8357A8" w14:textId="057154CB" w:rsidR="002D76CF" w:rsidRDefault="002D76CF" w:rsidP="002D76CF">
      <w:pPr>
        <w:pStyle w:val="BodyText"/>
        <w:tabs>
          <w:tab w:val="left" w:pos="993"/>
        </w:tabs>
        <w:ind w:firstLine="630"/>
        <w:rPr>
          <w:lang w:val="en-US"/>
        </w:rPr>
      </w:pPr>
      <w:r w:rsidRPr="002D76CF">
        <w:rPr>
          <w:lang w:val="en-US"/>
        </w:rPr>
        <w:t xml:space="preserve">Comparison of requirements for the development of lead-bismuth SMR SVGT with current characteristics of SMR VVER in Table 2 demonstrates possible improvement in some consumer properties that can be reached by the SVGT reactor. Further research should show whether the significant improvements in the consumer properties of the reactor SVGT indicated in the Table can be achieved in compliance with the main user requirement </w:t>
      </w:r>
      <w:r w:rsidRPr="002D76CF">
        <w:t xml:space="preserve">– acceptable economic characteristics not only in comparison with LWR, but also in relation to </w:t>
      </w:r>
      <w:bookmarkStart w:id="8" w:name="_Hlk170627461"/>
      <w:r w:rsidRPr="002D76CF">
        <w:t>other energy sources.</w:t>
      </w:r>
      <w:bookmarkEnd w:id="8"/>
    </w:p>
    <w:p w14:paraId="37D53882" w14:textId="1096BD1B" w:rsidR="00491FAC" w:rsidRDefault="00491FAC" w:rsidP="005B4236">
      <w:pPr>
        <w:pStyle w:val="BodyText"/>
        <w:tabs>
          <w:tab w:val="left" w:pos="615"/>
          <w:tab w:val="left" w:pos="993"/>
        </w:tabs>
        <w:ind w:left="630" w:firstLine="0"/>
        <w:rPr>
          <w:lang w:val="en-US"/>
        </w:rPr>
      </w:pPr>
    </w:p>
    <w:p w14:paraId="282B2532" w14:textId="0394DFD9" w:rsidR="002D76CF" w:rsidRDefault="00F3412D" w:rsidP="002D76CF">
      <w:pPr>
        <w:pStyle w:val="ListParagraph"/>
        <w:ind w:left="0"/>
        <w:rPr>
          <w:sz w:val="20"/>
          <w:lang w:val="en-US"/>
        </w:rPr>
      </w:pPr>
      <w:r w:rsidRPr="00F3412D">
        <w:rPr>
          <w:sz w:val="20"/>
          <w:lang w:val="en-US"/>
        </w:rPr>
        <w:t>TABLE 2.</w:t>
      </w:r>
      <w:r w:rsidRPr="00F3412D">
        <w:rPr>
          <w:sz w:val="20"/>
          <w:lang w:val="en-US"/>
        </w:rPr>
        <w:tab/>
      </w:r>
      <w:bookmarkStart w:id="9" w:name="_Hlk170623714"/>
      <w:r w:rsidRPr="00F3412D">
        <w:rPr>
          <w:sz w:val="20"/>
          <w:lang w:val="en-US"/>
        </w:rPr>
        <w:t xml:space="preserve">Comparison of characteristics of SMR VVER and requirements for the SMR SVGT </w:t>
      </w:r>
      <w:bookmarkEnd w:id="9"/>
    </w:p>
    <w:p w14:paraId="3DD53C6D" w14:textId="3CCBAA91" w:rsidR="002D76CF" w:rsidRDefault="008A4BE2" w:rsidP="002D76CF">
      <w:pPr>
        <w:pStyle w:val="BodyText"/>
        <w:ind w:firstLine="0"/>
      </w:pPr>
      <w:r>
        <w:rPr>
          <w:noProof/>
          <w:lang w:val="ru-RU" w:eastAsia="ru-RU"/>
        </w:rPr>
        <mc:AlternateContent>
          <mc:Choice Requires="wps">
            <w:drawing>
              <wp:anchor distT="0" distB="0" distL="114300" distR="114300" simplePos="0" relativeHeight="251664384" behindDoc="0" locked="0" layoutInCell="1" allowOverlap="1" wp14:anchorId="241E34F6" wp14:editId="1B98B078">
                <wp:simplePos x="0" y="0"/>
                <wp:positionH relativeFrom="column">
                  <wp:posOffset>3962400</wp:posOffset>
                </wp:positionH>
                <wp:positionV relativeFrom="paragraph">
                  <wp:posOffset>135710</wp:posOffset>
                </wp:positionV>
                <wp:extent cx="45719" cy="45719"/>
                <wp:effectExtent l="0" t="0" r="12065" b="0"/>
                <wp:wrapNone/>
                <wp:docPr id="863284382" name="Дуга 27"/>
                <wp:cNvGraphicFramePr/>
                <a:graphic xmlns:a="http://schemas.openxmlformats.org/drawingml/2006/main">
                  <a:graphicData uri="http://schemas.microsoft.com/office/word/2010/wordprocessingShape">
                    <wps:wsp>
                      <wps:cNvSpPr/>
                      <wps:spPr>
                        <a:xfrm>
                          <a:off x="0" y="0"/>
                          <a:ext cx="45719" cy="45719"/>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6F8896" id="Дуга 27" o:spid="_x0000_s1026" style="position:absolute;margin-left:312pt;margin-top:10.7pt;width:3.6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" path="m22859,nsc35484,,45719,10235,45719,22860r-22859,c22860,15240,22859,7620,22859,xem22859,nfc35484,,45719,10235,45719,22860e" filled="f" strokecolor="#4579b8 [3044]">
                <v:path arrowok="t" o:connecttype="custom" o:connectlocs="22859,0;45719,22860" o:connectangles="0,0"/>
              </v:shape>
            </w:pict>
          </mc:Fallback>
        </mc:AlternateContent>
      </w:r>
      <w:r w:rsidR="00F74A9D">
        <w:t xml:space="preserve"> </w:t>
      </w:r>
    </w:p>
    <w:tbl>
      <w:tblPr>
        <w:tblpPr w:leftFromText="180" w:rightFromText="180" w:vertAnchor="page" w:horzAnchor="margin" w:tblpY="631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1276"/>
        <w:gridCol w:w="1275"/>
      </w:tblGrid>
      <w:tr w:rsidR="00A0232E" w:rsidRPr="004D3E26" w14:paraId="07A9B726" w14:textId="77777777" w:rsidTr="00A0232E">
        <w:trPr>
          <w:trHeight w:val="20"/>
        </w:trPr>
        <w:tc>
          <w:tcPr>
            <w:tcW w:w="6516" w:type="dxa"/>
            <w:shd w:val="clear" w:color="auto" w:fill="auto"/>
            <w:tcMar>
              <w:top w:w="15" w:type="dxa"/>
              <w:left w:w="77" w:type="dxa"/>
              <w:bottom w:w="0" w:type="dxa"/>
              <w:right w:w="77" w:type="dxa"/>
            </w:tcMar>
            <w:vAlign w:val="center"/>
            <w:hideMark/>
          </w:tcPr>
          <w:p w14:paraId="11607ACE" w14:textId="77F955E0" w:rsidR="00A0232E" w:rsidRPr="004D3E26" w:rsidRDefault="00A0232E" w:rsidP="00A0232E">
            <w:pPr>
              <w:overflowPunct/>
              <w:autoSpaceDE/>
              <w:autoSpaceDN/>
              <w:adjustRightInd/>
              <w:textAlignment w:val="auto"/>
              <w:rPr>
                <w:sz w:val="20"/>
                <w:lang w:val="ru-RU" w:eastAsia="ru-RU"/>
              </w:rPr>
            </w:pPr>
            <w:r w:rsidRPr="004D3E26">
              <w:rPr>
                <w:kern w:val="24"/>
                <w:sz w:val="20"/>
                <w:lang w:val="en-US" w:eastAsia="ru-RU"/>
              </w:rPr>
              <w:t xml:space="preserve"> Characteristics / </w:t>
            </w:r>
            <w:r w:rsidR="009F6AB9">
              <w:rPr>
                <w:kern w:val="24"/>
                <w:sz w:val="20"/>
                <w:lang w:val="en-US" w:eastAsia="ru-RU"/>
              </w:rPr>
              <w:t xml:space="preserve">advanced </w:t>
            </w:r>
            <w:r w:rsidRPr="004D3E26">
              <w:rPr>
                <w:kern w:val="24"/>
                <w:sz w:val="20"/>
                <w:lang w:val="en-US" w:eastAsia="ru-RU"/>
              </w:rPr>
              <w:t>requirements</w:t>
            </w:r>
          </w:p>
        </w:tc>
        <w:tc>
          <w:tcPr>
            <w:tcW w:w="1276" w:type="dxa"/>
            <w:shd w:val="clear" w:color="auto" w:fill="auto"/>
            <w:tcMar>
              <w:top w:w="15" w:type="dxa"/>
              <w:left w:w="77" w:type="dxa"/>
              <w:bottom w:w="0" w:type="dxa"/>
              <w:right w:w="77" w:type="dxa"/>
            </w:tcMar>
            <w:vAlign w:val="center"/>
            <w:hideMark/>
          </w:tcPr>
          <w:p w14:paraId="3D53E117" w14:textId="77777777" w:rsidR="00A0232E" w:rsidRDefault="00A0232E" w:rsidP="00A0232E">
            <w:pPr>
              <w:overflowPunct/>
              <w:autoSpaceDE/>
              <w:autoSpaceDN/>
              <w:adjustRightInd/>
              <w:jc w:val="center"/>
              <w:textAlignment w:val="auto"/>
              <w:rPr>
                <w:kern w:val="24"/>
                <w:sz w:val="20"/>
                <w:lang w:val="en-US" w:eastAsia="ru-RU"/>
              </w:rPr>
            </w:pPr>
            <w:r w:rsidRPr="004D3E26">
              <w:rPr>
                <w:kern w:val="24"/>
                <w:sz w:val="20"/>
                <w:lang w:val="en-US" w:eastAsia="ru-RU"/>
              </w:rPr>
              <w:t xml:space="preserve">SMR </w:t>
            </w:r>
          </w:p>
          <w:p w14:paraId="55EF084B" w14:textId="77777777" w:rsidR="00A0232E" w:rsidRPr="004D3E26" w:rsidRDefault="00A0232E" w:rsidP="00A0232E">
            <w:pPr>
              <w:overflowPunct/>
              <w:autoSpaceDE/>
              <w:autoSpaceDN/>
              <w:adjustRightInd/>
              <w:jc w:val="center"/>
              <w:textAlignment w:val="auto"/>
              <w:rPr>
                <w:sz w:val="20"/>
                <w:lang w:val="ru-RU" w:eastAsia="ru-RU"/>
              </w:rPr>
            </w:pPr>
            <w:r>
              <w:rPr>
                <w:kern w:val="24"/>
                <w:sz w:val="20"/>
                <w:lang w:val="en-US" w:eastAsia="ru-RU"/>
              </w:rPr>
              <w:t>VVER</w:t>
            </w:r>
          </w:p>
        </w:tc>
        <w:tc>
          <w:tcPr>
            <w:tcW w:w="1275" w:type="dxa"/>
            <w:shd w:val="clear" w:color="auto" w:fill="auto"/>
            <w:tcMar>
              <w:top w:w="15" w:type="dxa"/>
              <w:left w:w="77" w:type="dxa"/>
              <w:bottom w:w="0" w:type="dxa"/>
              <w:right w:w="77" w:type="dxa"/>
            </w:tcMar>
            <w:vAlign w:val="center"/>
            <w:hideMark/>
          </w:tcPr>
          <w:p w14:paraId="4E1E1663" w14:textId="77777777" w:rsidR="00A0232E" w:rsidRDefault="00A0232E" w:rsidP="00A0232E">
            <w:pPr>
              <w:overflowPunct/>
              <w:autoSpaceDE/>
              <w:autoSpaceDN/>
              <w:adjustRightInd/>
              <w:jc w:val="center"/>
              <w:textAlignment w:val="auto"/>
              <w:rPr>
                <w:kern w:val="24"/>
                <w:sz w:val="20"/>
                <w:lang w:val="en-US" w:eastAsia="ru-RU"/>
              </w:rPr>
            </w:pPr>
            <w:r w:rsidRPr="004D3E26">
              <w:rPr>
                <w:kern w:val="24"/>
                <w:sz w:val="20"/>
                <w:lang w:val="en-US" w:eastAsia="ru-RU"/>
              </w:rPr>
              <w:t xml:space="preserve">SMR </w:t>
            </w:r>
          </w:p>
          <w:p w14:paraId="734DB871" w14:textId="77777777" w:rsidR="00A0232E" w:rsidRPr="004D3E26" w:rsidRDefault="00A0232E" w:rsidP="00A0232E">
            <w:pPr>
              <w:overflowPunct/>
              <w:autoSpaceDE/>
              <w:autoSpaceDN/>
              <w:adjustRightInd/>
              <w:jc w:val="center"/>
              <w:textAlignment w:val="auto"/>
              <w:rPr>
                <w:sz w:val="20"/>
                <w:lang w:val="ru-RU" w:eastAsia="ru-RU"/>
              </w:rPr>
            </w:pPr>
            <w:r>
              <w:rPr>
                <w:kern w:val="24"/>
                <w:sz w:val="20"/>
                <w:lang w:val="en-US" w:eastAsia="ru-RU"/>
              </w:rPr>
              <w:t>SVGT</w:t>
            </w:r>
          </w:p>
        </w:tc>
      </w:tr>
      <w:tr w:rsidR="00A0232E" w:rsidRPr="004D3E26" w14:paraId="40A6416E" w14:textId="77777777" w:rsidTr="00A0232E">
        <w:trPr>
          <w:trHeight w:val="20"/>
        </w:trPr>
        <w:tc>
          <w:tcPr>
            <w:tcW w:w="6516" w:type="dxa"/>
            <w:shd w:val="clear" w:color="auto" w:fill="auto"/>
            <w:tcMar>
              <w:top w:w="15" w:type="dxa"/>
              <w:left w:w="77" w:type="dxa"/>
              <w:bottom w:w="0" w:type="dxa"/>
              <w:right w:w="77" w:type="dxa"/>
            </w:tcMar>
            <w:vAlign w:val="center"/>
            <w:hideMark/>
          </w:tcPr>
          <w:p w14:paraId="14E3D618" w14:textId="77777777" w:rsidR="00A0232E" w:rsidRPr="004D3E26" w:rsidRDefault="00A0232E" w:rsidP="00A0232E">
            <w:pPr>
              <w:overflowPunct/>
              <w:autoSpaceDE/>
              <w:autoSpaceDN/>
              <w:adjustRightInd/>
              <w:textAlignment w:val="auto"/>
              <w:rPr>
                <w:sz w:val="20"/>
                <w:lang w:val="ru-RU" w:eastAsia="ru-RU"/>
              </w:rPr>
            </w:pPr>
            <w:r w:rsidRPr="004D3E26">
              <w:rPr>
                <w:kern w:val="24"/>
                <w:sz w:val="20"/>
                <w:lang w:val="en-US" w:eastAsia="ru-RU"/>
              </w:rPr>
              <w:t>Electrical power, MW</w:t>
            </w:r>
          </w:p>
        </w:tc>
        <w:tc>
          <w:tcPr>
            <w:tcW w:w="1276" w:type="dxa"/>
            <w:shd w:val="clear" w:color="auto" w:fill="auto"/>
            <w:tcMar>
              <w:top w:w="15" w:type="dxa"/>
              <w:left w:w="77" w:type="dxa"/>
              <w:bottom w:w="0" w:type="dxa"/>
              <w:right w:w="77" w:type="dxa"/>
            </w:tcMar>
            <w:vAlign w:val="center"/>
            <w:hideMark/>
          </w:tcPr>
          <w:p w14:paraId="03990D6C"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ru-RU" w:eastAsia="ru-RU"/>
              </w:rPr>
              <w:t>20-50</w:t>
            </w:r>
          </w:p>
        </w:tc>
        <w:tc>
          <w:tcPr>
            <w:tcW w:w="1275" w:type="dxa"/>
            <w:shd w:val="clear" w:color="auto" w:fill="auto"/>
            <w:tcMar>
              <w:top w:w="15" w:type="dxa"/>
              <w:left w:w="77" w:type="dxa"/>
              <w:bottom w:w="0" w:type="dxa"/>
              <w:right w:w="77" w:type="dxa"/>
            </w:tcMar>
            <w:vAlign w:val="center"/>
            <w:hideMark/>
          </w:tcPr>
          <w:p w14:paraId="21A48C47"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ru-RU" w:eastAsia="ru-RU"/>
              </w:rPr>
              <w:t>0</w:t>
            </w:r>
            <w:r>
              <w:rPr>
                <w:kern w:val="24"/>
                <w:sz w:val="20"/>
                <w:lang w:val="en-US" w:eastAsia="ru-RU"/>
              </w:rPr>
              <w:t>.</w:t>
            </w:r>
            <w:r w:rsidRPr="004D3E26">
              <w:rPr>
                <w:kern w:val="24"/>
                <w:sz w:val="20"/>
                <w:lang w:val="ru-RU" w:eastAsia="ru-RU"/>
              </w:rPr>
              <w:t>5-1</w:t>
            </w:r>
            <w:r>
              <w:rPr>
                <w:kern w:val="24"/>
                <w:sz w:val="20"/>
                <w:lang w:val="en-US" w:eastAsia="ru-RU"/>
              </w:rPr>
              <w:t>.</w:t>
            </w:r>
            <w:r w:rsidRPr="004D3E26">
              <w:rPr>
                <w:kern w:val="24"/>
                <w:sz w:val="20"/>
                <w:lang w:val="ru-RU" w:eastAsia="ru-RU"/>
              </w:rPr>
              <w:t>5</w:t>
            </w:r>
          </w:p>
        </w:tc>
      </w:tr>
      <w:tr w:rsidR="00A0232E" w:rsidRPr="004D3E26" w14:paraId="2E83EDC5" w14:textId="77777777" w:rsidTr="00A0232E">
        <w:trPr>
          <w:trHeight w:val="20"/>
        </w:trPr>
        <w:tc>
          <w:tcPr>
            <w:tcW w:w="6516" w:type="dxa"/>
            <w:shd w:val="clear" w:color="auto" w:fill="auto"/>
            <w:tcMar>
              <w:top w:w="15" w:type="dxa"/>
              <w:left w:w="77" w:type="dxa"/>
              <w:bottom w:w="0" w:type="dxa"/>
              <w:right w:w="77" w:type="dxa"/>
            </w:tcMar>
            <w:vAlign w:val="center"/>
            <w:hideMark/>
          </w:tcPr>
          <w:p w14:paraId="4528F74C" w14:textId="336057E7" w:rsidR="00A0232E" w:rsidRPr="004D3E26" w:rsidRDefault="00A0232E" w:rsidP="00A0232E">
            <w:pPr>
              <w:overflowPunct/>
              <w:autoSpaceDE/>
              <w:autoSpaceDN/>
              <w:adjustRightInd/>
              <w:textAlignment w:val="auto"/>
              <w:rPr>
                <w:sz w:val="20"/>
                <w:lang w:val="ru-RU" w:eastAsia="ru-RU"/>
              </w:rPr>
            </w:pPr>
            <w:r w:rsidRPr="004D3E26">
              <w:rPr>
                <w:kern w:val="24"/>
                <w:sz w:val="20"/>
                <w:lang w:val="en-US" w:eastAsia="ru-RU"/>
              </w:rPr>
              <w:t>A</w:t>
            </w:r>
            <w:r w:rsidR="009F6AB9">
              <w:rPr>
                <w:kern w:val="24"/>
                <w:sz w:val="20"/>
                <w:lang w:val="en-US" w:eastAsia="ru-RU"/>
              </w:rPr>
              <w:t xml:space="preserve">vailability of </w:t>
            </w:r>
            <w:r w:rsidRPr="004D3E26">
              <w:rPr>
                <w:kern w:val="24"/>
                <w:sz w:val="20"/>
                <w:lang w:val="en-US" w:eastAsia="ru-RU"/>
              </w:rPr>
              <w:t xml:space="preserve"> heating device</w:t>
            </w:r>
          </w:p>
        </w:tc>
        <w:tc>
          <w:tcPr>
            <w:tcW w:w="1276" w:type="dxa"/>
            <w:shd w:val="clear" w:color="auto" w:fill="auto"/>
            <w:tcMar>
              <w:top w:w="15" w:type="dxa"/>
              <w:left w:w="77" w:type="dxa"/>
              <w:bottom w:w="0" w:type="dxa"/>
              <w:right w:w="77" w:type="dxa"/>
            </w:tcMar>
            <w:vAlign w:val="center"/>
            <w:hideMark/>
          </w:tcPr>
          <w:p w14:paraId="4FA3EC62"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yes</w:t>
            </w:r>
          </w:p>
        </w:tc>
        <w:tc>
          <w:tcPr>
            <w:tcW w:w="1275" w:type="dxa"/>
            <w:shd w:val="clear" w:color="auto" w:fill="auto"/>
            <w:tcMar>
              <w:top w:w="15" w:type="dxa"/>
              <w:left w:w="77" w:type="dxa"/>
              <w:bottom w:w="0" w:type="dxa"/>
              <w:right w:w="77" w:type="dxa"/>
            </w:tcMar>
            <w:vAlign w:val="center"/>
            <w:hideMark/>
          </w:tcPr>
          <w:p w14:paraId="5EB05A45"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yes</w:t>
            </w:r>
          </w:p>
        </w:tc>
      </w:tr>
      <w:tr w:rsidR="00A0232E" w:rsidRPr="004D3E26" w14:paraId="7C65E29B" w14:textId="77777777" w:rsidTr="00A0232E">
        <w:trPr>
          <w:trHeight w:val="20"/>
        </w:trPr>
        <w:tc>
          <w:tcPr>
            <w:tcW w:w="6516" w:type="dxa"/>
            <w:shd w:val="clear" w:color="auto" w:fill="auto"/>
            <w:tcMar>
              <w:top w:w="15" w:type="dxa"/>
              <w:left w:w="77" w:type="dxa"/>
              <w:bottom w:w="0" w:type="dxa"/>
              <w:right w:w="77" w:type="dxa"/>
            </w:tcMar>
            <w:vAlign w:val="center"/>
            <w:hideMark/>
          </w:tcPr>
          <w:p w14:paraId="16457D34" w14:textId="4B4DCA73" w:rsidR="00A0232E" w:rsidRPr="004D3E26" w:rsidRDefault="009F6AB9" w:rsidP="009F6AB9">
            <w:pPr>
              <w:overflowPunct/>
              <w:autoSpaceDE/>
              <w:autoSpaceDN/>
              <w:adjustRightInd/>
              <w:textAlignment w:val="auto"/>
              <w:rPr>
                <w:sz w:val="20"/>
                <w:lang w:val="ru-RU" w:eastAsia="ru-RU"/>
              </w:rPr>
            </w:pPr>
            <w:r>
              <w:rPr>
                <w:kern w:val="24"/>
                <w:sz w:val="20"/>
                <w:lang w:val="en-US" w:eastAsia="ru-RU"/>
              </w:rPr>
              <w:t>F</w:t>
            </w:r>
            <w:r w:rsidR="00A0232E" w:rsidRPr="004D3E26">
              <w:rPr>
                <w:kern w:val="24"/>
                <w:sz w:val="20"/>
                <w:lang w:val="en-US" w:eastAsia="ru-RU"/>
              </w:rPr>
              <w:t>ull</w:t>
            </w:r>
            <w:r>
              <w:rPr>
                <w:kern w:val="24"/>
                <w:sz w:val="20"/>
                <w:lang w:val="en-US" w:eastAsia="ru-RU"/>
              </w:rPr>
              <w:t>y</w:t>
            </w:r>
            <w:r w:rsidR="00A0232E" w:rsidRPr="004D3E26">
              <w:rPr>
                <w:kern w:val="24"/>
                <w:sz w:val="20"/>
                <w:lang w:val="en-US" w:eastAsia="ru-RU"/>
              </w:rPr>
              <w:t xml:space="preserve"> factory </w:t>
            </w:r>
            <w:r>
              <w:rPr>
                <w:kern w:val="24"/>
                <w:sz w:val="20"/>
                <w:lang w:val="en-US" w:eastAsia="ru-RU"/>
              </w:rPr>
              <w:t>made</w:t>
            </w:r>
          </w:p>
        </w:tc>
        <w:tc>
          <w:tcPr>
            <w:tcW w:w="1276" w:type="dxa"/>
            <w:shd w:val="clear" w:color="auto" w:fill="auto"/>
            <w:tcMar>
              <w:top w:w="15" w:type="dxa"/>
              <w:left w:w="77" w:type="dxa"/>
              <w:bottom w:w="0" w:type="dxa"/>
              <w:right w:w="77" w:type="dxa"/>
            </w:tcMar>
            <w:vAlign w:val="center"/>
            <w:hideMark/>
          </w:tcPr>
          <w:p w14:paraId="02E0F72E"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no</w:t>
            </w:r>
          </w:p>
        </w:tc>
        <w:tc>
          <w:tcPr>
            <w:tcW w:w="1275" w:type="dxa"/>
            <w:shd w:val="clear" w:color="auto" w:fill="auto"/>
            <w:tcMar>
              <w:top w:w="15" w:type="dxa"/>
              <w:left w:w="77" w:type="dxa"/>
              <w:bottom w:w="0" w:type="dxa"/>
              <w:right w:w="77" w:type="dxa"/>
            </w:tcMar>
            <w:vAlign w:val="center"/>
            <w:hideMark/>
          </w:tcPr>
          <w:p w14:paraId="0B775789"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yes</w:t>
            </w:r>
          </w:p>
        </w:tc>
      </w:tr>
      <w:tr w:rsidR="00A0232E" w:rsidRPr="004D3E26" w14:paraId="15065130" w14:textId="77777777" w:rsidTr="00A0232E">
        <w:trPr>
          <w:trHeight w:val="20"/>
        </w:trPr>
        <w:tc>
          <w:tcPr>
            <w:tcW w:w="6516" w:type="dxa"/>
            <w:shd w:val="clear" w:color="auto" w:fill="auto"/>
            <w:tcMar>
              <w:top w:w="15" w:type="dxa"/>
              <w:left w:w="77" w:type="dxa"/>
              <w:bottom w:w="0" w:type="dxa"/>
              <w:right w:w="77" w:type="dxa"/>
            </w:tcMar>
            <w:vAlign w:val="center"/>
            <w:hideMark/>
          </w:tcPr>
          <w:p w14:paraId="6BB36236" w14:textId="77777777" w:rsidR="00A0232E" w:rsidRPr="004D3E26" w:rsidRDefault="00A0232E" w:rsidP="00A0232E">
            <w:pPr>
              <w:overflowPunct/>
              <w:autoSpaceDE/>
              <w:autoSpaceDN/>
              <w:adjustRightInd/>
              <w:textAlignment w:val="auto"/>
              <w:rPr>
                <w:sz w:val="20"/>
                <w:lang w:val="en-US" w:eastAsia="ru-RU"/>
              </w:rPr>
            </w:pPr>
            <w:r w:rsidRPr="004D3E26">
              <w:rPr>
                <w:kern w:val="24"/>
                <w:sz w:val="20"/>
                <w:lang w:val="en-US" w:eastAsia="ru-RU"/>
              </w:rPr>
              <w:t>Delivery to the site by road transport</w:t>
            </w:r>
          </w:p>
        </w:tc>
        <w:tc>
          <w:tcPr>
            <w:tcW w:w="1276" w:type="dxa"/>
            <w:shd w:val="clear" w:color="auto" w:fill="auto"/>
            <w:tcMar>
              <w:top w:w="15" w:type="dxa"/>
              <w:left w:w="77" w:type="dxa"/>
              <w:bottom w:w="0" w:type="dxa"/>
              <w:right w:w="77" w:type="dxa"/>
            </w:tcMar>
            <w:vAlign w:val="center"/>
            <w:hideMark/>
          </w:tcPr>
          <w:p w14:paraId="5BCBA3BB"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no</w:t>
            </w:r>
          </w:p>
        </w:tc>
        <w:tc>
          <w:tcPr>
            <w:tcW w:w="1275" w:type="dxa"/>
            <w:shd w:val="clear" w:color="auto" w:fill="auto"/>
            <w:tcMar>
              <w:top w:w="15" w:type="dxa"/>
              <w:left w:w="77" w:type="dxa"/>
              <w:bottom w:w="0" w:type="dxa"/>
              <w:right w:w="77" w:type="dxa"/>
            </w:tcMar>
            <w:vAlign w:val="center"/>
            <w:hideMark/>
          </w:tcPr>
          <w:p w14:paraId="2E552F5A"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yes</w:t>
            </w:r>
          </w:p>
        </w:tc>
      </w:tr>
      <w:tr w:rsidR="00A0232E" w:rsidRPr="004D3E26" w14:paraId="42752BB2" w14:textId="77777777" w:rsidTr="00A0232E">
        <w:trPr>
          <w:trHeight w:val="20"/>
        </w:trPr>
        <w:tc>
          <w:tcPr>
            <w:tcW w:w="6516" w:type="dxa"/>
            <w:shd w:val="clear" w:color="auto" w:fill="auto"/>
            <w:tcMar>
              <w:top w:w="15" w:type="dxa"/>
              <w:left w:w="77" w:type="dxa"/>
              <w:bottom w:w="0" w:type="dxa"/>
              <w:right w:w="77" w:type="dxa"/>
            </w:tcMar>
            <w:vAlign w:val="center"/>
            <w:hideMark/>
          </w:tcPr>
          <w:p w14:paraId="2E654879" w14:textId="77777777" w:rsidR="00A0232E" w:rsidRPr="004D3E26" w:rsidRDefault="00A0232E" w:rsidP="00A0232E">
            <w:pPr>
              <w:overflowPunct/>
              <w:autoSpaceDE/>
              <w:autoSpaceDN/>
              <w:adjustRightInd/>
              <w:textAlignment w:val="auto"/>
              <w:rPr>
                <w:sz w:val="20"/>
                <w:lang w:val="en-US" w:eastAsia="ru-RU"/>
              </w:rPr>
            </w:pPr>
            <w:r w:rsidRPr="004D3E26">
              <w:rPr>
                <w:kern w:val="24"/>
                <w:sz w:val="20"/>
                <w:lang w:val="en-US" w:eastAsia="ru-RU"/>
              </w:rPr>
              <w:t>Loss of coolant accident possibility</w:t>
            </w:r>
          </w:p>
        </w:tc>
        <w:tc>
          <w:tcPr>
            <w:tcW w:w="1276" w:type="dxa"/>
            <w:shd w:val="clear" w:color="auto" w:fill="auto"/>
            <w:tcMar>
              <w:top w:w="15" w:type="dxa"/>
              <w:left w:w="77" w:type="dxa"/>
              <w:bottom w:w="0" w:type="dxa"/>
              <w:right w:w="77" w:type="dxa"/>
            </w:tcMar>
            <w:vAlign w:val="center"/>
            <w:hideMark/>
          </w:tcPr>
          <w:p w14:paraId="7E9A1FF9"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yes</w:t>
            </w:r>
          </w:p>
        </w:tc>
        <w:tc>
          <w:tcPr>
            <w:tcW w:w="1275" w:type="dxa"/>
            <w:shd w:val="clear" w:color="auto" w:fill="auto"/>
            <w:tcMar>
              <w:top w:w="15" w:type="dxa"/>
              <w:left w:w="77" w:type="dxa"/>
              <w:bottom w:w="0" w:type="dxa"/>
              <w:right w:w="77" w:type="dxa"/>
            </w:tcMar>
            <w:vAlign w:val="center"/>
            <w:hideMark/>
          </w:tcPr>
          <w:p w14:paraId="79C98160"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no</w:t>
            </w:r>
          </w:p>
        </w:tc>
      </w:tr>
      <w:tr w:rsidR="00A0232E" w:rsidRPr="004D3E26" w14:paraId="73BD26DC" w14:textId="77777777" w:rsidTr="00A0232E">
        <w:trPr>
          <w:trHeight w:val="20"/>
        </w:trPr>
        <w:tc>
          <w:tcPr>
            <w:tcW w:w="6516" w:type="dxa"/>
            <w:shd w:val="clear" w:color="auto" w:fill="auto"/>
            <w:tcMar>
              <w:top w:w="15" w:type="dxa"/>
              <w:left w:w="77" w:type="dxa"/>
              <w:bottom w:w="0" w:type="dxa"/>
              <w:right w:w="77" w:type="dxa"/>
            </w:tcMar>
            <w:vAlign w:val="center"/>
            <w:hideMark/>
          </w:tcPr>
          <w:p w14:paraId="241A3431" w14:textId="77777777" w:rsidR="00A0232E" w:rsidRPr="004D3E26" w:rsidRDefault="00A0232E" w:rsidP="00A0232E">
            <w:pPr>
              <w:overflowPunct/>
              <w:autoSpaceDE/>
              <w:autoSpaceDN/>
              <w:adjustRightInd/>
              <w:textAlignment w:val="auto"/>
              <w:rPr>
                <w:sz w:val="20"/>
                <w:lang w:val="en-US" w:eastAsia="ru-RU"/>
              </w:rPr>
            </w:pPr>
            <w:r w:rsidRPr="004D3E26">
              <w:rPr>
                <w:kern w:val="24"/>
                <w:sz w:val="20"/>
                <w:lang w:val="en-US" w:eastAsia="ru-RU"/>
              </w:rPr>
              <w:t>Generation of liquid radioactive waste during operation</w:t>
            </w:r>
          </w:p>
        </w:tc>
        <w:tc>
          <w:tcPr>
            <w:tcW w:w="1276" w:type="dxa"/>
            <w:shd w:val="clear" w:color="auto" w:fill="auto"/>
            <w:tcMar>
              <w:top w:w="15" w:type="dxa"/>
              <w:left w:w="77" w:type="dxa"/>
              <w:bottom w:w="0" w:type="dxa"/>
              <w:right w:w="77" w:type="dxa"/>
            </w:tcMar>
            <w:vAlign w:val="center"/>
            <w:hideMark/>
          </w:tcPr>
          <w:p w14:paraId="1C50FE31"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yes</w:t>
            </w:r>
          </w:p>
        </w:tc>
        <w:tc>
          <w:tcPr>
            <w:tcW w:w="1275" w:type="dxa"/>
            <w:shd w:val="clear" w:color="auto" w:fill="auto"/>
            <w:tcMar>
              <w:top w:w="15" w:type="dxa"/>
              <w:left w:w="77" w:type="dxa"/>
              <w:bottom w:w="0" w:type="dxa"/>
              <w:right w:w="77" w:type="dxa"/>
            </w:tcMar>
            <w:vAlign w:val="center"/>
            <w:hideMark/>
          </w:tcPr>
          <w:p w14:paraId="6A344EBA"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no</w:t>
            </w:r>
          </w:p>
        </w:tc>
      </w:tr>
      <w:tr w:rsidR="00A0232E" w:rsidRPr="004D3E26" w14:paraId="316EDECF" w14:textId="77777777" w:rsidTr="00A0232E">
        <w:trPr>
          <w:trHeight w:val="20"/>
        </w:trPr>
        <w:tc>
          <w:tcPr>
            <w:tcW w:w="6516" w:type="dxa"/>
            <w:shd w:val="clear" w:color="auto" w:fill="auto"/>
            <w:tcMar>
              <w:top w:w="15" w:type="dxa"/>
              <w:left w:w="77" w:type="dxa"/>
              <w:bottom w:w="0" w:type="dxa"/>
              <w:right w:w="77" w:type="dxa"/>
            </w:tcMar>
            <w:vAlign w:val="center"/>
            <w:hideMark/>
          </w:tcPr>
          <w:p w14:paraId="3A88B857" w14:textId="77777777" w:rsidR="00A0232E" w:rsidRPr="004D3E26" w:rsidRDefault="00A0232E" w:rsidP="00A0232E">
            <w:pPr>
              <w:overflowPunct/>
              <w:autoSpaceDE/>
              <w:autoSpaceDN/>
              <w:adjustRightInd/>
              <w:textAlignment w:val="auto"/>
              <w:rPr>
                <w:sz w:val="20"/>
                <w:lang w:val="en-US" w:eastAsia="ru-RU"/>
              </w:rPr>
            </w:pPr>
            <w:r w:rsidRPr="004D3E26">
              <w:rPr>
                <w:kern w:val="24"/>
                <w:sz w:val="20"/>
                <w:lang w:val="en-US" w:eastAsia="ru-RU"/>
              </w:rPr>
              <w:t>Safe transportation of the reactor loaded with fuel and coolant</w:t>
            </w:r>
          </w:p>
        </w:tc>
        <w:tc>
          <w:tcPr>
            <w:tcW w:w="1276" w:type="dxa"/>
            <w:shd w:val="clear" w:color="auto" w:fill="auto"/>
            <w:tcMar>
              <w:top w:w="15" w:type="dxa"/>
              <w:left w:w="77" w:type="dxa"/>
              <w:bottom w:w="0" w:type="dxa"/>
              <w:right w:w="77" w:type="dxa"/>
            </w:tcMar>
            <w:vAlign w:val="center"/>
            <w:hideMark/>
          </w:tcPr>
          <w:p w14:paraId="2A14A32B"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no</w:t>
            </w:r>
          </w:p>
        </w:tc>
        <w:tc>
          <w:tcPr>
            <w:tcW w:w="1275" w:type="dxa"/>
            <w:shd w:val="clear" w:color="auto" w:fill="auto"/>
            <w:tcMar>
              <w:top w:w="15" w:type="dxa"/>
              <w:left w:w="77" w:type="dxa"/>
              <w:bottom w:w="0" w:type="dxa"/>
              <w:right w:w="77" w:type="dxa"/>
            </w:tcMar>
            <w:vAlign w:val="center"/>
            <w:hideMark/>
          </w:tcPr>
          <w:p w14:paraId="74C47FFC"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yes</w:t>
            </w:r>
          </w:p>
        </w:tc>
      </w:tr>
      <w:tr w:rsidR="00A0232E" w:rsidRPr="004D3E26" w14:paraId="1769148A" w14:textId="77777777" w:rsidTr="00A0232E">
        <w:trPr>
          <w:trHeight w:val="20"/>
        </w:trPr>
        <w:tc>
          <w:tcPr>
            <w:tcW w:w="6516" w:type="dxa"/>
            <w:shd w:val="clear" w:color="auto" w:fill="auto"/>
            <w:tcMar>
              <w:top w:w="15" w:type="dxa"/>
              <w:left w:w="77" w:type="dxa"/>
              <w:bottom w:w="0" w:type="dxa"/>
              <w:right w:w="77" w:type="dxa"/>
            </w:tcMar>
            <w:vAlign w:val="center"/>
            <w:hideMark/>
          </w:tcPr>
          <w:p w14:paraId="05667336" w14:textId="7F23316A" w:rsidR="00A0232E" w:rsidRPr="009F6AB9" w:rsidRDefault="009F6AB9" w:rsidP="009F6AB9">
            <w:pPr>
              <w:overflowPunct/>
              <w:autoSpaceDE/>
              <w:autoSpaceDN/>
              <w:adjustRightInd/>
              <w:textAlignment w:val="auto"/>
              <w:rPr>
                <w:sz w:val="20"/>
                <w:lang w:val="en-US" w:eastAsia="ru-RU"/>
              </w:rPr>
            </w:pPr>
            <w:r>
              <w:rPr>
                <w:kern w:val="24"/>
                <w:sz w:val="20"/>
                <w:lang w:val="en-US" w:eastAsia="ru-RU"/>
              </w:rPr>
              <w:t xml:space="preserve">Service life </w:t>
            </w:r>
            <w:r w:rsidR="00A0232E" w:rsidRPr="004D3E26">
              <w:rPr>
                <w:kern w:val="24"/>
                <w:sz w:val="20"/>
                <w:lang w:val="en-US" w:eastAsia="ru-RU"/>
              </w:rPr>
              <w:t xml:space="preserve">without </w:t>
            </w:r>
            <w:r>
              <w:rPr>
                <w:kern w:val="24"/>
                <w:sz w:val="20"/>
                <w:lang w:val="en-US" w:eastAsia="ru-RU"/>
              </w:rPr>
              <w:t>re</w:t>
            </w:r>
            <w:r w:rsidR="00A0232E" w:rsidRPr="004D3E26">
              <w:rPr>
                <w:kern w:val="24"/>
                <w:sz w:val="20"/>
                <w:lang w:val="en-US" w:eastAsia="ru-RU"/>
              </w:rPr>
              <w:t>fuel</w:t>
            </w:r>
            <w:r>
              <w:rPr>
                <w:kern w:val="24"/>
                <w:sz w:val="20"/>
                <w:lang w:val="en-US" w:eastAsia="ru-RU"/>
              </w:rPr>
              <w:t>ing</w:t>
            </w:r>
          </w:p>
        </w:tc>
        <w:tc>
          <w:tcPr>
            <w:tcW w:w="1276" w:type="dxa"/>
            <w:shd w:val="clear" w:color="auto" w:fill="auto"/>
            <w:tcMar>
              <w:top w:w="15" w:type="dxa"/>
              <w:left w:w="77" w:type="dxa"/>
              <w:bottom w:w="0" w:type="dxa"/>
              <w:right w:w="77" w:type="dxa"/>
            </w:tcMar>
            <w:vAlign w:val="center"/>
            <w:hideMark/>
          </w:tcPr>
          <w:p w14:paraId="465E8116"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ru-RU" w:eastAsia="ru-RU"/>
              </w:rPr>
              <w:t xml:space="preserve">5 </w:t>
            </w:r>
            <w:r w:rsidRPr="004D3E26">
              <w:rPr>
                <w:kern w:val="24"/>
                <w:sz w:val="20"/>
                <w:lang w:val="en-US" w:eastAsia="ru-RU"/>
              </w:rPr>
              <w:t>years</w:t>
            </w:r>
          </w:p>
        </w:tc>
        <w:tc>
          <w:tcPr>
            <w:tcW w:w="1275" w:type="dxa"/>
            <w:shd w:val="clear" w:color="auto" w:fill="auto"/>
            <w:tcMar>
              <w:top w:w="15" w:type="dxa"/>
              <w:left w:w="77" w:type="dxa"/>
              <w:bottom w:w="0" w:type="dxa"/>
              <w:right w:w="77" w:type="dxa"/>
            </w:tcMar>
            <w:vAlign w:val="center"/>
            <w:hideMark/>
          </w:tcPr>
          <w:p w14:paraId="328AF1C0"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ru-RU" w:eastAsia="ru-RU"/>
              </w:rPr>
              <w:t xml:space="preserve">20 </w:t>
            </w:r>
            <w:r w:rsidRPr="004D3E26">
              <w:rPr>
                <w:kern w:val="24"/>
                <w:sz w:val="20"/>
                <w:lang w:val="en-US" w:eastAsia="ru-RU"/>
              </w:rPr>
              <w:t>years</w:t>
            </w:r>
          </w:p>
        </w:tc>
      </w:tr>
      <w:tr w:rsidR="00A0232E" w:rsidRPr="004D3E26" w14:paraId="44D46987" w14:textId="77777777" w:rsidTr="00A0232E">
        <w:trPr>
          <w:trHeight w:val="20"/>
        </w:trPr>
        <w:tc>
          <w:tcPr>
            <w:tcW w:w="6516" w:type="dxa"/>
            <w:shd w:val="clear" w:color="auto" w:fill="auto"/>
            <w:tcMar>
              <w:top w:w="15" w:type="dxa"/>
              <w:left w:w="77" w:type="dxa"/>
              <w:bottom w:w="0" w:type="dxa"/>
              <w:right w:w="77" w:type="dxa"/>
            </w:tcMar>
            <w:vAlign w:val="center"/>
            <w:hideMark/>
          </w:tcPr>
          <w:p w14:paraId="3545B80B" w14:textId="36589399" w:rsidR="00A0232E" w:rsidRPr="004D3E26" w:rsidRDefault="009F6AB9" w:rsidP="00A0232E">
            <w:pPr>
              <w:overflowPunct/>
              <w:autoSpaceDE/>
              <w:autoSpaceDN/>
              <w:adjustRightInd/>
              <w:textAlignment w:val="auto"/>
              <w:rPr>
                <w:sz w:val="20"/>
                <w:lang w:val="en-US" w:eastAsia="ru-RU"/>
              </w:rPr>
            </w:pPr>
            <w:r>
              <w:rPr>
                <w:kern w:val="24"/>
                <w:sz w:val="20"/>
                <w:lang w:val="en-US" w:eastAsia="ru-RU"/>
              </w:rPr>
              <w:t xml:space="preserve">Elimination </w:t>
            </w:r>
            <w:r w:rsidR="00A0232E" w:rsidRPr="004D3E26">
              <w:rPr>
                <w:kern w:val="24"/>
                <w:sz w:val="20"/>
                <w:lang w:val="en-US" w:eastAsia="ru-RU"/>
              </w:rPr>
              <w:t xml:space="preserve">of the harmful effects of low temperatures </w:t>
            </w:r>
            <w:r w:rsidR="00A0232E">
              <w:rPr>
                <w:kern w:val="24"/>
                <w:sz w:val="20"/>
                <w:lang w:val="en-US" w:eastAsia="ru-RU"/>
              </w:rPr>
              <w:t xml:space="preserve">in case of </w:t>
            </w:r>
            <w:r w:rsidR="00A0232E" w:rsidRPr="004D3E26">
              <w:rPr>
                <w:kern w:val="24"/>
                <w:sz w:val="20"/>
                <w:lang w:val="en-US" w:eastAsia="ru-RU"/>
              </w:rPr>
              <w:t xml:space="preserve"> power </w:t>
            </w:r>
            <w:r w:rsidR="00A0232E">
              <w:rPr>
                <w:kern w:val="24"/>
                <w:sz w:val="20"/>
                <w:lang w:val="en-US" w:eastAsia="ru-RU"/>
              </w:rPr>
              <w:t>loss</w:t>
            </w:r>
            <w:r w:rsidR="00A0232E" w:rsidRPr="004D3E26">
              <w:rPr>
                <w:kern w:val="24"/>
                <w:sz w:val="20"/>
                <w:lang w:val="en-US" w:eastAsia="ru-RU"/>
              </w:rPr>
              <w:t xml:space="preserve"> </w:t>
            </w:r>
          </w:p>
        </w:tc>
        <w:tc>
          <w:tcPr>
            <w:tcW w:w="1276" w:type="dxa"/>
            <w:shd w:val="clear" w:color="auto" w:fill="auto"/>
            <w:tcMar>
              <w:top w:w="15" w:type="dxa"/>
              <w:left w:w="77" w:type="dxa"/>
              <w:bottom w:w="0" w:type="dxa"/>
              <w:right w:w="77" w:type="dxa"/>
            </w:tcMar>
            <w:vAlign w:val="center"/>
            <w:hideMark/>
          </w:tcPr>
          <w:p w14:paraId="4EB24387"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no</w:t>
            </w:r>
          </w:p>
        </w:tc>
        <w:tc>
          <w:tcPr>
            <w:tcW w:w="1275" w:type="dxa"/>
            <w:shd w:val="clear" w:color="auto" w:fill="auto"/>
            <w:tcMar>
              <w:top w:w="15" w:type="dxa"/>
              <w:left w:w="77" w:type="dxa"/>
              <w:bottom w:w="0" w:type="dxa"/>
              <w:right w:w="77" w:type="dxa"/>
            </w:tcMar>
            <w:vAlign w:val="center"/>
            <w:hideMark/>
          </w:tcPr>
          <w:p w14:paraId="27D58177"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yes</w:t>
            </w:r>
          </w:p>
        </w:tc>
      </w:tr>
      <w:tr w:rsidR="00A0232E" w:rsidRPr="004D3E26" w14:paraId="21D2124A" w14:textId="77777777" w:rsidTr="00A0232E">
        <w:trPr>
          <w:trHeight w:val="20"/>
        </w:trPr>
        <w:tc>
          <w:tcPr>
            <w:tcW w:w="6516" w:type="dxa"/>
            <w:shd w:val="clear" w:color="auto" w:fill="auto"/>
            <w:tcMar>
              <w:top w:w="15" w:type="dxa"/>
              <w:left w:w="77" w:type="dxa"/>
              <w:bottom w:w="0" w:type="dxa"/>
              <w:right w:w="77" w:type="dxa"/>
            </w:tcMar>
            <w:vAlign w:val="center"/>
            <w:hideMark/>
          </w:tcPr>
          <w:p w14:paraId="23E13BD5" w14:textId="229605B6" w:rsidR="00A0232E" w:rsidRPr="004D3E26" w:rsidRDefault="009F6AB9" w:rsidP="009F6AB9">
            <w:pPr>
              <w:overflowPunct/>
              <w:autoSpaceDE/>
              <w:autoSpaceDN/>
              <w:adjustRightInd/>
              <w:textAlignment w:val="auto"/>
              <w:rPr>
                <w:sz w:val="20"/>
                <w:lang w:val="en-US" w:eastAsia="ru-RU"/>
              </w:rPr>
            </w:pPr>
            <w:r>
              <w:rPr>
                <w:kern w:val="24"/>
                <w:sz w:val="20"/>
                <w:lang w:val="en-US" w:eastAsia="ru-RU"/>
              </w:rPr>
              <w:t>A</w:t>
            </w:r>
            <w:r w:rsidR="00A0232E" w:rsidRPr="004D3E26">
              <w:rPr>
                <w:kern w:val="24"/>
                <w:sz w:val="20"/>
                <w:lang w:val="en-US" w:eastAsia="ru-RU"/>
              </w:rPr>
              <w:t xml:space="preserve">utomatic </w:t>
            </w:r>
            <w:r>
              <w:rPr>
                <w:kern w:val="24"/>
                <w:sz w:val="20"/>
                <w:lang w:val="en-US" w:eastAsia="ru-RU"/>
              </w:rPr>
              <w:t>unattended operation</w:t>
            </w:r>
          </w:p>
        </w:tc>
        <w:tc>
          <w:tcPr>
            <w:tcW w:w="1276" w:type="dxa"/>
            <w:shd w:val="clear" w:color="auto" w:fill="auto"/>
            <w:tcMar>
              <w:top w:w="15" w:type="dxa"/>
              <w:left w:w="77" w:type="dxa"/>
              <w:bottom w:w="0" w:type="dxa"/>
              <w:right w:w="77" w:type="dxa"/>
            </w:tcMar>
            <w:vAlign w:val="center"/>
            <w:hideMark/>
          </w:tcPr>
          <w:p w14:paraId="12C1216A"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no</w:t>
            </w:r>
          </w:p>
        </w:tc>
        <w:tc>
          <w:tcPr>
            <w:tcW w:w="1275" w:type="dxa"/>
            <w:shd w:val="clear" w:color="auto" w:fill="auto"/>
            <w:tcMar>
              <w:top w:w="15" w:type="dxa"/>
              <w:left w:w="77" w:type="dxa"/>
              <w:bottom w:w="0" w:type="dxa"/>
              <w:right w:w="77" w:type="dxa"/>
            </w:tcMar>
            <w:vAlign w:val="center"/>
            <w:hideMark/>
          </w:tcPr>
          <w:p w14:paraId="162B9A7B"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yes</w:t>
            </w:r>
          </w:p>
        </w:tc>
      </w:tr>
      <w:tr w:rsidR="00A0232E" w:rsidRPr="004D3E26" w14:paraId="0EDE3AF3" w14:textId="77777777" w:rsidTr="00A0232E">
        <w:trPr>
          <w:trHeight w:val="20"/>
        </w:trPr>
        <w:tc>
          <w:tcPr>
            <w:tcW w:w="6516" w:type="dxa"/>
            <w:shd w:val="clear" w:color="auto" w:fill="auto"/>
            <w:tcMar>
              <w:top w:w="15" w:type="dxa"/>
              <w:left w:w="77" w:type="dxa"/>
              <w:bottom w:w="0" w:type="dxa"/>
              <w:right w:w="77" w:type="dxa"/>
            </w:tcMar>
            <w:vAlign w:val="center"/>
            <w:hideMark/>
          </w:tcPr>
          <w:p w14:paraId="13145DCD" w14:textId="7C046CD8" w:rsidR="00A0232E" w:rsidRPr="004D3E26" w:rsidRDefault="009F6AB9" w:rsidP="009F6AB9">
            <w:pPr>
              <w:overflowPunct/>
              <w:autoSpaceDE/>
              <w:autoSpaceDN/>
              <w:adjustRightInd/>
              <w:textAlignment w:val="auto"/>
              <w:rPr>
                <w:sz w:val="20"/>
                <w:lang w:val="en-US" w:eastAsia="ru-RU"/>
              </w:rPr>
            </w:pPr>
            <w:r>
              <w:rPr>
                <w:kern w:val="24"/>
                <w:sz w:val="20"/>
                <w:lang w:val="en-US" w:eastAsia="ru-RU"/>
              </w:rPr>
              <w:t xml:space="preserve">Availability of </w:t>
            </w:r>
            <w:r w:rsidR="00A0232E" w:rsidRPr="004D3E26">
              <w:rPr>
                <w:kern w:val="24"/>
                <w:sz w:val="20"/>
                <w:lang w:val="en-US" w:eastAsia="ru-RU"/>
              </w:rPr>
              <w:t>shut-off and control valves in 1 and 2 circuits</w:t>
            </w:r>
          </w:p>
        </w:tc>
        <w:tc>
          <w:tcPr>
            <w:tcW w:w="1276" w:type="dxa"/>
            <w:shd w:val="clear" w:color="auto" w:fill="auto"/>
            <w:tcMar>
              <w:top w:w="15" w:type="dxa"/>
              <w:left w:w="77" w:type="dxa"/>
              <w:bottom w:w="0" w:type="dxa"/>
              <w:right w:w="77" w:type="dxa"/>
            </w:tcMar>
            <w:vAlign w:val="center"/>
            <w:hideMark/>
          </w:tcPr>
          <w:p w14:paraId="0F5F4ECD"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yes</w:t>
            </w:r>
          </w:p>
        </w:tc>
        <w:tc>
          <w:tcPr>
            <w:tcW w:w="1275" w:type="dxa"/>
            <w:shd w:val="clear" w:color="auto" w:fill="auto"/>
            <w:tcMar>
              <w:top w:w="15" w:type="dxa"/>
              <w:left w:w="77" w:type="dxa"/>
              <w:bottom w:w="0" w:type="dxa"/>
              <w:right w:w="77" w:type="dxa"/>
            </w:tcMar>
            <w:vAlign w:val="center"/>
            <w:hideMark/>
          </w:tcPr>
          <w:p w14:paraId="565ED355"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no</w:t>
            </w:r>
          </w:p>
        </w:tc>
      </w:tr>
      <w:tr w:rsidR="00A0232E" w:rsidRPr="004D3E26" w14:paraId="0C5A9944" w14:textId="77777777" w:rsidTr="00A0232E">
        <w:trPr>
          <w:trHeight w:val="20"/>
        </w:trPr>
        <w:tc>
          <w:tcPr>
            <w:tcW w:w="6516" w:type="dxa"/>
            <w:shd w:val="clear" w:color="auto" w:fill="auto"/>
            <w:tcMar>
              <w:top w:w="15" w:type="dxa"/>
              <w:left w:w="77" w:type="dxa"/>
              <w:bottom w:w="0" w:type="dxa"/>
              <w:right w:w="77" w:type="dxa"/>
            </w:tcMar>
            <w:vAlign w:val="center"/>
            <w:hideMark/>
          </w:tcPr>
          <w:p w14:paraId="7E88324C" w14:textId="0CE44ED6" w:rsidR="00A0232E" w:rsidRPr="004D3E26" w:rsidRDefault="009F6AB9" w:rsidP="009F6AB9">
            <w:pPr>
              <w:overflowPunct/>
              <w:autoSpaceDE/>
              <w:autoSpaceDN/>
              <w:adjustRightInd/>
              <w:textAlignment w:val="auto"/>
              <w:rPr>
                <w:sz w:val="20"/>
                <w:lang w:val="en-US" w:eastAsia="ru-RU"/>
              </w:rPr>
            </w:pPr>
            <w:r w:rsidRPr="009F6AB9">
              <w:rPr>
                <w:kern w:val="24"/>
                <w:sz w:val="20"/>
                <w:lang w:val="en-US" w:eastAsia="ru-RU"/>
              </w:rPr>
              <w:t xml:space="preserve">Availability of </w:t>
            </w:r>
            <w:r w:rsidR="00A0232E" w:rsidRPr="004D3E26">
              <w:rPr>
                <w:kern w:val="24"/>
                <w:sz w:val="20"/>
                <w:lang w:val="en-US" w:eastAsia="ru-RU"/>
              </w:rPr>
              <w:t>circulation pumps</w:t>
            </w:r>
          </w:p>
        </w:tc>
        <w:tc>
          <w:tcPr>
            <w:tcW w:w="1276" w:type="dxa"/>
            <w:shd w:val="clear" w:color="auto" w:fill="auto"/>
            <w:tcMar>
              <w:top w:w="15" w:type="dxa"/>
              <w:left w:w="77" w:type="dxa"/>
              <w:bottom w:w="0" w:type="dxa"/>
              <w:right w:w="77" w:type="dxa"/>
            </w:tcMar>
            <w:vAlign w:val="center"/>
            <w:hideMark/>
          </w:tcPr>
          <w:p w14:paraId="49FE8C63"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yes</w:t>
            </w:r>
          </w:p>
        </w:tc>
        <w:tc>
          <w:tcPr>
            <w:tcW w:w="1275" w:type="dxa"/>
            <w:shd w:val="clear" w:color="auto" w:fill="auto"/>
            <w:tcMar>
              <w:top w:w="15" w:type="dxa"/>
              <w:left w:w="77" w:type="dxa"/>
              <w:bottom w:w="0" w:type="dxa"/>
              <w:right w:w="77" w:type="dxa"/>
            </w:tcMar>
            <w:vAlign w:val="center"/>
            <w:hideMark/>
          </w:tcPr>
          <w:p w14:paraId="455C98B1"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no</w:t>
            </w:r>
          </w:p>
        </w:tc>
      </w:tr>
      <w:tr w:rsidR="00A0232E" w:rsidRPr="004D3E26" w14:paraId="036D9EA1" w14:textId="77777777" w:rsidTr="00A0232E">
        <w:trPr>
          <w:trHeight w:val="20"/>
        </w:trPr>
        <w:tc>
          <w:tcPr>
            <w:tcW w:w="6516" w:type="dxa"/>
            <w:shd w:val="clear" w:color="auto" w:fill="auto"/>
            <w:tcMar>
              <w:top w:w="15" w:type="dxa"/>
              <w:left w:w="77" w:type="dxa"/>
              <w:bottom w:w="0" w:type="dxa"/>
              <w:right w:w="77" w:type="dxa"/>
            </w:tcMar>
            <w:vAlign w:val="center"/>
            <w:hideMark/>
          </w:tcPr>
          <w:p w14:paraId="0AB68CD0" w14:textId="77777777" w:rsidR="00A0232E" w:rsidRPr="004D3E26" w:rsidRDefault="00A0232E" w:rsidP="00A0232E">
            <w:pPr>
              <w:overflowPunct/>
              <w:autoSpaceDE/>
              <w:autoSpaceDN/>
              <w:adjustRightInd/>
              <w:textAlignment w:val="auto"/>
              <w:rPr>
                <w:sz w:val="20"/>
                <w:lang w:val="ru-RU" w:eastAsia="ru-RU"/>
              </w:rPr>
            </w:pPr>
            <w:r w:rsidRPr="004D3E26">
              <w:rPr>
                <w:kern w:val="24"/>
                <w:sz w:val="20"/>
                <w:lang w:val="en-US" w:eastAsia="ru-RU"/>
              </w:rPr>
              <w:t>Coolant pressure</w:t>
            </w:r>
          </w:p>
        </w:tc>
        <w:tc>
          <w:tcPr>
            <w:tcW w:w="1276" w:type="dxa"/>
            <w:shd w:val="clear" w:color="auto" w:fill="auto"/>
            <w:tcMar>
              <w:top w:w="15" w:type="dxa"/>
              <w:left w:w="77" w:type="dxa"/>
              <w:bottom w:w="0" w:type="dxa"/>
              <w:right w:w="77" w:type="dxa"/>
            </w:tcMar>
            <w:vAlign w:val="center"/>
            <w:hideMark/>
          </w:tcPr>
          <w:p w14:paraId="1844C981"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ru-RU" w:eastAsia="ru-RU"/>
              </w:rPr>
              <w:t>15,7 М</w:t>
            </w:r>
            <w:r w:rsidRPr="004D3E26">
              <w:rPr>
                <w:kern w:val="24"/>
                <w:sz w:val="20"/>
                <w:lang w:val="en-US" w:eastAsia="ru-RU"/>
              </w:rPr>
              <w:t>Pa</w:t>
            </w:r>
          </w:p>
        </w:tc>
        <w:tc>
          <w:tcPr>
            <w:tcW w:w="1275" w:type="dxa"/>
            <w:shd w:val="clear" w:color="auto" w:fill="auto"/>
            <w:tcMar>
              <w:top w:w="15" w:type="dxa"/>
              <w:left w:w="77" w:type="dxa"/>
              <w:bottom w:w="0" w:type="dxa"/>
              <w:right w:w="77" w:type="dxa"/>
            </w:tcMar>
            <w:vAlign w:val="center"/>
            <w:hideMark/>
          </w:tcPr>
          <w:p w14:paraId="21F30759" w14:textId="77777777" w:rsidR="00A0232E" w:rsidRPr="004D3E26" w:rsidRDefault="00A0232E" w:rsidP="00A0232E">
            <w:pPr>
              <w:overflowPunct/>
              <w:autoSpaceDE/>
              <w:autoSpaceDN/>
              <w:adjustRightInd/>
              <w:jc w:val="center"/>
              <w:textAlignment w:val="auto"/>
              <w:rPr>
                <w:sz w:val="20"/>
                <w:lang w:val="ru-RU" w:eastAsia="ru-RU"/>
              </w:rPr>
            </w:pPr>
            <w:r w:rsidRPr="004D3E26">
              <w:rPr>
                <w:kern w:val="24"/>
                <w:sz w:val="20"/>
                <w:lang w:val="en-US" w:eastAsia="ru-RU"/>
              </w:rPr>
              <w:t>atmospheric</w:t>
            </w:r>
          </w:p>
        </w:tc>
      </w:tr>
    </w:tbl>
    <w:p w14:paraId="7440CCDF" w14:textId="26A017EA" w:rsidR="00C34089" w:rsidRDefault="00A0232E" w:rsidP="002D76CF">
      <w:pPr>
        <w:pStyle w:val="BodyText"/>
        <w:ind w:firstLine="0"/>
      </w:pPr>
      <w:r>
        <w:t>5</w:t>
      </w:r>
      <w:r w:rsidR="00883734">
        <w:t>.</w:t>
      </w:r>
      <w:r w:rsidR="00883734">
        <w:tab/>
      </w:r>
      <w:r w:rsidR="00D13699" w:rsidRPr="00D13699">
        <w:t>Possible contribution of the institutional innovations t</w:t>
      </w:r>
      <w:r w:rsidR="00C34089">
        <w:t xml:space="preserve">o </w:t>
      </w:r>
      <w:r w:rsidR="00D13699" w:rsidRPr="00D13699">
        <w:t>accelerating deployment</w:t>
      </w:r>
      <w:r w:rsidR="005B4236" w:rsidRPr="005B4236">
        <w:t xml:space="preserve"> of</w:t>
      </w:r>
      <w:r w:rsidR="005B4236">
        <w:t xml:space="preserve"> SMRs</w:t>
      </w:r>
    </w:p>
    <w:p w14:paraId="582275C9" w14:textId="77777777" w:rsidR="005B4236" w:rsidRPr="005B4236" w:rsidRDefault="005B4236" w:rsidP="005B4236">
      <w:pPr>
        <w:pStyle w:val="BodyText"/>
      </w:pPr>
    </w:p>
    <w:p w14:paraId="024496E2" w14:textId="308CABF2" w:rsidR="00CF1EF6" w:rsidRDefault="00C34089" w:rsidP="00CF1EF6">
      <w:pPr>
        <w:pStyle w:val="Heading2"/>
        <w:numPr>
          <w:ilvl w:val="0"/>
          <w:numId w:val="0"/>
        </w:numPr>
        <w:tabs>
          <w:tab w:val="left" w:pos="567"/>
        </w:tabs>
        <w:spacing w:before="0" w:beforeAutospacing="0" w:after="0" w:afterAutospacing="0"/>
        <w:jc w:val="both"/>
        <w:rPr>
          <w:caps w:val="0"/>
        </w:rPr>
      </w:pPr>
      <w:r>
        <w:rPr>
          <w:caps w:val="0"/>
        </w:rPr>
        <w:tab/>
      </w:r>
      <w:r w:rsidR="009F6AB9">
        <w:rPr>
          <w:caps w:val="0"/>
        </w:rPr>
        <w:t>E</w:t>
      </w:r>
      <w:r w:rsidRPr="00C34089">
        <w:rPr>
          <w:caps w:val="0"/>
        </w:rPr>
        <w:t xml:space="preserve">nergy supply </w:t>
      </w:r>
      <w:r w:rsidR="009F6AB9">
        <w:rPr>
          <w:caps w:val="0"/>
        </w:rPr>
        <w:t xml:space="preserve">provision </w:t>
      </w:r>
      <w:r w:rsidRPr="00C34089">
        <w:rPr>
          <w:caps w:val="0"/>
        </w:rPr>
        <w:t xml:space="preserve">in isolated regions is </w:t>
      </w:r>
      <w:r w:rsidR="00197771">
        <w:rPr>
          <w:caps w:val="0"/>
        </w:rPr>
        <w:t xml:space="preserve">an </w:t>
      </w:r>
      <w:r w:rsidRPr="00C34089">
        <w:rPr>
          <w:caps w:val="0"/>
        </w:rPr>
        <w:t xml:space="preserve">important </w:t>
      </w:r>
      <w:r w:rsidR="00197771">
        <w:rPr>
          <w:caps w:val="0"/>
        </w:rPr>
        <w:t>current motivation for</w:t>
      </w:r>
      <w:r w:rsidRPr="00C34089">
        <w:rPr>
          <w:caps w:val="0"/>
        </w:rPr>
        <w:t xml:space="preserve"> the development of SMRs in </w:t>
      </w:r>
      <w:r w:rsidR="00197771">
        <w:rPr>
          <w:caps w:val="0"/>
        </w:rPr>
        <w:t xml:space="preserve">specific geographical conditions of Russia </w:t>
      </w:r>
      <w:r w:rsidRPr="00C34089">
        <w:rPr>
          <w:caps w:val="0"/>
        </w:rPr>
        <w:t xml:space="preserve">but </w:t>
      </w:r>
      <w:r w:rsidR="007D7395">
        <w:rPr>
          <w:caps w:val="0"/>
        </w:rPr>
        <w:t xml:space="preserve">it </w:t>
      </w:r>
      <w:r w:rsidRPr="00C34089">
        <w:rPr>
          <w:caps w:val="0"/>
        </w:rPr>
        <w:t>does not exhaust their potential for</w:t>
      </w:r>
      <w:r w:rsidR="00FE6DCB">
        <w:rPr>
          <w:caps w:val="0"/>
        </w:rPr>
        <w:t xml:space="preserve"> implementation</w:t>
      </w:r>
      <w:r w:rsidR="00197771">
        <w:rPr>
          <w:caps w:val="0"/>
        </w:rPr>
        <w:t xml:space="preserve">. As noted by many experts, </w:t>
      </w:r>
      <w:r w:rsidRPr="00C34089">
        <w:rPr>
          <w:caps w:val="0"/>
        </w:rPr>
        <w:t>SMRs can become an overall driver for nuclear power</w:t>
      </w:r>
      <w:r w:rsidR="00197771">
        <w:rPr>
          <w:caps w:val="0"/>
        </w:rPr>
        <w:t>.</w:t>
      </w:r>
      <w:r>
        <w:rPr>
          <w:caps w:val="0"/>
        </w:rPr>
        <w:t xml:space="preserve"> </w:t>
      </w:r>
      <w:r w:rsidRPr="00C34089">
        <w:rPr>
          <w:caps w:val="0"/>
        </w:rPr>
        <w:t xml:space="preserve">The conditions and driving forces for the deployment of small NPPs are considered in </w:t>
      </w:r>
      <w:r w:rsidR="00FE6DCB">
        <w:rPr>
          <w:caps w:val="0"/>
        </w:rPr>
        <w:t>numerous national studies as well as</w:t>
      </w:r>
      <w:r w:rsidR="00197771">
        <w:rPr>
          <w:caps w:val="0"/>
        </w:rPr>
        <w:t xml:space="preserve"> in </w:t>
      </w:r>
      <w:r w:rsidRPr="00C34089">
        <w:rPr>
          <w:caps w:val="0"/>
        </w:rPr>
        <w:t>the IAEA/INPRO ASENES project “Scenarios for the Sustainable Development of SMRs</w:t>
      </w:r>
      <w:r w:rsidR="00E43D40">
        <w:rPr>
          <w:caps w:val="0"/>
        </w:rPr>
        <w:t xml:space="preserve"> -ASENES SMR</w:t>
      </w:r>
      <w:r w:rsidRPr="00C34089">
        <w:rPr>
          <w:caps w:val="0"/>
        </w:rPr>
        <w:t>”</w:t>
      </w:r>
      <w:r w:rsidR="00197771">
        <w:rPr>
          <w:caps w:val="0"/>
        </w:rPr>
        <w:t xml:space="preserve"> </w:t>
      </w:r>
      <w:r w:rsidR="00197771">
        <w:rPr>
          <w:caps w:val="0"/>
          <w:lang w:val="en-US"/>
        </w:rPr>
        <w:t>[1]</w:t>
      </w:r>
      <w:r w:rsidRPr="00C34089">
        <w:rPr>
          <w:caps w:val="0"/>
        </w:rPr>
        <w:t xml:space="preserve">, </w:t>
      </w:r>
      <w:r w:rsidR="00FE6DCB">
        <w:rPr>
          <w:caps w:val="0"/>
        </w:rPr>
        <w:t xml:space="preserve">with the participation of the </w:t>
      </w:r>
      <w:r w:rsidRPr="00C34089">
        <w:rPr>
          <w:caps w:val="0"/>
        </w:rPr>
        <w:t>Russian specialists from Kurchatov Institute, Moscow Physical Engineering Institute, Centre of Rosatom Analytical Studies, and IPPE</w:t>
      </w:r>
      <w:r w:rsidR="00197771">
        <w:rPr>
          <w:caps w:val="0"/>
        </w:rPr>
        <w:t>.</w:t>
      </w:r>
      <w:r w:rsidR="0042293A">
        <w:rPr>
          <w:caps w:val="0"/>
        </w:rPr>
        <w:t xml:space="preserve"> </w:t>
      </w:r>
      <w:r w:rsidRPr="00C34089">
        <w:rPr>
          <w:caps w:val="0"/>
        </w:rPr>
        <w:t xml:space="preserve">The research </w:t>
      </w:r>
      <w:r w:rsidR="0042293A">
        <w:rPr>
          <w:caps w:val="0"/>
        </w:rPr>
        <w:t xml:space="preserve">in [1] </w:t>
      </w:r>
      <w:r w:rsidRPr="00C34089">
        <w:rPr>
          <w:caps w:val="0"/>
        </w:rPr>
        <w:t xml:space="preserve">is based on multi-criteria assessments of NES options using </w:t>
      </w:r>
      <w:r w:rsidR="002C285D">
        <w:rPr>
          <w:caps w:val="0"/>
        </w:rPr>
        <w:t xml:space="preserve">the </w:t>
      </w:r>
      <w:r w:rsidRPr="00C34089">
        <w:rPr>
          <w:caps w:val="0"/>
        </w:rPr>
        <w:t xml:space="preserve">KIND, CENESO </w:t>
      </w:r>
      <w:r w:rsidR="002C285D">
        <w:rPr>
          <w:caps w:val="0"/>
        </w:rPr>
        <w:t xml:space="preserve">codes </w:t>
      </w:r>
      <w:r w:rsidRPr="00C34089">
        <w:rPr>
          <w:caps w:val="0"/>
        </w:rPr>
        <w:t xml:space="preserve">and other tools developed in </w:t>
      </w:r>
      <w:r w:rsidR="0042293A">
        <w:rPr>
          <w:caps w:val="0"/>
        </w:rPr>
        <w:t>IAEA/</w:t>
      </w:r>
      <w:r w:rsidRPr="00C34089">
        <w:rPr>
          <w:caps w:val="0"/>
        </w:rPr>
        <w:t xml:space="preserve">INPRO </w:t>
      </w:r>
      <w:r w:rsidR="0042293A">
        <w:rPr>
          <w:caps w:val="0"/>
        </w:rPr>
        <w:t xml:space="preserve">and in </w:t>
      </w:r>
      <w:r w:rsidR="002C285D">
        <w:rPr>
          <w:caps w:val="0"/>
        </w:rPr>
        <w:t>member-</w:t>
      </w:r>
      <w:r w:rsidR="0042293A">
        <w:rPr>
          <w:caps w:val="0"/>
        </w:rPr>
        <w:t xml:space="preserve">countries. </w:t>
      </w:r>
      <w:r w:rsidRPr="00C34089">
        <w:rPr>
          <w:caps w:val="0"/>
        </w:rPr>
        <w:t xml:space="preserve">These tools </w:t>
      </w:r>
      <w:r w:rsidR="002C285D">
        <w:rPr>
          <w:caps w:val="0"/>
        </w:rPr>
        <w:t xml:space="preserve">facilitate </w:t>
      </w:r>
      <w:r w:rsidRPr="00C34089">
        <w:rPr>
          <w:caps w:val="0"/>
        </w:rPr>
        <w:t>understand</w:t>
      </w:r>
      <w:r w:rsidR="002C285D">
        <w:rPr>
          <w:caps w:val="0"/>
        </w:rPr>
        <w:t>ing of</w:t>
      </w:r>
      <w:r w:rsidRPr="00C34089">
        <w:rPr>
          <w:caps w:val="0"/>
        </w:rPr>
        <w:t xml:space="preserve"> the state and prospects for the </w:t>
      </w:r>
      <w:r w:rsidR="002C285D">
        <w:rPr>
          <w:caps w:val="0"/>
        </w:rPr>
        <w:t xml:space="preserve">use of </w:t>
      </w:r>
      <w:r w:rsidR="0042293A" w:rsidRPr="00C34089">
        <w:rPr>
          <w:caps w:val="0"/>
        </w:rPr>
        <w:t>SMRs</w:t>
      </w:r>
      <w:r w:rsidR="0042293A">
        <w:rPr>
          <w:caps w:val="0"/>
        </w:rPr>
        <w:t xml:space="preserve"> sustainable part of nuclear power. </w:t>
      </w:r>
    </w:p>
    <w:p w14:paraId="500F6371" w14:textId="3BC406C2" w:rsidR="00EF2D80" w:rsidRPr="001D4525" w:rsidRDefault="00CF1EF6" w:rsidP="00392A15">
      <w:pPr>
        <w:pStyle w:val="Heading2"/>
        <w:numPr>
          <w:ilvl w:val="0"/>
          <w:numId w:val="0"/>
        </w:numPr>
        <w:tabs>
          <w:tab w:val="left" w:pos="567"/>
        </w:tabs>
        <w:spacing w:before="0" w:beforeAutospacing="0" w:after="0" w:afterAutospacing="0"/>
        <w:jc w:val="both"/>
        <w:rPr>
          <w:caps w:val="0"/>
          <w:lang w:val="en-US"/>
        </w:rPr>
      </w:pPr>
      <w:r>
        <w:rPr>
          <w:caps w:val="0"/>
        </w:rPr>
        <w:tab/>
        <w:t xml:space="preserve">The </w:t>
      </w:r>
      <w:r w:rsidR="00E43D40">
        <w:rPr>
          <w:caps w:val="0"/>
        </w:rPr>
        <w:t xml:space="preserve">results of </w:t>
      </w:r>
      <w:r w:rsidR="002C285D">
        <w:rPr>
          <w:caps w:val="0"/>
        </w:rPr>
        <w:t>multi-</w:t>
      </w:r>
      <w:r>
        <w:rPr>
          <w:caps w:val="0"/>
        </w:rPr>
        <w:t xml:space="preserve">criteria analysis implemented </w:t>
      </w:r>
      <w:r w:rsidR="002C285D">
        <w:rPr>
          <w:caps w:val="0"/>
        </w:rPr>
        <w:t xml:space="preserve">by </w:t>
      </w:r>
      <w:r>
        <w:rPr>
          <w:caps w:val="0"/>
        </w:rPr>
        <w:t>Russia</w:t>
      </w:r>
      <w:r w:rsidR="002C285D">
        <w:rPr>
          <w:caps w:val="0"/>
        </w:rPr>
        <w:t>n participants</w:t>
      </w:r>
      <w:r>
        <w:rPr>
          <w:caps w:val="0"/>
        </w:rPr>
        <w:t xml:space="preserve"> </w:t>
      </w:r>
      <w:r w:rsidR="00E43D40">
        <w:rPr>
          <w:caps w:val="0"/>
        </w:rPr>
        <w:t xml:space="preserve">indicate that estimation of the SMRs perspective </w:t>
      </w:r>
      <w:r w:rsidR="00EC0E3D">
        <w:rPr>
          <w:caps w:val="0"/>
        </w:rPr>
        <w:t xml:space="preserve">critically </w:t>
      </w:r>
      <w:r w:rsidR="00E43D40">
        <w:rPr>
          <w:caps w:val="0"/>
        </w:rPr>
        <w:t>depends o</w:t>
      </w:r>
      <w:r w:rsidR="00EC0E3D">
        <w:rPr>
          <w:caps w:val="0"/>
        </w:rPr>
        <w:t>f</w:t>
      </w:r>
      <w:r w:rsidR="00E43D40">
        <w:rPr>
          <w:caps w:val="0"/>
        </w:rPr>
        <w:t xml:space="preserve"> their </w:t>
      </w:r>
      <w:r w:rsidR="00EC0E3D">
        <w:rPr>
          <w:caps w:val="0"/>
        </w:rPr>
        <w:t xml:space="preserve">economics. </w:t>
      </w:r>
      <w:r w:rsidR="002C285D">
        <w:rPr>
          <w:caps w:val="0"/>
        </w:rPr>
        <w:t>A great m</w:t>
      </w:r>
      <w:r w:rsidR="00C34089" w:rsidRPr="00C34089">
        <w:rPr>
          <w:caps w:val="0"/>
        </w:rPr>
        <w:t xml:space="preserve">any indicators of large and small reactors are </w:t>
      </w:r>
      <w:r w:rsidR="002C285D">
        <w:rPr>
          <w:caps w:val="0"/>
        </w:rPr>
        <w:t xml:space="preserve">quite </w:t>
      </w:r>
      <w:r w:rsidR="00C34089" w:rsidRPr="00C34089">
        <w:rPr>
          <w:caps w:val="0"/>
        </w:rPr>
        <w:t>similar (nuclear safety, low greenhouse gas emissions and environmental impacts during normal operation, etc.)</w:t>
      </w:r>
      <w:r w:rsidR="00EC0E3D" w:rsidRPr="00EC0E3D">
        <w:t xml:space="preserve"> </w:t>
      </w:r>
      <w:r w:rsidR="00EC0E3D" w:rsidRPr="00EC0E3D">
        <w:rPr>
          <w:caps w:val="0"/>
        </w:rPr>
        <w:t>and they do not prevent widespread implementation</w:t>
      </w:r>
      <w:r w:rsidR="00EC0E3D">
        <w:rPr>
          <w:caps w:val="0"/>
        </w:rPr>
        <w:t xml:space="preserve"> </w:t>
      </w:r>
      <w:r w:rsidR="00EC0E3D">
        <w:rPr>
          <w:caps w:val="0"/>
          <w:lang w:val="en-US"/>
        </w:rPr>
        <w:t xml:space="preserve">of SMRs </w:t>
      </w:r>
      <w:r w:rsidR="003B5C49">
        <w:rPr>
          <w:caps w:val="0"/>
          <w:lang w:val="en-US"/>
        </w:rPr>
        <w:t xml:space="preserve">as a new </w:t>
      </w:r>
      <w:r w:rsidR="002C285D">
        <w:rPr>
          <w:caps w:val="0"/>
          <w:lang w:val="en-US"/>
        </w:rPr>
        <w:t xml:space="preserve">energy </w:t>
      </w:r>
      <w:r w:rsidR="003B5C49">
        <w:rPr>
          <w:caps w:val="0"/>
          <w:lang w:val="en-US"/>
        </w:rPr>
        <w:t>component.</w:t>
      </w:r>
      <w:r w:rsidR="00EC0E3D">
        <w:rPr>
          <w:caps w:val="0"/>
          <w:lang w:val="en-US"/>
        </w:rPr>
        <w:t xml:space="preserve"> </w:t>
      </w:r>
      <w:r w:rsidR="003B5C49">
        <w:rPr>
          <w:caps w:val="0"/>
        </w:rPr>
        <w:t xml:space="preserve">Some </w:t>
      </w:r>
      <w:r w:rsidR="00C50A5E">
        <w:rPr>
          <w:caps w:val="0"/>
        </w:rPr>
        <w:t xml:space="preserve">factors like </w:t>
      </w:r>
      <w:r w:rsidR="00C34089" w:rsidRPr="00C34089">
        <w:rPr>
          <w:caps w:val="0"/>
        </w:rPr>
        <w:t xml:space="preserve">compliance with </w:t>
      </w:r>
      <w:r w:rsidR="003B5C49">
        <w:rPr>
          <w:caps w:val="0"/>
        </w:rPr>
        <w:t xml:space="preserve">specific </w:t>
      </w:r>
      <w:r w:rsidR="00C34089" w:rsidRPr="00C34089">
        <w:rPr>
          <w:caps w:val="0"/>
        </w:rPr>
        <w:t>energy needs</w:t>
      </w:r>
      <w:r w:rsidR="00C50A5E">
        <w:rPr>
          <w:caps w:val="0"/>
        </w:rPr>
        <w:t xml:space="preserve"> of users</w:t>
      </w:r>
      <w:r w:rsidR="003B5C49">
        <w:rPr>
          <w:caps w:val="0"/>
        </w:rPr>
        <w:t>,</w:t>
      </w:r>
      <w:r w:rsidR="00C34089" w:rsidRPr="00C34089">
        <w:rPr>
          <w:caps w:val="0"/>
        </w:rPr>
        <w:t xml:space="preserve"> </w:t>
      </w:r>
      <w:r w:rsidR="00A14041" w:rsidRPr="00A14041">
        <w:rPr>
          <w:caps w:val="0"/>
          <w:lang w:val="en-US"/>
        </w:rPr>
        <w:t xml:space="preserve">deployment </w:t>
      </w:r>
      <w:r w:rsidR="002C285D">
        <w:rPr>
          <w:caps w:val="0"/>
          <w:lang w:val="en-US"/>
        </w:rPr>
        <w:t>and operation</w:t>
      </w:r>
      <w:r w:rsidR="00A14041">
        <w:rPr>
          <w:caps w:val="0"/>
          <w:lang w:val="en-US"/>
        </w:rPr>
        <w:t xml:space="preserve"> </w:t>
      </w:r>
      <w:r w:rsidR="00A14041" w:rsidRPr="00A14041">
        <w:rPr>
          <w:caps w:val="0"/>
          <w:lang w:val="en-US"/>
        </w:rPr>
        <w:t>flexibility</w:t>
      </w:r>
      <w:r w:rsidR="00A14041">
        <w:rPr>
          <w:caps w:val="0"/>
          <w:lang w:val="en-US"/>
        </w:rPr>
        <w:t>,</w:t>
      </w:r>
      <w:r w:rsidR="00A14041" w:rsidRPr="00A14041">
        <w:rPr>
          <w:caps w:val="0"/>
          <w:lang w:val="en-US"/>
        </w:rPr>
        <w:t xml:space="preserve"> </w:t>
      </w:r>
      <w:r w:rsidR="00A14041">
        <w:rPr>
          <w:caps w:val="0"/>
          <w:lang w:val="en-US"/>
        </w:rPr>
        <w:t xml:space="preserve">economic </w:t>
      </w:r>
      <w:r w:rsidR="00C34089" w:rsidRPr="00C34089">
        <w:rPr>
          <w:caps w:val="0"/>
        </w:rPr>
        <w:t>risks associated with the construction and operation</w:t>
      </w:r>
      <w:r w:rsidR="003B5C49">
        <w:rPr>
          <w:caps w:val="0"/>
        </w:rPr>
        <w:t xml:space="preserve">, </w:t>
      </w:r>
      <w:r w:rsidR="00C34089" w:rsidRPr="00C34089">
        <w:rPr>
          <w:caps w:val="0"/>
        </w:rPr>
        <w:t xml:space="preserve">probability of severe accidents and magnitude of possible </w:t>
      </w:r>
      <w:r w:rsidR="00C34089" w:rsidRPr="00C34089">
        <w:rPr>
          <w:caps w:val="0"/>
        </w:rPr>
        <w:lastRenderedPageBreak/>
        <w:t>damage</w:t>
      </w:r>
      <w:r w:rsidR="003B5C49">
        <w:rPr>
          <w:caps w:val="0"/>
        </w:rPr>
        <w:t xml:space="preserve"> </w:t>
      </w:r>
      <w:r w:rsidR="00C50A5E">
        <w:rPr>
          <w:caps w:val="0"/>
          <w:lang w:val="en-US"/>
        </w:rPr>
        <w:t>are strong drivers for SMRs</w:t>
      </w:r>
      <w:r w:rsidR="003B5C49">
        <w:rPr>
          <w:caps w:val="0"/>
          <w:lang w:val="en-US"/>
        </w:rPr>
        <w:t xml:space="preserve">. </w:t>
      </w:r>
      <w:r w:rsidR="00C50A5E">
        <w:rPr>
          <w:caps w:val="0"/>
          <w:lang w:val="en-US"/>
        </w:rPr>
        <w:t xml:space="preserve">However, specific cost of electricity that </w:t>
      </w:r>
      <w:r w:rsidR="00D361DB">
        <w:rPr>
          <w:caps w:val="0"/>
          <w:lang w:val="en-US"/>
        </w:rPr>
        <w:t xml:space="preserve">in nuclear power </w:t>
      </w:r>
      <w:r w:rsidR="00863AE6" w:rsidRPr="00863AE6">
        <w:rPr>
          <w:caps w:val="0"/>
          <w:lang w:val="en-US"/>
        </w:rPr>
        <w:t>is largely determined by unit capital costs</w:t>
      </w:r>
      <w:r w:rsidR="00392A15" w:rsidRPr="00392A15">
        <w:t xml:space="preserve"> </w:t>
      </w:r>
      <w:r w:rsidR="00D361DB">
        <w:rPr>
          <w:caps w:val="0"/>
        </w:rPr>
        <w:t xml:space="preserve">impedes the use </w:t>
      </w:r>
      <w:r w:rsidR="00392A15" w:rsidRPr="00392A15">
        <w:rPr>
          <w:caps w:val="0"/>
          <w:lang w:val="en-US"/>
        </w:rPr>
        <w:t xml:space="preserve">of </w:t>
      </w:r>
      <w:r w:rsidR="00597E2A">
        <w:rPr>
          <w:caps w:val="0"/>
          <w:lang w:val="en-US"/>
        </w:rPr>
        <w:t xml:space="preserve">SMRs </w:t>
      </w:r>
      <w:r w:rsidR="00392A15">
        <w:rPr>
          <w:caps w:val="0"/>
          <w:lang w:val="en-US"/>
        </w:rPr>
        <w:t xml:space="preserve">in case </w:t>
      </w:r>
      <w:r w:rsidR="00392A15" w:rsidRPr="00392A15">
        <w:rPr>
          <w:caps w:val="0"/>
          <w:lang w:val="en-US"/>
        </w:rPr>
        <w:t xml:space="preserve">the criterion of the electricity cost is given </w:t>
      </w:r>
      <w:r w:rsidR="00597E2A">
        <w:rPr>
          <w:caps w:val="0"/>
          <w:lang w:val="en-US"/>
        </w:rPr>
        <w:t>a priority</w:t>
      </w:r>
      <w:r w:rsidR="00392A15" w:rsidRPr="00392A15">
        <w:rPr>
          <w:caps w:val="0"/>
          <w:lang w:val="en-US"/>
        </w:rPr>
        <w:t>. Th</w:t>
      </w:r>
      <w:r w:rsidR="00392A15">
        <w:rPr>
          <w:caps w:val="0"/>
          <w:lang w:val="en-US"/>
        </w:rPr>
        <w:t>is</w:t>
      </w:r>
      <w:r w:rsidR="00392A15" w:rsidRPr="00392A15">
        <w:rPr>
          <w:caps w:val="0"/>
          <w:lang w:val="en-US"/>
        </w:rPr>
        <w:t xml:space="preserve"> conclusion from multi</w:t>
      </w:r>
      <w:r w:rsidR="003F132C">
        <w:rPr>
          <w:caps w:val="0"/>
          <w:lang w:val="en-US"/>
        </w:rPr>
        <w:t>-</w:t>
      </w:r>
      <w:r w:rsidR="00392A15" w:rsidRPr="00392A15">
        <w:rPr>
          <w:caps w:val="0"/>
          <w:lang w:val="en-US"/>
        </w:rPr>
        <w:t xml:space="preserve">criteria analysis is </w:t>
      </w:r>
      <w:r w:rsidR="00D1363F">
        <w:rPr>
          <w:caps w:val="0"/>
          <w:lang w:val="en-US"/>
        </w:rPr>
        <w:t xml:space="preserve">in </w:t>
      </w:r>
      <w:r w:rsidR="00D1363F" w:rsidRPr="00D1363F">
        <w:rPr>
          <w:caps w:val="0"/>
          <w:lang w:val="en-US"/>
        </w:rPr>
        <w:t xml:space="preserve">full </w:t>
      </w:r>
      <w:r w:rsidR="00C72FDE">
        <w:rPr>
          <w:caps w:val="0"/>
          <w:lang w:val="en-US"/>
        </w:rPr>
        <w:t xml:space="preserve">compliance </w:t>
      </w:r>
      <w:r w:rsidR="00D1363F" w:rsidRPr="00D1363F">
        <w:rPr>
          <w:caps w:val="0"/>
          <w:lang w:val="en-US"/>
        </w:rPr>
        <w:t xml:space="preserve">with practice, where decision makers tend to give preference to options </w:t>
      </w:r>
      <w:r w:rsidR="00392A15" w:rsidRPr="00392A15">
        <w:rPr>
          <w:caps w:val="0"/>
          <w:lang w:val="en-US"/>
        </w:rPr>
        <w:t>with the lowest cost of electricity</w:t>
      </w:r>
      <w:r w:rsidR="00820B98">
        <w:rPr>
          <w:caps w:val="0"/>
          <w:lang w:val="en-US"/>
        </w:rPr>
        <w:t xml:space="preserve"> generation</w:t>
      </w:r>
      <w:r w:rsidR="00392A15" w:rsidRPr="00392A15">
        <w:rPr>
          <w:caps w:val="0"/>
          <w:lang w:val="en-US"/>
        </w:rPr>
        <w:t>.</w:t>
      </w:r>
      <w:r w:rsidR="001D4525">
        <w:rPr>
          <w:caps w:val="0"/>
          <w:lang w:val="en-US"/>
        </w:rPr>
        <w:t xml:space="preserve"> Thus,</w:t>
      </w:r>
      <w:r w:rsidR="001D4525" w:rsidRPr="001D4525">
        <w:rPr>
          <w:caps w:val="0"/>
          <w:lang w:val="en-US"/>
        </w:rPr>
        <w:t xml:space="preserve"> </w:t>
      </w:r>
      <w:r w:rsidR="001D4525" w:rsidRPr="00EF2D80">
        <w:rPr>
          <w:caps w:val="0"/>
          <w:lang w:val="en-US"/>
        </w:rPr>
        <w:t xml:space="preserve">the R&amp;D efforts </w:t>
      </w:r>
      <w:r w:rsidR="00820B98">
        <w:rPr>
          <w:caps w:val="0"/>
          <w:lang w:val="en-US"/>
        </w:rPr>
        <w:t>to reduce</w:t>
      </w:r>
      <w:r w:rsidR="001D4525" w:rsidRPr="00EF2D80">
        <w:rPr>
          <w:caps w:val="0"/>
          <w:lang w:val="en-US"/>
        </w:rPr>
        <w:t xml:space="preserve"> SMRs capital/operating costs</w:t>
      </w:r>
      <w:r w:rsidR="001D4525">
        <w:rPr>
          <w:caps w:val="0"/>
          <w:lang w:val="en-US"/>
        </w:rPr>
        <w:t xml:space="preserve"> </w:t>
      </w:r>
      <w:r w:rsidR="0089225C">
        <w:rPr>
          <w:caps w:val="0"/>
          <w:lang w:val="en-US"/>
        </w:rPr>
        <w:t xml:space="preserve">should </w:t>
      </w:r>
      <w:r w:rsidR="001D4525" w:rsidRPr="001D4525">
        <w:rPr>
          <w:caps w:val="0"/>
          <w:lang w:val="en-US"/>
        </w:rPr>
        <w:t>be recognized</w:t>
      </w:r>
      <w:r w:rsidR="001D4525" w:rsidRPr="001D4525">
        <w:t xml:space="preserve"> </w:t>
      </w:r>
      <w:r w:rsidR="001D4525" w:rsidRPr="001D4525">
        <w:rPr>
          <w:caps w:val="0"/>
          <w:lang w:val="en-US"/>
        </w:rPr>
        <w:t xml:space="preserve">as </w:t>
      </w:r>
      <w:r w:rsidR="0089225C">
        <w:rPr>
          <w:caps w:val="0"/>
          <w:lang w:val="en-US"/>
        </w:rPr>
        <w:t xml:space="preserve">the </w:t>
      </w:r>
      <w:r w:rsidR="001D4525" w:rsidRPr="001D4525">
        <w:rPr>
          <w:caps w:val="0"/>
          <w:lang w:val="en-US"/>
        </w:rPr>
        <w:t xml:space="preserve">main </w:t>
      </w:r>
      <w:r w:rsidR="0089225C">
        <w:rPr>
          <w:caps w:val="0"/>
          <w:lang w:val="en-US"/>
        </w:rPr>
        <w:t xml:space="preserve">way </w:t>
      </w:r>
      <w:r w:rsidR="00820B98">
        <w:rPr>
          <w:caps w:val="0"/>
          <w:lang w:val="en-US"/>
        </w:rPr>
        <w:t xml:space="preserve">to </w:t>
      </w:r>
      <w:r w:rsidR="00FA6B46">
        <w:rPr>
          <w:caps w:val="0"/>
          <w:lang w:val="en-US"/>
        </w:rPr>
        <w:t xml:space="preserve">enhance </w:t>
      </w:r>
      <w:r w:rsidR="00820B98">
        <w:rPr>
          <w:caps w:val="0"/>
          <w:lang w:val="en-US"/>
        </w:rPr>
        <w:t xml:space="preserve">the </w:t>
      </w:r>
      <w:r w:rsidR="001D4525" w:rsidRPr="001D4525">
        <w:rPr>
          <w:caps w:val="0"/>
          <w:lang w:val="en-US"/>
        </w:rPr>
        <w:t>SMRs competitiveness</w:t>
      </w:r>
      <w:r w:rsidR="001D4525">
        <w:rPr>
          <w:caps w:val="0"/>
          <w:lang w:val="en-US"/>
        </w:rPr>
        <w:t>.</w:t>
      </w:r>
      <w:r w:rsidR="006265FE" w:rsidRPr="006265FE">
        <w:t xml:space="preserve"> </w:t>
      </w:r>
      <w:r w:rsidR="006265FE" w:rsidRPr="006265FE">
        <w:rPr>
          <w:caps w:val="0"/>
          <w:lang w:val="en-US"/>
        </w:rPr>
        <w:t xml:space="preserve">At the same time, </w:t>
      </w:r>
      <w:r w:rsidR="00FA6B46">
        <w:rPr>
          <w:caps w:val="0"/>
          <w:lang w:val="en-US"/>
        </w:rPr>
        <w:t xml:space="preserve">any </w:t>
      </w:r>
      <w:r w:rsidR="006265FE" w:rsidRPr="006265FE">
        <w:rPr>
          <w:caps w:val="0"/>
          <w:lang w:val="en-US"/>
        </w:rPr>
        <w:t xml:space="preserve">other </w:t>
      </w:r>
      <w:bookmarkStart w:id="10" w:name="_Hlk170642315"/>
      <w:r w:rsidR="00FA6B46">
        <w:rPr>
          <w:caps w:val="0"/>
          <w:lang w:val="en-US"/>
        </w:rPr>
        <w:t>possibilities for accelerating</w:t>
      </w:r>
      <w:r w:rsidR="00C9124B">
        <w:rPr>
          <w:caps w:val="0"/>
          <w:lang w:val="en-US"/>
        </w:rPr>
        <w:t xml:space="preserve"> the deployment of </w:t>
      </w:r>
      <w:r w:rsidR="001557EB">
        <w:rPr>
          <w:caps w:val="0"/>
          <w:lang w:val="en-US"/>
        </w:rPr>
        <w:t>SMRs</w:t>
      </w:r>
      <w:bookmarkEnd w:id="10"/>
      <w:r w:rsidR="00FA6B46">
        <w:rPr>
          <w:caps w:val="0"/>
          <w:lang w:val="en-US"/>
        </w:rPr>
        <w:t xml:space="preserve"> should be investigated</w:t>
      </w:r>
      <w:r w:rsidR="00BD748E" w:rsidRPr="00BD748E">
        <w:rPr>
          <w:caps w:val="0"/>
          <w:lang w:val="en-US"/>
        </w:rPr>
        <w:t xml:space="preserve">. </w:t>
      </w:r>
      <w:r w:rsidR="0019321D">
        <w:rPr>
          <w:caps w:val="0"/>
          <w:lang w:val="en-US"/>
        </w:rPr>
        <w:t>The</w:t>
      </w:r>
      <w:r w:rsidR="00EC204D">
        <w:rPr>
          <w:caps w:val="0"/>
          <w:lang w:val="en-US"/>
        </w:rPr>
        <w:t xml:space="preserve"> </w:t>
      </w:r>
      <w:r w:rsidR="0089225C" w:rsidRPr="0089225C">
        <w:rPr>
          <w:caps w:val="0"/>
          <w:lang w:val="en-US"/>
        </w:rPr>
        <w:t xml:space="preserve">institutional approach </w:t>
      </w:r>
      <w:r w:rsidR="00BA63AC" w:rsidRPr="00BA63AC">
        <w:rPr>
          <w:caps w:val="0"/>
          <w:lang w:val="en-US"/>
        </w:rPr>
        <w:t>discussed in the</w:t>
      </w:r>
      <w:r w:rsidR="00BA63AC">
        <w:rPr>
          <w:caps w:val="0"/>
          <w:lang w:val="en-US"/>
        </w:rPr>
        <w:t xml:space="preserve"> paper</w:t>
      </w:r>
      <w:r w:rsidR="00BA63AC" w:rsidRPr="00BA63AC">
        <w:rPr>
          <w:caps w:val="0"/>
          <w:lang w:val="en-US"/>
        </w:rPr>
        <w:t xml:space="preserve">, based on the specific features of </w:t>
      </w:r>
      <w:r w:rsidR="00BA63AC">
        <w:rPr>
          <w:caps w:val="0"/>
          <w:lang w:val="en-US"/>
        </w:rPr>
        <w:t>SMRs</w:t>
      </w:r>
      <w:r w:rsidR="00BA63AC" w:rsidRPr="00BA63AC">
        <w:rPr>
          <w:caps w:val="0"/>
          <w:lang w:val="en-US"/>
        </w:rPr>
        <w:t xml:space="preserve">, may turn out to be one of </w:t>
      </w:r>
      <w:r w:rsidR="0019321D" w:rsidRPr="0019321D">
        <w:rPr>
          <w:caps w:val="0"/>
          <w:lang w:val="en-US"/>
        </w:rPr>
        <w:t>these possibilities</w:t>
      </w:r>
      <w:r w:rsidR="00EC204D">
        <w:rPr>
          <w:caps w:val="0"/>
          <w:lang w:val="en-US"/>
        </w:rPr>
        <w:t>.</w:t>
      </w:r>
      <w:r w:rsidR="0089225C" w:rsidRPr="0089225C">
        <w:rPr>
          <w:caps w:val="0"/>
          <w:lang w:val="en-US"/>
        </w:rPr>
        <w:t xml:space="preserve"> </w:t>
      </w:r>
    </w:p>
    <w:p w14:paraId="4F2717EC" w14:textId="4B947ED4" w:rsidR="00CA508B" w:rsidRDefault="00EF2D80" w:rsidP="00EF2D80">
      <w:pPr>
        <w:pStyle w:val="Heading2"/>
        <w:numPr>
          <w:ilvl w:val="0"/>
          <w:numId w:val="0"/>
        </w:numPr>
        <w:tabs>
          <w:tab w:val="left" w:pos="567"/>
        </w:tabs>
        <w:spacing w:before="0" w:beforeAutospacing="0" w:after="0" w:afterAutospacing="0"/>
        <w:jc w:val="both"/>
        <w:rPr>
          <w:caps w:val="0"/>
          <w:lang w:val="en-US"/>
        </w:rPr>
      </w:pPr>
      <w:r>
        <w:rPr>
          <w:caps w:val="0"/>
          <w:lang w:val="en-US"/>
        </w:rPr>
        <w:tab/>
      </w:r>
      <w:r w:rsidR="00EC204D">
        <w:rPr>
          <w:caps w:val="0"/>
          <w:lang w:val="en-US"/>
        </w:rPr>
        <w:t xml:space="preserve">As </w:t>
      </w:r>
      <w:r w:rsidRPr="00EF2D80">
        <w:rPr>
          <w:caps w:val="0"/>
          <w:lang w:val="en-US"/>
        </w:rPr>
        <w:t>established</w:t>
      </w:r>
      <w:r w:rsidR="00C9124B">
        <w:rPr>
          <w:caps w:val="0"/>
          <w:lang w:val="en-US"/>
        </w:rPr>
        <w:t xml:space="preserve"> [2]</w:t>
      </w:r>
      <w:r w:rsidR="00103893">
        <w:rPr>
          <w:caps w:val="0"/>
          <w:lang w:val="en-US"/>
        </w:rPr>
        <w:t>,</w:t>
      </w:r>
      <w:r w:rsidRPr="00EF2D80">
        <w:rPr>
          <w:caps w:val="0"/>
          <w:lang w:val="en-US"/>
        </w:rPr>
        <w:t xml:space="preserve"> a network structure of several power units </w:t>
      </w:r>
      <w:r w:rsidR="00CA508B">
        <w:rPr>
          <w:caps w:val="0"/>
          <w:lang w:val="en-US"/>
        </w:rPr>
        <w:t>as a cluster with</w:t>
      </w:r>
      <w:r w:rsidRPr="00EF2D80">
        <w:rPr>
          <w:caps w:val="0"/>
          <w:lang w:val="en-US"/>
        </w:rPr>
        <w:t xml:space="preserve"> unified financing can </w:t>
      </w:r>
      <w:r w:rsidR="00BA63AC">
        <w:rPr>
          <w:caps w:val="0"/>
          <w:lang w:val="en-US"/>
        </w:rPr>
        <w:t xml:space="preserve">ensure </w:t>
      </w:r>
      <w:r w:rsidRPr="00EF2D80">
        <w:rPr>
          <w:caps w:val="0"/>
          <w:lang w:val="en-US"/>
        </w:rPr>
        <w:t>reduction of the</w:t>
      </w:r>
      <w:r w:rsidR="00BA63AC">
        <w:rPr>
          <w:caps w:val="0"/>
          <w:lang w:val="en-US"/>
        </w:rPr>
        <w:t xml:space="preserve"> cost of electricity compared with</w:t>
      </w:r>
      <w:r w:rsidRPr="00EF2D80">
        <w:rPr>
          <w:caps w:val="0"/>
          <w:lang w:val="en-US"/>
        </w:rPr>
        <w:t xml:space="preserve"> the cost </w:t>
      </w:r>
      <w:r w:rsidR="00BA63AC">
        <w:rPr>
          <w:caps w:val="0"/>
          <w:lang w:val="en-US"/>
        </w:rPr>
        <w:t xml:space="preserve">of electricity </w:t>
      </w:r>
      <w:r w:rsidRPr="00EF2D80">
        <w:rPr>
          <w:caps w:val="0"/>
          <w:lang w:val="en-US"/>
        </w:rPr>
        <w:t>generated by a single power unit</w:t>
      </w:r>
      <w:r w:rsidR="00EC204D">
        <w:rPr>
          <w:caps w:val="0"/>
          <w:lang w:val="en-US"/>
        </w:rPr>
        <w:t>.</w:t>
      </w:r>
      <w:r w:rsidRPr="00EF2D80">
        <w:rPr>
          <w:caps w:val="0"/>
          <w:lang w:val="en-US"/>
        </w:rPr>
        <w:t xml:space="preserve"> </w:t>
      </w:r>
      <w:r w:rsidR="00103893">
        <w:rPr>
          <w:caps w:val="0"/>
          <w:lang w:val="en-US"/>
        </w:rPr>
        <w:t xml:space="preserve">The units of small capacity </w:t>
      </w:r>
      <w:r w:rsidR="00CA508B">
        <w:rPr>
          <w:caps w:val="0"/>
          <w:lang w:val="en-US"/>
        </w:rPr>
        <w:t xml:space="preserve">seem to be </w:t>
      </w:r>
      <w:r w:rsidR="00CA508B" w:rsidRPr="00CA508B">
        <w:rPr>
          <w:caps w:val="0"/>
          <w:lang w:val="en-US"/>
        </w:rPr>
        <w:t>promising options for the creation of a financially integrated energy cluster</w:t>
      </w:r>
      <w:r w:rsidR="00CA508B">
        <w:rPr>
          <w:caps w:val="0"/>
          <w:lang w:val="en-US"/>
        </w:rPr>
        <w:t xml:space="preserve"> mainly d</w:t>
      </w:r>
      <w:r w:rsidRPr="00EF2D80">
        <w:rPr>
          <w:caps w:val="0"/>
          <w:lang w:val="en-US"/>
        </w:rPr>
        <w:t xml:space="preserve">ue to </w:t>
      </w:r>
      <w:r w:rsidR="00CA508B">
        <w:rPr>
          <w:caps w:val="0"/>
          <w:lang w:val="en-US"/>
        </w:rPr>
        <w:t>two factors [3]:</w:t>
      </w:r>
    </w:p>
    <w:p w14:paraId="1968CF03" w14:textId="68142D34" w:rsidR="00CA508B" w:rsidRPr="00CA508B" w:rsidRDefault="00EF2D80" w:rsidP="00CA508B">
      <w:pPr>
        <w:pStyle w:val="Heading2"/>
        <w:numPr>
          <w:ilvl w:val="0"/>
          <w:numId w:val="37"/>
        </w:numPr>
        <w:tabs>
          <w:tab w:val="left" w:pos="567"/>
        </w:tabs>
        <w:spacing w:before="0" w:beforeAutospacing="0" w:after="0" w:afterAutospacing="0"/>
        <w:ind w:left="0" w:firstLine="570"/>
        <w:jc w:val="both"/>
        <w:rPr>
          <w:caps w:val="0"/>
        </w:rPr>
      </w:pPr>
      <w:r w:rsidRPr="00EF2D80">
        <w:rPr>
          <w:caps w:val="0"/>
          <w:lang w:val="en-US"/>
        </w:rPr>
        <w:t xml:space="preserve">lower investments </w:t>
      </w:r>
      <w:r w:rsidR="00BA63AC">
        <w:rPr>
          <w:caps w:val="0"/>
          <w:lang w:val="en-US"/>
        </w:rPr>
        <w:t xml:space="preserve">in the SMR </w:t>
      </w:r>
      <w:r w:rsidR="00103893">
        <w:rPr>
          <w:caps w:val="0"/>
          <w:lang w:val="en-US"/>
        </w:rPr>
        <w:t xml:space="preserve">unit </w:t>
      </w:r>
      <w:r w:rsidR="00BA63AC">
        <w:rPr>
          <w:caps w:val="0"/>
          <w:lang w:val="en-US"/>
        </w:rPr>
        <w:t xml:space="preserve">construction </w:t>
      </w:r>
      <w:r w:rsidR="00103893" w:rsidRPr="00103893">
        <w:rPr>
          <w:caps w:val="0"/>
          <w:lang w:val="en-US"/>
        </w:rPr>
        <w:t xml:space="preserve">compared to </w:t>
      </w:r>
      <w:r w:rsidR="00103893">
        <w:rPr>
          <w:caps w:val="0"/>
          <w:lang w:val="en-US"/>
        </w:rPr>
        <w:t xml:space="preserve">investments in the construction of </w:t>
      </w:r>
      <w:r w:rsidR="00103893" w:rsidRPr="00103893">
        <w:rPr>
          <w:caps w:val="0"/>
          <w:lang w:val="en-US"/>
        </w:rPr>
        <w:t xml:space="preserve">a </w:t>
      </w:r>
      <w:r w:rsidR="00103893">
        <w:rPr>
          <w:caps w:val="0"/>
          <w:lang w:val="en-US"/>
        </w:rPr>
        <w:t xml:space="preserve">of </w:t>
      </w:r>
      <w:proofErr w:type="gramStart"/>
      <w:r w:rsidR="00103893" w:rsidRPr="00103893">
        <w:rPr>
          <w:caps w:val="0"/>
          <w:lang w:val="en-US"/>
        </w:rPr>
        <w:t>high power</w:t>
      </w:r>
      <w:proofErr w:type="gramEnd"/>
      <w:r w:rsidR="00103893" w:rsidRPr="00103893">
        <w:rPr>
          <w:caps w:val="0"/>
          <w:lang w:val="en-US"/>
        </w:rPr>
        <w:t xml:space="preserve"> reactor</w:t>
      </w:r>
      <w:r w:rsidR="00CA508B" w:rsidRPr="00CA508B">
        <w:rPr>
          <w:caps w:val="0"/>
          <w:lang w:val="en-US"/>
        </w:rPr>
        <w:t xml:space="preserve"> </w:t>
      </w:r>
      <w:r w:rsidR="00CA508B">
        <w:rPr>
          <w:caps w:val="0"/>
          <w:lang w:val="en-US"/>
        </w:rPr>
        <w:t>unit,</w:t>
      </w:r>
      <w:r w:rsidR="00103893" w:rsidRPr="00103893">
        <w:rPr>
          <w:caps w:val="0"/>
          <w:lang w:val="en-US"/>
        </w:rPr>
        <w:t xml:space="preserve"> </w:t>
      </w:r>
      <w:r w:rsidR="00103893">
        <w:rPr>
          <w:caps w:val="0"/>
          <w:lang w:val="en-US"/>
        </w:rPr>
        <w:t xml:space="preserve">and </w:t>
      </w:r>
    </w:p>
    <w:p w14:paraId="1AD26CE0" w14:textId="01DB8ACD" w:rsidR="00CA508B" w:rsidRPr="00CA508B" w:rsidRDefault="00103893" w:rsidP="00CA508B">
      <w:pPr>
        <w:pStyle w:val="Heading2"/>
        <w:numPr>
          <w:ilvl w:val="0"/>
          <w:numId w:val="37"/>
        </w:numPr>
        <w:tabs>
          <w:tab w:val="left" w:pos="567"/>
        </w:tabs>
        <w:spacing w:before="0" w:beforeAutospacing="0" w:after="0" w:afterAutospacing="0"/>
        <w:ind w:left="0" w:firstLine="570"/>
        <w:jc w:val="both"/>
        <w:rPr>
          <w:caps w:val="0"/>
        </w:rPr>
      </w:pPr>
      <w:r>
        <w:rPr>
          <w:caps w:val="0"/>
          <w:lang w:val="en-US"/>
        </w:rPr>
        <w:t>shorter construction period for the SMR</w:t>
      </w:r>
      <w:r w:rsidR="00CA508B">
        <w:rPr>
          <w:caps w:val="0"/>
          <w:lang w:val="en-US"/>
        </w:rPr>
        <w:t xml:space="preserve"> unit than for the </w:t>
      </w:r>
      <w:proofErr w:type="gramStart"/>
      <w:r w:rsidR="00CA508B" w:rsidRPr="00103893">
        <w:rPr>
          <w:caps w:val="0"/>
          <w:lang w:val="en-US"/>
        </w:rPr>
        <w:t>high power</w:t>
      </w:r>
      <w:proofErr w:type="gramEnd"/>
      <w:r w:rsidR="00CA508B" w:rsidRPr="00103893">
        <w:rPr>
          <w:caps w:val="0"/>
          <w:lang w:val="en-US"/>
        </w:rPr>
        <w:t xml:space="preserve"> reactor</w:t>
      </w:r>
      <w:r w:rsidR="00EC204D">
        <w:rPr>
          <w:caps w:val="0"/>
          <w:lang w:val="en-US"/>
        </w:rPr>
        <w:t>.</w:t>
      </w:r>
      <w:r w:rsidR="001308EE" w:rsidRPr="001308EE">
        <w:t xml:space="preserve"> </w:t>
      </w:r>
    </w:p>
    <w:p w14:paraId="5AA52F59" w14:textId="492E5212" w:rsidR="002173F8" w:rsidRDefault="002173F8" w:rsidP="00FE0600">
      <w:pPr>
        <w:pStyle w:val="Heading2"/>
        <w:numPr>
          <w:ilvl w:val="0"/>
          <w:numId w:val="0"/>
        </w:numPr>
        <w:tabs>
          <w:tab w:val="left" w:pos="0"/>
        </w:tabs>
        <w:spacing w:before="0" w:beforeAutospacing="0" w:after="0" w:afterAutospacing="0"/>
        <w:ind w:firstLine="570"/>
        <w:jc w:val="both"/>
        <w:rPr>
          <w:caps w:val="0"/>
        </w:rPr>
      </w:pPr>
      <w:r>
        <w:rPr>
          <w:caps w:val="0"/>
        </w:rPr>
        <w:t>T</w:t>
      </w:r>
      <w:r w:rsidRPr="002173F8">
        <w:rPr>
          <w:caps w:val="0"/>
        </w:rPr>
        <w:t xml:space="preserve">he </w:t>
      </w:r>
      <w:r>
        <w:rPr>
          <w:caps w:val="0"/>
        </w:rPr>
        <w:t>F</w:t>
      </w:r>
      <w:r w:rsidRPr="002173F8">
        <w:rPr>
          <w:caps w:val="0"/>
        </w:rPr>
        <w:t>ig</w:t>
      </w:r>
      <w:r>
        <w:rPr>
          <w:caps w:val="0"/>
        </w:rPr>
        <w:t xml:space="preserve">. 2 </w:t>
      </w:r>
      <w:r w:rsidR="00FE0600">
        <w:rPr>
          <w:caps w:val="0"/>
        </w:rPr>
        <w:t>shows a diagram of</w:t>
      </w:r>
      <w:r w:rsidR="00BA3F50">
        <w:rPr>
          <w:caps w:val="0"/>
        </w:rPr>
        <w:t xml:space="preserve"> construction </w:t>
      </w:r>
      <w:r w:rsidR="00FE0600">
        <w:rPr>
          <w:caps w:val="0"/>
        </w:rPr>
        <w:t>investment</w:t>
      </w:r>
      <w:r w:rsidR="00FE0600" w:rsidRPr="002173F8">
        <w:rPr>
          <w:caps w:val="0"/>
        </w:rPr>
        <w:t xml:space="preserve"> </w:t>
      </w:r>
      <w:r w:rsidR="00FE0600">
        <w:rPr>
          <w:caps w:val="0"/>
        </w:rPr>
        <w:t>for</w:t>
      </w:r>
      <w:r w:rsidR="00BA3F50">
        <w:rPr>
          <w:caps w:val="0"/>
        </w:rPr>
        <w:t xml:space="preserve"> </w:t>
      </w:r>
      <w:r w:rsidRPr="002173F8">
        <w:rPr>
          <w:caps w:val="0"/>
        </w:rPr>
        <w:t>a cluster</w:t>
      </w:r>
      <w:r w:rsidR="00FE0600">
        <w:rPr>
          <w:caps w:val="0"/>
        </w:rPr>
        <w:t xml:space="preserve"> of </w:t>
      </w:r>
      <w:proofErr w:type="gramStart"/>
      <w:r w:rsidR="00FE0600">
        <w:rPr>
          <w:caps w:val="0"/>
        </w:rPr>
        <w:t xml:space="preserve">four </w:t>
      </w:r>
      <w:r w:rsidRPr="002173F8">
        <w:rPr>
          <w:caps w:val="0"/>
        </w:rPr>
        <w:t xml:space="preserve"> </w:t>
      </w:r>
      <w:r>
        <w:rPr>
          <w:caps w:val="0"/>
        </w:rPr>
        <w:t>SMRs</w:t>
      </w:r>
      <w:proofErr w:type="gramEnd"/>
      <w:r>
        <w:rPr>
          <w:caps w:val="0"/>
        </w:rPr>
        <w:t xml:space="preserve"> of </w:t>
      </w:r>
      <w:r w:rsidRPr="002173F8">
        <w:rPr>
          <w:caps w:val="0"/>
        </w:rPr>
        <w:t>PWR</w:t>
      </w:r>
      <w:r>
        <w:rPr>
          <w:caps w:val="0"/>
        </w:rPr>
        <w:t xml:space="preserve"> type</w:t>
      </w:r>
      <w:r w:rsidRPr="002173F8">
        <w:rPr>
          <w:caps w:val="0"/>
        </w:rPr>
        <w:t xml:space="preserve"> with a capacity of 300 MW(e)</w:t>
      </w:r>
      <w:r>
        <w:rPr>
          <w:caps w:val="0"/>
        </w:rPr>
        <w:t xml:space="preserve"> each</w:t>
      </w:r>
      <w:r w:rsidR="00BA3F50" w:rsidRPr="00BA3F50">
        <w:rPr>
          <w:caps w:val="0"/>
        </w:rPr>
        <w:t xml:space="preserve"> </w:t>
      </w:r>
      <w:r w:rsidR="00BA3F50" w:rsidRPr="002173F8">
        <w:rPr>
          <w:caps w:val="0"/>
        </w:rPr>
        <w:t xml:space="preserve">and return of </w:t>
      </w:r>
      <w:r w:rsidR="00BA3F50">
        <w:rPr>
          <w:caps w:val="0"/>
        </w:rPr>
        <w:t>invested equity and credit capital</w:t>
      </w:r>
      <w:r>
        <w:rPr>
          <w:caps w:val="0"/>
        </w:rPr>
        <w:t>.</w:t>
      </w:r>
    </w:p>
    <w:p w14:paraId="408C065E" w14:textId="6CA71BCA" w:rsidR="00C34089" w:rsidRDefault="00336EB8" w:rsidP="002173F8">
      <w:pPr>
        <w:pStyle w:val="Heading2"/>
        <w:numPr>
          <w:ilvl w:val="0"/>
          <w:numId w:val="0"/>
        </w:numPr>
        <w:tabs>
          <w:tab w:val="left" w:pos="567"/>
        </w:tabs>
        <w:spacing w:before="0" w:beforeAutospacing="0" w:after="0" w:afterAutospacing="0"/>
        <w:jc w:val="center"/>
      </w:pPr>
      <w:r>
        <w:rPr>
          <w:noProof/>
          <w:lang w:val="ru-RU" w:eastAsia="ru-RU"/>
        </w:rPr>
        <mc:AlternateContent>
          <mc:Choice Requires="wps">
            <w:drawing>
              <wp:anchor distT="0" distB="0" distL="114300" distR="114300" simplePos="0" relativeHeight="251670528" behindDoc="0" locked="0" layoutInCell="1" allowOverlap="1" wp14:anchorId="61E1F351" wp14:editId="545AD298">
                <wp:simplePos x="0" y="0"/>
                <wp:positionH relativeFrom="column">
                  <wp:posOffset>4565559</wp:posOffset>
                </wp:positionH>
                <wp:positionV relativeFrom="paragraph">
                  <wp:posOffset>1097189</wp:posOffset>
                </wp:positionV>
                <wp:extent cx="898071" cy="261076"/>
                <wp:effectExtent l="0" t="0" r="0" b="5715"/>
                <wp:wrapNone/>
                <wp:docPr id="988039496" name="Надпись 36"/>
                <wp:cNvGraphicFramePr/>
                <a:graphic xmlns:a="http://schemas.openxmlformats.org/drawingml/2006/main">
                  <a:graphicData uri="http://schemas.microsoft.com/office/word/2010/wordprocessingShape">
                    <wps:wsp>
                      <wps:cNvSpPr txBox="1"/>
                      <wps:spPr>
                        <a:xfrm>
                          <a:off x="0" y="0"/>
                          <a:ext cx="898071" cy="261076"/>
                        </a:xfrm>
                        <a:prstGeom prst="rect">
                          <a:avLst/>
                        </a:prstGeom>
                        <a:solidFill>
                          <a:schemeClr val="lt1"/>
                        </a:solidFill>
                        <a:ln w="6350">
                          <a:noFill/>
                        </a:ln>
                      </wps:spPr>
                      <wps:txbx>
                        <w:txbxContent>
                          <w:p w14:paraId="2156AD11" w14:textId="557148D5" w:rsidR="00757903" w:rsidRPr="00336EB8" w:rsidRDefault="00757903">
                            <w:pPr>
                              <w:rPr>
                                <w:sz w:val="18"/>
                                <w:szCs w:val="18"/>
                                <w:lang w:val="en-US"/>
                              </w:rPr>
                            </w:pPr>
                            <w:r w:rsidRPr="00336EB8">
                              <w:rPr>
                                <w:sz w:val="18"/>
                                <w:szCs w:val="18"/>
                                <w:lang w:val="en-US"/>
                              </w:rPr>
                              <w:t>Equity 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1F351" id="_x0000_t202" coordsize="21600,21600" o:spt="202" path="m,l,21600r21600,l21600,xe">
                <v:stroke joinstyle="miter"/>
                <v:path gradientshapeok="t" o:connecttype="rect"/>
              </v:shapetype>
              <v:shape id="Надпись 36" o:spid="_x0000_s1026" type="#_x0000_t202" style="position:absolute;left:0;text-align:left;margin-left:359.5pt;margin-top:86.4pt;width:70.7pt;height:2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" fillcolor="white [3201]" stroked="f" strokeweight=".5pt">
                <v:textbox>
                  <w:txbxContent>
                    <w:p w14:paraId="2156AD11" w14:textId="557148D5" w:rsidR="00757903" w:rsidRPr="00336EB8" w:rsidRDefault="00757903">
                      <w:pPr>
                        <w:rPr>
                          <w:sz w:val="18"/>
                          <w:szCs w:val="18"/>
                          <w:lang w:val="en-US"/>
                        </w:rPr>
                      </w:pPr>
                      <w:r w:rsidRPr="00336EB8">
                        <w:rPr>
                          <w:sz w:val="18"/>
                          <w:szCs w:val="18"/>
                          <w:lang w:val="en-US"/>
                        </w:rPr>
                        <w:t>Equity return</w:t>
                      </w:r>
                    </w:p>
                  </w:txbxContent>
                </v:textbox>
              </v:shape>
            </w:pict>
          </mc:Fallback>
        </mc:AlternateContent>
      </w:r>
      <w:r w:rsidR="00872CE0">
        <w:rPr>
          <w:noProof/>
          <w:lang w:val="ru-RU" w:eastAsia="ru-RU"/>
        </w:rPr>
        <mc:AlternateContent>
          <mc:Choice Requires="wps">
            <w:drawing>
              <wp:anchor distT="0" distB="0" distL="114300" distR="114300" simplePos="0" relativeHeight="251669504" behindDoc="0" locked="0" layoutInCell="1" allowOverlap="1" wp14:anchorId="051817A9" wp14:editId="0DC17E99">
                <wp:simplePos x="0" y="0"/>
                <wp:positionH relativeFrom="column">
                  <wp:posOffset>4392386</wp:posOffset>
                </wp:positionH>
                <wp:positionV relativeFrom="paragraph">
                  <wp:posOffset>792843</wp:posOffset>
                </wp:positionV>
                <wp:extent cx="130628" cy="119743"/>
                <wp:effectExtent l="0" t="0" r="3175" b="0"/>
                <wp:wrapNone/>
                <wp:docPr id="1196610051" name="Прямоугольник 34"/>
                <wp:cNvGraphicFramePr/>
                <a:graphic xmlns:a="http://schemas.openxmlformats.org/drawingml/2006/main">
                  <a:graphicData uri="http://schemas.microsoft.com/office/word/2010/wordprocessingShape">
                    <wps:wsp>
                      <wps:cNvSpPr/>
                      <wps:spPr>
                        <a:xfrm>
                          <a:off x="0" y="0"/>
                          <a:ext cx="130628" cy="119743"/>
                        </a:xfrm>
                        <a:prstGeom prst="rect">
                          <a:avLst/>
                        </a:prstGeom>
                        <a:solidFill>
                          <a:srgbClr val="FFD44B"/>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D45AD" id="Прямоугольник 34" o:spid="_x0000_s1026" style="position:absolute;margin-left:345.85pt;margin-top:62.45pt;width:10.3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" fillcolor="#ffd44b" stroked="f"/>
            </w:pict>
          </mc:Fallback>
        </mc:AlternateContent>
      </w:r>
      <w:r w:rsidR="00BA3F50">
        <w:rPr>
          <w:noProof/>
          <w:lang w:val="ru-RU" w:eastAsia="ru-RU"/>
        </w:rPr>
        <mc:AlternateContent>
          <mc:Choice Requires="wps">
            <w:drawing>
              <wp:anchor distT="0" distB="0" distL="114300" distR="114300" simplePos="0" relativeHeight="251668480" behindDoc="0" locked="0" layoutInCell="1" allowOverlap="1" wp14:anchorId="104C8849" wp14:editId="1350959D">
                <wp:simplePos x="0" y="0"/>
                <wp:positionH relativeFrom="column">
                  <wp:posOffset>4386942</wp:posOffset>
                </wp:positionH>
                <wp:positionV relativeFrom="paragraph">
                  <wp:posOffset>422729</wp:posOffset>
                </wp:positionV>
                <wp:extent cx="124641" cy="130084"/>
                <wp:effectExtent l="0" t="0" r="8890" b="3810"/>
                <wp:wrapNone/>
                <wp:docPr id="706447976" name="Прямоугольник 32"/>
                <wp:cNvGraphicFramePr/>
                <a:graphic xmlns:a="http://schemas.openxmlformats.org/drawingml/2006/main">
                  <a:graphicData uri="http://schemas.microsoft.com/office/word/2010/wordprocessingShape">
                    <wps:wsp>
                      <wps:cNvSpPr/>
                      <wps:spPr>
                        <a:xfrm>
                          <a:off x="0" y="0"/>
                          <a:ext cx="124641" cy="130084"/>
                        </a:xfrm>
                        <a:prstGeom prst="rect">
                          <a:avLst/>
                        </a:prstGeom>
                        <a:solidFill>
                          <a:srgbClr val="00D25F"/>
                        </a:solidFill>
                        <a:ln w="952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94C8A" id="Прямоугольник 32" o:spid="_x0000_s1026" style="position:absolute;margin-left:345.45pt;margin-top:33.3pt;width:9.8pt;height: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" fillcolor="#00d25f" stroked="f"/>
            </w:pict>
          </mc:Fallback>
        </mc:AlternateContent>
      </w:r>
      <w:r w:rsidR="002173F8">
        <w:t xml:space="preserve">                                  </w:t>
      </w:r>
      <w:r w:rsidR="00321BE0" w:rsidRPr="00321BE0">
        <w:rPr>
          <w:noProof/>
          <w:lang w:val="ru-RU" w:eastAsia="ru-RU"/>
        </w:rPr>
        <w:drawing>
          <wp:inline distT="0" distB="0" distL="0" distR="0" wp14:anchorId="4E87D0D2" wp14:editId="00456035">
            <wp:extent cx="4086951" cy="2214880"/>
            <wp:effectExtent l="0" t="0" r="8890" b="0"/>
            <wp:docPr id="18247666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5BC7C4" w14:textId="31D3FE25" w:rsidR="00A32872" w:rsidRPr="00AD366F" w:rsidRDefault="00BA3F50" w:rsidP="00AD366F">
      <w:pPr>
        <w:pStyle w:val="Heading2"/>
        <w:numPr>
          <w:ilvl w:val="0"/>
          <w:numId w:val="0"/>
        </w:numPr>
        <w:tabs>
          <w:tab w:val="left" w:pos="851"/>
        </w:tabs>
        <w:spacing w:before="0" w:beforeAutospacing="0" w:after="0" w:afterAutospacing="0"/>
        <w:jc w:val="center"/>
        <w:rPr>
          <w:i/>
          <w:iCs/>
          <w:sz w:val="18"/>
          <w:szCs w:val="18"/>
        </w:rPr>
      </w:pPr>
      <w:r w:rsidRPr="00BA3F50">
        <w:rPr>
          <w:i/>
          <w:iCs/>
          <w:sz w:val="18"/>
          <w:szCs w:val="18"/>
        </w:rPr>
        <w:t>FIG.2</w:t>
      </w:r>
      <w:r w:rsidR="00884167">
        <w:rPr>
          <w:i/>
          <w:iCs/>
          <w:sz w:val="18"/>
          <w:szCs w:val="18"/>
        </w:rPr>
        <w:t>.</w:t>
      </w:r>
      <w:r w:rsidRPr="00BA3F50">
        <w:rPr>
          <w:i/>
          <w:iCs/>
          <w:sz w:val="18"/>
          <w:szCs w:val="18"/>
        </w:rPr>
        <w:t xml:space="preserve"> </w:t>
      </w:r>
      <w:r w:rsidR="00FE0600">
        <w:rPr>
          <w:i/>
          <w:iCs/>
          <w:caps w:val="0"/>
          <w:sz w:val="18"/>
          <w:szCs w:val="18"/>
        </w:rPr>
        <w:t xml:space="preserve">A </w:t>
      </w:r>
      <w:r>
        <w:rPr>
          <w:i/>
          <w:iCs/>
          <w:caps w:val="0"/>
          <w:sz w:val="18"/>
          <w:szCs w:val="18"/>
        </w:rPr>
        <w:t xml:space="preserve">diagram </w:t>
      </w:r>
      <w:r w:rsidR="00591C6C" w:rsidRPr="00591C6C">
        <w:rPr>
          <w:i/>
          <w:iCs/>
          <w:caps w:val="0"/>
          <w:sz w:val="18"/>
          <w:szCs w:val="18"/>
        </w:rPr>
        <w:t xml:space="preserve">of construction </w:t>
      </w:r>
      <w:proofErr w:type="gramStart"/>
      <w:r w:rsidR="00FE0600">
        <w:rPr>
          <w:i/>
          <w:iCs/>
          <w:caps w:val="0"/>
          <w:sz w:val="18"/>
          <w:szCs w:val="18"/>
        </w:rPr>
        <w:t xml:space="preserve">investment </w:t>
      </w:r>
      <w:r w:rsidR="00FE0600" w:rsidRPr="00591C6C">
        <w:rPr>
          <w:i/>
          <w:iCs/>
          <w:caps w:val="0"/>
          <w:sz w:val="18"/>
          <w:szCs w:val="18"/>
        </w:rPr>
        <w:t xml:space="preserve"> </w:t>
      </w:r>
      <w:r w:rsidR="00FE0600">
        <w:rPr>
          <w:i/>
          <w:iCs/>
          <w:caps w:val="0"/>
          <w:sz w:val="18"/>
          <w:szCs w:val="18"/>
        </w:rPr>
        <w:t>in</w:t>
      </w:r>
      <w:proofErr w:type="gramEnd"/>
      <w:r w:rsidR="00FE0600">
        <w:rPr>
          <w:i/>
          <w:iCs/>
          <w:caps w:val="0"/>
          <w:sz w:val="18"/>
          <w:szCs w:val="18"/>
        </w:rPr>
        <w:t xml:space="preserve"> a cluster of four </w:t>
      </w:r>
      <w:r w:rsidR="00591C6C" w:rsidRPr="00591C6C">
        <w:rPr>
          <w:i/>
          <w:iCs/>
          <w:caps w:val="0"/>
          <w:sz w:val="18"/>
          <w:szCs w:val="18"/>
        </w:rPr>
        <w:t xml:space="preserve"> SMRs and return of invested equity and credit capital</w:t>
      </w:r>
      <w:r>
        <w:rPr>
          <w:i/>
          <w:iCs/>
          <w:caps w:val="0"/>
          <w:sz w:val="18"/>
          <w:szCs w:val="18"/>
        </w:rPr>
        <w:t xml:space="preserve"> </w:t>
      </w:r>
    </w:p>
    <w:p w14:paraId="1E4E7334" w14:textId="77777777" w:rsidR="00FE0600" w:rsidRDefault="00A32872" w:rsidP="00871D3F">
      <w:pPr>
        <w:pStyle w:val="Heading2"/>
        <w:numPr>
          <w:ilvl w:val="0"/>
          <w:numId w:val="0"/>
        </w:numPr>
        <w:tabs>
          <w:tab w:val="left" w:pos="567"/>
        </w:tabs>
        <w:spacing w:before="0" w:beforeAutospacing="0" w:after="0" w:afterAutospacing="0"/>
        <w:jc w:val="both"/>
        <w:rPr>
          <w:caps w:val="0"/>
        </w:rPr>
      </w:pPr>
      <w:r>
        <w:rPr>
          <w:caps w:val="0"/>
        </w:rPr>
        <w:tab/>
      </w:r>
    </w:p>
    <w:p w14:paraId="0BA0D3FA" w14:textId="4EF0A402" w:rsidR="00A32872" w:rsidRDefault="00FE0600" w:rsidP="00871D3F">
      <w:pPr>
        <w:pStyle w:val="Heading2"/>
        <w:numPr>
          <w:ilvl w:val="0"/>
          <w:numId w:val="0"/>
        </w:numPr>
        <w:tabs>
          <w:tab w:val="left" w:pos="567"/>
        </w:tabs>
        <w:spacing w:before="0" w:beforeAutospacing="0" w:after="0" w:afterAutospacing="0"/>
        <w:jc w:val="both"/>
        <w:rPr>
          <w:caps w:val="0"/>
        </w:rPr>
      </w:pPr>
      <w:r>
        <w:rPr>
          <w:caps w:val="0"/>
        </w:rPr>
        <w:tab/>
      </w:r>
      <w:r w:rsidR="00591C6C" w:rsidRPr="00591C6C">
        <w:rPr>
          <w:caps w:val="0"/>
        </w:rPr>
        <w:t>For simplicity</w:t>
      </w:r>
      <w:r w:rsidR="00591C6C">
        <w:rPr>
          <w:caps w:val="0"/>
          <w:lang w:val="en-US"/>
        </w:rPr>
        <w:t>,</w:t>
      </w:r>
      <w:r w:rsidR="00591C6C" w:rsidRPr="00591C6C">
        <w:rPr>
          <w:caps w:val="0"/>
        </w:rPr>
        <w:t xml:space="preserve"> </w:t>
      </w:r>
      <w:r w:rsidR="00871D3F">
        <w:rPr>
          <w:caps w:val="0"/>
        </w:rPr>
        <w:t xml:space="preserve">it is </w:t>
      </w:r>
      <w:r>
        <w:rPr>
          <w:caps w:val="0"/>
        </w:rPr>
        <w:t xml:space="preserve">assumed </w:t>
      </w:r>
      <w:r w:rsidR="00871D3F">
        <w:rPr>
          <w:caps w:val="0"/>
        </w:rPr>
        <w:t xml:space="preserve">that </w:t>
      </w:r>
      <w:r w:rsidR="00591C6C" w:rsidRPr="00591C6C">
        <w:rPr>
          <w:caps w:val="0"/>
        </w:rPr>
        <w:t>by the start of a new unit operation, the credit invested in the construction of the previous ones has to be paid off, so the new credit applies not to one unit, but to the entire system</w:t>
      </w:r>
      <w:r w:rsidR="00591C6C">
        <w:rPr>
          <w:caps w:val="0"/>
        </w:rPr>
        <w:t>.</w:t>
      </w:r>
      <w:r w:rsidR="00591C6C" w:rsidRPr="00591C6C">
        <w:rPr>
          <w:caps w:val="0"/>
        </w:rPr>
        <w:t xml:space="preserve"> </w:t>
      </w:r>
      <w:r w:rsidR="00871D3F">
        <w:rPr>
          <w:caps w:val="0"/>
        </w:rPr>
        <w:t xml:space="preserve">Technical and </w:t>
      </w:r>
      <w:r w:rsidR="00871D3F" w:rsidRPr="00871D3F">
        <w:rPr>
          <w:caps w:val="0"/>
        </w:rPr>
        <w:t>economic reactor characteristics and parameters of the</w:t>
      </w:r>
      <w:r w:rsidR="00871D3F">
        <w:rPr>
          <w:caps w:val="0"/>
        </w:rPr>
        <w:t>se two</w:t>
      </w:r>
      <w:r w:rsidR="00871D3F" w:rsidRPr="00871D3F">
        <w:rPr>
          <w:caps w:val="0"/>
        </w:rPr>
        <w:t xml:space="preserve"> system</w:t>
      </w:r>
      <w:r w:rsidR="00871D3F">
        <w:rPr>
          <w:caps w:val="0"/>
        </w:rPr>
        <w:t>s</w:t>
      </w:r>
      <w:r w:rsidR="00871D3F" w:rsidRPr="00871D3F">
        <w:rPr>
          <w:caps w:val="0"/>
        </w:rPr>
        <w:t xml:space="preserve"> </w:t>
      </w:r>
      <w:r w:rsidR="00871D3F">
        <w:rPr>
          <w:caps w:val="0"/>
        </w:rPr>
        <w:t xml:space="preserve">are in Table 3. </w:t>
      </w:r>
      <w:r w:rsidR="00871D3F" w:rsidRPr="00871D3F">
        <w:rPr>
          <w:caps w:val="0"/>
        </w:rPr>
        <w:t xml:space="preserve">Financing conditions </w:t>
      </w:r>
      <w:r w:rsidR="00871D3F">
        <w:rPr>
          <w:caps w:val="0"/>
        </w:rPr>
        <w:t>are in Table 4.</w:t>
      </w:r>
    </w:p>
    <w:p w14:paraId="57261593" w14:textId="77777777" w:rsidR="0090075E" w:rsidRDefault="0090075E" w:rsidP="0073378F">
      <w:pPr>
        <w:pStyle w:val="BodyText"/>
        <w:tabs>
          <w:tab w:val="left" w:pos="1276"/>
          <w:tab w:val="left" w:pos="1560"/>
        </w:tabs>
        <w:rPr>
          <w:lang w:val="en-US"/>
        </w:rPr>
      </w:pPr>
    </w:p>
    <w:p w14:paraId="49C614BD" w14:textId="1AB61A92" w:rsidR="00871D3F" w:rsidRDefault="0073378F" w:rsidP="0073378F">
      <w:pPr>
        <w:pStyle w:val="BodyText"/>
        <w:tabs>
          <w:tab w:val="left" w:pos="1276"/>
          <w:tab w:val="left" w:pos="1560"/>
        </w:tabs>
      </w:pPr>
      <w:r w:rsidRPr="00621F68">
        <w:rPr>
          <w:lang w:val="en-US"/>
        </w:rPr>
        <w:t xml:space="preserve">TABLE </w:t>
      </w:r>
      <w:r>
        <w:rPr>
          <w:lang w:val="en-US"/>
        </w:rPr>
        <w:t>3</w:t>
      </w:r>
      <w:r w:rsidRPr="00621F68">
        <w:rPr>
          <w:lang w:val="en-US"/>
        </w:rPr>
        <w:t>.</w:t>
      </w:r>
      <w:r w:rsidRPr="00621F68">
        <w:rPr>
          <w:lang w:val="en-US"/>
        </w:rPr>
        <w:tab/>
      </w:r>
      <w:r w:rsidRPr="0073378F">
        <w:rPr>
          <w:lang w:val="en-US"/>
        </w:rPr>
        <w:t xml:space="preserve">Technical and economic reactor characteristics and parameters of the system </w:t>
      </w:r>
    </w:p>
    <w:p w14:paraId="37C88CE2" w14:textId="77777777" w:rsidR="0073378F" w:rsidRDefault="0073378F" w:rsidP="00871D3F">
      <w:pPr>
        <w:pStyle w:val="BodyText"/>
      </w:pPr>
    </w:p>
    <w:tbl>
      <w:tblPr>
        <w:tblStyle w:val="TableGridLight1"/>
        <w:tblW w:w="7371" w:type="dxa"/>
        <w:tblInd w:w="1271" w:type="dxa"/>
        <w:tblLook w:val="0600" w:firstRow="0" w:lastRow="0" w:firstColumn="0" w:lastColumn="0" w:noHBand="1" w:noVBand="1"/>
      </w:tblPr>
      <w:tblGrid>
        <w:gridCol w:w="4814"/>
        <w:gridCol w:w="1184"/>
        <w:gridCol w:w="1373"/>
      </w:tblGrid>
      <w:tr w:rsidR="00871D3F" w:rsidRPr="00A65BF0" w14:paraId="7B817CC3" w14:textId="77777777" w:rsidTr="0073378F">
        <w:trPr>
          <w:trHeight w:val="283"/>
        </w:trPr>
        <w:tc>
          <w:tcPr>
            <w:tcW w:w="4814" w:type="dxa"/>
            <w:tcBorders>
              <w:top w:val="single" w:sz="4" w:space="0" w:color="auto"/>
              <w:left w:val="single" w:sz="4" w:space="0" w:color="auto"/>
              <w:bottom w:val="single" w:sz="4" w:space="0" w:color="auto"/>
              <w:right w:val="single" w:sz="4" w:space="0" w:color="auto"/>
            </w:tcBorders>
            <w:vAlign w:val="center"/>
            <w:hideMark/>
          </w:tcPr>
          <w:p w14:paraId="06A452D8" w14:textId="00D0D22C" w:rsidR="00871D3F" w:rsidRPr="00871D3F" w:rsidRDefault="00FC6CFC" w:rsidP="00A65BF0">
            <w:pPr>
              <w:pStyle w:val="BodyText"/>
              <w:ind w:firstLine="35"/>
              <w:jc w:val="left"/>
              <w:rPr>
                <w:lang w:val="en-US"/>
              </w:rPr>
            </w:pPr>
            <w:bookmarkStart w:id="11" w:name="_Hlk170651687"/>
            <w:r w:rsidRPr="00A65BF0">
              <w:rPr>
                <w:lang w:val="en-US"/>
              </w:rPr>
              <w:t>Characteristic</w:t>
            </w:r>
            <w:r w:rsidR="00FE0600">
              <w:rPr>
                <w:lang w:val="en-US"/>
              </w:rPr>
              <w:t>s</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9198951" w14:textId="3FE9D97C" w:rsidR="00FC6CFC" w:rsidRPr="00A65BF0" w:rsidRDefault="00871D3F" w:rsidP="00FC6CFC">
            <w:pPr>
              <w:pStyle w:val="BodyText"/>
              <w:ind w:firstLine="0"/>
              <w:jc w:val="center"/>
              <w:rPr>
                <w:lang w:val="en-US"/>
              </w:rPr>
            </w:pPr>
            <w:r w:rsidRPr="00871D3F">
              <w:rPr>
                <w:lang w:val="en-US"/>
              </w:rPr>
              <w:t>Large unit</w:t>
            </w:r>
          </w:p>
          <w:p w14:paraId="690AEE86" w14:textId="576B536B" w:rsidR="00871D3F" w:rsidRPr="00871D3F" w:rsidRDefault="00871D3F" w:rsidP="00FC6CFC">
            <w:pPr>
              <w:pStyle w:val="BodyText"/>
              <w:ind w:firstLine="0"/>
              <w:jc w:val="center"/>
              <w:rPr>
                <w:lang w:val="ru-RU"/>
              </w:rPr>
            </w:pPr>
          </w:p>
        </w:tc>
        <w:tc>
          <w:tcPr>
            <w:tcW w:w="1373" w:type="dxa"/>
            <w:tcBorders>
              <w:top w:val="single" w:sz="4" w:space="0" w:color="auto"/>
              <w:left w:val="single" w:sz="4" w:space="0" w:color="auto"/>
              <w:bottom w:val="single" w:sz="4" w:space="0" w:color="auto"/>
              <w:right w:val="single" w:sz="4" w:space="0" w:color="auto"/>
            </w:tcBorders>
            <w:vAlign w:val="center"/>
            <w:hideMark/>
          </w:tcPr>
          <w:p w14:paraId="636D8483" w14:textId="09812B05" w:rsidR="00871D3F" w:rsidRPr="00871D3F" w:rsidRDefault="00871D3F" w:rsidP="00A65BF0">
            <w:pPr>
              <w:pStyle w:val="BodyText"/>
              <w:ind w:firstLine="0"/>
              <w:jc w:val="center"/>
              <w:rPr>
                <w:lang w:val="en-US"/>
              </w:rPr>
            </w:pPr>
            <w:r w:rsidRPr="00871D3F">
              <w:rPr>
                <w:lang w:val="en-US"/>
              </w:rPr>
              <w:t>Cluster</w:t>
            </w:r>
          </w:p>
        </w:tc>
      </w:tr>
      <w:tr w:rsidR="0073378F" w:rsidRPr="00A65BF0" w14:paraId="196B4930" w14:textId="77777777" w:rsidTr="0073378F">
        <w:trPr>
          <w:trHeight w:val="283"/>
        </w:trPr>
        <w:tc>
          <w:tcPr>
            <w:tcW w:w="4814" w:type="dxa"/>
            <w:tcBorders>
              <w:top w:val="single" w:sz="4" w:space="0" w:color="auto"/>
              <w:left w:val="single" w:sz="4" w:space="0" w:color="auto"/>
              <w:bottom w:val="single" w:sz="4" w:space="0" w:color="auto"/>
              <w:right w:val="single" w:sz="4" w:space="0" w:color="auto"/>
            </w:tcBorders>
            <w:vAlign w:val="center"/>
            <w:hideMark/>
          </w:tcPr>
          <w:p w14:paraId="319C499D" w14:textId="77777777" w:rsidR="00871D3F" w:rsidRPr="00871D3F" w:rsidRDefault="00871D3F" w:rsidP="00A65BF0">
            <w:pPr>
              <w:pStyle w:val="BodyText"/>
              <w:ind w:firstLine="35"/>
              <w:jc w:val="left"/>
              <w:rPr>
                <w:lang w:val="ru-RU"/>
              </w:rPr>
            </w:pPr>
            <w:r w:rsidRPr="00871D3F">
              <w:rPr>
                <w:lang w:val="en-US"/>
              </w:rPr>
              <w:t>Installed capacity, MW(e)</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3C0E0C7" w14:textId="77777777" w:rsidR="00871D3F" w:rsidRPr="00871D3F" w:rsidRDefault="00871D3F" w:rsidP="0073378F">
            <w:pPr>
              <w:pStyle w:val="BodyText"/>
              <w:ind w:firstLine="0"/>
              <w:jc w:val="center"/>
              <w:rPr>
                <w:lang w:val="ru-RU"/>
              </w:rPr>
            </w:pPr>
            <w:r w:rsidRPr="00871D3F">
              <w:rPr>
                <w:lang w:val="en-US"/>
              </w:rPr>
              <w:t>1200</w:t>
            </w:r>
          </w:p>
        </w:tc>
        <w:tc>
          <w:tcPr>
            <w:tcW w:w="1373" w:type="dxa"/>
            <w:tcBorders>
              <w:top w:val="single" w:sz="4" w:space="0" w:color="auto"/>
              <w:left w:val="single" w:sz="4" w:space="0" w:color="auto"/>
              <w:bottom w:val="single" w:sz="4" w:space="0" w:color="auto"/>
              <w:right w:val="single" w:sz="4" w:space="0" w:color="auto"/>
            </w:tcBorders>
            <w:vAlign w:val="center"/>
            <w:hideMark/>
          </w:tcPr>
          <w:p w14:paraId="297C1CD8" w14:textId="6F8ED60F" w:rsidR="00871D3F" w:rsidRPr="00871D3F" w:rsidRDefault="00871D3F" w:rsidP="00A65BF0">
            <w:pPr>
              <w:pStyle w:val="BodyText"/>
              <w:ind w:firstLine="0"/>
              <w:jc w:val="center"/>
              <w:rPr>
                <w:lang w:val="ru-RU"/>
              </w:rPr>
            </w:pPr>
            <w:r w:rsidRPr="00871D3F">
              <w:rPr>
                <w:lang w:val="en-US"/>
              </w:rPr>
              <w:t>4X</w:t>
            </w:r>
            <w:r w:rsidRPr="00871D3F">
              <w:rPr>
                <w:lang w:val="ru-RU"/>
              </w:rPr>
              <w:t>300</w:t>
            </w:r>
          </w:p>
        </w:tc>
      </w:tr>
      <w:tr w:rsidR="0073378F" w:rsidRPr="00A65BF0" w14:paraId="504C709E" w14:textId="77777777" w:rsidTr="0073378F">
        <w:trPr>
          <w:trHeight w:val="283"/>
        </w:trPr>
        <w:tc>
          <w:tcPr>
            <w:tcW w:w="4814" w:type="dxa"/>
            <w:tcBorders>
              <w:top w:val="single" w:sz="4" w:space="0" w:color="auto"/>
              <w:left w:val="single" w:sz="4" w:space="0" w:color="auto"/>
              <w:bottom w:val="single" w:sz="4" w:space="0" w:color="auto"/>
              <w:right w:val="single" w:sz="4" w:space="0" w:color="auto"/>
            </w:tcBorders>
            <w:vAlign w:val="center"/>
            <w:hideMark/>
          </w:tcPr>
          <w:p w14:paraId="43E36B30" w14:textId="77777777" w:rsidR="00871D3F" w:rsidRPr="00871D3F" w:rsidRDefault="00871D3F" w:rsidP="00A65BF0">
            <w:pPr>
              <w:pStyle w:val="BodyText"/>
              <w:ind w:firstLine="35"/>
              <w:jc w:val="left"/>
              <w:rPr>
                <w:lang w:val="ru-RU"/>
              </w:rPr>
            </w:pPr>
            <w:r w:rsidRPr="00871D3F">
              <w:rPr>
                <w:lang w:val="en-US"/>
              </w:rPr>
              <w:t>Load factor</w:t>
            </w:r>
            <w:r w:rsidRPr="00871D3F">
              <w:rPr>
                <w:lang w:val="ru-RU"/>
              </w:rPr>
              <w:t>, %</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693E57C" w14:textId="77777777" w:rsidR="00871D3F" w:rsidRPr="00871D3F" w:rsidRDefault="00871D3F" w:rsidP="0073378F">
            <w:pPr>
              <w:pStyle w:val="BodyText"/>
              <w:ind w:firstLine="0"/>
              <w:jc w:val="center"/>
              <w:rPr>
                <w:lang w:val="ru-RU"/>
              </w:rPr>
            </w:pPr>
            <w:r w:rsidRPr="00871D3F">
              <w:rPr>
                <w:lang w:val="ru-RU"/>
              </w:rPr>
              <w:t>92</w:t>
            </w:r>
          </w:p>
        </w:tc>
        <w:tc>
          <w:tcPr>
            <w:tcW w:w="1373" w:type="dxa"/>
            <w:tcBorders>
              <w:top w:val="single" w:sz="4" w:space="0" w:color="auto"/>
              <w:left w:val="single" w:sz="4" w:space="0" w:color="auto"/>
              <w:bottom w:val="single" w:sz="4" w:space="0" w:color="auto"/>
              <w:right w:val="single" w:sz="4" w:space="0" w:color="auto"/>
            </w:tcBorders>
            <w:vAlign w:val="center"/>
            <w:hideMark/>
          </w:tcPr>
          <w:p w14:paraId="72D77FBD" w14:textId="77777777" w:rsidR="00871D3F" w:rsidRPr="00871D3F" w:rsidRDefault="00871D3F" w:rsidP="0073378F">
            <w:pPr>
              <w:pStyle w:val="BodyText"/>
              <w:ind w:firstLine="0"/>
              <w:jc w:val="center"/>
              <w:rPr>
                <w:lang w:val="ru-RU"/>
              </w:rPr>
            </w:pPr>
            <w:r w:rsidRPr="00871D3F">
              <w:rPr>
                <w:lang w:val="ru-RU"/>
              </w:rPr>
              <w:t>92</w:t>
            </w:r>
          </w:p>
        </w:tc>
      </w:tr>
      <w:tr w:rsidR="0073378F" w:rsidRPr="00A65BF0" w14:paraId="079DDF93" w14:textId="77777777" w:rsidTr="0073378F">
        <w:trPr>
          <w:trHeight w:val="283"/>
        </w:trPr>
        <w:tc>
          <w:tcPr>
            <w:tcW w:w="4814" w:type="dxa"/>
            <w:tcBorders>
              <w:top w:val="single" w:sz="4" w:space="0" w:color="auto"/>
              <w:left w:val="single" w:sz="4" w:space="0" w:color="auto"/>
              <w:bottom w:val="single" w:sz="4" w:space="0" w:color="auto"/>
              <w:right w:val="single" w:sz="4" w:space="0" w:color="auto"/>
            </w:tcBorders>
            <w:vAlign w:val="center"/>
            <w:hideMark/>
          </w:tcPr>
          <w:p w14:paraId="1F893A16" w14:textId="77777777" w:rsidR="00871D3F" w:rsidRPr="00871D3F" w:rsidRDefault="00871D3F" w:rsidP="00A65BF0">
            <w:pPr>
              <w:pStyle w:val="BodyText"/>
              <w:ind w:firstLine="35"/>
              <w:jc w:val="left"/>
              <w:rPr>
                <w:lang w:val="ru-RU"/>
              </w:rPr>
            </w:pPr>
            <w:r w:rsidRPr="00871D3F">
              <w:rPr>
                <w:lang w:val="en-US"/>
              </w:rPr>
              <w:t>Life time, years</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E862BEA" w14:textId="77777777" w:rsidR="00871D3F" w:rsidRPr="00871D3F" w:rsidRDefault="00871D3F" w:rsidP="0073378F">
            <w:pPr>
              <w:pStyle w:val="BodyText"/>
              <w:ind w:firstLine="0"/>
              <w:jc w:val="center"/>
              <w:rPr>
                <w:lang w:val="ru-RU"/>
              </w:rPr>
            </w:pPr>
            <w:r w:rsidRPr="00871D3F">
              <w:rPr>
                <w:lang w:val="ru-RU"/>
              </w:rPr>
              <w:t>60</w:t>
            </w:r>
          </w:p>
        </w:tc>
        <w:tc>
          <w:tcPr>
            <w:tcW w:w="1373" w:type="dxa"/>
            <w:tcBorders>
              <w:top w:val="single" w:sz="4" w:space="0" w:color="auto"/>
              <w:left w:val="single" w:sz="4" w:space="0" w:color="auto"/>
              <w:bottom w:val="single" w:sz="4" w:space="0" w:color="auto"/>
              <w:right w:val="single" w:sz="4" w:space="0" w:color="auto"/>
            </w:tcBorders>
            <w:vAlign w:val="center"/>
            <w:hideMark/>
          </w:tcPr>
          <w:p w14:paraId="2C4FAC9D" w14:textId="77777777" w:rsidR="00871D3F" w:rsidRPr="00871D3F" w:rsidRDefault="00871D3F" w:rsidP="0073378F">
            <w:pPr>
              <w:pStyle w:val="BodyText"/>
              <w:ind w:firstLine="0"/>
              <w:jc w:val="center"/>
              <w:rPr>
                <w:lang w:val="ru-RU"/>
              </w:rPr>
            </w:pPr>
            <w:r w:rsidRPr="00871D3F">
              <w:rPr>
                <w:lang w:val="ru-RU"/>
              </w:rPr>
              <w:t>60</w:t>
            </w:r>
          </w:p>
        </w:tc>
      </w:tr>
      <w:tr w:rsidR="0073378F" w:rsidRPr="00A65BF0" w14:paraId="56B20ADB" w14:textId="77777777" w:rsidTr="0073378F">
        <w:trPr>
          <w:trHeight w:val="283"/>
        </w:trPr>
        <w:tc>
          <w:tcPr>
            <w:tcW w:w="4814" w:type="dxa"/>
            <w:tcBorders>
              <w:top w:val="single" w:sz="4" w:space="0" w:color="auto"/>
              <w:left w:val="single" w:sz="4" w:space="0" w:color="auto"/>
              <w:bottom w:val="single" w:sz="4" w:space="0" w:color="auto"/>
              <w:right w:val="single" w:sz="4" w:space="0" w:color="auto"/>
            </w:tcBorders>
            <w:vAlign w:val="center"/>
            <w:hideMark/>
          </w:tcPr>
          <w:p w14:paraId="4E96CA64" w14:textId="77777777" w:rsidR="00871D3F" w:rsidRPr="00871D3F" w:rsidRDefault="00871D3F" w:rsidP="00A65BF0">
            <w:pPr>
              <w:pStyle w:val="BodyText"/>
              <w:ind w:firstLine="35"/>
              <w:jc w:val="left"/>
              <w:rPr>
                <w:lang w:val="en-US"/>
              </w:rPr>
            </w:pPr>
            <w:r w:rsidRPr="00871D3F">
              <w:rPr>
                <w:lang w:val="en-US"/>
              </w:rPr>
              <w:t>Construction time of a power unit, years</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9DF3CD1" w14:textId="77777777" w:rsidR="00871D3F" w:rsidRPr="00871D3F" w:rsidRDefault="00871D3F" w:rsidP="0073378F">
            <w:pPr>
              <w:pStyle w:val="BodyText"/>
              <w:ind w:firstLine="0"/>
              <w:jc w:val="center"/>
              <w:rPr>
                <w:lang w:val="ru-RU"/>
              </w:rPr>
            </w:pPr>
            <w:r w:rsidRPr="00871D3F">
              <w:rPr>
                <w:lang w:val="en-US"/>
              </w:rPr>
              <w:t>6</w:t>
            </w:r>
          </w:p>
        </w:tc>
        <w:tc>
          <w:tcPr>
            <w:tcW w:w="1373" w:type="dxa"/>
            <w:tcBorders>
              <w:top w:val="single" w:sz="4" w:space="0" w:color="auto"/>
              <w:left w:val="single" w:sz="4" w:space="0" w:color="auto"/>
              <w:bottom w:val="single" w:sz="4" w:space="0" w:color="auto"/>
              <w:right w:val="single" w:sz="4" w:space="0" w:color="auto"/>
            </w:tcBorders>
            <w:vAlign w:val="center"/>
            <w:hideMark/>
          </w:tcPr>
          <w:p w14:paraId="542CD346" w14:textId="77777777" w:rsidR="00871D3F" w:rsidRPr="00871D3F" w:rsidRDefault="00871D3F" w:rsidP="0073378F">
            <w:pPr>
              <w:pStyle w:val="BodyText"/>
              <w:rPr>
                <w:lang w:val="ru-RU"/>
              </w:rPr>
            </w:pPr>
            <w:r w:rsidRPr="00871D3F">
              <w:rPr>
                <w:lang w:val="ru-RU"/>
              </w:rPr>
              <w:t>3</w:t>
            </w:r>
          </w:p>
        </w:tc>
      </w:tr>
      <w:tr w:rsidR="0073378F" w:rsidRPr="00A65BF0" w14:paraId="419FFE05" w14:textId="77777777" w:rsidTr="0073378F">
        <w:trPr>
          <w:trHeight w:val="283"/>
        </w:trPr>
        <w:tc>
          <w:tcPr>
            <w:tcW w:w="4814" w:type="dxa"/>
            <w:tcBorders>
              <w:top w:val="single" w:sz="4" w:space="0" w:color="auto"/>
              <w:left w:val="single" w:sz="4" w:space="0" w:color="auto"/>
              <w:bottom w:val="single" w:sz="4" w:space="0" w:color="auto"/>
              <w:right w:val="single" w:sz="4" w:space="0" w:color="auto"/>
            </w:tcBorders>
            <w:vAlign w:val="center"/>
            <w:hideMark/>
          </w:tcPr>
          <w:p w14:paraId="07575904" w14:textId="220DC387" w:rsidR="00871D3F" w:rsidRPr="00871D3F" w:rsidRDefault="00871D3F" w:rsidP="00A65BF0">
            <w:pPr>
              <w:pStyle w:val="BodyText"/>
              <w:ind w:firstLine="35"/>
              <w:jc w:val="left"/>
              <w:rPr>
                <w:lang w:val="en-US"/>
              </w:rPr>
            </w:pPr>
            <w:r w:rsidRPr="00871D3F">
              <w:rPr>
                <w:lang w:val="en-US"/>
              </w:rPr>
              <w:t>S</w:t>
            </w:r>
            <w:r w:rsidR="00FE0600">
              <w:rPr>
                <w:lang w:val="en-US"/>
              </w:rPr>
              <w:t>pecific capital cost, USD/kW(e</w:t>
            </w:r>
            <w:r w:rsidRPr="00871D3F">
              <w:rPr>
                <w:lang w:val="en-US"/>
              </w:rPr>
              <w:t>)</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CFE9FAE" w14:textId="77777777" w:rsidR="00871D3F" w:rsidRPr="00871D3F" w:rsidRDefault="00871D3F" w:rsidP="0073378F">
            <w:pPr>
              <w:pStyle w:val="BodyText"/>
              <w:ind w:firstLine="0"/>
              <w:jc w:val="center"/>
              <w:rPr>
                <w:lang w:val="ru-RU"/>
              </w:rPr>
            </w:pPr>
            <w:r w:rsidRPr="00871D3F">
              <w:rPr>
                <w:lang w:val="en-US"/>
              </w:rPr>
              <w:t>4</w:t>
            </w:r>
            <w:r w:rsidRPr="00871D3F">
              <w:rPr>
                <w:lang w:val="ru-RU"/>
              </w:rPr>
              <w:t>000</w:t>
            </w:r>
          </w:p>
        </w:tc>
        <w:tc>
          <w:tcPr>
            <w:tcW w:w="1373" w:type="dxa"/>
            <w:tcBorders>
              <w:top w:val="single" w:sz="4" w:space="0" w:color="auto"/>
              <w:left w:val="single" w:sz="4" w:space="0" w:color="auto"/>
              <w:bottom w:val="single" w:sz="4" w:space="0" w:color="auto"/>
              <w:right w:val="single" w:sz="4" w:space="0" w:color="auto"/>
            </w:tcBorders>
            <w:vAlign w:val="center"/>
            <w:hideMark/>
          </w:tcPr>
          <w:p w14:paraId="0F40BD04" w14:textId="6B8F8772" w:rsidR="00871D3F" w:rsidRPr="00871D3F" w:rsidRDefault="00871D3F" w:rsidP="0073378F">
            <w:pPr>
              <w:pStyle w:val="BodyText"/>
              <w:ind w:firstLine="0"/>
              <w:jc w:val="center"/>
              <w:rPr>
                <w:lang w:val="ru-RU"/>
              </w:rPr>
            </w:pPr>
            <w:r w:rsidRPr="00871D3F">
              <w:rPr>
                <w:lang w:val="ru-RU"/>
              </w:rPr>
              <w:t>4000</w:t>
            </w:r>
          </w:p>
        </w:tc>
      </w:tr>
      <w:tr w:rsidR="0073378F" w:rsidRPr="00A65BF0" w14:paraId="6079B3DA" w14:textId="77777777" w:rsidTr="0073378F">
        <w:trPr>
          <w:trHeight w:val="283"/>
        </w:trPr>
        <w:tc>
          <w:tcPr>
            <w:tcW w:w="4814" w:type="dxa"/>
            <w:tcBorders>
              <w:top w:val="single" w:sz="4" w:space="0" w:color="auto"/>
              <w:left w:val="single" w:sz="4" w:space="0" w:color="auto"/>
              <w:bottom w:val="single" w:sz="4" w:space="0" w:color="auto"/>
              <w:right w:val="single" w:sz="4" w:space="0" w:color="auto"/>
            </w:tcBorders>
            <w:vAlign w:val="center"/>
            <w:hideMark/>
          </w:tcPr>
          <w:p w14:paraId="31E0EF2B" w14:textId="6889BD46" w:rsidR="00871D3F" w:rsidRPr="00871D3F" w:rsidRDefault="00871D3F" w:rsidP="00A65BF0">
            <w:pPr>
              <w:pStyle w:val="BodyText"/>
              <w:ind w:firstLine="35"/>
              <w:jc w:val="left"/>
              <w:rPr>
                <w:lang w:val="en-US"/>
              </w:rPr>
            </w:pPr>
            <w:r w:rsidRPr="00871D3F">
              <w:rPr>
                <w:lang w:val="en-US"/>
              </w:rPr>
              <w:t>Operating and maintenance cost, USD/MWh</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D4406EF" w14:textId="77777777" w:rsidR="00871D3F" w:rsidRPr="00871D3F" w:rsidRDefault="00871D3F" w:rsidP="0073378F">
            <w:pPr>
              <w:pStyle w:val="BodyText"/>
              <w:ind w:firstLine="0"/>
              <w:jc w:val="center"/>
              <w:rPr>
                <w:lang w:val="ru-RU"/>
              </w:rPr>
            </w:pPr>
            <w:r w:rsidRPr="00871D3F">
              <w:rPr>
                <w:lang w:val="ru-RU"/>
              </w:rPr>
              <w:t>1</w:t>
            </w:r>
            <w:r w:rsidRPr="00871D3F">
              <w:rPr>
                <w:lang w:val="en-US"/>
              </w:rPr>
              <w:t>2</w:t>
            </w:r>
          </w:p>
        </w:tc>
        <w:tc>
          <w:tcPr>
            <w:tcW w:w="1373" w:type="dxa"/>
            <w:tcBorders>
              <w:top w:val="single" w:sz="4" w:space="0" w:color="auto"/>
              <w:left w:val="single" w:sz="4" w:space="0" w:color="auto"/>
              <w:bottom w:val="single" w:sz="4" w:space="0" w:color="auto"/>
              <w:right w:val="single" w:sz="4" w:space="0" w:color="auto"/>
            </w:tcBorders>
            <w:vAlign w:val="center"/>
            <w:hideMark/>
          </w:tcPr>
          <w:p w14:paraId="55CACF25" w14:textId="77777777" w:rsidR="00871D3F" w:rsidRPr="00871D3F" w:rsidRDefault="00871D3F" w:rsidP="0073378F">
            <w:pPr>
              <w:pStyle w:val="BodyText"/>
              <w:ind w:firstLine="0"/>
              <w:jc w:val="center"/>
              <w:rPr>
                <w:lang w:val="ru-RU"/>
              </w:rPr>
            </w:pPr>
            <w:r w:rsidRPr="00871D3F">
              <w:rPr>
                <w:lang w:val="ru-RU"/>
              </w:rPr>
              <w:t>12</w:t>
            </w:r>
          </w:p>
        </w:tc>
      </w:tr>
      <w:tr w:rsidR="0073378F" w:rsidRPr="00A65BF0" w14:paraId="44143145" w14:textId="77777777" w:rsidTr="0073378F">
        <w:trPr>
          <w:trHeight w:val="283"/>
        </w:trPr>
        <w:tc>
          <w:tcPr>
            <w:tcW w:w="4814" w:type="dxa"/>
            <w:tcBorders>
              <w:top w:val="single" w:sz="4" w:space="0" w:color="auto"/>
              <w:left w:val="single" w:sz="4" w:space="0" w:color="auto"/>
              <w:bottom w:val="single" w:sz="4" w:space="0" w:color="auto"/>
              <w:right w:val="single" w:sz="4" w:space="0" w:color="auto"/>
            </w:tcBorders>
            <w:vAlign w:val="center"/>
            <w:hideMark/>
          </w:tcPr>
          <w:p w14:paraId="37F5A43D" w14:textId="77777777" w:rsidR="00871D3F" w:rsidRPr="00871D3F" w:rsidRDefault="00871D3F" w:rsidP="00A65BF0">
            <w:pPr>
              <w:pStyle w:val="BodyText"/>
              <w:ind w:firstLine="35"/>
              <w:jc w:val="left"/>
              <w:rPr>
                <w:lang w:val="ru-RU"/>
              </w:rPr>
            </w:pPr>
            <w:r w:rsidRPr="00871D3F">
              <w:rPr>
                <w:lang w:val="en-US"/>
              </w:rPr>
              <w:t>Fuel cost, USD/MWh</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5AA7D2B" w14:textId="77777777" w:rsidR="00871D3F" w:rsidRPr="00871D3F" w:rsidRDefault="00871D3F" w:rsidP="0073378F">
            <w:pPr>
              <w:pStyle w:val="BodyText"/>
              <w:ind w:firstLine="0"/>
              <w:jc w:val="center"/>
              <w:rPr>
                <w:lang w:val="ru-RU"/>
              </w:rPr>
            </w:pPr>
            <w:r w:rsidRPr="00871D3F">
              <w:rPr>
                <w:lang w:val="en-US"/>
              </w:rPr>
              <w:t>8</w:t>
            </w:r>
          </w:p>
        </w:tc>
        <w:tc>
          <w:tcPr>
            <w:tcW w:w="1373" w:type="dxa"/>
            <w:tcBorders>
              <w:top w:val="single" w:sz="4" w:space="0" w:color="auto"/>
              <w:left w:val="single" w:sz="4" w:space="0" w:color="auto"/>
              <w:bottom w:val="single" w:sz="4" w:space="0" w:color="auto"/>
              <w:right w:val="single" w:sz="4" w:space="0" w:color="auto"/>
            </w:tcBorders>
            <w:vAlign w:val="center"/>
            <w:hideMark/>
          </w:tcPr>
          <w:p w14:paraId="5890BFA0" w14:textId="77777777" w:rsidR="00871D3F" w:rsidRPr="00871D3F" w:rsidRDefault="00871D3F" w:rsidP="0073378F">
            <w:pPr>
              <w:pStyle w:val="BodyText"/>
              <w:rPr>
                <w:lang w:val="ru-RU"/>
              </w:rPr>
            </w:pPr>
            <w:r w:rsidRPr="00871D3F">
              <w:rPr>
                <w:lang w:val="ru-RU"/>
              </w:rPr>
              <w:t>8</w:t>
            </w:r>
          </w:p>
        </w:tc>
      </w:tr>
      <w:tr w:rsidR="0073378F" w:rsidRPr="00A65BF0" w14:paraId="61929F4E" w14:textId="77777777" w:rsidTr="0073378F">
        <w:trPr>
          <w:trHeight w:val="283"/>
        </w:trPr>
        <w:tc>
          <w:tcPr>
            <w:tcW w:w="4814" w:type="dxa"/>
            <w:tcBorders>
              <w:top w:val="single" w:sz="4" w:space="0" w:color="auto"/>
              <w:left w:val="single" w:sz="4" w:space="0" w:color="auto"/>
              <w:bottom w:val="single" w:sz="4" w:space="0" w:color="auto"/>
              <w:right w:val="single" w:sz="4" w:space="0" w:color="auto"/>
            </w:tcBorders>
            <w:vAlign w:val="center"/>
            <w:hideMark/>
          </w:tcPr>
          <w:p w14:paraId="55B2FD3B" w14:textId="3C447015" w:rsidR="00871D3F" w:rsidRPr="00871D3F" w:rsidRDefault="00871D3F" w:rsidP="00FE0600">
            <w:pPr>
              <w:pStyle w:val="BodyText"/>
              <w:ind w:firstLine="35"/>
              <w:jc w:val="left"/>
              <w:rPr>
                <w:lang w:val="en-US"/>
              </w:rPr>
            </w:pPr>
            <w:r w:rsidRPr="00871D3F">
              <w:rPr>
                <w:lang w:val="en-US"/>
              </w:rPr>
              <w:t xml:space="preserve">Number of power units in the </w:t>
            </w:r>
            <w:r w:rsidR="00FE0600">
              <w:rPr>
                <w:lang w:val="en-US"/>
              </w:rPr>
              <w:t>cluster</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EA9A01E" w14:textId="09492DB6" w:rsidR="00871D3F" w:rsidRPr="00871D3F" w:rsidRDefault="00871D3F" w:rsidP="0073378F">
            <w:pPr>
              <w:pStyle w:val="BodyText"/>
              <w:ind w:firstLine="0"/>
              <w:jc w:val="center"/>
              <w:rPr>
                <w:lang w:val="ru-RU"/>
              </w:rPr>
            </w:pPr>
            <w:r w:rsidRPr="00871D3F">
              <w:rPr>
                <w:lang w:val="ru-RU"/>
              </w:rPr>
              <w:t>-</w:t>
            </w:r>
          </w:p>
        </w:tc>
        <w:tc>
          <w:tcPr>
            <w:tcW w:w="1373" w:type="dxa"/>
            <w:tcBorders>
              <w:top w:val="single" w:sz="4" w:space="0" w:color="auto"/>
              <w:left w:val="single" w:sz="4" w:space="0" w:color="auto"/>
              <w:bottom w:val="single" w:sz="4" w:space="0" w:color="auto"/>
              <w:right w:val="single" w:sz="4" w:space="0" w:color="auto"/>
            </w:tcBorders>
            <w:vAlign w:val="center"/>
            <w:hideMark/>
          </w:tcPr>
          <w:p w14:paraId="5C707703" w14:textId="77777777" w:rsidR="00871D3F" w:rsidRPr="00871D3F" w:rsidRDefault="00871D3F" w:rsidP="0073378F">
            <w:pPr>
              <w:pStyle w:val="BodyText"/>
              <w:rPr>
                <w:lang w:val="ru-RU"/>
              </w:rPr>
            </w:pPr>
            <w:r w:rsidRPr="00871D3F">
              <w:rPr>
                <w:lang w:val="en-US"/>
              </w:rPr>
              <w:t>4</w:t>
            </w:r>
          </w:p>
        </w:tc>
      </w:tr>
      <w:tr w:rsidR="0073378F" w:rsidRPr="00A65BF0" w14:paraId="166C8522" w14:textId="77777777" w:rsidTr="0073378F">
        <w:trPr>
          <w:trHeight w:val="283"/>
        </w:trPr>
        <w:tc>
          <w:tcPr>
            <w:tcW w:w="4814" w:type="dxa"/>
            <w:tcBorders>
              <w:top w:val="single" w:sz="4" w:space="0" w:color="auto"/>
              <w:left w:val="single" w:sz="4" w:space="0" w:color="auto"/>
              <w:bottom w:val="single" w:sz="4" w:space="0" w:color="auto"/>
              <w:right w:val="single" w:sz="4" w:space="0" w:color="auto"/>
            </w:tcBorders>
            <w:vAlign w:val="center"/>
            <w:hideMark/>
          </w:tcPr>
          <w:p w14:paraId="50F65EC8" w14:textId="77777777" w:rsidR="00871D3F" w:rsidRPr="00871D3F" w:rsidRDefault="00871D3F" w:rsidP="00A65BF0">
            <w:pPr>
              <w:pStyle w:val="BodyText"/>
              <w:ind w:firstLine="35"/>
              <w:jc w:val="left"/>
              <w:rPr>
                <w:lang w:val="en-US"/>
              </w:rPr>
            </w:pPr>
            <w:r w:rsidRPr="00871D3F">
              <w:rPr>
                <w:lang w:val="en-US"/>
              </w:rPr>
              <w:t>Span between power unit commissioning, years</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69F0AA1" w14:textId="77777777" w:rsidR="00871D3F" w:rsidRPr="00871D3F" w:rsidRDefault="00871D3F" w:rsidP="0073378F">
            <w:pPr>
              <w:pStyle w:val="BodyText"/>
              <w:ind w:firstLine="0"/>
              <w:jc w:val="center"/>
              <w:rPr>
                <w:lang w:val="ru-RU"/>
              </w:rPr>
            </w:pPr>
            <w:r w:rsidRPr="00871D3F">
              <w:rPr>
                <w:lang w:val="ru-RU"/>
              </w:rPr>
              <w:t>-</w:t>
            </w:r>
          </w:p>
        </w:tc>
        <w:tc>
          <w:tcPr>
            <w:tcW w:w="1373" w:type="dxa"/>
            <w:tcBorders>
              <w:top w:val="single" w:sz="4" w:space="0" w:color="auto"/>
              <w:left w:val="single" w:sz="4" w:space="0" w:color="auto"/>
              <w:bottom w:val="single" w:sz="4" w:space="0" w:color="auto"/>
              <w:right w:val="single" w:sz="4" w:space="0" w:color="auto"/>
            </w:tcBorders>
            <w:vAlign w:val="center"/>
            <w:hideMark/>
          </w:tcPr>
          <w:p w14:paraId="6E679282" w14:textId="77777777" w:rsidR="00871D3F" w:rsidRPr="00871D3F" w:rsidRDefault="00871D3F" w:rsidP="0073378F">
            <w:pPr>
              <w:pStyle w:val="BodyText"/>
              <w:rPr>
                <w:lang w:val="ru-RU"/>
              </w:rPr>
            </w:pPr>
            <w:r w:rsidRPr="00871D3F">
              <w:rPr>
                <w:lang w:val="ru-RU"/>
              </w:rPr>
              <w:t>9</w:t>
            </w:r>
          </w:p>
        </w:tc>
      </w:tr>
    </w:tbl>
    <w:bookmarkEnd w:id="11"/>
    <w:p w14:paraId="2485EEA2" w14:textId="5408BD8D" w:rsidR="0010062A" w:rsidRPr="0010062A" w:rsidRDefault="00591C6C" w:rsidP="000B1373">
      <w:pPr>
        <w:pStyle w:val="Heading2"/>
        <w:numPr>
          <w:ilvl w:val="0"/>
          <w:numId w:val="0"/>
        </w:numPr>
        <w:tabs>
          <w:tab w:val="left" w:pos="851"/>
          <w:tab w:val="left" w:pos="1560"/>
        </w:tabs>
        <w:ind w:left="567"/>
        <w:rPr>
          <w:lang w:val="ru-RU"/>
        </w:rPr>
      </w:pPr>
      <w:r>
        <w:rPr>
          <w:caps w:val="0"/>
        </w:rPr>
        <w:lastRenderedPageBreak/>
        <w:t xml:space="preserve"> </w:t>
      </w:r>
      <w:r w:rsidR="0073378F" w:rsidRPr="00621F68">
        <w:rPr>
          <w:lang w:val="en-US"/>
        </w:rPr>
        <w:t xml:space="preserve">TABLE </w:t>
      </w:r>
      <w:r w:rsidR="0073378F">
        <w:rPr>
          <w:lang w:val="en-US"/>
        </w:rPr>
        <w:t>4</w:t>
      </w:r>
      <w:r w:rsidR="0073378F" w:rsidRPr="00621F68">
        <w:rPr>
          <w:lang w:val="en-US"/>
        </w:rPr>
        <w:t>.</w:t>
      </w:r>
      <w:r w:rsidR="0073378F" w:rsidRPr="00621F68">
        <w:rPr>
          <w:lang w:val="en-US"/>
        </w:rPr>
        <w:tab/>
      </w:r>
      <w:r w:rsidR="0010062A">
        <w:rPr>
          <w:caps w:val="0"/>
          <w:lang w:val="en-US"/>
        </w:rPr>
        <w:t>F</w:t>
      </w:r>
      <w:r w:rsidR="0010062A" w:rsidRPr="0010062A">
        <w:rPr>
          <w:caps w:val="0"/>
          <w:lang w:val="en-US"/>
        </w:rPr>
        <w:t>inancing conditions</w:t>
      </w:r>
    </w:p>
    <w:tbl>
      <w:tblPr>
        <w:tblStyle w:val="TableGridLight1"/>
        <w:tblW w:w="7371" w:type="dxa"/>
        <w:tblInd w:w="1271" w:type="dxa"/>
        <w:tblLook w:val="0600" w:firstRow="0" w:lastRow="0" w:firstColumn="0" w:lastColumn="0" w:noHBand="1" w:noVBand="1"/>
      </w:tblPr>
      <w:tblGrid>
        <w:gridCol w:w="4678"/>
        <w:gridCol w:w="1134"/>
        <w:gridCol w:w="1559"/>
      </w:tblGrid>
      <w:tr w:rsidR="00715527" w:rsidRPr="00A65BF0" w14:paraId="61B80C93" w14:textId="77777777" w:rsidTr="0010062A">
        <w:trPr>
          <w:trHeight w:val="283"/>
        </w:trPr>
        <w:tc>
          <w:tcPr>
            <w:tcW w:w="4678" w:type="dxa"/>
            <w:tcBorders>
              <w:top w:val="single" w:sz="4" w:space="0" w:color="auto"/>
              <w:left w:val="single" w:sz="4" w:space="0" w:color="auto"/>
              <w:bottom w:val="single" w:sz="4" w:space="0" w:color="auto"/>
              <w:right w:val="single" w:sz="4" w:space="0" w:color="auto"/>
            </w:tcBorders>
            <w:vAlign w:val="center"/>
            <w:hideMark/>
          </w:tcPr>
          <w:p w14:paraId="7A94630E" w14:textId="288CB889" w:rsidR="00715527" w:rsidRPr="00871D3F" w:rsidRDefault="00715527" w:rsidP="00757903">
            <w:pPr>
              <w:pStyle w:val="BodyText"/>
              <w:ind w:firstLine="35"/>
              <w:jc w:val="left"/>
              <w:rPr>
                <w:lang w:val="en-US"/>
              </w:rPr>
            </w:pPr>
            <w:bookmarkStart w:id="12" w:name="_Hlk170669541"/>
            <w:r w:rsidRPr="00A65BF0">
              <w:rPr>
                <w:lang w:val="en-US"/>
              </w:rPr>
              <w:t>Characteristic</w:t>
            </w:r>
            <w:r w:rsidR="00FE0600">
              <w:rPr>
                <w:lang w:val="en-US"/>
              </w:rPr>
              <w: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A9068D" w14:textId="77777777" w:rsidR="00715527" w:rsidRPr="00A65BF0" w:rsidRDefault="00715527" w:rsidP="00757903">
            <w:pPr>
              <w:pStyle w:val="BodyText"/>
              <w:ind w:firstLine="0"/>
              <w:jc w:val="center"/>
              <w:rPr>
                <w:lang w:val="en-US"/>
              </w:rPr>
            </w:pPr>
            <w:r w:rsidRPr="00871D3F">
              <w:rPr>
                <w:lang w:val="en-US"/>
              </w:rPr>
              <w:t>Large unit</w:t>
            </w:r>
          </w:p>
          <w:p w14:paraId="546D0971" w14:textId="77777777" w:rsidR="00715527" w:rsidRPr="00871D3F" w:rsidRDefault="00715527" w:rsidP="00757903">
            <w:pPr>
              <w:pStyle w:val="BodyText"/>
              <w:ind w:firstLine="0"/>
              <w:jc w:val="center"/>
              <w:rPr>
                <w:lang w:val="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610130F" w14:textId="77777777" w:rsidR="00715527" w:rsidRPr="00871D3F" w:rsidRDefault="00715527" w:rsidP="00757903">
            <w:pPr>
              <w:pStyle w:val="BodyText"/>
              <w:ind w:firstLine="0"/>
              <w:jc w:val="center"/>
              <w:rPr>
                <w:lang w:val="en-US"/>
              </w:rPr>
            </w:pPr>
            <w:r w:rsidRPr="00871D3F">
              <w:rPr>
                <w:lang w:val="en-US"/>
              </w:rPr>
              <w:t>Cluster</w:t>
            </w:r>
          </w:p>
        </w:tc>
      </w:tr>
      <w:tr w:rsidR="00715527" w:rsidRPr="00A65BF0" w14:paraId="50465992" w14:textId="77777777" w:rsidTr="0010062A">
        <w:trPr>
          <w:trHeight w:val="283"/>
        </w:trPr>
        <w:tc>
          <w:tcPr>
            <w:tcW w:w="4678" w:type="dxa"/>
            <w:tcBorders>
              <w:top w:val="single" w:sz="4" w:space="0" w:color="auto"/>
              <w:left w:val="single" w:sz="4" w:space="0" w:color="auto"/>
              <w:bottom w:val="single" w:sz="4" w:space="0" w:color="auto"/>
              <w:right w:val="single" w:sz="4" w:space="0" w:color="auto"/>
            </w:tcBorders>
            <w:vAlign w:val="center"/>
            <w:hideMark/>
          </w:tcPr>
          <w:p w14:paraId="6CC7536B" w14:textId="29C287E1" w:rsidR="00715527" w:rsidRPr="00871D3F" w:rsidRDefault="00715527" w:rsidP="00757903">
            <w:pPr>
              <w:pStyle w:val="BodyText"/>
              <w:ind w:firstLine="35"/>
              <w:jc w:val="left"/>
              <w:rPr>
                <w:lang w:val="en-US"/>
              </w:rPr>
            </w:pPr>
            <w:r>
              <w:rPr>
                <w:lang w:val="en-US"/>
              </w:rPr>
              <w:t>LCOE discount rate</w:t>
            </w:r>
            <w:r w:rsidRPr="00871D3F">
              <w:rPr>
                <w:lang w:val="en-US"/>
              </w:rPr>
              <w:t xml:space="preserve">, </w:t>
            </w:r>
            <w:r>
              <w:rPr>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D81EEA" w14:textId="2DB514BC" w:rsidR="00715527" w:rsidRPr="00871D3F" w:rsidRDefault="00715527" w:rsidP="00757903">
            <w:pPr>
              <w:pStyle w:val="BodyText"/>
              <w:ind w:firstLine="0"/>
              <w:jc w:val="center"/>
              <w:rPr>
                <w:lang w:val="ru-RU"/>
              </w:rPr>
            </w:pPr>
            <w:r>
              <w:rPr>
                <w:lang w:val="ru-RU"/>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26D857" w14:textId="470A45F2" w:rsidR="00715527" w:rsidRPr="00871D3F" w:rsidRDefault="00715527" w:rsidP="00757903">
            <w:pPr>
              <w:pStyle w:val="BodyText"/>
              <w:ind w:firstLine="0"/>
              <w:jc w:val="center"/>
              <w:rPr>
                <w:lang w:val="en-US"/>
              </w:rPr>
            </w:pPr>
            <w:r>
              <w:rPr>
                <w:lang w:val="en-US"/>
              </w:rPr>
              <w:t>-</w:t>
            </w:r>
          </w:p>
        </w:tc>
      </w:tr>
      <w:tr w:rsidR="00715527" w:rsidRPr="00A65BF0" w14:paraId="2A1ACC9F" w14:textId="77777777" w:rsidTr="0010062A">
        <w:trPr>
          <w:trHeight w:val="283"/>
        </w:trPr>
        <w:tc>
          <w:tcPr>
            <w:tcW w:w="4678" w:type="dxa"/>
            <w:tcBorders>
              <w:top w:val="single" w:sz="4" w:space="0" w:color="auto"/>
              <w:left w:val="single" w:sz="4" w:space="0" w:color="auto"/>
              <w:bottom w:val="single" w:sz="4" w:space="0" w:color="auto"/>
              <w:right w:val="single" w:sz="4" w:space="0" w:color="auto"/>
            </w:tcBorders>
            <w:vAlign w:val="center"/>
            <w:hideMark/>
          </w:tcPr>
          <w:p w14:paraId="35E71952" w14:textId="7FAF3E96" w:rsidR="00715527" w:rsidRPr="00871D3F" w:rsidRDefault="00715527" w:rsidP="00757903">
            <w:pPr>
              <w:pStyle w:val="BodyText"/>
              <w:ind w:firstLine="35"/>
              <w:jc w:val="left"/>
              <w:rPr>
                <w:lang w:val="en-US"/>
              </w:rPr>
            </w:pPr>
            <w:r w:rsidRPr="00715527">
              <w:rPr>
                <w:lang w:val="en-US"/>
              </w:rPr>
              <w:t>Interest on equity, %</w:t>
            </w:r>
            <w:r>
              <w:rPr>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C32C1D" w14:textId="32C998AD" w:rsidR="00715527" w:rsidRPr="00871D3F" w:rsidRDefault="00715527" w:rsidP="00757903">
            <w:pPr>
              <w:pStyle w:val="BodyText"/>
              <w:ind w:firstLine="0"/>
              <w:jc w:val="center"/>
              <w:rPr>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3803FC2" w14:textId="609EA626" w:rsidR="00715527" w:rsidRPr="00871D3F" w:rsidRDefault="0010062A" w:rsidP="00757903">
            <w:pPr>
              <w:pStyle w:val="BodyText"/>
              <w:ind w:firstLine="0"/>
              <w:jc w:val="center"/>
              <w:rPr>
                <w:lang w:val="en-US"/>
              </w:rPr>
            </w:pPr>
            <w:r w:rsidRPr="0010062A">
              <w:rPr>
                <w:lang w:val="ru-RU"/>
              </w:rPr>
              <w:t>8 (N1)</w:t>
            </w:r>
            <w:r>
              <w:rPr>
                <w:lang w:val="en-US"/>
              </w:rPr>
              <w:t xml:space="preserve"> -11 (N4)</w:t>
            </w:r>
          </w:p>
        </w:tc>
      </w:tr>
      <w:tr w:rsidR="00715527" w:rsidRPr="00A65BF0" w14:paraId="05A2DD8C" w14:textId="77777777" w:rsidTr="0010062A">
        <w:trPr>
          <w:trHeight w:val="283"/>
        </w:trPr>
        <w:tc>
          <w:tcPr>
            <w:tcW w:w="4678" w:type="dxa"/>
            <w:tcBorders>
              <w:top w:val="single" w:sz="4" w:space="0" w:color="auto"/>
              <w:left w:val="single" w:sz="4" w:space="0" w:color="auto"/>
              <w:bottom w:val="single" w:sz="4" w:space="0" w:color="auto"/>
              <w:right w:val="single" w:sz="4" w:space="0" w:color="auto"/>
            </w:tcBorders>
            <w:vAlign w:val="center"/>
            <w:hideMark/>
          </w:tcPr>
          <w:p w14:paraId="6128ACC0" w14:textId="4173A93B" w:rsidR="00715527" w:rsidRPr="00871D3F" w:rsidRDefault="0010062A" w:rsidP="00757903">
            <w:pPr>
              <w:pStyle w:val="BodyText"/>
              <w:ind w:firstLine="35"/>
              <w:jc w:val="left"/>
              <w:rPr>
                <w:lang w:val="en-US"/>
              </w:rPr>
            </w:pPr>
            <w:r w:rsidRPr="0010062A">
              <w:rPr>
                <w:lang w:val="en-US"/>
              </w:rPr>
              <w:t>Interest on debt,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783C68" w14:textId="7495EC4D" w:rsidR="00715527" w:rsidRPr="00871D3F" w:rsidRDefault="0010062A" w:rsidP="00757903">
            <w:pPr>
              <w:pStyle w:val="BodyText"/>
              <w:ind w:firstLine="0"/>
              <w:jc w:val="center"/>
              <w:rPr>
                <w:lang w:val="en-US"/>
              </w:rPr>
            </w:pPr>
            <w:r>
              <w:rPr>
                <w:lang w:val="en-US"/>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B248E2" w14:textId="70A9E758" w:rsidR="00715527" w:rsidRPr="00871D3F" w:rsidRDefault="0010062A" w:rsidP="0010062A">
            <w:pPr>
              <w:pStyle w:val="BodyText"/>
              <w:ind w:firstLine="0"/>
              <w:jc w:val="center"/>
              <w:rPr>
                <w:lang w:val="en-US"/>
              </w:rPr>
            </w:pPr>
            <w:r>
              <w:rPr>
                <w:lang w:val="en-US"/>
              </w:rPr>
              <w:t>8</w:t>
            </w:r>
          </w:p>
        </w:tc>
      </w:tr>
      <w:tr w:rsidR="00715527" w:rsidRPr="00A65BF0" w14:paraId="7CEC2DA5" w14:textId="77777777" w:rsidTr="0010062A">
        <w:trPr>
          <w:trHeight w:val="283"/>
        </w:trPr>
        <w:tc>
          <w:tcPr>
            <w:tcW w:w="4678" w:type="dxa"/>
            <w:tcBorders>
              <w:top w:val="single" w:sz="4" w:space="0" w:color="auto"/>
              <w:left w:val="single" w:sz="4" w:space="0" w:color="auto"/>
              <w:bottom w:val="single" w:sz="4" w:space="0" w:color="auto"/>
              <w:right w:val="single" w:sz="4" w:space="0" w:color="auto"/>
            </w:tcBorders>
            <w:vAlign w:val="center"/>
            <w:hideMark/>
          </w:tcPr>
          <w:p w14:paraId="5419F65C" w14:textId="70670F0D" w:rsidR="00715527" w:rsidRPr="00871D3F" w:rsidRDefault="0010062A" w:rsidP="00757903">
            <w:pPr>
              <w:pStyle w:val="BodyText"/>
              <w:ind w:firstLine="35"/>
              <w:jc w:val="left"/>
              <w:rPr>
                <w:lang w:val="en-US"/>
              </w:rPr>
            </w:pPr>
            <w:r w:rsidRPr="0010062A">
              <w:rPr>
                <w:lang w:val="en-US"/>
              </w:rPr>
              <w:t xml:space="preserve">Credit return period, years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0D1199" w14:textId="04587080" w:rsidR="00715527" w:rsidRPr="00871D3F" w:rsidRDefault="005B4236" w:rsidP="00757903">
            <w:pPr>
              <w:pStyle w:val="BodyText"/>
              <w:ind w:firstLine="0"/>
              <w:jc w:val="center"/>
              <w:rPr>
                <w:lang w:val="en-US"/>
              </w:rPr>
            </w:pPr>
            <w:r>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68DCD2" w14:textId="06042DE3" w:rsidR="00715527" w:rsidRPr="00871D3F" w:rsidRDefault="0010062A" w:rsidP="0010062A">
            <w:pPr>
              <w:pStyle w:val="BodyText"/>
              <w:ind w:firstLine="0"/>
              <w:jc w:val="center"/>
              <w:rPr>
                <w:lang w:val="en-US"/>
              </w:rPr>
            </w:pPr>
            <w:r>
              <w:rPr>
                <w:lang w:val="en-US"/>
              </w:rPr>
              <w:t>6</w:t>
            </w:r>
          </w:p>
        </w:tc>
      </w:tr>
      <w:tr w:rsidR="00715527" w:rsidRPr="00A65BF0" w14:paraId="4763D19A" w14:textId="77777777" w:rsidTr="0010062A">
        <w:trPr>
          <w:trHeight w:val="283"/>
        </w:trPr>
        <w:tc>
          <w:tcPr>
            <w:tcW w:w="4678" w:type="dxa"/>
            <w:tcBorders>
              <w:top w:val="single" w:sz="4" w:space="0" w:color="auto"/>
              <w:left w:val="single" w:sz="4" w:space="0" w:color="auto"/>
              <w:bottom w:val="single" w:sz="4" w:space="0" w:color="auto"/>
              <w:right w:val="single" w:sz="4" w:space="0" w:color="auto"/>
            </w:tcBorders>
            <w:vAlign w:val="center"/>
            <w:hideMark/>
          </w:tcPr>
          <w:p w14:paraId="0B9FFD1E" w14:textId="06EC5DF8" w:rsidR="00715527" w:rsidRPr="00871D3F" w:rsidRDefault="0010062A" w:rsidP="00757903">
            <w:pPr>
              <w:pStyle w:val="BodyText"/>
              <w:ind w:firstLine="35"/>
              <w:jc w:val="left"/>
              <w:rPr>
                <w:lang w:val="en-US"/>
              </w:rPr>
            </w:pPr>
            <w:r w:rsidRPr="0010062A">
              <w:rPr>
                <w:lang w:val="en-US"/>
              </w:rPr>
              <w:t>Equity return, years</w:t>
            </w:r>
            <w:r>
              <w:rPr>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2A37" w14:textId="5D127766" w:rsidR="00715527" w:rsidRPr="00871D3F" w:rsidRDefault="0010062A" w:rsidP="00757903">
            <w:pPr>
              <w:pStyle w:val="BodyText"/>
              <w:ind w:firstLine="0"/>
              <w:jc w:val="center"/>
              <w:rPr>
                <w:lang w:val="ru-RU"/>
              </w:rPr>
            </w:pPr>
            <w:r>
              <w:rPr>
                <w:lang w:val="ru-RU"/>
              </w:rPr>
              <w:t>6</w:t>
            </w:r>
            <w:r w:rsidR="00715527" w:rsidRPr="00871D3F">
              <w:rPr>
                <w:lang w:val="ru-RU"/>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6629F2" w14:textId="16D45F3C" w:rsidR="00715527" w:rsidRPr="00871D3F" w:rsidRDefault="0010062A" w:rsidP="00757903">
            <w:pPr>
              <w:pStyle w:val="BodyText"/>
              <w:ind w:firstLine="0"/>
              <w:jc w:val="center"/>
              <w:rPr>
                <w:lang w:val="ru-RU"/>
              </w:rPr>
            </w:pPr>
            <w:r>
              <w:rPr>
                <w:lang w:val="en-US"/>
              </w:rPr>
              <w:t>6</w:t>
            </w:r>
            <w:r w:rsidR="00715527" w:rsidRPr="00871D3F">
              <w:rPr>
                <w:lang w:val="ru-RU"/>
              </w:rPr>
              <w:t>0</w:t>
            </w:r>
          </w:p>
        </w:tc>
      </w:tr>
      <w:tr w:rsidR="00715527" w:rsidRPr="00A65BF0" w14:paraId="62A39C8C" w14:textId="77777777" w:rsidTr="0010062A">
        <w:trPr>
          <w:trHeight w:val="283"/>
        </w:trPr>
        <w:tc>
          <w:tcPr>
            <w:tcW w:w="4678" w:type="dxa"/>
            <w:tcBorders>
              <w:top w:val="single" w:sz="4" w:space="0" w:color="auto"/>
              <w:left w:val="single" w:sz="4" w:space="0" w:color="auto"/>
              <w:bottom w:val="single" w:sz="4" w:space="0" w:color="auto"/>
              <w:right w:val="single" w:sz="4" w:space="0" w:color="auto"/>
            </w:tcBorders>
            <w:vAlign w:val="center"/>
            <w:hideMark/>
          </w:tcPr>
          <w:p w14:paraId="5B6CCC9F" w14:textId="0E19BB74" w:rsidR="00715527" w:rsidRPr="00871D3F" w:rsidRDefault="0010062A" w:rsidP="00757903">
            <w:pPr>
              <w:pStyle w:val="BodyText"/>
              <w:ind w:firstLine="35"/>
              <w:jc w:val="left"/>
              <w:rPr>
                <w:lang w:val="en-US"/>
              </w:rPr>
            </w:pPr>
            <w:r w:rsidRPr="0010062A">
              <w:rPr>
                <w:lang w:val="en-US"/>
              </w:rPr>
              <w:t xml:space="preserve">Electricity price, $/MW(e)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F2E698" w14:textId="14AD9CE7" w:rsidR="00715527" w:rsidRPr="00871D3F" w:rsidRDefault="005D0544" w:rsidP="00757903">
            <w:pPr>
              <w:pStyle w:val="BodyText"/>
              <w:ind w:firstLine="0"/>
              <w:jc w:val="center"/>
              <w:rPr>
                <w:lang w:val="en-US"/>
              </w:rPr>
            </w:pPr>
            <w:r>
              <w:rPr>
                <w:lang w:val="en-US"/>
              </w:rPr>
              <w:t>80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855892" w14:textId="3100BA4C" w:rsidR="00715527" w:rsidRPr="00871D3F" w:rsidRDefault="005D0544" w:rsidP="00757903">
            <w:pPr>
              <w:pStyle w:val="BodyText"/>
              <w:ind w:firstLine="0"/>
              <w:jc w:val="center"/>
              <w:rPr>
                <w:lang w:val="en-US"/>
              </w:rPr>
            </w:pPr>
            <w:r>
              <w:rPr>
                <w:lang w:val="en-US"/>
              </w:rPr>
              <w:t>80</w:t>
            </w:r>
          </w:p>
        </w:tc>
      </w:tr>
      <w:bookmarkEnd w:id="12"/>
    </w:tbl>
    <w:p w14:paraId="1E43E022" w14:textId="77777777" w:rsidR="007C6807" w:rsidRDefault="007C6807" w:rsidP="0073378F">
      <w:pPr>
        <w:pStyle w:val="BodyText"/>
        <w:rPr>
          <w:b/>
          <w:bCs/>
          <w:lang w:val="en-US"/>
        </w:rPr>
      </w:pPr>
    </w:p>
    <w:p w14:paraId="54B60242" w14:textId="3CC04EC7" w:rsidR="005D0544" w:rsidRPr="005D0544" w:rsidRDefault="00FE0600" w:rsidP="0073378F">
      <w:pPr>
        <w:pStyle w:val="BodyText"/>
        <w:rPr>
          <w:lang w:val="en-US"/>
        </w:rPr>
      </w:pPr>
      <w:r>
        <w:rPr>
          <w:lang w:val="en-US"/>
        </w:rPr>
        <w:t xml:space="preserve">The value and structure of cost </w:t>
      </w:r>
      <w:proofErr w:type="spellStart"/>
      <w:r>
        <w:rPr>
          <w:lang w:val="en-US"/>
        </w:rPr>
        <w:t>fo</w:t>
      </w:r>
      <w:proofErr w:type="spellEnd"/>
      <w:r w:rsidR="005D0544" w:rsidRPr="005D0544">
        <w:rPr>
          <w:lang w:val="en-US"/>
        </w:rPr>
        <w:t xml:space="preserve"> electricity</w:t>
      </w:r>
      <w:r w:rsidR="005D0544">
        <w:rPr>
          <w:lang w:val="en-US"/>
        </w:rPr>
        <w:t xml:space="preserve"> </w:t>
      </w:r>
      <w:r>
        <w:rPr>
          <w:lang w:val="en-US"/>
        </w:rPr>
        <w:t>generation are</w:t>
      </w:r>
      <w:r w:rsidR="005D0544">
        <w:rPr>
          <w:lang w:val="en-US"/>
        </w:rPr>
        <w:t xml:space="preserve"> shown in Fig.3</w:t>
      </w:r>
      <w:r w:rsidR="005B4236">
        <w:rPr>
          <w:lang w:val="en-US"/>
        </w:rPr>
        <w:t xml:space="preserve">. </w:t>
      </w:r>
    </w:p>
    <w:p w14:paraId="55142EE0" w14:textId="1E958B51" w:rsidR="00C34089" w:rsidRPr="005D0544" w:rsidRDefault="000B1373" w:rsidP="005D0544">
      <w:pPr>
        <w:pStyle w:val="BodyText"/>
        <w:tabs>
          <w:tab w:val="left" w:pos="567"/>
        </w:tabs>
        <w:ind w:firstLine="0"/>
        <w:jc w:val="center"/>
        <w:rPr>
          <w:lang w:val="en-US"/>
        </w:rPr>
      </w:pPr>
      <w:r>
        <w:rPr>
          <w:i/>
          <w:iCs/>
          <w:noProof/>
          <w:sz w:val="18"/>
          <w:szCs w:val="18"/>
          <w:lang w:val="ru-RU" w:eastAsia="ru-RU"/>
        </w:rPr>
        <mc:AlternateContent>
          <mc:Choice Requires="wps">
            <w:drawing>
              <wp:anchor distT="0" distB="0" distL="114300" distR="114300" simplePos="0" relativeHeight="251671552" behindDoc="0" locked="0" layoutInCell="1" allowOverlap="1" wp14:anchorId="53F1E264" wp14:editId="04AF2137">
                <wp:simplePos x="0" y="0"/>
                <wp:positionH relativeFrom="column">
                  <wp:posOffset>2071642</wp:posOffset>
                </wp:positionH>
                <wp:positionV relativeFrom="paragraph">
                  <wp:posOffset>76200</wp:posOffset>
                </wp:positionV>
                <wp:extent cx="1839686" cy="762000"/>
                <wp:effectExtent l="0" t="0" r="8255" b="0"/>
                <wp:wrapNone/>
                <wp:docPr id="522700512" name="Надпись 37"/>
                <wp:cNvGraphicFramePr/>
                <a:graphic xmlns:a="http://schemas.openxmlformats.org/drawingml/2006/main">
                  <a:graphicData uri="http://schemas.microsoft.com/office/word/2010/wordprocessingShape">
                    <wps:wsp>
                      <wps:cNvSpPr txBox="1"/>
                      <wps:spPr>
                        <a:xfrm>
                          <a:off x="0" y="0"/>
                          <a:ext cx="1839686" cy="762000"/>
                        </a:xfrm>
                        <a:prstGeom prst="rect">
                          <a:avLst/>
                        </a:prstGeom>
                        <a:solidFill>
                          <a:schemeClr val="lt1"/>
                        </a:solidFill>
                        <a:ln w="6350">
                          <a:noFill/>
                        </a:ln>
                      </wps:spPr>
                      <wps:txbx>
                        <w:txbxContent>
                          <w:p w14:paraId="3136ED9B" w14:textId="5E6C4897" w:rsidR="00757903" w:rsidRDefault="00757903">
                            <w:pPr>
                              <w:rPr>
                                <w:sz w:val="18"/>
                                <w:szCs w:val="18"/>
                                <w:lang w:val="en-US"/>
                              </w:rPr>
                            </w:pPr>
                            <w:r>
                              <w:rPr>
                                <w:sz w:val="18"/>
                                <w:szCs w:val="18"/>
                                <w:lang w:val="en-US"/>
                              </w:rPr>
                              <w:t>Operation</w:t>
                            </w:r>
                          </w:p>
                          <w:p w14:paraId="6E3D869F" w14:textId="25E60A11" w:rsidR="00757903" w:rsidRDefault="00757903">
                            <w:pPr>
                              <w:rPr>
                                <w:sz w:val="18"/>
                                <w:szCs w:val="18"/>
                                <w:lang w:val="en-US"/>
                              </w:rPr>
                            </w:pPr>
                            <w:r>
                              <w:rPr>
                                <w:sz w:val="18"/>
                                <w:szCs w:val="18"/>
                                <w:lang w:val="en-US"/>
                              </w:rPr>
                              <w:t>Fuel</w:t>
                            </w:r>
                          </w:p>
                          <w:p w14:paraId="78445916" w14:textId="24CADF46" w:rsidR="00757903" w:rsidRDefault="00757903">
                            <w:pPr>
                              <w:rPr>
                                <w:sz w:val="18"/>
                                <w:szCs w:val="18"/>
                                <w:lang w:val="en-US"/>
                              </w:rPr>
                            </w:pPr>
                            <w:r>
                              <w:rPr>
                                <w:sz w:val="18"/>
                                <w:szCs w:val="18"/>
                                <w:lang w:val="en-US"/>
                              </w:rPr>
                              <w:t>Credit</w:t>
                            </w:r>
                          </w:p>
                          <w:p w14:paraId="6F1B17C7" w14:textId="35785436" w:rsidR="00757903" w:rsidRDefault="00757903">
                            <w:pPr>
                              <w:rPr>
                                <w:sz w:val="18"/>
                                <w:szCs w:val="18"/>
                                <w:lang w:val="en-US"/>
                              </w:rPr>
                            </w:pPr>
                            <w:bookmarkStart w:id="13" w:name="_Hlk170653894"/>
                            <w:r>
                              <w:rPr>
                                <w:sz w:val="18"/>
                                <w:szCs w:val="18"/>
                                <w:lang w:val="en-US"/>
                              </w:rPr>
                              <w:t xml:space="preserve">Equity in units </w:t>
                            </w:r>
                            <w:r>
                              <w:rPr>
                                <w:sz w:val="18"/>
                                <w:szCs w:val="18"/>
                                <w:lang w:val="en-US"/>
                              </w:rPr>
                              <w:t>1, … N-1</w:t>
                            </w:r>
                          </w:p>
                          <w:bookmarkEnd w:id="13"/>
                          <w:p w14:paraId="62D4C2AB" w14:textId="4418B9B0" w:rsidR="00757903" w:rsidRDefault="00757903" w:rsidP="000B1373">
                            <w:pPr>
                              <w:rPr>
                                <w:sz w:val="18"/>
                                <w:szCs w:val="18"/>
                                <w:lang w:val="en-US"/>
                              </w:rPr>
                            </w:pPr>
                            <w:r>
                              <w:rPr>
                                <w:sz w:val="18"/>
                                <w:szCs w:val="18"/>
                                <w:lang w:val="en-US"/>
                              </w:rPr>
                              <w:t>Equity in unit N</w:t>
                            </w:r>
                          </w:p>
                          <w:p w14:paraId="316813D2" w14:textId="77777777" w:rsidR="00757903" w:rsidRPr="000B1373" w:rsidRDefault="00757903">
                            <w:pPr>
                              <w:rPr>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1E264" id="Надпись 37" o:spid="_x0000_s1027" type="#_x0000_t202" style="position:absolute;left:0;text-align:left;margin-left:163.1pt;margin-top:6pt;width:144.8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" fillcolor="white [3201]" stroked="f" strokeweight=".5pt">
                <v:textbox>
                  <w:txbxContent>
                    <w:p w14:paraId="3136ED9B" w14:textId="5E6C4897" w:rsidR="00757903" w:rsidRDefault="00757903">
                      <w:pPr>
                        <w:rPr>
                          <w:sz w:val="18"/>
                          <w:szCs w:val="18"/>
                          <w:lang w:val="en-US"/>
                        </w:rPr>
                      </w:pPr>
                      <w:r>
                        <w:rPr>
                          <w:sz w:val="18"/>
                          <w:szCs w:val="18"/>
                          <w:lang w:val="en-US"/>
                        </w:rPr>
                        <w:t>Operation</w:t>
                      </w:r>
                    </w:p>
                    <w:p w14:paraId="6E3D869F" w14:textId="25E60A11" w:rsidR="00757903" w:rsidRDefault="00757903">
                      <w:pPr>
                        <w:rPr>
                          <w:sz w:val="18"/>
                          <w:szCs w:val="18"/>
                          <w:lang w:val="en-US"/>
                        </w:rPr>
                      </w:pPr>
                      <w:r>
                        <w:rPr>
                          <w:sz w:val="18"/>
                          <w:szCs w:val="18"/>
                          <w:lang w:val="en-US"/>
                        </w:rPr>
                        <w:t>Fuel</w:t>
                      </w:r>
                    </w:p>
                    <w:p w14:paraId="78445916" w14:textId="24CADF46" w:rsidR="00757903" w:rsidRDefault="00757903">
                      <w:pPr>
                        <w:rPr>
                          <w:sz w:val="18"/>
                          <w:szCs w:val="18"/>
                          <w:lang w:val="en-US"/>
                        </w:rPr>
                      </w:pPr>
                      <w:r>
                        <w:rPr>
                          <w:sz w:val="18"/>
                          <w:szCs w:val="18"/>
                          <w:lang w:val="en-US"/>
                        </w:rPr>
                        <w:t>Credit</w:t>
                      </w:r>
                    </w:p>
                    <w:p w14:paraId="6F1B17C7" w14:textId="35785436" w:rsidR="00757903" w:rsidRDefault="00757903">
                      <w:pPr>
                        <w:rPr>
                          <w:sz w:val="18"/>
                          <w:szCs w:val="18"/>
                          <w:lang w:val="en-US"/>
                        </w:rPr>
                      </w:pPr>
                      <w:bookmarkStart w:id="14" w:name="_Hlk170653894"/>
                      <w:r>
                        <w:rPr>
                          <w:sz w:val="18"/>
                          <w:szCs w:val="18"/>
                          <w:lang w:val="en-US"/>
                        </w:rPr>
                        <w:t xml:space="preserve">Equity in units </w:t>
                      </w:r>
                      <w:r>
                        <w:rPr>
                          <w:sz w:val="18"/>
                          <w:szCs w:val="18"/>
                          <w:lang w:val="en-US"/>
                        </w:rPr>
                        <w:t>1, … N-1</w:t>
                      </w:r>
                    </w:p>
                    <w:bookmarkEnd w:id="14"/>
                    <w:p w14:paraId="62D4C2AB" w14:textId="4418B9B0" w:rsidR="00757903" w:rsidRDefault="00757903" w:rsidP="000B1373">
                      <w:pPr>
                        <w:rPr>
                          <w:sz w:val="18"/>
                          <w:szCs w:val="18"/>
                          <w:lang w:val="en-US"/>
                        </w:rPr>
                      </w:pPr>
                      <w:r>
                        <w:rPr>
                          <w:sz w:val="18"/>
                          <w:szCs w:val="18"/>
                          <w:lang w:val="en-US"/>
                        </w:rPr>
                        <w:t>Equity in unit N</w:t>
                      </w:r>
                    </w:p>
                    <w:p w14:paraId="316813D2" w14:textId="77777777" w:rsidR="00757903" w:rsidRPr="000B1373" w:rsidRDefault="00757903">
                      <w:pPr>
                        <w:rPr>
                          <w:sz w:val="18"/>
                          <w:szCs w:val="18"/>
                          <w:lang w:val="en-US"/>
                        </w:rPr>
                      </w:pPr>
                    </w:p>
                  </w:txbxContent>
                </v:textbox>
              </v:shape>
            </w:pict>
          </mc:Fallback>
        </mc:AlternateContent>
      </w:r>
      <w:r w:rsidR="007C6807" w:rsidRPr="007C6807">
        <w:rPr>
          <w:noProof/>
          <w:lang w:val="ru-RU" w:eastAsia="ru-RU"/>
        </w:rPr>
        <w:drawing>
          <wp:inline distT="0" distB="0" distL="0" distR="0" wp14:anchorId="7550337F" wp14:editId="0B4EFE0B">
            <wp:extent cx="3200400" cy="2775585"/>
            <wp:effectExtent l="0" t="0" r="0" b="5715"/>
            <wp:docPr id="81131584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099866" w14:textId="7EDAA64F" w:rsidR="00C34089" w:rsidRPr="00884167" w:rsidRDefault="005D0544" w:rsidP="00CC2744">
      <w:pPr>
        <w:pStyle w:val="Heading2"/>
        <w:numPr>
          <w:ilvl w:val="0"/>
          <w:numId w:val="0"/>
        </w:numPr>
        <w:tabs>
          <w:tab w:val="left" w:pos="851"/>
        </w:tabs>
        <w:spacing w:before="0" w:beforeAutospacing="0" w:after="120" w:afterAutospacing="0"/>
        <w:jc w:val="center"/>
        <w:rPr>
          <w:i/>
          <w:iCs/>
          <w:sz w:val="18"/>
          <w:szCs w:val="18"/>
        </w:rPr>
      </w:pPr>
      <w:r w:rsidRPr="00884167">
        <w:rPr>
          <w:i/>
          <w:iCs/>
          <w:caps w:val="0"/>
          <w:sz w:val="18"/>
          <w:szCs w:val="18"/>
        </w:rPr>
        <w:t xml:space="preserve">FIG.3 </w:t>
      </w:r>
      <w:r w:rsidR="00FE0600">
        <w:rPr>
          <w:i/>
          <w:iCs/>
          <w:caps w:val="0"/>
          <w:sz w:val="18"/>
          <w:szCs w:val="18"/>
        </w:rPr>
        <w:t>The value and structure of cost for e</w:t>
      </w:r>
      <w:r w:rsidR="004B4DD5" w:rsidRPr="00884167">
        <w:rPr>
          <w:i/>
          <w:iCs/>
          <w:caps w:val="0"/>
          <w:sz w:val="18"/>
          <w:szCs w:val="18"/>
        </w:rPr>
        <w:t xml:space="preserve">lectricity </w:t>
      </w:r>
      <w:r w:rsidR="00FE0600">
        <w:rPr>
          <w:i/>
          <w:iCs/>
          <w:caps w:val="0"/>
          <w:sz w:val="18"/>
          <w:szCs w:val="18"/>
        </w:rPr>
        <w:t xml:space="preserve">generation in </w:t>
      </w:r>
      <w:r w:rsidR="004B4DD5" w:rsidRPr="00884167">
        <w:rPr>
          <w:i/>
          <w:iCs/>
          <w:caps w:val="0"/>
          <w:sz w:val="18"/>
          <w:szCs w:val="18"/>
        </w:rPr>
        <w:t xml:space="preserve">a high-power power </w:t>
      </w:r>
      <w:r w:rsidR="00FE0600">
        <w:rPr>
          <w:i/>
          <w:iCs/>
          <w:caps w:val="0"/>
          <w:sz w:val="18"/>
          <w:szCs w:val="18"/>
        </w:rPr>
        <w:t xml:space="preserve">reactor </w:t>
      </w:r>
      <w:r w:rsidR="004B4DD5" w:rsidRPr="00884167">
        <w:rPr>
          <w:i/>
          <w:iCs/>
          <w:caps w:val="0"/>
          <w:sz w:val="18"/>
          <w:szCs w:val="18"/>
        </w:rPr>
        <w:t>unit and a cluster</w:t>
      </w:r>
    </w:p>
    <w:p w14:paraId="7B87FC7C" w14:textId="7C275CFC" w:rsidR="00AD366F" w:rsidRPr="005D0544" w:rsidRDefault="00AD366F" w:rsidP="00AD366F">
      <w:pPr>
        <w:pStyle w:val="BodyText"/>
        <w:rPr>
          <w:lang w:val="en-US"/>
        </w:rPr>
      </w:pPr>
      <w:r>
        <w:rPr>
          <w:lang w:val="en-US"/>
        </w:rPr>
        <w:t xml:space="preserve">As can be seen in Fig.3, the financial burden on </w:t>
      </w:r>
      <w:r w:rsidR="001D0684">
        <w:rPr>
          <w:lang w:val="en-US"/>
        </w:rPr>
        <w:t xml:space="preserve">shareholders is </w:t>
      </w:r>
      <w:r w:rsidR="0063556A">
        <w:rPr>
          <w:lang w:val="en-US"/>
        </w:rPr>
        <w:t xml:space="preserve">gradually </w:t>
      </w:r>
      <w:r w:rsidR="001D0684">
        <w:rPr>
          <w:lang w:val="en-US"/>
        </w:rPr>
        <w:t xml:space="preserve">decreasing with </w:t>
      </w:r>
      <w:r w:rsidR="00CC2744">
        <w:rPr>
          <w:lang w:val="en-US"/>
        </w:rPr>
        <w:t xml:space="preserve">the </w:t>
      </w:r>
      <w:r w:rsidR="001D0684">
        <w:rPr>
          <w:lang w:val="en-US"/>
        </w:rPr>
        <w:t xml:space="preserve">growth of </w:t>
      </w:r>
      <w:r w:rsidR="0063556A">
        <w:rPr>
          <w:lang w:val="en-US"/>
        </w:rPr>
        <w:t xml:space="preserve">the </w:t>
      </w:r>
      <w:r w:rsidR="00884167">
        <w:rPr>
          <w:lang w:val="en-US"/>
        </w:rPr>
        <w:t xml:space="preserve">number of </w:t>
      </w:r>
      <w:r w:rsidR="001D0684">
        <w:rPr>
          <w:lang w:val="en-US"/>
        </w:rPr>
        <w:t>unit</w:t>
      </w:r>
      <w:r w:rsidR="00CC2744">
        <w:rPr>
          <w:lang w:val="en-US"/>
        </w:rPr>
        <w:t>s</w:t>
      </w:r>
      <w:r w:rsidR="001D0684">
        <w:rPr>
          <w:lang w:val="en-US"/>
        </w:rPr>
        <w:t xml:space="preserve"> in the cluster</w:t>
      </w:r>
      <w:r w:rsidR="001B5429">
        <w:rPr>
          <w:lang w:val="en-US"/>
        </w:rPr>
        <w:t xml:space="preserve"> </w:t>
      </w:r>
      <w:r w:rsidR="00921385">
        <w:rPr>
          <w:lang w:val="en-US"/>
        </w:rPr>
        <w:t xml:space="preserve">thus </w:t>
      </w:r>
      <w:r w:rsidR="001B5429">
        <w:rPr>
          <w:lang w:val="en-US"/>
        </w:rPr>
        <w:t>resulting in reduc</w:t>
      </w:r>
      <w:r w:rsidR="00921385">
        <w:rPr>
          <w:lang w:val="en-US"/>
        </w:rPr>
        <w:t>tion</w:t>
      </w:r>
      <w:r w:rsidR="001B5429">
        <w:rPr>
          <w:lang w:val="en-US"/>
        </w:rPr>
        <w:t xml:space="preserve"> of </w:t>
      </w:r>
      <w:r w:rsidR="00921385">
        <w:rPr>
          <w:lang w:val="en-US"/>
        </w:rPr>
        <w:t xml:space="preserve">the cluster </w:t>
      </w:r>
      <w:r w:rsidR="001B5429">
        <w:rPr>
          <w:lang w:val="en-US"/>
        </w:rPr>
        <w:t xml:space="preserve">electricity cost </w:t>
      </w:r>
      <w:r w:rsidR="0063556A">
        <w:rPr>
          <w:lang w:val="en-US"/>
        </w:rPr>
        <w:t xml:space="preserve">during the cluster units commissioning and especially sharply </w:t>
      </w:r>
      <w:r w:rsidR="001B5429">
        <w:rPr>
          <w:lang w:val="en-US"/>
        </w:rPr>
        <w:t xml:space="preserve">after construction of the last </w:t>
      </w:r>
      <w:r w:rsidR="0063556A">
        <w:rPr>
          <w:lang w:val="en-US"/>
        </w:rPr>
        <w:t xml:space="preserve">(fourth) </w:t>
      </w:r>
      <w:r w:rsidR="001B5429">
        <w:rPr>
          <w:lang w:val="en-US"/>
        </w:rPr>
        <w:t xml:space="preserve">unit. </w:t>
      </w:r>
      <w:r w:rsidR="00700769">
        <w:rPr>
          <w:lang w:val="en-US"/>
        </w:rPr>
        <w:t>T</w:t>
      </w:r>
      <w:r w:rsidR="00700769" w:rsidRPr="00700769">
        <w:rPr>
          <w:lang w:val="en-US"/>
        </w:rPr>
        <w:t xml:space="preserve">he combination of equity and credit investments creates a financial mechanism that can significantly increase, as can be seen </w:t>
      </w:r>
      <w:r w:rsidR="00700769">
        <w:rPr>
          <w:lang w:val="en-US"/>
        </w:rPr>
        <w:t xml:space="preserve">in </w:t>
      </w:r>
      <w:r w:rsidR="00700769" w:rsidRPr="00700769">
        <w:rPr>
          <w:lang w:val="en-US"/>
        </w:rPr>
        <w:t>Fig</w:t>
      </w:r>
      <w:r w:rsidR="00700769">
        <w:rPr>
          <w:lang w:val="en-US"/>
        </w:rPr>
        <w:t>.4</w:t>
      </w:r>
      <w:r w:rsidR="00700769" w:rsidRPr="00700769">
        <w:rPr>
          <w:lang w:val="en-US"/>
        </w:rPr>
        <w:t xml:space="preserve">, </w:t>
      </w:r>
      <w:r w:rsidR="0063556A">
        <w:rPr>
          <w:lang w:val="en-US"/>
        </w:rPr>
        <w:t xml:space="preserve">the </w:t>
      </w:r>
      <w:r w:rsidR="00700769" w:rsidRPr="00700769">
        <w:rPr>
          <w:lang w:val="en-US"/>
        </w:rPr>
        <w:t>net present value and other commercial indicators shown in Table</w:t>
      </w:r>
      <w:r w:rsidR="00700769">
        <w:rPr>
          <w:lang w:val="en-US"/>
        </w:rPr>
        <w:t xml:space="preserve"> 5.</w:t>
      </w:r>
      <w:r w:rsidR="00700769" w:rsidRPr="00700769">
        <w:rPr>
          <w:lang w:val="en-US"/>
        </w:rPr>
        <w:t xml:space="preserve"> Since </w:t>
      </w:r>
      <w:r w:rsidR="00700769">
        <w:rPr>
          <w:lang w:val="en-US"/>
        </w:rPr>
        <w:t xml:space="preserve">the units </w:t>
      </w:r>
      <w:r w:rsidR="00700769" w:rsidRPr="00700769">
        <w:rPr>
          <w:lang w:val="en-US"/>
        </w:rPr>
        <w:t>are financially integrated into a united entity</w:t>
      </w:r>
      <w:r w:rsidR="00700769">
        <w:rPr>
          <w:lang w:val="en-US"/>
        </w:rPr>
        <w:t xml:space="preserve"> with enlarged capacity</w:t>
      </w:r>
      <w:r w:rsidR="00700769" w:rsidRPr="00700769">
        <w:rPr>
          <w:lang w:val="en-US"/>
        </w:rPr>
        <w:t xml:space="preserve">, </w:t>
      </w:r>
      <w:r w:rsidR="0063556A">
        <w:rPr>
          <w:lang w:val="en-US"/>
        </w:rPr>
        <w:t>a conclusion</w:t>
      </w:r>
      <w:r w:rsidR="00700769">
        <w:rPr>
          <w:lang w:val="en-US"/>
        </w:rPr>
        <w:t xml:space="preserve"> </w:t>
      </w:r>
      <w:r w:rsidR="0063556A">
        <w:rPr>
          <w:lang w:val="en-US"/>
        </w:rPr>
        <w:t xml:space="preserve">can be made </w:t>
      </w:r>
      <w:r w:rsidR="00700769">
        <w:rPr>
          <w:lang w:val="en-US"/>
        </w:rPr>
        <w:t xml:space="preserve">that the effect </w:t>
      </w:r>
      <w:r w:rsidR="0063556A">
        <w:rPr>
          <w:lang w:val="en-US"/>
        </w:rPr>
        <w:t xml:space="preserve">obtained </w:t>
      </w:r>
      <w:r w:rsidR="00700769">
        <w:rPr>
          <w:lang w:val="en-US"/>
        </w:rPr>
        <w:t>is</w:t>
      </w:r>
      <w:r w:rsidR="0063556A">
        <w:rPr>
          <w:lang w:val="en-US"/>
        </w:rPr>
        <w:t>, in a way,</w:t>
      </w:r>
      <w:r w:rsidR="00700769">
        <w:rPr>
          <w:lang w:val="en-US"/>
        </w:rPr>
        <w:t xml:space="preserve"> </w:t>
      </w:r>
      <w:r w:rsidR="00700769" w:rsidRPr="00700769">
        <w:rPr>
          <w:lang w:val="en-US"/>
        </w:rPr>
        <w:t xml:space="preserve">a scale effect </w:t>
      </w:r>
      <w:r w:rsidR="00700769">
        <w:rPr>
          <w:lang w:val="en-US"/>
        </w:rPr>
        <w:t xml:space="preserve">for SMRs. </w:t>
      </w:r>
    </w:p>
    <w:p w14:paraId="0CD6F1B8" w14:textId="77777777" w:rsidR="00321BE0" w:rsidRDefault="00321BE0" w:rsidP="00537496">
      <w:pPr>
        <w:pStyle w:val="BodyText"/>
      </w:pPr>
    </w:p>
    <w:p w14:paraId="05A6AFC9" w14:textId="67E32533" w:rsidR="00321BE0" w:rsidRDefault="004B4DD5" w:rsidP="004B4DD5">
      <w:pPr>
        <w:pStyle w:val="BodyText"/>
        <w:jc w:val="center"/>
      </w:pPr>
      <w:r w:rsidRPr="004B4DD5">
        <w:rPr>
          <w:noProof/>
          <w:lang w:val="ru-RU" w:eastAsia="ru-RU"/>
        </w:rPr>
        <w:drawing>
          <wp:inline distT="0" distB="0" distL="0" distR="0" wp14:anchorId="1016F9B6" wp14:editId="470D81AD">
            <wp:extent cx="3239135" cy="1856014"/>
            <wp:effectExtent l="0" t="0" r="0" b="0"/>
            <wp:docPr id="521582889" name="Диаграмма 1">
              <a:extLst xmlns:a="http://schemas.openxmlformats.org/drawingml/2006/main">
                <a:ext uri="{FF2B5EF4-FFF2-40B4-BE49-F238E27FC236}">
                  <a16:creationId xmlns:a16="http://schemas.microsoft.com/office/drawing/2014/main" id="{9C25442E-B60C-FAC6-7582-D4EB0B6220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3A2751" w14:textId="77777777" w:rsidR="00321BE0" w:rsidRDefault="00321BE0" w:rsidP="00537496">
      <w:pPr>
        <w:pStyle w:val="BodyText"/>
      </w:pPr>
    </w:p>
    <w:p w14:paraId="06BC5CE6" w14:textId="0D272D48" w:rsidR="00CC2744" w:rsidRPr="00884167" w:rsidRDefault="00700769" w:rsidP="00A706F5">
      <w:pPr>
        <w:pStyle w:val="BodyText"/>
        <w:spacing w:after="120"/>
        <w:contextualSpacing w:val="0"/>
        <w:jc w:val="center"/>
        <w:rPr>
          <w:i/>
          <w:iCs/>
          <w:sz w:val="18"/>
          <w:szCs w:val="18"/>
          <w:lang w:val="en-US"/>
        </w:rPr>
      </w:pPr>
      <w:r w:rsidRPr="00884167">
        <w:rPr>
          <w:i/>
          <w:iCs/>
          <w:sz w:val="18"/>
          <w:szCs w:val="18"/>
        </w:rPr>
        <w:t>FIG.</w:t>
      </w:r>
      <w:r w:rsidRPr="00884167">
        <w:rPr>
          <w:rFonts w:asciiTheme="minorHAnsi" w:eastAsiaTheme="minorEastAsia" w:hAnsi="Arial" w:cs="Arial"/>
          <w:b/>
          <w:bCs/>
          <w:i/>
          <w:iCs/>
          <w:color w:val="000000" w:themeColor="text1"/>
          <w:kern w:val="24"/>
          <w:sz w:val="18"/>
          <w:szCs w:val="18"/>
          <w:lang w:val="en-US" w:eastAsia="ru-RU"/>
        </w:rPr>
        <w:t xml:space="preserve"> </w:t>
      </w:r>
      <w:r w:rsidRPr="00884167">
        <w:rPr>
          <w:rFonts w:eastAsiaTheme="minorEastAsia"/>
          <w:i/>
          <w:iCs/>
          <w:color w:val="000000" w:themeColor="text1"/>
          <w:kern w:val="24"/>
          <w:sz w:val="18"/>
          <w:szCs w:val="18"/>
          <w:lang w:val="en-US" w:eastAsia="ru-RU"/>
        </w:rPr>
        <w:t>4</w:t>
      </w:r>
      <w:r>
        <w:rPr>
          <w:rFonts w:eastAsiaTheme="minorEastAsia"/>
          <w:i/>
          <w:iCs/>
          <w:color w:val="000000" w:themeColor="text1"/>
          <w:kern w:val="24"/>
          <w:sz w:val="18"/>
          <w:szCs w:val="18"/>
          <w:lang w:val="en-US" w:eastAsia="ru-RU"/>
        </w:rPr>
        <w:t>.</w:t>
      </w:r>
      <w:r>
        <w:rPr>
          <w:rFonts w:asciiTheme="minorHAnsi" w:eastAsiaTheme="minorEastAsia" w:hAnsi="Arial" w:cs="Arial"/>
          <w:b/>
          <w:bCs/>
          <w:i/>
          <w:iCs/>
          <w:color w:val="000000" w:themeColor="text1"/>
          <w:kern w:val="24"/>
          <w:sz w:val="18"/>
          <w:szCs w:val="18"/>
          <w:lang w:val="en-US" w:eastAsia="ru-RU"/>
        </w:rPr>
        <w:t xml:space="preserve"> </w:t>
      </w:r>
      <w:r w:rsidR="00884167" w:rsidRPr="00884167">
        <w:rPr>
          <w:rFonts w:eastAsiaTheme="minorEastAsia"/>
          <w:i/>
          <w:iCs/>
          <w:color w:val="000000" w:themeColor="text1"/>
          <w:kern w:val="24"/>
          <w:sz w:val="18"/>
          <w:szCs w:val="18"/>
          <w:lang w:val="en-US" w:eastAsia="ru-RU"/>
        </w:rPr>
        <w:t>Net present value of a 1200 MW</w:t>
      </w:r>
      <w:r w:rsidR="00C92AC4" w:rsidRPr="00C92AC4">
        <w:rPr>
          <w:rFonts w:eastAsiaTheme="minorEastAsia"/>
          <w:i/>
          <w:iCs/>
          <w:color w:val="000000" w:themeColor="text1"/>
          <w:kern w:val="24"/>
          <w:sz w:val="18"/>
          <w:szCs w:val="18"/>
          <w:lang w:val="en-US" w:eastAsia="ru-RU"/>
        </w:rPr>
        <w:t>(</w:t>
      </w:r>
      <w:r w:rsidR="00C92AC4">
        <w:rPr>
          <w:rFonts w:eastAsiaTheme="minorEastAsia"/>
          <w:i/>
          <w:iCs/>
          <w:color w:val="000000" w:themeColor="text1"/>
          <w:kern w:val="24"/>
          <w:sz w:val="18"/>
          <w:szCs w:val="18"/>
          <w:lang w:val="en-US" w:eastAsia="ru-RU"/>
        </w:rPr>
        <w:t>e)</w:t>
      </w:r>
      <w:r w:rsidR="00884167" w:rsidRPr="00884167">
        <w:rPr>
          <w:rFonts w:eastAsiaTheme="minorEastAsia"/>
          <w:i/>
          <w:iCs/>
          <w:color w:val="000000" w:themeColor="text1"/>
          <w:kern w:val="24"/>
          <w:sz w:val="18"/>
          <w:szCs w:val="18"/>
          <w:lang w:val="en-US" w:eastAsia="ru-RU"/>
        </w:rPr>
        <w:t xml:space="preserve"> power unit and a cluster of 4x300 MW</w:t>
      </w:r>
      <w:r w:rsidR="00C92AC4">
        <w:rPr>
          <w:rFonts w:eastAsiaTheme="minorEastAsia"/>
          <w:i/>
          <w:iCs/>
          <w:color w:val="000000" w:themeColor="text1"/>
          <w:kern w:val="24"/>
          <w:sz w:val="18"/>
          <w:szCs w:val="18"/>
          <w:lang w:val="en-US" w:eastAsia="ru-RU"/>
        </w:rPr>
        <w:t>(e)</w:t>
      </w:r>
      <w:r w:rsidR="00884167" w:rsidRPr="00884167">
        <w:rPr>
          <w:rFonts w:eastAsiaTheme="minorEastAsia"/>
          <w:i/>
          <w:iCs/>
          <w:color w:val="000000" w:themeColor="text1"/>
          <w:kern w:val="24"/>
          <w:sz w:val="18"/>
          <w:szCs w:val="18"/>
          <w:lang w:val="en-US" w:eastAsia="ru-RU"/>
        </w:rPr>
        <w:t xml:space="preserve"> with the same specific construction </w:t>
      </w:r>
      <w:r w:rsidR="0063556A">
        <w:rPr>
          <w:rFonts w:eastAsiaTheme="minorEastAsia"/>
          <w:i/>
          <w:iCs/>
          <w:color w:val="000000" w:themeColor="text1"/>
          <w:kern w:val="24"/>
          <w:sz w:val="18"/>
          <w:szCs w:val="18"/>
          <w:lang w:val="en-US" w:eastAsia="ru-RU"/>
        </w:rPr>
        <w:t xml:space="preserve">cost </w:t>
      </w:r>
      <w:r w:rsidR="00884167" w:rsidRPr="00884167">
        <w:rPr>
          <w:rFonts w:eastAsiaTheme="minorEastAsia"/>
          <w:i/>
          <w:iCs/>
          <w:color w:val="000000" w:themeColor="text1"/>
          <w:kern w:val="24"/>
          <w:sz w:val="18"/>
          <w:szCs w:val="18"/>
          <w:lang w:val="en-US" w:eastAsia="ru-RU"/>
        </w:rPr>
        <w:t xml:space="preserve">and operation costs and the same electricity price </w:t>
      </w:r>
    </w:p>
    <w:p w14:paraId="2BADE48F" w14:textId="62ACCD2F" w:rsidR="00321BE0" w:rsidRPr="00884167" w:rsidRDefault="00A706F5" w:rsidP="00A706F5">
      <w:pPr>
        <w:pStyle w:val="BodyText"/>
        <w:spacing w:after="120"/>
        <w:contextualSpacing w:val="0"/>
        <w:rPr>
          <w:lang w:val="en-US"/>
        </w:rPr>
      </w:pPr>
      <w:r w:rsidRPr="00621F68">
        <w:rPr>
          <w:lang w:val="en-US"/>
        </w:rPr>
        <w:lastRenderedPageBreak/>
        <w:t xml:space="preserve">TABLE </w:t>
      </w:r>
      <w:r>
        <w:rPr>
          <w:lang w:val="en-US"/>
        </w:rPr>
        <w:t>5</w:t>
      </w:r>
      <w:r w:rsidRPr="00621F68">
        <w:rPr>
          <w:lang w:val="en-US"/>
        </w:rPr>
        <w:t>.</w:t>
      </w:r>
      <w:r w:rsidRPr="00621F68">
        <w:rPr>
          <w:lang w:val="en-US"/>
        </w:rPr>
        <w:tab/>
      </w:r>
      <w:r w:rsidRPr="00A706F5">
        <w:rPr>
          <w:lang w:val="en-US"/>
        </w:rPr>
        <w:t>Commercial performance indicators</w:t>
      </w:r>
      <w:r w:rsidR="00884167" w:rsidRPr="00884167">
        <w:rPr>
          <w:lang w:val="en-US"/>
        </w:rPr>
        <w:t xml:space="preserve"> </w:t>
      </w:r>
    </w:p>
    <w:tbl>
      <w:tblPr>
        <w:tblStyle w:val="TableGridLight1"/>
        <w:tblW w:w="7371" w:type="dxa"/>
        <w:tblInd w:w="1271" w:type="dxa"/>
        <w:tblLook w:val="0600" w:firstRow="0" w:lastRow="0" w:firstColumn="0" w:lastColumn="0" w:noHBand="1" w:noVBand="1"/>
      </w:tblPr>
      <w:tblGrid>
        <w:gridCol w:w="3827"/>
        <w:gridCol w:w="1418"/>
        <w:gridCol w:w="2126"/>
      </w:tblGrid>
      <w:tr w:rsidR="0081344D" w:rsidRPr="00A65BF0" w14:paraId="4E05DF99" w14:textId="77777777" w:rsidTr="007D03F1">
        <w:trPr>
          <w:trHeight w:val="283"/>
        </w:trPr>
        <w:tc>
          <w:tcPr>
            <w:tcW w:w="3827" w:type="dxa"/>
            <w:tcBorders>
              <w:top w:val="single" w:sz="4" w:space="0" w:color="auto"/>
              <w:left w:val="single" w:sz="4" w:space="0" w:color="auto"/>
              <w:bottom w:val="single" w:sz="4" w:space="0" w:color="auto"/>
              <w:right w:val="single" w:sz="4" w:space="0" w:color="auto"/>
            </w:tcBorders>
            <w:vAlign w:val="center"/>
            <w:hideMark/>
          </w:tcPr>
          <w:p w14:paraId="3315F3F1" w14:textId="3300CED7" w:rsidR="0081344D" w:rsidRPr="00871D3F" w:rsidRDefault="0081344D" w:rsidP="00757903">
            <w:pPr>
              <w:pStyle w:val="BodyText"/>
              <w:ind w:firstLine="35"/>
              <w:jc w:val="left"/>
              <w:rPr>
                <w:lang w:val="en-US"/>
              </w:rPr>
            </w:pPr>
            <w:r w:rsidRPr="00A65BF0">
              <w:rPr>
                <w:lang w:val="en-US"/>
              </w:rPr>
              <w:t>Characteristic</w:t>
            </w:r>
            <w:r w:rsidR="0063556A">
              <w:rPr>
                <w:lang w:val="en-US"/>
              </w:rPr>
              <w:t>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8649C8" w14:textId="47DD0C28" w:rsidR="0081344D" w:rsidRPr="0063556A" w:rsidRDefault="0081344D" w:rsidP="0063556A">
            <w:pPr>
              <w:pStyle w:val="BodyText"/>
              <w:ind w:firstLine="0"/>
              <w:jc w:val="center"/>
              <w:rPr>
                <w:lang w:val="en-US"/>
              </w:rPr>
            </w:pPr>
            <w:r w:rsidRPr="0081344D">
              <w:rPr>
                <w:lang w:val="ru-RU"/>
              </w:rPr>
              <w:t xml:space="preserve">1200 </w:t>
            </w:r>
            <w:r w:rsidRPr="0081344D">
              <w:rPr>
                <w:lang w:val="en-US"/>
              </w:rPr>
              <w:t>MW</w:t>
            </w:r>
            <w:r w:rsidRPr="0081344D">
              <w:rPr>
                <w:lang w:val="ru-RU"/>
              </w:rPr>
              <w:t>(</w:t>
            </w:r>
            <w:r w:rsidRPr="0081344D">
              <w:rPr>
                <w:lang w:val="en-US"/>
              </w:rPr>
              <w:t>e</w:t>
            </w:r>
            <w:r w:rsidRPr="0081344D">
              <w:rPr>
                <w:lang w:val="ru-RU"/>
              </w:rPr>
              <w:t>)</w:t>
            </w:r>
            <w:r w:rsidR="0063556A" w:rsidRPr="00871D3F">
              <w:rPr>
                <w:lang w:val="en-US"/>
              </w:rPr>
              <w:t xml:space="preserve"> </w:t>
            </w:r>
            <w:r w:rsidR="0063556A">
              <w:rPr>
                <w:lang w:val="en-US"/>
              </w:rPr>
              <w:t>reactor</w:t>
            </w:r>
            <w:r w:rsidR="0063556A" w:rsidRPr="00871D3F">
              <w:rPr>
                <w:lang w:val="en-US"/>
              </w:rPr>
              <w:t xml:space="preserve"> unit</w:t>
            </w:r>
          </w:p>
        </w:tc>
        <w:tc>
          <w:tcPr>
            <w:tcW w:w="2126" w:type="dxa"/>
            <w:tcBorders>
              <w:top w:val="single" w:sz="4" w:space="0" w:color="auto"/>
              <w:left w:val="single" w:sz="4" w:space="0" w:color="auto"/>
              <w:bottom w:val="single" w:sz="4" w:space="0" w:color="auto"/>
              <w:right w:val="single" w:sz="4" w:space="0" w:color="auto"/>
            </w:tcBorders>
            <w:hideMark/>
          </w:tcPr>
          <w:p w14:paraId="4F28F549" w14:textId="77777777" w:rsidR="0081344D" w:rsidRDefault="0081344D" w:rsidP="0081344D">
            <w:pPr>
              <w:pStyle w:val="BodyText"/>
              <w:ind w:firstLine="0"/>
              <w:jc w:val="center"/>
              <w:rPr>
                <w:lang w:val="en-US"/>
              </w:rPr>
            </w:pPr>
            <w:r>
              <w:rPr>
                <w:lang w:val="en-US"/>
              </w:rPr>
              <w:t>4x300</w:t>
            </w:r>
            <w:r w:rsidRPr="0081344D">
              <w:rPr>
                <w:lang w:val="en-US"/>
              </w:rPr>
              <w:t xml:space="preserve"> MW</w:t>
            </w:r>
            <w:r w:rsidRPr="0081344D">
              <w:rPr>
                <w:lang w:val="ru-RU"/>
              </w:rPr>
              <w:t>(</w:t>
            </w:r>
            <w:r w:rsidRPr="0081344D">
              <w:rPr>
                <w:lang w:val="en-US"/>
              </w:rPr>
              <w:t>e</w:t>
            </w:r>
            <w:r w:rsidRPr="0081344D">
              <w:rPr>
                <w:lang w:val="ru-RU"/>
              </w:rPr>
              <w:t>)</w:t>
            </w:r>
          </w:p>
          <w:p w14:paraId="49C963C9" w14:textId="0505EF34" w:rsidR="0063556A" w:rsidRPr="0063556A" w:rsidRDefault="0063556A" w:rsidP="0063556A">
            <w:pPr>
              <w:pStyle w:val="BodyText"/>
              <w:ind w:firstLine="0"/>
              <w:jc w:val="center"/>
              <w:rPr>
                <w:lang w:val="en-US"/>
              </w:rPr>
            </w:pPr>
            <w:r>
              <w:rPr>
                <w:lang w:val="en-US"/>
              </w:rPr>
              <w:t>c</w:t>
            </w:r>
            <w:r w:rsidRPr="00871D3F">
              <w:rPr>
                <w:lang w:val="en-US"/>
              </w:rPr>
              <w:t>luster</w:t>
            </w:r>
          </w:p>
        </w:tc>
      </w:tr>
      <w:tr w:rsidR="0081344D" w:rsidRPr="00A65BF0" w14:paraId="21D8163D" w14:textId="77777777" w:rsidTr="007D03F1">
        <w:trPr>
          <w:trHeight w:val="283"/>
        </w:trPr>
        <w:tc>
          <w:tcPr>
            <w:tcW w:w="3827" w:type="dxa"/>
            <w:tcBorders>
              <w:top w:val="single" w:sz="4" w:space="0" w:color="auto"/>
              <w:left w:val="single" w:sz="4" w:space="0" w:color="auto"/>
              <w:bottom w:val="single" w:sz="4" w:space="0" w:color="auto"/>
              <w:right w:val="single" w:sz="4" w:space="0" w:color="auto"/>
            </w:tcBorders>
            <w:vAlign w:val="center"/>
            <w:hideMark/>
          </w:tcPr>
          <w:p w14:paraId="525FD8A8" w14:textId="76D2DC92" w:rsidR="0081344D" w:rsidRPr="00871D3F" w:rsidRDefault="0081344D" w:rsidP="00757903">
            <w:pPr>
              <w:pStyle w:val="BodyText"/>
              <w:ind w:firstLine="35"/>
              <w:jc w:val="left"/>
              <w:rPr>
                <w:lang w:val="en-US"/>
              </w:rPr>
            </w:pPr>
            <w:r w:rsidRPr="0010062A">
              <w:rPr>
                <w:lang w:val="en-US"/>
              </w:rPr>
              <w:t>Electricity</w:t>
            </w:r>
            <w:r>
              <w:rPr>
                <w:lang w:val="en-US"/>
              </w:rPr>
              <w:t xml:space="preserve"> cost</w:t>
            </w:r>
            <w:r w:rsidRPr="0010062A">
              <w:rPr>
                <w:lang w:val="en-US"/>
              </w:rPr>
              <w:t xml:space="preserve">, $/MW(e)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078A56" w14:textId="6C661041" w:rsidR="0081344D" w:rsidRPr="00AE7898" w:rsidRDefault="0081344D" w:rsidP="00757903">
            <w:pPr>
              <w:pStyle w:val="BodyText"/>
              <w:ind w:firstLine="0"/>
              <w:jc w:val="center"/>
              <w:rPr>
                <w:lang w:val="en-US"/>
              </w:rPr>
            </w:pPr>
            <w:r>
              <w:rPr>
                <w:lang w:val="en-US"/>
              </w:rPr>
              <w:t>7</w:t>
            </w:r>
            <w:r w:rsidR="00AE7898">
              <w:rPr>
                <w:lang w:val="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52CEE6" w14:textId="51A0C9F2" w:rsidR="0081344D" w:rsidRPr="00871D3F" w:rsidRDefault="007D03F1" w:rsidP="00757903">
            <w:pPr>
              <w:pStyle w:val="BodyText"/>
              <w:ind w:firstLine="0"/>
              <w:jc w:val="center"/>
              <w:rPr>
                <w:lang w:val="en-US"/>
              </w:rPr>
            </w:pPr>
            <w:r>
              <w:rPr>
                <w:lang w:val="en-US"/>
              </w:rPr>
              <w:t>79</w:t>
            </w:r>
            <w:r w:rsidR="0081344D" w:rsidRPr="0010062A">
              <w:rPr>
                <w:lang w:val="ru-RU"/>
              </w:rPr>
              <w:t xml:space="preserve"> (N1)</w:t>
            </w:r>
            <w:r w:rsidR="0081344D">
              <w:rPr>
                <w:lang w:val="en-US"/>
              </w:rPr>
              <w:t xml:space="preserve"> -</w:t>
            </w:r>
            <w:r>
              <w:rPr>
                <w:lang w:val="en-US"/>
              </w:rPr>
              <w:t xml:space="preserve"> 60</w:t>
            </w:r>
            <w:r w:rsidR="0081344D">
              <w:rPr>
                <w:lang w:val="en-US"/>
              </w:rPr>
              <w:t xml:space="preserve"> (</w:t>
            </w:r>
            <w:r>
              <w:rPr>
                <w:lang w:val="en-US"/>
              </w:rPr>
              <w:t xml:space="preserve">after </w:t>
            </w:r>
            <w:r w:rsidR="0081344D">
              <w:rPr>
                <w:lang w:val="en-US"/>
              </w:rPr>
              <w:t>N4)</w:t>
            </w:r>
          </w:p>
        </w:tc>
      </w:tr>
      <w:tr w:rsidR="0081344D" w:rsidRPr="00A706F5" w14:paraId="62E573A7" w14:textId="77777777" w:rsidTr="007D03F1">
        <w:trPr>
          <w:trHeight w:val="283"/>
        </w:trPr>
        <w:tc>
          <w:tcPr>
            <w:tcW w:w="3827" w:type="dxa"/>
            <w:tcBorders>
              <w:top w:val="single" w:sz="4" w:space="0" w:color="auto"/>
              <w:left w:val="single" w:sz="4" w:space="0" w:color="auto"/>
              <w:bottom w:val="single" w:sz="4" w:space="0" w:color="auto"/>
              <w:right w:val="single" w:sz="4" w:space="0" w:color="auto"/>
            </w:tcBorders>
            <w:vAlign w:val="center"/>
            <w:hideMark/>
          </w:tcPr>
          <w:p w14:paraId="79D9DCFA" w14:textId="7AD2F1EB" w:rsidR="0081344D" w:rsidRPr="00871D3F" w:rsidRDefault="00A706F5" w:rsidP="00A706F5">
            <w:pPr>
              <w:pStyle w:val="BodyText"/>
              <w:ind w:firstLine="35"/>
              <w:rPr>
                <w:lang w:val="en-US"/>
              </w:rPr>
            </w:pPr>
            <w:r w:rsidRPr="00A706F5">
              <w:rPr>
                <w:lang w:val="en-US"/>
              </w:rPr>
              <w:t xml:space="preserve">Net present value, </w:t>
            </w:r>
            <w:proofErr w:type="spellStart"/>
            <w:r w:rsidRPr="00A706F5">
              <w:rPr>
                <w:lang w:val="en-US"/>
              </w:rPr>
              <w:t>mln</w:t>
            </w:r>
            <w:proofErr w:type="spellEnd"/>
            <w:r w:rsidRPr="00A706F5">
              <w:rPr>
                <w:lang w:val="en-US"/>
              </w:rPr>
              <w:t xml:space="preserve">. $.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FF5337" w14:textId="37090B4B" w:rsidR="0081344D" w:rsidRPr="00871D3F" w:rsidRDefault="00A706F5" w:rsidP="00757903">
            <w:pPr>
              <w:pStyle w:val="BodyText"/>
              <w:ind w:firstLine="0"/>
              <w:jc w:val="center"/>
              <w:rPr>
                <w:lang w:val="en-US"/>
              </w:rPr>
            </w:pPr>
            <w:r w:rsidRPr="00A706F5">
              <w:rPr>
                <w:lang w:val="en-US"/>
              </w:rPr>
              <w:t>813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282A24" w14:textId="045267B3" w:rsidR="0081344D" w:rsidRPr="00871D3F" w:rsidRDefault="00A706F5" w:rsidP="00757903">
            <w:pPr>
              <w:pStyle w:val="BodyText"/>
              <w:ind w:firstLine="0"/>
              <w:jc w:val="center"/>
              <w:rPr>
                <w:lang w:val="en-US"/>
              </w:rPr>
            </w:pPr>
            <w:r w:rsidRPr="00A706F5">
              <w:rPr>
                <w:lang w:val="en-US"/>
              </w:rPr>
              <w:t>3297</w:t>
            </w:r>
          </w:p>
        </w:tc>
      </w:tr>
      <w:tr w:rsidR="0081344D" w:rsidRPr="00A65BF0" w14:paraId="3A3C3351" w14:textId="77777777" w:rsidTr="007D03F1">
        <w:trPr>
          <w:trHeight w:val="283"/>
        </w:trPr>
        <w:tc>
          <w:tcPr>
            <w:tcW w:w="3827" w:type="dxa"/>
            <w:tcBorders>
              <w:top w:val="single" w:sz="4" w:space="0" w:color="auto"/>
              <w:left w:val="single" w:sz="4" w:space="0" w:color="auto"/>
              <w:bottom w:val="single" w:sz="4" w:space="0" w:color="auto"/>
              <w:right w:val="single" w:sz="4" w:space="0" w:color="auto"/>
            </w:tcBorders>
            <w:vAlign w:val="center"/>
            <w:hideMark/>
          </w:tcPr>
          <w:p w14:paraId="1792BFF0" w14:textId="63B34DE6" w:rsidR="0081344D" w:rsidRPr="00871D3F" w:rsidRDefault="00A706F5" w:rsidP="00757903">
            <w:pPr>
              <w:pStyle w:val="BodyText"/>
              <w:ind w:firstLine="35"/>
              <w:jc w:val="left"/>
              <w:rPr>
                <w:lang w:val="en-US"/>
              </w:rPr>
            </w:pPr>
            <w:r w:rsidRPr="00A706F5">
              <w:rPr>
                <w:lang w:val="en-US"/>
              </w:rPr>
              <w:t>Investment return index, relative units</w:t>
            </w:r>
            <w:r>
              <w:rPr>
                <w:lang w:val="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10FEC1" w14:textId="0FAFC08F" w:rsidR="00A706F5" w:rsidRPr="00A706F5" w:rsidRDefault="00A706F5" w:rsidP="00A706F5">
            <w:pPr>
              <w:pStyle w:val="BodyText"/>
              <w:rPr>
                <w:lang w:val="ru-RU"/>
              </w:rPr>
            </w:pPr>
            <w:r w:rsidRPr="00A706F5">
              <w:rPr>
                <w:lang w:val="ru-RU"/>
              </w:rPr>
              <w:t>1</w:t>
            </w:r>
            <w:r>
              <w:rPr>
                <w:lang w:val="en-US"/>
              </w:rPr>
              <w:t>.</w:t>
            </w:r>
            <w:r w:rsidRPr="00A706F5">
              <w:rPr>
                <w:lang w:val="ru-RU"/>
              </w:rPr>
              <w:t>14</w:t>
            </w:r>
          </w:p>
          <w:p w14:paraId="73DA0DBC" w14:textId="70C04FDC" w:rsidR="0081344D" w:rsidRPr="00871D3F" w:rsidRDefault="0081344D" w:rsidP="00757903">
            <w:pPr>
              <w:pStyle w:val="BodyText"/>
              <w:ind w:firstLine="0"/>
              <w:jc w:val="center"/>
              <w:rPr>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F4DE44E" w14:textId="6706C8EA" w:rsidR="0081344D" w:rsidRPr="00871D3F" w:rsidRDefault="00A706F5" w:rsidP="00757903">
            <w:pPr>
              <w:pStyle w:val="BodyText"/>
              <w:ind w:firstLine="0"/>
              <w:jc w:val="center"/>
              <w:rPr>
                <w:lang w:val="en-US"/>
              </w:rPr>
            </w:pPr>
            <w:r w:rsidRPr="00A706F5">
              <w:rPr>
                <w:lang w:val="en-US"/>
              </w:rPr>
              <w:t>1</w:t>
            </w:r>
            <w:r>
              <w:rPr>
                <w:lang w:val="en-US"/>
              </w:rPr>
              <w:t>.</w:t>
            </w:r>
            <w:r w:rsidRPr="00A706F5">
              <w:rPr>
                <w:lang w:val="en-US"/>
              </w:rPr>
              <w:t>86</w:t>
            </w:r>
          </w:p>
        </w:tc>
      </w:tr>
      <w:tr w:rsidR="0081344D" w:rsidRPr="00A65BF0" w14:paraId="3A40155F" w14:textId="77777777" w:rsidTr="007D03F1">
        <w:trPr>
          <w:trHeight w:val="283"/>
        </w:trPr>
        <w:tc>
          <w:tcPr>
            <w:tcW w:w="3827" w:type="dxa"/>
            <w:tcBorders>
              <w:top w:val="single" w:sz="4" w:space="0" w:color="auto"/>
              <w:left w:val="single" w:sz="4" w:space="0" w:color="auto"/>
              <w:bottom w:val="single" w:sz="4" w:space="0" w:color="auto"/>
              <w:right w:val="single" w:sz="4" w:space="0" w:color="auto"/>
            </w:tcBorders>
            <w:vAlign w:val="center"/>
            <w:hideMark/>
          </w:tcPr>
          <w:p w14:paraId="32897FFF" w14:textId="431977FC" w:rsidR="0081344D" w:rsidRPr="00871D3F" w:rsidRDefault="00A706F5" w:rsidP="00A706F5">
            <w:pPr>
              <w:pStyle w:val="BodyText"/>
              <w:ind w:firstLine="35"/>
              <w:rPr>
                <w:lang w:val="en-US"/>
              </w:rPr>
            </w:pPr>
            <w:r w:rsidRPr="00A706F5">
              <w:rPr>
                <w:lang w:val="en-US"/>
              </w:rPr>
              <w:t>Payback period, years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001DBF" w14:textId="2B31B74F" w:rsidR="0081344D" w:rsidRPr="00871D3F" w:rsidRDefault="00A706F5" w:rsidP="00757903">
            <w:pPr>
              <w:pStyle w:val="BodyText"/>
              <w:ind w:firstLine="0"/>
              <w:jc w:val="center"/>
              <w:rPr>
                <w:lang w:val="en-US"/>
              </w:rPr>
            </w:pPr>
            <w:r w:rsidRPr="00A706F5">
              <w:rPr>
                <w:lang w:val="en-US"/>
              </w:rPr>
              <w:t>33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82067E" w14:textId="706E88BA" w:rsidR="0081344D" w:rsidRPr="00871D3F" w:rsidRDefault="00A706F5" w:rsidP="00757903">
            <w:pPr>
              <w:pStyle w:val="BodyText"/>
              <w:ind w:firstLine="0"/>
              <w:jc w:val="center"/>
              <w:rPr>
                <w:lang w:val="en-US"/>
              </w:rPr>
            </w:pPr>
            <w:r w:rsidRPr="00A706F5">
              <w:rPr>
                <w:lang w:val="en-US"/>
              </w:rPr>
              <w:t>24</w:t>
            </w:r>
          </w:p>
        </w:tc>
      </w:tr>
      <w:tr w:rsidR="0081344D" w:rsidRPr="00A65BF0" w14:paraId="41D7D292" w14:textId="77777777" w:rsidTr="007D03F1">
        <w:trPr>
          <w:trHeight w:val="283"/>
        </w:trPr>
        <w:tc>
          <w:tcPr>
            <w:tcW w:w="3827" w:type="dxa"/>
            <w:tcBorders>
              <w:top w:val="single" w:sz="4" w:space="0" w:color="auto"/>
              <w:left w:val="single" w:sz="4" w:space="0" w:color="auto"/>
              <w:bottom w:val="single" w:sz="4" w:space="0" w:color="auto"/>
              <w:right w:val="single" w:sz="4" w:space="0" w:color="auto"/>
            </w:tcBorders>
            <w:vAlign w:val="center"/>
            <w:hideMark/>
          </w:tcPr>
          <w:p w14:paraId="4780B241" w14:textId="72699184" w:rsidR="0081344D" w:rsidRPr="00871D3F" w:rsidRDefault="00A706F5" w:rsidP="00A706F5">
            <w:pPr>
              <w:pStyle w:val="BodyText"/>
              <w:ind w:firstLine="35"/>
              <w:rPr>
                <w:lang w:val="en-US"/>
              </w:rPr>
            </w:pPr>
            <w:r w:rsidRPr="00A706F5">
              <w:rPr>
                <w:lang w:val="en-US"/>
              </w:rPr>
              <w:t>Equity productivity, kWh/$.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43522A" w14:textId="607D1F5C" w:rsidR="0081344D" w:rsidRPr="00871D3F" w:rsidRDefault="00A706F5" w:rsidP="00757903">
            <w:pPr>
              <w:pStyle w:val="BodyText"/>
              <w:ind w:firstLine="0"/>
              <w:jc w:val="center"/>
              <w:rPr>
                <w:lang w:val="en-US"/>
              </w:rPr>
            </w:pPr>
            <w:r w:rsidRPr="00A706F5">
              <w:rPr>
                <w:lang w:val="en-US"/>
              </w:rPr>
              <w:t>9</w:t>
            </w:r>
            <w:r w:rsidR="00997835">
              <w:rPr>
                <w:lang w:val="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B3D3F9" w14:textId="082F8AAC" w:rsidR="0081344D" w:rsidRPr="00871D3F" w:rsidRDefault="00A706F5" w:rsidP="00997835">
            <w:pPr>
              <w:pStyle w:val="BodyText"/>
              <w:ind w:firstLine="0"/>
              <w:jc w:val="center"/>
              <w:rPr>
                <w:lang w:val="en-US"/>
              </w:rPr>
            </w:pPr>
            <w:r w:rsidRPr="00A706F5">
              <w:rPr>
                <w:lang w:val="ru-RU"/>
              </w:rPr>
              <w:t>14</w:t>
            </w:r>
            <w:r w:rsidR="00997835">
              <w:rPr>
                <w:lang w:val="en-US"/>
              </w:rPr>
              <w:t>2</w:t>
            </w:r>
          </w:p>
        </w:tc>
      </w:tr>
    </w:tbl>
    <w:p w14:paraId="472C3018" w14:textId="77777777" w:rsidR="00A44FD2" w:rsidRDefault="00D13699" w:rsidP="00C92AC4">
      <w:pPr>
        <w:pStyle w:val="Heading2"/>
        <w:numPr>
          <w:ilvl w:val="0"/>
          <w:numId w:val="35"/>
        </w:numPr>
        <w:spacing w:before="240" w:beforeAutospacing="0" w:after="240" w:afterAutospacing="0"/>
        <w:ind w:left="851" w:hanging="284"/>
      </w:pPr>
      <w:r>
        <w:t>conclusions</w:t>
      </w:r>
    </w:p>
    <w:p w14:paraId="2EAF8C66" w14:textId="248F0330" w:rsidR="00AB1BDC" w:rsidRDefault="00170A77" w:rsidP="001963DB">
      <w:pPr>
        <w:pStyle w:val="BodyText"/>
        <w:rPr>
          <w:lang w:val="en-US"/>
        </w:rPr>
      </w:pPr>
      <w:r w:rsidRPr="00170A77">
        <w:rPr>
          <w:lang w:val="en-US"/>
        </w:rPr>
        <w:t xml:space="preserve">At present, there is an increased interest in nuclear </w:t>
      </w:r>
      <w:r w:rsidR="00757903">
        <w:rPr>
          <w:lang w:val="en-US"/>
        </w:rPr>
        <w:t xml:space="preserve">power </w:t>
      </w:r>
      <w:r w:rsidRPr="00170A77">
        <w:rPr>
          <w:lang w:val="en-US"/>
        </w:rPr>
        <w:t xml:space="preserve">plants with small </w:t>
      </w:r>
      <w:r w:rsidR="00757903">
        <w:rPr>
          <w:lang w:val="en-US"/>
        </w:rPr>
        <w:t xml:space="preserve">modular </w:t>
      </w:r>
      <w:r w:rsidRPr="00170A77">
        <w:rPr>
          <w:lang w:val="en-US"/>
        </w:rPr>
        <w:t>reactors (SMR) and a large number of SMR designs have been developed</w:t>
      </w:r>
      <w:r w:rsidR="00757903">
        <w:rPr>
          <w:lang w:val="en-US"/>
        </w:rPr>
        <w:t>,</w:t>
      </w:r>
      <w:r w:rsidRPr="00170A77">
        <w:rPr>
          <w:lang w:val="en-US"/>
        </w:rPr>
        <w:t xml:space="preserve"> while the role and prospects of </w:t>
      </w:r>
      <w:r>
        <w:rPr>
          <w:lang w:val="en-US"/>
        </w:rPr>
        <w:t xml:space="preserve">these reactors </w:t>
      </w:r>
      <w:r w:rsidRPr="00170A77">
        <w:rPr>
          <w:lang w:val="en-US"/>
        </w:rPr>
        <w:t xml:space="preserve">are still </w:t>
      </w:r>
      <w:r w:rsidR="00757903">
        <w:rPr>
          <w:lang w:val="en-US"/>
        </w:rPr>
        <w:t>under discussion</w:t>
      </w:r>
      <w:r w:rsidRPr="00170A77">
        <w:rPr>
          <w:lang w:val="en-US"/>
        </w:rPr>
        <w:t xml:space="preserve"> </w:t>
      </w:r>
      <w:r w:rsidR="00757903">
        <w:rPr>
          <w:lang w:val="en-US"/>
        </w:rPr>
        <w:t xml:space="preserve">not obvious, thus </w:t>
      </w:r>
      <w:r w:rsidRPr="00170A77">
        <w:rPr>
          <w:lang w:val="en-US"/>
        </w:rPr>
        <w:t xml:space="preserve">their </w:t>
      </w:r>
      <w:r w:rsidR="00757903">
        <w:rPr>
          <w:lang w:val="en-US"/>
        </w:rPr>
        <w:t xml:space="preserve">implementation </w:t>
      </w:r>
      <w:r w:rsidRPr="00170A77">
        <w:rPr>
          <w:lang w:val="en-US"/>
        </w:rPr>
        <w:t>is at a very early stage</w:t>
      </w:r>
      <w:r>
        <w:rPr>
          <w:lang w:val="en-US"/>
        </w:rPr>
        <w:t xml:space="preserve">. </w:t>
      </w:r>
      <w:r w:rsidRPr="00170A77">
        <w:rPr>
          <w:lang w:val="en-US"/>
        </w:rPr>
        <w:t>T</w:t>
      </w:r>
      <w:r w:rsidR="00757903">
        <w:rPr>
          <w:lang w:val="en-US"/>
        </w:rPr>
        <w:t>he presentation provides the</w:t>
      </w:r>
      <w:r w:rsidRPr="00170A77">
        <w:rPr>
          <w:lang w:val="en-US"/>
        </w:rPr>
        <w:t xml:space="preserve"> </w:t>
      </w:r>
      <w:r w:rsidR="00597E2A">
        <w:rPr>
          <w:lang w:val="en-US"/>
        </w:rPr>
        <w:t>authors</w:t>
      </w:r>
      <w:r w:rsidR="00757903">
        <w:rPr>
          <w:lang w:val="en-US"/>
        </w:rPr>
        <w:t>’</w:t>
      </w:r>
      <w:r w:rsidR="00597E2A">
        <w:rPr>
          <w:lang w:val="en-US"/>
        </w:rPr>
        <w:t xml:space="preserve"> </w:t>
      </w:r>
      <w:r w:rsidR="00757903">
        <w:rPr>
          <w:lang w:val="en-US"/>
        </w:rPr>
        <w:t>vision</w:t>
      </w:r>
      <w:r w:rsidR="00757903" w:rsidRPr="00170A77">
        <w:rPr>
          <w:lang w:val="en-US"/>
        </w:rPr>
        <w:t xml:space="preserve"> </w:t>
      </w:r>
      <w:r w:rsidRPr="00170A77">
        <w:rPr>
          <w:lang w:val="en-US"/>
        </w:rPr>
        <w:t xml:space="preserve">on </w:t>
      </w:r>
      <w:r w:rsidR="00757903">
        <w:rPr>
          <w:lang w:val="en-US"/>
        </w:rPr>
        <w:t xml:space="preserve">some </w:t>
      </w:r>
      <w:r w:rsidRPr="00170A77">
        <w:rPr>
          <w:lang w:val="en-US"/>
        </w:rPr>
        <w:t xml:space="preserve">driving forces </w:t>
      </w:r>
      <w:r w:rsidR="00757903">
        <w:rPr>
          <w:lang w:val="en-US"/>
        </w:rPr>
        <w:t>and impediments to the widespread</w:t>
      </w:r>
      <w:r w:rsidR="001963DB">
        <w:rPr>
          <w:lang w:val="en-US"/>
        </w:rPr>
        <w:t xml:space="preserve"> </w:t>
      </w:r>
      <w:r w:rsidR="00757903">
        <w:rPr>
          <w:lang w:val="en-US"/>
        </w:rPr>
        <w:t xml:space="preserve">deployment of </w:t>
      </w:r>
      <w:r w:rsidRPr="00170A77">
        <w:rPr>
          <w:lang w:val="en-US"/>
        </w:rPr>
        <w:t>small NPP</w:t>
      </w:r>
      <w:r w:rsidR="00AB1BDC">
        <w:rPr>
          <w:lang w:val="en-US"/>
        </w:rPr>
        <w:t>s</w:t>
      </w:r>
      <w:r w:rsidR="001963DB">
        <w:rPr>
          <w:lang w:val="en-US"/>
        </w:rPr>
        <w:t xml:space="preserve">. </w:t>
      </w:r>
    </w:p>
    <w:p w14:paraId="5C4AA5C6" w14:textId="6EFE3955" w:rsidR="001963DB" w:rsidRPr="00DC6D00" w:rsidRDefault="00757903" w:rsidP="00DC6D00">
      <w:pPr>
        <w:pStyle w:val="BodyText"/>
        <w:rPr>
          <w:lang w:val="en-US"/>
        </w:rPr>
      </w:pPr>
      <w:r>
        <w:rPr>
          <w:lang w:val="en-US"/>
        </w:rPr>
        <w:t>The analysis of</w:t>
      </w:r>
      <w:r w:rsidR="00C92AC4" w:rsidRPr="00C92AC4">
        <w:rPr>
          <w:lang w:val="en-US"/>
        </w:rPr>
        <w:t xml:space="preserve"> </w:t>
      </w:r>
      <w:r>
        <w:rPr>
          <w:lang w:val="en-US"/>
        </w:rPr>
        <w:t xml:space="preserve">SMR </w:t>
      </w:r>
      <w:r w:rsidR="00C92AC4" w:rsidRPr="00C92AC4">
        <w:rPr>
          <w:lang w:val="en-US"/>
        </w:rPr>
        <w:t>development shows that from a technical point of view and in terms of safety indicators, these reactors have reached a certain level of maturity. Thus, nuclear icebreakers</w:t>
      </w:r>
      <w:r w:rsidR="002E5233">
        <w:rPr>
          <w:lang w:val="en-US"/>
        </w:rPr>
        <w:t>,</w:t>
      </w:r>
      <w:r w:rsidR="00C92AC4" w:rsidRPr="00C92AC4">
        <w:rPr>
          <w:lang w:val="en-US"/>
        </w:rPr>
        <w:t xml:space="preserve"> </w:t>
      </w:r>
      <w:r w:rsidRPr="00757903">
        <w:rPr>
          <w:lang w:val="en-US"/>
        </w:rPr>
        <w:t xml:space="preserve">transportable sea-based nuclear power plants </w:t>
      </w:r>
      <w:r w:rsidR="002E5233">
        <w:rPr>
          <w:lang w:val="en-US"/>
        </w:rPr>
        <w:t xml:space="preserve">and first on land small NPP </w:t>
      </w:r>
      <w:r w:rsidRPr="00C92AC4">
        <w:rPr>
          <w:lang w:val="en-US"/>
        </w:rPr>
        <w:t xml:space="preserve">successfully </w:t>
      </w:r>
      <w:r w:rsidR="00C92AC4" w:rsidRPr="00C92AC4">
        <w:rPr>
          <w:lang w:val="en-US"/>
        </w:rPr>
        <w:t xml:space="preserve">fulfill </w:t>
      </w:r>
      <w:r>
        <w:rPr>
          <w:lang w:val="en-US"/>
        </w:rPr>
        <w:t xml:space="preserve">a vital </w:t>
      </w:r>
      <w:r w:rsidR="00C92AC4" w:rsidRPr="00C92AC4">
        <w:rPr>
          <w:lang w:val="en-US"/>
        </w:rPr>
        <w:t xml:space="preserve">task for the state </w:t>
      </w:r>
      <w:r>
        <w:rPr>
          <w:lang w:val="en-US"/>
        </w:rPr>
        <w:t>in</w:t>
      </w:r>
      <w:r w:rsidR="00C92AC4" w:rsidRPr="00C92AC4">
        <w:rPr>
          <w:lang w:val="en-US"/>
        </w:rPr>
        <w:t xml:space="preserve"> developing the Northern Sea Route</w:t>
      </w:r>
      <w:r>
        <w:rPr>
          <w:lang w:val="en-US"/>
        </w:rPr>
        <w:t xml:space="preserve"> </w:t>
      </w:r>
      <w:r w:rsidR="002E5233">
        <w:rPr>
          <w:lang w:val="en-US"/>
        </w:rPr>
        <w:t xml:space="preserve">and </w:t>
      </w:r>
      <w:r w:rsidRPr="00757903">
        <w:rPr>
          <w:lang w:val="en-US"/>
        </w:rPr>
        <w:t xml:space="preserve">power supply to the remote northern regions of the country. </w:t>
      </w:r>
      <w:r w:rsidR="00C92AC4" w:rsidRPr="00C92AC4">
        <w:rPr>
          <w:lang w:val="en-US"/>
        </w:rPr>
        <w:t xml:space="preserve">The </w:t>
      </w:r>
      <w:r w:rsidR="006539D5">
        <w:rPr>
          <w:lang w:val="en-US"/>
        </w:rPr>
        <w:t xml:space="preserve">main </w:t>
      </w:r>
      <w:r w:rsidR="00C92AC4" w:rsidRPr="00C92AC4">
        <w:rPr>
          <w:lang w:val="en-US"/>
        </w:rPr>
        <w:t>SM</w:t>
      </w:r>
      <w:r w:rsidR="00937CCD">
        <w:rPr>
          <w:lang w:val="en-US"/>
        </w:rPr>
        <w:t>R</w:t>
      </w:r>
      <w:r w:rsidR="00597E2A">
        <w:rPr>
          <w:lang w:val="en-US"/>
        </w:rPr>
        <w:t>s</w:t>
      </w:r>
      <w:r w:rsidR="00C92AC4" w:rsidRPr="00C92AC4">
        <w:rPr>
          <w:lang w:val="en-US"/>
        </w:rPr>
        <w:t xml:space="preserve"> </w:t>
      </w:r>
      <w:r w:rsidR="006539D5">
        <w:rPr>
          <w:lang w:val="en-US"/>
        </w:rPr>
        <w:t>problem</w:t>
      </w:r>
      <w:r w:rsidR="002E5233" w:rsidRPr="00C92AC4">
        <w:rPr>
          <w:lang w:val="en-US"/>
        </w:rPr>
        <w:t xml:space="preserve"> </w:t>
      </w:r>
      <w:r w:rsidR="002E5233">
        <w:rPr>
          <w:lang w:val="en-US"/>
        </w:rPr>
        <w:t xml:space="preserve">preventing their </w:t>
      </w:r>
      <w:r w:rsidR="006539D5">
        <w:rPr>
          <w:lang w:val="en-US"/>
        </w:rPr>
        <w:t xml:space="preserve">accelerated </w:t>
      </w:r>
      <w:r w:rsidR="002E5233">
        <w:rPr>
          <w:lang w:val="en-US"/>
        </w:rPr>
        <w:t xml:space="preserve">deployment </w:t>
      </w:r>
      <w:r w:rsidR="006539D5">
        <w:rPr>
          <w:lang w:val="en-US"/>
        </w:rPr>
        <w:t>is</w:t>
      </w:r>
      <w:r w:rsidR="00C92AC4" w:rsidRPr="00C92AC4">
        <w:rPr>
          <w:lang w:val="en-US"/>
        </w:rPr>
        <w:t xml:space="preserve"> related to the need to achieve economic competitiveness with well-developed energy sources, including high-power reactors. SM</w:t>
      </w:r>
      <w:r w:rsidR="00597E2A">
        <w:rPr>
          <w:lang w:val="en-US"/>
        </w:rPr>
        <w:t>R</w:t>
      </w:r>
      <w:r w:rsidR="00C92AC4" w:rsidRPr="00C92AC4">
        <w:rPr>
          <w:lang w:val="en-US"/>
        </w:rPr>
        <w:t xml:space="preserve">s </w:t>
      </w:r>
      <w:r w:rsidR="002E5233">
        <w:rPr>
          <w:lang w:val="en-US"/>
        </w:rPr>
        <w:t xml:space="preserve">are expected to be able to </w:t>
      </w:r>
      <w:r w:rsidR="00C92AC4" w:rsidRPr="00C92AC4">
        <w:rPr>
          <w:lang w:val="en-US"/>
        </w:rPr>
        <w:t xml:space="preserve">produce competitive electricity and heat in northern and arctic regions </w:t>
      </w:r>
      <w:r w:rsidR="006539D5">
        <w:rPr>
          <w:lang w:val="en-US"/>
        </w:rPr>
        <w:t xml:space="preserve">of Russia </w:t>
      </w:r>
      <w:r w:rsidR="00C92AC4" w:rsidRPr="00C92AC4">
        <w:rPr>
          <w:lang w:val="en-US"/>
        </w:rPr>
        <w:t xml:space="preserve">with high energy cost. However, </w:t>
      </w:r>
      <w:r w:rsidR="00597E2A">
        <w:rPr>
          <w:lang w:val="en-US"/>
        </w:rPr>
        <w:t xml:space="preserve">even </w:t>
      </w:r>
      <w:r w:rsidR="00C92AC4" w:rsidRPr="00C92AC4">
        <w:rPr>
          <w:lang w:val="en-US"/>
        </w:rPr>
        <w:t>in this case, to achieve succ</w:t>
      </w:r>
      <w:r w:rsidR="002E5233">
        <w:rPr>
          <w:lang w:val="en-US"/>
        </w:rPr>
        <w:t xml:space="preserve">ess, new solutions are required. </w:t>
      </w:r>
      <w:r w:rsidR="003F132C">
        <w:rPr>
          <w:lang w:val="en-US"/>
        </w:rPr>
        <w:t>I</w:t>
      </w:r>
      <w:r w:rsidR="006539D5">
        <w:rPr>
          <w:lang w:val="en-US"/>
        </w:rPr>
        <w:t xml:space="preserve">nnovative approaches to SMRs designs </w:t>
      </w:r>
      <w:r w:rsidR="00C92AC4" w:rsidRPr="00C92AC4">
        <w:rPr>
          <w:lang w:val="en-US"/>
        </w:rPr>
        <w:t xml:space="preserve">are being intensively developed, </w:t>
      </w:r>
      <w:r w:rsidR="003F132C" w:rsidRPr="003F132C">
        <w:rPr>
          <w:lang w:val="en-US"/>
        </w:rPr>
        <w:t xml:space="preserve">and R&amp;D is the </w:t>
      </w:r>
      <w:r w:rsidR="003F132C">
        <w:rPr>
          <w:lang w:val="en-US"/>
        </w:rPr>
        <w:t xml:space="preserve">key </w:t>
      </w:r>
      <w:r w:rsidR="003F132C" w:rsidRPr="003F132C">
        <w:rPr>
          <w:lang w:val="en-US"/>
        </w:rPr>
        <w:t>condition for the accelerated implementation of this technology not only in specific niches of the energy sector, but also in its main part</w:t>
      </w:r>
      <w:r w:rsidR="00C92AC4" w:rsidRPr="00C92AC4">
        <w:rPr>
          <w:lang w:val="en-US"/>
        </w:rPr>
        <w:t>.</w:t>
      </w:r>
      <w:r w:rsidR="00782361">
        <w:rPr>
          <w:lang w:val="en-US"/>
        </w:rPr>
        <w:t xml:space="preserve"> </w:t>
      </w:r>
      <w:r w:rsidR="003F132C" w:rsidRPr="003F132C">
        <w:rPr>
          <w:lang w:val="en-US"/>
        </w:rPr>
        <w:t xml:space="preserve">At the same time, any other </w:t>
      </w:r>
      <w:r w:rsidR="00DC6D00">
        <w:rPr>
          <w:lang w:val="en-US"/>
        </w:rPr>
        <w:t xml:space="preserve">opportunities </w:t>
      </w:r>
      <w:r w:rsidR="003F132C" w:rsidRPr="003F132C">
        <w:rPr>
          <w:lang w:val="en-US"/>
        </w:rPr>
        <w:t xml:space="preserve">for </w:t>
      </w:r>
      <w:r w:rsidR="00DC6D00">
        <w:rPr>
          <w:lang w:val="en-US"/>
        </w:rPr>
        <w:t xml:space="preserve">increasing the </w:t>
      </w:r>
      <w:r w:rsidR="003F132C">
        <w:rPr>
          <w:lang w:val="en-US"/>
        </w:rPr>
        <w:t xml:space="preserve">competitiveness </w:t>
      </w:r>
      <w:r w:rsidR="00DC6D00">
        <w:rPr>
          <w:lang w:val="en-US"/>
        </w:rPr>
        <w:t xml:space="preserve">of SMRs </w:t>
      </w:r>
      <w:r w:rsidR="003F132C" w:rsidRPr="003F132C">
        <w:rPr>
          <w:lang w:val="en-US"/>
        </w:rPr>
        <w:t>should be</w:t>
      </w:r>
      <w:r w:rsidR="00DC6D00">
        <w:rPr>
          <w:lang w:val="en-US"/>
        </w:rPr>
        <w:t xml:space="preserve"> implemented</w:t>
      </w:r>
      <w:r w:rsidR="003F132C" w:rsidRPr="003F132C">
        <w:rPr>
          <w:lang w:val="en-US"/>
        </w:rPr>
        <w:t xml:space="preserve">. </w:t>
      </w:r>
      <w:r w:rsidR="00C92AC4">
        <w:t xml:space="preserve">It is shown in the paper that </w:t>
      </w:r>
      <w:r w:rsidR="00937CCD">
        <w:t xml:space="preserve">the </w:t>
      </w:r>
      <w:r w:rsidR="00C92AC4">
        <w:t xml:space="preserve">institutional innovation </w:t>
      </w:r>
      <w:r w:rsidR="00937CCD">
        <w:t xml:space="preserve">– </w:t>
      </w:r>
      <w:r w:rsidR="00937CCD" w:rsidRPr="00997835">
        <w:t xml:space="preserve">organization of a network structure with </w:t>
      </w:r>
      <w:r w:rsidR="00937CCD">
        <w:t xml:space="preserve">small reactors </w:t>
      </w:r>
      <w:r w:rsidR="00DC6D00" w:rsidRPr="00DC6D00">
        <w:t>allows for economies of scale</w:t>
      </w:r>
      <w:r w:rsidR="00DC6D00">
        <w:t xml:space="preserve"> </w:t>
      </w:r>
      <w:r w:rsidR="00AE00B9">
        <w:t xml:space="preserve">thus </w:t>
      </w:r>
      <w:r w:rsidR="00DC6D00">
        <w:t xml:space="preserve">providing </w:t>
      </w:r>
      <w:r w:rsidR="00AE00B9">
        <w:t xml:space="preserve">enhancing </w:t>
      </w:r>
      <w:r w:rsidR="00997835" w:rsidRPr="00997835">
        <w:t>their commercial attractiveness</w:t>
      </w:r>
      <w:r w:rsidR="00937CCD">
        <w:t>.</w:t>
      </w:r>
    </w:p>
    <w:p w14:paraId="3BD3D6A6" w14:textId="2FFEC7FB" w:rsidR="00170A77" w:rsidRPr="001963DB" w:rsidRDefault="00170A77" w:rsidP="00C92AC4">
      <w:pPr>
        <w:pStyle w:val="BodyText"/>
        <w:spacing w:before="240" w:after="240"/>
        <w:contextualSpacing w:val="0"/>
        <w:jc w:val="center"/>
        <w:rPr>
          <w:b/>
          <w:bCs/>
        </w:rPr>
      </w:pPr>
      <w:r w:rsidRPr="001963DB">
        <w:rPr>
          <w:b/>
          <w:bCs/>
        </w:rPr>
        <w:t>REFERENCES</w:t>
      </w:r>
    </w:p>
    <w:p w14:paraId="48DE7CF0" w14:textId="1DA4CC14" w:rsidR="00170A77" w:rsidRDefault="00170A77" w:rsidP="00170A77">
      <w:pPr>
        <w:pStyle w:val="BodyText"/>
      </w:pPr>
      <w:r>
        <w:t>[1]</w:t>
      </w:r>
      <w:r>
        <w:tab/>
      </w:r>
      <w:r w:rsidR="00937CCD" w:rsidRPr="00937CCD">
        <w:t xml:space="preserve">International Atomic Energy Agency, web page of INPRO section. — URL: </w:t>
      </w:r>
      <w:hyperlink r:id="rId12" w:history="1">
        <w:r w:rsidR="00937CCD" w:rsidRPr="00AC5C7B">
          <w:rPr>
            <w:rStyle w:val="Hyperlink"/>
          </w:rPr>
          <w:t>http://www/iaea/org/INPRO</w:t>
        </w:r>
      </w:hyperlink>
      <w:r w:rsidR="00937CCD">
        <w:t xml:space="preserve"> </w:t>
      </w:r>
    </w:p>
    <w:p w14:paraId="00B880E8" w14:textId="4C8864C2" w:rsidR="00937CCD" w:rsidRDefault="00170A77" w:rsidP="00170A77">
      <w:pPr>
        <w:pStyle w:val="BodyText"/>
      </w:pPr>
      <w:r>
        <w:t>[2]</w:t>
      </w:r>
      <w:r>
        <w:tab/>
      </w:r>
      <w:r w:rsidR="00937CCD" w:rsidRPr="00937CCD">
        <w:t>USANOV V. System competitiveness of nuclear energy sources. // News of universities. Nuclear energy. - 2018. - No. 2. — P. 25-36</w:t>
      </w:r>
      <w:r w:rsidR="00937CCD">
        <w:t xml:space="preserve"> in Russian</w:t>
      </w:r>
      <w:r w:rsidR="00937CCD" w:rsidRPr="00937CCD">
        <w:t>.</w:t>
      </w:r>
    </w:p>
    <w:p w14:paraId="6A6C2AB0" w14:textId="3C271940" w:rsidR="000D7846" w:rsidRPr="000D7846" w:rsidRDefault="00937CCD" w:rsidP="000D7846">
      <w:pPr>
        <w:pStyle w:val="BodyText"/>
        <w:rPr>
          <w:lang w:val="en-US"/>
        </w:rPr>
      </w:pPr>
      <w:r>
        <w:t>[3]</w:t>
      </w:r>
      <w:r>
        <w:tab/>
      </w:r>
      <w:r w:rsidRPr="00937CCD">
        <w:t>USANOV V</w:t>
      </w:r>
      <w:r w:rsidR="0090075E">
        <w:t>.</w:t>
      </w:r>
      <w:r>
        <w:t>,</w:t>
      </w:r>
      <w:r w:rsidR="0090075E" w:rsidRPr="0090075E">
        <w:t xml:space="preserve"> </w:t>
      </w:r>
      <w:r w:rsidR="00971311" w:rsidRPr="0090075E">
        <w:t>KVIATKOVSKII</w:t>
      </w:r>
      <w:r w:rsidR="00971311">
        <w:t xml:space="preserve"> S.</w:t>
      </w:r>
      <w:r w:rsidR="0090075E" w:rsidRPr="0090075E">
        <w:t>, Efficiency of the phased financing of the construction of a nuclear energy system with small reactors</w:t>
      </w:r>
      <w:r w:rsidR="0090075E">
        <w:t>.</w:t>
      </w:r>
      <w:r w:rsidR="0090075E" w:rsidRPr="0090075E">
        <w:t xml:space="preserve"> </w:t>
      </w:r>
      <w:r>
        <w:t xml:space="preserve"> </w:t>
      </w:r>
      <w:r w:rsidR="000D7846" w:rsidRPr="000D7846">
        <w:rPr>
          <w:lang w:val="en-US"/>
        </w:rPr>
        <w:t>In book: Nuclear Power Plants - New Insights</w:t>
      </w:r>
      <w:r w:rsidR="000D7846">
        <w:rPr>
          <w:lang w:val="en-US"/>
        </w:rPr>
        <w:t xml:space="preserve">. </w:t>
      </w:r>
      <w:r w:rsidR="000D7846" w:rsidRPr="000D7846">
        <w:t>DOI:</w:t>
      </w:r>
      <w:hyperlink r:id="rId13" w:tgtFrame="_blank" w:history="1">
        <w:r w:rsidR="000D7846" w:rsidRPr="000D7846">
          <w:rPr>
            <w:rStyle w:val="Hyperlink"/>
          </w:rPr>
          <w:t>10.5772/intechopen.1002193</w:t>
        </w:r>
      </w:hyperlink>
    </w:p>
    <w:p w14:paraId="6A79195E" w14:textId="0305D5FC" w:rsidR="00937CCD" w:rsidRDefault="00937CCD" w:rsidP="00170A77">
      <w:pPr>
        <w:pStyle w:val="BodyText"/>
      </w:pPr>
    </w:p>
    <w:sectPr w:rsidR="00937CCD" w:rsidSect="0026525A">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EF6C" w14:textId="77777777" w:rsidR="003D3D16" w:rsidRDefault="003D3D16">
      <w:r>
        <w:separator/>
      </w:r>
    </w:p>
  </w:endnote>
  <w:endnote w:type="continuationSeparator" w:id="0">
    <w:p w14:paraId="66B87481" w14:textId="77777777" w:rsidR="003D3D16" w:rsidRDefault="003D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roman"/>
    <w:pitch w:val="default"/>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757903" w:rsidRDefault="00757903">
    <w:pPr>
      <w:pStyle w:val="zyxClassification1"/>
    </w:pPr>
    <w:r>
      <w:fldChar w:fldCharType="begin"/>
    </w:r>
    <w:r>
      <w:instrText xml:space="preserve"> DOCPROPERTY "IaeaClassification"  \* MERGEFORMAT </w:instrText>
    </w:r>
    <w:r>
      <w:fldChar w:fldCharType="end"/>
    </w:r>
  </w:p>
  <w:p w14:paraId="1FDEB1B7" w14:textId="0ED3327B" w:rsidR="00757903" w:rsidRDefault="00757903">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757903" w:rsidRDefault="00757903">
    <w:pPr>
      <w:pStyle w:val="zyxClassification1"/>
    </w:pPr>
    <w:r>
      <w:fldChar w:fldCharType="begin"/>
    </w:r>
    <w:r>
      <w:instrText xml:space="preserve"> DOCPROPERTY "IaeaClassification"  \* MERGEFORMAT </w:instrText>
    </w:r>
    <w:r>
      <w:fldChar w:fldCharType="end"/>
    </w:r>
  </w:p>
  <w:p w14:paraId="7E32AC2C" w14:textId="07C52EB6" w:rsidR="00757903" w:rsidRPr="00037321" w:rsidRDefault="00757903">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AE7898">
      <w:rPr>
        <w:rFonts w:ascii="Times New Roman" w:hAnsi="Times New Roman" w:cs="Times New Roman"/>
        <w:noProof/>
        <w:sz w:val="20"/>
      </w:rPr>
      <w:t>7</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757903" w14:paraId="2AC0DA17" w14:textId="77777777">
      <w:trPr>
        <w:cantSplit/>
      </w:trPr>
      <w:tc>
        <w:tcPr>
          <w:tcW w:w="4644" w:type="dxa"/>
        </w:tcPr>
        <w:p w14:paraId="6CFF9F49" w14:textId="0172A26A" w:rsidR="00757903" w:rsidRDefault="00757903">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757903" w:rsidRDefault="00757903">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6" w:name="DOC_bkmClassification2"/>
      <w:tc>
        <w:tcPr>
          <w:tcW w:w="5670" w:type="dxa"/>
          <w:tcMar>
            <w:right w:w="249" w:type="dxa"/>
          </w:tcMar>
        </w:tcPr>
        <w:p w14:paraId="6BE850AD" w14:textId="6BACBAB6" w:rsidR="00757903" w:rsidRDefault="00757903">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6"/>
        <w:p w14:paraId="4A6BF5C8" w14:textId="4D4577F5" w:rsidR="00757903" w:rsidRDefault="00757903">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17" w:name="DOC_bkmFileName"/>
  <w:p w14:paraId="437B756E" w14:textId="14A092E5" w:rsidR="00757903" w:rsidRDefault="00757903">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EBEA" w14:textId="77777777" w:rsidR="003D3D16" w:rsidRDefault="003D3D16">
      <w:r>
        <w:t>___________________________________________________________________________</w:t>
      </w:r>
    </w:p>
  </w:footnote>
  <w:footnote w:type="continuationSeparator" w:id="0">
    <w:p w14:paraId="223CB51D" w14:textId="77777777" w:rsidR="003D3D16" w:rsidRDefault="003D3D16">
      <w:r>
        <w:t>___________________________________________________________________________</w:t>
      </w:r>
    </w:p>
  </w:footnote>
  <w:footnote w:type="continuationNotice" w:id="1">
    <w:p w14:paraId="37CD2CB1" w14:textId="77777777" w:rsidR="003D3D16" w:rsidRDefault="003D3D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07A4B9B4" w:rsidR="00757903" w:rsidRDefault="00757903" w:rsidP="00CF7AF3">
    <w:pPr>
      <w:pStyle w:val="Runninghead"/>
    </w:pPr>
    <w:r>
      <w:tab/>
    </w:r>
    <w:r w:rsidR="00AD5115">
      <w:t>IAEA-CN-327/48</w:t>
    </w:r>
  </w:p>
  <w:p w14:paraId="4D70767E" w14:textId="77777777" w:rsidR="00757903" w:rsidRPr="009E1558" w:rsidRDefault="0075790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757903" w:rsidRDefault="00757903"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58EFCBEB" w:rsidR="00757903" w:rsidRDefault="00757903">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36CBF512" w:rsidR="00757903" w:rsidRDefault="00F56709" w:rsidP="00B82FA5">
    <w:pPr>
      <w:pStyle w:val="Runninghead"/>
    </w:pPr>
    <w:r>
      <w:t xml:space="preserve">V.I. USANOV, V.M. TROYANOV, I.A. KUZINA, at al. </w:t>
    </w:r>
  </w:p>
  <w:p w14:paraId="2762EF17" w14:textId="77777777" w:rsidR="00757903" w:rsidRPr="009E1558" w:rsidRDefault="00757903" w:rsidP="00037321">
    <w:pPr>
      <w:jc w:val="center"/>
      <w:rPr>
        <w:color w:val="BFBFBF" w:themeColor="background1" w:themeShade="BF"/>
        <w:sz w:val="16"/>
        <w:szCs w:val="16"/>
      </w:rPr>
    </w:pPr>
    <w:r>
      <w:rPr>
        <w:color w:val="BFBFBF" w:themeColor="background1" w:themeShade="BF"/>
        <w:sz w:val="16"/>
        <w:szCs w:val="16"/>
      </w:rPr>
      <w:t>[</w:t>
    </w:r>
    <w:r w:rsidRPr="009E1558">
      <w:rPr>
        <w:color w:val="BFBFBF" w:themeColor="background1" w:themeShade="BF"/>
        <w:sz w:val="16"/>
        <w:szCs w:val="16"/>
      </w:rPr>
      <w:t>Left hand page running head is author’s name in Times New Roman 8 p</w:t>
    </w:r>
    <w:r>
      <w:rPr>
        <w:color w:val="BFBFBF" w:themeColor="background1" w:themeShade="BF"/>
        <w:sz w:val="16"/>
        <w:szCs w:val="16"/>
      </w:rPr>
      <w:t>oin</w:t>
    </w:r>
    <w:r w:rsidRPr="009E1558">
      <w:rPr>
        <w:color w:val="BFBFBF" w:themeColor="background1" w:themeShade="BF"/>
        <w:sz w:val="16"/>
        <w:szCs w:val="16"/>
      </w:rPr>
      <w:t>t bold capitals, centred</w:t>
    </w:r>
    <w:r>
      <w:rPr>
        <w:color w:val="BFBFBF" w:themeColor="background1" w:themeShade="BF"/>
        <w:sz w:val="16"/>
        <w:szCs w:val="16"/>
      </w:rPr>
      <w:t>. F</w:t>
    </w:r>
    <w:r w:rsidRPr="009E1558">
      <w:rPr>
        <w:color w:val="BFBFBF" w:themeColor="background1" w:themeShade="BF"/>
        <w:sz w:val="16"/>
        <w:szCs w:val="16"/>
      </w:rPr>
      <w:t xml:space="preserve">or more </w:t>
    </w:r>
    <w:r>
      <w:rPr>
        <w:color w:val="BFBFBF" w:themeColor="background1" w:themeShade="BF"/>
        <w:sz w:val="16"/>
        <w:szCs w:val="16"/>
      </w:rPr>
      <w:t xml:space="preserve">than two </w:t>
    </w:r>
    <w:r w:rsidRPr="009E1558">
      <w:rPr>
        <w:color w:val="BFBFBF" w:themeColor="background1" w:themeShade="BF"/>
        <w:sz w:val="16"/>
        <w:szCs w:val="16"/>
      </w:rPr>
      <w:t>authors</w:t>
    </w:r>
    <w:r>
      <w:rPr>
        <w:color w:val="BFBFBF" w:themeColor="background1" w:themeShade="BF"/>
        <w:sz w:val="16"/>
        <w:szCs w:val="16"/>
      </w:rPr>
      <w:t>,</w:t>
    </w:r>
    <w:r w:rsidRPr="009E1558">
      <w:rPr>
        <w:color w:val="BFBFBF" w:themeColor="background1" w:themeShade="BF"/>
        <w:sz w:val="16"/>
        <w:szCs w:val="16"/>
      </w:rPr>
      <w:t xml:space="preserve"> write </w:t>
    </w:r>
    <w:r>
      <w:rPr>
        <w:b/>
        <w:color w:val="BFBFBF" w:themeColor="background1" w:themeShade="BF"/>
        <w:sz w:val="16"/>
        <w:szCs w:val="16"/>
      </w:rPr>
      <w:t>AUTHOR</w:t>
    </w:r>
    <w:r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757903" w14:paraId="2C69EA9B" w14:textId="77777777">
      <w:trPr>
        <w:cantSplit/>
        <w:trHeight w:val="716"/>
      </w:trPr>
      <w:tc>
        <w:tcPr>
          <w:tcW w:w="979" w:type="dxa"/>
          <w:vMerge w:val="restart"/>
        </w:tcPr>
        <w:p w14:paraId="2A6ADF80" w14:textId="77777777" w:rsidR="00757903" w:rsidRDefault="00757903">
          <w:pPr>
            <w:spacing w:before="180"/>
            <w:ind w:left="17"/>
          </w:pPr>
        </w:p>
      </w:tc>
      <w:tc>
        <w:tcPr>
          <w:tcW w:w="3638" w:type="dxa"/>
          <w:vAlign w:val="bottom"/>
        </w:tcPr>
        <w:p w14:paraId="610CF310" w14:textId="77777777" w:rsidR="00757903" w:rsidRDefault="00757903">
          <w:pPr>
            <w:spacing w:after="20"/>
          </w:pPr>
        </w:p>
      </w:tc>
      <w:bookmarkStart w:id="15" w:name="DOC_bkmClassification1"/>
      <w:tc>
        <w:tcPr>
          <w:tcW w:w="5702" w:type="dxa"/>
          <w:vMerge w:val="restart"/>
          <w:tcMar>
            <w:right w:w="193" w:type="dxa"/>
          </w:tcMar>
        </w:tcPr>
        <w:p w14:paraId="48D5842E" w14:textId="65BC9385" w:rsidR="00757903" w:rsidRDefault="00757903">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5"/>
        <w:p w14:paraId="423CAA9C" w14:textId="4809B93E" w:rsidR="00757903" w:rsidRDefault="00757903">
          <w:pPr>
            <w:pStyle w:val="zyxConfid2Red"/>
          </w:pPr>
          <w:r>
            <w:fldChar w:fldCharType="begin"/>
          </w:r>
          <w:r>
            <w:instrText>DOCPROPERTY "IaeaClassification2"  \* MERGEFORMAT</w:instrText>
          </w:r>
          <w:r>
            <w:fldChar w:fldCharType="end"/>
          </w:r>
        </w:p>
      </w:tc>
    </w:tr>
    <w:tr w:rsidR="00757903" w14:paraId="7130D945" w14:textId="77777777">
      <w:trPr>
        <w:cantSplit/>
        <w:trHeight w:val="167"/>
      </w:trPr>
      <w:tc>
        <w:tcPr>
          <w:tcW w:w="979" w:type="dxa"/>
          <w:vMerge/>
        </w:tcPr>
        <w:p w14:paraId="7659FE2B" w14:textId="77777777" w:rsidR="00757903" w:rsidRDefault="00757903">
          <w:pPr>
            <w:spacing w:before="57"/>
          </w:pPr>
        </w:p>
      </w:tc>
      <w:tc>
        <w:tcPr>
          <w:tcW w:w="3638" w:type="dxa"/>
          <w:vAlign w:val="bottom"/>
        </w:tcPr>
        <w:p w14:paraId="7578AADC" w14:textId="77777777" w:rsidR="00757903" w:rsidRDefault="00757903">
          <w:pPr>
            <w:pStyle w:val="Heading9"/>
            <w:spacing w:before="0" w:after="10"/>
          </w:pPr>
        </w:p>
      </w:tc>
      <w:tc>
        <w:tcPr>
          <w:tcW w:w="5702" w:type="dxa"/>
          <w:vMerge/>
          <w:vAlign w:val="bottom"/>
        </w:tcPr>
        <w:p w14:paraId="313FA1D9" w14:textId="77777777" w:rsidR="00757903" w:rsidRDefault="00757903">
          <w:pPr>
            <w:pStyle w:val="Heading9"/>
            <w:spacing w:before="0" w:after="10"/>
          </w:pPr>
        </w:p>
      </w:tc>
    </w:tr>
  </w:tbl>
  <w:p w14:paraId="7A0C2B4B" w14:textId="77777777" w:rsidR="00757903" w:rsidRDefault="007579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1E242F7"/>
    <w:multiLevelType w:val="hybridMultilevel"/>
    <w:tmpl w:val="C1963F12"/>
    <w:lvl w:ilvl="0" w:tplc="EDC42730">
      <w:start w:val="1954"/>
      <w:numFmt w:val="bullet"/>
      <w:lvlText w:val="—"/>
      <w:lvlJc w:val="left"/>
      <w:pPr>
        <w:ind w:left="975" w:hanging="360"/>
      </w:pPr>
      <w:rPr>
        <w:rFonts w:ascii="Times New Roman" w:eastAsia="Times New Roman" w:hAnsi="Times New Roman" w:cs="Times New Roman"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5804E6"/>
    <w:multiLevelType w:val="hybridMultilevel"/>
    <w:tmpl w:val="7D0CA7F4"/>
    <w:lvl w:ilvl="0" w:tplc="75664C6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F0D2A"/>
    <w:multiLevelType w:val="hybridMultilevel"/>
    <w:tmpl w:val="7C5E88F4"/>
    <w:lvl w:ilvl="0" w:tplc="D994A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8766D32"/>
    <w:multiLevelType w:val="hybridMultilevel"/>
    <w:tmpl w:val="074404C2"/>
    <w:lvl w:ilvl="0" w:tplc="664035FA">
      <w:start w:val="5"/>
      <w:numFmt w:val="bullet"/>
      <w:lvlText w:val="-"/>
      <w:lvlJc w:val="left"/>
      <w:pPr>
        <w:ind w:left="930" w:hanging="360"/>
      </w:pPr>
      <w:rPr>
        <w:rFonts w:ascii="Times New Roman" w:eastAsia="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6494814"/>
    <w:multiLevelType w:val="multilevel"/>
    <w:tmpl w:val="D5B0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142"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6"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AD22961"/>
    <w:multiLevelType w:val="hybridMultilevel"/>
    <w:tmpl w:val="52227108"/>
    <w:lvl w:ilvl="0" w:tplc="9784507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713646790">
    <w:abstractNumId w:val="12"/>
  </w:num>
  <w:num w:numId="2" w16cid:durableId="553350595">
    <w:abstractNumId w:val="6"/>
  </w:num>
  <w:num w:numId="3" w16cid:durableId="801969518">
    <w:abstractNumId w:val="15"/>
  </w:num>
  <w:num w:numId="4" w16cid:durableId="2027512966">
    <w:abstractNumId w:val="15"/>
  </w:num>
  <w:num w:numId="5" w16cid:durableId="1478647242">
    <w:abstractNumId w:val="15"/>
  </w:num>
  <w:num w:numId="6" w16cid:durableId="686911540">
    <w:abstractNumId w:val="9"/>
  </w:num>
  <w:num w:numId="7" w16cid:durableId="840193930">
    <w:abstractNumId w:val="13"/>
  </w:num>
  <w:num w:numId="8" w16cid:durableId="1183864855">
    <w:abstractNumId w:val="16"/>
  </w:num>
  <w:num w:numId="9" w16cid:durableId="1933539563">
    <w:abstractNumId w:val="1"/>
  </w:num>
  <w:num w:numId="10" w16cid:durableId="1773352634">
    <w:abstractNumId w:val="1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280801165">
    <w:abstractNumId w:val="15"/>
  </w:num>
  <w:num w:numId="12" w16cid:durableId="1109930403">
    <w:abstractNumId w:val="15"/>
  </w:num>
  <w:num w:numId="13" w16cid:durableId="1132476679">
    <w:abstractNumId w:val="15"/>
  </w:num>
  <w:num w:numId="14" w16cid:durableId="1708992744">
    <w:abstractNumId w:val="1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2133355568">
    <w:abstractNumId w:val="15"/>
  </w:num>
  <w:num w:numId="16" w16cid:durableId="483475139">
    <w:abstractNumId w:val="15"/>
  </w:num>
  <w:num w:numId="17" w16cid:durableId="1731070706">
    <w:abstractNumId w:val="15"/>
  </w:num>
  <w:num w:numId="18" w16cid:durableId="17738165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5543585">
    <w:abstractNumId w:val="15"/>
  </w:num>
  <w:num w:numId="20" w16cid:durableId="2125036985">
    <w:abstractNumId w:val="3"/>
  </w:num>
  <w:num w:numId="21" w16cid:durableId="1868328983">
    <w:abstractNumId w:val="15"/>
  </w:num>
  <w:num w:numId="22" w16cid:durableId="2092892200">
    <w:abstractNumId w:val="5"/>
  </w:num>
  <w:num w:numId="23" w16cid:durableId="1079711574">
    <w:abstractNumId w:val="0"/>
  </w:num>
  <w:num w:numId="24" w16cid:durableId="1453095080">
    <w:abstractNumId w:val="14"/>
  </w:num>
  <w:num w:numId="25" w16cid:durableId="800727527">
    <w:abstractNumId w:val="15"/>
  </w:num>
  <w:num w:numId="26" w16cid:durableId="423258768">
    <w:abstractNumId w:val="15"/>
  </w:num>
  <w:num w:numId="27" w16cid:durableId="30107647">
    <w:abstractNumId w:val="15"/>
  </w:num>
  <w:num w:numId="28" w16cid:durableId="1608000184">
    <w:abstractNumId w:val="15"/>
  </w:num>
  <w:num w:numId="29" w16cid:durableId="80026960">
    <w:abstractNumId w:val="15"/>
  </w:num>
  <w:num w:numId="30" w16cid:durableId="1256671181">
    <w:abstractNumId w:val="11"/>
  </w:num>
  <w:num w:numId="31" w16cid:durableId="209003792">
    <w:abstractNumId w:val="11"/>
  </w:num>
  <w:num w:numId="32" w16cid:durableId="290790706">
    <w:abstractNumId w:val="15"/>
  </w:num>
  <w:num w:numId="33" w16cid:durableId="1001272620">
    <w:abstractNumId w:val="2"/>
  </w:num>
  <w:num w:numId="34" w16cid:durableId="405880851">
    <w:abstractNumId w:val="17"/>
  </w:num>
  <w:num w:numId="35" w16cid:durableId="787503203">
    <w:abstractNumId w:val="4"/>
  </w:num>
  <w:num w:numId="36" w16cid:durableId="1112358520">
    <w:abstractNumId w:val="7"/>
  </w:num>
  <w:num w:numId="37" w16cid:durableId="1980450024">
    <w:abstractNumId w:val="8"/>
  </w:num>
  <w:num w:numId="38" w16cid:durableId="11364165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26ECE"/>
    <w:rsid w:val="0003289B"/>
    <w:rsid w:val="00037321"/>
    <w:rsid w:val="00063AB2"/>
    <w:rsid w:val="00070067"/>
    <w:rsid w:val="00096B70"/>
    <w:rsid w:val="000A0299"/>
    <w:rsid w:val="000B1373"/>
    <w:rsid w:val="000C6F25"/>
    <w:rsid w:val="000D012D"/>
    <w:rsid w:val="000D7846"/>
    <w:rsid w:val="000F6BB7"/>
    <w:rsid w:val="000F7E94"/>
    <w:rsid w:val="0010062A"/>
    <w:rsid w:val="00103893"/>
    <w:rsid w:val="001119D6"/>
    <w:rsid w:val="001308EE"/>
    <w:rsid w:val="001308F2"/>
    <w:rsid w:val="001313E8"/>
    <w:rsid w:val="001413F3"/>
    <w:rsid w:val="001557EB"/>
    <w:rsid w:val="00170A77"/>
    <w:rsid w:val="0018054B"/>
    <w:rsid w:val="0019321D"/>
    <w:rsid w:val="001963DB"/>
    <w:rsid w:val="00197771"/>
    <w:rsid w:val="001A18C6"/>
    <w:rsid w:val="001B5429"/>
    <w:rsid w:val="001C2CD0"/>
    <w:rsid w:val="001C3264"/>
    <w:rsid w:val="001C58F5"/>
    <w:rsid w:val="001D0684"/>
    <w:rsid w:val="001D4525"/>
    <w:rsid w:val="001D5CEE"/>
    <w:rsid w:val="001F69AA"/>
    <w:rsid w:val="001F7BD6"/>
    <w:rsid w:val="002071D9"/>
    <w:rsid w:val="002173F8"/>
    <w:rsid w:val="0023763D"/>
    <w:rsid w:val="00252ECA"/>
    <w:rsid w:val="00256822"/>
    <w:rsid w:val="0026525A"/>
    <w:rsid w:val="00272D0D"/>
    <w:rsid w:val="00274790"/>
    <w:rsid w:val="00285755"/>
    <w:rsid w:val="00287AF1"/>
    <w:rsid w:val="002A1F9C"/>
    <w:rsid w:val="002A56AA"/>
    <w:rsid w:val="002B29C2"/>
    <w:rsid w:val="002C285D"/>
    <w:rsid w:val="002C4208"/>
    <w:rsid w:val="002D76CF"/>
    <w:rsid w:val="002E5233"/>
    <w:rsid w:val="002F3F88"/>
    <w:rsid w:val="00305DA0"/>
    <w:rsid w:val="00316AAA"/>
    <w:rsid w:val="00321BE0"/>
    <w:rsid w:val="00326ABF"/>
    <w:rsid w:val="003333DB"/>
    <w:rsid w:val="00336EB8"/>
    <w:rsid w:val="0034105B"/>
    <w:rsid w:val="00352DE1"/>
    <w:rsid w:val="003728E6"/>
    <w:rsid w:val="00392A15"/>
    <w:rsid w:val="003B5816"/>
    <w:rsid w:val="003B5C49"/>
    <w:rsid w:val="003B5E0E"/>
    <w:rsid w:val="003D0FC3"/>
    <w:rsid w:val="003D255A"/>
    <w:rsid w:val="003D3D16"/>
    <w:rsid w:val="003F132C"/>
    <w:rsid w:val="00414E7E"/>
    <w:rsid w:val="00416949"/>
    <w:rsid w:val="0042293A"/>
    <w:rsid w:val="004370D8"/>
    <w:rsid w:val="00472C43"/>
    <w:rsid w:val="0047306C"/>
    <w:rsid w:val="00485067"/>
    <w:rsid w:val="00491FAC"/>
    <w:rsid w:val="004B2FAE"/>
    <w:rsid w:val="004B4DD5"/>
    <w:rsid w:val="004C6EA3"/>
    <w:rsid w:val="004D259B"/>
    <w:rsid w:val="004D3E26"/>
    <w:rsid w:val="004D4A25"/>
    <w:rsid w:val="00537496"/>
    <w:rsid w:val="00544ED3"/>
    <w:rsid w:val="0058477B"/>
    <w:rsid w:val="005851EE"/>
    <w:rsid w:val="0058654F"/>
    <w:rsid w:val="00591C6C"/>
    <w:rsid w:val="00596ACA"/>
    <w:rsid w:val="00597E2A"/>
    <w:rsid w:val="005B4236"/>
    <w:rsid w:val="005B4EC5"/>
    <w:rsid w:val="005C4B52"/>
    <w:rsid w:val="005D0544"/>
    <w:rsid w:val="005E39BC"/>
    <w:rsid w:val="005F00A0"/>
    <w:rsid w:val="005F4F17"/>
    <w:rsid w:val="006062E8"/>
    <w:rsid w:val="00615B7C"/>
    <w:rsid w:val="00621F68"/>
    <w:rsid w:val="006265FE"/>
    <w:rsid w:val="00634DD9"/>
    <w:rsid w:val="0063556A"/>
    <w:rsid w:val="00647F33"/>
    <w:rsid w:val="006539D5"/>
    <w:rsid w:val="0065571E"/>
    <w:rsid w:val="00662532"/>
    <w:rsid w:val="00665A1F"/>
    <w:rsid w:val="006871CC"/>
    <w:rsid w:val="006A3DA5"/>
    <w:rsid w:val="006A45B8"/>
    <w:rsid w:val="006B2274"/>
    <w:rsid w:val="006E190C"/>
    <w:rsid w:val="006F2B6F"/>
    <w:rsid w:val="00700769"/>
    <w:rsid w:val="00707ADF"/>
    <w:rsid w:val="00715527"/>
    <w:rsid w:val="00717C6F"/>
    <w:rsid w:val="0073378F"/>
    <w:rsid w:val="007445DA"/>
    <w:rsid w:val="00754204"/>
    <w:rsid w:val="007544C0"/>
    <w:rsid w:val="00757903"/>
    <w:rsid w:val="00782361"/>
    <w:rsid w:val="007A726B"/>
    <w:rsid w:val="007B4D77"/>
    <w:rsid w:val="007B4FD1"/>
    <w:rsid w:val="007C6807"/>
    <w:rsid w:val="007D03F1"/>
    <w:rsid w:val="007D7395"/>
    <w:rsid w:val="00802381"/>
    <w:rsid w:val="0081344D"/>
    <w:rsid w:val="00820B98"/>
    <w:rsid w:val="00821296"/>
    <w:rsid w:val="008237A0"/>
    <w:rsid w:val="008261A6"/>
    <w:rsid w:val="00861D9D"/>
    <w:rsid w:val="00863AE6"/>
    <w:rsid w:val="00871D3F"/>
    <w:rsid w:val="00872CE0"/>
    <w:rsid w:val="00882E58"/>
    <w:rsid w:val="00883734"/>
    <w:rsid w:val="00883848"/>
    <w:rsid w:val="00884167"/>
    <w:rsid w:val="008854B9"/>
    <w:rsid w:val="00886A97"/>
    <w:rsid w:val="0089225C"/>
    <w:rsid w:val="008969E2"/>
    <w:rsid w:val="00897ED5"/>
    <w:rsid w:val="008A4BE2"/>
    <w:rsid w:val="008B6BB9"/>
    <w:rsid w:val="008D33A9"/>
    <w:rsid w:val="008D7E89"/>
    <w:rsid w:val="008E253D"/>
    <w:rsid w:val="008F1A3F"/>
    <w:rsid w:val="0090075E"/>
    <w:rsid w:val="00911543"/>
    <w:rsid w:val="00921385"/>
    <w:rsid w:val="00937CCD"/>
    <w:rsid w:val="009519C9"/>
    <w:rsid w:val="00962D83"/>
    <w:rsid w:val="00967AB8"/>
    <w:rsid w:val="00971311"/>
    <w:rsid w:val="00973CBF"/>
    <w:rsid w:val="0099298B"/>
    <w:rsid w:val="00997835"/>
    <w:rsid w:val="009D0B86"/>
    <w:rsid w:val="009D7E2D"/>
    <w:rsid w:val="009E0D5B"/>
    <w:rsid w:val="009E1558"/>
    <w:rsid w:val="009F6AB9"/>
    <w:rsid w:val="00A0232E"/>
    <w:rsid w:val="00A03DDB"/>
    <w:rsid w:val="00A139DF"/>
    <w:rsid w:val="00A14041"/>
    <w:rsid w:val="00A32872"/>
    <w:rsid w:val="00A42898"/>
    <w:rsid w:val="00A44FD2"/>
    <w:rsid w:val="00A57D62"/>
    <w:rsid w:val="00A65BF0"/>
    <w:rsid w:val="00A706F5"/>
    <w:rsid w:val="00A738CE"/>
    <w:rsid w:val="00A81AF2"/>
    <w:rsid w:val="00AB1BDC"/>
    <w:rsid w:val="00AB6865"/>
    <w:rsid w:val="00AB6ACE"/>
    <w:rsid w:val="00AC1FC5"/>
    <w:rsid w:val="00AC5A3A"/>
    <w:rsid w:val="00AD366F"/>
    <w:rsid w:val="00AD5115"/>
    <w:rsid w:val="00AE00B9"/>
    <w:rsid w:val="00AE1C0F"/>
    <w:rsid w:val="00AE7898"/>
    <w:rsid w:val="00B147B6"/>
    <w:rsid w:val="00B17BEA"/>
    <w:rsid w:val="00B2224A"/>
    <w:rsid w:val="00B378BD"/>
    <w:rsid w:val="00B82FA5"/>
    <w:rsid w:val="00BA0CB5"/>
    <w:rsid w:val="00BA3F50"/>
    <w:rsid w:val="00BA63AC"/>
    <w:rsid w:val="00BB7E35"/>
    <w:rsid w:val="00BD1400"/>
    <w:rsid w:val="00BD605C"/>
    <w:rsid w:val="00BD748E"/>
    <w:rsid w:val="00BE2A76"/>
    <w:rsid w:val="00BF285D"/>
    <w:rsid w:val="00C05ADB"/>
    <w:rsid w:val="00C34089"/>
    <w:rsid w:val="00C47AA5"/>
    <w:rsid w:val="00C50A5E"/>
    <w:rsid w:val="00C65E60"/>
    <w:rsid w:val="00C72FDE"/>
    <w:rsid w:val="00C9124B"/>
    <w:rsid w:val="00C92AC4"/>
    <w:rsid w:val="00CA389A"/>
    <w:rsid w:val="00CA508B"/>
    <w:rsid w:val="00CC2744"/>
    <w:rsid w:val="00CD4142"/>
    <w:rsid w:val="00CE0188"/>
    <w:rsid w:val="00CE5A52"/>
    <w:rsid w:val="00CF1EF6"/>
    <w:rsid w:val="00CF7AF3"/>
    <w:rsid w:val="00D003EA"/>
    <w:rsid w:val="00D1363F"/>
    <w:rsid w:val="00D13699"/>
    <w:rsid w:val="00D21954"/>
    <w:rsid w:val="00D26ADA"/>
    <w:rsid w:val="00D35A78"/>
    <w:rsid w:val="00D361DB"/>
    <w:rsid w:val="00D439ED"/>
    <w:rsid w:val="00D555A1"/>
    <w:rsid w:val="00D57F86"/>
    <w:rsid w:val="00D6002A"/>
    <w:rsid w:val="00D64DC2"/>
    <w:rsid w:val="00D663EE"/>
    <w:rsid w:val="00D72BDA"/>
    <w:rsid w:val="00D82444"/>
    <w:rsid w:val="00D826C1"/>
    <w:rsid w:val="00DA46CA"/>
    <w:rsid w:val="00DA70C5"/>
    <w:rsid w:val="00DC6D00"/>
    <w:rsid w:val="00DE526C"/>
    <w:rsid w:val="00DF21EB"/>
    <w:rsid w:val="00E20E70"/>
    <w:rsid w:val="00E25B68"/>
    <w:rsid w:val="00E343EE"/>
    <w:rsid w:val="00E43D40"/>
    <w:rsid w:val="00E84003"/>
    <w:rsid w:val="00EC0E3D"/>
    <w:rsid w:val="00EC10FC"/>
    <w:rsid w:val="00EC204D"/>
    <w:rsid w:val="00EE0041"/>
    <w:rsid w:val="00EE0CEB"/>
    <w:rsid w:val="00EE29B9"/>
    <w:rsid w:val="00EE3206"/>
    <w:rsid w:val="00EF2D80"/>
    <w:rsid w:val="00F004EE"/>
    <w:rsid w:val="00F021F4"/>
    <w:rsid w:val="00F041A5"/>
    <w:rsid w:val="00F24190"/>
    <w:rsid w:val="00F3412D"/>
    <w:rsid w:val="00F42E23"/>
    <w:rsid w:val="00F45EEE"/>
    <w:rsid w:val="00F51E9C"/>
    <w:rsid w:val="00F523CA"/>
    <w:rsid w:val="00F56709"/>
    <w:rsid w:val="00F74A9D"/>
    <w:rsid w:val="00FA6B46"/>
    <w:rsid w:val="00FC1AE4"/>
    <w:rsid w:val="00FC6CFC"/>
    <w:rsid w:val="00FD1584"/>
    <w:rsid w:val="00FD282A"/>
    <w:rsid w:val="00FE0600"/>
    <w:rsid w:val="00FE6DCB"/>
    <w:rsid w:val="00FE7D95"/>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DEFFAC"/>
  <w15:docId w15:val="{90664F69-4C7E-431B-BC62-423D9685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81344D"/>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ind w:left="0"/>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ListParagraph">
    <w:name w:val="List Paragraph"/>
    <w:basedOn w:val="Normal"/>
    <w:uiPriority w:val="49"/>
    <w:locked/>
    <w:rsid w:val="00414E7E"/>
    <w:pPr>
      <w:ind w:left="720"/>
      <w:contextualSpacing/>
    </w:pPr>
  </w:style>
  <w:style w:type="paragraph" w:styleId="NormalWeb">
    <w:name w:val="Normal (Web)"/>
    <w:basedOn w:val="Normal"/>
    <w:uiPriority w:val="99"/>
    <w:unhideWhenUsed/>
    <w:locked/>
    <w:rsid w:val="00861D9D"/>
    <w:pPr>
      <w:overflowPunct/>
      <w:autoSpaceDE/>
      <w:autoSpaceDN/>
      <w:adjustRightInd/>
      <w:spacing w:before="100" w:beforeAutospacing="1" w:after="100" w:afterAutospacing="1"/>
      <w:textAlignment w:val="auto"/>
    </w:pPr>
    <w:rPr>
      <w:sz w:val="24"/>
      <w:szCs w:val="24"/>
      <w:lang w:val="ru-RU" w:eastAsia="ru-RU"/>
    </w:rPr>
  </w:style>
  <w:style w:type="table" w:customStyle="1" w:styleId="TableGridLight1">
    <w:name w:val="Table Grid Light1"/>
    <w:basedOn w:val="TableNormal"/>
    <w:uiPriority w:val="40"/>
    <w:rsid w:val="00FC6C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49"/>
    <w:locked/>
    <w:rsid w:val="00937CCD"/>
    <w:rPr>
      <w:color w:val="0000FF" w:themeColor="hyperlink"/>
      <w:u w:val="single"/>
    </w:rPr>
  </w:style>
  <w:style w:type="character" w:customStyle="1" w:styleId="UnresolvedMention1">
    <w:name w:val="Unresolved Mention1"/>
    <w:basedOn w:val="DefaultParagraphFont"/>
    <w:uiPriority w:val="99"/>
    <w:semiHidden/>
    <w:unhideWhenUsed/>
    <w:rsid w:val="00937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1193">
      <w:bodyDiv w:val="1"/>
      <w:marLeft w:val="0"/>
      <w:marRight w:val="0"/>
      <w:marTop w:val="0"/>
      <w:marBottom w:val="0"/>
      <w:divBdr>
        <w:top w:val="none" w:sz="0" w:space="0" w:color="auto"/>
        <w:left w:val="none" w:sz="0" w:space="0" w:color="auto"/>
        <w:bottom w:val="none" w:sz="0" w:space="0" w:color="auto"/>
        <w:right w:val="none" w:sz="0" w:space="0" w:color="auto"/>
      </w:divBdr>
    </w:div>
    <w:div w:id="133522342">
      <w:bodyDiv w:val="1"/>
      <w:marLeft w:val="0"/>
      <w:marRight w:val="0"/>
      <w:marTop w:val="0"/>
      <w:marBottom w:val="0"/>
      <w:divBdr>
        <w:top w:val="none" w:sz="0" w:space="0" w:color="auto"/>
        <w:left w:val="none" w:sz="0" w:space="0" w:color="auto"/>
        <w:bottom w:val="none" w:sz="0" w:space="0" w:color="auto"/>
        <w:right w:val="none" w:sz="0" w:space="0" w:color="auto"/>
      </w:divBdr>
    </w:div>
    <w:div w:id="344937921">
      <w:bodyDiv w:val="1"/>
      <w:marLeft w:val="0"/>
      <w:marRight w:val="0"/>
      <w:marTop w:val="0"/>
      <w:marBottom w:val="0"/>
      <w:divBdr>
        <w:top w:val="none" w:sz="0" w:space="0" w:color="auto"/>
        <w:left w:val="none" w:sz="0" w:space="0" w:color="auto"/>
        <w:bottom w:val="none" w:sz="0" w:space="0" w:color="auto"/>
        <w:right w:val="none" w:sz="0" w:space="0" w:color="auto"/>
      </w:divBdr>
    </w:div>
    <w:div w:id="496921652">
      <w:bodyDiv w:val="1"/>
      <w:marLeft w:val="0"/>
      <w:marRight w:val="0"/>
      <w:marTop w:val="0"/>
      <w:marBottom w:val="0"/>
      <w:divBdr>
        <w:top w:val="none" w:sz="0" w:space="0" w:color="auto"/>
        <w:left w:val="none" w:sz="0" w:space="0" w:color="auto"/>
        <w:bottom w:val="none" w:sz="0" w:space="0" w:color="auto"/>
        <w:right w:val="none" w:sz="0" w:space="0" w:color="auto"/>
      </w:divBdr>
    </w:div>
    <w:div w:id="573006835">
      <w:bodyDiv w:val="1"/>
      <w:marLeft w:val="0"/>
      <w:marRight w:val="0"/>
      <w:marTop w:val="0"/>
      <w:marBottom w:val="0"/>
      <w:divBdr>
        <w:top w:val="none" w:sz="0" w:space="0" w:color="auto"/>
        <w:left w:val="none" w:sz="0" w:space="0" w:color="auto"/>
        <w:bottom w:val="none" w:sz="0" w:space="0" w:color="auto"/>
        <w:right w:val="none" w:sz="0" w:space="0" w:color="auto"/>
      </w:divBdr>
    </w:div>
    <w:div w:id="785196362">
      <w:bodyDiv w:val="1"/>
      <w:marLeft w:val="0"/>
      <w:marRight w:val="0"/>
      <w:marTop w:val="0"/>
      <w:marBottom w:val="0"/>
      <w:divBdr>
        <w:top w:val="none" w:sz="0" w:space="0" w:color="auto"/>
        <w:left w:val="none" w:sz="0" w:space="0" w:color="auto"/>
        <w:bottom w:val="none" w:sz="0" w:space="0" w:color="auto"/>
        <w:right w:val="none" w:sz="0" w:space="0" w:color="auto"/>
      </w:divBdr>
    </w:div>
    <w:div w:id="820391951">
      <w:bodyDiv w:val="1"/>
      <w:marLeft w:val="0"/>
      <w:marRight w:val="0"/>
      <w:marTop w:val="0"/>
      <w:marBottom w:val="0"/>
      <w:divBdr>
        <w:top w:val="none" w:sz="0" w:space="0" w:color="auto"/>
        <w:left w:val="none" w:sz="0" w:space="0" w:color="auto"/>
        <w:bottom w:val="none" w:sz="0" w:space="0" w:color="auto"/>
        <w:right w:val="none" w:sz="0" w:space="0" w:color="auto"/>
      </w:divBdr>
    </w:div>
    <w:div w:id="899054835">
      <w:bodyDiv w:val="1"/>
      <w:marLeft w:val="0"/>
      <w:marRight w:val="0"/>
      <w:marTop w:val="0"/>
      <w:marBottom w:val="0"/>
      <w:divBdr>
        <w:top w:val="none" w:sz="0" w:space="0" w:color="auto"/>
        <w:left w:val="none" w:sz="0" w:space="0" w:color="auto"/>
        <w:bottom w:val="none" w:sz="0" w:space="0" w:color="auto"/>
        <w:right w:val="none" w:sz="0" w:space="0" w:color="auto"/>
      </w:divBdr>
    </w:div>
    <w:div w:id="1108432003">
      <w:bodyDiv w:val="1"/>
      <w:marLeft w:val="0"/>
      <w:marRight w:val="0"/>
      <w:marTop w:val="0"/>
      <w:marBottom w:val="0"/>
      <w:divBdr>
        <w:top w:val="none" w:sz="0" w:space="0" w:color="auto"/>
        <w:left w:val="none" w:sz="0" w:space="0" w:color="auto"/>
        <w:bottom w:val="none" w:sz="0" w:space="0" w:color="auto"/>
        <w:right w:val="none" w:sz="0" w:space="0" w:color="auto"/>
      </w:divBdr>
    </w:div>
    <w:div w:id="1141116900">
      <w:bodyDiv w:val="1"/>
      <w:marLeft w:val="0"/>
      <w:marRight w:val="0"/>
      <w:marTop w:val="0"/>
      <w:marBottom w:val="0"/>
      <w:divBdr>
        <w:top w:val="none" w:sz="0" w:space="0" w:color="auto"/>
        <w:left w:val="none" w:sz="0" w:space="0" w:color="auto"/>
        <w:bottom w:val="none" w:sz="0" w:space="0" w:color="auto"/>
        <w:right w:val="none" w:sz="0" w:space="0" w:color="auto"/>
      </w:divBdr>
    </w:div>
    <w:div w:id="1301569312">
      <w:bodyDiv w:val="1"/>
      <w:marLeft w:val="0"/>
      <w:marRight w:val="0"/>
      <w:marTop w:val="0"/>
      <w:marBottom w:val="0"/>
      <w:divBdr>
        <w:top w:val="none" w:sz="0" w:space="0" w:color="auto"/>
        <w:left w:val="none" w:sz="0" w:space="0" w:color="auto"/>
        <w:bottom w:val="none" w:sz="0" w:space="0" w:color="auto"/>
        <w:right w:val="none" w:sz="0" w:space="0" w:color="auto"/>
      </w:divBdr>
    </w:div>
    <w:div w:id="1418945068">
      <w:bodyDiv w:val="1"/>
      <w:marLeft w:val="0"/>
      <w:marRight w:val="0"/>
      <w:marTop w:val="0"/>
      <w:marBottom w:val="0"/>
      <w:divBdr>
        <w:top w:val="none" w:sz="0" w:space="0" w:color="auto"/>
        <w:left w:val="none" w:sz="0" w:space="0" w:color="auto"/>
        <w:bottom w:val="none" w:sz="0" w:space="0" w:color="auto"/>
        <w:right w:val="none" w:sz="0" w:space="0" w:color="auto"/>
      </w:divBdr>
    </w:div>
    <w:div w:id="1523200444">
      <w:bodyDiv w:val="1"/>
      <w:marLeft w:val="0"/>
      <w:marRight w:val="0"/>
      <w:marTop w:val="0"/>
      <w:marBottom w:val="0"/>
      <w:divBdr>
        <w:top w:val="none" w:sz="0" w:space="0" w:color="auto"/>
        <w:left w:val="none" w:sz="0" w:space="0" w:color="auto"/>
        <w:bottom w:val="none" w:sz="0" w:space="0" w:color="auto"/>
        <w:right w:val="none" w:sz="0" w:space="0" w:color="auto"/>
      </w:divBdr>
    </w:div>
    <w:div w:id="1538664789">
      <w:bodyDiv w:val="1"/>
      <w:marLeft w:val="0"/>
      <w:marRight w:val="0"/>
      <w:marTop w:val="0"/>
      <w:marBottom w:val="0"/>
      <w:divBdr>
        <w:top w:val="none" w:sz="0" w:space="0" w:color="auto"/>
        <w:left w:val="none" w:sz="0" w:space="0" w:color="auto"/>
        <w:bottom w:val="none" w:sz="0" w:space="0" w:color="auto"/>
        <w:right w:val="none" w:sz="0" w:space="0" w:color="auto"/>
      </w:divBdr>
    </w:div>
    <w:div w:id="1588073676">
      <w:bodyDiv w:val="1"/>
      <w:marLeft w:val="0"/>
      <w:marRight w:val="0"/>
      <w:marTop w:val="0"/>
      <w:marBottom w:val="0"/>
      <w:divBdr>
        <w:top w:val="none" w:sz="0" w:space="0" w:color="auto"/>
        <w:left w:val="none" w:sz="0" w:space="0" w:color="auto"/>
        <w:bottom w:val="none" w:sz="0" w:space="0" w:color="auto"/>
        <w:right w:val="none" w:sz="0" w:space="0" w:color="auto"/>
      </w:divBdr>
    </w:div>
    <w:div w:id="1664628291">
      <w:bodyDiv w:val="1"/>
      <w:marLeft w:val="0"/>
      <w:marRight w:val="0"/>
      <w:marTop w:val="0"/>
      <w:marBottom w:val="0"/>
      <w:divBdr>
        <w:top w:val="none" w:sz="0" w:space="0" w:color="auto"/>
        <w:left w:val="none" w:sz="0" w:space="0" w:color="auto"/>
        <w:bottom w:val="none" w:sz="0" w:space="0" w:color="auto"/>
        <w:right w:val="none" w:sz="0" w:space="0" w:color="auto"/>
      </w:divBdr>
      <w:divsChild>
        <w:div w:id="1967352352">
          <w:marLeft w:val="446"/>
          <w:marRight w:val="0"/>
          <w:marTop w:val="0"/>
          <w:marBottom w:val="60"/>
          <w:divBdr>
            <w:top w:val="none" w:sz="0" w:space="0" w:color="auto"/>
            <w:left w:val="none" w:sz="0" w:space="0" w:color="auto"/>
            <w:bottom w:val="none" w:sz="0" w:space="0" w:color="auto"/>
            <w:right w:val="none" w:sz="0" w:space="0" w:color="auto"/>
          </w:divBdr>
        </w:div>
        <w:div w:id="562183078">
          <w:marLeft w:val="446"/>
          <w:marRight w:val="0"/>
          <w:marTop w:val="0"/>
          <w:marBottom w:val="60"/>
          <w:divBdr>
            <w:top w:val="none" w:sz="0" w:space="0" w:color="auto"/>
            <w:left w:val="none" w:sz="0" w:space="0" w:color="auto"/>
            <w:bottom w:val="none" w:sz="0" w:space="0" w:color="auto"/>
            <w:right w:val="none" w:sz="0" w:space="0" w:color="auto"/>
          </w:divBdr>
        </w:div>
        <w:div w:id="84883966">
          <w:marLeft w:val="446"/>
          <w:marRight w:val="0"/>
          <w:marTop w:val="0"/>
          <w:marBottom w:val="60"/>
          <w:divBdr>
            <w:top w:val="none" w:sz="0" w:space="0" w:color="auto"/>
            <w:left w:val="none" w:sz="0" w:space="0" w:color="auto"/>
            <w:bottom w:val="none" w:sz="0" w:space="0" w:color="auto"/>
            <w:right w:val="none" w:sz="0" w:space="0" w:color="auto"/>
          </w:divBdr>
        </w:div>
      </w:divsChild>
    </w:div>
    <w:div w:id="1873614533">
      <w:bodyDiv w:val="1"/>
      <w:marLeft w:val="0"/>
      <w:marRight w:val="0"/>
      <w:marTop w:val="0"/>
      <w:marBottom w:val="0"/>
      <w:divBdr>
        <w:top w:val="none" w:sz="0" w:space="0" w:color="auto"/>
        <w:left w:val="none" w:sz="0" w:space="0" w:color="auto"/>
        <w:bottom w:val="none" w:sz="0" w:space="0" w:color="auto"/>
        <w:right w:val="none" w:sz="0" w:space="0" w:color="auto"/>
      </w:divBdr>
    </w:div>
    <w:div w:id="20013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5772/intechopen.100219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aea/org/INP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20603592978472"/>
          <c:y val="9.8380047677526549E-4"/>
          <c:w val="0.7250756402035482"/>
          <c:h val="0.81213246672856698"/>
        </c:manualLayout>
      </c:layout>
      <c:barChart>
        <c:barDir val="col"/>
        <c:grouping val="stacked"/>
        <c:varyColors val="0"/>
        <c:ser>
          <c:idx val="0"/>
          <c:order val="0"/>
          <c:tx>
            <c:strRef>
              <c:f>label 0</c:f>
              <c:strCache>
                <c:ptCount val="1"/>
                <c:pt idx="0">
                  <c:v>Инвестиции в сооружение блока</c:v>
                </c:pt>
              </c:strCache>
            </c:strRef>
          </c:tx>
          <c:spPr>
            <a:solidFill>
              <a:srgbClr val="92D050"/>
            </a:solidFill>
            <a:ln>
              <a:solidFill>
                <a:srgbClr val="E2F0D9"/>
              </a:solidFill>
              <a:prstDash val="dash"/>
            </a:ln>
          </c:spPr>
          <c:invertIfNegative val="0"/>
          <c:dPt>
            <c:idx val="0"/>
            <c:invertIfNegative val="0"/>
            <c:bubble3D val="0"/>
            <c:extLst>
              <c:ext xmlns:c16="http://schemas.microsoft.com/office/drawing/2014/chart" uri="{C3380CC4-5D6E-409C-BE32-E72D297353CC}">
                <c16:uniqueId val="{00000000-34A4-42AC-AFB0-521F9C852482}"/>
              </c:ext>
            </c:extLst>
          </c:dPt>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0</c:f>
              <c:numCache>
                <c:formatCode>General</c:formatCode>
                <c:ptCount val="46"/>
                <c:pt idx="0">
                  <c:v>20</c:v>
                </c:pt>
                <c:pt idx="1">
                  <c:v>35</c:v>
                </c:pt>
                <c:pt idx="2">
                  <c:v>30</c:v>
                </c:pt>
              </c:numCache>
            </c:numRef>
          </c:val>
          <c:extLst>
            <c:ext xmlns:c16="http://schemas.microsoft.com/office/drawing/2014/chart" uri="{C3380CC4-5D6E-409C-BE32-E72D297353CC}">
              <c16:uniqueId val="{00000001-34A4-42AC-AFB0-521F9C852482}"/>
            </c:ext>
          </c:extLst>
        </c:ser>
        <c:ser>
          <c:idx val="1"/>
          <c:order val="1"/>
          <c:tx>
            <c:strRef>
              <c:f>label 1</c:f>
              <c:strCache>
                <c:ptCount val="1"/>
                <c:pt idx="0">
                  <c:v>Возврат инвестиций акционеров</c:v>
                </c:pt>
              </c:strCache>
            </c:strRef>
          </c:tx>
          <c:spPr>
            <a:solidFill>
              <a:srgbClr val="F4B183"/>
            </a:solidFill>
            <a:ln>
              <a:solidFill>
                <a:srgbClr val="FBE5D6"/>
              </a:solidFill>
              <a:prstDash val="dash"/>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1</c:f>
              <c:numCache>
                <c:formatCode>General</c:formatCode>
                <c:ptCount val="46"/>
                <c:pt idx="3">
                  <c:v>13</c:v>
                </c:pt>
                <c:pt idx="4">
                  <c:v>13</c:v>
                </c:pt>
                <c:pt idx="5">
                  <c:v>13</c:v>
                </c:pt>
                <c:pt idx="6">
                  <c:v>13</c:v>
                </c:pt>
                <c:pt idx="7">
                  <c:v>13</c:v>
                </c:pt>
                <c:pt idx="8">
                  <c:v>13</c:v>
                </c:pt>
                <c:pt idx="9">
                  <c:v>13</c:v>
                </c:pt>
                <c:pt idx="10">
                  <c:v>13</c:v>
                </c:pt>
                <c:pt idx="11">
                  <c:v>13</c:v>
                </c:pt>
                <c:pt idx="12">
                  <c:v>13</c:v>
                </c:pt>
                <c:pt idx="13">
                  <c:v>13</c:v>
                </c:pt>
                <c:pt idx="14">
                  <c:v>13</c:v>
                </c:pt>
                <c:pt idx="15">
                  <c:v>13</c:v>
                </c:pt>
                <c:pt idx="16">
                  <c:v>13</c:v>
                </c:pt>
                <c:pt idx="17">
                  <c:v>13</c:v>
                </c:pt>
                <c:pt idx="18">
                  <c:v>13</c:v>
                </c:pt>
                <c:pt idx="19">
                  <c:v>13</c:v>
                </c:pt>
                <c:pt idx="20">
                  <c:v>13</c:v>
                </c:pt>
                <c:pt idx="21">
                  <c:v>13</c:v>
                </c:pt>
                <c:pt idx="22">
                  <c:v>13</c:v>
                </c:pt>
                <c:pt idx="23">
                  <c:v>13</c:v>
                </c:pt>
                <c:pt idx="24">
                  <c:v>13</c:v>
                </c:pt>
                <c:pt idx="25">
                  <c:v>13</c:v>
                </c:pt>
                <c:pt idx="26">
                  <c:v>13</c:v>
                </c:pt>
                <c:pt idx="27">
                  <c:v>13</c:v>
                </c:pt>
                <c:pt idx="28">
                  <c:v>13</c:v>
                </c:pt>
                <c:pt idx="29">
                  <c:v>13</c:v>
                </c:pt>
                <c:pt idx="30">
                  <c:v>13</c:v>
                </c:pt>
                <c:pt idx="31">
                  <c:v>13</c:v>
                </c:pt>
                <c:pt idx="32">
                  <c:v>13</c:v>
                </c:pt>
                <c:pt idx="33">
                  <c:v>13</c:v>
                </c:pt>
                <c:pt idx="34">
                  <c:v>13</c:v>
                </c:pt>
                <c:pt idx="35">
                  <c:v>13</c:v>
                </c:pt>
              </c:numCache>
            </c:numRef>
          </c:val>
          <c:extLst>
            <c:ext xmlns:c16="http://schemas.microsoft.com/office/drawing/2014/chart" uri="{C3380CC4-5D6E-409C-BE32-E72D297353CC}">
              <c16:uniqueId val="{00000002-34A4-42AC-AFB0-521F9C852482}"/>
            </c:ext>
          </c:extLst>
        </c:ser>
        <c:ser>
          <c:idx val="2"/>
          <c:order val="2"/>
          <c:tx>
            <c:strRef>
              <c:f>label 2</c:f>
              <c:strCache>
                <c:ptCount val="1"/>
                <c:pt idx="0">
                  <c:v>Возврат коротких инвестиций акционеров</c:v>
                </c:pt>
              </c:strCache>
            </c:strRef>
          </c:tx>
          <c:spPr>
            <a:solidFill>
              <a:srgbClr val="FFBF00"/>
            </a:solidFill>
            <a:ln>
              <a:solidFill>
                <a:srgbClr val="F8CBAD"/>
              </a:solidFill>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2</c:f>
              <c:numCache>
                <c:formatCode>General</c:formatCode>
                <c:ptCount val="46"/>
                <c:pt idx="3">
                  <c:v>3</c:v>
                </c:pt>
                <c:pt idx="4">
                  <c:v>3</c:v>
                </c:pt>
                <c:pt idx="5">
                  <c:v>3</c:v>
                </c:pt>
                <c:pt idx="6">
                  <c:v>3</c:v>
                </c:pt>
                <c:pt idx="7">
                  <c:v>3</c:v>
                </c:pt>
                <c:pt idx="8">
                  <c:v>3</c:v>
                </c:pt>
              </c:numCache>
            </c:numRef>
          </c:val>
          <c:extLst>
            <c:ext xmlns:c16="http://schemas.microsoft.com/office/drawing/2014/chart" uri="{C3380CC4-5D6E-409C-BE32-E72D297353CC}">
              <c16:uniqueId val="{00000003-34A4-42AC-AFB0-521F9C852482}"/>
            </c:ext>
          </c:extLst>
        </c:ser>
        <c:ser>
          <c:idx val="3"/>
          <c:order val="3"/>
          <c:tx>
            <c:strRef>
              <c:f>label 3</c:f>
              <c:strCache>
                <c:ptCount val="1"/>
                <c:pt idx="0">
                  <c:v>Выплаты по кредитам</c:v>
                </c:pt>
              </c:strCache>
            </c:strRef>
          </c:tx>
          <c:spPr>
            <a:solidFill>
              <a:srgbClr val="FFC000"/>
            </a:solidFill>
            <a:ln>
              <a:solidFill>
                <a:srgbClr val="FFE699"/>
              </a:solidFill>
              <a:prstDash val="dash"/>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3</c:f>
              <c:numCache>
                <c:formatCode>General</c:formatCode>
                <c:ptCount val="46"/>
                <c:pt idx="3">
                  <c:v>5</c:v>
                </c:pt>
                <c:pt idx="4">
                  <c:v>5</c:v>
                </c:pt>
                <c:pt idx="5">
                  <c:v>5</c:v>
                </c:pt>
                <c:pt idx="6">
                  <c:v>5</c:v>
                </c:pt>
                <c:pt idx="7">
                  <c:v>5</c:v>
                </c:pt>
                <c:pt idx="8">
                  <c:v>5</c:v>
                </c:pt>
              </c:numCache>
            </c:numRef>
          </c:val>
          <c:extLst>
            <c:ext xmlns:c16="http://schemas.microsoft.com/office/drawing/2014/chart" uri="{C3380CC4-5D6E-409C-BE32-E72D297353CC}">
              <c16:uniqueId val="{00000004-34A4-42AC-AFB0-521F9C852482}"/>
            </c:ext>
          </c:extLst>
        </c:ser>
        <c:ser>
          <c:idx val="4"/>
          <c:order val="4"/>
          <c:tx>
            <c:strRef>
              <c:f>label 4</c:f>
              <c:strCache>
                <c:ptCount val="1"/>
                <c:pt idx="0">
                  <c:v>Прмежуток</c:v>
                </c:pt>
              </c:strCache>
            </c:strRef>
          </c:tx>
          <c:spPr>
            <a:noFill/>
            <a:ln>
              <a:noFill/>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4</c:f>
              <c:numCache>
                <c:formatCode>General</c:formatCode>
                <c:ptCount val="46"/>
                <c:pt idx="9">
                  <c:v>8</c:v>
                </c:pt>
                <c:pt idx="10">
                  <c:v>8</c:v>
                </c:pt>
                <c:pt idx="11">
                  <c:v>8</c:v>
                </c:pt>
                <c:pt idx="12">
                  <c:v>8</c:v>
                </c:pt>
                <c:pt idx="13">
                  <c:v>8</c:v>
                </c:pt>
                <c:pt idx="14">
                  <c:v>8</c:v>
                </c:pt>
                <c:pt idx="15">
                  <c:v>8</c:v>
                </c:pt>
                <c:pt idx="16">
                  <c:v>8</c:v>
                </c:pt>
                <c:pt idx="17">
                  <c:v>8</c:v>
                </c:pt>
                <c:pt idx="18">
                  <c:v>8</c:v>
                </c:pt>
                <c:pt idx="19">
                  <c:v>8</c:v>
                </c:pt>
                <c:pt idx="20">
                  <c:v>8</c:v>
                </c:pt>
                <c:pt idx="21">
                  <c:v>8</c:v>
                </c:pt>
                <c:pt idx="22">
                  <c:v>8</c:v>
                </c:pt>
                <c:pt idx="23">
                  <c:v>8</c:v>
                </c:pt>
                <c:pt idx="24">
                  <c:v>8</c:v>
                </c:pt>
                <c:pt idx="25">
                  <c:v>8</c:v>
                </c:pt>
                <c:pt idx="26">
                  <c:v>8</c:v>
                </c:pt>
                <c:pt idx="27">
                  <c:v>8</c:v>
                </c:pt>
                <c:pt idx="28">
                  <c:v>8</c:v>
                </c:pt>
                <c:pt idx="29">
                  <c:v>8</c:v>
                </c:pt>
                <c:pt idx="30">
                  <c:v>8</c:v>
                </c:pt>
                <c:pt idx="31">
                  <c:v>8</c:v>
                </c:pt>
                <c:pt idx="32">
                  <c:v>8</c:v>
                </c:pt>
                <c:pt idx="33">
                  <c:v>8</c:v>
                </c:pt>
                <c:pt idx="34">
                  <c:v>8</c:v>
                </c:pt>
                <c:pt idx="35">
                  <c:v>8</c:v>
                </c:pt>
              </c:numCache>
            </c:numRef>
          </c:val>
          <c:extLst>
            <c:ext xmlns:c16="http://schemas.microsoft.com/office/drawing/2014/chart" uri="{C3380CC4-5D6E-409C-BE32-E72D297353CC}">
              <c16:uniqueId val="{00000005-34A4-42AC-AFB0-521F9C852482}"/>
            </c:ext>
          </c:extLst>
        </c:ser>
        <c:ser>
          <c:idx val="5"/>
          <c:order val="5"/>
          <c:tx>
            <c:strRef>
              <c:f>label 5</c:f>
              <c:strCache>
                <c:ptCount val="1"/>
                <c:pt idx="0">
                  <c:v>Блок 2 (инвестиции)</c:v>
                </c:pt>
              </c:strCache>
            </c:strRef>
          </c:tx>
          <c:spPr>
            <a:solidFill>
              <a:srgbClr val="92D050"/>
            </a:solidFill>
            <a:ln>
              <a:solidFill>
                <a:srgbClr val="E2F0D9"/>
              </a:solidFill>
              <a:prstDash val="dash"/>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5</c:f>
              <c:numCache>
                <c:formatCode>General</c:formatCode>
                <c:ptCount val="46"/>
                <c:pt idx="6">
                  <c:v>20</c:v>
                </c:pt>
                <c:pt idx="7">
                  <c:v>35</c:v>
                </c:pt>
                <c:pt idx="8">
                  <c:v>30</c:v>
                </c:pt>
              </c:numCache>
            </c:numRef>
          </c:val>
          <c:extLst>
            <c:ext xmlns:c16="http://schemas.microsoft.com/office/drawing/2014/chart" uri="{C3380CC4-5D6E-409C-BE32-E72D297353CC}">
              <c16:uniqueId val="{00000006-34A4-42AC-AFB0-521F9C852482}"/>
            </c:ext>
          </c:extLst>
        </c:ser>
        <c:ser>
          <c:idx val="6"/>
          <c:order val="6"/>
          <c:tx>
            <c:strRef>
              <c:f>label 6</c:f>
              <c:strCache>
                <c:ptCount val="1"/>
                <c:pt idx="0">
                  <c:v>Блок 2 (акционеры)</c:v>
                </c:pt>
              </c:strCache>
            </c:strRef>
          </c:tx>
          <c:spPr>
            <a:solidFill>
              <a:srgbClr val="F4B183"/>
            </a:solidFill>
            <a:ln>
              <a:solidFill>
                <a:srgbClr val="FBE5D6"/>
              </a:solidFill>
              <a:prstDash val="dash"/>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6</c:f>
              <c:numCache>
                <c:formatCode>General</c:formatCode>
                <c:ptCount val="46"/>
                <c:pt idx="9">
                  <c:v>12</c:v>
                </c:pt>
                <c:pt idx="10">
                  <c:v>12</c:v>
                </c:pt>
                <c:pt idx="11">
                  <c:v>12</c:v>
                </c:pt>
                <c:pt idx="12">
                  <c:v>12</c:v>
                </c:pt>
                <c:pt idx="13">
                  <c:v>12</c:v>
                </c:pt>
                <c:pt idx="14">
                  <c:v>12</c:v>
                </c:pt>
                <c:pt idx="15">
                  <c:v>12</c:v>
                </c:pt>
                <c:pt idx="16">
                  <c:v>12</c:v>
                </c:pt>
                <c:pt idx="17">
                  <c:v>12</c:v>
                </c:pt>
                <c:pt idx="18">
                  <c:v>12</c:v>
                </c:pt>
                <c:pt idx="19">
                  <c:v>12</c:v>
                </c:pt>
                <c:pt idx="20">
                  <c:v>12</c:v>
                </c:pt>
                <c:pt idx="21">
                  <c:v>12</c:v>
                </c:pt>
                <c:pt idx="22">
                  <c:v>12</c:v>
                </c:pt>
                <c:pt idx="23">
                  <c:v>12</c:v>
                </c:pt>
                <c:pt idx="24">
                  <c:v>12</c:v>
                </c:pt>
                <c:pt idx="25">
                  <c:v>12</c:v>
                </c:pt>
                <c:pt idx="26">
                  <c:v>12</c:v>
                </c:pt>
                <c:pt idx="27">
                  <c:v>12</c:v>
                </c:pt>
                <c:pt idx="28">
                  <c:v>12</c:v>
                </c:pt>
                <c:pt idx="29">
                  <c:v>12</c:v>
                </c:pt>
                <c:pt idx="30">
                  <c:v>12</c:v>
                </c:pt>
                <c:pt idx="31">
                  <c:v>12</c:v>
                </c:pt>
                <c:pt idx="32">
                  <c:v>12</c:v>
                </c:pt>
                <c:pt idx="33">
                  <c:v>12</c:v>
                </c:pt>
                <c:pt idx="34">
                  <c:v>12</c:v>
                </c:pt>
                <c:pt idx="35">
                  <c:v>12</c:v>
                </c:pt>
              </c:numCache>
            </c:numRef>
          </c:val>
          <c:extLst>
            <c:ext xmlns:c16="http://schemas.microsoft.com/office/drawing/2014/chart" uri="{C3380CC4-5D6E-409C-BE32-E72D297353CC}">
              <c16:uniqueId val="{00000007-34A4-42AC-AFB0-521F9C852482}"/>
            </c:ext>
          </c:extLst>
        </c:ser>
        <c:ser>
          <c:idx val="7"/>
          <c:order val="7"/>
          <c:tx>
            <c:strRef>
              <c:f>label 7</c:f>
              <c:strCache>
                <c:ptCount val="1"/>
                <c:pt idx="0">
                  <c:v>Блок 2 (акционеры_кор.)</c:v>
                </c:pt>
              </c:strCache>
            </c:strRef>
          </c:tx>
          <c:spPr>
            <a:solidFill>
              <a:srgbClr val="FFBF00"/>
            </a:solidFill>
            <a:ln>
              <a:solidFill>
                <a:srgbClr val="F8CBAD"/>
              </a:solidFill>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7</c:f>
              <c:numCache>
                <c:formatCode>General</c:formatCode>
                <c:ptCount val="46"/>
                <c:pt idx="9">
                  <c:v>3</c:v>
                </c:pt>
                <c:pt idx="10">
                  <c:v>3</c:v>
                </c:pt>
                <c:pt idx="11">
                  <c:v>3</c:v>
                </c:pt>
                <c:pt idx="12">
                  <c:v>3</c:v>
                </c:pt>
                <c:pt idx="13">
                  <c:v>3</c:v>
                </c:pt>
                <c:pt idx="14">
                  <c:v>3</c:v>
                </c:pt>
              </c:numCache>
            </c:numRef>
          </c:val>
          <c:extLst>
            <c:ext xmlns:c16="http://schemas.microsoft.com/office/drawing/2014/chart" uri="{C3380CC4-5D6E-409C-BE32-E72D297353CC}">
              <c16:uniqueId val="{00000008-34A4-42AC-AFB0-521F9C852482}"/>
            </c:ext>
          </c:extLst>
        </c:ser>
        <c:ser>
          <c:idx val="8"/>
          <c:order val="8"/>
          <c:tx>
            <c:strRef>
              <c:f>label 8</c:f>
              <c:strCache>
                <c:ptCount val="1"/>
                <c:pt idx="0">
                  <c:v>Блок 2 (банки)</c:v>
                </c:pt>
              </c:strCache>
            </c:strRef>
          </c:tx>
          <c:spPr>
            <a:solidFill>
              <a:srgbClr val="FFC000"/>
            </a:solidFill>
            <a:ln>
              <a:solidFill>
                <a:srgbClr val="FFE699"/>
              </a:solidFill>
              <a:prstDash val="dash"/>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8</c:f>
              <c:numCache>
                <c:formatCode>General</c:formatCode>
                <c:ptCount val="46"/>
                <c:pt idx="9">
                  <c:v>6</c:v>
                </c:pt>
                <c:pt idx="10">
                  <c:v>6</c:v>
                </c:pt>
                <c:pt idx="11">
                  <c:v>6</c:v>
                </c:pt>
                <c:pt idx="12">
                  <c:v>6</c:v>
                </c:pt>
                <c:pt idx="13">
                  <c:v>6</c:v>
                </c:pt>
                <c:pt idx="14">
                  <c:v>6</c:v>
                </c:pt>
              </c:numCache>
            </c:numRef>
          </c:val>
          <c:extLst>
            <c:ext xmlns:c16="http://schemas.microsoft.com/office/drawing/2014/chart" uri="{C3380CC4-5D6E-409C-BE32-E72D297353CC}">
              <c16:uniqueId val="{00000009-34A4-42AC-AFB0-521F9C852482}"/>
            </c:ext>
          </c:extLst>
        </c:ser>
        <c:ser>
          <c:idx val="9"/>
          <c:order val="9"/>
          <c:tx>
            <c:strRef>
              <c:f>label 9</c:f>
              <c:strCache>
                <c:ptCount val="1"/>
                <c:pt idx="0">
                  <c:v>Прмежуток</c:v>
                </c:pt>
              </c:strCache>
            </c:strRef>
          </c:tx>
          <c:spPr>
            <a:noFill/>
            <a:ln>
              <a:noFill/>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9</c:f>
              <c:numCache>
                <c:formatCode>General</c:formatCode>
                <c:ptCount val="46"/>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pt idx="31">
                  <c:v>9</c:v>
                </c:pt>
                <c:pt idx="32">
                  <c:v>9</c:v>
                </c:pt>
                <c:pt idx="33">
                  <c:v>9</c:v>
                </c:pt>
                <c:pt idx="34">
                  <c:v>9</c:v>
                </c:pt>
                <c:pt idx="35">
                  <c:v>9</c:v>
                </c:pt>
              </c:numCache>
            </c:numRef>
          </c:val>
          <c:extLst>
            <c:ext xmlns:c16="http://schemas.microsoft.com/office/drawing/2014/chart" uri="{C3380CC4-5D6E-409C-BE32-E72D297353CC}">
              <c16:uniqueId val="{0000000A-34A4-42AC-AFB0-521F9C852482}"/>
            </c:ext>
          </c:extLst>
        </c:ser>
        <c:ser>
          <c:idx val="10"/>
          <c:order val="10"/>
          <c:tx>
            <c:strRef>
              <c:f>label 10</c:f>
              <c:strCache>
                <c:ptCount val="1"/>
                <c:pt idx="0">
                  <c:v>Блок 3 (инвестиции)</c:v>
                </c:pt>
              </c:strCache>
            </c:strRef>
          </c:tx>
          <c:spPr>
            <a:solidFill>
              <a:srgbClr val="92D050"/>
            </a:solidFill>
            <a:ln>
              <a:solidFill>
                <a:srgbClr val="E2F0D9"/>
              </a:solidFill>
              <a:prstDash val="dash"/>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10</c:f>
              <c:numCache>
                <c:formatCode>General</c:formatCode>
                <c:ptCount val="46"/>
                <c:pt idx="12">
                  <c:v>20</c:v>
                </c:pt>
                <c:pt idx="13">
                  <c:v>35</c:v>
                </c:pt>
                <c:pt idx="14">
                  <c:v>30</c:v>
                </c:pt>
              </c:numCache>
            </c:numRef>
          </c:val>
          <c:extLst>
            <c:ext xmlns:c16="http://schemas.microsoft.com/office/drawing/2014/chart" uri="{C3380CC4-5D6E-409C-BE32-E72D297353CC}">
              <c16:uniqueId val="{0000000B-34A4-42AC-AFB0-521F9C852482}"/>
            </c:ext>
          </c:extLst>
        </c:ser>
        <c:ser>
          <c:idx val="11"/>
          <c:order val="11"/>
          <c:tx>
            <c:strRef>
              <c:f>label 11</c:f>
              <c:strCache>
                <c:ptCount val="1"/>
                <c:pt idx="0">
                  <c:v>Блок 3 (акционеры)</c:v>
                </c:pt>
              </c:strCache>
            </c:strRef>
          </c:tx>
          <c:spPr>
            <a:solidFill>
              <a:srgbClr val="F4B183"/>
            </a:solidFill>
            <a:ln>
              <a:solidFill>
                <a:srgbClr val="FBE5D6"/>
              </a:solidFill>
              <a:prstDash val="dash"/>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11</c:f>
              <c:numCache>
                <c:formatCode>General</c:formatCode>
                <c:ptCount val="46"/>
                <c:pt idx="15">
                  <c:v>11</c:v>
                </c:pt>
                <c:pt idx="16">
                  <c:v>11</c:v>
                </c:pt>
                <c:pt idx="17">
                  <c:v>11</c:v>
                </c:pt>
                <c:pt idx="18">
                  <c:v>11</c:v>
                </c:pt>
                <c:pt idx="19">
                  <c:v>11</c:v>
                </c:pt>
                <c:pt idx="20">
                  <c:v>11</c:v>
                </c:pt>
                <c:pt idx="21">
                  <c:v>11</c:v>
                </c:pt>
                <c:pt idx="22">
                  <c:v>11</c:v>
                </c:pt>
                <c:pt idx="23">
                  <c:v>11</c:v>
                </c:pt>
                <c:pt idx="24">
                  <c:v>11</c:v>
                </c:pt>
                <c:pt idx="25">
                  <c:v>11</c:v>
                </c:pt>
                <c:pt idx="26">
                  <c:v>11</c:v>
                </c:pt>
                <c:pt idx="27">
                  <c:v>11</c:v>
                </c:pt>
                <c:pt idx="28">
                  <c:v>11</c:v>
                </c:pt>
                <c:pt idx="29">
                  <c:v>11</c:v>
                </c:pt>
                <c:pt idx="30">
                  <c:v>11</c:v>
                </c:pt>
                <c:pt idx="31">
                  <c:v>11</c:v>
                </c:pt>
                <c:pt idx="32">
                  <c:v>11</c:v>
                </c:pt>
                <c:pt idx="33">
                  <c:v>11</c:v>
                </c:pt>
                <c:pt idx="34">
                  <c:v>11</c:v>
                </c:pt>
                <c:pt idx="35">
                  <c:v>11</c:v>
                </c:pt>
              </c:numCache>
            </c:numRef>
          </c:val>
          <c:extLst>
            <c:ext xmlns:c16="http://schemas.microsoft.com/office/drawing/2014/chart" uri="{C3380CC4-5D6E-409C-BE32-E72D297353CC}">
              <c16:uniqueId val="{0000000C-34A4-42AC-AFB0-521F9C852482}"/>
            </c:ext>
          </c:extLst>
        </c:ser>
        <c:ser>
          <c:idx val="12"/>
          <c:order val="12"/>
          <c:tx>
            <c:strRef>
              <c:f>label 12</c:f>
              <c:strCache>
                <c:ptCount val="1"/>
                <c:pt idx="0">
                  <c:v>Блок 3 (акционеры_кор.)</c:v>
                </c:pt>
              </c:strCache>
            </c:strRef>
          </c:tx>
          <c:spPr>
            <a:solidFill>
              <a:srgbClr val="FFBF00"/>
            </a:solidFill>
            <a:ln>
              <a:solidFill>
                <a:srgbClr val="F8CBAD"/>
              </a:solidFill>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12</c:f>
              <c:numCache>
                <c:formatCode>General</c:formatCode>
                <c:ptCount val="46"/>
                <c:pt idx="15">
                  <c:v>3</c:v>
                </c:pt>
                <c:pt idx="16">
                  <c:v>3</c:v>
                </c:pt>
                <c:pt idx="17">
                  <c:v>3</c:v>
                </c:pt>
                <c:pt idx="18">
                  <c:v>3</c:v>
                </c:pt>
                <c:pt idx="19">
                  <c:v>3</c:v>
                </c:pt>
                <c:pt idx="20">
                  <c:v>3</c:v>
                </c:pt>
              </c:numCache>
            </c:numRef>
          </c:val>
          <c:extLst>
            <c:ext xmlns:c16="http://schemas.microsoft.com/office/drawing/2014/chart" uri="{C3380CC4-5D6E-409C-BE32-E72D297353CC}">
              <c16:uniqueId val="{0000000D-34A4-42AC-AFB0-521F9C852482}"/>
            </c:ext>
          </c:extLst>
        </c:ser>
        <c:ser>
          <c:idx val="13"/>
          <c:order val="13"/>
          <c:tx>
            <c:strRef>
              <c:f>label 13</c:f>
              <c:strCache>
                <c:ptCount val="1"/>
                <c:pt idx="0">
                  <c:v>Блок 3 (банки)</c:v>
                </c:pt>
              </c:strCache>
            </c:strRef>
          </c:tx>
          <c:spPr>
            <a:solidFill>
              <a:srgbClr val="FFC000"/>
            </a:solidFill>
            <a:ln>
              <a:solidFill>
                <a:srgbClr val="FFE699"/>
              </a:solidFill>
              <a:prstDash val="dash"/>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13</c:f>
              <c:numCache>
                <c:formatCode>General</c:formatCode>
                <c:ptCount val="46"/>
                <c:pt idx="15">
                  <c:v>7</c:v>
                </c:pt>
                <c:pt idx="16">
                  <c:v>7</c:v>
                </c:pt>
                <c:pt idx="17">
                  <c:v>7</c:v>
                </c:pt>
                <c:pt idx="18">
                  <c:v>7</c:v>
                </c:pt>
                <c:pt idx="19">
                  <c:v>7</c:v>
                </c:pt>
                <c:pt idx="20">
                  <c:v>7</c:v>
                </c:pt>
              </c:numCache>
            </c:numRef>
          </c:val>
          <c:extLst>
            <c:ext xmlns:c16="http://schemas.microsoft.com/office/drawing/2014/chart" uri="{C3380CC4-5D6E-409C-BE32-E72D297353CC}">
              <c16:uniqueId val="{0000000E-34A4-42AC-AFB0-521F9C852482}"/>
            </c:ext>
          </c:extLst>
        </c:ser>
        <c:ser>
          <c:idx val="14"/>
          <c:order val="14"/>
          <c:tx>
            <c:strRef>
              <c:f>label 14</c:f>
              <c:strCache>
                <c:ptCount val="1"/>
                <c:pt idx="0">
                  <c:v>Прмежуток</c:v>
                </c:pt>
              </c:strCache>
            </c:strRef>
          </c:tx>
          <c:spPr>
            <a:noFill/>
            <a:ln>
              <a:noFill/>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14</c:f>
              <c:numCache>
                <c:formatCode>General</c:formatCode>
                <c:ptCount val="46"/>
                <c:pt idx="21">
                  <c:v>10</c:v>
                </c:pt>
                <c:pt idx="22">
                  <c:v>10</c:v>
                </c:pt>
                <c:pt idx="23">
                  <c:v>10</c:v>
                </c:pt>
                <c:pt idx="24">
                  <c:v>10</c:v>
                </c:pt>
                <c:pt idx="25">
                  <c:v>10</c:v>
                </c:pt>
                <c:pt idx="26">
                  <c:v>10</c:v>
                </c:pt>
                <c:pt idx="27">
                  <c:v>10</c:v>
                </c:pt>
                <c:pt idx="28">
                  <c:v>10</c:v>
                </c:pt>
                <c:pt idx="29">
                  <c:v>10</c:v>
                </c:pt>
                <c:pt idx="30">
                  <c:v>10</c:v>
                </c:pt>
                <c:pt idx="31">
                  <c:v>10</c:v>
                </c:pt>
                <c:pt idx="32">
                  <c:v>10</c:v>
                </c:pt>
                <c:pt idx="33">
                  <c:v>10</c:v>
                </c:pt>
                <c:pt idx="34">
                  <c:v>10</c:v>
                </c:pt>
                <c:pt idx="35">
                  <c:v>10</c:v>
                </c:pt>
              </c:numCache>
            </c:numRef>
          </c:val>
          <c:extLst>
            <c:ext xmlns:c16="http://schemas.microsoft.com/office/drawing/2014/chart" uri="{C3380CC4-5D6E-409C-BE32-E72D297353CC}">
              <c16:uniqueId val="{0000000F-34A4-42AC-AFB0-521F9C852482}"/>
            </c:ext>
          </c:extLst>
        </c:ser>
        <c:ser>
          <c:idx val="15"/>
          <c:order val="15"/>
          <c:tx>
            <c:strRef>
              <c:f>label 15</c:f>
              <c:strCache>
                <c:ptCount val="1"/>
                <c:pt idx="0">
                  <c:v>Блок 4 (инвестиции)</c:v>
                </c:pt>
              </c:strCache>
            </c:strRef>
          </c:tx>
          <c:spPr>
            <a:solidFill>
              <a:srgbClr val="92D050"/>
            </a:solidFill>
            <a:ln>
              <a:solidFill>
                <a:srgbClr val="E2F0D9"/>
              </a:solidFill>
              <a:prstDash val="dash"/>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15</c:f>
              <c:numCache>
                <c:formatCode>General</c:formatCode>
                <c:ptCount val="46"/>
                <c:pt idx="18">
                  <c:v>20</c:v>
                </c:pt>
                <c:pt idx="19">
                  <c:v>35</c:v>
                </c:pt>
                <c:pt idx="20">
                  <c:v>30</c:v>
                </c:pt>
              </c:numCache>
            </c:numRef>
          </c:val>
          <c:extLst>
            <c:ext xmlns:c16="http://schemas.microsoft.com/office/drawing/2014/chart" uri="{C3380CC4-5D6E-409C-BE32-E72D297353CC}">
              <c16:uniqueId val="{00000010-34A4-42AC-AFB0-521F9C852482}"/>
            </c:ext>
          </c:extLst>
        </c:ser>
        <c:ser>
          <c:idx val="16"/>
          <c:order val="16"/>
          <c:tx>
            <c:strRef>
              <c:f>label 16</c:f>
              <c:strCache>
                <c:ptCount val="1"/>
                <c:pt idx="0">
                  <c:v>Блок 4 (акционеры)</c:v>
                </c:pt>
              </c:strCache>
            </c:strRef>
          </c:tx>
          <c:spPr>
            <a:solidFill>
              <a:srgbClr val="F4B183"/>
            </a:solidFill>
            <a:ln>
              <a:solidFill>
                <a:srgbClr val="FBE5D6"/>
              </a:solidFill>
              <a:prstDash val="dash"/>
            </a:ln>
          </c:spPr>
          <c:invertIfNegative val="0"/>
          <c:dPt>
            <c:idx val="27"/>
            <c:invertIfNegative val="0"/>
            <c:bubble3D val="0"/>
            <c:extLst>
              <c:ext xmlns:c16="http://schemas.microsoft.com/office/drawing/2014/chart" uri="{C3380CC4-5D6E-409C-BE32-E72D297353CC}">
                <c16:uniqueId val="{00000011-34A4-42AC-AFB0-521F9C852482}"/>
              </c:ext>
            </c:extLst>
          </c:dPt>
          <c:dPt>
            <c:idx val="40"/>
            <c:invertIfNegative val="0"/>
            <c:bubble3D val="0"/>
            <c:extLst>
              <c:ext xmlns:c16="http://schemas.microsoft.com/office/drawing/2014/chart" uri="{C3380CC4-5D6E-409C-BE32-E72D297353CC}">
                <c16:uniqueId val="{00000012-34A4-42AC-AFB0-521F9C852482}"/>
              </c:ext>
            </c:extLst>
          </c:dPt>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16</c:f>
              <c:numCache>
                <c:formatCode>General</c:formatCode>
                <c:ptCount val="46"/>
                <c:pt idx="21">
                  <c:v>10</c:v>
                </c:pt>
                <c:pt idx="22">
                  <c:v>10</c:v>
                </c:pt>
                <c:pt idx="23">
                  <c:v>10</c:v>
                </c:pt>
                <c:pt idx="24">
                  <c:v>10</c:v>
                </c:pt>
                <c:pt idx="25">
                  <c:v>10</c:v>
                </c:pt>
                <c:pt idx="26">
                  <c:v>10</c:v>
                </c:pt>
                <c:pt idx="27">
                  <c:v>10</c:v>
                </c:pt>
                <c:pt idx="28">
                  <c:v>10</c:v>
                </c:pt>
                <c:pt idx="29">
                  <c:v>10</c:v>
                </c:pt>
                <c:pt idx="30">
                  <c:v>10</c:v>
                </c:pt>
                <c:pt idx="31">
                  <c:v>10</c:v>
                </c:pt>
                <c:pt idx="32">
                  <c:v>10</c:v>
                </c:pt>
                <c:pt idx="33">
                  <c:v>10</c:v>
                </c:pt>
                <c:pt idx="34">
                  <c:v>10</c:v>
                </c:pt>
                <c:pt idx="35">
                  <c:v>10</c:v>
                </c:pt>
              </c:numCache>
            </c:numRef>
          </c:val>
          <c:extLst>
            <c:ext xmlns:c16="http://schemas.microsoft.com/office/drawing/2014/chart" uri="{C3380CC4-5D6E-409C-BE32-E72D297353CC}">
              <c16:uniqueId val="{00000013-34A4-42AC-AFB0-521F9C852482}"/>
            </c:ext>
          </c:extLst>
        </c:ser>
        <c:ser>
          <c:idx val="17"/>
          <c:order val="17"/>
          <c:tx>
            <c:strRef>
              <c:f>label 17</c:f>
              <c:strCache>
                <c:ptCount val="1"/>
                <c:pt idx="0">
                  <c:v>Блок 4 (акционеры_кор.)</c:v>
                </c:pt>
              </c:strCache>
            </c:strRef>
          </c:tx>
          <c:spPr>
            <a:solidFill>
              <a:srgbClr val="FFBF00"/>
            </a:solidFill>
            <a:ln>
              <a:solidFill>
                <a:srgbClr val="F8CBAD"/>
              </a:solidFill>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17</c:f>
              <c:numCache>
                <c:formatCode>General</c:formatCode>
                <c:ptCount val="46"/>
                <c:pt idx="21">
                  <c:v>3</c:v>
                </c:pt>
                <c:pt idx="22">
                  <c:v>3</c:v>
                </c:pt>
                <c:pt idx="23">
                  <c:v>3</c:v>
                </c:pt>
                <c:pt idx="24">
                  <c:v>3</c:v>
                </c:pt>
                <c:pt idx="25">
                  <c:v>3</c:v>
                </c:pt>
                <c:pt idx="26">
                  <c:v>3</c:v>
                </c:pt>
              </c:numCache>
            </c:numRef>
          </c:val>
          <c:extLst>
            <c:ext xmlns:c16="http://schemas.microsoft.com/office/drawing/2014/chart" uri="{C3380CC4-5D6E-409C-BE32-E72D297353CC}">
              <c16:uniqueId val="{00000014-34A4-42AC-AFB0-521F9C852482}"/>
            </c:ext>
          </c:extLst>
        </c:ser>
        <c:ser>
          <c:idx val="18"/>
          <c:order val="18"/>
          <c:tx>
            <c:strRef>
              <c:f>label 18</c:f>
              <c:strCache>
                <c:ptCount val="1"/>
                <c:pt idx="0">
                  <c:v>Блок 4 (банки)</c:v>
                </c:pt>
              </c:strCache>
            </c:strRef>
          </c:tx>
          <c:spPr>
            <a:solidFill>
              <a:srgbClr val="FFC000"/>
            </a:solidFill>
            <a:ln>
              <a:solidFill>
                <a:srgbClr val="FFE699"/>
              </a:solidFill>
              <a:prstDash val="dash"/>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18</c:f>
              <c:numCache>
                <c:formatCode>General</c:formatCode>
                <c:ptCount val="46"/>
                <c:pt idx="21">
                  <c:v>8</c:v>
                </c:pt>
                <c:pt idx="22">
                  <c:v>8</c:v>
                </c:pt>
                <c:pt idx="23">
                  <c:v>8</c:v>
                </c:pt>
                <c:pt idx="24">
                  <c:v>8</c:v>
                </c:pt>
                <c:pt idx="25">
                  <c:v>8</c:v>
                </c:pt>
                <c:pt idx="26">
                  <c:v>8</c:v>
                </c:pt>
              </c:numCache>
            </c:numRef>
          </c:val>
          <c:extLst>
            <c:ext xmlns:c16="http://schemas.microsoft.com/office/drawing/2014/chart" uri="{C3380CC4-5D6E-409C-BE32-E72D297353CC}">
              <c16:uniqueId val="{00000015-34A4-42AC-AFB0-521F9C852482}"/>
            </c:ext>
          </c:extLst>
        </c:ser>
        <c:ser>
          <c:idx val="19"/>
          <c:order val="19"/>
          <c:tx>
            <c:strRef>
              <c:f>label 19</c:f>
              <c:strCache>
                <c:ptCount val="1"/>
              </c:strCache>
            </c:strRef>
          </c:tx>
          <c:spPr>
            <a:noFill/>
            <a:ln>
              <a:noFill/>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19</c:f>
              <c:numCache>
                <c:formatCode>General</c:formatCode>
                <c:ptCount val="46"/>
              </c:numCache>
            </c:numRef>
          </c:val>
          <c:extLst>
            <c:ext xmlns:c16="http://schemas.microsoft.com/office/drawing/2014/chart" uri="{C3380CC4-5D6E-409C-BE32-E72D297353CC}">
              <c16:uniqueId val="{00000016-34A4-42AC-AFB0-521F9C852482}"/>
            </c:ext>
          </c:extLst>
        </c:ser>
        <c:ser>
          <c:idx val="20"/>
          <c:order val="20"/>
          <c:tx>
            <c:strRef>
              <c:f>label 20</c:f>
              <c:strCache>
                <c:ptCount val="1"/>
              </c:strCache>
            </c:strRef>
          </c:tx>
          <c:spPr>
            <a:solidFill>
              <a:srgbClr val="92D050"/>
            </a:solidFill>
            <a:ln>
              <a:solidFill>
                <a:srgbClr val="E2F0D9"/>
              </a:solidFill>
              <a:prstDash val="dash"/>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20</c:f>
              <c:numCache>
                <c:formatCode>General</c:formatCode>
                <c:ptCount val="46"/>
              </c:numCache>
            </c:numRef>
          </c:val>
          <c:extLst>
            <c:ext xmlns:c16="http://schemas.microsoft.com/office/drawing/2014/chart" uri="{C3380CC4-5D6E-409C-BE32-E72D297353CC}">
              <c16:uniqueId val="{00000017-34A4-42AC-AFB0-521F9C852482}"/>
            </c:ext>
          </c:extLst>
        </c:ser>
        <c:ser>
          <c:idx val="21"/>
          <c:order val="21"/>
          <c:tx>
            <c:strRef>
              <c:f>label 21</c:f>
              <c:strCache>
                <c:ptCount val="1"/>
              </c:strCache>
            </c:strRef>
          </c:tx>
          <c:spPr>
            <a:solidFill>
              <a:srgbClr val="F4B183"/>
            </a:solidFill>
            <a:ln>
              <a:solidFill>
                <a:srgbClr val="FBE5D6"/>
              </a:solidFill>
              <a:prstDash val="dash"/>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21</c:f>
              <c:numCache>
                <c:formatCode>General</c:formatCode>
                <c:ptCount val="46"/>
              </c:numCache>
            </c:numRef>
          </c:val>
          <c:extLst>
            <c:ext xmlns:c16="http://schemas.microsoft.com/office/drawing/2014/chart" uri="{C3380CC4-5D6E-409C-BE32-E72D297353CC}">
              <c16:uniqueId val="{00000018-34A4-42AC-AFB0-521F9C852482}"/>
            </c:ext>
          </c:extLst>
        </c:ser>
        <c:ser>
          <c:idx val="22"/>
          <c:order val="22"/>
          <c:tx>
            <c:strRef>
              <c:f>label 22</c:f>
              <c:strCache>
                <c:ptCount val="1"/>
              </c:strCache>
            </c:strRef>
          </c:tx>
          <c:spPr>
            <a:solidFill>
              <a:srgbClr val="FF6600"/>
            </a:solidFill>
            <a:ln>
              <a:solidFill>
                <a:srgbClr val="F8CBAD"/>
              </a:solidFill>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22</c:f>
              <c:numCache>
                <c:formatCode>General</c:formatCode>
                <c:ptCount val="46"/>
              </c:numCache>
            </c:numRef>
          </c:val>
          <c:extLst>
            <c:ext xmlns:c16="http://schemas.microsoft.com/office/drawing/2014/chart" uri="{C3380CC4-5D6E-409C-BE32-E72D297353CC}">
              <c16:uniqueId val="{00000019-34A4-42AC-AFB0-521F9C852482}"/>
            </c:ext>
          </c:extLst>
        </c:ser>
        <c:ser>
          <c:idx val="23"/>
          <c:order val="23"/>
          <c:tx>
            <c:strRef>
              <c:f>label 23</c:f>
              <c:strCache>
                <c:ptCount val="1"/>
              </c:strCache>
            </c:strRef>
          </c:tx>
          <c:spPr>
            <a:solidFill>
              <a:srgbClr val="FFC000"/>
            </a:solidFill>
            <a:ln>
              <a:solidFill>
                <a:srgbClr val="FFE699"/>
              </a:solidFill>
              <a:prstDash val="dash"/>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23</c:f>
              <c:numCache>
                <c:formatCode>General</c:formatCode>
                <c:ptCount val="46"/>
              </c:numCache>
            </c:numRef>
          </c:val>
          <c:extLst>
            <c:ext xmlns:c16="http://schemas.microsoft.com/office/drawing/2014/chart" uri="{C3380CC4-5D6E-409C-BE32-E72D297353CC}">
              <c16:uniqueId val="{0000001A-34A4-42AC-AFB0-521F9C852482}"/>
            </c:ext>
          </c:extLst>
        </c:ser>
        <c:ser>
          <c:idx val="24"/>
          <c:order val="24"/>
          <c:tx>
            <c:strRef>
              <c:f>label 24</c:f>
              <c:strCache>
                <c:ptCount val="1"/>
              </c:strCache>
            </c:strRef>
          </c:tx>
          <c:spPr>
            <a:noFill/>
            <a:ln>
              <a:noFill/>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24</c:f>
              <c:numCache>
                <c:formatCode>General</c:formatCode>
                <c:ptCount val="46"/>
              </c:numCache>
            </c:numRef>
          </c:val>
          <c:extLst>
            <c:ext xmlns:c16="http://schemas.microsoft.com/office/drawing/2014/chart" uri="{C3380CC4-5D6E-409C-BE32-E72D297353CC}">
              <c16:uniqueId val="{0000001B-34A4-42AC-AFB0-521F9C852482}"/>
            </c:ext>
          </c:extLst>
        </c:ser>
        <c:ser>
          <c:idx val="25"/>
          <c:order val="25"/>
          <c:tx>
            <c:strRef>
              <c:f>label 25</c:f>
              <c:strCache>
                <c:ptCount val="1"/>
              </c:strCache>
            </c:strRef>
          </c:tx>
          <c:spPr>
            <a:solidFill>
              <a:srgbClr val="92D050"/>
            </a:solidFill>
            <a:ln>
              <a:solidFill>
                <a:srgbClr val="E2F0D9"/>
              </a:solidFill>
              <a:prstDash val="dash"/>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25</c:f>
              <c:numCache>
                <c:formatCode>General</c:formatCode>
                <c:ptCount val="46"/>
              </c:numCache>
            </c:numRef>
          </c:val>
          <c:extLst>
            <c:ext xmlns:c16="http://schemas.microsoft.com/office/drawing/2014/chart" uri="{C3380CC4-5D6E-409C-BE32-E72D297353CC}">
              <c16:uniqueId val="{0000001C-34A4-42AC-AFB0-521F9C852482}"/>
            </c:ext>
          </c:extLst>
        </c:ser>
        <c:ser>
          <c:idx val="26"/>
          <c:order val="26"/>
          <c:tx>
            <c:strRef>
              <c:f>label 26</c:f>
              <c:strCache>
                <c:ptCount val="1"/>
              </c:strCache>
            </c:strRef>
          </c:tx>
          <c:spPr>
            <a:solidFill>
              <a:srgbClr val="F4B183"/>
            </a:solidFill>
            <a:ln>
              <a:solidFill>
                <a:srgbClr val="FBE5D6"/>
              </a:solidFill>
              <a:prstDash val="dash"/>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26</c:f>
              <c:numCache>
                <c:formatCode>General</c:formatCode>
                <c:ptCount val="46"/>
              </c:numCache>
            </c:numRef>
          </c:val>
          <c:extLst>
            <c:ext xmlns:c16="http://schemas.microsoft.com/office/drawing/2014/chart" uri="{C3380CC4-5D6E-409C-BE32-E72D297353CC}">
              <c16:uniqueId val="{0000001D-34A4-42AC-AFB0-521F9C852482}"/>
            </c:ext>
          </c:extLst>
        </c:ser>
        <c:ser>
          <c:idx val="27"/>
          <c:order val="27"/>
          <c:tx>
            <c:strRef>
              <c:f>label 27</c:f>
              <c:strCache>
                <c:ptCount val="1"/>
              </c:strCache>
            </c:strRef>
          </c:tx>
          <c:spPr>
            <a:solidFill>
              <a:srgbClr val="FF6600"/>
            </a:solidFill>
            <a:ln>
              <a:solidFill>
                <a:srgbClr val="F8CBAD"/>
              </a:solidFill>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27</c:f>
              <c:numCache>
                <c:formatCode>General</c:formatCode>
                <c:ptCount val="46"/>
              </c:numCache>
            </c:numRef>
          </c:val>
          <c:extLst>
            <c:ext xmlns:c16="http://schemas.microsoft.com/office/drawing/2014/chart" uri="{C3380CC4-5D6E-409C-BE32-E72D297353CC}">
              <c16:uniqueId val="{0000001E-34A4-42AC-AFB0-521F9C852482}"/>
            </c:ext>
          </c:extLst>
        </c:ser>
        <c:ser>
          <c:idx val="28"/>
          <c:order val="28"/>
          <c:tx>
            <c:strRef>
              <c:f>label 28</c:f>
              <c:strCache>
                <c:ptCount val="1"/>
              </c:strCache>
            </c:strRef>
          </c:tx>
          <c:spPr>
            <a:solidFill>
              <a:srgbClr val="FFC000"/>
            </a:solidFill>
            <a:ln>
              <a:solidFill>
                <a:srgbClr val="FFE699"/>
              </a:solidFill>
              <a:prstDash val="dash"/>
            </a:ln>
          </c:spPr>
          <c:invertIfNegative val="0"/>
          <c:dLbls>
            <c:spPr>
              <a:noFill/>
              <a:ln>
                <a:noFill/>
              </a:ln>
              <a:effectLst/>
            </c:spPr>
            <c:txPr>
              <a:bodyPr/>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strCache>
            </c:strRef>
          </c:cat>
          <c:val>
            <c:numRef>
              <c:f>28</c:f>
              <c:numCache>
                <c:formatCode>General</c:formatCode>
                <c:ptCount val="46"/>
              </c:numCache>
            </c:numRef>
          </c:val>
          <c:extLst>
            <c:ext xmlns:c16="http://schemas.microsoft.com/office/drawing/2014/chart" uri="{C3380CC4-5D6E-409C-BE32-E72D297353CC}">
              <c16:uniqueId val="{0000001F-34A4-42AC-AFB0-521F9C852482}"/>
            </c:ext>
          </c:extLst>
        </c:ser>
        <c:dLbls>
          <c:showLegendKey val="0"/>
          <c:showVal val="0"/>
          <c:showCatName val="0"/>
          <c:showSerName val="0"/>
          <c:showPercent val="0"/>
          <c:showBubbleSize val="0"/>
        </c:dLbls>
        <c:gapWidth val="0"/>
        <c:overlap val="100"/>
        <c:axId val="272500736"/>
        <c:axId val="223940544"/>
      </c:barChart>
      <c:catAx>
        <c:axId val="272500736"/>
        <c:scaling>
          <c:orientation val="minMax"/>
        </c:scaling>
        <c:delete val="0"/>
        <c:axPos val="b"/>
        <c:title>
          <c:tx>
            <c:rich>
              <a:bodyPr rot="0"/>
              <a:lstStyle/>
              <a:p>
                <a:pPr>
                  <a:defRPr lang="en-US" sz="900" b="0" strike="noStrike" spc="-1">
                    <a:solidFill>
                      <a:srgbClr val="595959"/>
                    </a:solidFill>
                    <a:latin typeface="Calibri"/>
                  </a:defRPr>
                </a:pPr>
                <a:r>
                  <a:rPr lang="en-US" sz="900" b="0" strike="noStrike" spc="-1" dirty="0">
                    <a:solidFill>
                      <a:srgbClr val="595959"/>
                    </a:solidFill>
                    <a:latin typeface="Calibri"/>
                  </a:rPr>
                  <a:t>Years</a:t>
                </a:r>
              </a:p>
            </c:rich>
          </c:tx>
          <c:layout>
            <c:manualLayout>
              <c:xMode val="edge"/>
              <c:yMode val="edge"/>
              <c:x val="0.37643663282605605"/>
              <c:y val="0.91281514122661278"/>
            </c:manualLayout>
          </c:layout>
          <c:overlay val="0"/>
          <c:spPr>
            <a:noFill/>
            <a:ln>
              <a:noFill/>
            </a:ln>
          </c:spPr>
        </c:title>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n-US"/>
          </a:p>
        </c:txPr>
        <c:crossAx val="223940544"/>
        <c:crosses val="autoZero"/>
        <c:auto val="1"/>
        <c:lblAlgn val="ctr"/>
        <c:lblOffset val="100"/>
        <c:noMultiLvlLbl val="0"/>
      </c:catAx>
      <c:valAx>
        <c:axId val="223940544"/>
        <c:scaling>
          <c:orientation val="minMax"/>
          <c:max val="120"/>
          <c:min val="0"/>
        </c:scaling>
        <c:delete val="0"/>
        <c:axPos val="l"/>
        <c:title>
          <c:tx>
            <c:rich>
              <a:bodyPr rot="-5400000"/>
              <a:lstStyle/>
              <a:p>
                <a:pPr>
                  <a:defRPr lang="en-US" sz="900" b="0" strike="noStrike" spc="-1">
                    <a:solidFill>
                      <a:srgbClr val="595959"/>
                    </a:solidFill>
                    <a:latin typeface="Calibri"/>
                  </a:defRPr>
                </a:pPr>
                <a:r>
                  <a:rPr lang="en-US" sz="900" b="0" strike="noStrike" spc="-1" dirty="0">
                    <a:solidFill>
                      <a:srgbClr val="595959"/>
                    </a:solidFill>
                    <a:latin typeface="Calibri"/>
                  </a:rPr>
                  <a:t>Input of units </a:t>
                </a:r>
              </a:p>
            </c:rich>
          </c:tx>
          <c:layout>
            <c:manualLayout>
              <c:xMode val="edge"/>
              <c:yMode val="edge"/>
              <c:x val="7.3292735221450883E-2"/>
              <c:y val="0.29157832478508994"/>
            </c:manualLayout>
          </c:layout>
          <c:overlay val="0"/>
          <c:spPr>
            <a:noFill/>
            <a:ln>
              <a:noFill/>
            </a:ln>
          </c:spPr>
        </c:title>
        <c:numFmt formatCode="General" sourceLinked="0"/>
        <c:majorTickMark val="out"/>
        <c:minorTickMark val="none"/>
        <c:tickLblPos val="none"/>
        <c:spPr>
          <a:ln w="6480">
            <a:noFill/>
          </a:ln>
        </c:spPr>
        <c:txPr>
          <a:bodyPr/>
          <a:lstStyle/>
          <a:p>
            <a:pPr>
              <a:defRPr sz="900" b="0" strike="noStrike" spc="-1">
                <a:solidFill>
                  <a:srgbClr val="595959"/>
                </a:solidFill>
                <a:latin typeface="Calibri"/>
              </a:defRPr>
            </a:pPr>
            <a:endParaRPr lang="en-US"/>
          </a:p>
        </c:txPr>
        <c:crossAx val="272500736"/>
        <c:crossesAt val="1"/>
        <c:crossBetween val="between"/>
        <c:majorUnit val="20"/>
      </c:valAx>
      <c:spPr>
        <a:solidFill>
          <a:sysClr val="window" lastClr="FFFFFF"/>
        </a:solidFill>
        <a:ln>
          <a:noFill/>
        </a:ln>
      </c:spPr>
    </c:plotArea>
    <c:plotVisOnly val="1"/>
    <c:dispBlanksAs val="gap"/>
    <c:showDLblsOverMax val="1"/>
  </c:chart>
  <c:spPr>
    <a:solidFill>
      <a:srgbClr val="FFFFFF"/>
    </a:solidFill>
    <a:ln w="9360">
      <a:noFill/>
      <a:round/>
    </a:ln>
  </c:spPr>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49412573428318"/>
          <c:y val="0.3333578326731122"/>
          <c:w val="0.70918228971378594"/>
          <c:h val="0.45702293390402382"/>
        </c:manualLayout>
      </c:layout>
      <c:barChart>
        <c:barDir val="col"/>
        <c:grouping val="stacked"/>
        <c:varyColors val="0"/>
        <c:ser>
          <c:idx val="0"/>
          <c:order val="0"/>
          <c:tx>
            <c:strRef>
              <c:f>Лист2!$C$33</c:f>
              <c:strCache>
                <c:ptCount val="1"/>
                <c:pt idx="0">
                  <c:v>акции в энергоблок N</c:v>
                </c:pt>
              </c:strCache>
            </c:strRef>
          </c:tx>
          <c:spPr>
            <a:solidFill>
              <a:srgbClr val="004586"/>
            </a:solidFill>
            <a:ln>
              <a:noFill/>
            </a:ln>
          </c:spPr>
          <c:invertIfNegative val="0"/>
          <c:dLbls>
            <c:spPr>
              <a:noFill/>
              <a:ln>
                <a:noFill/>
              </a:ln>
              <a:effectLst/>
            </c:spPr>
            <c:txPr>
              <a:bodyPr/>
              <a:lstStyle/>
              <a:p>
                <a:pPr>
                  <a:defRPr sz="1000" b="0" strike="noStrike" spc="-1">
                    <a:latin typeface="Arial"/>
                  </a:defRPr>
                </a:pPr>
                <a:endParaRPr lang="en-US"/>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Лист2!$B$34:$B$39</c:f>
              <c:strCache>
                <c:ptCount val="6"/>
                <c:pt idx="0">
                  <c:v>1200 (N=1)</c:v>
                </c:pt>
                <c:pt idx="1">
                  <c:v>300 (N=1)</c:v>
                </c:pt>
                <c:pt idx="2">
                  <c:v>600 (N=2)</c:v>
                </c:pt>
                <c:pt idx="3">
                  <c:v>900 (N=3)</c:v>
                </c:pt>
                <c:pt idx="4">
                  <c:v>1200 (N=4)</c:v>
                </c:pt>
                <c:pt idx="5">
                  <c:v>1200 (N=1- 4)</c:v>
                </c:pt>
              </c:strCache>
            </c:strRef>
          </c:cat>
          <c:val>
            <c:numRef>
              <c:f>Лист2!$C$34:$C$39</c:f>
              <c:numCache>
                <c:formatCode>0.00</c:formatCode>
                <c:ptCount val="6"/>
                <c:pt idx="0">
                  <c:v>52.75</c:v>
                </c:pt>
                <c:pt idx="1">
                  <c:v>40.5</c:v>
                </c:pt>
                <c:pt idx="2">
                  <c:v>22.02</c:v>
                </c:pt>
                <c:pt idx="3">
                  <c:v>15.48</c:v>
                </c:pt>
                <c:pt idx="4">
                  <c:v>13.08</c:v>
                </c:pt>
                <c:pt idx="5">
                  <c:v>0</c:v>
                </c:pt>
              </c:numCache>
            </c:numRef>
          </c:val>
          <c:extLst>
            <c:ext xmlns:c16="http://schemas.microsoft.com/office/drawing/2014/chart" uri="{C3380CC4-5D6E-409C-BE32-E72D297353CC}">
              <c16:uniqueId val="{00000000-9FA9-4754-A4AC-A400A2AF966E}"/>
            </c:ext>
          </c:extLst>
        </c:ser>
        <c:ser>
          <c:idx val="1"/>
          <c:order val="1"/>
          <c:tx>
            <c:strRef>
              <c:f>Лист2!$D$33</c:f>
              <c:strCache>
                <c:ptCount val="1"/>
                <c:pt idx="0">
                  <c:v>акции предшественников (1,...N-1)</c:v>
                </c:pt>
              </c:strCache>
            </c:strRef>
          </c:tx>
          <c:spPr>
            <a:solidFill>
              <a:srgbClr val="FF420E"/>
            </a:solidFill>
            <a:ln>
              <a:noFill/>
            </a:ln>
          </c:spPr>
          <c:invertIfNegative val="0"/>
          <c:dLbls>
            <c:spPr>
              <a:noFill/>
              <a:ln>
                <a:noFill/>
              </a:ln>
              <a:effectLst/>
            </c:spPr>
            <c:txPr>
              <a:bodyPr/>
              <a:lstStyle/>
              <a:p>
                <a:pPr>
                  <a:defRPr sz="1000" b="0" strike="noStrike" spc="-1">
                    <a:latin typeface="Arial"/>
                  </a:defRPr>
                </a:pPr>
                <a:endParaRPr lang="en-US"/>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Лист2!$B$34:$B$39</c:f>
              <c:strCache>
                <c:ptCount val="6"/>
                <c:pt idx="0">
                  <c:v>1200 (N=1)</c:v>
                </c:pt>
                <c:pt idx="1">
                  <c:v>300 (N=1)</c:v>
                </c:pt>
                <c:pt idx="2">
                  <c:v>600 (N=2)</c:v>
                </c:pt>
                <c:pt idx="3">
                  <c:v>900 (N=3)</c:v>
                </c:pt>
                <c:pt idx="4">
                  <c:v>1200 (N=4)</c:v>
                </c:pt>
                <c:pt idx="5">
                  <c:v>1200 (N=1- 4)</c:v>
                </c:pt>
              </c:strCache>
            </c:strRef>
          </c:cat>
          <c:val>
            <c:numRef>
              <c:f>Лист2!$D$34:$D$39</c:f>
              <c:numCache>
                <c:formatCode>0.00</c:formatCode>
                <c:ptCount val="6"/>
                <c:pt idx="0">
                  <c:v>0</c:v>
                </c:pt>
                <c:pt idx="1">
                  <c:v>0</c:v>
                </c:pt>
                <c:pt idx="2">
                  <c:v>18.28</c:v>
                </c:pt>
                <c:pt idx="3">
                  <c:v>24.24</c:v>
                </c:pt>
                <c:pt idx="4">
                  <c:v>26.87</c:v>
                </c:pt>
                <c:pt idx="5">
                  <c:v>39.950000000000003</c:v>
                </c:pt>
              </c:numCache>
            </c:numRef>
          </c:val>
          <c:extLst>
            <c:ext xmlns:c16="http://schemas.microsoft.com/office/drawing/2014/chart" uri="{C3380CC4-5D6E-409C-BE32-E72D297353CC}">
              <c16:uniqueId val="{00000001-9FA9-4754-A4AC-A400A2AF966E}"/>
            </c:ext>
          </c:extLst>
        </c:ser>
        <c:ser>
          <c:idx val="2"/>
          <c:order val="2"/>
          <c:tx>
            <c:strRef>
              <c:f>Лист2!$E$33</c:f>
              <c:strCache>
                <c:ptCount val="1"/>
                <c:pt idx="0">
                  <c:v>кредит</c:v>
                </c:pt>
              </c:strCache>
            </c:strRef>
          </c:tx>
          <c:spPr>
            <a:solidFill>
              <a:srgbClr val="FFD320"/>
            </a:solidFill>
            <a:ln>
              <a:noFill/>
            </a:ln>
          </c:spPr>
          <c:invertIfNegative val="0"/>
          <c:dLbls>
            <c:spPr>
              <a:noFill/>
              <a:ln>
                <a:noFill/>
              </a:ln>
              <a:effectLst/>
            </c:spPr>
            <c:txPr>
              <a:bodyPr/>
              <a:lstStyle/>
              <a:p>
                <a:pPr>
                  <a:defRPr sz="1000" b="0" strike="noStrike" spc="-1">
                    <a:latin typeface="Arial"/>
                  </a:defRPr>
                </a:pPr>
                <a:endParaRPr lang="en-US"/>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Лист2!$B$34:$B$39</c:f>
              <c:strCache>
                <c:ptCount val="6"/>
                <c:pt idx="0">
                  <c:v>1200 (N=1)</c:v>
                </c:pt>
                <c:pt idx="1">
                  <c:v>300 (N=1)</c:v>
                </c:pt>
                <c:pt idx="2">
                  <c:v>600 (N=2)</c:v>
                </c:pt>
                <c:pt idx="3">
                  <c:v>900 (N=3)</c:v>
                </c:pt>
                <c:pt idx="4">
                  <c:v>1200 (N=4)</c:v>
                </c:pt>
                <c:pt idx="5">
                  <c:v>1200 (N=1- 4)</c:v>
                </c:pt>
              </c:strCache>
            </c:strRef>
          </c:cat>
          <c:val>
            <c:numRef>
              <c:f>Лист2!$E$34:$E$39</c:f>
              <c:numCache>
                <c:formatCode>0.00</c:formatCode>
                <c:ptCount val="6"/>
                <c:pt idx="0">
                  <c:v>0</c:v>
                </c:pt>
                <c:pt idx="1">
                  <c:v>18.590641139703099</c:v>
                </c:pt>
                <c:pt idx="2">
                  <c:v>15.495163837813736</c:v>
                </c:pt>
                <c:pt idx="3">
                  <c:v>14.461856626486705</c:v>
                </c:pt>
                <c:pt idx="4">
                  <c:v>12.473018015437903</c:v>
                </c:pt>
                <c:pt idx="5">
                  <c:v>0</c:v>
                </c:pt>
              </c:numCache>
            </c:numRef>
          </c:val>
          <c:extLst>
            <c:ext xmlns:c16="http://schemas.microsoft.com/office/drawing/2014/chart" uri="{C3380CC4-5D6E-409C-BE32-E72D297353CC}">
              <c16:uniqueId val="{00000002-9FA9-4754-A4AC-A400A2AF966E}"/>
            </c:ext>
          </c:extLst>
        </c:ser>
        <c:ser>
          <c:idx val="3"/>
          <c:order val="3"/>
          <c:tx>
            <c:strRef>
              <c:f>Лист2!$F$33</c:f>
              <c:strCache>
                <c:ptCount val="1"/>
                <c:pt idx="0">
                  <c:v>топливо</c:v>
                </c:pt>
              </c:strCache>
            </c:strRef>
          </c:tx>
          <c:spPr>
            <a:solidFill>
              <a:srgbClr val="579D1C"/>
            </a:solidFill>
            <a:ln>
              <a:noFill/>
            </a:ln>
          </c:spPr>
          <c:invertIfNegative val="0"/>
          <c:dLbls>
            <c:spPr>
              <a:noFill/>
              <a:ln>
                <a:noFill/>
              </a:ln>
              <a:effectLst/>
            </c:spPr>
            <c:txPr>
              <a:bodyPr/>
              <a:lstStyle/>
              <a:p>
                <a:pPr>
                  <a:defRPr sz="1000" b="0" strike="noStrike" spc="-1">
                    <a:latin typeface="Arial"/>
                  </a:defRPr>
                </a:pPr>
                <a:endParaRPr lang="en-US"/>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Лист2!$B$34:$B$39</c:f>
              <c:strCache>
                <c:ptCount val="6"/>
                <c:pt idx="0">
                  <c:v>1200 (N=1)</c:v>
                </c:pt>
                <c:pt idx="1">
                  <c:v>300 (N=1)</c:v>
                </c:pt>
                <c:pt idx="2">
                  <c:v>600 (N=2)</c:v>
                </c:pt>
                <c:pt idx="3">
                  <c:v>900 (N=3)</c:v>
                </c:pt>
                <c:pt idx="4">
                  <c:v>1200 (N=4)</c:v>
                </c:pt>
                <c:pt idx="5">
                  <c:v>1200 (N=1- 4)</c:v>
                </c:pt>
              </c:strCache>
            </c:strRef>
          </c:cat>
          <c:val>
            <c:numRef>
              <c:f>Лист2!$F$34:$F$39</c:f>
              <c:numCache>
                <c:formatCode>0.00</c:formatCode>
                <c:ptCount val="6"/>
                <c:pt idx="0">
                  <c:v>8.000118612616447</c:v>
                </c:pt>
                <c:pt idx="1">
                  <c:v>7.9997977651124987</c:v>
                </c:pt>
                <c:pt idx="2">
                  <c:v>7.9997977651124987</c:v>
                </c:pt>
                <c:pt idx="3">
                  <c:v>7.9997977651124987</c:v>
                </c:pt>
                <c:pt idx="4">
                  <c:v>7.9997977651124987</c:v>
                </c:pt>
                <c:pt idx="5">
                  <c:v>7.9997977651124987</c:v>
                </c:pt>
              </c:numCache>
            </c:numRef>
          </c:val>
          <c:extLst>
            <c:ext xmlns:c16="http://schemas.microsoft.com/office/drawing/2014/chart" uri="{C3380CC4-5D6E-409C-BE32-E72D297353CC}">
              <c16:uniqueId val="{00000003-9FA9-4754-A4AC-A400A2AF966E}"/>
            </c:ext>
          </c:extLst>
        </c:ser>
        <c:ser>
          <c:idx val="4"/>
          <c:order val="4"/>
          <c:tx>
            <c:strRef>
              <c:f>Лист2!$G$33</c:f>
              <c:strCache>
                <c:ptCount val="1"/>
                <c:pt idx="0">
                  <c:v>эксплуатация</c:v>
                </c:pt>
              </c:strCache>
            </c:strRef>
          </c:tx>
          <c:spPr>
            <a:solidFill>
              <a:srgbClr val="7E0021"/>
            </a:solidFill>
            <a:ln>
              <a:noFill/>
            </a:ln>
          </c:spPr>
          <c:invertIfNegative val="0"/>
          <c:dLbls>
            <c:spPr>
              <a:noFill/>
              <a:ln>
                <a:noFill/>
              </a:ln>
              <a:effectLst/>
            </c:spPr>
            <c:txPr>
              <a:bodyPr/>
              <a:lstStyle/>
              <a:p>
                <a:pPr>
                  <a:defRPr sz="1000" b="0" strike="noStrike" spc="-1">
                    <a:latin typeface="Arial"/>
                  </a:defRPr>
                </a:pPr>
                <a:endParaRPr lang="en-US"/>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Лист2!$B$34:$B$39</c:f>
              <c:strCache>
                <c:ptCount val="6"/>
                <c:pt idx="0">
                  <c:v>1200 (N=1)</c:v>
                </c:pt>
                <c:pt idx="1">
                  <c:v>300 (N=1)</c:v>
                </c:pt>
                <c:pt idx="2">
                  <c:v>600 (N=2)</c:v>
                </c:pt>
                <c:pt idx="3">
                  <c:v>900 (N=3)</c:v>
                </c:pt>
                <c:pt idx="4">
                  <c:v>1200 (N=4)</c:v>
                </c:pt>
                <c:pt idx="5">
                  <c:v>1200 (N=1- 4)</c:v>
                </c:pt>
              </c:strCache>
            </c:strRef>
          </c:cat>
          <c:val>
            <c:numRef>
              <c:f>Лист2!$G$34:$G$39</c:f>
              <c:numCache>
                <c:formatCode>0.00</c:formatCode>
                <c:ptCount val="6"/>
                <c:pt idx="0">
                  <c:v>11.999625348223425</c:v>
                </c:pt>
                <c:pt idx="1">
                  <c:v>11.999696647668747</c:v>
                </c:pt>
                <c:pt idx="2">
                  <c:v>11.999696647668747</c:v>
                </c:pt>
                <c:pt idx="3">
                  <c:v>11.999696647668747</c:v>
                </c:pt>
                <c:pt idx="4">
                  <c:v>11.999696647668747</c:v>
                </c:pt>
                <c:pt idx="5">
                  <c:v>11.999696647668747</c:v>
                </c:pt>
              </c:numCache>
            </c:numRef>
          </c:val>
          <c:extLst>
            <c:ext xmlns:c16="http://schemas.microsoft.com/office/drawing/2014/chart" uri="{C3380CC4-5D6E-409C-BE32-E72D297353CC}">
              <c16:uniqueId val="{00000004-9FA9-4754-A4AC-A400A2AF966E}"/>
            </c:ext>
          </c:extLst>
        </c:ser>
        <c:dLbls>
          <c:showLegendKey val="0"/>
          <c:showVal val="0"/>
          <c:showCatName val="0"/>
          <c:showSerName val="0"/>
          <c:showPercent val="0"/>
          <c:showBubbleSize val="0"/>
        </c:dLbls>
        <c:gapWidth val="100"/>
        <c:overlap val="100"/>
        <c:axId val="274675200"/>
        <c:axId val="224743936"/>
      </c:barChart>
      <c:catAx>
        <c:axId val="274675200"/>
        <c:scaling>
          <c:orientation val="minMax"/>
        </c:scaling>
        <c:delete val="0"/>
        <c:axPos val="b"/>
        <c:title>
          <c:tx>
            <c:rich>
              <a:bodyPr rot="0"/>
              <a:lstStyle/>
              <a:p>
                <a:pPr>
                  <a:defRPr sz="900" b="1" strike="noStrike" spc="-1">
                    <a:latin typeface="Arial"/>
                  </a:defRPr>
                </a:pPr>
                <a:r>
                  <a:rPr lang="en-US" sz="1000" b="0" strike="noStrike" spc="-1" dirty="0">
                    <a:latin typeface="Times New Roman" panose="02020603050405020304" pitchFamily="18" charset="0"/>
                    <a:cs typeface="Times New Roman" panose="02020603050405020304" pitchFamily="18" charset="0"/>
                  </a:rPr>
                  <a:t>Capacity</a:t>
                </a:r>
                <a:r>
                  <a:rPr lang="ru-RU" sz="1000" b="0" strike="noStrike" spc="-1" dirty="0">
                    <a:latin typeface="Times New Roman" panose="02020603050405020304" pitchFamily="18" charset="0"/>
                    <a:cs typeface="Times New Roman" panose="02020603050405020304" pitchFamily="18" charset="0"/>
                  </a:rPr>
                  <a:t>, М</a:t>
                </a:r>
                <a:r>
                  <a:rPr lang="en-US" sz="1000" b="0" strike="noStrike" spc="-1" dirty="0">
                    <a:latin typeface="Times New Roman" panose="02020603050405020304" pitchFamily="18" charset="0"/>
                    <a:cs typeface="Times New Roman" panose="02020603050405020304" pitchFamily="18" charset="0"/>
                  </a:rPr>
                  <a:t>W</a:t>
                </a:r>
                <a:r>
                  <a:rPr lang="ru-RU" sz="1000" b="0" strike="noStrike" spc="-1" dirty="0">
                    <a:latin typeface="Times New Roman" panose="02020603050405020304" pitchFamily="18" charset="0"/>
                    <a:cs typeface="Times New Roman" panose="02020603050405020304" pitchFamily="18" charset="0"/>
                  </a:rPr>
                  <a:t> (</a:t>
                </a:r>
                <a:r>
                  <a:rPr lang="en-US" sz="1000" b="0" strike="noStrike" spc="-1" dirty="0">
                    <a:latin typeface="Times New Roman" panose="02020603050405020304" pitchFamily="18" charset="0"/>
                    <a:cs typeface="Times New Roman" panose="02020603050405020304" pitchFamily="18" charset="0"/>
                  </a:rPr>
                  <a:t>e</a:t>
                </a:r>
                <a:r>
                  <a:rPr lang="ru-RU" sz="1000" b="0" strike="noStrike" spc="-1" dirty="0">
                    <a:latin typeface="Times New Roman" panose="02020603050405020304" pitchFamily="18" charset="0"/>
                    <a:cs typeface="Times New Roman" panose="02020603050405020304" pitchFamily="18" charset="0"/>
                  </a:rPr>
                  <a:t>)</a:t>
                </a:r>
              </a:p>
            </c:rich>
          </c:tx>
          <c:layout>
            <c:manualLayout>
              <c:xMode val="edge"/>
              <c:yMode val="edge"/>
              <c:x val="0.36580927384076989"/>
              <c:y val="0.89437902280059878"/>
            </c:manualLayout>
          </c:layout>
          <c:overlay val="0"/>
          <c:spPr>
            <a:noFill/>
            <a:ln>
              <a:noFill/>
            </a:ln>
          </c:spPr>
        </c:title>
        <c:numFmt formatCode="General" sourceLinked="1"/>
        <c:majorTickMark val="out"/>
        <c:minorTickMark val="none"/>
        <c:tickLblPos val="nextTo"/>
        <c:spPr>
          <a:ln>
            <a:solidFill>
              <a:srgbClr val="B3B3B3"/>
            </a:solidFill>
          </a:ln>
        </c:spPr>
        <c:txPr>
          <a:bodyPr/>
          <a:lstStyle/>
          <a:p>
            <a:pPr>
              <a:defRPr sz="800" b="0" strike="noStrike" spc="-1">
                <a:latin typeface="Times New Roman" panose="02020603050405020304" pitchFamily="18" charset="0"/>
                <a:cs typeface="Times New Roman" panose="02020603050405020304" pitchFamily="18" charset="0"/>
              </a:defRPr>
            </a:pPr>
            <a:endParaRPr lang="en-US"/>
          </a:p>
        </c:txPr>
        <c:crossAx val="224743936"/>
        <c:crossesAt val="0"/>
        <c:auto val="1"/>
        <c:lblAlgn val="ctr"/>
        <c:lblOffset val="100"/>
        <c:noMultiLvlLbl val="0"/>
      </c:catAx>
      <c:valAx>
        <c:axId val="224743936"/>
        <c:scaling>
          <c:orientation val="minMax"/>
        </c:scaling>
        <c:delete val="0"/>
        <c:axPos val="l"/>
        <c:majorGridlines>
          <c:spPr>
            <a:ln>
              <a:solidFill>
                <a:srgbClr val="B3B3B3"/>
              </a:solidFill>
            </a:ln>
          </c:spPr>
        </c:majorGridlines>
        <c:numFmt formatCode="0.00" sourceLinked="1"/>
        <c:majorTickMark val="out"/>
        <c:minorTickMark val="none"/>
        <c:tickLblPos val="nextTo"/>
        <c:spPr>
          <a:ln>
            <a:solidFill>
              <a:srgbClr val="B3B3B3"/>
            </a:solidFill>
          </a:ln>
        </c:spPr>
        <c:txPr>
          <a:bodyPr/>
          <a:lstStyle/>
          <a:p>
            <a:pPr>
              <a:defRPr sz="800" b="0" strike="noStrike" spc="-1">
                <a:latin typeface="Times New Roman" panose="02020603050405020304" pitchFamily="18" charset="0"/>
                <a:cs typeface="Times New Roman" panose="02020603050405020304" pitchFamily="18" charset="0"/>
              </a:defRPr>
            </a:pPr>
            <a:endParaRPr lang="en-US"/>
          </a:p>
        </c:txPr>
        <c:crossAx val="274675200"/>
        <c:crosses val="autoZero"/>
        <c:crossBetween val="between"/>
      </c:valAx>
      <c:spPr>
        <a:noFill/>
        <a:ln>
          <a:solidFill>
            <a:srgbClr val="B3B3B3"/>
          </a:solidFill>
        </a:ln>
      </c:spPr>
    </c:plotArea>
    <c:legend>
      <c:legendPos val="t"/>
      <c:layout>
        <c:manualLayout>
          <c:xMode val="edge"/>
          <c:yMode val="edge"/>
          <c:x val="0.10482377202849644"/>
          <c:y val="3.6604895904827274E-2"/>
          <c:w val="0.79265352432279101"/>
          <c:h val="0.26395624706143028"/>
        </c:manualLayout>
      </c:layout>
      <c:overlay val="0"/>
      <c:spPr>
        <a:noFill/>
        <a:ln>
          <a:noFill/>
        </a:ln>
      </c:spPr>
      <c:txPr>
        <a:bodyPr/>
        <a:lstStyle/>
        <a:p>
          <a:pPr>
            <a:defRPr sz="900" b="0" strike="noStrike" spc="-1">
              <a:latin typeface="Times New Roman" panose="02020603050405020304" pitchFamily="18" charset="0"/>
              <a:cs typeface="Times New Roman" panose="02020603050405020304" pitchFamily="18" charset="0"/>
            </a:defRPr>
          </a:pPr>
          <a:endParaRPr lang="en-US"/>
        </a:p>
      </c:txPr>
    </c:legend>
    <c:plotVisOnly val="1"/>
    <c:dispBlanksAs val="gap"/>
    <c:showDLblsOverMax val="1"/>
  </c:chart>
  <c:spPr>
    <a:solidFill>
      <a:srgbClr val="FFFFFF"/>
    </a:solidFill>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954162790169958"/>
          <c:y val="2.79078183408892E-2"/>
          <c:w val="0.76309540957623057"/>
          <c:h val="0.93840063501543258"/>
        </c:manualLayout>
      </c:layout>
      <c:scatterChart>
        <c:scatterStyle val="lineMarker"/>
        <c:varyColors val="0"/>
        <c:ser>
          <c:idx val="0"/>
          <c:order val="0"/>
          <c:tx>
            <c:strRef>
              <c:f>Лист1!$T$31</c:f>
              <c:strCache>
                <c:ptCount val="1"/>
                <c:pt idx="0">
                  <c:v>ЧДД, млн. $</c:v>
                </c:pt>
              </c:strCache>
            </c:strRef>
          </c:tx>
          <c:spPr>
            <a:ln w="18000">
              <a:solidFill>
                <a:srgbClr val="FF420E"/>
              </a:solidFill>
              <a:round/>
            </a:ln>
          </c:spPr>
          <c:marker>
            <c:symbol val="diamond"/>
            <c:size val="5"/>
            <c:spPr>
              <a:solidFill>
                <a:srgbClr val="FF420E"/>
              </a:solidFill>
            </c:spPr>
          </c:marker>
          <c:dLbls>
            <c:spPr>
              <a:noFill/>
              <a:ln>
                <a:noFill/>
              </a:ln>
              <a:effectLst/>
            </c:spPr>
            <c:txPr>
              <a:bodyPr/>
              <a:lstStyle/>
              <a:p>
                <a:pPr>
                  <a:defRPr sz="1000" b="0" strike="noStrike" spc="-1">
                    <a:latin typeface="Arial"/>
                  </a:defRPr>
                </a:pPr>
                <a:endParaRPr lang="en-US"/>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xVal>
            <c:numRef>
              <c:f>Лист1!$R$32:$R$114</c:f>
              <c:numCache>
                <c:formatCode>General</c:formatCode>
                <c:ptCount val="83"/>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numCache>
            </c:numRef>
          </c:xVal>
          <c:yVal>
            <c:numRef>
              <c:f>Лист1!$T$32:$T$114</c:f>
              <c:numCache>
                <c:formatCode>#,##0.00</c:formatCode>
                <c:ptCount val="83"/>
                <c:pt idx="1">
                  <c:v>-800</c:v>
                </c:pt>
                <c:pt idx="2">
                  <c:v>-1993.4597581130163</c:v>
                </c:pt>
                <c:pt idx="3" formatCode="0.00">
                  <c:v>-3095.1619695817817</c:v>
                </c:pt>
                <c:pt idx="4" formatCode="0.00">
                  <c:v>-4112.1612898389058</c:v>
                </c:pt>
                <c:pt idx="5">
                  <c:v>-5050.9699866323535</c:v>
                </c:pt>
                <c:pt idx="6">
                  <c:v>-5917.5996407723205</c:v>
                </c:pt>
                <c:pt idx="7" formatCode="0.00">
                  <c:v>-5395.8664322834857</c:v>
                </c:pt>
                <c:pt idx="8" formatCode="0.00">
                  <c:v>-4914.2459790746952</c:v>
                </c:pt>
                <c:pt idx="9" formatCode="0.00">
                  <c:v>-4469.6542659635215</c:v>
                </c:pt>
                <c:pt idx="10" formatCode="0.00">
                  <c:v>-4059.244388122559</c:v>
                </c:pt>
                <c:pt idx="11" formatCode="0.00">
                  <c:v>-3680.3883211690245</c:v>
                </c:pt>
                <c:pt idx="12" formatCode="0.00">
                  <c:v>-3330.6600928364669</c:v>
                </c:pt>
                <c:pt idx="13" formatCode="0.00">
                  <c:v>-3007.820248469845</c:v>
                </c:pt>
                <c:pt idx="14" formatCode="0.00">
                  <c:v>-2709.8015108700988</c:v>
                </c:pt>
                <c:pt idx="15" formatCode="0.00">
                  <c:v>-2434.695542662264</c:v>
                </c:pt>
                <c:pt idx="16" formatCode="0.00">
                  <c:v>-2180.7407264210892</c:v>
                </c:pt>
                <c:pt idx="17" formatCode="0.00">
                  <c:v>-1946.3108843052466</c:v>
                </c:pt>
                <c:pt idx="18" formatCode="0.00">
                  <c:v>-1729.9048649672741</c:v>
                </c:pt>
                <c:pt idx="19" formatCode="0.00">
                  <c:v>-1530.1369310599293</c:v>
                </c:pt>
                <c:pt idx="20" formatCode="0.00">
                  <c:v>-1345.7278857861743</c:v>
                </c:pt>
                <c:pt idx="21" formatCode="0.00">
                  <c:v>-1175.4968816724179</c:v>
                </c:pt>
                <c:pt idx="22" formatCode="0.00">
                  <c:v>-1018.3538591131986</c:v>
                </c:pt>
                <c:pt idx="23" formatCode="0.00">
                  <c:v>-873.29256626817937</c:v>
                </c:pt>
                <c:pt idx="24" formatCode="0.00">
                  <c:v>-739.38411561496343</c:v>
                </c:pt>
                <c:pt idx="25" formatCode="0.00">
                  <c:v>-615.7710358976716</c:v>
                </c:pt>
                <c:pt idx="26" formatCode="0.00">
                  <c:v>-501.66178138344526</c:v>
                </c:pt>
                <c:pt idx="27" formatCode="0.00">
                  <c:v>-396.32566326736992</c:v>
                </c:pt>
                <c:pt idx="28" formatCode="0.00">
                  <c:v>-299.08817076950731</c:v>
                </c:pt>
                <c:pt idx="29" formatCode="0.00">
                  <c:v>-209.32665196308247</c:v>
                </c:pt>
                <c:pt idx="30" formatCode="0.00">
                  <c:v>-126.46632667638026</c:v>
                </c:pt>
                <c:pt idx="31" formatCode="0.00">
                  <c:v>-49.976605937311575</c:v>
                </c:pt>
                <c:pt idx="32" formatCode="0.00">
                  <c:v>20.632305607471594</c:v>
                </c:pt>
                <c:pt idx="33" formatCode="0.00">
                  <c:v>85.812546055028974</c:v>
                </c:pt>
                <c:pt idx="34" formatCode="0.00">
                  <c:v>145.98149147358058</c:v>
                </c:pt>
                <c:pt idx="35" formatCode="0.00">
                  <c:v>201.52442853429085</c:v>
                </c:pt>
                <c:pt idx="36" formatCode="0.00">
                  <c:v>252.79702166135655</c:v>
                </c:pt>
                <c:pt idx="37" formatCode="0.00">
                  <c:v>300.12759049858198</c:v>
                </c:pt>
                <c:pt idx="38" formatCode="0.00">
                  <c:v>343.8192122760027</c:v>
                </c:pt>
                <c:pt idx="39" formatCode="0.00">
                  <c:v>384.15166253888208</c:v>
                </c:pt>
                <c:pt idx="40" formatCode="0.00">
                  <c:v>421.38320666637196</c:v>
                </c:pt>
                <c:pt idx="41" formatCode="0.00">
                  <c:v>455.75225365167324</c:v>
                </c:pt>
                <c:pt idx="42" formatCode="0.00">
                  <c:v>487.47888273353516</c:v>
                </c:pt>
                <c:pt idx="43" formatCode="0.00">
                  <c:v>516.76625265474752</c:v>
                </c:pt>
                <c:pt idx="44" formatCode="0.00">
                  <c:v>543.8019025716909</c:v>
                </c:pt>
                <c:pt idx="45" formatCode="0.00">
                  <c:v>568.75895294520785</c:v>
                </c:pt>
                <c:pt idx="46" formatCode="0.00">
                  <c:v>591.79721410259606</c:v>
                </c:pt>
                <c:pt idx="47" formatCode="0.00">
                  <c:v>613.06420956930538</c:v>
                </c:pt>
                <c:pt idx="48" formatCode="0.00">
                  <c:v>632.69612072315522</c:v>
                </c:pt>
                <c:pt idx="49" formatCode="0.00">
                  <c:v>650.81865882008412</c:v>
                </c:pt>
                <c:pt idx="50" formatCode="0.00">
                  <c:v>667.54786997537383</c:v>
                </c:pt>
                <c:pt idx="51" formatCode="0.00">
                  <c:v>682.99087825497543</c:v>
                </c:pt>
                <c:pt idx="52" formatCode="0.00">
                  <c:v>697.24657163525978</c:v>
                </c:pt>
                <c:pt idx="53" formatCode="0.00">
                  <c:v>710.40623522367605</c:v>
                </c:pt>
                <c:pt idx="54" formatCode="0.00">
                  <c:v>722.55413579509207</c:v>
                </c:pt>
                <c:pt idx="55" formatCode="0.00">
                  <c:v>733.76806138684572</c:v>
                </c:pt>
                <c:pt idx="56" formatCode="0.00">
                  <c:v>744.11981940775695</c:v>
                </c:pt>
                <c:pt idx="57" formatCode="0.00">
                  <c:v>753.67569645069909</c:v>
                </c:pt>
                <c:pt idx="58" formatCode="0.00">
                  <c:v>762.49688275309984</c:v>
                </c:pt>
                <c:pt idx="59" formatCode="0.00">
                  <c:v>770.63986402336775</c:v>
                </c:pt>
                <c:pt idx="60" formatCode="0.00">
                  <c:v>778.15678314227227</c:v>
                </c:pt>
                <c:pt idx="61" formatCode="0.00">
                  <c:v>785.09577405539926</c:v>
                </c:pt>
                <c:pt idx="62" formatCode="0.00">
                  <c:v>791.50126999473514</c:v>
                </c:pt>
                <c:pt idx="63" formatCode="0.00">
                  <c:v>797.41428800304936</c:v>
                </c:pt>
                <c:pt idx="64" formatCode="0.00">
                  <c:v>802.87269158300273</c:v>
                </c:pt>
                <c:pt idx="65" formatCode="0.00">
                  <c:v>807.91143315283307</c:v>
                </c:pt>
                <c:pt idx="66" formatCode="0.00">
                  <c:v>812.56277786116129</c:v>
                </c:pt>
              </c:numCache>
            </c:numRef>
          </c:yVal>
          <c:smooth val="1"/>
          <c:extLst>
            <c:ext xmlns:c16="http://schemas.microsoft.com/office/drawing/2014/chart" uri="{C3380CC4-5D6E-409C-BE32-E72D297353CC}">
              <c16:uniqueId val="{00000000-A787-49AD-820F-05F5B40EC06C}"/>
            </c:ext>
          </c:extLst>
        </c:ser>
        <c:ser>
          <c:idx val="1"/>
          <c:order val="1"/>
          <c:tx>
            <c:strRef>
              <c:f>Лист1!$U$31</c:f>
              <c:strCache>
                <c:ptCount val="1"/>
                <c:pt idx="0">
                  <c:v>ЧДД системы из 4х МР</c:v>
                </c:pt>
              </c:strCache>
            </c:strRef>
          </c:tx>
          <c:spPr>
            <a:ln w="18000">
              <a:solidFill>
                <a:srgbClr val="2A6099"/>
              </a:solidFill>
              <a:round/>
            </a:ln>
          </c:spPr>
          <c:marker>
            <c:symbol val="circle"/>
            <c:size val="3"/>
            <c:spPr>
              <a:solidFill>
                <a:srgbClr val="2A6099"/>
              </a:solidFill>
            </c:spPr>
          </c:marker>
          <c:dLbls>
            <c:spPr>
              <a:noFill/>
              <a:ln>
                <a:noFill/>
              </a:ln>
              <a:effectLst/>
            </c:spPr>
            <c:txPr>
              <a:bodyPr/>
              <a:lstStyle/>
              <a:p>
                <a:pPr>
                  <a:defRPr sz="1000" b="0" strike="noStrike" spc="-1">
                    <a:latin typeface="Arial"/>
                  </a:defRPr>
                </a:pPr>
                <a:endParaRPr lang="en-US"/>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xVal>
            <c:numRef>
              <c:f>Лист1!$R$32:$R$114</c:f>
              <c:numCache>
                <c:formatCode>General</c:formatCode>
                <c:ptCount val="83"/>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numCache>
            </c:numRef>
          </c:xVal>
          <c:yVal>
            <c:numRef>
              <c:f>Лист1!$U$32:$U$114</c:f>
              <c:numCache>
                <c:formatCode>0.0</c:formatCode>
                <c:ptCount val="83"/>
                <c:pt idx="1">
                  <c:v>-255</c:v>
                </c:pt>
                <c:pt idx="2">
                  <c:v>-853.4905442058232</c:v>
                </c:pt>
                <c:pt idx="3">
                  <c:v>-1129.7287464629376</c:v>
                </c:pt>
                <c:pt idx="4">
                  <c:v>-1039.4733440307041</c:v>
                </c:pt>
                <c:pt idx="5">
                  <c:v>-956.15710669580517</c:v>
                </c:pt>
                <c:pt idx="6">
                  <c:v>-879.24652609253144</c:v>
                </c:pt>
                <c:pt idx="7">
                  <c:v>-1077.6230186299699</c:v>
                </c:pt>
                <c:pt idx="8">
                  <c:v>-1504.4625727304497</c:v>
                </c:pt>
                <c:pt idx="9">
                  <c:v>-1668.9625672171096</c:v>
                </c:pt>
                <c:pt idx="10">
                  <c:v>-1474.6428681497719</c:v>
                </c:pt>
                <c:pt idx="11">
                  <c:v>-1297.0480352596114</c:v>
                </c:pt>
                <c:pt idx="12">
                  <c:v>-1134.7385791382615</c:v>
                </c:pt>
                <c:pt idx="13">
                  <c:v>-1287.0996361829082</c:v>
                </c:pt>
                <c:pt idx="14">
                  <c:v>-1627.874458136846</c:v>
                </c:pt>
                <c:pt idx="15">
                  <c:v>-1719.4790766215915</c:v>
                </c:pt>
                <c:pt idx="16">
                  <c:v>-1420.6309941262161</c:v>
                </c:pt>
                <c:pt idx="17">
                  <c:v>-1150.2220667761032</c:v>
                </c:pt>
                <c:pt idx="18">
                  <c:v>-905.54595113875382</c:v>
                </c:pt>
                <c:pt idx="19">
                  <c:v>-864.15384641038668</c:v>
                </c:pt>
                <c:pt idx="20">
                  <c:v>-1112.4176090058813</c:v>
                </c:pt>
                <c:pt idx="21">
                  <c:v>-1132.0871370587026</c:v>
                </c:pt>
                <c:pt idx="22">
                  <c:v>-721.38977259113381</c:v>
                </c:pt>
                <c:pt idx="23">
                  <c:v>-353.47305422476614</c:v>
                </c:pt>
                <c:pt idx="24">
                  <c:v>-23.880698965894851</c:v>
                </c:pt>
                <c:pt idx="25">
                  <c:v>271.37938360778224</c:v>
                </c:pt>
                <c:pt idx="26">
                  <c:v>535.88344436775378</c:v>
                </c:pt>
                <c:pt idx="27">
                  <c:v>772.83521092108322</c:v>
                </c:pt>
                <c:pt idx="28">
                  <c:v>1038.6070950478656</c:v>
                </c:pt>
                <c:pt idx="29">
                  <c:v>1276.6946210507108</c:v>
                </c:pt>
                <c:pt idx="30">
                  <c:v>1489.9815540323593</c:v>
                </c:pt>
                <c:pt idx="31">
                  <c:v>1681.0512692100231</c:v>
                </c:pt>
                <c:pt idx="32">
                  <c:v>1852.2180422875595</c:v>
                </c:pt>
                <c:pt idx="33">
                  <c:v>2005.5550804389713</c:v>
                </c:pt>
                <c:pt idx="34">
                  <c:v>2142.919633420272</c:v>
                </c:pt>
                <c:pt idx="35">
                  <c:v>2265.9754889606697</c:v>
                </c:pt>
                <c:pt idx="36">
                  <c:v>2376.2131249018762</c:v>
                </c:pt>
                <c:pt idx="37">
                  <c:v>2474.9677621724004</c:v>
                </c:pt>
                <c:pt idx="38">
                  <c:v>2563.4355372581631</c:v>
                </c:pt>
                <c:pt idx="39">
                  <c:v>2642.6879900537251</c:v>
                </c:pt>
                <c:pt idx="40">
                  <c:v>2713.6850425739663</c:v>
                </c:pt>
                <c:pt idx="41">
                  <c:v>2777.2866257270384</c:v>
                </c:pt>
                <c:pt idx="42">
                  <c:v>2834.2630949744612</c:v>
                </c:pt>
                <c:pt idx="43">
                  <c:v>2885.3045610349754</c:v>
                </c:pt>
                <c:pt idx="44">
                  <c:v>2931.0292486475632</c:v>
                </c:pt>
                <c:pt idx="45">
                  <c:v>2971.99098463669</c:v>
                </c:pt>
                <c:pt idx="46">
                  <c:v>3008.6859059767539</c:v>
                </c:pt>
                <c:pt idx="47">
                  <c:v>3041.558469105204</c:v>
                </c:pt>
                <c:pt idx="48">
                  <c:v>3071.0068332703599</c:v>
                </c:pt>
                <c:pt idx="49">
                  <c:v>3097.3876831181497</c:v>
                </c:pt>
                <c:pt idx="50">
                  <c:v>3121.0205489299319</c:v>
                </c:pt>
                <c:pt idx="51">
                  <c:v>3142.1916768390088</c:v>
                </c:pt>
                <c:pt idx="52">
                  <c:v>3161.1574959026889</c:v>
                </c:pt>
                <c:pt idx="53">
                  <c:v>3178.1477240237909</c:v>
                </c:pt>
                <c:pt idx="54">
                  <c:v>3193.3681503411494</c:v>
                </c:pt>
                <c:pt idx="55">
                  <c:v>3207.0031277900048</c:v>
                </c:pt>
                <c:pt idx="56">
                  <c:v>3219.2178060226875</c:v>
                </c:pt>
                <c:pt idx="57">
                  <c:v>3230.1601317351883</c:v>
                </c:pt>
                <c:pt idx="58">
                  <c:v>3239.9626406279795</c:v>
                </c:pt>
                <c:pt idx="59">
                  <c:v>3248.7440627056894</c:v>
                </c:pt>
                <c:pt idx="60">
                  <c:v>3256.6107603593487</c:v>
                </c:pt>
                <c:pt idx="61">
                  <c:v>3263.6580166495537</c:v>
                </c:pt>
                <c:pt idx="62">
                  <c:v>3269.9711893945027</c:v>
                </c:pt>
                <c:pt idx="63">
                  <c:v>3275.6267450414516</c:v>
                </c:pt>
                <c:pt idx="64">
                  <c:v>3279.8549082617265</c:v>
                </c:pt>
                <c:pt idx="65">
                  <c:v>3283.6426412040537</c:v>
                </c:pt>
                <c:pt idx="66">
                  <c:v>3287.0358216691779</c:v>
                </c:pt>
                <c:pt idx="67">
                  <c:v>3290.0755485570576</c:v>
                </c:pt>
                <c:pt idx="68">
                  <c:v>3292.7986396651986</c:v>
                </c:pt>
                <c:pt idx="69">
                  <c:v>3295.2380776333939</c:v>
                </c:pt>
                <c:pt idx="70">
                  <c:v>3296.987161299222</c:v>
                </c:pt>
                <c:pt idx="71">
                  <c:v>3298.5540501525602</c:v>
                </c:pt>
                <c:pt idx="72">
                  <c:v>3299.9577226735964</c:v>
                </c:pt>
                <c:pt idx="73">
                  <c:v>3301.2151804327182</c:v>
                </c:pt>
                <c:pt idx="74">
                  <c:v>3302.3416540170329</c:v>
                </c:pt>
                <c:pt idx="75">
                  <c:v>3303.3507875063719</c:v>
                </c:pt>
                <c:pt idx="76">
                  <c:v>3304.0208807509193</c:v>
                </c:pt>
                <c:pt idx="77">
                  <c:v>3304.6211731532167</c:v>
                </c:pt>
                <c:pt idx="78">
                  <c:v>3305.1589355783535</c:v>
                </c:pt>
                <c:pt idx="79">
                  <c:v>3305.640681515471</c:v>
                </c:pt>
                <c:pt idx="80">
                  <c:v>3306.0722459704812</c:v>
                </c:pt>
                <c:pt idx="81">
                  <c:v>3306.45885614086</c:v>
                </c:pt>
              </c:numCache>
            </c:numRef>
          </c:yVal>
          <c:smooth val="1"/>
          <c:extLst>
            <c:ext xmlns:c16="http://schemas.microsoft.com/office/drawing/2014/chart" uri="{C3380CC4-5D6E-409C-BE32-E72D297353CC}">
              <c16:uniqueId val="{00000001-A787-49AD-820F-05F5B40EC06C}"/>
            </c:ext>
          </c:extLst>
        </c:ser>
        <c:dLbls>
          <c:showLegendKey val="0"/>
          <c:showVal val="0"/>
          <c:showCatName val="0"/>
          <c:showSerName val="0"/>
          <c:showPercent val="0"/>
          <c:showBubbleSize val="0"/>
        </c:dLbls>
        <c:axId val="224746816"/>
        <c:axId val="224747520"/>
      </c:scatterChart>
      <c:valAx>
        <c:axId val="224746816"/>
        <c:scaling>
          <c:orientation val="minMax"/>
          <c:max val="85"/>
          <c:min val="0"/>
        </c:scaling>
        <c:delete val="0"/>
        <c:axPos val="b"/>
        <c:title>
          <c:tx>
            <c:rich>
              <a:bodyPr rot="0"/>
              <a:lstStyle/>
              <a:p>
                <a:pPr>
                  <a:defRPr sz="1000" b="0" strike="noStrike" spc="-1">
                    <a:latin typeface="Times New Roman" panose="02020603050405020304" pitchFamily="18" charset="0"/>
                    <a:cs typeface="Times New Roman" panose="02020603050405020304" pitchFamily="18" charset="0"/>
                  </a:defRPr>
                </a:pPr>
                <a:r>
                  <a:rPr lang="en-US" sz="900" b="0" strike="noStrike" spc="-1" dirty="0">
                    <a:latin typeface="Times New Roman" panose="02020603050405020304" pitchFamily="18" charset="0"/>
                    <a:cs typeface="Times New Roman" panose="02020603050405020304" pitchFamily="18" charset="0"/>
                  </a:rPr>
                  <a:t>Years</a:t>
                </a:r>
                <a:endParaRPr lang="ru-RU" sz="900" b="0" strike="noStrike" spc="-1" dirty="0">
                  <a:latin typeface="Times New Roman" panose="02020603050405020304" pitchFamily="18" charset="0"/>
                  <a:cs typeface="Times New Roman" panose="02020603050405020304" pitchFamily="18" charset="0"/>
                </a:endParaRPr>
              </a:p>
            </c:rich>
          </c:tx>
          <c:layout>
            <c:manualLayout>
              <c:xMode val="edge"/>
              <c:yMode val="edge"/>
              <c:x val="0.49496485944550012"/>
              <c:y val="0.52787972858628807"/>
            </c:manualLayout>
          </c:layout>
          <c:overlay val="0"/>
          <c:spPr>
            <a:noFill/>
            <a:ln>
              <a:noFill/>
            </a:ln>
          </c:spPr>
        </c:title>
        <c:numFmt formatCode="General" sourceLinked="1"/>
        <c:majorTickMark val="out"/>
        <c:minorTickMark val="none"/>
        <c:tickLblPos val="nextTo"/>
        <c:spPr>
          <a:ln>
            <a:solidFill>
              <a:srgbClr val="B3B3B3"/>
            </a:solidFill>
          </a:ln>
        </c:spPr>
        <c:txPr>
          <a:bodyPr/>
          <a:lstStyle/>
          <a:p>
            <a:pPr>
              <a:defRPr sz="800" b="0" strike="noStrike" spc="-1">
                <a:latin typeface="Times New Roman" panose="02020603050405020304" pitchFamily="18" charset="0"/>
                <a:cs typeface="Times New Roman" panose="02020603050405020304" pitchFamily="18" charset="0"/>
              </a:defRPr>
            </a:pPr>
            <a:endParaRPr lang="en-US"/>
          </a:p>
        </c:txPr>
        <c:crossAx val="224747520"/>
        <c:crossesAt val="0"/>
        <c:crossBetween val="midCat"/>
        <c:majorUnit val="5"/>
        <c:minorUnit val="2.5"/>
      </c:valAx>
      <c:valAx>
        <c:axId val="224747520"/>
        <c:scaling>
          <c:orientation val="minMax"/>
          <c:max val="4000"/>
          <c:min val="-6000"/>
        </c:scaling>
        <c:delete val="0"/>
        <c:axPos val="l"/>
        <c:majorGridlines>
          <c:spPr>
            <a:ln>
              <a:solidFill>
                <a:srgbClr val="B3B3B3"/>
              </a:solidFill>
            </a:ln>
          </c:spPr>
        </c:majorGridlines>
        <c:title>
          <c:tx>
            <c:rich>
              <a:bodyPr rot="-5400000"/>
              <a:lstStyle/>
              <a:p>
                <a:pPr>
                  <a:defRPr sz="900" b="0" strike="noStrike" spc="-1">
                    <a:latin typeface="Times New Roman" panose="02020603050405020304" pitchFamily="18" charset="0"/>
                    <a:cs typeface="Times New Roman" panose="02020603050405020304" pitchFamily="18" charset="0"/>
                  </a:defRPr>
                </a:pPr>
                <a:r>
                  <a:rPr lang="en-US" sz="900" b="0" strike="noStrike" spc="-1" dirty="0">
                    <a:latin typeface="Times New Roman" panose="02020603050405020304" pitchFamily="18" charset="0"/>
                    <a:cs typeface="Times New Roman" panose="02020603050405020304" pitchFamily="18" charset="0"/>
                  </a:rPr>
                  <a:t>Net profit, </a:t>
                </a:r>
                <a:r>
                  <a:rPr lang="en-US" sz="900" b="0" strike="noStrike" spc="-1" dirty="0" err="1">
                    <a:latin typeface="Times New Roman" panose="02020603050405020304" pitchFamily="18" charset="0"/>
                    <a:cs typeface="Times New Roman" panose="02020603050405020304" pitchFamily="18" charset="0"/>
                  </a:rPr>
                  <a:t>mln</a:t>
                </a:r>
                <a:r>
                  <a:rPr lang="en-US" sz="900" b="0" strike="noStrike" spc="-1" dirty="0">
                    <a:latin typeface="Times New Roman" panose="02020603050405020304" pitchFamily="18" charset="0"/>
                    <a:cs typeface="Times New Roman" panose="02020603050405020304" pitchFamily="18" charset="0"/>
                  </a:rPr>
                  <a:t> $</a:t>
                </a:r>
                <a:endParaRPr lang="ru-RU" sz="900" b="0" strike="noStrike" spc="-1" dirty="0">
                  <a:latin typeface="Times New Roman" panose="02020603050405020304" pitchFamily="18" charset="0"/>
                  <a:cs typeface="Times New Roman" panose="02020603050405020304" pitchFamily="18" charset="0"/>
                </a:endParaRPr>
              </a:p>
            </c:rich>
          </c:tx>
          <c:overlay val="0"/>
          <c:spPr>
            <a:noFill/>
            <a:ln>
              <a:noFill/>
            </a:ln>
          </c:spPr>
        </c:title>
        <c:numFmt formatCode="#,##0.00" sourceLinked="1"/>
        <c:majorTickMark val="out"/>
        <c:minorTickMark val="none"/>
        <c:tickLblPos val="nextTo"/>
        <c:spPr>
          <a:ln>
            <a:solidFill>
              <a:srgbClr val="B3B3B3"/>
            </a:solidFill>
          </a:ln>
        </c:spPr>
        <c:txPr>
          <a:bodyPr/>
          <a:lstStyle/>
          <a:p>
            <a:pPr>
              <a:defRPr sz="800" b="0" strike="noStrike" spc="-1">
                <a:latin typeface="Times New Roman" panose="02020603050405020304" pitchFamily="18" charset="0"/>
                <a:cs typeface="Times New Roman" panose="02020603050405020304" pitchFamily="18" charset="0"/>
              </a:defRPr>
            </a:pPr>
            <a:endParaRPr lang="en-US"/>
          </a:p>
        </c:txPr>
        <c:crossAx val="224746816"/>
        <c:crossesAt val="0"/>
        <c:crossBetween val="midCat"/>
        <c:majorUnit val="2000"/>
        <c:minorUnit val="1000"/>
      </c:valAx>
      <c:spPr>
        <a:noFill/>
        <a:ln>
          <a:solidFill>
            <a:srgbClr val="B3B3B3"/>
          </a:solidFill>
        </a:ln>
      </c:spPr>
    </c:plotArea>
    <c:plotVisOnly val="1"/>
    <c:dispBlanksAs val="span"/>
    <c:showDLblsOverMax val="1"/>
  </c:chart>
  <c:spPr>
    <a:solidFill>
      <a:srgbClr val="FFFFFF"/>
    </a:solidFill>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0.76711</cdr:x>
      <cdr:y>0.17202</cdr:y>
    </cdr:from>
    <cdr:to>
      <cdr:x>0.96289</cdr:x>
      <cdr:y>0.27031</cdr:y>
    </cdr:to>
    <cdr:sp macro="" textlink="">
      <cdr:nvSpPr>
        <cdr:cNvPr id="3" name="Надпись 2"/>
        <cdr:cNvSpPr txBox="1"/>
      </cdr:nvSpPr>
      <cdr:spPr>
        <a:xfrm xmlns:a="http://schemas.openxmlformats.org/drawingml/2006/main">
          <a:off x="3135087" y="380999"/>
          <a:ext cx="800100" cy="2177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Times New Roman" panose="02020603050405020304" pitchFamily="18" charset="0"/>
              <a:cs typeface="Times New Roman" panose="02020603050405020304" pitchFamily="18" charset="0"/>
            </a:rPr>
            <a:t>Investments</a:t>
          </a:r>
          <a:endParaRPr lang="ru-RU" sz="9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0.80423</cdr:x>
      <cdr:y>0.35387</cdr:y>
    </cdr:from>
    <cdr:to>
      <cdr:x>1</cdr:x>
      <cdr:y>0.4325</cdr:y>
    </cdr:to>
    <cdr:sp macro="" textlink="">
      <cdr:nvSpPr>
        <cdr:cNvPr id="4" name="Надпись 3"/>
        <cdr:cNvSpPr txBox="1"/>
      </cdr:nvSpPr>
      <cdr:spPr>
        <a:xfrm xmlns:a="http://schemas.openxmlformats.org/drawingml/2006/main">
          <a:off x="3325586" y="783771"/>
          <a:ext cx="800100" cy="1741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0.75628</cdr:x>
      <cdr:y>0.34649</cdr:y>
    </cdr:from>
    <cdr:to>
      <cdr:x>1</cdr:x>
      <cdr:y>0.4325</cdr:y>
    </cdr:to>
    <cdr:sp macro="" textlink="">
      <cdr:nvSpPr>
        <cdr:cNvPr id="5" name="Надпись 4"/>
        <cdr:cNvSpPr txBox="1"/>
      </cdr:nvSpPr>
      <cdr:spPr>
        <a:xfrm xmlns:a="http://schemas.openxmlformats.org/drawingml/2006/main">
          <a:off x="3090818" y="767443"/>
          <a:ext cx="996042"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0.77499</cdr:x>
      <cdr:y>0.33666</cdr:y>
    </cdr:from>
    <cdr:to>
      <cdr:x>0.99589</cdr:x>
      <cdr:y>0.43742</cdr:y>
    </cdr:to>
    <cdr:sp macro="" textlink="">
      <cdr:nvSpPr>
        <cdr:cNvPr id="6" name="Надпись 5"/>
        <cdr:cNvSpPr txBox="1"/>
      </cdr:nvSpPr>
      <cdr:spPr>
        <a:xfrm xmlns:a="http://schemas.openxmlformats.org/drawingml/2006/main">
          <a:off x="3167290" y="745670"/>
          <a:ext cx="902787" cy="2231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Times New Roman" panose="02020603050405020304" pitchFamily="18" charset="0"/>
              <a:cs typeface="Times New Roman" panose="02020603050405020304" pitchFamily="18" charset="0"/>
            </a:rPr>
            <a:t>Credit return</a:t>
          </a:r>
          <a:endParaRPr lang="ru-RU" sz="9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0.74447</cdr:x>
      <cdr:y>0.52097</cdr:y>
    </cdr:from>
    <cdr:to>
      <cdr:x>0.7791</cdr:x>
      <cdr:y>0.57995</cdr:y>
    </cdr:to>
    <cdr:sp macro="" textlink="">
      <cdr:nvSpPr>
        <cdr:cNvPr id="2" name="Прямоугольник 1"/>
        <cdr:cNvSpPr/>
      </cdr:nvSpPr>
      <cdr:spPr>
        <a:xfrm xmlns:a="http://schemas.openxmlformats.org/drawingml/2006/main">
          <a:off x="3042558" y="1153885"/>
          <a:ext cx="141514" cy="130629"/>
        </a:xfrm>
        <a:prstGeom xmlns:a="http://schemas.openxmlformats.org/drawingml/2006/main" prst="rect">
          <a:avLst/>
        </a:prstGeom>
        <a:solidFill xmlns:a="http://schemas.openxmlformats.org/drawingml/2006/main">
          <a:srgbClr val="CC6600">
            <a:alpha val="61961"/>
          </a:srgbClr>
        </a:solidFill>
        <a:ln xmlns:a="http://schemas.openxmlformats.org/drawingml/2006/main" w="3175">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solidFill>
              <a:schemeClr val="accent6"/>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0.00204</cdr:x>
      <cdr:y>0.21314</cdr:y>
    </cdr:from>
    <cdr:to>
      <cdr:x>0.2199</cdr:x>
      <cdr:y>0.2867</cdr:y>
    </cdr:to>
    <cdr:sp macro="" textlink="">
      <cdr:nvSpPr>
        <cdr:cNvPr id="2" name="TextBox 1"/>
        <cdr:cNvSpPr txBox="1"/>
      </cdr:nvSpPr>
      <cdr:spPr>
        <a:xfrm xmlns:a="http://schemas.openxmlformats.org/drawingml/2006/main">
          <a:off x="6522" y="591593"/>
          <a:ext cx="697239" cy="2041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dirty="0">
              <a:latin typeface="Times New Roman" panose="02020603050405020304" pitchFamily="18" charset="0"/>
              <a:cs typeface="Times New Roman" panose="02020603050405020304" pitchFamily="18" charset="0"/>
            </a:rPr>
            <a:t>$</a:t>
          </a:r>
          <a:r>
            <a:rPr lang="ru-RU" sz="1000" dirty="0">
              <a:latin typeface="Times New Roman" panose="02020603050405020304" pitchFamily="18" charset="0"/>
              <a:cs typeface="Times New Roman" panose="02020603050405020304" pitchFamily="18" charset="0"/>
            </a:rPr>
            <a:t>/М</a:t>
          </a:r>
          <a:r>
            <a:rPr lang="en-US" sz="1000" dirty="0">
              <a:latin typeface="Times New Roman" panose="02020603050405020304" pitchFamily="18" charset="0"/>
              <a:cs typeface="Times New Roman" panose="02020603050405020304" pitchFamily="18" charset="0"/>
            </a:rPr>
            <a:t>W</a:t>
          </a:r>
          <a:r>
            <a:rPr lang="ru-RU" sz="1000" dirty="0">
              <a:latin typeface="Times New Roman" panose="02020603050405020304" pitchFamily="18" charset="0"/>
              <a:cs typeface="Times New Roman" panose="02020603050405020304" pitchFamily="18" charset="0"/>
            </a:rPr>
            <a:t>∙</a:t>
          </a:r>
          <a:r>
            <a:rPr lang="en-US" sz="1000" dirty="0" err="1">
              <a:latin typeface="Times New Roman" panose="02020603050405020304" pitchFamily="18" charset="0"/>
              <a:cs typeface="Times New Roman" panose="02020603050405020304" pitchFamily="18" charset="0"/>
            </a:rPr>
            <a:t>h</a:t>
          </a:r>
          <a:endParaRPr lang="ru-RU" sz="1000" dirty="0">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0.80812</cdr:y>
    </cdr:from>
    <cdr:to>
      <cdr:x>1</cdr:x>
      <cdr:y>1</cdr:y>
    </cdr:to>
    <cdr:sp macro="" textlink="">
      <cdr:nvSpPr>
        <cdr:cNvPr id="2" name="TextBox 1"/>
        <cdr:cNvSpPr txBox="1"/>
      </cdr:nvSpPr>
      <cdr:spPr>
        <a:xfrm xmlns:a="http://schemas.openxmlformats.org/drawingml/2006/main">
          <a:off x="0" y="2203757"/>
          <a:ext cx="3654225" cy="5232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200"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тема для слайдов с диаграммами">
    <a:dk1>
      <a:srgbClr val="414042"/>
    </a:dk1>
    <a:lt1>
      <a:sysClr val="window" lastClr="FFFFFF"/>
    </a:lt1>
    <a:dk2>
      <a:srgbClr val="FFFFFF"/>
    </a:dk2>
    <a:lt2>
      <a:srgbClr val="FFFFFF"/>
    </a:lt2>
    <a:accent1>
      <a:srgbClr val="293D6D"/>
    </a:accent1>
    <a:accent2>
      <a:srgbClr val="456EA9"/>
    </a:accent2>
    <a:accent3>
      <a:srgbClr val="68B0E0"/>
    </a:accent3>
    <a:accent4>
      <a:srgbClr val="ACC44D"/>
    </a:accent4>
    <a:accent5>
      <a:srgbClr val="4C9D8D"/>
    </a:accent5>
    <a:accent6>
      <a:srgbClr val="7F7F7F"/>
    </a:accent6>
    <a:hlink>
      <a:srgbClr val="414042"/>
    </a:hlink>
    <a:folHlink>
      <a:srgbClr val="414042"/>
    </a:folHlink>
  </a:clrScheme>
  <a:fontScheme name="Росатом">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14E57558-3804-4A6A-93BF-56CCFBA4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7</Pages>
  <Words>3314</Words>
  <Characters>18894</Characters>
  <Application>Microsoft Office Word</Application>
  <DocSecurity>4</DocSecurity>
  <Lines>157</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CONSTANTIN, Alina</cp:lastModifiedBy>
  <cp:revision>2</cp:revision>
  <cp:lastPrinted>2024-03-19T13:52:00Z</cp:lastPrinted>
  <dcterms:created xsi:type="dcterms:W3CDTF">2024-08-13T07:10:00Z</dcterms:created>
  <dcterms:modified xsi:type="dcterms:W3CDTF">2024-08-13T07:10:00Z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