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6666" w14:textId="77777777" w:rsidR="00EE5F27" w:rsidRPr="005E41EB" w:rsidRDefault="00545246" w:rsidP="00537496">
      <w:pPr>
        <w:pStyle w:val="Heading1"/>
        <w:rPr>
          <w:lang w:val="en-GB"/>
        </w:rPr>
      </w:pPr>
      <w:r w:rsidRPr="005E41EB">
        <w:rPr>
          <w:lang w:val="en-GB"/>
        </w:rPr>
        <w:t>No</w:t>
      </w:r>
      <w:r w:rsidR="00EB3674" w:rsidRPr="005E41EB">
        <w:rPr>
          <w:lang w:val="en-GB"/>
        </w:rPr>
        <w:t xml:space="preserve">vel Design features of proposed </w:t>
      </w:r>
    </w:p>
    <w:p w14:paraId="7131EE58" w14:textId="13F25EB8" w:rsidR="00B82FA5" w:rsidRPr="005E41EB" w:rsidRDefault="00EB3674" w:rsidP="00537496">
      <w:pPr>
        <w:pStyle w:val="Heading1"/>
        <w:rPr>
          <w:lang w:val="en-GB"/>
        </w:rPr>
      </w:pPr>
      <w:r w:rsidRPr="005E41EB">
        <w:rPr>
          <w:lang w:val="en-GB"/>
        </w:rPr>
        <w:t>light-water smr</w:t>
      </w:r>
      <w:r w:rsidR="00106C67" w:rsidRPr="005E41EB">
        <w:rPr>
          <w:caps w:val="0"/>
          <w:lang w:val="en-GB"/>
        </w:rPr>
        <w:t>s</w:t>
      </w:r>
      <w:r w:rsidR="00026A88" w:rsidRPr="005E41EB">
        <w:rPr>
          <w:lang w:val="en-GB"/>
        </w:rPr>
        <w:t xml:space="preserve"> – a swedish perspective</w:t>
      </w:r>
    </w:p>
    <w:p w14:paraId="4D1B799F" w14:textId="77777777" w:rsidR="00802381" w:rsidRPr="005E41EB" w:rsidRDefault="00802381" w:rsidP="00537496">
      <w:pPr>
        <w:pStyle w:val="Authornameandaffiliation"/>
        <w:rPr>
          <w:lang w:val="en-GB"/>
        </w:rPr>
      </w:pPr>
    </w:p>
    <w:p w14:paraId="32159D0F" w14:textId="39FA25A4" w:rsidR="003B5E0E" w:rsidRPr="005E41EB" w:rsidRDefault="00657128" w:rsidP="00537496">
      <w:pPr>
        <w:pStyle w:val="Authornameandaffiliation"/>
        <w:rPr>
          <w:lang w:val="en-GB"/>
        </w:rPr>
      </w:pPr>
      <w:r w:rsidRPr="005E41EB">
        <w:rPr>
          <w:lang w:val="en-GB"/>
        </w:rPr>
        <w:t>J</w:t>
      </w:r>
      <w:r w:rsidR="00537496" w:rsidRPr="005E41EB">
        <w:rPr>
          <w:lang w:val="en-GB"/>
        </w:rPr>
        <w:t>.</w:t>
      </w:r>
      <w:r w:rsidR="00FF386F" w:rsidRPr="005E41EB">
        <w:rPr>
          <w:lang w:val="en-GB"/>
        </w:rPr>
        <w:t xml:space="preserve"> </w:t>
      </w:r>
      <w:r w:rsidRPr="005E41EB">
        <w:rPr>
          <w:lang w:val="en-GB"/>
        </w:rPr>
        <w:t>Eriksson</w:t>
      </w:r>
    </w:p>
    <w:p w14:paraId="02370931" w14:textId="65271E68" w:rsidR="00FF386F" w:rsidRPr="005E41EB" w:rsidRDefault="00657128" w:rsidP="00537496">
      <w:pPr>
        <w:pStyle w:val="Authornameandaffiliation"/>
        <w:rPr>
          <w:lang w:val="en-GB"/>
        </w:rPr>
      </w:pPr>
      <w:r w:rsidRPr="005E41EB">
        <w:rPr>
          <w:lang w:val="en-GB"/>
        </w:rPr>
        <w:t>Chalmers University of Technology, Nuclear Chemistry</w:t>
      </w:r>
    </w:p>
    <w:p w14:paraId="14684DE2" w14:textId="2C9F91F0" w:rsidR="00FF386F" w:rsidRPr="005E41EB" w:rsidRDefault="00657128" w:rsidP="00537496">
      <w:pPr>
        <w:pStyle w:val="Authornameandaffiliation"/>
        <w:rPr>
          <w:lang w:val="en-GB"/>
        </w:rPr>
      </w:pPr>
      <w:r w:rsidRPr="005E41EB">
        <w:rPr>
          <w:lang w:val="en-GB"/>
        </w:rPr>
        <w:t>Gothenburg</w:t>
      </w:r>
      <w:r w:rsidR="00FF386F" w:rsidRPr="005E41EB">
        <w:rPr>
          <w:lang w:val="en-GB"/>
        </w:rPr>
        <w:t xml:space="preserve">, </w:t>
      </w:r>
      <w:r w:rsidRPr="005E41EB">
        <w:rPr>
          <w:lang w:val="en-GB"/>
        </w:rPr>
        <w:t>Sweden</w:t>
      </w:r>
    </w:p>
    <w:p w14:paraId="0080899C" w14:textId="1298B9D1" w:rsidR="00FF386F" w:rsidRPr="005E41EB" w:rsidRDefault="00FF386F" w:rsidP="00537496">
      <w:pPr>
        <w:pStyle w:val="Authornameandaffiliation"/>
        <w:rPr>
          <w:lang w:val="en-GB"/>
        </w:rPr>
      </w:pPr>
      <w:r w:rsidRPr="005E41EB">
        <w:rPr>
          <w:lang w:val="en-GB"/>
        </w:rPr>
        <w:t xml:space="preserve">Email: </w:t>
      </w:r>
      <w:r w:rsidR="00657128" w:rsidRPr="005E41EB">
        <w:rPr>
          <w:lang w:val="en-GB"/>
        </w:rPr>
        <w:t>ejoha</w:t>
      </w:r>
      <w:r w:rsidRPr="005E41EB">
        <w:rPr>
          <w:lang w:val="en-GB"/>
        </w:rPr>
        <w:t>@</w:t>
      </w:r>
      <w:r w:rsidR="00657128" w:rsidRPr="005E41EB">
        <w:rPr>
          <w:lang w:val="en-GB"/>
        </w:rPr>
        <w:t>chalmers.se</w:t>
      </w:r>
    </w:p>
    <w:p w14:paraId="5E2BDA1F" w14:textId="77777777" w:rsidR="00FF386F" w:rsidRPr="005E41EB" w:rsidRDefault="00FF386F" w:rsidP="00537496">
      <w:pPr>
        <w:pStyle w:val="Authornameandaffiliation"/>
        <w:rPr>
          <w:lang w:val="en-GB"/>
        </w:rPr>
      </w:pPr>
    </w:p>
    <w:p w14:paraId="535BB6CC" w14:textId="588C4AA3" w:rsidR="00FF386F" w:rsidRPr="005E41EB" w:rsidRDefault="00807FF8" w:rsidP="00537496">
      <w:pPr>
        <w:pStyle w:val="Authornameandaffiliation"/>
        <w:rPr>
          <w:lang w:val="en-GB"/>
        </w:rPr>
      </w:pPr>
      <w:r w:rsidRPr="005E41EB">
        <w:rPr>
          <w:lang w:val="en-GB"/>
        </w:rPr>
        <w:t>T</w:t>
      </w:r>
      <w:r w:rsidR="00FF386F" w:rsidRPr="005E41EB">
        <w:rPr>
          <w:lang w:val="en-GB"/>
        </w:rPr>
        <w:t xml:space="preserve">. </w:t>
      </w:r>
      <w:r w:rsidR="00657128" w:rsidRPr="005E41EB">
        <w:rPr>
          <w:lang w:val="en-GB"/>
        </w:rPr>
        <w:t>Retegan Vollmer</w:t>
      </w:r>
    </w:p>
    <w:p w14:paraId="149C3F45" w14:textId="77777777" w:rsidR="00657128" w:rsidRPr="005E41EB" w:rsidRDefault="00657128" w:rsidP="00657128">
      <w:pPr>
        <w:pStyle w:val="Authornameandaffiliation"/>
        <w:rPr>
          <w:lang w:val="en-GB"/>
        </w:rPr>
      </w:pPr>
      <w:r w:rsidRPr="005E41EB">
        <w:rPr>
          <w:lang w:val="en-GB"/>
        </w:rPr>
        <w:t>Chalmers University of Technology, Nuclear Chemistry</w:t>
      </w:r>
    </w:p>
    <w:p w14:paraId="4934024C" w14:textId="77777777" w:rsidR="00657128" w:rsidRPr="005E41EB" w:rsidRDefault="00657128" w:rsidP="00657128">
      <w:pPr>
        <w:pStyle w:val="Authornameandaffiliation"/>
        <w:rPr>
          <w:lang w:val="en-GB"/>
        </w:rPr>
      </w:pPr>
      <w:r w:rsidRPr="005E41EB">
        <w:rPr>
          <w:lang w:val="en-GB"/>
        </w:rPr>
        <w:t>Gothenburg, Sweden</w:t>
      </w:r>
    </w:p>
    <w:p w14:paraId="2C7F19CB" w14:textId="77777777" w:rsidR="00FF386F" w:rsidRPr="005E41EB" w:rsidRDefault="00FF386F" w:rsidP="00537496">
      <w:pPr>
        <w:pStyle w:val="Authornameandaffiliation"/>
        <w:rPr>
          <w:lang w:val="en-GB"/>
        </w:rPr>
      </w:pPr>
    </w:p>
    <w:p w14:paraId="684BABDB" w14:textId="77777777" w:rsidR="00513EAC" w:rsidRDefault="00513EAC" w:rsidP="00537496">
      <w:pPr>
        <w:pStyle w:val="Authornameandaffiliation"/>
        <w:rPr>
          <w:b/>
          <w:lang w:val="en-GB"/>
        </w:rPr>
      </w:pPr>
    </w:p>
    <w:p w14:paraId="1AB45A96" w14:textId="77777777" w:rsidR="00513EAC" w:rsidRDefault="00513EAC" w:rsidP="00537496">
      <w:pPr>
        <w:pStyle w:val="Authornameandaffiliation"/>
        <w:rPr>
          <w:b/>
          <w:lang w:val="en-GB"/>
        </w:rPr>
      </w:pPr>
    </w:p>
    <w:p w14:paraId="7751951F" w14:textId="77777777" w:rsidR="00513EAC" w:rsidRDefault="00513EAC" w:rsidP="00537496">
      <w:pPr>
        <w:pStyle w:val="Authornameandaffiliation"/>
        <w:rPr>
          <w:b/>
          <w:lang w:val="en-GB"/>
        </w:rPr>
      </w:pPr>
    </w:p>
    <w:p w14:paraId="230D4575" w14:textId="1403F819" w:rsidR="00647F33" w:rsidRPr="005E41EB" w:rsidRDefault="00647F33" w:rsidP="00537496">
      <w:pPr>
        <w:pStyle w:val="Authornameandaffiliation"/>
        <w:rPr>
          <w:b/>
          <w:lang w:val="en-GB"/>
        </w:rPr>
      </w:pPr>
      <w:r w:rsidRPr="005E41EB">
        <w:rPr>
          <w:b/>
          <w:lang w:val="en-GB"/>
        </w:rPr>
        <w:t>Abstract</w:t>
      </w:r>
    </w:p>
    <w:p w14:paraId="4F2E62A2" w14:textId="77777777" w:rsidR="00647F33" w:rsidRPr="005E41EB" w:rsidRDefault="00647F33" w:rsidP="00537496">
      <w:pPr>
        <w:pStyle w:val="Authornameandaffiliation"/>
        <w:rPr>
          <w:lang w:val="en-GB"/>
        </w:rPr>
      </w:pPr>
    </w:p>
    <w:p w14:paraId="061E2B54" w14:textId="2211A9E2" w:rsidR="00451055" w:rsidRDefault="00E646CC" w:rsidP="00B8556C">
      <w:pPr>
        <w:pStyle w:val="Abstracttext"/>
        <w:rPr>
          <w:lang w:val="en-GB"/>
        </w:rPr>
      </w:pPr>
      <w:r>
        <w:rPr>
          <w:lang w:val="en-GB"/>
        </w:rPr>
        <w:t xml:space="preserve">Land-based light-water small modular reactors (SMRs) are </w:t>
      </w:r>
      <w:r w:rsidR="00EE1D82">
        <w:rPr>
          <w:lang w:val="en-GB"/>
        </w:rPr>
        <w:t>an option</w:t>
      </w:r>
      <w:r>
        <w:rPr>
          <w:lang w:val="en-GB"/>
        </w:rPr>
        <w:t xml:space="preserve"> for</w:t>
      </w:r>
      <w:r w:rsidR="00F031B6">
        <w:rPr>
          <w:lang w:val="en-GB"/>
        </w:rPr>
        <w:t xml:space="preserve"> adding</w:t>
      </w:r>
      <w:r>
        <w:rPr>
          <w:lang w:val="en-GB"/>
        </w:rPr>
        <w:t xml:space="preserve"> new nuclear</w:t>
      </w:r>
      <w:r w:rsidR="00F031B6">
        <w:rPr>
          <w:lang w:val="en-GB"/>
        </w:rPr>
        <w:t xml:space="preserve"> capacity in Sweden</w:t>
      </w:r>
      <w:r w:rsidR="007221AB">
        <w:rPr>
          <w:lang w:val="en-GB"/>
        </w:rPr>
        <w:t>, mainly to produce electricity but also heat and hydrogen.</w:t>
      </w:r>
      <w:r w:rsidR="00371075">
        <w:rPr>
          <w:lang w:val="en-GB"/>
        </w:rPr>
        <w:t xml:space="preserve"> Compared with the </w:t>
      </w:r>
      <w:r w:rsidR="00021D15">
        <w:rPr>
          <w:lang w:val="en-GB"/>
        </w:rPr>
        <w:t xml:space="preserve">current </w:t>
      </w:r>
      <w:r w:rsidR="002151FE">
        <w:rPr>
          <w:lang w:val="en-GB"/>
        </w:rPr>
        <w:t>Swedish</w:t>
      </w:r>
      <w:r w:rsidR="00021D15">
        <w:rPr>
          <w:lang w:val="en-GB"/>
        </w:rPr>
        <w:t xml:space="preserve"> reactor fleet,</w:t>
      </w:r>
      <w:r w:rsidR="001D1D56">
        <w:rPr>
          <w:lang w:val="en-GB"/>
        </w:rPr>
        <w:t xml:space="preserve"> the SMRs </w:t>
      </w:r>
      <w:r w:rsidR="00E40B23">
        <w:rPr>
          <w:lang w:val="en-GB"/>
        </w:rPr>
        <w:t xml:space="preserve">entail </w:t>
      </w:r>
      <w:r w:rsidR="001D1D56">
        <w:rPr>
          <w:lang w:val="en-GB"/>
        </w:rPr>
        <w:t>a number of novel features</w:t>
      </w:r>
      <w:r w:rsidR="00DD7CB0">
        <w:rPr>
          <w:lang w:val="en-GB"/>
        </w:rPr>
        <w:t xml:space="preserve"> that could be potential barriers </w:t>
      </w:r>
      <w:r w:rsidR="003F7DFF">
        <w:rPr>
          <w:lang w:val="en-GB"/>
        </w:rPr>
        <w:t>to deploying the SMRs</w:t>
      </w:r>
      <w:r w:rsidR="003B7677">
        <w:rPr>
          <w:lang w:val="en-GB"/>
        </w:rPr>
        <w:t xml:space="preserve"> in Sweden</w:t>
      </w:r>
      <w:r w:rsidR="001D1D56">
        <w:rPr>
          <w:lang w:val="en-GB"/>
        </w:rPr>
        <w:t>.</w:t>
      </w:r>
      <w:r w:rsidR="002151FE">
        <w:rPr>
          <w:lang w:val="en-GB"/>
        </w:rPr>
        <w:t xml:space="preserve"> </w:t>
      </w:r>
      <w:r w:rsidR="003F7DFF">
        <w:rPr>
          <w:lang w:val="en-GB"/>
        </w:rPr>
        <w:t xml:space="preserve">Some of the novelties </w:t>
      </w:r>
      <w:r w:rsidR="00C65C21">
        <w:rPr>
          <w:lang w:val="en-GB"/>
        </w:rPr>
        <w:t xml:space="preserve">are or have been in use in </w:t>
      </w:r>
      <w:r w:rsidR="00A51E80">
        <w:rPr>
          <w:lang w:val="en-GB"/>
        </w:rPr>
        <w:t xml:space="preserve">nuclear reactors in </w:t>
      </w:r>
      <w:r w:rsidR="00C65C21">
        <w:rPr>
          <w:lang w:val="en-GB"/>
        </w:rPr>
        <w:t>other countries, whereas some are new to the world.</w:t>
      </w:r>
      <w:r w:rsidR="00451055">
        <w:rPr>
          <w:lang w:val="en-GB"/>
        </w:rPr>
        <w:t xml:space="preserve"> </w:t>
      </w:r>
      <w:r w:rsidR="005B1492">
        <w:rPr>
          <w:lang w:val="en-GB"/>
        </w:rPr>
        <w:t xml:space="preserve">Five proposed </w:t>
      </w:r>
      <w:r w:rsidR="00D27552">
        <w:rPr>
          <w:lang w:val="en-GB"/>
        </w:rPr>
        <w:t xml:space="preserve">land-based light-water </w:t>
      </w:r>
      <w:r w:rsidR="005B1492">
        <w:rPr>
          <w:lang w:val="en-GB"/>
        </w:rPr>
        <w:t>SMR designs</w:t>
      </w:r>
      <w:r w:rsidR="009D7AF3">
        <w:rPr>
          <w:lang w:val="en-GB"/>
        </w:rPr>
        <w:t>, one boiling-water reactor and four pressurised-water reactors (PWRs),</w:t>
      </w:r>
      <w:r w:rsidR="005B1492">
        <w:rPr>
          <w:lang w:val="en-GB"/>
        </w:rPr>
        <w:t xml:space="preserve"> that are </w:t>
      </w:r>
      <w:r w:rsidR="00194D01">
        <w:rPr>
          <w:lang w:val="en-GB"/>
        </w:rPr>
        <w:t xml:space="preserve">considered </w:t>
      </w:r>
      <w:r w:rsidR="00A00737">
        <w:rPr>
          <w:lang w:val="en-GB"/>
        </w:rPr>
        <w:t>relatively</w:t>
      </w:r>
      <w:r w:rsidR="005301DD">
        <w:rPr>
          <w:lang w:val="en-GB"/>
        </w:rPr>
        <w:t xml:space="preserve"> </w:t>
      </w:r>
      <w:r w:rsidR="00194D01">
        <w:rPr>
          <w:lang w:val="en-GB"/>
        </w:rPr>
        <w:t xml:space="preserve">likely to be </w:t>
      </w:r>
      <w:r w:rsidR="001F08C2">
        <w:rPr>
          <w:lang w:val="en-GB"/>
        </w:rPr>
        <w:t>built</w:t>
      </w:r>
      <w:r w:rsidR="00194D01">
        <w:rPr>
          <w:lang w:val="en-GB"/>
        </w:rPr>
        <w:t xml:space="preserve"> in Sweden in the near future were selected, and notable novelties </w:t>
      </w:r>
      <w:r w:rsidR="006C0965">
        <w:rPr>
          <w:lang w:val="en-GB"/>
        </w:rPr>
        <w:t xml:space="preserve">needing further investigation were </w:t>
      </w:r>
      <w:r w:rsidR="006C0965" w:rsidRPr="005D773C">
        <w:rPr>
          <w:lang w:val="en-GB"/>
        </w:rPr>
        <w:t>identified</w:t>
      </w:r>
      <w:r w:rsidR="006C0965">
        <w:rPr>
          <w:lang w:val="en-GB"/>
        </w:rPr>
        <w:t xml:space="preserve"> based on</w:t>
      </w:r>
      <w:r w:rsidR="00194D01">
        <w:rPr>
          <w:lang w:val="en-GB"/>
        </w:rPr>
        <w:t xml:space="preserve"> these</w:t>
      </w:r>
      <w:r w:rsidR="006C0965">
        <w:rPr>
          <w:lang w:val="en-GB"/>
        </w:rPr>
        <w:t xml:space="preserve"> designs. </w:t>
      </w:r>
      <w:r w:rsidR="00B20599">
        <w:rPr>
          <w:lang w:val="en-GB"/>
        </w:rPr>
        <w:t>Licens</w:t>
      </w:r>
      <w:r w:rsidR="00034BFD">
        <w:rPr>
          <w:lang w:val="en-GB"/>
        </w:rPr>
        <w:t>ing</w:t>
      </w:r>
      <w:r w:rsidR="00B20599">
        <w:rPr>
          <w:lang w:val="en-GB"/>
        </w:rPr>
        <w:t xml:space="preserve">, </w:t>
      </w:r>
      <w:r w:rsidR="001B6569">
        <w:rPr>
          <w:lang w:val="en-GB"/>
        </w:rPr>
        <w:t>construct</w:t>
      </w:r>
      <w:r w:rsidR="00034BFD">
        <w:rPr>
          <w:lang w:val="en-GB"/>
        </w:rPr>
        <w:t>ion</w:t>
      </w:r>
      <w:r w:rsidR="00B20599">
        <w:rPr>
          <w:lang w:val="en-GB"/>
        </w:rPr>
        <w:t>, and opera</w:t>
      </w:r>
      <w:r w:rsidR="00034BFD">
        <w:rPr>
          <w:lang w:val="en-GB"/>
        </w:rPr>
        <w:t>tion</w:t>
      </w:r>
      <w:r w:rsidR="00B20599">
        <w:rPr>
          <w:lang w:val="en-GB"/>
        </w:rPr>
        <w:t xml:space="preserve"> and maint</w:t>
      </w:r>
      <w:r w:rsidR="00B53D50">
        <w:rPr>
          <w:lang w:val="en-GB"/>
        </w:rPr>
        <w:t>e</w:t>
      </w:r>
      <w:r w:rsidR="00B20599">
        <w:rPr>
          <w:lang w:val="en-GB"/>
        </w:rPr>
        <w:t>n</w:t>
      </w:r>
      <w:r w:rsidR="00034BFD">
        <w:rPr>
          <w:lang w:val="en-GB"/>
        </w:rPr>
        <w:t>ance</w:t>
      </w:r>
      <w:r w:rsidR="001B6569">
        <w:rPr>
          <w:lang w:val="en-GB"/>
        </w:rPr>
        <w:t xml:space="preserve"> of the SMRs can be affected by the novelties. </w:t>
      </w:r>
      <w:r w:rsidR="006C0965">
        <w:rPr>
          <w:lang w:val="en-GB"/>
        </w:rPr>
        <w:t xml:space="preserve">The </w:t>
      </w:r>
      <w:r w:rsidR="002F5C49" w:rsidRPr="00E21EE6">
        <w:rPr>
          <w:lang w:val="en-GB"/>
        </w:rPr>
        <w:t>pointed</w:t>
      </w:r>
      <w:r w:rsidR="00E21EE6" w:rsidRPr="00E01BF4">
        <w:rPr>
          <w:lang w:val="en-GB"/>
        </w:rPr>
        <w:t>-</w:t>
      </w:r>
      <w:r w:rsidR="002F5C49" w:rsidRPr="00E21EE6">
        <w:rPr>
          <w:lang w:val="en-GB"/>
        </w:rPr>
        <w:t>out</w:t>
      </w:r>
      <w:r w:rsidR="002F5C49">
        <w:rPr>
          <w:lang w:val="en-GB"/>
        </w:rPr>
        <w:t xml:space="preserve"> </w:t>
      </w:r>
      <w:r w:rsidR="00451055">
        <w:rPr>
          <w:lang w:val="en-GB"/>
        </w:rPr>
        <w:t xml:space="preserve">novelties </w:t>
      </w:r>
      <w:r w:rsidR="006C0965">
        <w:rPr>
          <w:lang w:val="en-GB"/>
        </w:rPr>
        <w:t xml:space="preserve">are </w:t>
      </w:r>
      <w:r w:rsidR="00287B04">
        <w:rPr>
          <w:lang w:val="en-GB"/>
        </w:rPr>
        <w:t>modularity, the smaller size of SMRs</w:t>
      </w:r>
      <w:r w:rsidR="00974AEA">
        <w:rPr>
          <w:lang w:val="en-GB"/>
        </w:rPr>
        <w:t>, integral PWRs, boron-free PWR coolant,</w:t>
      </w:r>
      <w:r w:rsidR="00D425DA">
        <w:rPr>
          <w:lang w:val="en-GB"/>
        </w:rPr>
        <w:t xml:space="preserve"> enhanced</w:t>
      </w:r>
      <w:r w:rsidR="00974AEA">
        <w:rPr>
          <w:lang w:val="en-GB"/>
        </w:rPr>
        <w:t xml:space="preserve"> natural circulation, </w:t>
      </w:r>
      <w:r w:rsidR="00D425DA">
        <w:rPr>
          <w:lang w:val="en-GB"/>
        </w:rPr>
        <w:t xml:space="preserve">increased </w:t>
      </w:r>
      <w:r w:rsidR="00974AEA">
        <w:rPr>
          <w:lang w:val="en-GB"/>
        </w:rPr>
        <w:t>passive safety,</w:t>
      </w:r>
      <w:r w:rsidR="00315B88">
        <w:rPr>
          <w:lang w:val="en-GB"/>
        </w:rPr>
        <w:t xml:space="preserve"> </w:t>
      </w:r>
      <w:r w:rsidR="007B0E42">
        <w:rPr>
          <w:lang w:val="en-GB"/>
        </w:rPr>
        <w:t xml:space="preserve">novel containment designs, </w:t>
      </w:r>
      <w:r w:rsidR="00D425DA">
        <w:rPr>
          <w:lang w:val="en-GB"/>
        </w:rPr>
        <w:t xml:space="preserve">increased </w:t>
      </w:r>
      <w:r w:rsidR="007B0E42">
        <w:rPr>
          <w:lang w:val="en-GB"/>
        </w:rPr>
        <w:t>load-following capability</w:t>
      </w:r>
      <w:r w:rsidR="00DE6D8C">
        <w:rPr>
          <w:lang w:val="en-GB"/>
        </w:rPr>
        <w:t>, and dry storage of spent fuel.</w:t>
      </w:r>
      <w:r w:rsidR="005F3A62">
        <w:rPr>
          <w:lang w:val="en-GB"/>
        </w:rPr>
        <w:t xml:space="preserve"> All </w:t>
      </w:r>
      <w:r w:rsidR="00C33A3B">
        <w:rPr>
          <w:lang w:val="en-GB"/>
        </w:rPr>
        <w:t>of these</w:t>
      </w:r>
      <w:r w:rsidR="00784B28">
        <w:rPr>
          <w:lang w:val="en-GB"/>
        </w:rPr>
        <w:t xml:space="preserve"> novelties</w:t>
      </w:r>
      <w:r w:rsidR="00D37E7E">
        <w:rPr>
          <w:lang w:val="en-GB"/>
        </w:rPr>
        <w:t xml:space="preserve"> can affect </w:t>
      </w:r>
      <w:r w:rsidR="004072ED">
        <w:rPr>
          <w:lang w:val="en-GB"/>
        </w:rPr>
        <w:t>l</w:t>
      </w:r>
      <w:r w:rsidR="00B33D11">
        <w:rPr>
          <w:lang w:val="en-GB"/>
        </w:rPr>
        <w:t>icensing</w:t>
      </w:r>
      <w:r w:rsidR="004072ED">
        <w:rPr>
          <w:lang w:val="en-GB"/>
        </w:rPr>
        <w:t xml:space="preserve"> and almost all </w:t>
      </w:r>
      <w:r w:rsidR="00495ACC">
        <w:rPr>
          <w:lang w:val="en-GB"/>
        </w:rPr>
        <w:t xml:space="preserve">of them </w:t>
      </w:r>
      <w:r w:rsidR="004072ED">
        <w:rPr>
          <w:lang w:val="en-GB"/>
        </w:rPr>
        <w:t>can affect o</w:t>
      </w:r>
      <w:r w:rsidR="008E68B3">
        <w:rPr>
          <w:lang w:val="en-GB"/>
        </w:rPr>
        <w:t>peration</w:t>
      </w:r>
      <w:r w:rsidR="004072ED">
        <w:rPr>
          <w:lang w:val="en-GB"/>
        </w:rPr>
        <w:t xml:space="preserve"> and m</w:t>
      </w:r>
      <w:r w:rsidR="001775E7">
        <w:rPr>
          <w:lang w:val="en-GB"/>
        </w:rPr>
        <w:t>aintenance</w:t>
      </w:r>
      <w:r w:rsidR="004072ED">
        <w:rPr>
          <w:lang w:val="en-GB"/>
        </w:rPr>
        <w:t xml:space="preserve"> of the SMRs.</w:t>
      </w:r>
      <w:r w:rsidR="00784B28">
        <w:rPr>
          <w:lang w:val="en-GB"/>
        </w:rPr>
        <w:t xml:space="preserve"> Three of them</w:t>
      </w:r>
      <w:r w:rsidR="000127EB">
        <w:rPr>
          <w:lang w:val="en-GB"/>
        </w:rPr>
        <w:t>, the modularity, the smaller size, and the novel containment designs</w:t>
      </w:r>
      <w:r w:rsidR="008554B7">
        <w:rPr>
          <w:lang w:val="en-GB"/>
        </w:rPr>
        <w:t xml:space="preserve"> can also affect the c</w:t>
      </w:r>
      <w:r w:rsidR="00C524F1">
        <w:rPr>
          <w:lang w:val="en-GB"/>
        </w:rPr>
        <w:t>onstruction</w:t>
      </w:r>
      <w:r w:rsidR="008554B7">
        <w:rPr>
          <w:lang w:val="en-GB"/>
        </w:rPr>
        <w:t>.</w:t>
      </w:r>
      <w:r w:rsidR="00C609F2">
        <w:rPr>
          <w:lang w:val="en-GB"/>
        </w:rPr>
        <w:t xml:space="preserve"> Further investigation </w:t>
      </w:r>
      <w:r w:rsidR="001734B3">
        <w:rPr>
          <w:lang w:val="en-GB"/>
        </w:rPr>
        <w:t xml:space="preserve">of the novel features </w:t>
      </w:r>
      <w:r w:rsidR="007A7C7E">
        <w:rPr>
          <w:lang w:val="en-GB"/>
        </w:rPr>
        <w:t xml:space="preserve">can increase the understanding of them and </w:t>
      </w:r>
      <w:r w:rsidR="006F1415">
        <w:rPr>
          <w:lang w:val="en-GB"/>
        </w:rPr>
        <w:t>decrease the barrier</w:t>
      </w:r>
      <w:r w:rsidR="002F2F7B">
        <w:rPr>
          <w:lang w:val="en-GB"/>
        </w:rPr>
        <w:t>s</w:t>
      </w:r>
      <w:r w:rsidR="006F1415">
        <w:rPr>
          <w:lang w:val="en-GB"/>
        </w:rPr>
        <w:t xml:space="preserve"> to implementing them in the design</w:t>
      </w:r>
      <w:r w:rsidR="00D57967">
        <w:rPr>
          <w:lang w:val="en-GB"/>
        </w:rPr>
        <w:t>s</w:t>
      </w:r>
      <w:r w:rsidR="006F1415">
        <w:rPr>
          <w:lang w:val="en-GB"/>
        </w:rPr>
        <w:t xml:space="preserve"> and deploying SMRs, in Sweden as well as in other countries.</w:t>
      </w:r>
    </w:p>
    <w:p w14:paraId="0784763C" w14:textId="77777777" w:rsidR="00513EAC" w:rsidRDefault="00513EAC" w:rsidP="00513EAC">
      <w:pPr>
        <w:pStyle w:val="Heading2"/>
        <w:numPr>
          <w:ilvl w:val="0"/>
          <w:numId w:val="0"/>
        </w:numPr>
      </w:pPr>
    </w:p>
    <w:p w14:paraId="03C6D75B" w14:textId="09687606" w:rsidR="00647F33" w:rsidRPr="005E41EB" w:rsidRDefault="00F523CA" w:rsidP="00537496">
      <w:pPr>
        <w:pStyle w:val="Heading2"/>
        <w:numPr>
          <w:ilvl w:val="1"/>
          <w:numId w:val="10"/>
        </w:numPr>
      </w:pPr>
      <w:r w:rsidRPr="005E41EB">
        <w:t>INTRODUCTION</w:t>
      </w:r>
    </w:p>
    <w:p w14:paraId="7E405F19" w14:textId="12071C75" w:rsidR="00647F33" w:rsidRPr="005E41EB" w:rsidRDefault="00667BE4" w:rsidP="00537496">
      <w:pPr>
        <w:pStyle w:val="BodyText"/>
      </w:pPr>
      <w:r w:rsidRPr="005E41EB">
        <w:t>S</w:t>
      </w:r>
      <w:r w:rsidR="00BC10B0" w:rsidRPr="005E41EB">
        <w:t xml:space="preserve">mall modular reactors (SMRs) are </w:t>
      </w:r>
      <w:r w:rsidRPr="005E41EB">
        <w:t xml:space="preserve">considered an option </w:t>
      </w:r>
      <w:r w:rsidR="00F83D81" w:rsidRPr="005E41EB">
        <w:t>for</w:t>
      </w:r>
      <w:r w:rsidR="00F30F50" w:rsidRPr="005E41EB">
        <w:t xml:space="preserve"> adding new nuclear </w:t>
      </w:r>
      <w:r w:rsidR="00771C54" w:rsidRPr="005E41EB">
        <w:t>capacity in Sweden</w:t>
      </w:r>
      <w:r w:rsidR="00BE20F6" w:rsidRPr="005E41EB">
        <w:t xml:space="preserve"> to </w:t>
      </w:r>
      <w:r w:rsidR="00F83D81" w:rsidRPr="005E41EB">
        <w:t xml:space="preserve">meet the </w:t>
      </w:r>
      <w:r w:rsidR="00F20241" w:rsidRPr="005E41EB">
        <w:t>future electricity demand</w:t>
      </w:r>
      <w:r w:rsidR="00E66CCB" w:rsidRPr="005E41EB">
        <w:t xml:space="preserve"> and to</w:t>
      </w:r>
      <w:r w:rsidR="00B51DB2" w:rsidRPr="005E41EB">
        <w:t xml:space="preserve"> produce heat</w:t>
      </w:r>
      <w:r w:rsidR="00E66CCB" w:rsidRPr="005E41EB">
        <w:t xml:space="preserve"> and hydrogen</w:t>
      </w:r>
      <w:r w:rsidR="00F20241" w:rsidRPr="005E41EB">
        <w:t xml:space="preserve"> </w:t>
      </w:r>
      <w:r w:rsidR="006A797C" w:rsidRPr="005E41EB">
        <w:fldChar w:fldCharType="begin" w:fldLock="1"/>
      </w:r>
      <w:r w:rsidR="00CE2CD6" w:rsidRPr="005E41EB">
        <w:instrText>ADDIN CSL_CITATION {"citationItems":[{"id":"ITEM-1","itemData":{"author":[{"dropping-particle":"","family":"Håkansson","given":"Ane","non-dropping-particle":"","parse-names":false,"suffix":""},{"dropping-particle":"","family":"Wakter","given":"Simon","non-dropping-particle":"","parse-names":false,"suffix":""},{"dropping-particle":"","family":"Qvist","given":"Staffan","non-dropping-particle":"","parse-names":false,"suffix":""},{"dropping-particle":"","family":"Jonsson","given":"Nils-Olov","non-dropping-particle":"","parse-names":false,"suffix":""},{"dropping-particle":"","family":"Lundbom","given":"Erik","non-dropping-particle":"","parse-names":false,"suffix":""},{"dropping-particle":"","family":"Rantakaulio","given":"Antti","non-dropping-particle":"","parse-names":false,"suffix":""},{"dropping-particle":"","family":"Lind","given":"Ted","non-dropping-particle":"","parse-names":false,"suffix":""},{"dropping-particle":"","family":"Johnson","given":"Mats","non-dropping-particle":"","parse-names":false,"suffix":""},{"dropping-particle":"","family":"Oliver","given":"Lena","non-dropping-particle":"","parse-names":false,"suffix":""},{"dropping-particle":"","family":"Johnson","given":"Kyle","non-dropping-particle":"","parse-names":false,"suffix":""}],"id":"ITEM-1","issued":{"date-parts":[["2023"]]},"title":"Sweden’s future power and energy production scenarios: Project report ANItA project A1","type":"report"},"uris":["http://www.mendeley.com/documents/?uuid=e1f39f09-9638-4687-ac20-f3cf69a75dbf"]}],"mendeley":{"formattedCitation":"[1]","plainTextFormattedCitation":"[1]","previouslyFormattedCitation":"[1]"},"properties":{"noteIndex":0},"schema":"https://github.com/citation-style-language/schema/raw/master/csl-citation.json"}</w:instrText>
      </w:r>
      <w:r w:rsidR="006A797C" w:rsidRPr="005E41EB">
        <w:fldChar w:fldCharType="separate"/>
      </w:r>
      <w:r w:rsidR="006A797C" w:rsidRPr="005E41EB">
        <w:rPr>
          <w:noProof/>
        </w:rPr>
        <w:t>[1]</w:t>
      </w:r>
      <w:r w:rsidR="006A797C" w:rsidRPr="005E41EB">
        <w:fldChar w:fldCharType="end"/>
      </w:r>
      <w:r w:rsidR="00EE0041" w:rsidRPr="005E41EB">
        <w:t>.</w:t>
      </w:r>
      <w:r w:rsidR="00F20241" w:rsidRPr="005E41EB">
        <w:t xml:space="preserve"> Of </w:t>
      </w:r>
      <w:r w:rsidR="00BF4EB5" w:rsidRPr="005E41EB">
        <w:t>particular interest for the relatively near future are land-based light-water SMRs.</w:t>
      </w:r>
      <w:r w:rsidR="00EF563A" w:rsidRPr="005E41EB">
        <w:t xml:space="preserve"> </w:t>
      </w:r>
      <w:r w:rsidR="00D7285D">
        <w:t>More than 25</w:t>
      </w:r>
      <w:r w:rsidR="00EF563A" w:rsidRPr="005E41EB">
        <w:t xml:space="preserve"> </w:t>
      </w:r>
      <w:r w:rsidR="0009259D" w:rsidRPr="005E41EB">
        <w:t xml:space="preserve">such SMR designs have been proposed </w:t>
      </w:r>
      <w:r w:rsidR="0009259D" w:rsidRPr="005E41EB">
        <w:fldChar w:fldCharType="begin" w:fldLock="1"/>
      </w:r>
      <w:r w:rsidR="0009259D" w:rsidRPr="005E41EB">
        <w:instrText>ADDIN CSL_CITATION {"citationItems":[{"id":"ITEM-1","itemData":{"author":[{"dropping-particle":"","family":"IAEA","given":"","non-dropping-particle":"","parse-names":false,"suffix":""}],"container-title":"IAEA Advanced Reactors Information Systems (ARIS)","id":"ITEM-1","issued":{"date-parts":[["2022"]]},"title":"Advances in Small Modular Reactor Technology Developments","type":"article-journal"},"uris":["http://www.mendeley.com/documents/?uuid=a069f5b2-955b-4c0c-81a9-50de9ffe96ab"]}],"mendeley":{"formattedCitation":"[2]","plainTextFormattedCitation":"[2]","previouslyFormattedCitation":"[2]"},"properties":{"noteIndex":0},"schema":"https://github.com/citation-style-language/schema/raw/master/csl-citation.json"}</w:instrText>
      </w:r>
      <w:r w:rsidR="0009259D" w:rsidRPr="005E41EB">
        <w:fldChar w:fldCharType="separate"/>
      </w:r>
      <w:r w:rsidR="0009259D" w:rsidRPr="005E41EB">
        <w:rPr>
          <w:noProof/>
        </w:rPr>
        <w:t>[2</w:t>
      </w:r>
      <w:r w:rsidR="00BC6F1B">
        <w:rPr>
          <w:noProof/>
        </w:rPr>
        <w:t>–5</w:t>
      </w:r>
      <w:r w:rsidR="0009259D" w:rsidRPr="005E41EB">
        <w:rPr>
          <w:noProof/>
        </w:rPr>
        <w:t>]</w:t>
      </w:r>
      <w:r w:rsidR="0009259D" w:rsidRPr="005E41EB">
        <w:fldChar w:fldCharType="end"/>
      </w:r>
      <w:r w:rsidR="00924B64">
        <w:t>.</w:t>
      </w:r>
      <w:r w:rsidR="005F24FC" w:rsidRPr="005E41EB">
        <w:t xml:space="preserve"> </w:t>
      </w:r>
      <w:r w:rsidR="00817BF3" w:rsidRPr="005E41EB">
        <w:t xml:space="preserve">They contain </w:t>
      </w:r>
      <w:r w:rsidR="00396DCC" w:rsidRPr="005E41EB">
        <w:t xml:space="preserve">several novelties compared with </w:t>
      </w:r>
      <w:r w:rsidR="00BC4C87" w:rsidRPr="005E41EB">
        <w:t>the current</w:t>
      </w:r>
      <w:r w:rsidR="00CD3EAF" w:rsidRPr="005E41EB">
        <w:t>ly</w:t>
      </w:r>
      <w:r w:rsidR="00BC4C87" w:rsidRPr="005E41EB">
        <w:t xml:space="preserve"> and</w:t>
      </w:r>
      <w:r w:rsidR="00CD3EAF" w:rsidRPr="005E41EB">
        <w:t xml:space="preserve"> previously </w:t>
      </w:r>
      <w:r w:rsidR="00DC48B4" w:rsidRPr="005E41EB">
        <w:t>opera</w:t>
      </w:r>
      <w:r w:rsidR="00BC57E4" w:rsidRPr="005E41EB">
        <w:t>ble</w:t>
      </w:r>
      <w:r w:rsidR="00DC48B4" w:rsidRPr="005E41EB">
        <w:t xml:space="preserve"> Swedish </w:t>
      </w:r>
      <w:r w:rsidR="004A3250" w:rsidRPr="005E41EB">
        <w:t>reactors</w:t>
      </w:r>
      <w:r w:rsidR="008C4F76">
        <w:t>, aside the fact that they are SMRs</w:t>
      </w:r>
      <w:r w:rsidR="004A3250" w:rsidRPr="005E41EB">
        <w:t>.</w:t>
      </w:r>
      <w:r w:rsidR="00BC4C87" w:rsidRPr="005E41EB">
        <w:t xml:space="preserve"> </w:t>
      </w:r>
      <w:r w:rsidR="000223B9" w:rsidRPr="005E41EB">
        <w:t xml:space="preserve">Such </w:t>
      </w:r>
      <w:r w:rsidR="00722CFE" w:rsidRPr="005E41EB">
        <w:t>novelties</w:t>
      </w:r>
      <w:r w:rsidR="000223B9" w:rsidRPr="005E41EB">
        <w:t xml:space="preserve"> </w:t>
      </w:r>
      <w:r w:rsidR="00722CFE" w:rsidRPr="005E41EB">
        <w:t>could be potential barrier</w:t>
      </w:r>
      <w:r w:rsidR="00FF3DE3" w:rsidRPr="005E41EB">
        <w:t>s</w:t>
      </w:r>
      <w:r w:rsidR="00722CFE" w:rsidRPr="005E41EB">
        <w:t xml:space="preserve"> to deploying SMRs</w:t>
      </w:r>
      <w:r w:rsidR="00DE11B4" w:rsidRPr="005E41EB">
        <w:t>,</w:t>
      </w:r>
      <w:r w:rsidR="00722CFE" w:rsidRPr="005E41EB">
        <w:t xml:space="preserve"> in Sweden</w:t>
      </w:r>
      <w:r w:rsidR="008E29FA" w:rsidRPr="005E41EB">
        <w:t xml:space="preserve"> </w:t>
      </w:r>
      <w:r w:rsidR="00DE11B4" w:rsidRPr="005E41EB">
        <w:t>as well as in other countries</w:t>
      </w:r>
      <w:r w:rsidR="009D4CBB" w:rsidRPr="005E41EB">
        <w:t xml:space="preserve">, </w:t>
      </w:r>
      <w:r w:rsidR="008E29FA" w:rsidRPr="005E41EB">
        <w:t>if they are not</w:t>
      </w:r>
      <w:r w:rsidR="00FF3DE3" w:rsidRPr="005E41EB">
        <w:t xml:space="preserve"> well understood</w:t>
      </w:r>
      <w:r w:rsidR="0007650E" w:rsidRPr="005E41EB">
        <w:t xml:space="preserve"> and</w:t>
      </w:r>
      <w:r w:rsidR="00F60E49" w:rsidRPr="005E41EB">
        <w:t xml:space="preserve"> </w:t>
      </w:r>
      <w:r w:rsidR="00597BC1" w:rsidRPr="000F1137">
        <w:t xml:space="preserve">if </w:t>
      </w:r>
      <w:r w:rsidR="00F60E49" w:rsidRPr="000F1137">
        <w:t xml:space="preserve">adequate measures to handle them are </w:t>
      </w:r>
      <w:r w:rsidR="006C32B5" w:rsidRPr="000F1137">
        <w:t xml:space="preserve">not </w:t>
      </w:r>
      <w:r w:rsidR="00F60E49" w:rsidRPr="000F1137">
        <w:t>implemented</w:t>
      </w:r>
      <w:r w:rsidR="004245E4" w:rsidRPr="005E41EB">
        <w:t>.</w:t>
      </w:r>
      <w:r w:rsidR="00C93BE2" w:rsidRPr="005E41EB">
        <w:t xml:space="preserve"> L</w:t>
      </w:r>
      <w:r w:rsidR="00B33D11">
        <w:t>icensing</w:t>
      </w:r>
      <w:r w:rsidR="00C93BE2" w:rsidRPr="005E41EB">
        <w:t>, c</w:t>
      </w:r>
      <w:r w:rsidR="00C524F1">
        <w:t>onstruction</w:t>
      </w:r>
      <w:r w:rsidR="00C93BE2" w:rsidRPr="005E41EB">
        <w:t xml:space="preserve"> as well as o</w:t>
      </w:r>
      <w:r w:rsidR="008E68B3">
        <w:t>peration</w:t>
      </w:r>
      <w:r w:rsidR="00C93BE2" w:rsidRPr="005E41EB">
        <w:t xml:space="preserve"> and m</w:t>
      </w:r>
      <w:r w:rsidR="001775E7">
        <w:t>aintenance</w:t>
      </w:r>
      <w:r w:rsidR="00C93BE2" w:rsidRPr="005E41EB">
        <w:t xml:space="preserve"> </w:t>
      </w:r>
      <w:r w:rsidR="00AC06A2" w:rsidRPr="005E41EB">
        <w:t xml:space="preserve">of the SMRs might meet obstacles </w:t>
      </w:r>
      <w:r w:rsidR="00DD7F9B" w:rsidRPr="005E41EB">
        <w:t>because of the novelties.</w:t>
      </w:r>
    </w:p>
    <w:p w14:paraId="37F33A40" w14:textId="2DCAB5A2" w:rsidR="00162E2B" w:rsidRPr="005E41EB" w:rsidRDefault="00162E2B" w:rsidP="00162E2B">
      <w:pPr>
        <w:pStyle w:val="BodyText"/>
      </w:pPr>
      <w:r w:rsidRPr="005E41EB">
        <w:t>There are currently six opera</w:t>
      </w:r>
      <w:r w:rsidR="00BC57E4" w:rsidRPr="005E41EB">
        <w:t>ble</w:t>
      </w:r>
      <w:r w:rsidRPr="005E41EB">
        <w:t xml:space="preserve"> commercial nuclear reactors</w:t>
      </w:r>
      <w:r w:rsidR="00242EBA">
        <w:t xml:space="preserve"> </w:t>
      </w:r>
      <w:r w:rsidR="00636637">
        <w:t>for electricity production</w:t>
      </w:r>
      <w:r w:rsidRPr="005E41EB">
        <w:t xml:space="preserve"> in Sweden and six permanently </w:t>
      </w:r>
      <w:r w:rsidR="00E84A3A" w:rsidRPr="005E41EB">
        <w:t>shut down</w:t>
      </w:r>
      <w:r w:rsidR="00916C6F">
        <w:t xml:space="preserve"> </w:t>
      </w:r>
      <w:r w:rsidR="002471F6">
        <w:fldChar w:fldCharType="begin" w:fldLock="1"/>
      </w:r>
      <w:r w:rsidR="00960CD4">
        <w:instrText>ADDIN CSL_CITATION {"citationItems":[{"id":"ITEM-1","itemData":{"URL":"https://www.stralsakerhetsmyndigheten.se/en/areas/nuclear-power/","accessed":{"date-parts":[["2024","5","30"]]},"author":[{"dropping-particle":"","family":"SSM","given":"","non-dropping-particle":"","parse-names":false,"suffix":""}],"id":"ITEM-1","issued":{"date-parts":[["0"]]},"title":"Nuclear power","type":"webpage"},"uris":["http://www.mendeley.com/documents/?uuid=b45550eb-84b8-401e-9c8d-14ae5b4dded4"]}],"mendeley":{"formattedCitation":"[6]","plainTextFormattedCitation":"[6]","previouslyFormattedCitation":"[6]"},"properties":{"noteIndex":0},"schema":"https://github.com/citation-style-language/schema/raw/master/csl-citation.json"}</w:instrText>
      </w:r>
      <w:r w:rsidR="002471F6">
        <w:fldChar w:fldCharType="separate"/>
      </w:r>
      <w:r w:rsidR="001C5B60" w:rsidRPr="001C5B60">
        <w:rPr>
          <w:noProof/>
        </w:rPr>
        <w:t>[6]</w:t>
      </w:r>
      <w:r w:rsidR="002471F6">
        <w:fldChar w:fldCharType="end"/>
      </w:r>
      <w:r w:rsidRPr="005E41EB">
        <w:t xml:space="preserve">. Of these 12 reactors nine are boiling-water reactors (BWRs) delivered by </w:t>
      </w:r>
      <w:r w:rsidRPr="00397757">
        <w:t>ASEA Atom or ABB Atom</w:t>
      </w:r>
      <w:r w:rsidRPr="005E41EB">
        <w:t xml:space="preserve"> and three pressurised-water reactors (PWRs) delivered by Westinghouse. They started operation between 1972 and 1985 and are generation II plants.</w:t>
      </w:r>
    </w:p>
    <w:p w14:paraId="0F49E006" w14:textId="762E4515" w:rsidR="00326FCD" w:rsidRPr="005E41EB" w:rsidRDefault="0063082C" w:rsidP="00FF1B7C">
      <w:pPr>
        <w:pStyle w:val="BodyText"/>
      </w:pPr>
      <w:r w:rsidRPr="005E41EB">
        <w:t xml:space="preserve">In this </w:t>
      </w:r>
      <w:r w:rsidR="00B61DEF">
        <w:t>work</w:t>
      </w:r>
      <w:r w:rsidR="008860E5" w:rsidRPr="005E41EB">
        <w:t>,</w:t>
      </w:r>
      <w:r w:rsidR="002E273E" w:rsidRPr="005E41EB">
        <w:t xml:space="preserve"> novelties</w:t>
      </w:r>
      <w:r w:rsidR="001A47FA" w:rsidRPr="005E41EB">
        <w:t>, based on five proposed SMR designs,</w:t>
      </w:r>
      <w:r w:rsidR="002E273E" w:rsidRPr="005E41EB">
        <w:t xml:space="preserve"> </w:t>
      </w:r>
      <w:r w:rsidR="006F7872" w:rsidRPr="005E41EB">
        <w:t xml:space="preserve">are pointed out and </w:t>
      </w:r>
      <w:r w:rsidR="006D2B68" w:rsidRPr="005E41EB">
        <w:t>described with respect to their potential implication</w:t>
      </w:r>
      <w:r w:rsidR="0039359F" w:rsidRPr="005E41EB">
        <w:t>s on deployment of SMRs in Sweden</w:t>
      </w:r>
      <w:r w:rsidR="008B6BB9" w:rsidRPr="005E41EB">
        <w:t>.</w:t>
      </w:r>
      <w:r w:rsidR="0039359F" w:rsidRPr="005E41EB">
        <w:t xml:space="preserve"> The </w:t>
      </w:r>
      <w:r w:rsidR="00D53B3A" w:rsidRPr="005E41EB">
        <w:t>five</w:t>
      </w:r>
      <w:r w:rsidR="00577439" w:rsidRPr="005E41EB">
        <w:t xml:space="preserve"> designs</w:t>
      </w:r>
      <w:r w:rsidR="0039359F" w:rsidRPr="005E41EB">
        <w:t xml:space="preserve"> </w:t>
      </w:r>
      <w:r w:rsidR="00560B67" w:rsidRPr="005E41EB">
        <w:t xml:space="preserve">are considered </w:t>
      </w:r>
      <w:r w:rsidR="00B720A1" w:rsidRPr="00E01BF4">
        <w:t>relatively</w:t>
      </w:r>
      <w:r w:rsidR="00B720A1" w:rsidRPr="00B0530D">
        <w:t xml:space="preserve"> </w:t>
      </w:r>
      <w:r w:rsidR="004D2DCE">
        <w:t xml:space="preserve"> </w:t>
      </w:r>
      <w:r w:rsidR="00B720A1">
        <w:t>likely</w:t>
      </w:r>
      <w:r w:rsidR="00D21104" w:rsidRPr="005E41EB">
        <w:t xml:space="preserve"> to be built in Sweden in the near future</w:t>
      </w:r>
      <w:r w:rsidR="0075604D">
        <w:t xml:space="preserve">, mainly for </w:t>
      </w:r>
      <w:r w:rsidR="0027534C">
        <w:t>the purpose of producing electricity but potentially also to produce heat or hydrogen</w:t>
      </w:r>
      <w:r w:rsidR="00D21104" w:rsidRPr="005E41EB">
        <w:t>.</w:t>
      </w:r>
      <w:r w:rsidR="006A3E4D" w:rsidRPr="005E41EB">
        <w:t xml:space="preserve"> </w:t>
      </w:r>
      <w:r w:rsidR="006156B3">
        <w:t>Following short design descriptions, notable</w:t>
      </w:r>
      <w:r w:rsidR="005A3D96" w:rsidRPr="005E41EB">
        <w:t xml:space="preserve"> novelties are</w:t>
      </w:r>
      <w:r w:rsidR="006156B3">
        <w:t xml:space="preserve"> </w:t>
      </w:r>
      <w:r w:rsidR="006D1572" w:rsidRPr="00694AE5">
        <w:t>d</w:t>
      </w:r>
      <w:r w:rsidR="006D1572">
        <w:t>iscussed</w:t>
      </w:r>
      <w:r w:rsidR="006D1572" w:rsidRPr="005E41EB">
        <w:t xml:space="preserve"> </w:t>
      </w:r>
      <w:r w:rsidR="005A3D96" w:rsidRPr="005E41EB">
        <w:t>on a general rather than design-specific level</w:t>
      </w:r>
      <w:r w:rsidR="00903964">
        <w:t>.</w:t>
      </w:r>
      <w:r w:rsidR="00DD1FBB" w:rsidRPr="005E41EB">
        <w:t xml:space="preserve"> </w:t>
      </w:r>
      <w:r w:rsidR="00903964">
        <w:t>T</w:t>
      </w:r>
      <w:r w:rsidR="00DD1FBB" w:rsidRPr="005E41EB">
        <w:t xml:space="preserve">he </w:t>
      </w:r>
      <w:r w:rsidR="007B0DE4" w:rsidRPr="00694AE5">
        <w:t>discussion</w:t>
      </w:r>
      <w:r w:rsidR="007B0DE4" w:rsidRPr="005E41EB">
        <w:t xml:space="preserve"> and conclusions in this paper </w:t>
      </w:r>
      <w:r w:rsidR="00DD1FBB" w:rsidRPr="005E41EB">
        <w:t>should</w:t>
      </w:r>
      <w:r w:rsidR="008E34A4">
        <w:t xml:space="preserve">, at least to </w:t>
      </w:r>
      <w:r w:rsidR="00710E25">
        <w:t xml:space="preserve">a </w:t>
      </w:r>
      <w:r w:rsidR="008E34A4">
        <w:t>certain extent,</w:t>
      </w:r>
      <w:r w:rsidR="00DD1FBB" w:rsidRPr="005E41EB">
        <w:t xml:space="preserve"> be applicable also </w:t>
      </w:r>
      <w:r w:rsidR="002A433E" w:rsidRPr="005E41EB">
        <w:t>to</w:t>
      </w:r>
      <w:r w:rsidR="00DD1FBB" w:rsidRPr="005E41EB">
        <w:t xml:space="preserve"> other countries.</w:t>
      </w:r>
    </w:p>
    <w:p w14:paraId="209F3CD0" w14:textId="77777777" w:rsidR="00513EAC" w:rsidRDefault="00513EAC" w:rsidP="00513EAC">
      <w:pPr>
        <w:pStyle w:val="Heading2"/>
        <w:numPr>
          <w:ilvl w:val="0"/>
          <w:numId w:val="0"/>
        </w:numPr>
      </w:pPr>
    </w:p>
    <w:p w14:paraId="026AC235" w14:textId="0FD2AF64" w:rsidR="00193BCC" w:rsidRPr="005E41EB" w:rsidRDefault="00C53C0B" w:rsidP="00193BCC">
      <w:pPr>
        <w:pStyle w:val="Heading2"/>
        <w:numPr>
          <w:ilvl w:val="1"/>
          <w:numId w:val="10"/>
        </w:numPr>
      </w:pPr>
      <w:r w:rsidRPr="005E41EB">
        <w:lastRenderedPageBreak/>
        <w:t xml:space="preserve">considered </w:t>
      </w:r>
      <w:r w:rsidR="00174CB5" w:rsidRPr="005E41EB">
        <w:t>SMR designs</w:t>
      </w:r>
    </w:p>
    <w:p w14:paraId="7EBBA69A" w14:textId="2CDB792C" w:rsidR="00F101E9" w:rsidRDefault="005A2895" w:rsidP="00513EAC">
      <w:pPr>
        <w:pStyle w:val="BodyText"/>
      </w:pPr>
      <w:r w:rsidRPr="005E41EB">
        <w:t xml:space="preserve">The SMR designs considered in this </w:t>
      </w:r>
      <w:r w:rsidR="00BE34C8">
        <w:t>work</w:t>
      </w:r>
      <w:r w:rsidR="00BE34C8" w:rsidRPr="005E41EB">
        <w:t xml:space="preserve"> </w:t>
      </w:r>
      <w:r w:rsidR="0003270F" w:rsidRPr="005E41EB">
        <w:t xml:space="preserve">are </w:t>
      </w:r>
      <w:r w:rsidR="00DF2C77" w:rsidRPr="005E41EB">
        <w:t>listed in Table 1.</w:t>
      </w:r>
      <w:r w:rsidR="00EE0127" w:rsidRPr="005E41EB">
        <w:t xml:space="preserve"> </w:t>
      </w:r>
      <w:r w:rsidR="00B914BD" w:rsidRPr="005E41EB">
        <w:t>One is a BWR</w:t>
      </w:r>
      <w:r w:rsidR="0061019A">
        <w:t>-</w:t>
      </w:r>
      <w:r w:rsidR="00B914BD" w:rsidRPr="005E41EB">
        <w:t xml:space="preserve"> and four are PWR</w:t>
      </w:r>
      <w:r w:rsidR="0061019A">
        <w:t>-</w:t>
      </w:r>
      <w:r w:rsidR="00BF5C95">
        <w:t>type reactors</w:t>
      </w:r>
      <w:r w:rsidR="00B914BD" w:rsidRPr="005E41EB">
        <w:t>.</w:t>
      </w:r>
    </w:p>
    <w:p w14:paraId="3490BA01" w14:textId="77777777" w:rsidR="00F101E9" w:rsidRDefault="00F101E9" w:rsidP="00967DB2">
      <w:pPr>
        <w:pStyle w:val="BodyText"/>
        <w:ind w:firstLine="0"/>
      </w:pPr>
    </w:p>
    <w:p w14:paraId="61CDE85F" w14:textId="7FF351A9" w:rsidR="00DF2C77" w:rsidRPr="005E41EB" w:rsidRDefault="00967DB2" w:rsidP="00967DB2">
      <w:pPr>
        <w:pStyle w:val="BodyText"/>
        <w:ind w:firstLine="0"/>
      </w:pPr>
      <w:r w:rsidRPr="005E41EB">
        <w:t>TABLE 1.</w:t>
      </w:r>
      <w:r w:rsidRPr="005E41EB">
        <w:tab/>
      </w:r>
      <w:r w:rsidR="005F28CC">
        <w:t xml:space="preserve">The </w:t>
      </w:r>
      <w:r w:rsidRPr="005E41EB">
        <w:t xml:space="preserve">SMR designs </w:t>
      </w:r>
      <w:r w:rsidR="005F28CC">
        <w:t xml:space="preserve">along with general </w:t>
      </w:r>
      <w:r w:rsidR="000F5340">
        <w:t>information</w:t>
      </w:r>
      <w:r w:rsidR="00A51416" w:rsidRPr="005E41EB">
        <w:t>.</w:t>
      </w:r>
    </w:p>
    <w:p w14:paraId="619E238E" w14:textId="77777777" w:rsidR="00DF2C77" w:rsidRPr="005E41EB" w:rsidRDefault="00DF2C77" w:rsidP="00193BCC">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1"/>
        <w:gridCol w:w="1741"/>
        <w:gridCol w:w="1742"/>
      </w:tblGrid>
      <w:tr w:rsidR="00F84761" w:rsidRPr="005E41EB" w14:paraId="0D22901E" w14:textId="77777777" w:rsidTr="00E105A4">
        <w:trPr>
          <w:jc w:val="center"/>
        </w:trPr>
        <w:tc>
          <w:tcPr>
            <w:tcW w:w="1741" w:type="dxa"/>
            <w:tcBorders>
              <w:top w:val="single" w:sz="4" w:space="0" w:color="auto"/>
              <w:bottom w:val="single" w:sz="4" w:space="0" w:color="auto"/>
            </w:tcBorders>
          </w:tcPr>
          <w:p w14:paraId="53C65D24" w14:textId="26512898" w:rsidR="00F84761" w:rsidRPr="005E41EB" w:rsidRDefault="00F84761" w:rsidP="00785EB0">
            <w:pPr>
              <w:pStyle w:val="BodyText"/>
              <w:ind w:firstLine="0"/>
            </w:pPr>
            <w:r w:rsidRPr="005E41EB">
              <w:t>SMR</w:t>
            </w:r>
          </w:p>
        </w:tc>
        <w:tc>
          <w:tcPr>
            <w:tcW w:w="1741" w:type="dxa"/>
            <w:tcBorders>
              <w:top w:val="single" w:sz="4" w:space="0" w:color="auto"/>
              <w:bottom w:val="single" w:sz="4" w:space="0" w:color="auto"/>
            </w:tcBorders>
          </w:tcPr>
          <w:p w14:paraId="5489AD52" w14:textId="16428B8F" w:rsidR="00F84761" w:rsidRPr="005E41EB" w:rsidRDefault="00F84761" w:rsidP="00785EB0">
            <w:pPr>
              <w:pStyle w:val="BodyText"/>
              <w:ind w:firstLine="0"/>
              <w:jc w:val="center"/>
            </w:pPr>
            <w:r w:rsidRPr="005E41EB">
              <w:t>Type</w:t>
            </w:r>
          </w:p>
        </w:tc>
        <w:tc>
          <w:tcPr>
            <w:tcW w:w="1741" w:type="dxa"/>
            <w:tcBorders>
              <w:top w:val="single" w:sz="4" w:space="0" w:color="auto"/>
              <w:bottom w:val="single" w:sz="4" w:space="0" w:color="auto"/>
            </w:tcBorders>
          </w:tcPr>
          <w:p w14:paraId="57B4C8AF" w14:textId="30DBA68A" w:rsidR="00F84761" w:rsidRPr="005E41EB" w:rsidRDefault="00F84761" w:rsidP="00785EB0">
            <w:pPr>
              <w:pStyle w:val="BodyText"/>
              <w:ind w:firstLine="0"/>
              <w:jc w:val="center"/>
            </w:pPr>
            <w:r w:rsidRPr="005E41EB">
              <w:t>Electrical output (MW)</w:t>
            </w:r>
          </w:p>
        </w:tc>
        <w:tc>
          <w:tcPr>
            <w:tcW w:w="1741" w:type="dxa"/>
            <w:tcBorders>
              <w:top w:val="single" w:sz="4" w:space="0" w:color="auto"/>
              <w:bottom w:val="single" w:sz="4" w:space="0" w:color="auto"/>
            </w:tcBorders>
          </w:tcPr>
          <w:p w14:paraId="7BF01D58" w14:textId="101383D2" w:rsidR="00F84761" w:rsidRPr="005E41EB" w:rsidRDefault="00F84761" w:rsidP="00785EB0">
            <w:pPr>
              <w:pStyle w:val="BodyText"/>
              <w:ind w:firstLine="0"/>
              <w:jc w:val="center"/>
            </w:pPr>
            <w:r w:rsidRPr="005E41EB">
              <w:t>Developer</w:t>
            </w:r>
          </w:p>
        </w:tc>
        <w:tc>
          <w:tcPr>
            <w:tcW w:w="1742" w:type="dxa"/>
            <w:tcBorders>
              <w:top w:val="single" w:sz="4" w:space="0" w:color="auto"/>
              <w:bottom w:val="single" w:sz="4" w:space="0" w:color="auto"/>
            </w:tcBorders>
          </w:tcPr>
          <w:p w14:paraId="45A2AF0E" w14:textId="11DA927C" w:rsidR="00F84761" w:rsidRPr="005E41EB" w:rsidRDefault="00F84761" w:rsidP="00785EB0">
            <w:pPr>
              <w:pStyle w:val="BodyText"/>
              <w:ind w:firstLine="0"/>
              <w:jc w:val="center"/>
            </w:pPr>
            <w:r w:rsidRPr="005E41EB">
              <w:t>Country</w:t>
            </w:r>
          </w:p>
        </w:tc>
      </w:tr>
      <w:tr w:rsidR="00F84761" w:rsidRPr="005E41EB" w14:paraId="2EF88160" w14:textId="77777777" w:rsidTr="00E105A4">
        <w:trPr>
          <w:jc w:val="center"/>
        </w:trPr>
        <w:tc>
          <w:tcPr>
            <w:tcW w:w="1741" w:type="dxa"/>
            <w:tcBorders>
              <w:top w:val="single" w:sz="4" w:space="0" w:color="auto"/>
            </w:tcBorders>
          </w:tcPr>
          <w:p w14:paraId="01FF952F" w14:textId="230D813A" w:rsidR="00F84761" w:rsidRPr="005E41EB" w:rsidRDefault="00F84761" w:rsidP="00785EB0">
            <w:pPr>
              <w:pStyle w:val="BodyText"/>
              <w:ind w:firstLine="0"/>
            </w:pPr>
            <w:r w:rsidRPr="005E41EB">
              <w:rPr>
                <w:rStyle w:val="TabletextChar"/>
              </w:rPr>
              <w:t>BWRX-300</w:t>
            </w:r>
          </w:p>
        </w:tc>
        <w:tc>
          <w:tcPr>
            <w:tcW w:w="1741" w:type="dxa"/>
            <w:tcBorders>
              <w:top w:val="single" w:sz="4" w:space="0" w:color="auto"/>
            </w:tcBorders>
          </w:tcPr>
          <w:p w14:paraId="684421BF" w14:textId="528E2B22" w:rsidR="00F84761" w:rsidRPr="000A4667" w:rsidRDefault="00F84761" w:rsidP="00785EB0">
            <w:pPr>
              <w:pStyle w:val="BodyText"/>
              <w:ind w:firstLine="0"/>
              <w:jc w:val="center"/>
            </w:pPr>
            <w:r w:rsidRPr="000A4667">
              <w:t>BWR</w:t>
            </w:r>
          </w:p>
        </w:tc>
        <w:tc>
          <w:tcPr>
            <w:tcW w:w="1741" w:type="dxa"/>
            <w:tcBorders>
              <w:top w:val="single" w:sz="4" w:space="0" w:color="auto"/>
            </w:tcBorders>
          </w:tcPr>
          <w:p w14:paraId="1B66A2DE" w14:textId="08C3ECF7" w:rsidR="00F84761" w:rsidRPr="005E41EB" w:rsidRDefault="00F84761" w:rsidP="00785EB0">
            <w:pPr>
              <w:pStyle w:val="BodyText"/>
              <w:ind w:firstLine="0"/>
              <w:jc w:val="center"/>
            </w:pPr>
            <w:r w:rsidRPr="00593B01">
              <w:t>300</w:t>
            </w:r>
          </w:p>
        </w:tc>
        <w:tc>
          <w:tcPr>
            <w:tcW w:w="1741" w:type="dxa"/>
            <w:tcBorders>
              <w:top w:val="single" w:sz="4" w:space="0" w:color="auto"/>
            </w:tcBorders>
          </w:tcPr>
          <w:p w14:paraId="450AEE16" w14:textId="00F6E973" w:rsidR="00F84761" w:rsidRPr="005E41EB" w:rsidRDefault="00F84761" w:rsidP="00785EB0">
            <w:pPr>
              <w:pStyle w:val="BodyText"/>
              <w:ind w:firstLine="0"/>
              <w:jc w:val="center"/>
            </w:pPr>
            <w:r w:rsidRPr="005E41EB">
              <w:t>GE-Hitachi</w:t>
            </w:r>
          </w:p>
        </w:tc>
        <w:tc>
          <w:tcPr>
            <w:tcW w:w="1742" w:type="dxa"/>
            <w:tcBorders>
              <w:top w:val="single" w:sz="4" w:space="0" w:color="auto"/>
            </w:tcBorders>
          </w:tcPr>
          <w:p w14:paraId="4F5C9CCF" w14:textId="783011BC" w:rsidR="00F84761" w:rsidRPr="005E41EB" w:rsidRDefault="00F84761" w:rsidP="00785EB0">
            <w:pPr>
              <w:pStyle w:val="BodyText"/>
              <w:ind w:firstLine="0"/>
              <w:jc w:val="center"/>
            </w:pPr>
            <w:r w:rsidRPr="005E41EB">
              <w:t>USA</w:t>
            </w:r>
          </w:p>
        </w:tc>
      </w:tr>
      <w:tr w:rsidR="00F84761" w:rsidRPr="005E41EB" w14:paraId="78625142" w14:textId="77777777" w:rsidTr="00E105A4">
        <w:trPr>
          <w:jc w:val="center"/>
        </w:trPr>
        <w:tc>
          <w:tcPr>
            <w:tcW w:w="1741" w:type="dxa"/>
          </w:tcPr>
          <w:p w14:paraId="0E8800FE" w14:textId="7E1F126E" w:rsidR="00F84761" w:rsidRPr="005E41EB" w:rsidRDefault="00F84761" w:rsidP="00785EB0">
            <w:pPr>
              <w:pStyle w:val="BodyText"/>
              <w:ind w:firstLine="0"/>
            </w:pPr>
            <w:r w:rsidRPr="005E41EB">
              <w:t>Rolls-Royce SMR</w:t>
            </w:r>
          </w:p>
        </w:tc>
        <w:tc>
          <w:tcPr>
            <w:tcW w:w="1741" w:type="dxa"/>
          </w:tcPr>
          <w:p w14:paraId="1A949200" w14:textId="725AC2A8" w:rsidR="00F84761" w:rsidRPr="000A4667" w:rsidRDefault="00F84761" w:rsidP="00785EB0">
            <w:pPr>
              <w:pStyle w:val="BodyText"/>
              <w:ind w:firstLine="0"/>
              <w:jc w:val="center"/>
            </w:pPr>
            <w:r w:rsidRPr="000A4667">
              <w:t>PWR</w:t>
            </w:r>
          </w:p>
        </w:tc>
        <w:tc>
          <w:tcPr>
            <w:tcW w:w="1741" w:type="dxa"/>
          </w:tcPr>
          <w:p w14:paraId="31149A27" w14:textId="08CDC1DC" w:rsidR="00F84761" w:rsidRPr="005E41EB" w:rsidRDefault="00F84761" w:rsidP="00785EB0">
            <w:pPr>
              <w:pStyle w:val="BodyText"/>
              <w:ind w:firstLine="0"/>
              <w:jc w:val="center"/>
            </w:pPr>
            <w:r w:rsidRPr="005E41EB">
              <w:t>470</w:t>
            </w:r>
          </w:p>
        </w:tc>
        <w:tc>
          <w:tcPr>
            <w:tcW w:w="1741" w:type="dxa"/>
          </w:tcPr>
          <w:p w14:paraId="129ABDD5" w14:textId="456E3C85" w:rsidR="00F84761" w:rsidRPr="005E41EB" w:rsidRDefault="00F84761" w:rsidP="00785EB0">
            <w:pPr>
              <w:pStyle w:val="BodyText"/>
              <w:ind w:firstLine="0"/>
              <w:jc w:val="center"/>
            </w:pPr>
            <w:r w:rsidRPr="005E41EB">
              <w:t>Rolls-Royce</w:t>
            </w:r>
          </w:p>
        </w:tc>
        <w:tc>
          <w:tcPr>
            <w:tcW w:w="1742" w:type="dxa"/>
          </w:tcPr>
          <w:p w14:paraId="557158A3" w14:textId="1C6514C2" w:rsidR="00F84761" w:rsidRPr="005E41EB" w:rsidRDefault="00F84761" w:rsidP="00785EB0">
            <w:pPr>
              <w:pStyle w:val="BodyText"/>
              <w:ind w:firstLine="0"/>
              <w:jc w:val="center"/>
            </w:pPr>
            <w:r w:rsidRPr="005E41EB">
              <w:t>UK</w:t>
            </w:r>
          </w:p>
        </w:tc>
      </w:tr>
      <w:tr w:rsidR="00F84761" w:rsidRPr="005E41EB" w14:paraId="5700E56A" w14:textId="77777777" w:rsidTr="00E105A4">
        <w:trPr>
          <w:jc w:val="center"/>
        </w:trPr>
        <w:tc>
          <w:tcPr>
            <w:tcW w:w="1741" w:type="dxa"/>
          </w:tcPr>
          <w:p w14:paraId="227F30B3" w14:textId="4A2F3484" w:rsidR="00F84761" w:rsidRPr="005E41EB" w:rsidRDefault="00F84761" w:rsidP="00785EB0">
            <w:pPr>
              <w:pStyle w:val="BodyText"/>
              <w:ind w:firstLine="0"/>
            </w:pPr>
            <w:r w:rsidRPr="005E41EB">
              <w:t>AP300</w:t>
            </w:r>
          </w:p>
        </w:tc>
        <w:tc>
          <w:tcPr>
            <w:tcW w:w="1741" w:type="dxa"/>
          </w:tcPr>
          <w:p w14:paraId="6A661277" w14:textId="28B75639" w:rsidR="00F84761" w:rsidRPr="005E41EB" w:rsidRDefault="00F84761" w:rsidP="00785EB0">
            <w:pPr>
              <w:pStyle w:val="BodyText"/>
              <w:ind w:firstLine="0"/>
              <w:jc w:val="center"/>
            </w:pPr>
            <w:r w:rsidRPr="005E41EB">
              <w:t>PWR</w:t>
            </w:r>
          </w:p>
        </w:tc>
        <w:tc>
          <w:tcPr>
            <w:tcW w:w="1741" w:type="dxa"/>
          </w:tcPr>
          <w:p w14:paraId="650388BE" w14:textId="3985A2B4" w:rsidR="00F84761" w:rsidRPr="005E41EB" w:rsidRDefault="00F84761" w:rsidP="00785EB0">
            <w:pPr>
              <w:pStyle w:val="BodyText"/>
              <w:ind w:firstLine="0"/>
              <w:jc w:val="center"/>
            </w:pPr>
            <w:r w:rsidRPr="00593B01">
              <w:t>300</w:t>
            </w:r>
          </w:p>
        </w:tc>
        <w:tc>
          <w:tcPr>
            <w:tcW w:w="1741" w:type="dxa"/>
          </w:tcPr>
          <w:p w14:paraId="047C014C" w14:textId="642470AD" w:rsidR="00F84761" w:rsidRPr="005E41EB" w:rsidRDefault="00F84761" w:rsidP="00785EB0">
            <w:pPr>
              <w:pStyle w:val="BodyText"/>
              <w:ind w:firstLine="0"/>
              <w:jc w:val="center"/>
            </w:pPr>
            <w:r w:rsidRPr="005E41EB">
              <w:t>Westinghouse</w:t>
            </w:r>
          </w:p>
        </w:tc>
        <w:tc>
          <w:tcPr>
            <w:tcW w:w="1742" w:type="dxa"/>
          </w:tcPr>
          <w:p w14:paraId="244A71EA" w14:textId="0C95885F" w:rsidR="00F84761" w:rsidRPr="005E41EB" w:rsidRDefault="00F84761" w:rsidP="00785EB0">
            <w:pPr>
              <w:pStyle w:val="BodyText"/>
              <w:ind w:firstLine="0"/>
              <w:jc w:val="center"/>
            </w:pPr>
            <w:r w:rsidRPr="005E41EB">
              <w:t>USA</w:t>
            </w:r>
          </w:p>
        </w:tc>
      </w:tr>
      <w:tr w:rsidR="00F84761" w:rsidRPr="005E41EB" w14:paraId="6CE80115" w14:textId="77777777" w:rsidTr="00E105A4">
        <w:trPr>
          <w:jc w:val="center"/>
        </w:trPr>
        <w:tc>
          <w:tcPr>
            <w:tcW w:w="1741" w:type="dxa"/>
          </w:tcPr>
          <w:p w14:paraId="586DF151" w14:textId="4D49DE2D" w:rsidR="00F84761" w:rsidRPr="005E41EB" w:rsidRDefault="00F84761" w:rsidP="00785EB0">
            <w:pPr>
              <w:pStyle w:val="BodyText"/>
              <w:ind w:firstLine="0"/>
            </w:pPr>
            <w:r w:rsidRPr="005E41EB">
              <w:t>VOYGR</w:t>
            </w:r>
          </w:p>
        </w:tc>
        <w:tc>
          <w:tcPr>
            <w:tcW w:w="1741" w:type="dxa"/>
          </w:tcPr>
          <w:p w14:paraId="68B493F4" w14:textId="1C738241" w:rsidR="00F84761" w:rsidRPr="005E41EB" w:rsidRDefault="00F84761" w:rsidP="00785EB0">
            <w:pPr>
              <w:pStyle w:val="BodyText"/>
              <w:ind w:firstLine="0"/>
              <w:jc w:val="center"/>
            </w:pPr>
            <w:r w:rsidRPr="005E41EB">
              <w:t>PWR</w:t>
            </w:r>
          </w:p>
        </w:tc>
        <w:tc>
          <w:tcPr>
            <w:tcW w:w="1741" w:type="dxa"/>
          </w:tcPr>
          <w:p w14:paraId="6853C450" w14:textId="78C46E14" w:rsidR="00F84761" w:rsidRPr="005E41EB" w:rsidRDefault="005B683E" w:rsidP="00785EB0">
            <w:pPr>
              <w:pStyle w:val="BodyText"/>
              <w:ind w:firstLine="0"/>
              <w:jc w:val="center"/>
            </w:pPr>
            <w:r w:rsidRPr="00E01BF4">
              <w:t>77</w:t>
            </w:r>
            <w:r w:rsidR="009D0E91">
              <w:t>/module</w:t>
            </w:r>
          </w:p>
        </w:tc>
        <w:tc>
          <w:tcPr>
            <w:tcW w:w="1741" w:type="dxa"/>
          </w:tcPr>
          <w:p w14:paraId="0CCF9A27" w14:textId="31DF8DE8" w:rsidR="00F84761" w:rsidRPr="005E41EB" w:rsidRDefault="00F84761" w:rsidP="00785EB0">
            <w:pPr>
              <w:pStyle w:val="BodyText"/>
              <w:ind w:firstLine="0"/>
              <w:jc w:val="center"/>
            </w:pPr>
            <w:r w:rsidRPr="005E41EB">
              <w:t>NuScale</w:t>
            </w:r>
          </w:p>
        </w:tc>
        <w:tc>
          <w:tcPr>
            <w:tcW w:w="1742" w:type="dxa"/>
          </w:tcPr>
          <w:p w14:paraId="135988F6" w14:textId="349FE102" w:rsidR="00F84761" w:rsidRPr="005E41EB" w:rsidRDefault="00F84761" w:rsidP="00785EB0">
            <w:pPr>
              <w:pStyle w:val="BodyText"/>
              <w:ind w:firstLine="0"/>
              <w:jc w:val="center"/>
            </w:pPr>
            <w:r w:rsidRPr="005E41EB">
              <w:t>USA</w:t>
            </w:r>
          </w:p>
        </w:tc>
      </w:tr>
      <w:tr w:rsidR="00F84761" w:rsidRPr="005E41EB" w14:paraId="237E8CAB" w14:textId="77777777" w:rsidTr="00E105A4">
        <w:trPr>
          <w:jc w:val="center"/>
        </w:trPr>
        <w:tc>
          <w:tcPr>
            <w:tcW w:w="1741" w:type="dxa"/>
          </w:tcPr>
          <w:p w14:paraId="7EF1E9A1" w14:textId="1B4B9964" w:rsidR="00F84761" w:rsidRPr="005E41EB" w:rsidRDefault="00F84761" w:rsidP="00785EB0">
            <w:pPr>
              <w:pStyle w:val="BodyText"/>
              <w:ind w:firstLine="0"/>
            </w:pPr>
            <w:r w:rsidRPr="005E41EB">
              <w:t>NUWARD</w:t>
            </w:r>
          </w:p>
        </w:tc>
        <w:tc>
          <w:tcPr>
            <w:tcW w:w="1741" w:type="dxa"/>
          </w:tcPr>
          <w:p w14:paraId="14B0DA61" w14:textId="1658BE46" w:rsidR="00F84761" w:rsidRPr="005E41EB" w:rsidRDefault="00F84761" w:rsidP="00785EB0">
            <w:pPr>
              <w:pStyle w:val="BodyText"/>
              <w:ind w:firstLine="0"/>
              <w:jc w:val="center"/>
            </w:pPr>
            <w:r w:rsidRPr="005E41EB">
              <w:t>PWR</w:t>
            </w:r>
          </w:p>
        </w:tc>
        <w:tc>
          <w:tcPr>
            <w:tcW w:w="1741" w:type="dxa"/>
          </w:tcPr>
          <w:p w14:paraId="58884C82" w14:textId="2F9EE1E5" w:rsidR="00F84761" w:rsidRPr="005E41EB" w:rsidRDefault="005B683E" w:rsidP="00785EB0">
            <w:pPr>
              <w:pStyle w:val="BodyText"/>
              <w:ind w:firstLine="0"/>
              <w:jc w:val="center"/>
            </w:pPr>
            <w:r w:rsidRPr="005E41EB">
              <w:t>2</w:t>
            </w:r>
            <w:r w:rsidR="00CA6591" w:rsidRPr="005E41EB">
              <w:rPr>
                <w:rFonts w:ascii="Symbol" w:hAnsi="Symbol"/>
                <w:color w:val="000000" w:themeColor="text1"/>
              </w:rPr>
              <w:t></w:t>
            </w:r>
            <w:r w:rsidRPr="005E41EB">
              <w:t>170</w:t>
            </w:r>
          </w:p>
        </w:tc>
        <w:tc>
          <w:tcPr>
            <w:tcW w:w="1741" w:type="dxa"/>
          </w:tcPr>
          <w:p w14:paraId="219CB4AF" w14:textId="250C00D2" w:rsidR="00F84761" w:rsidRPr="005E41EB" w:rsidRDefault="00F84761" w:rsidP="00785EB0">
            <w:pPr>
              <w:pStyle w:val="BodyText"/>
              <w:ind w:firstLine="0"/>
              <w:jc w:val="center"/>
            </w:pPr>
            <w:r w:rsidRPr="005E41EB">
              <w:t>EDF</w:t>
            </w:r>
          </w:p>
        </w:tc>
        <w:tc>
          <w:tcPr>
            <w:tcW w:w="1742" w:type="dxa"/>
          </w:tcPr>
          <w:p w14:paraId="13CC6655" w14:textId="7195BE6A" w:rsidR="00F84761" w:rsidRPr="005E41EB" w:rsidRDefault="00F84761" w:rsidP="00785EB0">
            <w:pPr>
              <w:pStyle w:val="BodyText"/>
              <w:ind w:firstLine="0"/>
              <w:jc w:val="center"/>
            </w:pPr>
            <w:r w:rsidRPr="005E41EB">
              <w:t>France</w:t>
            </w:r>
          </w:p>
        </w:tc>
      </w:tr>
    </w:tbl>
    <w:p w14:paraId="29AAA25E" w14:textId="77777777" w:rsidR="00F101E9" w:rsidRDefault="00F101E9" w:rsidP="00F101E9">
      <w:pPr>
        <w:pStyle w:val="Heading3"/>
        <w:numPr>
          <w:ilvl w:val="0"/>
          <w:numId w:val="0"/>
        </w:numPr>
      </w:pPr>
    </w:p>
    <w:p w14:paraId="40244995" w14:textId="4D755780" w:rsidR="006C238C" w:rsidRPr="005E41EB" w:rsidRDefault="00445A0F" w:rsidP="000950E1">
      <w:pPr>
        <w:pStyle w:val="Heading3"/>
      </w:pPr>
      <w:r w:rsidRPr="005E41EB">
        <w:t>Design descriptions</w:t>
      </w:r>
    </w:p>
    <w:p w14:paraId="1B3CA14F" w14:textId="1121BF47" w:rsidR="00BF69B1" w:rsidRDefault="00652FAA" w:rsidP="00BF69B1">
      <w:pPr>
        <w:pStyle w:val="BodyText"/>
      </w:pPr>
      <w:r>
        <w:t>In the following design descriptions f</w:t>
      </w:r>
      <w:r w:rsidR="00967A43" w:rsidRPr="005E41EB">
        <w:t xml:space="preserve">ocus is on features </w:t>
      </w:r>
      <w:r w:rsidR="00E13090" w:rsidRPr="005E41EB">
        <w:t xml:space="preserve">of interest </w:t>
      </w:r>
      <w:r w:rsidR="00055C7A" w:rsidRPr="005E41EB">
        <w:t xml:space="preserve">for the purpose of this </w:t>
      </w:r>
      <w:r w:rsidR="000F5340">
        <w:t>work</w:t>
      </w:r>
      <w:r w:rsidR="00055C7A" w:rsidRPr="005E41EB">
        <w:t>.</w:t>
      </w:r>
      <w:r w:rsidR="0082030B" w:rsidRPr="005E41EB">
        <w:t xml:space="preserve"> </w:t>
      </w:r>
      <w:r w:rsidR="00A952C7">
        <w:t>M</w:t>
      </w:r>
      <w:r w:rsidR="0082030B" w:rsidRPr="005E41EB">
        <w:t>ore detailed descriptions of the</w:t>
      </w:r>
      <w:r w:rsidR="00180A64" w:rsidRPr="005E41EB">
        <w:t xml:space="preserve"> SMRs</w:t>
      </w:r>
      <w:r w:rsidR="00067C1B" w:rsidRPr="005E41EB">
        <w:t xml:space="preserve"> </w:t>
      </w:r>
      <w:r w:rsidR="00A952C7">
        <w:t>can be found</w:t>
      </w:r>
      <w:r w:rsidR="00067C1B" w:rsidRPr="005E41EB">
        <w:t xml:space="preserve"> elsewhere </w:t>
      </w:r>
      <w:r w:rsidR="00732591">
        <w:fldChar w:fldCharType="begin" w:fldLock="1"/>
      </w:r>
      <w:r w:rsidR="00732591">
        <w:instrText>ADDIN CSL_CITATION {"citationItems":[{"id":"ITEM-1","itemData":{"author":[{"dropping-particle":"","family":"IAEA","given":"","non-dropping-particle":"","parse-names":false,"suffix":""}],"container-title":"IAEA Advanced Reactors Information Systems (ARIS)","id":"ITEM-1","issued":{"date-parts":[["2022"]]},"title":"Advances in Small Modular Reactor Technology Developments","type":"article-journal"},"uris":["http://www.mendeley.com/documents/?uuid=a069f5b2-955b-4c0c-81a9-50de9ffe96ab"]}],"mendeley":{"formattedCitation":"[2]","plainTextFormattedCitation":"[2]","previouslyFormattedCitation":"[2]"},"properties":{"noteIndex":0},"schema":"https://github.com/citation-style-language/schema/raw/master/csl-citation.json"}</w:instrText>
      </w:r>
      <w:r w:rsidR="00732591">
        <w:fldChar w:fldCharType="separate"/>
      </w:r>
      <w:r w:rsidR="00732591" w:rsidRPr="00732591">
        <w:rPr>
          <w:noProof/>
        </w:rPr>
        <w:t>[2</w:t>
      </w:r>
      <w:r w:rsidR="00E372E4">
        <w:rPr>
          <w:noProof/>
        </w:rPr>
        <w:t>,4,7–10</w:t>
      </w:r>
      <w:r w:rsidR="00732591" w:rsidRPr="00732591">
        <w:rPr>
          <w:noProof/>
        </w:rPr>
        <w:t>]</w:t>
      </w:r>
      <w:r w:rsidR="00732591">
        <w:fldChar w:fldCharType="end"/>
      </w:r>
      <w:r w:rsidR="00067C1B" w:rsidRPr="005E41EB">
        <w:t>.</w:t>
      </w:r>
      <w:r w:rsidR="00662C56">
        <w:t xml:space="preserve"> </w:t>
      </w:r>
      <w:r w:rsidR="004478DA">
        <w:t xml:space="preserve">In addition to the </w:t>
      </w:r>
      <w:r w:rsidR="00C90630">
        <w:t>features outlined below, there are</w:t>
      </w:r>
      <w:r w:rsidR="00EA7F0F">
        <w:t xml:space="preserve"> </w:t>
      </w:r>
      <w:r w:rsidR="00E86D03">
        <w:t>c</w:t>
      </w:r>
      <w:r w:rsidR="006E2210">
        <w:t xml:space="preserve">ommon features </w:t>
      </w:r>
      <w:r w:rsidR="00141597">
        <w:t>of</w:t>
      </w:r>
      <w:r w:rsidR="006E2210">
        <w:t xml:space="preserve"> the designs</w:t>
      </w:r>
      <w:r w:rsidR="00E86D03">
        <w:t xml:space="preserve"> that</w:t>
      </w:r>
      <w:r w:rsidR="004C4EF1">
        <w:t xml:space="preserve"> </w:t>
      </w:r>
      <w:r w:rsidR="00F45AF3">
        <w:t>(</w:t>
      </w:r>
      <w:r w:rsidR="00A03C37">
        <w:t>from a Swedish perspective</w:t>
      </w:r>
      <w:r w:rsidR="00F45AF3">
        <w:t>)</w:t>
      </w:r>
      <w:r w:rsidR="00E86D03">
        <w:t xml:space="preserve"> can be considered novelties. Th</w:t>
      </w:r>
      <w:r w:rsidR="00CA2B30">
        <w:t xml:space="preserve">ree notable </w:t>
      </w:r>
      <w:r w:rsidR="00A25ED6">
        <w:t xml:space="preserve">such </w:t>
      </w:r>
      <w:r w:rsidR="00CA2B30">
        <w:t>are covered in this work. They</w:t>
      </w:r>
      <w:r w:rsidR="00C713E0">
        <w:t xml:space="preserve"> are</w:t>
      </w:r>
      <w:r w:rsidR="00662C56">
        <w:t xml:space="preserve"> that </w:t>
      </w:r>
      <w:r w:rsidR="00881FD8">
        <w:t>SMR</w:t>
      </w:r>
      <w:r w:rsidR="00977550">
        <w:t>s have a smaller</w:t>
      </w:r>
      <w:r w:rsidR="00881FD8">
        <w:t xml:space="preserve"> </w:t>
      </w:r>
      <w:r w:rsidR="00662C56">
        <w:t>size than conventional</w:t>
      </w:r>
      <w:r w:rsidR="005C38DD" w:rsidRPr="005C38DD">
        <w:t xml:space="preserve"> </w:t>
      </w:r>
      <w:r w:rsidR="005C38DD">
        <w:t>nuclear power plant</w:t>
      </w:r>
      <w:r w:rsidR="00977550">
        <w:t>s</w:t>
      </w:r>
      <w:r w:rsidR="005C38DD">
        <w:t>, that they</w:t>
      </w:r>
      <w:r w:rsidR="00BE7E3A">
        <w:t xml:space="preserve"> </w:t>
      </w:r>
      <w:r w:rsidR="009E1258">
        <w:t xml:space="preserve">allow </w:t>
      </w:r>
      <w:r w:rsidR="004021E4">
        <w:t>for</w:t>
      </w:r>
      <w:r w:rsidR="00BE7E3A">
        <w:t xml:space="preserve"> more flexible</w:t>
      </w:r>
      <w:r w:rsidR="004021E4">
        <w:t xml:space="preserve"> load-following than the Swedish reactor</w:t>
      </w:r>
      <w:r w:rsidR="00C713E0">
        <w:t>s</w:t>
      </w:r>
      <w:r w:rsidR="004021E4">
        <w:t xml:space="preserve">, and </w:t>
      </w:r>
      <w:r w:rsidR="003D0148">
        <w:t>the potential use of</w:t>
      </w:r>
      <w:r w:rsidR="00C713E0">
        <w:t xml:space="preserve"> </w:t>
      </w:r>
      <w:r w:rsidR="00D364E9">
        <w:t>an on-site dry storage</w:t>
      </w:r>
      <w:r w:rsidR="003D0148">
        <w:t xml:space="preserve"> of spent nuclear fuel</w:t>
      </w:r>
      <w:r w:rsidR="005C38DD">
        <w:t>.</w:t>
      </w:r>
      <w:r w:rsidR="0030303C">
        <w:t xml:space="preserve"> Additionally, all </w:t>
      </w:r>
      <w:r w:rsidR="00D64347">
        <w:t>the designs are planned to be built using modular construction</w:t>
      </w:r>
      <w:r w:rsidR="00C81C5D">
        <w:t xml:space="preserve"> </w:t>
      </w:r>
      <w:r w:rsidR="006D6D03">
        <w:t>(</w:t>
      </w:r>
      <w:r w:rsidR="00C81C5D">
        <w:t>to a degree that is not</w:t>
      </w:r>
      <w:r w:rsidR="00C71C09">
        <w:t xml:space="preserve"> always</w:t>
      </w:r>
      <w:r w:rsidR="00E30DA4">
        <w:t xml:space="preserve"> specified by the developer</w:t>
      </w:r>
      <w:r w:rsidR="006D6D03">
        <w:t>)</w:t>
      </w:r>
      <w:r w:rsidR="00E30DA4">
        <w:t>.</w:t>
      </w:r>
      <w:r w:rsidR="00C81C5D">
        <w:t xml:space="preserve"> </w:t>
      </w:r>
    </w:p>
    <w:p w14:paraId="74FA9CEF" w14:textId="77777777" w:rsidR="002F20FC" w:rsidRPr="005E41EB" w:rsidRDefault="002F20FC" w:rsidP="00BF69B1">
      <w:pPr>
        <w:pStyle w:val="BodyText"/>
      </w:pPr>
    </w:p>
    <w:p w14:paraId="499956F0" w14:textId="37784F3B" w:rsidR="00445A0F" w:rsidRPr="005E41EB" w:rsidRDefault="00445A0F" w:rsidP="00445A0F">
      <w:pPr>
        <w:pStyle w:val="Heading4"/>
        <w:ind w:left="0"/>
        <w:rPr>
          <w:lang w:val="en-GB"/>
        </w:rPr>
      </w:pPr>
      <w:r w:rsidRPr="005E41EB">
        <w:rPr>
          <w:lang w:val="en-GB"/>
        </w:rPr>
        <w:t>BWRX-300</w:t>
      </w:r>
    </w:p>
    <w:p w14:paraId="62FED45E" w14:textId="2E7F543C" w:rsidR="000950E1" w:rsidRPr="005E41EB" w:rsidRDefault="000950E1" w:rsidP="000950E1">
      <w:pPr>
        <w:pStyle w:val="BodyText"/>
      </w:pPr>
      <w:r w:rsidRPr="005E41EB">
        <w:t xml:space="preserve">BWRX-300 </w:t>
      </w:r>
      <w:r w:rsidR="009A2033" w:rsidRPr="005E41EB">
        <w:fldChar w:fldCharType="begin" w:fldLock="1"/>
      </w:r>
      <w:r w:rsidR="009A2033">
        <w:instrText>ADDIN CSL_CITATION {"citationItems":[{"id":"ITEM-1","itemData":{"author":[{"dropping-particle":"","family":"GE-Hitachi","given":"","non-dropping-particle":"","parse-names":false,"suffix":""}],"id":"ITEM-1","issue":"August","issued":{"date-parts":[["2023"]]},"title":"BWRX-300 General Description Revision E","type":"report"},"uris":["http://www.mendeley.com/documents/?uuid=07fd568d-5a68-4055-9cd3-63e493bb2356"]}],"mendeley":{"formattedCitation":"[7]","plainTextFormattedCitation":"[7]","previouslyFormattedCitation":"[7]"},"properties":{"noteIndex":0},"schema":"https://github.com/citation-style-language/schema/raw/master/csl-citation.json"}</w:instrText>
      </w:r>
      <w:r w:rsidR="009A2033" w:rsidRPr="005E41EB">
        <w:fldChar w:fldCharType="separate"/>
      </w:r>
      <w:r w:rsidR="009A2033" w:rsidRPr="001C5B60">
        <w:rPr>
          <w:noProof/>
        </w:rPr>
        <w:t>[7]</w:t>
      </w:r>
      <w:r w:rsidR="009A2033" w:rsidRPr="005E41EB">
        <w:fldChar w:fldCharType="end"/>
      </w:r>
      <w:r w:rsidR="009A2033">
        <w:t xml:space="preserve"> </w:t>
      </w:r>
      <w:r w:rsidRPr="005E41EB">
        <w:t xml:space="preserve">is a </w:t>
      </w:r>
      <w:r w:rsidR="00642224" w:rsidRPr="005E41EB">
        <w:t>BWR</w:t>
      </w:r>
      <w:r w:rsidRPr="005E41EB">
        <w:t xml:space="preserve"> of </w:t>
      </w:r>
      <w:r w:rsidR="003F390C" w:rsidRPr="005E41EB">
        <w:t xml:space="preserve">870 MW thermal and </w:t>
      </w:r>
      <w:r w:rsidR="00F25256" w:rsidRPr="005E41EB">
        <w:t xml:space="preserve">around </w:t>
      </w:r>
      <w:r w:rsidRPr="005E41EB">
        <w:t>300 MW electrical</w:t>
      </w:r>
      <w:r w:rsidR="003F390C" w:rsidRPr="005E41EB">
        <w:t xml:space="preserve"> capacity</w:t>
      </w:r>
      <w:r w:rsidR="005F1F09" w:rsidRPr="005E41EB">
        <w:t xml:space="preserve"> developed by GE-Hitachi.</w:t>
      </w:r>
      <w:r w:rsidR="00430638" w:rsidRPr="005E41EB">
        <w:t xml:space="preserve"> It </w:t>
      </w:r>
      <w:r w:rsidR="00E937AB" w:rsidRPr="005E41EB">
        <w:t xml:space="preserve">is similar to </w:t>
      </w:r>
      <w:r w:rsidR="00D77E1A" w:rsidRPr="005E41EB">
        <w:t xml:space="preserve">current BWRs but </w:t>
      </w:r>
      <w:r w:rsidR="00430638" w:rsidRPr="005E41EB">
        <w:t>relies on natural circulation of the</w:t>
      </w:r>
      <w:r w:rsidR="001E4044" w:rsidRPr="005E41EB">
        <w:t xml:space="preserve"> coolant and th</w:t>
      </w:r>
      <w:r w:rsidR="00D77E1A" w:rsidRPr="005E41EB">
        <w:t>erefore</w:t>
      </w:r>
      <w:r w:rsidR="001E4044" w:rsidRPr="005E41EB">
        <w:t xml:space="preserve"> has no primary pumps.</w:t>
      </w:r>
      <w:r w:rsidR="00D77E1A" w:rsidRPr="005E41EB">
        <w:t xml:space="preserve"> </w:t>
      </w:r>
      <w:r w:rsidR="00104518" w:rsidRPr="005E41EB">
        <w:t xml:space="preserve">The core contains </w:t>
      </w:r>
      <w:r w:rsidR="00643266" w:rsidRPr="005E41EB">
        <w:t xml:space="preserve">240 standard </w:t>
      </w:r>
      <w:r w:rsidR="006755D6" w:rsidRPr="005E41EB">
        <w:t xml:space="preserve">fuel </w:t>
      </w:r>
      <w:r w:rsidR="00FD1DBD" w:rsidRPr="005E41EB">
        <w:t>assemblies</w:t>
      </w:r>
      <w:r w:rsidR="00643266" w:rsidRPr="005E41EB">
        <w:t xml:space="preserve"> with UO</w:t>
      </w:r>
      <w:r w:rsidR="00643266" w:rsidRPr="005E41EB">
        <w:rPr>
          <w:vertAlign w:val="subscript"/>
        </w:rPr>
        <w:t>2</w:t>
      </w:r>
      <w:r w:rsidR="00643266" w:rsidRPr="005E41EB">
        <w:t xml:space="preserve"> fuel pellets and Zr alloy cladding. </w:t>
      </w:r>
      <w:r w:rsidR="00D77E1A" w:rsidRPr="005E41EB">
        <w:t xml:space="preserve">There is a </w:t>
      </w:r>
      <w:r w:rsidR="00DE525B" w:rsidRPr="005E41EB">
        <w:t>chimney between the core and the steam separators to enhance the natural circulation</w:t>
      </w:r>
      <w:r w:rsidR="006D2194" w:rsidRPr="005543DF">
        <w:t>.</w:t>
      </w:r>
      <w:r w:rsidR="005B28F1" w:rsidRPr="005543DF">
        <w:t xml:space="preserve"> </w:t>
      </w:r>
      <w:r w:rsidR="005B28F1" w:rsidRPr="00E01BF4">
        <w:t>All re</w:t>
      </w:r>
      <w:r w:rsidR="00D86516" w:rsidRPr="00E01BF4">
        <w:t>a</w:t>
      </w:r>
      <w:r w:rsidR="005B28F1" w:rsidRPr="00E01BF4">
        <w:t xml:space="preserve">ctor pressure vessel (RPV) nozzles are located well above the </w:t>
      </w:r>
      <w:r w:rsidR="005F53CE" w:rsidRPr="00E01BF4">
        <w:t>core</w:t>
      </w:r>
      <w:r w:rsidR="00F16B78" w:rsidRPr="00E01BF4">
        <w:t xml:space="preserve">, and </w:t>
      </w:r>
      <w:r w:rsidR="00FA51D8" w:rsidRPr="00E01BF4">
        <w:t xml:space="preserve">reactor isolation valves </w:t>
      </w:r>
      <w:r w:rsidR="00812725" w:rsidRPr="00E01BF4">
        <w:t xml:space="preserve">integrated to the RPV are located at </w:t>
      </w:r>
      <w:r w:rsidR="000A0E25" w:rsidRPr="00E01BF4">
        <w:t xml:space="preserve">all nozzles larger than 19 mm to mitigate loss-of-coolant accidents (LOCAs) </w:t>
      </w:r>
      <w:r w:rsidR="00794B9E" w:rsidRPr="00E01BF4">
        <w:t>in case of</w:t>
      </w:r>
      <w:r w:rsidR="00E14085" w:rsidRPr="00E01BF4">
        <w:t xml:space="preserve"> </w:t>
      </w:r>
      <w:r w:rsidR="00794B9E" w:rsidRPr="00E01BF4">
        <w:t>breaks</w:t>
      </w:r>
      <w:r w:rsidR="00E14085" w:rsidRPr="00E01BF4">
        <w:t xml:space="preserve"> on the corresponding pipes</w:t>
      </w:r>
      <w:r w:rsidR="00F16B78" w:rsidRPr="00E01BF4">
        <w:t>.</w:t>
      </w:r>
    </w:p>
    <w:p w14:paraId="4C02B62F" w14:textId="23DD787F" w:rsidR="00650541" w:rsidRPr="005E41EB" w:rsidRDefault="00CA2A5F" w:rsidP="00211AED">
      <w:pPr>
        <w:pStyle w:val="BodyText"/>
      </w:pPr>
      <w:r w:rsidRPr="005E41EB">
        <w:t xml:space="preserve">All safety features </w:t>
      </w:r>
      <w:r w:rsidR="007023EC" w:rsidRPr="005E41EB">
        <w:t>are p</w:t>
      </w:r>
      <w:r w:rsidR="00C4680C" w:rsidRPr="005E41EB">
        <w:t>assive</w:t>
      </w:r>
      <w:r w:rsidR="006817A3" w:rsidRPr="005E41EB">
        <w:t xml:space="preserve"> </w:t>
      </w:r>
      <w:r w:rsidR="007023EC" w:rsidRPr="005E41EB">
        <w:t xml:space="preserve">and specified to be able to keep the core cooled for at least seven </w:t>
      </w:r>
      <w:r w:rsidR="00A16954" w:rsidRPr="005E41EB">
        <w:t>days</w:t>
      </w:r>
      <w:r w:rsidR="00D4481D">
        <w:t xml:space="preserve"> </w:t>
      </w:r>
      <w:r w:rsidR="004B44B4">
        <w:t>during accident scenarios</w:t>
      </w:r>
      <w:r w:rsidR="00A16954" w:rsidRPr="005E41EB">
        <w:t xml:space="preserve">. </w:t>
      </w:r>
      <w:r w:rsidR="003C5C34" w:rsidRPr="005E41EB">
        <w:t xml:space="preserve">An isolation condenser system </w:t>
      </w:r>
      <w:r w:rsidR="00A213F8" w:rsidRPr="005E41EB">
        <w:t xml:space="preserve">provides core cooling in </w:t>
      </w:r>
      <w:r w:rsidR="00A213F8" w:rsidRPr="00E01BF4">
        <w:t>accident</w:t>
      </w:r>
      <w:r w:rsidR="00A213F8" w:rsidRPr="005E41EB">
        <w:t xml:space="preserve"> conditions.</w:t>
      </w:r>
      <w:r w:rsidR="005D0061" w:rsidRPr="005E41EB">
        <w:t xml:space="preserve"> There is also </w:t>
      </w:r>
      <w:r w:rsidR="0031320A" w:rsidRPr="005E41EB">
        <w:t>passive cooling of the containment</w:t>
      </w:r>
      <w:r w:rsidR="00CF2BB6" w:rsidRPr="005E41EB">
        <w:t>, complemented by active cooling during normal operation.</w:t>
      </w:r>
      <w:r w:rsidR="00B32F68" w:rsidRPr="005E41EB">
        <w:t xml:space="preserve"> </w:t>
      </w:r>
      <w:r w:rsidR="00211AED" w:rsidRPr="005E41EB">
        <w:t>In case of malfunctioning normal shutdown of the plant, b</w:t>
      </w:r>
      <w:r w:rsidR="00EC3D5A" w:rsidRPr="005E41EB">
        <w:t xml:space="preserve">oron can be injected </w:t>
      </w:r>
      <w:r w:rsidR="001B7C40" w:rsidRPr="005E41EB">
        <w:t>via</w:t>
      </w:r>
      <w:r w:rsidR="00211AED" w:rsidRPr="005E41EB">
        <w:t xml:space="preserve"> a</w:t>
      </w:r>
      <w:r w:rsidR="00EC3D5A" w:rsidRPr="005E41EB">
        <w:t xml:space="preserve"> manual</w:t>
      </w:r>
      <w:r w:rsidR="00211AED" w:rsidRPr="005E41EB">
        <w:t>ly</w:t>
      </w:r>
      <w:r w:rsidR="00EC3D5A" w:rsidRPr="005E41EB">
        <w:t xml:space="preserve"> </w:t>
      </w:r>
      <w:r w:rsidR="0064636C" w:rsidRPr="005E41EB">
        <w:t>initiat</w:t>
      </w:r>
      <w:r w:rsidR="00211AED" w:rsidRPr="005E41EB">
        <w:t>ed system</w:t>
      </w:r>
      <w:r w:rsidR="00B67F5E" w:rsidRPr="005E41EB">
        <w:t xml:space="preserve"> to </w:t>
      </w:r>
      <w:r w:rsidR="007A2724">
        <w:t>bring the reactor to a subcritical state</w:t>
      </w:r>
      <w:r w:rsidR="00211AED" w:rsidRPr="005E41EB">
        <w:t>.</w:t>
      </w:r>
    </w:p>
    <w:p w14:paraId="68199B55" w14:textId="09B78AFD" w:rsidR="00390358" w:rsidRDefault="00E84AF6" w:rsidP="009E2BB2">
      <w:pPr>
        <w:pStyle w:val="BodyText"/>
      </w:pPr>
      <w:r w:rsidRPr="005E41EB">
        <w:t>The c</w:t>
      </w:r>
      <w:r w:rsidR="00650541" w:rsidRPr="005E41EB">
        <w:t>ontainment</w:t>
      </w:r>
      <w:r w:rsidR="00F17F7C" w:rsidRPr="005E41EB">
        <w:t xml:space="preserve">, </w:t>
      </w:r>
      <w:r w:rsidR="00712CA2">
        <w:t>a</w:t>
      </w:r>
      <w:r w:rsidR="00F17F7C" w:rsidRPr="005E41EB">
        <w:t xml:space="preserve"> major part of which is located below grade,</w:t>
      </w:r>
      <w:r w:rsidR="00650541" w:rsidRPr="005E41EB">
        <w:t xml:space="preserve"> </w:t>
      </w:r>
      <w:r w:rsidRPr="005E41EB">
        <w:t xml:space="preserve">is </w:t>
      </w:r>
      <w:r w:rsidR="00BB6C5D">
        <w:t>planned to</w:t>
      </w:r>
      <w:r w:rsidR="007C79CD">
        <w:t xml:space="preserve"> be</w:t>
      </w:r>
      <w:r w:rsidR="00BB6C5D">
        <w:t xml:space="preserve"> built </w:t>
      </w:r>
      <w:r w:rsidR="00A60CD1">
        <w:t>using steel-plate composite</w:t>
      </w:r>
      <w:r w:rsidR="00A31AE7">
        <w:t>. It is</w:t>
      </w:r>
      <w:r w:rsidR="00423462" w:rsidRPr="005E41EB">
        <w:t xml:space="preserve"> surrounded by a reactor building. Contrary to current BWRs, the containment is dry</w:t>
      </w:r>
      <w:r w:rsidR="00E53EDA" w:rsidRPr="005E41EB">
        <w:t>.</w:t>
      </w:r>
    </w:p>
    <w:p w14:paraId="58BA141E" w14:textId="77777777" w:rsidR="009E2BB2" w:rsidRPr="005E41EB" w:rsidRDefault="009E2BB2" w:rsidP="009E2BB2">
      <w:pPr>
        <w:pStyle w:val="BodyText"/>
      </w:pPr>
    </w:p>
    <w:p w14:paraId="73724F7F" w14:textId="5B7C2CEC" w:rsidR="00445A0F" w:rsidRPr="005E41EB" w:rsidRDefault="00445A0F" w:rsidP="00445A0F">
      <w:pPr>
        <w:pStyle w:val="Heading4"/>
        <w:ind w:left="0"/>
        <w:rPr>
          <w:lang w:val="en-GB"/>
        </w:rPr>
      </w:pPr>
      <w:r w:rsidRPr="005E41EB">
        <w:rPr>
          <w:lang w:val="en-GB"/>
        </w:rPr>
        <w:t>Rolls-Royce SMR</w:t>
      </w:r>
    </w:p>
    <w:p w14:paraId="0B43F2DC" w14:textId="0BC528AA" w:rsidR="00390358" w:rsidRPr="005E41EB" w:rsidRDefault="0086759E" w:rsidP="00390358">
      <w:pPr>
        <w:pStyle w:val="BodyText"/>
      </w:pPr>
      <w:r w:rsidRPr="005E41EB">
        <w:t>The Rolls-Royce SMR</w:t>
      </w:r>
      <w:r w:rsidR="00570073" w:rsidRPr="005E41EB">
        <w:t xml:space="preserve"> </w:t>
      </w:r>
      <w:r w:rsidR="00570073" w:rsidRPr="005E41EB">
        <w:fldChar w:fldCharType="begin" w:fldLock="1"/>
      </w:r>
      <w:r w:rsidR="00960CD4">
        <w:instrText>ADDIN CSL_CITATION {"citationItems":[{"id":"ITEM-1","itemData":{"author":[{"dropping-particle":"","family":"Rolls-Royce","given":"","non-dropping-particle":"","parse-names":false,"suffix":""}],"id":"ITEM-1","issued":{"date-parts":[["2024"]]},"title":"Rolls-Royce generic design assesment website","type":"webpage"},"uris":["http://www.mendeley.com/documents/?uuid=42aa830f-dccd-4b02-a9d5-568411ebadf8"]}],"mendeley":{"formattedCitation":"[8]","plainTextFormattedCitation":"[8]","previouslyFormattedCitation":"[8]"},"properties":{"noteIndex":0},"schema":"https://github.com/citation-style-language/schema/raw/master/csl-citation.json"}</w:instrText>
      </w:r>
      <w:r w:rsidR="00570073" w:rsidRPr="005E41EB">
        <w:fldChar w:fldCharType="separate"/>
      </w:r>
      <w:r w:rsidR="001C5B60" w:rsidRPr="001C5B60">
        <w:rPr>
          <w:noProof/>
        </w:rPr>
        <w:t>[8]</w:t>
      </w:r>
      <w:r w:rsidR="00570073" w:rsidRPr="005E41EB">
        <w:fldChar w:fldCharType="end"/>
      </w:r>
      <w:r w:rsidRPr="005E41EB">
        <w:t xml:space="preserve"> is a three-loop</w:t>
      </w:r>
      <w:r w:rsidR="00295749">
        <w:t xml:space="preserve"> non-integral</w:t>
      </w:r>
      <w:r w:rsidRPr="005E41EB">
        <w:t xml:space="preserve"> PWR of 1358 MW </w:t>
      </w:r>
      <w:r w:rsidR="00C530E2" w:rsidRPr="005E41EB">
        <w:t>thermal and</w:t>
      </w:r>
      <w:r w:rsidRPr="005E41EB">
        <w:t xml:space="preserve"> 470 MW</w:t>
      </w:r>
      <w:r w:rsidR="00C530E2" w:rsidRPr="005E41EB">
        <w:rPr>
          <w:vertAlign w:val="subscript"/>
        </w:rPr>
        <w:t xml:space="preserve"> </w:t>
      </w:r>
      <w:r w:rsidR="00C530E2" w:rsidRPr="005E41EB">
        <w:t>electrical capacity</w:t>
      </w:r>
      <w:r w:rsidR="00265A42" w:rsidRPr="005E41EB">
        <w:t xml:space="preserve"> similar to current PWRs</w:t>
      </w:r>
      <w:r w:rsidR="002123EE" w:rsidRPr="005E41EB">
        <w:t xml:space="preserve"> but smaller</w:t>
      </w:r>
      <w:r w:rsidRPr="005E41EB">
        <w:t>.</w:t>
      </w:r>
      <w:r w:rsidR="00D55C7F" w:rsidRPr="005E41EB">
        <w:t xml:space="preserve"> The core con</w:t>
      </w:r>
      <w:r w:rsidR="004A4609" w:rsidRPr="005E41EB">
        <w:t>tains</w:t>
      </w:r>
      <w:r w:rsidR="00875C56" w:rsidRPr="005E41EB">
        <w:t xml:space="preserve"> </w:t>
      </w:r>
      <w:r w:rsidR="00E959EE" w:rsidRPr="005E41EB">
        <w:t xml:space="preserve">121 </w:t>
      </w:r>
      <w:r w:rsidR="0090504A" w:rsidRPr="005E41EB">
        <w:t>17</w:t>
      </w:r>
      <w:r w:rsidR="00CA6591" w:rsidRPr="005E41EB">
        <w:rPr>
          <w:rFonts w:ascii="Symbol" w:hAnsi="Symbol"/>
          <w:color w:val="000000" w:themeColor="text1"/>
        </w:rPr>
        <w:t></w:t>
      </w:r>
      <w:r w:rsidR="0090504A" w:rsidRPr="005E41EB">
        <w:t>17</w:t>
      </w:r>
      <w:r w:rsidR="00E959EE" w:rsidRPr="005E41EB">
        <w:t xml:space="preserve"> fuel assemblies</w:t>
      </w:r>
      <w:r w:rsidR="00405AE1" w:rsidRPr="005E41EB">
        <w:t>,</w:t>
      </w:r>
      <w:r w:rsidR="00E959EE" w:rsidRPr="005E41EB">
        <w:t xml:space="preserve"> </w:t>
      </w:r>
      <w:r w:rsidR="00405AE1" w:rsidRPr="005E41EB">
        <w:t xml:space="preserve">that are slightly shorter than currently used fuel assemblies, </w:t>
      </w:r>
      <w:r w:rsidR="00E959EE" w:rsidRPr="005E41EB">
        <w:t>with UO</w:t>
      </w:r>
      <w:r w:rsidR="00E959EE" w:rsidRPr="005E41EB">
        <w:rPr>
          <w:vertAlign w:val="subscript"/>
        </w:rPr>
        <w:t>2</w:t>
      </w:r>
      <w:r w:rsidR="00E959EE" w:rsidRPr="005E41EB">
        <w:t xml:space="preserve"> fuel pellets and Zr alloy cladding</w:t>
      </w:r>
      <w:r w:rsidR="00820723" w:rsidRPr="005E41EB">
        <w:t>.</w:t>
      </w:r>
      <w:r w:rsidR="0079444F" w:rsidRPr="005E41EB">
        <w:t xml:space="preserve"> </w:t>
      </w:r>
      <w:r w:rsidR="004A63DA" w:rsidRPr="005E41EB">
        <w:rPr>
          <w:iCs/>
        </w:rPr>
        <w:t xml:space="preserve">The coolant is boron-free; reactivity control is achieved by </w:t>
      </w:r>
      <w:r w:rsidR="00424203">
        <w:rPr>
          <w:iCs/>
        </w:rPr>
        <w:t>control rods (</w:t>
      </w:r>
      <w:r w:rsidR="004A63DA" w:rsidRPr="00424203">
        <w:rPr>
          <w:iCs/>
        </w:rPr>
        <w:t>CRs</w:t>
      </w:r>
      <w:r w:rsidR="00424203">
        <w:rPr>
          <w:iCs/>
        </w:rPr>
        <w:t>)</w:t>
      </w:r>
      <w:r w:rsidR="004A63DA" w:rsidRPr="005E41EB">
        <w:rPr>
          <w:iCs/>
        </w:rPr>
        <w:t xml:space="preserve"> and burnable absorbers</w:t>
      </w:r>
      <w:r w:rsidR="004A63DA" w:rsidRPr="005E41EB">
        <w:t xml:space="preserve">. </w:t>
      </w:r>
      <w:r w:rsidR="00195397" w:rsidRPr="005E41EB">
        <w:t>The RPV</w:t>
      </w:r>
      <w:r w:rsidR="0079444F" w:rsidRPr="005E41EB">
        <w:t xml:space="preserve"> </w:t>
      </w:r>
      <w:r w:rsidR="008A25CB" w:rsidRPr="005E41EB">
        <w:t xml:space="preserve">has an integrated head package </w:t>
      </w:r>
      <w:r w:rsidR="005C37EF" w:rsidRPr="005E41EB">
        <w:t>comprising</w:t>
      </w:r>
      <w:r w:rsidR="00477371" w:rsidRPr="005E41EB">
        <w:t>, among other things,</w:t>
      </w:r>
      <w:r w:rsidR="003813B3" w:rsidRPr="005E41EB">
        <w:t xml:space="preserve"> the control rod drive mechanisms</w:t>
      </w:r>
      <w:r w:rsidR="00051838" w:rsidRPr="005E41EB">
        <w:t xml:space="preserve"> (CRDMs)</w:t>
      </w:r>
      <w:r w:rsidR="0079444F" w:rsidRPr="005E41EB">
        <w:t>.</w:t>
      </w:r>
      <w:r w:rsidR="00195397" w:rsidRPr="005E41EB">
        <w:t xml:space="preserve"> </w:t>
      </w:r>
      <w:r w:rsidR="00203393" w:rsidRPr="005E41EB">
        <w:t xml:space="preserve">There </w:t>
      </w:r>
      <w:r w:rsidR="0091387F" w:rsidRPr="005E41EB">
        <w:t xml:space="preserve">is one pressuriser </w:t>
      </w:r>
      <w:r w:rsidR="00203393" w:rsidRPr="005E41EB">
        <w:lastRenderedPageBreak/>
        <w:t>a</w:t>
      </w:r>
      <w:r w:rsidR="0091387F" w:rsidRPr="005E41EB">
        <w:t>nd</w:t>
      </w:r>
      <w:r w:rsidR="00203393" w:rsidRPr="005E41EB">
        <w:t xml:space="preserve"> th</w:t>
      </w:r>
      <w:r w:rsidR="00586609" w:rsidRPr="005E41EB">
        <w:t>ree vertical U-tube steam generators</w:t>
      </w:r>
      <w:r w:rsidR="00DA719F" w:rsidRPr="005E41EB">
        <w:t xml:space="preserve"> (SGs)</w:t>
      </w:r>
      <w:r w:rsidR="00586609" w:rsidRPr="005E41EB">
        <w:t xml:space="preserve"> with a </w:t>
      </w:r>
      <w:r w:rsidR="00DA719F" w:rsidRPr="005E41EB">
        <w:t xml:space="preserve">centrifugal </w:t>
      </w:r>
      <w:r w:rsidR="00894D34" w:rsidRPr="005E41EB">
        <w:t xml:space="preserve">reactor coolant pump mounted directly </w:t>
      </w:r>
      <w:r w:rsidR="00DA719F" w:rsidRPr="005E41EB">
        <w:t>at the outlet nozzle of each SG.</w:t>
      </w:r>
      <w:r w:rsidR="003174C9" w:rsidRPr="005E41EB">
        <w:t xml:space="preserve"> </w:t>
      </w:r>
      <w:r w:rsidR="00C50D10">
        <w:t xml:space="preserve">The </w:t>
      </w:r>
      <w:r w:rsidR="00CA6550">
        <w:t>circulation during normal operation is thus forced, but during</w:t>
      </w:r>
      <w:r w:rsidR="00474DE1">
        <w:t xml:space="preserve"> accident scenarios there are passive safety features (including natural c</w:t>
      </w:r>
      <w:r w:rsidR="00D23233">
        <w:t>irculation</w:t>
      </w:r>
      <w:r w:rsidR="00474DE1">
        <w:t>)</w:t>
      </w:r>
      <w:r w:rsidR="00D23233" w:rsidRPr="00D23233">
        <w:t xml:space="preserve"> </w:t>
      </w:r>
      <w:r w:rsidR="00D23233">
        <w:t xml:space="preserve">specified to be able </w:t>
      </w:r>
      <w:r w:rsidR="00D23233" w:rsidRPr="005E41EB">
        <w:t>to keep the core cooled for at least three days</w:t>
      </w:r>
      <w:r w:rsidR="00CD695F">
        <w:t>.</w:t>
      </w:r>
      <w:r w:rsidR="00D23233">
        <w:t xml:space="preserve"> </w:t>
      </w:r>
      <w:r w:rsidR="00B51323" w:rsidRPr="005E41EB">
        <w:t>The</w:t>
      </w:r>
      <w:r w:rsidR="003174C9" w:rsidRPr="005E41EB">
        <w:t xml:space="preserve"> containment</w:t>
      </w:r>
      <w:r w:rsidR="00B51323" w:rsidRPr="005E41EB">
        <w:t xml:space="preserve"> is made of steel.</w:t>
      </w:r>
    </w:p>
    <w:p w14:paraId="4F41A17D" w14:textId="75A2A9C6" w:rsidR="002F20FC" w:rsidRDefault="009B23DD" w:rsidP="00D23233">
      <w:pPr>
        <w:pStyle w:val="BodyText"/>
      </w:pPr>
      <w:r w:rsidRPr="005E41EB">
        <w:t xml:space="preserve">The </w:t>
      </w:r>
      <w:r w:rsidR="00B83D22" w:rsidRPr="005E41EB">
        <w:t xml:space="preserve">power plant is planned to </w:t>
      </w:r>
      <w:r w:rsidR="00787D01" w:rsidRPr="005E41EB">
        <w:t xml:space="preserve">be </w:t>
      </w:r>
      <w:r w:rsidR="00B83D22" w:rsidRPr="005E41EB">
        <w:t>built using</w:t>
      </w:r>
      <w:r w:rsidR="00787D01" w:rsidRPr="005E41EB">
        <w:t xml:space="preserve"> </w:t>
      </w:r>
      <w:r w:rsidR="006522F9" w:rsidRPr="005E41EB">
        <w:t xml:space="preserve">a high degree of modularity, meaning that road-transportable modules will be built in a factory and assembled at the </w:t>
      </w:r>
      <w:r w:rsidR="006E5CA2" w:rsidRPr="005E41EB">
        <w:t>construction site.</w:t>
      </w:r>
    </w:p>
    <w:p w14:paraId="56181F3E" w14:textId="77777777" w:rsidR="009E2BB2" w:rsidRPr="005E41EB" w:rsidRDefault="009E2BB2" w:rsidP="00EC4BEA">
      <w:pPr>
        <w:pStyle w:val="BodyText"/>
        <w:ind w:firstLine="0"/>
      </w:pPr>
    </w:p>
    <w:p w14:paraId="3A7C199F" w14:textId="62DDD22E" w:rsidR="00445A0F" w:rsidRPr="005E41EB" w:rsidRDefault="00445A0F" w:rsidP="00445A0F">
      <w:pPr>
        <w:pStyle w:val="Heading4"/>
        <w:ind w:left="0"/>
        <w:rPr>
          <w:lang w:val="en-GB"/>
        </w:rPr>
      </w:pPr>
      <w:r w:rsidRPr="005E41EB">
        <w:rPr>
          <w:lang w:val="en-GB"/>
        </w:rPr>
        <w:t>AP300</w:t>
      </w:r>
    </w:p>
    <w:p w14:paraId="7EDBBCC2" w14:textId="3757DFCE" w:rsidR="006F57EE" w:rsidRDefault="006F57EE" w:rsidP="006F57EE">
      <w:pPr>
        <w:pStyle w:val="BodyText"/>
      </w:pPr>
      <w:r w:rsidRPr="005E41EB">
        <w:t>AP300</w:t>
      </w:r>
      <w:r w:rsidR="00750103" w:rsidRPr="005E41EB">
        <w:t xml:space="preserve"> </w:t>
      </w:r>
      <w:r w:rsidR="00D74022" w:rsidRPr="005E41EB">
        <w:fldChar w:fldCharType="begin" w:fldLock="1"/>
      </w:r>
      <w:r w:rsidR="00D74022">
        <w:instrText>ADDIN CSL_CITATION {"citationItems":[{"id":"ITEM-1","itemData":{"URL":"https://www.westinghousenuclear.com/energy-systems/ap300-smr","author":[{"dropping-particle":"","family":"Westinghouse","given":"","non-dropping-particle":"","parse-names":false,"suffix":""}],"id":"ITEM-1","issued":{"date-parts":[["2024"]]},"title":"Westinghouse AP300","type":"webpage"},"uris":["http://www.mendeley.com/documents/?uuid=b5919cd3-f257-4a9e-8802-995a2afe7135"]}],"mendeley":{"formattedCitation":"[4]","plainTextFormattedCitation":"[4]","previouslyFormattedCitation":"[4]"},"properties":{"noteIndex":0},"schema":"https://github.com/citation-style-language/schema/raw/master/csl-citation.json"}</w:instrText>
      </w:r>
      <w:r w:rsidR="00D74022" w:rsidRPr="005E41EB">
        <w:fldChar w:fldCharType="separate"/>
      </w:r>
      <w:r w:rsidR="00D74022" w:rsidRPr="00D7285D">
        <w:rPr>
          <w:noProof/>
        </w:rPr>
        <w:t>[4]</w:t>
      </w:r>
      <w:r w:rsidR="00D74022" w:rsidRPr="005E41EB">
        <w:fldChar w:fldCharType="end"/>
      </w:r>
      <w:r w:rsidR="00D74022">
        <w:t xml:space="preserve"> </w:t>
      </w:r>
      <w:r w:rsidR="00750103" w:rsidRPr="005E41EB">
        <w:t xml:space="preserve">is a one-loop </w:t>
      </w:r>
      <w:r w:rsidR="00295749">
        <w:t xml:space="preserve">non-integral </w:t>
      </w:r>
      <w:r w:rsidR="00750103" w:rsidRPr="005E41EB">
        <w:t xml:space="preserve">PWR </w:t>
      </w:r>
      <w:r w:rsidR="00642224" w:rsidRPr="005E41EB">
        <w:t xml:space="preserve">of </w:t>
      </w:r>
      <w:r w:rsidR="00D2415E">
        <w:t>about 100</w:t>
      </w:r>
      <w:r w:rsidR="00D004FA">
        <w:t>0</w:t>
      </w:r>
      <w:r w:rsidR="00642224" w:rsidRPr="005E41EB">
        <w:t xml:space="preserve"> MW thermal and</w:t>
      </w:r>
      <w:r w:rsidR="00A75A5F" w:rsidRPr="005E41EB">
        <w:t xml:space="preserve"> 300</w:t>
      </w:r>
      <w:r w:rsidR="00642224" w:rsidRPr="005E41EB">
        <w:t xml:space="preserve"> MW</w:t>
      </w:r>
      <w:r w:rsidR="00642224" w:rsidRPr="005E41EB">
        <w:rPr>
          <w:vertAlign w:val="subscript"/>
        </w:rPr>
        <w:t xml:space="preserve"> </w:t>
      </w:r>
      <w:r w:rsidR="00642224" w:rsidRPr="005E41EB">
        <w:t xml:space="preserve">electrical capacity </w:t>
      </w:r>
      <w:r w:rsidR="00750103" w:rsidRPr="005E41EB">
        <w:t>developed by Westinghouse</w:t>
      </w:r>
      <w:r w:rsidR="00F578DF" w:rsidRPr="005E41EB">
        <w:t xml:space="preserve">. It is similar to </w:t>
      </w:r>
      <w:r w:rsidR="00E07D36" w:rsidRPr="005E41EB">
        <w:t xml:space="preserve">the </w:t>
      </w:r>
      <w:r w:rsidR="00F578DF" w:rsidRPr="005E41EB">
        <w:t xml:space="preserve">AP1000 plant </w:t>
      </w:r>
      <w:r w:rsidR="00E07D36" w:rsidRPr="00357ECB">
        <w:t>of which six</w:t>
      </w:r>
      <w:r w:rsidR="00E07D36" w:rsidRPr="005E41EB">
        <w:t xml:space="preserve"> now are operational in USA and China.</w:t>
      </w:r>
      <w:r w:rsidR="007A2D3C" w:rsidRPr="005E41EB">
        <w:t xml:space="preserve"> The core </w:t>
      </w:r>
      <w:r w:rsidR="00970E10" w:rsidRPr="005E41EB">
        <w:t>con</w:t>
      </w:r>
      <w:r w:rsidR="004A4609" w:rsidRPr="005E41EB">
        <w:t>tains</w:t>
      </w:r>
      <w:r w:rsidR="007A2D3C" w:rsidRPr="005E41EB">
        <w:t xml:space="preserve"> 121 </w:t>
      </w:r>
      <w:r w:rsidR="007A2D3C" w:rsidRPr="00357ECB">
        <w:t>standard</w:t>
      </w:r>
      <w:r w:rsidR="007A2D3C" w:rsidRPr="005E41EB">
        <w:t xml:space="preserve"> 17</w:t>
      </w:r>
      <w:r w:rsidR="007A2D3C" w:rsidRPr="005E41EB">
        <w:rPr>
          <w:rFonts w:ascii="Symbol" w:hAnsi="Symbol"/>
          <w:color w:val="000000" w:themeColor="text1"/>
        </w:rPr>
        <w:t></w:t>
      </w:r>
      <w:r w:rsidR="007A2D3C" w:rsidRPr="005E41EB">
        <w:t xml:space="preserve">17 fuel assemblies planned to employ of </w:t>
      </w:r>
      <w:r w:rsidR="001A02E8" w:rsidRPr="005E41EB">
        <w:t>chromia- and alumina-doped UO</w:t>
      </w:r>
      <w:r w:rsidR="001A02E8" w:rsidRPr="005E41EB">
        <w:rPr>
          <w:vertAlign w:val="subscript"/>
        </w:rPr>
        <w:t>2</w:t>
      </w:r>
      <w:r w:rsidR="0014611C">
        <w:t xml:space="preserve"> </w:t>
      </w:r>
      <w:r w:rsidR="007A2D3C" w:rsidRPr="005E41EB">
        <w:t>pellets</w:t>
      </w:r>
      <w:r w:rsidR="00710C2A">
        <w:t xml:space="preserve"> and Zr alloy cladding</w:t>
      </w:r>
      <w:r w:rsidR="007A2D3C" w:rsidRPr="005E41EB">
        <w:t>.</w:t>
      </w:r>
      <w:r w:rsidR="00B4389C">
        <w:t xml:space="preserve"> Soluble boron</w:t>
      </w:r>
      <w:r w:rsidR="000A5237">
        <w:t xml:space="preserve"> in the coolant, CRs, and burnable absorbers</w:t>
      </w:r>
      <w:r w:rsidR="008B5383">
        <w:t xml:space="preserve"> are used for reactivity control.</w:t>
      </w:r>
      <w:r w:rsidR="00EA2577" w:rsidRPr="005E41EB">
        <w:t xml:space="preserve"> Like in the Rolls-Royce SMR, </w:t>
      </w:r>
      <w:r w:rsidR="00051838" w:rsidRPr="005E41EB">
        <w:t xml:space="preserve">there is </w:t>
      </w:r>
      <w:r w:rsidR="00EA2577" w:rsidRPr="005E41EB">
        <w:t>an integrated</w:t>
      </w:r>
      <w:r w:rsidR="00051838" w:rsidRPr="005E41EB">
        <w:t xml:space="preserve"> RPV</w:t>
      </w:r>
      <w:r w:rsidR="00EA2577" w:rsidRPr="005E41EB">
        <w:t xml:space="preserve"> head package comprising CRDMs and other components</w:t>
      </w:r>
      <w:r w:rsidR="00051838" w:rsidRPr="005E41EB">
        <w:t>.</w:t>
      </w:r>
    </w:p>
    <w:p w14:paraId="10B2BC24" w14:textId="282299C0" w:rsidR="0066381D" w:rsidRPr="005E41EB" w:rsidRDefault="0066381D" w:rsidP="006F57EE">
      <w:pPr>
        <w:pStyle w:val="BodyText"/>
      </w:pPr>
      <w:r>
        <w:t>The circulation during normal operation is forced, but during accident scenarios there are passive safety features (including natural circulation)</w:t>
      </w:r>
      <w:r w:rsidRPr="00D23233">
        <w:t xml:space="preserve"> </w:t>
      </w:r>
      <w:r>
        <w:t xml:space="preserve">specified to be able </w:t>
      </w:r>
      <w:r w:rsidRPr="005E41EB">
        <w:t xml:space="preserve">to keep the core cooled for at least </w:t>
      </w:r>
      <w:r w:rsidR="008533FB">
        <w:t>seven</w:t>
      </w:r>
      <w:r w:rsidR="008533FB" w:rsidRPr="005E41EB">
        <w:t xml:space="preserve"> </w:t>
      </w:r>
      <w:r w:rsidRPr="005E41EB">
        <w:t>days</w:t>
      </w:r>
      <w:r>
        <w:t>.</w:t>
      </w:r>
    </w:p>
    <w:p w14:paraId="7A94F783" w14:textId="39E29194" w:rsidR="009F2B07" w:rsidRPr="005E41EB" w:rsidRDefault="009F2B07" w:rsidP="009F2B07">
      <w:pPr>
        <w:pStyle w:val="BodyText"/>
      </w:pPr>
      <w:r w:rsidRPr="005E41EB">
        <w:t>The containment is a steel vessel surrounded by an outer concrete vessel</w:t>
      </w:r>
      <w:r w:rsidR="00FA2A52" w:rsidRPr="005E41EB">
        <w:t xml:space="preserve"> with a space between them to allow for convective air-cooling.</w:t>
      </w:r>
    </w:p>
    <w:p w14:paraId="533D6E89" w14:textId="77777777" w:rsidR="00390358" w:rsidRPr="005E41EB" w:rsidRDefault="00390358" w:rsidP="00390358">
      <w:pPr>
        <w:pStyle w:val="BodyText"/>
      </w:pPr>
    </w:p>
    <w:p w14:paraId="5835402F" w14:textId="5BAAD8B8" w:rsidR="00445A0F" w:rsidRPr="005E41EB" w:rsidRDefault="00445A0F" w:rsidP="00445A0F">
      <w:pPr>
        <w:pStyle w:val="Heading4"/>
        <w:ind w:left="0"/>
        <w:rPr>
          <w:lang w:val="en-GB"/>
        </w:rPr>
      </w:pPr>
      <w:r w:rsidRPr="005E41EB">
        <w:rPr>
          <w:lang w:val="en-GB"/>
        </w:rPr>
        <w:t>VOYGR</w:t>
      </w:r>
    </w:p>
    <w:p w14:paraId="42C35143" w14:textId="52712A19" w:rsidR="00BB0981" w:rsidRPr="005E41EB" w:rsidRDefault="00912C4A" w:rsidP="00E01BF4">
      <w:pPr>
        <w:pStyle w:val="BodyText"/>
      </w:pPr>
      <w:r w:rsidRPr="005E41EB">
        <w:t>VOYGR</w:t>
      </w:r>
      <w:r w:rsidR="009B0B83" w:rsidRPr="005E41EB">
        <w:t xml:space="preserve"> </w:t>
      </w:r>
      <w:r w:rsidR="009B0B83" w:rsidRPr="005E41EB">
        <w:fldChar w:fldCharType="begin" w:fldLock="1"/>
      </w:r>
      <w:r w:rsidR="00960CD4">
        <w:instrText>ADDIN CSL_CITATION {"citationItems":[{"id":"ITEM-1","itemData":{"URL":"https://www.nuscalepower.com","author":[{"dropping-particle":"","family":"NuScale","given":"","non-dropping-particle":"","parse-names":false,"suffix":""}],"id":"ITEM-1","issued":{"date-parts":[["2024"]]},"title":"NuScale","type":"webpage"},"uris":["http://www.mendeley.com/documents/?uuid=a823ffef-cb93-481d-bc69-961cdb02b8fe"]}],"mendeley":{"formattedCitation":"[9]","plainTextFormattedCitation":"[9]","previouslyFormattedCitation":"[9]"},"properties":{"noteIndex":0},"schema":"https://github.com/citation-style-language/schema/raw/master/csl-citation.json"}</w:instrText>
      </w:r>
      <w:r w:rsidR="009B0B83" w:rsidRPr="005E41EB">
        <w:fldChar w:fldCharType="separate"/>
      </w:r>
      <w:r w:rsidR="001C5B60" w:rsidRPr="001C5B60">
        <w:rPr>
          <w:noProof/>
        </w:rPr>
        <w:t>[9]</w:t>
      </w:r>
      <w:r w:rsidR="009B0B83" w:rsidRPr="005E41EB">
        <w:fldChar w:fldCharType="end"/>
      </w:r>
      <w:r w:rsidRPr="005E41EB">
        <w:t xml:space="preserve"> is an integral PWR of 250 MW thermal and 77 MW electrical capacity </w:t>
      </w:r>
      <w:r w:rsidR="00B036AC" w:rsidRPr="005E41EB">
        <w:t>designed to</w:t>
      </w:r>
      <w:r w:rsidRPr="005E41EB">
        <w:t xml:space="preserve"> be </w:t>
      </w:r>
      <w:r w:rsidR="005D6612" w:rsidRPr="005E41EB">
        <w:t xml:space="preserve">                          </w:t>
      </w:r>
      <w:r w:rsidR="00CA409B" w:rsidRPr="005E41EB">
        <w:t>built</w:t>
      </w:r>
      <w:r w:rsidRPr="005E41EB">
        <w:t xml:space="preserve"> </w:t>
      </w:r>
      <w:r w:rsidR="00542AFD" w:rsidRPr="005E41EB">
        <w:t>in units of</w:t>
      </w:r>
      <w:r w:rsidR="00B036AC" w:rsidRPr="005E41EB">
        <w:t xml:space="preserve"> </w:t>
      </w:r>
      <w:r w:rsidR="00B942E7" w:rsidRPr="005E41EB">
        <w:t>f</w:t>
      </w:r>
      <w:r w:rsidRPr="005E41EB">
        <w:t xml:space="preserve">our, six, </w:t>
      </w:r>
      <w:r w:rsidR="00542AFD" w:rsidRPr="005E41EB">
        <w:t xml:space="preserve">or </w:t>
      </w:r>
      <w:r w:rsidRPr="005E41EB">
        <w:t>twelve</w:t>
      </w:r>
      <w:r w:rsidR="00542AFD" w:rsidRPr="005E41EB">
        <w:t xml:space="preserve"> </w:t>
      </w:r>
      <w:r w:rsidRPr="005E41EB">
        <w:t>modules</w:t>
      </w:r>
      <w:r w:rsidR="00542AFD" w:rsidRPr="005E41EB">
        <w:t xml:space="preserve"> per </w:t>
      </w:r>
      <w:r w:rsidR="00242D1F" w:rsidRPr="005E41EB">
        <w:t>reactor building and control room</w:t>
      </w:r>
      <w:r w:rsidRPr="005E41EB">
        <w:t>.</w:t>
      </w:r>
      <w:r w:rsidR="00BB0981" w:rsidRPr="005E41EB">
        <w:t xml:space="preserve"> </w:t>
      </w:r>
      <w:r w:rsidR="0051051F" w:rsidRPr="005E41EB">
        <w:t xml:space="preserve">It is developed by NuScale. </w:t>
      </w:r>
      <w:r w:rsidR="00BB0981" w:rsidRPr="005E41EB">
        <w:t>The core con</w:t>
      </w:r>
      <w:r w:rsidR="00246C32" w:rsidRPr="005E41EB">
        <w:t>tains</w:t>
      </w:r>
      <w:r w:rsidR="00BB0981" w:rsidRPr="005E41EB">
        <w:t xml:space="preserve"> 37 </w:t>
      </w:r>
      <w:r w:rsidR="00246C32" w:rsidRPr="005E41EB">
        <w:t>17</w:t>
      </w:r>
      <w:r w:rsidR="00E3055B" w:rsidRPr="005E41EB">
        <w:rPr>
          <w:rFonts w:ascii="Symbol" w:hAnsi="Symbol"/>
          <w:color w:val="000000" w:themeColor="text1"/>
        </w:rPr>
        <w:t></w:t>
      </w:r>
      <w:r w:rsidR="00246C32" w:rsidRPr="005E41EB">
        <w:t xml:space="preserve">17 </w:t>
      </w:r>
      <w:r w:rsidR="00BB0981" w:rsidRPr="005E41EB">
        <w:t>fuel assemblies</w:t>
      </w:r>
      <w:r w:rsidR="00633764" w:rsidRPr="005E41EB">
        <w:t xml:space="preserve"> </w:t>
      </w:r>
      <w:r w:rsidR="004B12B6">
        <w:t>with</w:t>
      </w:r>
      <w:r w:rsidR="004B12B6" w:rsidRPr="005E41EB">
        <w:t xml:space="preserve"> </w:t>
      </w:r>
      <w:r w:rsidR="00633764" w:rsidRPr="005E41EB">
        <w:t>UO</w:t>
      </w:r>
      <w:r w:rsidR="00633764" w:rsidRPr="001E5DD8">
        <w:rPr>
          <w:vertAlign w:val="subscript"/>
        </w:rPr>
        <w:t>2</w:t>
      </w:r>
      <w:r w:rsidR="00BB0981" w:rsidRPr="005E41EB">
        <w:t xml:space="preserve"> </w:t>
      </w:r>
      <w:r w:rsidR="00633764" w:rsidRPr="005E41EB">
        <w:t>pellets</w:t>
      </w:r>
      <w:r w:rsidR="006C2633" w:rsidRPr="005E41EB">
        <w:t xml:space="preserve"> and</w:t>
      </w:r>
      <w:r w:rsidR="00633764" w:rsidRPr="005E41EB">
        <w:t xml:space="preserve"> Zr alloy cladding </w:t>
      </w:r>
      <w:r w:rsidR="00BB0981" w:rsidRPr="005E41EB">
        <w:t>of half the height of currently used fuel</w:t>
      </w:r>
      <w:r w:rsidR="00182E63">
        <w:t xml:space="preserve"> assemblies</w:t>
      </w:r>
      <w:r w:rsidR="00BB0981" w:rsidRPr="005E41EB">
        <w:t xml:space="preserve">. </w:t>
      </w:r>
      <w:r w:rsidR="00467F9E" w:rsidRPr="00467F9E">
        <w:t>Soluble boron in the coolant, CRs, and burnable absorbers are used for reactivity control.</w:t>
      </w:r>
      <w:r w:rsidR="00467F9E">
        <w:t xml:space="preserve"> </w:t>
      </w:r>
      <w:r w:rsidR="0011465C" w:rsidRPr="005E41EB">
        <w:t>In addition to the core</w:t>
      </w:r>
      <w:r w:rsidR="00477DA3" w:rsidRPr="005E41EB">
        <w:t xml:space="preserve">, </w:t>
      </w:r>
      <w:r w:rsidR="001E1976" w:rsidRPr="005E41EB">
        <w:t xml:space="preserve">the two </w:t>
      </w:r>
      <w:r w:rsidR="00477DA3" w:rsidRPr="005E41EB">
        <w:t>SGs</w:t>
      </w:r>
      <w:r w:rsidR="0094041F" w:rsidRPr="005E41EB">
        <w:t>, which are of helical-coil</w:t>
      </w:r>
      <w:r w:rsidR="0051261C" w:rsidRPr="005E41EB">
        <w:t xml:space="preserve"> type</w:t>
      </w:r>
      <w:r w:rsidR="0094041F" w:rsidRPr="005E41EB">
        <w:t xml:space="preserve">, </w:t>
      </w:r>
      <w:r w:rsidR="00477DA3" w:rsidRPr="005E41EB">
        <w:t>and</w:t>
      </w:r>
      <w:r w:rsidR="001E1976" w:rsidRPr="005E41EB">
        <w:t xml:space="preserve"> the</w:t>
      </w:r>
      <w:r w:rsidR="00477DA3" w:rsidRPr="005E41EB">
        <w:t xml:space="preserve"> pressuriser are located inside the RPV.</w:t>
      </w:r>
      <w:r w:rsidR="00476789" w:rsidRPr="00476789">
        <w:t xml:space="preserve"> </w:t>
      </w:r>
      <w:r w:rsidR="00476789" w:rsidRPr="005E41EB">
        <w:t>The</w:t>
      </w:r>
      <w:r w:rsidR="00476789">
        <w:t xml:space="preserve"> circulation is natural during normal operation, and the</w:t>
      </w:r>
      <w:r w:rsidR="00476789" w:rsidRPr="005E41EB">
        <w:t>re are passive safety features</w:t>
      </w:r>
      <w:r w:rsidR="00476789" w:rsidRPr="00003AA4">
        <w:t xml:space="preserve"> specified to be able</w:t>
      </w:r>
      <w:r w:rsidR="00476789" w:rsidRPr="005E41EB">
        <w:t xml:space="preserve"> to keep the core cooled for an infinite amount of time and </w:t>
      </w:r>
      <w:r w:rsidR="00476789" w:rsidRPr="00E04306">
        <w:t>used</w:t>
      </w:r>
      <w:r w:rsidR="00476789" w:rsidRPr="005E41EB">
        <w:t xml:space="preserve"> fuel in the fuel pool for at least 150 days.</w:t>
      </w:r>
    </w:p>
    <w:p w14:paraId="151E2BEA" w14:textId="42F97FFB" w:rsidR="0011465C" w:rsidRPr="005E41EB" w:rsidRDefault="0011465C" w:rsidP="00E01BF4">
      <w:pPr>
        <w:pStyle w:val="BodyText"/>
      </w:pPr>
      <w:r w:rsidRPr="005E41EB">
        <w:t xml:space="preserve">A cylindrical steel containment vessel surrounds each RPV and </w:t>
      </w:r>
      <w:r w:rsidR="004C6256" w:rsidRPr="005E41EB">
        <w:t xml:space="preserve">its </w:t>
      </w:r>
      <w:r w:rsidRPr="005E41EB">
        <w:t xml:space="preserve">associated CRDMs and piping. </w:t>
      </w:r>
      <w:r w:rsidR="004C6256" w:rsidRPr="005E41EB">
        <w:t>A</w:t>
      </w:r>
      <w:r w:rsidRPr="005E41EB">
        <w:t xml:space="preserve">ll modules </w:t>
      </w:r>
      <w:r w:rsidR="004C6256" w:rsidRPr="005E41EB">
        <w:t xml:space="preserve">are located in a common reactor pool in the reactor building </w:t>
      </w:r>
      <w:r w:rsidRPr="005E41EB">
        <w:t xml:space="preserve">in sections </w:t>
      </w:r>
      <w:r w:rsidR="004C6256" w:rsidRPr="005E41EB">
        <w:t>separated</w:t>
      </w:r>
      <w:r w:rsidRPr="005E41EB">
        <w:t xml:space="preserve"> by concrete walls.</w:t>
      </w:r>
      <w:r w:rsidR="00AB1416">
        <w:t xml:space="preserve"> The modules are to most part located below grade.</w:t>
      </w:r>
    </w:p>
    <w:p w14:paraId="1F8D62B9" w14:textId="77777777" w:rsidR="00DF1180" w:rsidRPr="005E41EB" w:rsidRDefault="00DF1180" w:rsidP="00390358">
      <w:pPr>
        <w:pStyle w:val="BodyText"/>
      </w:pPr>
    </w:p>
    <w:p w14:paraId="6929A50A" w14:textId="3FE58187" w:rsidR="00817109" w:rsidRPr="005E41EB" w:rsidRDefault="00445A0F" w:rsidP="00817109">
      <w:pPr>
        <w:pStyle w:val="Heading4"/>
        <w:ind w:left="0"/>
        <w:rPr>
          <w:lang w:val="en-GB"/>
        </w:rPr>
      </w:pPr>
      <w:r w:rsidRPr="005E41EB">
        <w:rPr>
          <w:lang w:val="en-GB"/>
        </w:rPr>
        <w:t>N</w:t>
      </w:r>
      <w:r w:rsidR="00DF1180" w:rsidRPr="005E41EB">
        <w:rPr>
          <w:lang w:val="en-GB"/>
        </w:rPr>
        <w:t>UWARD</w:t>
      </w:r>
    </w:p>
    <w:p w14:paraId="7596E7CF" w14:textId="02325E2B" w:rsidR="00583FAA" w:rsidRDefault="00817109" w:rsidP="00583FAA">
      <w:pPr>
        <w:pStyle w:val="BodyText"/>
      </w:pPr>
      <w:r w:rsidRPr="005E41EB">
        <w:t xml:space="preserve">NUWARD </w:t>
      </w:r>
      <w:r w:rsidR="00D74022" w:rsidRPr="005E41EB">
        <w:rPr>
          <w:i/>
        </w:rPr>
        <w:fldChar w:fldCharType="begin" w:fldLock="1"/>
      </w:r>
      <w:r w:rsidR="00D74022">
        <w:instrText>ADDIN CSL_CITATION {"citationItems":[{"id":"ITEM-1","itemData":{"URL":"https://www.edf.fr/en/the-edf-group/producing-a-climate-friendly-energy/nuclear-energy/shaping-the-future-of-nuclear/the-nuwardtm-smr-solution/the-solution","author":[{"dropping-particle":"","family":"EDF","given":"","non-dropping-particle":"","parse-names":false,"suffix":""}],"id":"ITEM-1","issued":{"date-parts":[["2024"]]},"title":"The NUWARD SMR solution","type":"webpage"},"uris":["http://www.mendeley.com/documents/?uuid=94cf0389-147f-4174-9dfa-c8506ae99f95"]}],"mendeley":{"formattedCitation":"[10]","plainTextFormattedCitation":"[10]","previouslyFormattedCitation":"[10]"},"properties":{"noteIndex":0},"schema":"https://github.com/citation-style-language/schema/raw/master/csl-citation.json"}</w:instrText>
      </w:r>
      <w:r w:rsidR="00D74022" w:rsidRPr="005E41EB">
        <w:rPr>
          <w:i/>
        </w:rPr>
        <w:fldChar w:fldCharType="separate"/>
      </w:r>
      <w:r w:rsidR="00D74022" w:rsidRPr="001C5B60">
        <w:rPr>
          <w:noProof/>
        </w:rPr>
        <w:t>[10]</w:t>
      </w:r>
      <w:r w:rsidR="00D74022" w:rsidRPr="005E41EB">
        <w:rPr>
          <w:i/>
        </w:rPr>
        <w:fldChar w:fldCharType="end"/>
      </w:r>
      <w:r w:rsidR="00D74022">
        <w:rPr>
          <w:i/>
        </w:rPr>
        <w:t xml:space="preserve"> </w:t>
      </w:r>
      <w:r w:rsidRPr="005E41EB">
        <w:t xml:space="preserve">is an integral PWR </w:t>
      </w:r>
      <w:r w:rsidR="00276E91" w:rsidRPr="005E41EB">
        <w:t xml:space="preserve">of </w:t>
      </w:r>
      <w:r w:rsidR="00E74D0E" w:rsidRPr="005E41EB">
        <w:rPr>
          <w:iCs/>
        </w:rPr>
        <w:t>2</w:t>
      </w:r>
      <w:r w:rsidR="00E74D0E" w:rsidRPr="005E41EB">
        <w:rPr>
          <w:rFonts w:ascii="Symbol" w:hAnsi="Symbol"/>
          <w:iCs/>
          <w:color w:val="000000" w:themeColor="text1"/>
        </w:rPr>
        <w:t></w:t>
      </w:r>
      <w:r w:rsidRPr="005E41EB">
        <w:t>540 MW</w:t>
      </w:r>
      <w:r w:rsidR="00276E91" w:rsidRPr="005E41EB">
        <w:t xml:space="preserve"> thermal</w:t>
      </w:r>
      <w:r w:rsidRPr="005E41EB">
        <w:t xml:space="preserve"> and </w:t>
      </w:r>
      <w:r w:rsidR="00E74D0E" w:rsidRPr="005E41EB">
        <w:rPr>
          <w:iCs/>
        </w:rPr>
        <w:t>2</w:t>
      </w:r>
      <w:r w:rsidR="00E74D0E" w:rsidRPr="005E41EB">
        <w:rPr>
          <w:rFonts w:ascii="Symbol" w:hAnsi="Symbol"/>
          <w:iCs/>
          <w:color w:val="000000" w:themeColor="text1"/>
        </w:rPr>
        <w:t></w:t>
      </w:r>
      <w:r w:rsidRPr="005E41EB">
        <w:t>170 MW</w:t>
      </w:r>
      <w:r w:rsidR="00276E91" w:rsidRPr="005E41EB">
        <w:t xml:space="preserve"> electrical capacity</w:t>
      </w:r>
      <w:r w:rsidR="0051051F" w:rsidRPr="005E41EB">
        <w:t xml:space="preserve"> developed by EDF</w:t>
      </w:r>
      <w:r w:rsidR="00276E91" w:rsidRPr="005E41EB">
        <w:t>.</w:t>
      </w:r>
      <w:r w:rsidR="004F167F" w:rsidRPr="005E41EB">
        <w:t xml:space="preserve"> T</w:t>
      </w:r>
      <w:r w:rsidR="00EF448F" w:rsidRPr="005E41EB">
        <w:t>here are t</w:t>
      </w:r>
      <w:r w:rsidR="004F167F" w:rsidRPr="005E41EB">
        <w:t>wo reactors</w:t>
      </w:r>
      <w:r w:rsidR="004E702F" w:rsidRPr="005E41EB">
        <w:t xml:space="preserve"> </w:t>
      </w:r>
      <w:r w:rsidR="00EF448F" w:rsidRPr="005E41EB">
        <w:t>per</w:t>
      </w:r>
      <w:r w:rsidR="005F59A8" w:rsidRPr="005E41EB">
        <w:t xml:space="preserve"> unit. </w:t>
      </w:r>
      <w:r w:rsidR="00BA75FC" w:rsidRPr="005E41EB">
        <w:rPr>
          <w:iCs/>
        </w:rPr>
        <w:t>The core contains of 76 17</w:t>
      </w:r>
      <w:r w:rsidR="00BA75FC" w:rsidRPr="005E41EB">
        <w:rPr>
          <w:rFonts w:ascii="Symbol" w:hAnsi="Symbol"/>
          <w:iCs/>
          <w:color w:val="000000" w:themeColor="text1"/>
        </w:rPr>
        <w:t></w:t>
      </w:r>
      <w:r w:rsidR="00BA75FC" w:rsidRPr="005E41EB">
        <w:rPr>
          <w:iCs/>
        </w:rPr>
        <w:t>17 fuel assemblies, shorter than those in current reactors</w:t>
      </w:r>
      <w:r w:rsidR="008B0F58">
        <w:rPr>
          <w:iCs/>
        </w:rPr>
        <w:t>, with UO</w:t>
      </w:r>
      <w:r w:rsidR="008B0F58" w:rsidRPr="00E01BF4">
        <w:rPr>
          <w:iCs/>
          <w:vertAlign w:val="subscript"/>
        </w:rPr>
        <w:t>2</w:t>
      </w:r>
      <w:r w:rsidR="008B0F58">
        <w:rPr>
          <w:iCs/>
        </w:rPr>
        <w:t xml:space="preserve"> fuel pellets</w:t>
      </w:r>
      <w:r w:rsidR="00BA75FC" w:rsidRPr="005E41EB">
        <w:rPr>
          <w:iCs/>
        </w:rPr>
        <w:t xml:space="preserve">. </w:t>
      </w:r>
      <w:r w:rsidR="00F70FEB" w:rsidRPr="005E41EB">
        <w:rPr>
          <w:iCs/>
        </w:rPr>
        <w:t xml:space="preserve">In addition to the core there are CRDMs, six plate-type SGs </w:t>
      </w:r>
      <w:r w:rsidR="009D7E04" w:rsidRPr="005E41EB">
        <w:rPr>
          <w:iCs/>
        </w:rPr>
        <w:t xml:space="preserve">for normal operation and two for </w:t>
      </w:r>
      <w:r w:rsidR="009D7E04" w:rsidRPr="00E01BF4">
        <w:rPr>
          <w:iCs/>
        </w:rPr>
        <w:t>accident</w:t>
      </w:r>
      <w:r w:rsidR="009D7E04" w:rsidRPr="005E41EB">
        <w:rPr>
          <w:iCs/>
        </w:rPr>
        <w:t xml:space="preserve"> conditions</w:t>
      </w:r>
      <w:r w:rsidR="00FC2B4B" w:rsidRPr="005E41EB">
        <w:rPr>
          <w:iCs/>
        </w:rPr>
        <w:t xml:space="preserve">, and </w:t>
      </w:r>
      <w:r w:rsidR="005E41EB">
        <w:rPr>
          <w:iCs/>
        </w:rPr>
        <w:t>pressuriser</w:t>
      </w:r>
      <w:r w:rsidR="00FC2B4B" w:rsidRPr="005E41EB">
        <w:rPr>
          <w:iCs/>
        </w:rPr>
        <w:t xml:space="preserve"> inside the RPV. </w:t>
      </w:r>
      <w:r w:rsidR="00BA75FC" w:rsidRPr="005E41EB">
        <w:rPr>
          <w:iCs/>
        </w:rPr>
        <w:t>The coolant is boron-free; reactivity control is achieved by CRs and burnable absorbers</w:t>
      </w:r>
      <w:r w:rsidR="00BA75FC" w:rsidRPr="005E41EB">
        <w:t xml:space="preserve">. </w:t>
      </w:r>
      <w:r w:rsidR="00583FAA">
        <w:t>The circulation during normal operation is forced,</w:t>
      </w:r>
      <w:r w:rsidR="00904734">
        <w:t xml:space="preserve"> using </w:t>
      </w:r>
      <w:r w:rsidR="00E3576D">
        <w:t xml:space="preserve">six </w:t>
      </w:r>
      <w:r w:rsidR="0070636E">
        <w:t>horizontal canned-rotor pumps mounted on the RPV,</w:t>
      </w:r>
      <w:r w:rsidR="00583FAA">
        <w:t xml:space="preserve"> but during accident scenarios there are passive safety features (including natural circulation)</w:t>
      </w:r>
      <w:r w:rsidR="00583FAA" w:rsidRPr="00D23233">
        <w:t xml:space="preserve"> </w:t>
      </w:r>
      <w:r w:rsidR="00583FAA">
        <w:t xml:space="preserve">specified to be able </w:t>
      </w:r>
      <w:r w:rsidR="00583FAA" w:rsidRPr="005E41EB">
        <w:t xml:space="preserve">to keep the core cooled for at least </w:t>
      </w:r>
      <w:r w:rsidR="00583FAA">
        <w:t>seven</w:t>
      </w:r>
      <w:r w:rsidR="00583FAA" w:rsidRPr="005E41EB">
        <w:t xml:space="preserve"> days</w:t>
      </w:r>
      <w:r w:rsidR="00583FAA">
        <w:t>.</w:t>
      </w:r>
    </w:p>
    <w:p w14:paraId="61423B4C" w14:textId="7E41B1D0" w:rsidR="00F149A7" w:rsidRPr="005E41EB" w:rsidRDefault="00F149A7" w:rsidP="00583FAA">
      <w:pPr>
        <w:pStyle w:val="BodyText"/>
      </w:pPr>
      <w:r>
        <w:t>The containment is made of steel and located in the reactor pool.</w:t>
      </w:r>
      <w:r w:rsidR="00AB1416">
        <w:t xml:space="preserve"> </w:t>
      </w:r>
      <w:r w:rsidR="00C65510">
        <w:t>The pool is planned to most part</w:t>
      </w:r>
      <w:r w:rsidR="00660760">
        <w:t xml:space="preserve"> to</w:t>
      </w:r>
      <w:r w:rsidR="00C65510">
        <w:t xml:space="preserve"> be located below grade.</w:t>
      </w:r>
    </w:p>
    <w:p w14:paraId="7E54E190" w14:textId="77777777" w:rsidR="00445A0F" w:rsidRPr="005E41EB" w:rsidRDefault="00445A0F" w:rsidP="00445A0F">
      <w:pPr>
        <w:pStyle w:val="BodyText"/>
      </w:pPr>
    </w:p>
    <w:p w14:paraId="3D268901" w14:textId="5E058DD7" w:rsidR="00445A0F" w:rsidRPr="005E41EB" w:rsidRDefault="00445A0F" w:rsidP="00445A0F">
      <w:pPr>
        <w:pStyle w:val="Heading3"/>
      </w:pPr>
      <w:r w:rsidRPr="005E41EB">
        <w:t>Novelties</w:t>
      </w:r>
    </w:p>
    <w:p w14:paraId="4FFD22A2" w14:textId="7DD3FDDA" w:rsidR="00445A0F" w:rsidRDefault="00A10DB2" w:rsidP="00162908">
      <w:pPr>
        <w:pStyle w:val="BodyText"/>
        <w:rPr>
          <w:color w:val="000000" w:themeColor="text1"/>
        </w:rPr>
      </w:pPr>
      <w:r w:rsidRPr="005E41EB">
        <w:rPr>
          <w:color w:val="000000" w:themeColor="text1"/>
        </w:rPr>
        <w:t>Novelties in the abovelisted design</w:t>
      </w:r>
      <w:r w:rsidR="007B5DC7" w:rsidRPr="005E41EB">
        <w:rPr>
          <w:color w:val="000000" w:themeColor="text1"/>
        </w:rPr>
        <w:t xml:space="preserve">s that are </w:t>
      </w:r>
      <w:r w:rsidR="00F53F09" w:rsidRPr="005E41EB">
        <w:rPr>
          <w:color w:val="000000" w:themeColor="text1"/>
        </w:rPr>
        <w:t>important to</w:t>
      </w:r>
      <w:r w:rsidR="001A13A8" w:rsidRPr="005E41EB">
        <w:rPr>
          <w:color w:val="000000" w:themeColor="text1"/>
        </w:rPr>
        <w:t xml:space="preserve"> consider</w:t>
      </w:r>
      <w:r w:rsidR="00F53F09" w:rsidRPr="005E41EB">
        <w:rPr>
          <w:color w:val="000000" w:themeColor="text1"/>
        </w:rPr>
        <w:t xml:space="preserve"> </w:t>
      </w:r>
      <w:r w:rsidR="005A5BB1">
        <w:rPr>
          <w:color w:val="000000" w:themeColor="text1"/>
        </w:rPr>
        <w:t>for further inve</w:t>
      </w:r>
      <w:r w:rsidR="0074561B">
        <w:rPr>
          <w:color w:val="000000" w:themeColor="text1"/>
        </w:rPr>
        <w:t xml:space="preserve">stigation </w:t>
      </w:r>
      <w:r w:rsidR="007B5DC7" w:rsidRPr="005E41EB">
        <w:rPr>
          <w:color w:val="000000" w:themeColor="text1"/>
        </w:rPr>
        <w:t>are</w:t>
      </w:r>
      <w:r w:rsidR="006638C5" w:rsidRPr="005E41EB">
        <w:rPr>
          <w:color w:val="000000" w:themeColor="text1"/>
        </w:rPr>
        <w:t xml:space="preserve"> </w:t>
      </w:r>
      <w:r w:rsidR="006638C5" w:rsidRPr="008B3F48">
        <w:rPr>
          <w:color w:val="000000" w:themeColor="text1"/>
        </w:rPr>
        <w:t>discussed</w:t>
      </w:r>
      <w:r w:rsidR="006638C5" w:rsidRPr="005E41EB">
        <w:rPr>
          <w:color w:val="000000" w:themeColor="text1"/>
        </w:rPr>
        <w:t xml:space="preserve"> in this section</w:t>
      </w:r>
      <w:r w:rsidR="00A45B33" w:rsidRPr="005E41EB">
        <w:rPr>
          <w:color w:val="000000" w:themeColor="text1"/>
        </w:rPr>
        <w:t>.</w:t>
      </w:r>
      <w:r w:rsidR="00B53F24" w:rsidRPr="005E41EB">
        <w:rPr>
          <w:color w:val="000000" w:themeColor="text1"/>
        </w:rPr>
        <w:t xml:space="preserve"> </w:t>
      </w:r>
      <w:r w:rsidR="006B1395" w:rsidRPr="005E41EB">
        <w:rPr>
          <w:color w:val="000000" w:themeColor="text1"/>
        </w:rPr>
        <w:t>The novelties considered are modularity, the smaller size of SMRs,</w:t>
      </w:r>
      <w:r w:rsidR="000512A5">
        <w:rPr>
          <w:color w:val="000000" w:themeColor="text1"/>
        </w:rPr>
        <w:t xml:space="preserve"> </w:t>
      </w:r>
      <w:r w:rsidR="000512A5" w:rsidRPr="005E41EB">
        <w:rPr>
          <w:color w:val="000000" w:themeColor="text1"/>
        </w:rPr>
        <w:t>integral PWR designs, boron-</w:t>
      </w:r>
      <w:r w:rsidR="000512A5" w:rsidRPr="005E41EB">
        <w:rPr>
          <w:color w:val="000000" w:themeColor="text1"/>
        </w:rPr>
        <w:lastRenderedPageBreak/>
        <w:t>free PWR coolant</w:t>
      </w:r>
      <w:r w:rsidR="00D70AB0">
        <w:rPr>
          <w:color w:val="000000" w:themeColor="text1"/>
        </w:rPr>
        <w:t>,</w:t>
      </w:r>
      <w:r w:rsidR="000512A5" w:rsidRPr="005E41EB">
        <w:rPr>
          <w:color w:val="000000" w:themeColor="text1"/>
        </w:rPr>
        <w:t xml:space="preserve"> </w:t>
      </w:r>
      <w:r w:rsidR="000E19DB">
        <w:rPr>
          <w:color w:val="000000" w:themeColor="text1"/>
        </w:rPr>
        <w:t xml:space="preserve">enhanced </w:t>
      </w:r>
      <w:r w:rsidR="006B1395" w:rsidRPr="005E41EB">
        <w:rPr>
          <w:color w:val="000000" w:themeColor="text1"/>
        </w:rPr>
        <w:t>natural circulation</w:t>
      </w:r>
      <w:r w:rsidR="008B11E6" w:rsidRPr="005E41EB">
        <w:rPr>
          <w:color w:val="000000" w:themeColor="text1"/>
        </w:rPr>
        <w:t xml:space="preserve">, </w:t>
      </w:r>
      <w:r w:rsidR="00904E06">
        <w:rPr>
          <w:color w:val="000000" w:themeColor="text1"/>
        </w:rPr>
        <w:t xml:space="preserve">increased use of </w:t>
      </w:r>
      <w:r w:rsidR="008B11E6" w:rsidRPr="005E41EB">
        <w:rPr>
          <w:color w:val="000000" w:themeColor="text1"/>
        </w:rPr>
        <w:t>passive safety systems, novel containment designs, increased load-following capability</w:t>
      </w:r>
      <w:r w:rsidR="00C425C9" w:rsidRPr="005E41EB">
        <w:rPr>
          <w:color w:val="000000" w:themeColor="text1"/>
        </w:rPr>
        <w:t xml:space="preserve">, </w:t>
      </w:r>
      <w:r w:rsidR="000512A5">
        <w:rPr>
          <w:color w:val="000000" w:themeColor="text1"/>
        </w:rPr>
        <w:t xml:space="preserve">and </w:t>
      </w:r>
      <w:r w:rsidR="00C425C9" w:rsidRPr="005E41EB">
        <w:rPr>
          <w:color w:val="000000" w:themeColor="text1"/>
        </w:rPr>
        <w:t>dry storage of spent nuclear fuel</w:t>
      </w:r>
      <w:r w:rsidR="00162908" w:rsidRPr="005E41EB">
        <w:rPr>
          <w:color w:val="000000" w:themeColor="text1"/>
        </w:rPr>
        <w:t>.</w:t>
      </w:r>
      <w:r w:rsidR="00D70AB0">
        <w:rPr>
          <w:color w:val="000000" w:themeColor="text1"/>
        </w:rPr>
        <w:t xml:space="preserve"> </w:t>
      </w:r>
      <w:r w:rsidR="000234D5">
        <w:rPr>
          <w:color w:val="000000" w:themeColor="text1"/>
        </w:rPr>
        <w:t>L</w:t>
      </w:r>
      <w:r w:rsidR="00B33D11">
        <w:rPr>
          <w:color w:val="000000" w:themeColor="text1"/>
        </w:rPr>
        <w:t>icensing</w:t>
      </w:r>
      <w:r w:rsidR="000234D5">
        <w:rPr>
          <w:color w:val="000000" w:themeColor="text1"/>
        </w:rPr>
        <w:t>, c</w:t>
      </w:r>
      <w:r w:rsidR="00C524F1">
        <w:rPr>
          <w:color w:val="000000" w:themeColor="text1"/>
        </w:rPr>
        <w:t>onstruction</w:t>
      </w:r>
      <w:r w:rsidR="00343206">
        <w:rPr>
          <w:color w:val="000000" w:themeColor="text1"/>
        </w:rPr>
        <w:t>, and o</w:t>
      </w:r>
      <w:r w:rsidR="008E68B3">
        <w:rPr>
          <w:color w:val="000000" w:themeColor="text1"/>
        </w:rPr>
        <w:t>peration</w:t>
      </w:r>
      <w:r w:rsidR="00343206">
        <w:rPr>
          <w:color w:val="000000" w:themeColor="text1"/>
        </w:rPr>
        <w:t>/m</w:t>
      </w:r>
      <w:r w:rsidR="001775E7">
        <w:rPr>
          <w:color w:val="000000" w:themeColor="text1"/>
        </w:rPr>
        <w:t>aintenance</w:t>
      </w:r>
      <w:r w:rsidR="00343206">
        <w:rPr>
          <w:color w:val="000000" w:themeColor="text1"/>
        </w:rPr>
        <w:t xml:space="preserve"> </w:t>
      </w:r>
      <w:r w:rsidR="00D70AB0">
        <w:rPr>
          <w:color w:val="000000" w:themeColor="text1"/>
        </w:rPr>
        <w:t xml:space="preserve">of </w:t>
      </w:r>
      <w:r w:rsidR="00343206">
        <w:rPr>
          <w:color w:val="000000" w:themeColor="text1"/>
        </w:rPr>
        <w:t xml:space="preserve">the SMRs might be affected by </w:t>
      </w:r>
      <w:r w:rsidR="00D70AB0">
        <w:rPr>
          <w:color w:val="000000" w:themeColor="text1"/>
        </w:rPr>
        <w:t>these</w:t>
      </w:r>
      <w:r w:rsidR="007B6188">
        <w:rPr>
          <w:color w:val="000000" w:themeColor="text1"/>
        </w:rPr>
        <w:t xml:space="preserve"> novelties.</w:t>
      </w:r>
      <w:r w:rsidR="00104BFD">
        <w:rPr>
          <w:color w:val="000000" w:themeColor="text1"/>
        </w:rPr>
        <w:t xml:space="preserve"> </w:t>
      </w:r>
      <w:r w:rsidR="00A46359">
        <w:rPr>
          <w:color w:val="000000" w:themeColor="text1"/>
        </w:rPr>
        <w:t>Fuel cycle back-end aspects and d</w:t>
      </w:r>
      <w:r w:rsidR="00104BFD">
        <w:rPr>
          <w:color w:val="000000" w:themeColor="text1"/>
        </w:rPr>
        <w:t xml:space="preserve">ecommissioning </w:t>
      </w:r>
      <w:r w:rsidR="001532E0">
        <w:rPr>
          <w:color w:val="000000" w:themeColor="text1"/>
        </w:rPr>
        <w:t>are here considered to be part of o</w:t>
      </w:r>
      <w:r w:rsidR="008E68B3">
        <w:rPr>
          <w:color w:val="000000" w:themeColor="text1"/>
        </w:rPr>
        <w:t>peration</w:t>
      </w:r>
      <w:r w:rsidR="001532E0">
        <w:rPr>
          <w:color w:val="000000" w:themeColor="text1"/>
        </w:rPr>
        <w:t>/m</w:t>
      </w:r>
      <w:r w:rsidR="001775E7">
        <w:rPr>
          <w:color w:val="000000" w:themeColor="text1"/>
        </w:rPr>
        <w:t>aintenance</w:t>
      </w:r>
      <w:r w:rsidR="001532E0">
        <w:rPr>
          <w:color w:val="000000" w:themeColor="text1"/>
        </w:rPr>
        <w:t>.</w:t>
      </w:r>
      <w:r w:rsidR="007B6188">
        <w:rPr>
          <w:color w:val="000000" w:themeColor="text1"/>
        </w:rPr>
        <w:t xml:space="preserve"> Table 2 shows which </w:t>
      </w:r>
      <w:r w:rsidR="002D098C">
        <w:rPr>
          <w:color w:val="000000" w:themeColor="text1"/>
        </w:rPr>
        <w:t xml:space="preserve">novelties affect which of these </w:t>
      </w:r>
      <w:r w:rsidR="000E5097">
        <w:rPr>
          <w:color w:val="000000" w:themeColor="text1"/>
        </w:rPr>
        <w:t>categories</w:t>
      </w:r>
      <w:r w:rsidR="002D098C">
        <w:rPr>
          <w:color w:val="000000" w:themeColor="text1"/>
        </w:rPr>
        <w:t>.</w:t>
      </w:r>
    </w:p>
    <w:p w14:paraId="4823F1F5" w14:textId="77777777" w:rsidR="00F34EFF" w:rsidRDefault="00F34EFF" w:rsidP="00162908">
      <w:pPr>
        <w:pStyle w:val="BodyText"/>
        <w:rPr>
          <w:color w:val="000000" w:themeColor="text1"/>
        </w:rPr>
      </w:pPr>
    </w:p>
    <w:p w14:paraId="539F981A" w14:textId="0E292C59" w:rsidR="00BC780E" w:rsidRDefault="00BC780E" w:rsidP="00BC780E">
      <w:pPr>
        <w:pStyle w:val="BodyText"/>
        <w:ind w:firstLine="0"/>
      </w:pPr>
      <w:r w:rsidRPr="005E41EB">
        <w:t xml:space="preserve">TABLE </w:t>
      </w:r>
      <w:r>
        <w:t>2</w:t>
      </w:r>
      <w:r w:rsidRPr="005E41EB">
        <w:t>.</w:t>
      </w:r>
      <w:r w:rsidRPr="005E41EB">
        <w:tab/>
      </w:r>
      <w:r>
        <w:t xml:space="preserve">Novelties in the </w:t>
      </w:r>
      <w:r w:rsidRPr="005E41EB">
        <w:t xml:space="preserve">SMR designs considered </w:t>
      </w:r>
      <w:r>
        <w:t xml:space="preserve">and </w:t>
      </w:r>
      <w:r w:rsidR="008062B3">
        <w:t xml:space="preserve">which of the </w:t>
      </w:r>
      <w:r w:rsidR="008062B3" w:rsidRPr="000E5097">
        <w:t>categories</w:t>
      </w:r>
      <w:r w:rsidR="008062B3">
        <w:t xml:space="preserve"> </w:t>
      </w:r>
      <w:r w:rsidR="002A44EE">
        <w:t>l</w:t>
      </w:r>
      <w:r w:rsidR="00B33D11">
        <w:t>icensing</w:t>
      </w:r>
      <w:r w:rsidR="002A44EE">
        <w:t>, c</w:t>
      </w:r>
      <w:r w:rsidR="00C524F1">
        <w:t>onstruction</w:t>
      </w:r>
      <w:r w:rsidR="002A44EE">
        <w:t>, and o</w:t>
      </w:r>
      <w:r w:rsidR="008E68B3">
        <w:t>peration</w:t>
      </w:r>
      <w:r w:rsidR="002A44EE">
        <w:t>/m</w:t>
      </w:r>
      <w:r w:rsidR="001775E7">
        <w:t>aintenance</w:t>
      </w:r>
      <w:r w:rsidR="002A44EE">
        <w:t xml:space="preserve"> the</w:t>
      </w:r>
      <w:r w:rsidR="004F3D22">
        <w:t xml:space="preserve">y </w:t>
      </w:r>
      <w:r w:rsidR="002A44EE">
        <w:t>might affect</w:t>
      </w:r>
      <w:r w:rsidR="004F3D22">
        <w:t xml:space="preserve"> (as indicated by </w:t>
      </w:r>
      <w:r w:rsidR="00DA494D">
        <w:t>the</w:t>
      </w:r>
      <w:r w:rsidR="003E2733">
        <w:t xml:space="preserve"> </w:t>
      </w:r>
      <w:proofErr w:type="spellStart"/>
      <w:r w:rsidR="004F3D22">
        <w:t>X</w:t>
      </w:r>
      <w:r w:rsidR="00DA494D">
        <w:t>s</w:t>
      </w:r>
      <w:proofErr w:type="spellEnd"/>
      <w:r w:rsidR="004F3D22">
        <w:t>)</w:t>
      </w:r>
      <w:r w:rsidRPr="005E41EB">
        <w:t>.</w:t>
      </w:r>
    </w:p>
    <w:p w14:paraId="7E1BB471" w14:textId="77777777" w:rsidR="00BC780E" w:rsidRPr="005E41EB" w:rsidRDefault="00BC780E" w:rsidP="00BC780E">
      <w:pPr>
        <w:pStyle w:val="BodyText"/>
        <w:ind w:firstLine="0"/>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1"/>
        <w:gridCol w:w="2394"/>
      </w:tblGrid>
      <w:tr w:rsidR="00BF75C2" w:rsidRPr="005E41EB" w14:paraId="69E5150C" w14:textId="77777777" w:rsidTr="00BC780E">
        <w:trPr>
          <w:jc w:val="center"/>
        </w:trPr>
        <w:tc>
          <w:tcPr>
            <w:tcW w:w="1741" w:type="dxa"/>
            <w:tcBorders>
              <w:top w:val="single" w:sz="4" w:space="0" w:color="auto"/>
              <w:bottom w:val="single" w:sz="4" w:space="0" w:color="auto"/>
            </w:tcBorders>
          </w:tcPr>
          <w:p w14:paraId="05665FAD" w14:textId="46EF4694" w:rsidR="00BF75C2" w:rsidRPr="005E41EB" w:rsidRDefault="00BF75C2" w:rsidP="00ED09E8">
            <w:pPr>
              <w:pStyle w:val="BodyText"/>
              <w:ind w:firstLine="0"/>
            </w:pPr>
            <w:r>
              <w:t>Novelty</w:t>
            </w:r>
          </w:p>
        </w:tc>
        <w:tc>
          <w:tcPr>
            <w:tcW w:w="1741" w:type="dxa"/>
            <w:tcBorders>
              <w:top w:val="single" w:sz="4" w:space="0" w:color="auto"/>
              <w:bottom w:val="single" w:sz="4" w:space="0" w:color="auto"/>
            </w:tcBorders>
          </w:tcPr>
          <w:p w14:paraId="43712B91" w14:textId="5C970881" w:rsidR="00BF75C2" w:rsidRPr="005E41EB" w:rsidRDefault="00BF75C2" w:rsidP="00ED09E8">
            <w:pPr>
              <w:pStyle w:val="BodyText"/>
              <w:ind w:firstLine="0"/>
              <w:jc w:val="center"/>
            </w:pPr>
            <w:r>
              <w:t>L</w:t>
            </w:r>
            <w:r w:rsidR="00B33D11">
              <w:t>icensing</w:t>
            </w:r>
          </w:p>
        </w:tc>
        <w:tc>
          <w:tcPr>
            <w:tcW w:w="1741" w:type="dxa"/>
            <w:tcBorders>
              <w:top w:val="single" w:sz="4" w:space="0" w:color="auto"/>
              <w:bottom w:val="single" w:sz="4" w:space="0" w:color="auto"/>
            </w:tcBorders>
          </w:tcPr>
          <w:p w14:paraId="67A12A99" w14:textId="292E2338" w:rsidR="00BF75C2" w:rsidRPr="005E41EB" w:rsidRDefault="00BF75C2" w:rsidP="00ED09E8">
            <w:pPr>
              <w:pStyle w:val="BodyText"/>
              <w:ind w:firstLine="0"/>
              <w:jc w:val="center"/>
            </w:pPr>
            <w:r>
              <w:t>C</w:t>
            </w:r>
            <w:r w:rsidR="00C524F1">
              <w:t>onstruction</w:t>
            </w:r>
          </w:p>
        </w:tc>
        <w:tc>
          <w:tcPr>
            <w:tcW w:w="2394" w:type="dxa"/>
            <w:tcBorders>
              <w:top w:val="single" w:sz="4" w:space="0" w:color="auto"/>
              <w:bottom w:val="single" w:sz="4" w:space="0" w:color="auto"/>
            </w:tcBorders>
          </w:tcPr>
          <w:p w14:paraId="2CEC1004" w14:textId="160257F2" w:rsidR="00BF75C2" w:rsidRPr="005E41EB" w:rsidRDefault="00BF75C2" w:rsidP="00ED09E8">
            <w:pPr>
              <w:pStyle w:val="BodyText"/>
              <w:ind w:firstLine="0"/>
              <w:jc w:val="center"/>
            </w:pPr>
            <w:r>
              <w:t>O</w:t>
            </w:r>
            <w:r w:rsidR="008E68B3">
              <w:t>peration</w:t>
            </w:r>
            <w:r>
              <w:t>/m</w:t>
            </w:r>
            <w:r w:rsidR="001775E7">
              <w:t>aintenance</w:t>
            </w:r>
          </w:p>
        </w:tc>
      </w:tr>
      <w:tr w:rsidR="00BF75C2" w:rsidRPr="005E41EB" w14:paraId="5956D234" w14:textId="77777777" w:rsidTr="00BC780E">
        <w:trPr>
          <w:jc w:val="center"/>
        </w:trPr>
        <w:tc>
          <w:tcPr>
            <w:tcW w:w="1741" w:type="dxa"/>
            <w:tcBorders>
              <w:top w:val="single" w:sz="4" w:space="0" w:color="auto"/>
            </w:tcBorders>
          </w:tcPr>
          <w:p w14:paraId="14655CA2" w14:textId="2AA8BC3D" w:rsidR="00BF75C2" w:rsidRPr="005E41EB" w:rsidRDefault="004276F9" w:rsidP="00ED09E8">
            <w:pPr>
              <w:pStyle w:val="BodyText"/>
              <w:ind w:firstLine="0"/>
            </w:pPr>
            <w:r>
              <w:rPr>
                <w:rStyle w:val="TabletextChar"/>
              </w:rPr>
              <w:t>Modularity</w:t>
            </w:r>
          </w:p>
        </w:tc>
        <w:tc>
          <w:tcPr>
            <w:tcW w:w="1741" w:type="dxa"/>
            <w:tcBorders>
              <w:top w:val="single" w:sz="4" w:space="0" w:color="auto"/>
            </w:tcBorders>
          </w:tcPr>
          <w:p w14:paraId="0F9F5C37" w14:textId="6A30AECE" w:rsidR="00BF75C2" w:rsidRPr="000A4667" w:rsidRDefault="00FC22AA" w:rsidP="00ED09E8">
            <w:pPr>
              <w:pStyle w:val="BodyText"/>
              <w:ind w:firstLine="0"/>
              <w:jc w:val="center"/>
            </w:pPr>
            <w:r>
              <w:t>X</w:t>
            </w:r>
          </w:p>
        </w:tc>
        <w:tc>
          <w:tcPr>
            <w:tcW w:w="1741" w:type="dxa"/>
            <w:tcBorders>
              <w:top w:val="single" w:sz="4" w:space="0" w:color="auto"/>
            </w:tcBorders>
          </w:tcPr>
          <w:p w14:paraId="6FA167A5" w14:textId="59F346B7" w:rsidR="00BF75C2" w:rsidRPr="005E41EB" w:rsidRDefault="00FC22AA" w:rsidP="00ED09E8">
            <w:pPr>
              <w:pStyle w:val="BodyText"/>
              <w:ind w:firstLine="0"/>
              <w:jc w:val="center"/>
            </w:pPr>
            <w:r>
              <w:t>X</w:t>
            </w:r>
          </w:p>
        </w:tc>
        <w:tc>
          <w:tcPr>
            <w:tcW w:w="2394" w:type="dxa"/>
            <w:tcBorders>
              <w:top w:val="single" w:sz="4" w:space="0" w:color="auto"/>
            </w:tcBorders>
          </w:tcPr>
          <w:p w14:paraId="1E121197" w14:textId="52C8C33D" w:rsidR="00BF75C2" w:rsidRPr="005E41EB" w:rsidRDefault="0048520A" w:rsidP="00ED09E8">
            <w:pPr>
              <w:pStyle w:val="BodyText"/>
              <w:ind w:firstLine="0"/>
              <w:jc w:val="center"/>
            </w:pPr>
            <w:r>
              <w:t>X</w:t>
            </w:r>
          </w:p>
        </w:tc>
      </w:tr>
      <w:tr w:rsidR="00BF75C2" w:rsidRPr="005E41EB" w14:paraId="3957D333" w14:textId="77777777" w:rsidTr="00BC780E">
        <w:trPr>
          <w:jc w:val="center"/>
        </w:trPr>
        <w:tc>
          <w:tcPr>
            <w:tcW w:w="1741" w:type="dxa"/>
          </w:tcPr>
          <w:p w14:paraId="72CAEC2E" w14:textId="2C8EA8E4" w:rsidR="00BF75C2" w:rsidRPr="005E41EB" w:rsidRDefault="004276F9" w:rsidP="00ED09E8">
            <w:pPr>
              <w:pStyle w:val="BodyText"/>
              <w:ind w:firstLine="0"/>
            </w:pPr>
            <w:r>
              <w:t>Smaller size</w:t>
            </w:r>
          </w:p>
        </w:tc>
        <w:tc>
          <w:tcPr>
            <w:tcW w:w="1741" w:type="dxa"/>
          </w:tcPr>
          <w:p w14:paraId="6DD39200" w14:textId="1E7F410D" w:rsidR="00BF75C2" w:rsidRPr="000A4667" w:rsidRDefault="00FC22AA" w:rsidP="00ED09E8">
            <w:pPr>
              <w:pStyle w:val="BodyText"/>
              <w:ind w:firstLine="0"/>
              <w:jc w:val="center"/>
            </w:pPr>
            <w:r>
              <w:t>X</w:t>
            </w:r>
          </w:p>
        </w:tc>
        <w:tc>
          <w:tcPr>
            <w:tcW w:w="1741" w:type="dxa"/>
          </w:tcPr>
          <w:p w14:paraId="6894FC6A" w14:textId="6BF32FBD" w:rsidR="00BF75C2" w:rsidRPr="005E41EB" w:rsidRDefault="00FC22AA" w:rsidP="00ED09E8">
            <w:pPr>
              <w:pStyle w:val="BodyText"/>
              <w:ind w:firstLine="0"/>
              <w:jc w:val="center"/>
            </w:pPr>
            <w:r>
              <w:t>X</w:t>
            </w:r>
          </w:p>
        </w:tc>
        <w:tc>
          <w:tcPr>
            <w:tcW w:w="2394" w:type="dxa"/>
          </w:tcPr>
          <w:p w14:paraId="36A4566F" w14:textId="69C0B965" w:rsidR="00BF75C2" w:rsidRPr="005E41EB" w:rsidRDefault="0048520A" w:rsidP="00ED09E8">
            <w:pPr>
              <w:pStyle w:val="BodyText"/>
              <w:ind w:firstLine="0"/>
              <w:jc w:val="center"/>
            </w:pPr>
            <w:r>
              <w:t>X</w:t>
            </w:r>
          </w:p>
        </w:tc>
      </w:tr>
      <w:tr w:rsidR="001F761C" w:rsidRPr="005E41EB" w14:paraId="3DDD6E98" w14:textId="77777777" w:rsidTr="00BC780E">
        <w:trPr>
          <w:jc w:val="center"/>
        </w:trPr>
        <w:tc>
          <w:tcPr>
            <w:tcW w:w="1741" w:type="dxa"/>
          </w:tcPr>
          <w:p w14:paraId="794E1375" w14:textId="1811026C" w:rsidR="001F761C" w:rsidRPr="005E41EB" w:rsidRDefault="001F761C" w:rsidP="00ED09E8">
            <w:pPr>
              <w:pStyle w:val="BodyText"/>
              <w:ind w:firstLine="0"/>
            </w:pPr>
            <w:r>
              <w:t>Integral PWRs</w:t>
            </w:r>
          </w:p>
        </w:tc>
        <w:tc>
          <w:tcPr>
            <w:tcW w:w="1741" w:type="dxa"/>
          </w:tcPr>
          <w:p w14:paraId="434D57BB" w14:textId="30DB7A38" w:rsidR="001F761C" w:rsidRPr="005E41EB" w:rsidRDefault="001F761C" w:rsidP="00ED09E8">
            <w:pPr>
              <w:pStyle w:val="BodyText"/>
              <w:ind w:firstLine="0"/>
              <w:jc w:val="center"/>
            </w:pPr>
            <w:r>
              <w:t>X</w:t>
            </w:r>
          </w:p>
        </w:tc>
        <w:tc>
          <w:tcPr>
            <w:tcW w:w="1741" w:type="dxa"/>
          </w:tcPr>
          <w:p w14:paraId="092B6DE3" w14:textId="3A9D411F" w:rsidR="001F761C" w:rsidRPr="005E41EB" w:rsidRDefault="001F761C" w:rsidP="00ED09E8">
            <w:pPr>
              <w:pStyle w:val="BodyText"/>
              <w:ind w:firstLine="0"/>
              <w:jc w:val="center"/>
            </w:pPr>
          </w:p>
        </w:tc>
        <w:tc>
          <w:tcPr>
            <w:tcW w:w="2394" w:type="dxa"/>
          </w:tcPr>
          <w:p w14:paraId="622365D8" w14:textId="049DAA2A" w:rsidR="001F761C" w:rsidRPr="005E41EB" w:rsidRDefault="001F761C" w:rsidP="00ED09E8">
            <w:pPr>
              <w:pStyle w:val="BodyText"/>
              <w:ind w:firstLine="0"/>
              <w:jc w:val="center"/>
            </w:pPr>
            <w:r>
              <w:t>X</w:t>
            </w:r>
          </w:p>
        </w:tc>
      </w:tr>
      <w:tr w:rsidR="001F761C" w:rsidRPr="005E41EB" w14:paraId="48C20C25" w14:textId="77777777" w:rsidTr="00BC780E">
        <w:trPr>
          <w:jc w:val="center"/>
        </w:trPr>
        <w:tc>
          <w:tcPr>
            <w:tcW w:w="1741" w:type="dxa"/>
          </w:tcPr>
          <w:p w14:paraId="72E880E1" w14:textId="1E29C851" w:rsidR="001F761C" w:rsidRPr="005E41EB" w:rsidRDefault="001F761C" w:rsidP="00ED09E8">
            <w:pPr>
              <w:pStyle w:val="BodyText"/>
              <w:ind w:firstLine="0"/>
            </w:pPr>
            <w:r>
              <w:t>Boron-free PWR coolant</w:t>
            </w:r>
          </w:p>
        </w:tc>
        <w:tc>
          <w:tcPr>
            <w:tcW w:w="1741" w:type="dxa"/>
          </w:tcPr>
          <w:p w14:paraId="5CA52967" w14:textId="65C7CF0C" w:rsidR="001F761C" w:rsidRPr="005E41EB" w:rsidRDefault="001F761C" w:rsidP="00ED09E8">
            <w:pPr>
              <w:pStyle w:val="BodyText"/>
              <w:ind w:firstLine="0"/>
              <w:jc w:val="center"/>
            </w:pPr>
            <w:r>
              <w:t>X</w:t>
            </w:r>
          </w:p>
        </w:tc>
        <w:tc>
          <w:tcPr>
            <w:tcW w:w="1741" w:type="dxa"/>
          </w:tcPr>
          <w:p w14:paraId="47324363" w14:textId="333CB29F" w:rsidR="001F761C" w:rsidRPr="005E41EB" w:rsidRDefault="001F761C" w:rsidP="00ED09E8">
            <w:pPr>
              <w:pStyle w:val="BodyText"/>
              <w:ind w:firstLine="0"/>
              <w:jc w:val="center"/>
            </w:pPr>
          </w:p>
        </w:tc>
        <w:tc>
          <w:tcPr>
            <w:tcW w:w="2394" w:type="dxa"/>
          </w:tcPr>
          <w:p w14:paraId="6E50072D" w14:textId="005C8A8A" w:rsidR="001F761C" w:rsidRPr="005E41EB" w:rsidRDefault="001F761C" w:rsidP="00ED09E8">
            <w:pPr>
              <w:pStyle w:val="BodyText"/>
              <w:ind w:firstLine="0"/>
              <w:jc w:val="center"/>
            </w:pPr>
            <w:r>
              <w:t>X</w:t>
            </w:r>
          </w:p>
        </w:tc>
      </w:tr>
      <w:tr w:rsidR="001F761C" w:rsidRPr="005E41EB" w14:paraId="1C12916C" w14:textId="77777777" w:rsidTr="00BC780E">
        <w:trPr>
          <w:jc w:val="center"/>
        </w:trPr>
        <w:tc>
          <w:tcPr>
            <w:tcW w:w="1741" w:type="dxa"/>
          </w:tcPr>
          <w:p w14:paraId="5758BE82" w14:textId="72F49EFA" w:rsidR="001F761C" w:rsidRPr="005E41EB" w:rsidRDefault="00904E06" w:rsidP="00ED09E8">
            <w:pPr>
              <w:pStyle w:val="BodyText"/>
              <w:ind w:firstLine="0"/>
            </w:pPr>
            <w:r>
              <w:t>Enhance</w:t>
            </w:r>
            <w:r w:rsidR="00852948">
              <w:t>d</w:t>
            </w:r>
            <w:r>
              <w:t xml:space="preserve"> n</w:t>
            </w:r>
            <w:r w:rsidR="001F761C">
              <w:t>atural circulation</w:t>
            </w:r>
          </w:p>
        </w:tc>
        <w:tc>
          <w:tcPr>
            <w:tcW w:w="1741" w:type="dxa"/>
          </w:tcPr>
          <w:p w14:paraId="02915D9E" w14:textId="533911AF" w:rsidR="001F761C" w:rsidRPr="005E41EB" w:rsidRDefault="001F761C" w:rsidP="00ED09E8">
            <w:pPr>
              <w:pStyle w:val="BodyText"/>
              <w:ind w:firstLine="0"/>
              <w:jc w:val="center"/>
            </w:pPr>
            <w:r>
              <w:t>X</w:t>
            </w:r>
          </w:p>
        </w:tc>
        <w:tc>
          <w:tcPr>
            <w:tcW w:w="1741" w:type="dxa"/>
          </w:tcPr>
          <w:p w14:paraId="1DC12874" w14:textId="74426C2B" w:rsidR="001F761C" w:rsidRPr="005E41EB" w:rsidRDefault="001F761C" w:rsidP="00ED09E8">
            <w:pPr>
              <w:pStyle w:val="BodyText"/>
              <w:ind w:firstLine="0"/>
              <w:jc w:val="center"/>
            </w:pPr>
          </w:p>
        </w:tc>
        <w:tc>
          <w:tcPr>
            <w:tcW w:w="2394" w:type="dxa"/>
          </w:tcPr>
          <w:p w14:paraId="1639AA82" w14:textId="6E5F09F6" w:rsidR="001F761C" w:rsidRPr="005E41EB" w:rsidRDefault="001F761C" w:rsidP="00ED09E8">
            <w:pPr>
              <w:pStyle w:val="BodyText"/>
              <w:ind w:firstLine="0"/>
              <w:jc w:val="center"/>
            </w:pPr>
            <w:r w:rsidRPr="001E025B">
              <w:t>X</w:t>
            </w:r>
          </w:p>
        </w:tc>
      </w:tr>
      <w:tr w:rsidR="001F761C" w:rsidRPr="005E41EB" w14:paraId="3A722EA5" w14:textId="77777777" w:rsidTr="00BC780E">
        <w:trPr>
          <w:jc w:val="center"/>
        </w:trPr>
        <w:tc>
          <w:tcPr>
            <w:tcW w:w="1741" w:type="dxa"/>
          </w:tcPr>
          <w:p w14:paraId="5568F97C" w14:textId="2D83C246" w:rsidR="001F761C" w:rsidRPr="005E41EB" w:rsidRDefault="00904E06" w:rsidP="00ED09E8">
            <w:pPr>
              <w:pStyle w:val="BodyText"/>
              <w:ind w:firstLine="0"/>
            </w:pPr>
            <w:r>
              <w:t>Increased p</w:t>
            </w:r>
            <w:r w:rsidR="001F761C">
              <w:t>assive safety</w:t>
            </w:r>
          </w:p>
        </w:tc>
        <w:tc>
          <w:tcPr>
            <w:tcW w:w="1741" w:type="dxa"/>
          </w:tcPr>
          <w:p w14:paraId="3737F066" w14:textId="79C814BE" w:rsidR="001F761C" w:rsidRPr="005E41EB" w:rsidRDefault="001F761C" w:rsidP="00ED09E8">
            <w:pPr>
              <w:pStyle w:val="BodyText"/>
              <w:ind w:firstLine="0"/>
              <w:jc w:val="center"/>
            </w:pPr>
            <w:r>
              <w:t>X</w:t>
            </w:r>
          </w:p>
        </w:tc>
        <w:tc>
          <w:tcPr>
            <w:tcW w:w="1741" w:type="dxa"/>
          </w:tcPr>
          <w:p w14:paraId="780E5789" w14:textId="77777777" w:rsidR="001F761C" w:rsidRPr="005E41EB" w:rsidRDefault="001F761C" w:rsidP="00ED09E8">
            <w:pPr>
              <w:pStyle w:val="BodyText"/>
              <w:ind w:firstLine="0"/>
              <w:jc w:val="center"/>
            </w:pPr>
          </w:p>
        </w:tc>
        <w:tc>
          <w:tcPr>
            <w:tcW w:w="2394" w:type="dxa"/>
          </w:tcPr>
          <w:p w14:paraId="594124D8" w14:textId="62348906" w:rsidR="001F761C" w:rsidRPr="005E41EB" w:rsidRDefault="001F761C" w:rsidP="00ED09E8">
            <w:pPr>
              <w:pStyle w:val="BodyText"/>
              <w:ind w:firstLine="0"/>
              <w:jc w:val="center"/>
            </w:pPr>
            <w:r>
              <w:t>X</w:t>
            </w:r>
          </w:p>
        </w:tc>
      </w:tr>
      <w:tr w:rsidR="001F761C" w:rsidRPr="005E41EB" w14:paraId="555B7C67" w14:textId="77777777" w:rsidTr="00BC780E">
        <w:trPr>
          <w:jc w:val="center"/>
        </w:trPr>
        <w:tc>
          <w:tcPr>
            <w:tcW w:w="1741" w:type="dxa"/>
          </w:tcPr>
          <w:p w14:paraId="7ADF560D" w14:textId="1926D1FE" w:rsidR="001F761C" w:rsidRDefault="001F761C" w:rsidP="001F761C">
            <w:pPr>
              <w:pStyle w:val="BodyText"/>
              <w:ind w:firstLine="0"/>
            </w:pPr>
            <w:r>
              <w:t>Novel containment designs</w:t>
            </w:r>
          </w:p>
        </w:tc>
        <w:tc>
          <w:tcPr>
            <w:tcW w:w="1741" w:type="dxa"/>
          </w:tcPr>
          <w:p w14:paraId="64F522FD" w14:textId="606138BC" w:rsidR="001F761C" w:rsidRDefault="001F761C" w:rsidP="001F761C">
            <w:pPr>
              <w:pStyle w:val="BodyText"/>
              <w:ind w:firstLine="0"/>
              <w:jc w:val="center"/>
            </w:pPr>
            <w:r>
              <w:t>X</w:t>
            </w:r>
          </w:p>
        </w:tc>
        <w:tc>
          <w:tcPr>
            <w:tcW w:w="1741" w:type="dxa"/>
          </w:tcPr>
          <w:p w14:paraId="2B4C1DE7" w14:textId="0CCA6628" w:rsidR="001F761C" w:rsidRPr="005E41EB" w:rsidRDefault="001F761C" w:rsidP="001F761C">
            <w:pPr>
              <w:pStyle w:val="BodyText"/>
              <w:ind w:firstLine="0"/>
              <w:jc w:val="center"/>
            </w:pPr>
            <w:r>
              <w:t>X</w:t>
            </w:r>
          </w:p>
        </w:tc>
        <w:tc>
          <w:tcPr>
            <w:tcW w:w="2394" w:type="dxa"/>
          </w:tcPr>
          <w:p w14:paraId="2223E02A" w14:textId="4BBDD403" w:rsidR="001F761C" w:rsidRDefault="001F761C" w:rsidP="001F761C">
            <w:pPr>
              <w:pStyle w:val="BodyText"/>
              <w:ind w:firstLine="0"/>
              <w:jc w:val="center"/>
            </w:pPr>
          </w:p>
        </w:tc>
      </w:tr>
      <w:tr w:rsidR="001F761C" w:rsidRPr="005E41EB" w14:paraId="0F0F82BD" w14:textId="77777777" w:rsidTr="00BC780E">
        <w:trPr>
          <w:jc w:val="center"/>
        </w:trPr>
        <w:tc>
          <w:tcPr>
            <w:tcW w:w="1741" w:type="dxa"/>
          </w:tcPr>
          <w:p w14:paraId="1A7C3801" w14:textId="32C0CF2C" w:rsidR="001F761C" w:rsidRDefault="006B2693" w:rsidP="001F761C">
            <w:pPr>
              <w:pStyle w:val="BodyText"/>
              <w:ind w:firstLine="0"/>
            </w:pPr>
            <w:r>
              <w:t>Increased l</w:t>
            </w:r>
            <w:r w:rsidR="001F761C">
              <w:t>oad-following capability</w:t>
            </w:r>
          </w:p>
        </w:tc>
        <w:tc>
          <w:tcPr>
            <w:tcW w:w="1741" w:type="dxa"/>
          </w:tcPr>
          <w:p w14:paraId="2A7D45C6" w14:textId="697F7DDA" w:rsidR="001F761C" w:rsidRDefault="001F761C" w:rsidP="001F761C">
            <w:pPr>
              <w:pStyle w:val="BodyText"/>
              <w:ind w:firstLine="0"/>
              <w:jc w:val="center"/>
            </w:pPr>
            <w:r>
              <w:t>X</w:t>
            </w:r>
          </w:p>
        </w:tc>
        <w:tc>
          <w:tcPr>
            <w:tcW w:w="1741" w:type="dxa"/>
          </w:tcPr>
          <w:p w14:paraId="22EA7461" w14:textId="77777777" w:rsidR="001F761C" w:rsidRPr="005E41EB" w:rsidRDefault="001F761C" w:rsidP="001F761C">
            <w:pPr>
              <w:pStyle w:val="BodyText"/>
              <w:ind w:firstLine="0"/>
              <w:jc w:val="center"/>
            </w:pPr>
          </w:p>
        </w:tc>
        <w:tc>
          <w:tcPr>
            <w:tcW w:w="2394" w:type="dxa"/>
          </w:tcPr>
          <w:p w14:paraId="177F709A" w14:textId="750AD1AE" w:rsidR="001F761C" w:rsidRDefault="001F761C" w:rsidP="001F761C">
            <w:pPr>
              <w:pStyle w:val="BodyText"/>
              <w:ind w:firstLine="0"/>
              <w:jc w:val="center"/>
            </w:pPr>
            <w:r>
              <w:t>X</w:t>
            </w:r>
          </w:p>
        </w:tc>
      </w:tr>
      <w:tr w:rsidR="001F761C" w:rsidRPr="005E41EB" w14:paraId="5D2111F5" w14:textId="77777777" w:rsidTr="00BC780E">
        <w:trPr>
          <w:jc w:val="center"/>
        </w:trPr>
        <w:tc>
          <w:tcPr>
            <w:tcW w:w="1741" w:type="dxa"/>
          </w:tcPr>
          <w:p w14:paraId="36274C0B" w14:textId="11F7E1C8" w:rsidR="001F761C" w:rsidRPr="005E41EB" w:rsidRDefault="001F761C" w:rsidP="001F761C">
            <w:pPr>
              <w:pStyle w:val="BodyText"/>
              <w:ind w:firstLine="0"/>
            </w:pPr>
            <w:r>
              <w:t>Dry storage of spent fuel</w:t>
            </w:r>
          </w:p>
        </w:tc>
        <w:tc>
          <w:tcPr>
            <w:tcW w:w="1741" w:type="dxa"/>
          </w:tcPr>
          <w:p w14:paraId="1C9D1817" w14:textId="4ABD3030" w:rsidR="001F761C" w:rsidRPr="005E41EB" w:rsidRDefault="001F761C" w:rsidP="001F761C">
            <w:pPr>
              <w:pStyle w:val="BodyText"/>
              <w:ind w:firstLine="0"/>
              <w:jc w:val="center"/>
            </w:pPr>
            <w:r>
              <w:t>X</w:t>
            </w:r>
          </w:p>
        </w:tc>
        <w:tc>
          <w:tcPr>
            <w:tcW w:w="1741" w:type="dxa"/>
          </w:tcPr>
          <w:p w14:paraId="51B1F8E1" w14:textId="56EE79A1" w:rsidR="001F761C" w:rsidRPr="005E41EB" w:rsidRDefault="001F761C" w:rsidP="001F761C">
            <w:pPr>
              <w:pStyle w:val="BodyText"/>
              <w:ind w:firstLine="0"/>
              <w:jc w:val="center"/>
            </w:pPr>
          </w:p>
        </w:tc>
        <w:tc>
          <w:tcPr>
            <w:tcW w:w="2394" w:type="dxa"/>
          </w:tcPr>
          <w:p w14:paraId="33A5B75D" w14:textId="0057C5B0" w:rsidR="001F761C" w:rsidRPr="005E41EB" w:rsidRDefault="001F761C" w:rsidP="001F761C">
            <w:pPr>
              <w:pStyle w:val="BodyText"/>
              <w:ind w:firstLine="0"/>
              <w:jc w:val="center"/>
            </w:pPr>
          </w:p>
        </w:tc>
      </w:tr>
    </w:tbl>
    <w:p w14:paraId="7EA5C52F" w14:textId="77777777" w:rsidR="00DD2FCC" w:rsidRDefault="00DD2FCC" w:rsidP="00D97757">
      <w:pPr>
        <w:pStyle w:val="BodyText"/>
        <w:ind w:firstLine="0"/>
      </w:pPr>
    </w:p>
    <w:p w14:paraId="1496304B" w14:textId="7580381C" w:rsidR="00145C69" w:rsidRPr="005E41EB" w:rsidRDefault="00D97757" w:rsidP="00D97757">
      <w:pPr>
        <w:pStyle w:val="BodyText"/>
        <w:ind w:firstLine="0"/>
      </w:pPr>
      <w:r w:rsidRPr="005E41EB">
        <w:t>Modularity can refer to modular construction</w:t>
      </w:r>
      <w:r w:rsidR="007B46A6" w:rsidRPr="005E41EB">
        <w:t xml:space="preserve"> (i.e. fabrication and </w:t>
      </w:r>
      <w:r w:rsidR="002F39BC" w:rsidRPr="005E41EB">
        <w:t xml:space="preserve">on-site </w:t>
      </w:r>
      <w:r w:rsidR="007B46A6" w:rsidRPr="005E41EB">
        <w:t>assembly of individual modules)</w:t>
      </w:r>
      <w:r w:rsidRPr="005E41EB">
        <w:t xml:space="preserve"> </w:t>
      </w:r>
      <w:r w:rsidR="007B46A6" w:rsidRPr="005E41EB">
        <w:t>or</w:t>
      </w:r>
      <w:r w:rsidRPr="005E41EB">
        <w:t xml:space="preserve"> the use of more than one reactor module per </w:t>
      </w:r>
      <w:r w:rsidR="007B46A6" w:rsidRPr="005E41EB">
        <w:t xml:space="preserve">power-generating </w:t>
      </w:r>
      <w:r w:rsidRPr="005E41EB">
        <w:t xml:space="preserve">unit. The proposed extensive use of modular construction in SMRs is novel compared with most large-scale reactors which have to a </w:t>
      </w:r>
      <w:r w:rsidR="002F39BC" w:rsidRPr="005E41EB">
        <w:t>much</w:t>
      </w:r>
      <w:r w:rsidRPr="005E41EB">
        <w:t xml:space="preserve"> small</w:t>
      </w:r>
      <w:r w:rsidR="002F39BC" w:rsidRPr="005E41EB">
        <w:t>er</w:t>
      </w:r>
      <w:r w:rsidRPr="005E41EB">
        <w:t xml:space="preserve"> extent been built using </w:t>
      </w:r>
      <w:r w:rsidR="002F39BC" w:rsidRPr="005E41EB">
        <w:t xml:space="preserve">pre-fabricated </w:t>
      </w:r>
      <w:r w:rsidRPr="005E41EB">
        <w:t>modules.</w:t>
      </w:r>
      <w:r w:rsidR="002F39BC" w:rsidRPr="005E41EB">
        <w:t xml:space="preserve"> </w:t>
      </w:r>
      <w:r w:rsidR="009F44F0" w:rsidRPr="005E41EB">
        <w:t xml:space="preserve">The increased modular construction might require new approaches to quality control, </w:t>
      </w:r>
      <w:r w:rsidR="00000100" w:rsidRPr="005E41EB">
        <w:t xml:space="preserve">that </w:t>
      </w:r>
      <w:r w:rsidR="009D31A7">
        <w:t>to some extent</w:t>
      </w:r>
      <w:r w:rsidR="00000100" w:rsidRPr="005E41EB">
        <w:t xml:space="preserve"> needs to be</w:t>
      </w:r>
      <w:r w:rsidR="009F44F0" w:rsidRPr="005E41EB">
        <w:t xml:space="preserve"> performed both at the module factory and at the reactor construction site. L</w:t>
      </w:r>
      <w:r w:rsidR="00B33D11">
        <w:t>icensing</w:t>
      </w:r>
      <w:r w:rsidR="009F44F0" w:rsidRPr="005E41EB">
        <w:t xml:space="preserve"> and c</w:t>
      </w:r>
      <w:r w:rsidR="00C524F1">
        <w:t>onstruction</w:t>
      </w:r>
      <w:r w:rsidR="009F44F0" w:rsidRPr="005E41EB">
        <w:t xml:space="preserve"> might thus be affected by the increased modular construction.</w:t>
      </w:r>
    </w:p>
    <w:p w14:paraId="173227D2" w14:textId="7E1EB937" w:rsidR="00D97757" w:rsidRPr="005E41EB" w:rsidRDefault="000D02A3" w:rsidP="00145C69">
      <w:pPr>
        <w:pStyle w:val="BodyText"/>
      </w:pPr>
      <w:r w:rsidRPr="005E41EB">
        <w:t>The use of several reactors per power-generating unit means that more than one reactor will be placed in the same reactor building and will be controlled from the same control room. Having more than one reactor per reactor building</w:t>
      </w:r>
      <w:r w:rsidR="00987452" w:rsidRPr="005E41EB">
        <w:t xml:space="preserve"> can have consequences in accident scenarios and might restrict when different types of job</w:t>
      </w:r>
      <w:r w:rsidR="002217F3" w:rsidRPr="005E41EB">
        <w:t>s</w:t>
      </w:r>
      <w:r w:rsidR="00987452" w:rsidRPr="005E41EB">
        <w:t xml:space="preserve"> can be performed. Regarding having a common control room for several reactors</w:t>
      </w:r>
      <w:r w:rsidR="00877CE6" w:rsidRPr="005E41EB">
        <w:t>, the possibility to separate cables etc. for the individual reactors might be affected</w:t>
      </w:r>
      <w:r w:rsidR="001624A3" w:rsidRPr="005E41EB">
        <w:t>.</w:t>
      </w:r>
      <w:r w:rsidR="00877CE6" w:rsidRPr="005E41EB">
        <w:t xml:space="preserve"> </w:t>
      </w:r>
      <w:r w:rsidR="001624A3" w:rsidRPr="005E41EB">
        <w:t>T</w:t>
      </w:r>
      <w:r w:rsidR="00877CE6" w:rsidRPr="005E41EB">
        <w:t xml:space="preserve">here will </w:t>
      </w:r>
      <w:r w:rsidR="001624A3" w:rsidRPr="005E41EB">
        <w:t xml:space="preserve">also </w:t>
      </w:r>
      <w:r w:rsidR="00877CE6" w:rsidRPr="005E41EB">
        <w:t>be more units for the operators to control</w:t>
      </w:r>
      <w:r w:rsidR="00943C2F" w:rsidRPr="005E41EB">
        <w:t>, meaning that man</w:t>
      </w:r>
      <w:r w:rsidR="00845CB8" w:rsidRPr="005E41EB">
        <w:t>–machine interaction aspects need consideration</w:t>
      </w:r>
      <w:r w:rsidR="00877CE6" w:rsidRPr="005E41EB">
        <w:t>.</w:t>
      </w:r>
      <w:r w:rsidR="00987452" w:rsidRPr="005E41EB">
        <w:t xml:space="preserve"> L</w:t>
      </w:r>
      <w:r w:rsidR="00B33D11">
        <w:t>icensing</w:t>
      </w:r>
      <w:r w:rsidR="00877CE6" w:rsidRPr="005E41EB">
        <w:t>, c</w:t>
      </w:r>
      <w:r w:rsidR="00C524F1">
        <w:t>onstruction</w:t>
      </w:r>
      <w:r w:rsidR="00877CE6" w:rsidRPr="005E41EB">
        <w:t>, and o</w:t>
      </w:r>
      <w:r w:rsidR="008E68B3">
        <w:t>peration</w:t>
      </w:r>
      <w:r w:rsidR="00877CE6" w:rsidRPr="005E41EB">
        <w:t>/m</w:t>
      </w:r>
      <w:r w:rsidR="001775E7">
        <w:t>aintenance</w:t>
      </w:r>
      <w:r w:rsidR="00877CE6" w:rsidRPr="005E41EB">
        <w:t xml:space="preserve"> might thus be affected by the use of several reactors per power-generating unit.</w:t>
      </w:r>
    </w:p>
    <w:p w14:paraId="7C7F6F06" w14:textId="3380A100" w:rsidR="004C6822" w:rsidRDefault="004C6822" w:rsidP="004C6822">
      <w:pPr>
        <w:pStyle w:val="BodyText"/>
      </w:pPr>
      <w:r w:rsidRPr="005E41EB">
        <w:t>The smaller size of SMRs can be considered a novelty of potential interest to investigate further.</w:t>
      </w:r>
      <w:r w:rsidR="00E17282" w:rsidRPr="005E41EB">
        <w:t xml:space="preserve"> A smaller core leads to a higher neutron leakage and a corresponding worse neutron economy. Higher neutron leakage might also affect surrounding materials</w:t>
      </w:r>
      <w:r w:rsidR="00061A19" w:rsidRPr="005E41EB">
        <w:t>, potentially leading to more rapid degradation</w:t>
      </w:r>
      <w:r w:rsidR="00E17282" w:rsidRPr="005E41EB">
        <w:t xml:space="preserve">. </w:t>
      </w:r>
      <w:r w:rsidR="004D69E4" w:rsidRPr="005E41EB">
        <w:t>A smaller size of the power plant might make it more difficult to separate safety-related cables and equipment.</w:t>
      </w:r>
      <w:r w:rsidR="00827B3C" w:rsidRPr="005E41EB">
        <w:t xml:space="preserve"> Additionally, it can be more difficult to inspect, repair, or replace components in a smaller-sized plant. The smaller SMR size </w:t>
      </w:r>
      <w:r w:rsidR="00283E48">
        <w:t>can</w:t>
      </w:r>
      <w:r w:rsidR="00827B3C" w:rsidRPr="005E41EB">
        <w:t xml:space="preserve"> thus affect </w:t>
      </w:r>
      <w:r w:rsidR="00283E48">
        <w:t xml:space="preserve">all three of </w:t>
      </w:r>
      <w:r w:rsidR="00827B3C" w:rsidRPr="005E41EB">
        <w:t>l</w:t>
      </w:r>
      <w:r w:rsidR="00B33D11">
        <w:t>icensing</w:t>
      </w:r>
      <w:r w:rsidR="00283E48">
        <w:t>, construction</w:t>
      </w:r>
      <w:r w:rsidR="005B02C0">
        <w:t>,</w:t>
      </w:r>
      <w:r w:rsidR="00827B3C" w:rsidRPr="005E41EB">
        <w:t xml:space="preserve"> and o</w:t>
      </w:r>
      <w:r w:rsidR="008E68B3">
        <w:t>peration</w:t>
      </w:r>
      <w:r w:rsidR="00827B3C" w:rsidRPr="005E41EB">
        <w:t>/m</w:t>
      </w:r>
      <w:r w:rsidR="001775E7">
        <w:t>aintenance</w:t>
      </w:r>
      <w:r w:rsidR="00827B3C" w:rsidRPr="005E41EB">
        <w:t>.</w:t>
      </w:r>
    </w:p>
    <w:p w14:paraId="73F57DE5" w14:textId="7C986CAF" w:rsidR="000512A5" w:rsidRDefault="005B41DE" w:rsidP="000512A5">
      <w:pPr>
        <w:pStyle w:val="BodyText"/>
      </w:pPr>
      <w:r w:rsidRPr="005E41EB">
        <w:t>Integral PWR designs are significantly different from today’s reactors.</w:t>
      </w:r>
      <w:r w:rsidR="00D100BF">
        <w:t xml:space="preserve"> The </w:t>
      </w:r>
      <w:r w:rsidR="00A606AF">
        <w:t xml:space="preserve">potential problems of smaller-sized plants </w:t>
      </w:r>
      <w:r w:rsidR="00AD69F2">
        <w:t>apply to integral PWRs.</w:t>
      </w:r>
      <w:r w:rsidRPr="005E41EB">
        <w:t xml:space="preserve"> </w:t>
      </w:r>
      <w:r w:rsidR="00AD69F2">
        <w:t>Additionally, n</w:t>
      </w:r>
      <w:r w:rsidRPr="005E41EB">
        <w:t xml:space="preserve">ew types of SGs, PRZ, pumps, and CRDMs are entailed in the designs. Inspections, maintenance, and repairs might be </w:t>
      </w:r>
      <w:r w:rsidR="001965E8">
        <w:t xml:space="preserve">even </w:t>
      </w:r>
      <w:r w:rsidRPr="005E41EB">
        <w:t xml:space="preserve">more difficult when the components are located inside the RPV. </w:t>
      </w:r>
      <w:r w:rsidR="00791D9D">
        <w:t>Furthermore</w:t>
      </w:r>
      <w:r w:rsidRPr="005E41EB">
        <w:t xml:space="preserve">, </w:t>
      </w:r>
      <w:r w:rsidR="00791D9D">
        <w:t>integral components</w:t>
      </w:r>
      <w:r w:rsidRPr="005E41EB">
        <w:t xml:space="preserve"> </w:t>
      </w:r>
      <w:r w:rsidR="00791D9D">
        <w:t>are often located closer to the core, potentially</w:t>
      </w:r>
      <w:r w:rsidRPr="005E41EB">
        <w:t xml:space="preserve"> expos</w:t>
      </w:r>
      <w:r w:rsidR="00791D9D">
        <w:t>ing them</w:t>
      </w:r>
      <w:r w:rsidRPr="005E41EB">
        <w:t xml:space="preserve"> to </w:t>
      </w:r>
      <w:r w:rsidR="008368FB">
        <w:t xml:space="preserve">even </w:t>
      </w:r>
      <w:r w:rsidRPr="005E41EB">
        <w:t xml:space="preserve">higher radiation fields leading to </w:t>
      </w:r>
      <w:r w:rsidR="00B41086">
        <w:t xml:space="preserve">more rapid </w:t>
      </w:r>
      <w:r w:rsidRPr="005E41EB">
        <w:t>material degradation. Integral PWR designs can thus affect l</w:t>
      </w:r>
      <w:r w:rsidR="00B33D11">
        <w:t>icensing</w:t>
      </w:r>
      <w:r w:rsidRPr="005E41EB">
        <w:t xml:space="preserve"> and o</w:t>
      </w:r>
      <w:r w:rsidR="008E68B3">
        <w:t>peration</w:t>
      </w:r>
      <w:r w:rsidRPr="005E41EB">
        <w:t>/m</w:t>
      </w:r>
      <w:r w:rsidR="001775E7">
        <w:t>aintenance</w:t>
      </w:r>
      <w:r w:rsidRPr="005E41EB">
        <w:t xml:space="preserve"> of the SMRs.</w:t>
      </w:r>
    </w:p>
    <w:p w14:paraId="283CD161" w14:textId="5A0DBBDE" w:rsidR="000512A5" w:rsidRPr="005E41EB" w:rsidRDefault="000512A5" w:rsidP="000512A5">
      <w:pPr>
        <w:pStyle w:val="BodyText"/>
      </w:pPr>
      <w:r w:rsidRPr="005E41EB">
        <w:lastRenderedPageBreak/>
        <w:t>The proposed use of boron-free PWR coolant necessitates increased use of control rods and burnable absorbers to control reactivity. It can</w:t>
      </w:r>
      <w:r>
        <w:t>, at least for certain configurations,</w:t>
      </w:r>
      <w:r w:rsidRPr="005E41EB">
        <w:t xml:space="preserve"> be very challenging to maintain core stability </w:t>
      </w:r>
      <w:r w:rsidR="0040199B">
        <w:t xml:space="preserve">and </w:t>
      </w:r>
      <w:r w:rsidR="00DF4650">
        <w:t xml:space="preserve">the </w:t>
      </w:r>
      <w:r w:rsidR="00B20C03">
        <w:t xml:space="preserve">desired reactivity profile </w:t>
      </w:r>
      <w:r w:rsidR="00960CD4">
        <w:t xml:space="preserve">over the whole fuel cycle </w:t>
      </w:r>
      <w:r w:rsidRPr="005E41EB">
        <w:t>without boric acid in the coolant</w:t>
      </w:r>
      <w:r w:rsidR="00C237A6">
        <w:t xml:space="preserve"> </w:t>
      </w:r>
      <w:r w:rsidR="00960CD4">
        <w:fldChar w:fldCharType="begin" w:fldLock="1"/>
      </w:r>
      <w:r w:rsidR="00F773F4">
        <w:instrText>ADDIN CSL_CITATION {"citationItems":[{"id":"ITEM-1","itemData":{"abstract":"… reactor coolant is one of the most effective and reliable means of controlling excess reactivity of the reactor… many benefits of simplifying the reactor operation and maintenance. Although …","author":[{"dropping-particle":"","family":"Park","given":"Jinha","non-dropping-particle":"","parse-names":false,"suffix":""},{"dropping-particle":"","family":"Kang","given":"Jungkil","non-dropping-particle":"","parse-names":false,"suffix":""},{"dropping-particle":"","family":"Hah","given":"Changjoo","non-dropping-particle":"","parse-names":false,"suffix":""},{"dropping-particle":"","family":"Methods","given":"Computational","non-dropping-particle":"","parse-names":false,"suffix":""},{"dropping-particle":"","family":"Fuel","given":"Integral","non-dropping-particle":"","parse-names":false,"suffix":""}],"container-title":"Transactions of the Korean Nuclear Society Autumn Meeting","id":"ITEM-1","issued":{"date-parts":[["2015"]]},"publisher-place":"Gyenogju","title":"Reactivity Flattening for a Soluble Boron-Free Small Modular Reactor","type":"paper-conference"},"uris":["http://www.mendeley.com/documents/?uuid=ea25a50f-98dc-46bc-92ac-8b2624c03ea0"]}],"mendeley":{"formattedCitation":"[11]","plainTextFormattedCitation":"[11]","previouslyFormattedCitation":"[11]"},"properties":{"noteIndex":0},"schema":"https://github.com/citation-style-language/schema/raw/master/csl-citation.json"}</w:instrText>
      </w:r>
      <w:r w:rsidR="00960CD4">
        <w:fldChar w:fldCharType="separate"/>
      </w:r>
      <w:r w:rsidR="00960CD4" w:rsidRPr="00960CD4">
        <w:rPr>
          <w:noProof/>
        </w:rPr>
        <w:t>[11]</w:t>
      </w:r>
      <w:r w:rsidR="00960CD4">
        <w:fldChar w:fldCharType="end"/>
      </w:r>
      <w:r w:rsidRPr="005E41EB">
        <w:t>. From a materials degradation perspective it is for most materials likely beneficial with a boron-free environment. However, Zr alloy fuel cladding might experience higher corrosion rates in the absence of boric acid if lithium hydroxide is used to control the pH</w:t>
      </w:r>
      <w:r w:rsidR="00832E8C">
        <w:t xml:space="preserve"> </w:t>
      </w:r>
      <w:r w:rsidR="00832E8C">
        <w:fldChar w:fldCharType="begin" w:fldLock="1"/>
      </w:r>
      <w:r w:rsidR="00F773F4">
        <w:instrText>ADDIN CSL_CITATION {"citationItems":[{"id":"ITEM-1","itemData":{"DOI":"10.1520/stp162220190008","abstract":"There are potentially significant cost benefits through plant simplification if a soluble boron-free lithiated primary water chemistry can be demonstrated to be a viable route for small modular reactor (SMR) operation [1]. However, the corrosion behaviour of the clad material under lithiated conditions remains a concern. Lithium has been demonstrated to be detrimental to the corrosion behaviour of zirconium alloys, with the critical lithium concentration for enhancement being dependent on alloy. Under a thermal gradient, as experienced by the clad in PWR operation, this becomes more complex; with increasing oxide thickness, the potential for operation under two phase (nucleate boiling) conditions increases. The significance of this is two-fold: first, the concentration of lithium local to the oxide has been shown to increase as boiling occurs within the thick porous oxide [2], potentially increasing the Li content beyond the threshold for accelerated corrosion; second, the nucleate boiling can result locally in more aggressive (high lithium) chemistry conditions. This paper presents the results from a test programme that has investigated the effect of lithium, temperature, thermal gradient, two phase flow and stress on the corrosion behaviour of Zircaloy-4 and discusses the results in the context of previous work carried out in this area. The data from this work indicate that in nominal lithium concentrations, under certain combinations of a thermal gradient, two-phase flow and stress, a significant acceleration in corrosion can be observed. Characterisation and modelling of the specimens exposed to a thermal gradient, in comparison to isothermally corroded Zircaloy 4 coupons in a range of Li concentrations, has developed the understanding of the processes occurring during this acceleration.","author":[{"dropping-particle":"","family":"Hulme","given":"Helen","non-dropping-particle":"","parse-names":false,"suffix":""},{"dropping-particle":"","family":"Panteli","given":"Alexandra","non-dropping-particle":"","parse-names":false,"suffix":""},{"dropping-particle":"","family":"Pickering","given":"Felicity","non-dropping-particle":"","parse-names":false,"suffix":""},{"dropping-particle":"","family":"Gass","given":"Mhairi","non-dropping-particle":"","parse-names":false,"suffix":""},{"dropping-particle":"","family":"Cole-Baker","given":"Aidan","non-dropping-particle":"","parse-names":false,"suffix":""},{"dropping-particle":"","family":"Binks","given":"Paul","non-dropping-particle":"","parse-names":false,"suffix":""},{"dropping-particle":"","family":"Fenwick","given":"Mark","non-dropping-particle":"","parse-names":false,"suffix":""},{"dropping-particle":"","family":"Waters","given":"Michael","non-dropping-particle":"","parse-names":false,"suffix":""},{"dropping-particle":"","family":"Smith","given":"James","non-dropping-particle":"","parse-names":false,"suffix":""}],"container-title":"Zirconium in the Nuclear Industry: 19th International Symposium","id":"ITEM-1","issued":{"date-parts":[["2021"]]},"page":"537-563","title":"Investigating the Corrosion Behavior of Zircaloy-4 in LiOH under a Thermal Gradient and Two-Phase Flow Regime","type":"article-journal"},"uris":["http://www.mendeley.com/documents/?uuid=54e5910d-e00a-4567-a6d6-28c34c44bbf3"]}],"mendeley":{"formattedCitation":"[12]","plainTextFormattedCitation":"[12]","previouslyFormattedCitation":"[12]"},"properties":{"noteIndex":0},"schema":"https://github.com/citation-style-language/schema/raw/master/csl-citation.json"}</w:instrText>
      </w:r>
      <w:r w:rsidR="00832E8C">
        <w:fldChar w:fldCharType="separate"/>
      </w:r>
      <w:r w:rsidR="00960CD4" w:rsidRPr="00960CD4">
        <w:rPr>
          <w:noProof/>
        </w:rPr>
        <w:t>[12]</w:t>
      </w:r>
      <w:r w:rsidR="00832E8C">
        <w:fldChar w:fldCharType="end"/>
      </w:r>
      <w:r w:rsidRPr="005E41EB">
        <w:t>. How severe the degradation will be needs further investigation. A potential remedy could be to</w:t>
      </w:r>
      <w:r w:rsidRPr="009870B8">
        <w:t xml:space="preserve"> </w:t>
      </w:r>
      <w:r w:rsidRPr="005E41EB">
        <w:t>instead use potassium hydroxide</w:t>
      </w:r>
      <w:r>
        <w:t>, as done in</w:t>
      </w:r>
      <w:r w:rsidR="00996AE9">
        <w:t xml:space="preserve"> water–water energetic reactors</w:t>
      </w:r>
      <w:r>
        <w:t xml:space="preserve"> </w:t>
      </w:r>
      <w:r w:rsidR="00996AE9">
        <w:t>(</w:t>
      </w:r>
      <w:r w:rsidRPr="00996AE9">
        <w:t>VVERs</w:t>
      </w:r>
      <w:r w:rsidR="00996AE9">
        <w:t>)</w:t>
      </w:r>
      <w:r w:rsidR="0056591D">
        <w:t xml:space="preserve"> </w:t>
      </w:r>
      <w:r w:rsidR="0056591D">
        <w:fldChar w:fldCharType="begin" w:fldLock="1"/>
      </w:r>
      <w:r w:rsidR="00937067">
        <w:instrText>ADDIN CSL_CITATION {"citationItems":[{"id":"ITEM-1","itemData":{"author":[{"dropping-particle":"","family":"Garbett","given":"K.","non-dropping-particle":"","parse-names":false,"suffix":""}],"id":"ITEM-1","issued":{"date-parts":[["2002"]]},"publisher-place":"Palo Akto, CA","title":"Review of VVER Primary Water Chemistry and the Potential for its Use in PWRs Potassium: Hydroxide and/or Ammonia Based Water Chemistries","type":"report"},"uris":["http://www.mendeley.com/documents/?uuid=5f363057-13da-4454-81d6-352b0690612f"]}],"mendeley":{"formattedCitation":"[13]","plainTextFormattedCitation":"[13]","previouslyFormattedCitation":"[13]"},"properties":{"noteIndex":0},"schema":"https://github.com/citation-style-language/schema/raw/master/csl-citation.json"}</w:instrText>
      </w:r>
      <w:r w:rsidR="0056591D">
        <w:fldChar w:fldCharType="separate"/>
      </w:r>
      <w:r w:rsidR="0056591D" w:rsidRPr="0056591D">
        <w:rPr>
          <w:noProof/>
        </w:rPr>
        <w:t>[13]</w:t>
      </w:r>
      <w:r w:rsidR="0056591D">
        <w:fldChar w:fldCharType="end"/>
      </w:r>
      <w:r w:rsidRPr="005E41EB">
        <w:t>.</w:t>
      </w:r>
    </w:p>
    <w:p w14:paraId="531FBEFD" w14:textId="1A016CE5" w:rsidR="00DE210B" w:rsidRPr="005E41EB" w:rsidRDefault="00827B3C" w:rsidP="00FC195B">
      <w:pPr>
        <w:pStyle w:val="BodyText"/>
      </w:pPr>
      <w:r w:rsidRPr="005E41EB">
        <w:t>Natural circulation</w:t>
      </w:r>
      <w:r w:rsidR="00C54137" w:rsidRPr="005E41EB">
        <w:t xml:space="preserve"> is</w:t>
      </w:r>
      <w:r w:rsidR="0091547F" w:rsidRPr="005E41EB">
        <w:t xml:space="preserve"> a much more prominent feature in SMRs compared with current reactors</w:t>
      </w:r>
      <w:r w:rsidR="000E588F" w:rsidRPr="005E41EB">
        <w:t xml:space="preserve"> and is</w:t>
      </w:r>
      <w:r w:rsidR="005D55E8" w:rsidRPr="005E41EB">
        <w:t xml:space="preserve"> for some designs</w:t>
      </w:r>
      <w:r w:rsidR="000E588F" w:rsidRPr="005E41EB">
        <w:t xml:space="preserve"> planned to be used</w:t>
      </w:r>
      <w:r w:rsidR="00E722F0" w:rsidRPr="005E41EB">
        <w:t xml:space="preserve"> both during normal operation </w:t>
      </w:r>
      <w:r w:rsidR="005D55E8" w:rsidRPr="005E41EB">
        <w:t xml:space="preserve">and </w:t>
      </w:r>
      <w:r w:rsidR="000E588F" w:rsidRPr="00E01BF4">
        <w:t>accident</w:t>
      </w:r>
      <w:r w:rsidR="000E588F" w:rsidRPr="005E41EB">
        <w:t xml:space="preserve"> condition</w:t>
      </w:r>
      <w:r w:rsidR="005D55E8" w:rsidRPr="005E41EB">
        <w:t>s.</w:t>
      </w:r>
      <w:r w:rsidR="00FC195B" w:rsidRPr="005E41EB">
        <w:t xml:space="preserve"> </w:t>
      </w:r>
      <w:r w:rsidR="00D4063B" w:rsidRPr="005E41EB">
        <w:t>For BWRs, some experience of natural circulation exists</w:t>
      </w:r>
      <w:r w:rsidR="00AD7422" w:rsidRPr="005E41EB">
        <w:t xml:space="preserve"> from the Dodewaard reactor in the Netherlands,</w:t>
      </w:r>
      <w:r w:rsidR="00D4063B" w:rsidRPr="005E41EB">
        <w:t xml:space="preserve"> from </w:t>
      </w:r>
      <w:r w:rsidR="00DE210B" w:rsidRPr="00695245">
        <w:t>experiments</w:t>
      </w:r>
      <w:r w:rsidR="00DE210B" w:rsidRPr="005E41EB">
        <w:t xml:space="preserve"> performed in </w:t>
      </w:r>
      <w:r w:rsidR="00CB4EB2">
        <w:t>large-scale BWRs</w:t>
      </w:r>
      <w:r w:rsidR="00AD7422" w:rsidRPr="005E41EB">
        <w:t>,</w:t>
      </w:r>
      <w:r w:rsidR="004B357D" w:rsidRPr="005E41EB">
        <w:t xml:space="preserve"> </w:t>
      </w:r>
      <w:r w:rsidR="00DE210B" w:rsidRPr="005E41EB">
        <w:t>and from the in USA licensed but never built Economic Simplified Boiling Water Reactor (ESBWR)</w:t>
      </w:r>
      <w:r w:rsidR="00B5634A">
        <w:t xml:space="preserve"> </w:t>
      </w:r>
      <w:r w:rsidR="00CB4EB2">
        <w:fldChar w:fldCharType="begin" w:fldLock="1"/>
      </w:r>
      <w:r w:rsidR="00937067">
        <w:instrText>ADDIN CSL_CITATION {"citationItems":[{"id":"ITEM-1","itemData":{"ISSN":"00325929","author":[{"dropping-particle":"","family":"Hylko","given":"James M.","non-dropping-particle":"","parse-names":false,"suffix":""}],"container-title":"Power","id":"ITEM-1","issue":"11","issued":{"date-parts":[["2010"]]},"title":"The evolution of the ESBWR","type":"article-magazine","volume":"154"},"uris":["http://www.mendeley.com/documents/?uuid=44bc95b0-39eb-4c73-b396-fb05fd684f44"]}],"mendeley":{"formattedCitation":"[14]","plainTextFormattedCitation":"[14]","previouslyFormattedCitation":"[14]"},"properties":{"noteIndex":0},"schema":"https://github.com/citation-style-language/schema/raw/master/csl-citation.json"}</w:instrText>
      </w:r>
      <w:r w:rsidR="00CB4EB2">
        <w:fldChar w:fldCharType="separate"/>
      </w:r>
      <w:r w:rsidR="0056591D" w:rsidRPr="0056591D">
        <w:rPr>
          <w:noProof/>
        </w:rPr>
        <w:t>[14</w:t>
      </w:r>
      <w:r w:rsidR="0084236F">
        <w:rPr>
          <w:noProof/>
        </w:rPr>
        <w:t>,15</w:t>
      </w:r>
      <w:r w:rsidR="0056591D" w:rsidRPr="0056591D">
        <w:rPr>
          <w:noProof/>
        </w:rPr>
        <w:t>]</w:t>
      </w:r>
      <w:r w:rsidR="00CB4EB2">
        <w:fldChar w:fldCharType="end"/>
      </w:r>
      <w:r w:rsidR="00DE210B" w:rsidRPr="005E41EB">
        <w:t xml:space="preserve">. </w:t>
      </w:r>
      <w:r w:rsidR="00370E5C" w:rsidRPr="005E41EB">
        <w:t xml:space="preserve">For PWRs, </w:t>
      </w:r>
      <w:r w:rsidR="004F35B3" w:rsidRPr="005E41EB">
        <w:t>experience of using natural circulation as part of passive safety systems exists, notably from the AP1000 reactor</w:t>
      </w:r>
      <w:r w:rsidR="00370E5C" w:rsidRPr="005E41EB">
        <w:t>.</w:t>
      </w:r>
      <w:r w:rsidR="004F35B3" w:rsidRPr="005E41EB">
        <w:t xml:space="preserve"> </w:t>
      </w:r>
      <w:r w:rsidR="00CB0592" w:rsidRPr="005E41EB">
        <w:t xml:space="preserve">The implementation of enhanced natural circulation will need attention from </w:t>
      </w:r>
      <w:r w:rsidR="0040652D" w:rsidRPr="005E41EB">
        <w:t>the</w:t>
      </w:r>
      <w:r w:rsidR="00CB0592" w:rsidRPr="005E41EB">
        <w:t xml:space="preserve"> licensing perspective</w:t>
      </w:r>
      <w:r w:rsidR="008E30C8" w:rsidRPr="005E41EB">
        <w:t xml:space="preserve"> and potentially also from the </w:t>
      </w:r>
      <w:r w:rsidR="00DE210B" w:rsidRPr="005E41EB">
        <w:t xml:space="preserve"> o</w:t>
      </w:r>
      <w:r w:rsidR="008E68B3">
        <w:t>peration</w:t>
      </w:r>
      <w:r w:rsidR="00DE210B" w:rsidRPr="005E41EB">
        <w:t>/m</w:t>
      </w:r>
      <w:r w:rsidR="001775E7">
        <w:t>aintenance</w:t>
      </w:r>
      <w:r w:rsidR="00DE210B" w:rsidRPr="005E41EB">
        <w:t xml:space="preserve"> </w:t>
      </w:r>
      <w:r w:rsidR="008E30C8" w:rsidRPr="005E41EB">
        <w:t>perspective</w:t>
      </w:r>
      <w:r w:rsidR="00DE210B" w:rsidRPr="005E41EB">
        <w:t>.</w:t>
      </w:r>
    </w:p>
    <w:p w14:paraId="11F7E53E" w14:textId="312244DE" w:rsidR="00041292" w:rsidRPr="005E41EB" w:rsidRDefault="00041292" w:rsidP="00041292">
      <w:pPr>
        <w:pStyle w:val="BodyText"/>
      </w:pPr>
      <w:r w:rsidRPr="005E41EB">
        <w:t xml:space="preserve">Passive safety </w:t>
      </w:r>
      <w:r w:rsidR="00D43FE8">
        <w:t>is</w:t>
      </w:r>
      <w:r w:rsidRPr="005E41EB">
        <w:t xml:space="preserve"> featured to larger extent in the proposed SMRs than in current reactors, which use a combination of passive and active safety systems</w:t>
      </w:r>
      <w:r w:rsidR="00CE2698">
        <w:t xml:space="preserve"> </w:t>
      </w:r>
      <w:r w:rsidR="00CE2698">
        <w:fldChar w:fldCharType="begin" w:fldLock="1"/>
      </w:r>
      <w:r w:rsidR="00937067">
        <w:instrText>ADDIN CSL_CITATION {"citationItems":[{"id":"ITEM-1","itemData":{"abstract":"The terms considered in this document are in widespread current use without a universal consensus as to their meaning Other safety related terms are already defined in national or international codes and standards as well as in IAEA's Nuclear Safety Standards Series Most of the terms in those codes and standards have been defined and used for regulatory purposes, generally for application to present reactor designs There is no intention to duplicate the description of such regulatory terms here, but only to clarify the terms used for advanced nuclear plants The following terms are described in this paper: Inherent safety characteristics, passive component, active component, passive systems, active system, fail-safe, grace period, foolproof, fault-/error-tolerant, simplified safety system, transparent safety","author":[{"dropping-particle":"","family":"IAEA","given":"","non-dropping-particle":"","parse-names":false,"suffix":""}],"container-title":"IAEA-Tecdoc-626","id":"ITEM-1","issue":"September","issued":{"date-parts":[["1991"]]},"title":"Safety Related Terms for Advanced Nuclear Plants","type":"report"},"uris":["http://www.mendeley.com/documents/?uuid=1fbafa40-a8d4-4afe-898d-222f0faac742"]}],"mendeley":{"formattedCitation":"[16]","plainTextFormattedCitation":"[16]","previouslyFormattedCitation":"[16]"},"properties":{"noteIndex":0},"schema":"https://github.com/citation-style-language/schema/raw/master/csl-citation.json"}</w:instrText>
      </w:r>
      <w:r w:rsidR="00CE2698">
        <w:fldChar w:fldCharType="separate"/>
      </w:r>
      <w:r w:rsidR="0056591D" w:rsidRPr="0056591D">
        <w:rPr>
          <w:noProof/>
        </w:rPr>
        <w:t>[16]</w:t>
      </w:r>
      <w:r w:rsidR="00CE2698">
        <w:fldChar w:fldCharType="end"/>
      </w:r>
      <w:r w:rsidRPr="005E41EB">
        <w:t xml:space="preserve">. The extensive use of passive safety systems is </w:t>
      </w:r>
      <w:r w:rsidR="007074C8">
        <w:t>largely</w:t>
      </w:r>
      <w:r w:rsidRPr="005E41EB">
        <w:t xml:space="preserve"> enabled by the enhanced use of natural circulation. Additional features </w:t>
      </w:r>
      <w:r w:rsidRPr="008D6344">
        <w:t>enabling</w:t>
      </w:r>
      <w:r w:rsidRPr="005E41EB">
        <w:t xml:space="preserve"> passive safety are gravity, convection, and pressuri</w:t>
      </w:r>
      <w:r w:rsidR="00E614DB" w:rsidRPr="005E41EB">
        <w:t>s</w:t>
      </w:r>
      <w:r w:rsidRPr="005E41EB">
        <w:t>ed systems. The implementation of increased passive safety needs attention from the l</w:t>
      </w:r>
      <w:r w:rsidR="00B33D11">
        <w:t>icensing</w:t>
      </w:r>
      <w:r w:rsidRPr="005E41EB">
        <w:t xml:space="preserve"> perspective. </w:t>
      </w:r>
      <w:r w:rsidR="00BC3CC2">
        <w:t>D</w:t>
      </w:r>
      <w:r w:rsidRPr="005E41EB">
        <w:t>ue to potential difficulties</w:t>
      </w:r>
      <w:r w:rsidR="00AF1E60">
        <w:t xml:space="preserve"> </w:t>
      </w:r>
      <w:r w:rsidR="002F1043">
        <w:t xml:space="preserve">to perform </w:t>
      </w:r>
      <w:r w:rsidR="00AF1E60">
        <w:t>(periodic)</w:t>
      </w:r>
      <w:r w:rsidRPr="005E41EB">
        <w:t xml:space="preserve"> testing</w:t>
      </w:r>
      <w:r w:rsidR="002F1043">
        <w:t xml:space="preserve"> of</w:t>
      </w:r>
      <w:r w:rsidRPr="005E41EB">
        <w:t xml:space="preserve"> the systems, o</w:t>
      </w:r>
      <w:r w:rsidR="008E68B3">
        <w:t>peration</w:t>
      </w:r>
      <w:r w:rsidRPr="005E41EB">
        <w:t>/m</w:t>
      </w:r>
      <w:r w:rsidR="001775E7">
        <w:t>aintenance</w:t>
      </w:r>
      <w:r w:rsidRPr="005E41EB">
        <w:t xml:space="preserve"> might also be affected by the increased passive safety.</w:t>
      </w:r>
    </w:p>
    <w:p w14:paraId="6CEE70BD" w14:textId="2F088262" w:rsidR="00827B3C" w:rsidRPr="005E41EB" w:rsidRDefault="004761EB" w:rsidP="00291B0A">
      <w:pPr>
        <w:pStyle w:val="BodyText"/>
      </w:pPr>
      <w:r w:rsidRPr="005E41EB">
        <w:t>The c</w:t>
      </w:r>
      <w:r w:rsidR="00827B3C" w:rsidRPr="005E41EB">
        <w:t>ontainment</w:t>
      </w:r>
      <w:r w:rsidRPr="005E41EB">
        <w:t xml:space="preserve">s of the Swedish reactors </w:t>
      </w:r>
      <w:r w:rsidR="00496C8E" w:rsidRPr="005E41EB">
        <w:t xml:space="preserve">are made of prestressed concrete </w:t>
      </w:r>
      <w:r w:rsidR="00884442" w:rsidRPr="005E41EB">
        <w:fldChar w:fldCharType="begin" w:fldLock="1"/>
      </w:r>
      <w:r w:rsidR="00937067">
        <w:instrText>ADDIN CSL_CITATION {"citationItems":[{"id":"ITEM-1","itemData":{"author":[{"dropping-particle":"","family":"Roth","given":"Thomas","non-dropping-particle":"","parse-names":false,"suffix":""},{"dropping-particle":"","family":"Silfwerbrand","given":"Johan","non-dropping-particle":"","parse-names":false,"suffix":""},{"dropping-particle":"","family":"Sundquist","given":"Håkan","non-dropping-particle":"","parse-names":false,"suffix":""}],"id":"ITEM-1","issued":{"date-parts":[["2002"]]},"title":"Betonginneslutningar i svenska kärnkraftverk - En sammanställning över konstruktion och material","type":"report"},"uris":["http://www.mendeley.com/documents/?uuid=58604428-1842-4e8d-87a3-ecd8380f9ce4"]}],"mendeley":{"formattedCitation":"[17]","plainTextFormattedCitation":"[17]","previouslyFormattedCitation":"[17]"},"properties":{"noteIndex":0},"schema":"https://github.com/citation-style-language/schema/raw/master/csl-citation.json"}</w:instrText>
      </w:r>
      <w:r w:rsidR="00884442" w:rsidRPr="005E41EB">
        <w:fldChar w:fldCharType="separate"/>
      </w:r>
      <w:r w:rsidR="0056591D" w:rsidRPr="0056591D">
        <w:rPr>
          <w:noProof/>
        </w:rPr>
        <w:t>[17]</w:t>
      </w:r>
      <w:r w:rsidR="00884442" w:rsidRPr="005E41EB">
        <w:fldChar w:fldCharType="end"/>
      </w:r>
      <w:r w:rsidR="00496C8E" w:rsidRPr="005E41EB">
        <w:t>.</w:t>
      </w:r>
      <w:r w:rsidR="00341B80" w:rsidRPr="005E41EB">
        <w:t xml:space="preserve"> </w:t>
      </w:r>
      <w:r w:rsidR="004730F8" w:rsidRPr="005E41EB">
        <w:t>Novelties in t</w:t>
      </w:r>
      <w:r w:rsidR="00341B80" w:rsidRPr="005E41EB">
        <w:t xml:space="preserve">he SMR containments </w:t>
      </w:r>
      <w:r w:rsidR="004730F8" w:rsidRPr="005E41EB">
        <w:t>include the use of a steel containment</w:t>
      </w:r>
      <w:r w:rsidR="00CE0087" w:rsidRPr="005E41EB">
        <w:t xml:space="preserve"> (surrounded by concrete)</w:t>
      </w:r>
      <w:r w:rsidR="004730F8" w:rsidRPr="005E41EB">
        <w:t xml:space="preserve"> and </w:t>
      </w:r>
      <w:r w:rsidR="00843C2B" w:rsidRPr="005E41EB">
        <w:t>building the containment using composite materials</w:t>
      </w:r>
      <w:r w:rsidR="00CE0087" w:rsidRPr="005E41EB">
        <w:t>. Experience of some of the</w:t>
      </w:r>
      <w:r w:rsidR="00434401" w:rsidRPr="005E41EB">
        <w:t xml:space="preserve"> proposed</w:t>
      </w:r>
      <w:r w:rsidR="00CE0087" w:rsidRPr="005E41EB">
        <w:t xml:space="preserve"> </w:t>
      </w:r>
      <w:r w:rsidR="004937F5" w:rsidRPr="005E41EB">
        <w:t>containment designs exists outside Sweden. However, l</w:t>
      </w:r>
      <w:r w:rsidR="00B33D11">
        <w:t>icensing</w:t>
      </w:r>
      <w:r w:rsidR="004937F5" w:rsidRPr="005E41EB">
        <w:t xml:space="preserve"> and c</w:t>
      </w:r>
      <w:r w:rsidR="00C524F1">
        <w:t>onstruction</w:t>
      </w:r>
      <w:r w:rsidR="004937F5" w:rsidRPr="005E41EB">
        <w:t xml:space="preserve"> </w:t>
      </w:r>
      <w:r w:rsidR="005B02C0">
        <w:t xml:space="preserve">aspects </w:t>
      </w:r>
      <w:r w:rsidR="004937F5" w:rsidRPr="005E41EB">
        <w:t xml:space="preserve">need to be considered </w:t>
      </w:r>
      <w:r w:rsidR="00581342" w:rsidRPr="005E41EB">
        <w:t>for the</w:t>
      </w:r>
      <w:r w:rsidR="00434401" w:rsidRPr="005E41EB">
        <w:t xml:space="preserve"> new types of containments.</w:t>
      </w:r>
      <w:r w:rsidR="00291B0A" w:rsidRPr="00291B0A">
        <w:t xml:space="preserve"> </w:t>
      </w:r>
      <w:r w:rsidR="00291B0A">
        <w:t>A BWR-specific case for containment design is the proposed use of a d</w:t>
      </w:r>
      <w:r w:rsidR="00291B0A" w:rsidRPr="005E41EB">
        <w:t>ry</w:t>
      </w:r>
      <w:r w:rsidR="00291B0A">
        <w:t xml:space="preserve"> </w:t>
      </w:r>
      <w:r w:rsidR="00291B0A" w:rsidRPr="005E41EB">
        <w:t>containment</w:t>
      </w:r>
      <w:r w:rsidR="00291B0A">
        <w:t>.</w:t>
      </w:r>
      <w:r w:rsidR="00291B0A" w:rsidRPr="005E41EB">
        <w:t xml:space="preserve"> </w:t>
      </w:r>
      <w:r w:rsidR="00291B0A">
        <w:t>C</w:t>
      </w:r>
      <w:r w:rsidR="00291B0A" w:rsidRPr="005E41EB">
        <w:t xml:space="preserve">urrent </w:t>
      </w:r>
      <w:r w:rsidR="00291B0A">
        <w:t xml:space="preserve">BWRs use </w:t>
      </w:r>
      <w:r w:rsidR="0022575A">
        <w:t>pressure</w:t>
      </w:r>
      <w:r w:rsidR="00F42315">
        <w:t>-suppression</w:t>
      </w:r>
      <w:r w:rsidR="0022575A">
        <w:t xml:space="preserve"> </w:t>
      </w:r>
      <w:r w:rsidR="00291B0A">
        <w:t>containments</w:t>
      </w:r>
      <w:r w:rsidR="00F42315">
        <w:t xml:space="preserve"> with </w:t>
      </w:r>
      <w:r w:rsidR="00221D08">
        <w:t>large water pools</w:t>
      </w:r>
      <w:r w:rsidR="00291B0A">
        <w:t>.</w:t>
      </w:r>
      <w:r w:rsidR="00CA35E1">
        <w:t xml:space="preserve"> However, the initial BWR </w:t>
      </w:r>
      <w:r w:rsidR="002F442A">
        <w:t>containments</w:t>
      </w:r>
      <w:r w:rsidR="00CA35E1">
        <w:t xml:space="preserve"> were dry </w:t>
      </w:r>
      <w:r w:rsidR="00CA35E1">
        <w:fldChar w:fldCharType="begin" w:fldLock="1"/>
      </w:r>
      <w:r w:rsidR="00937067">
        <w:instrText>ADDIN CSL_CITATION {"citationItems":[{"id":"ITEM-1","itemData":{"DOI":"10.1016/j.pnucene.2017.06.020","ISSN":"01491970","abstract":"The notion of boiling water within a reactor core and sending the steam directly to a turbine-generator was investigated by Argonne National Laboratory in the late 1940's and early 1950's. Following the success of boiling reactor tests, the General Electric Company signed a contract with the Commonwealth Edison Company of Chicago, Illinois, in 1955 to deliver the 180 MW(e) Dresden Nuclear Station (Unit 1). Experience with several Generation I design configurations led to a series of Generation II product evolutions for direct-cycle Boiling Water Reactors that became deployed worldwide, with improvements developed in the US, Europe and Japan. International cooperative efforts have led to today's Generation III/III+ designs with improvements in safety, operation and maintenance, construction and economics. The Boiling Water Reactor is well positioned to serve in conjunction with the current operational fleet as well as emerging Generation IV reactor designs of the future.","author":[{"dropping-particle":"","family":"Fennern","given":"Larry","non-dropping-particle":"","parse-names":false,"suffix":""}],"container-title":"Progress in Nuclear Energy","id":"ITEM-1","issued":{"date-parts":[["2018"]]},"page":"38-57","publisher":"Elsevier Ltd","title":"Design evolution of BWRs: Dresden to generation III+","type":"article-journal","volume":"102"},"uris":["http://www.mendeley.com/documents/?uuid=319ac141-7ede-4525-ae62-6efd9a7ea7b5"]}],"mendeley":{"formattedCitation":"[18]","plainTextFormattedCitation":"[18]","previouslyFormattedCitation":"[18]"},"properties":{"noteIndex":0},"schema":"https://github.com/citation-style-language/schema/raw/master/csl-citation.json"}</w:instrText>
      </w:r>
      <w:r w:rsidR="00CA35E1">
        <w:fldChar w:fldCharType="separate"/>
      </w:r>
      <w:r w:rsidR="0056591D" w:rsidRPr="0056591D">
        <w:rPr>
          <w:noProof/>
        </w:rPr>
        <w:t>[18]</w:t>
      </w:r>
      <w:r w:rsidR="00CA35E1">
        <w:fldChar w:fldCharType="end"/>
      </w:r>
      <w:r w:rsidR="00CA35E1">
        <w:t>.</w:t>
      </w:r>
      <w:r w:rsidR="00291B0A">
        <w:t xml:space="preserve"> Dry containments</w:t>
      </w:r>
      <w:r w:rsidR="00291B0A" w:rsidRPr="005E41EB">
        <w:t xml:space="preserve"> will likely be advantageous from an o</w:t>
      </w:r>
      <w:r w:rsidR="008E68B3">
        <w:t>peration</w:t>
      </w:r>
      <w:r w:rsidR="00291B0A" w:rsidRPr="005E41EB">
        <w:t>/m</w:t>
      </w:r>
      <w:r w:rsidR="001775E7">
        <w:t>aintenance</w:t>
      </w:r>
      <w:r w:rsidR="00291B0A" w:rsidRPr="005E41EB">
        <w:t xml:space="preserve"> perspective but need attention from a l</w:t>
      </w:r>
      <w:r w:rsidR="00B33D11">
        <w:t>icensing</w:t>
      </w:r>
      <w:r w:rsidR="00291B0A" w:rsidRPr="005E41EB">
        <w:t xml:space="preserve"> perspective.</w:t>
      </w:r>
      <w:r w:rsidR="00581342" w:rsidRPr="005E41EB">
        <w:t xml:space="preserve"> </w:t>
      </w:r>
    </w:p>
    <w:p w14:paraId="50C3A1F0" w14:textId="1DDA6267" w:rsidR="006635FC" w:rsidRPr="005E41EB" w:rsidRDefault="00545A23" w:rsidP="004C6822">
      <w:pPr>
        <w:pStyle w:val="BodyText"/>
      </w:pPr>
      <w:r w:rsidRPr="005E41EB">
        <w:t>L</w:t>
      </w:r>
      <w:r w:rsidR="006635FC" w:rsidRPr="005E41EB">
        <w:t>oad-following capability is</w:t>
      </w:r>
      <w:r w:rsidRPr="005E41EB">
        <w:t xml:space="preserve"> in the SMR designs</w:t>
      </w:r>
      <w:r w:rsidR="006635FC" w:rsidRPr="005E41EB">
        <w:t xml:space="preserve"> significantly increased compared with the Swedish reactors. </w:t>
      </w:r>
      <w:r w:rsidR="00E30F0E" w:rsidRPr="005E41EB">
        <w:t xml:space="preserve">Means to load-follow include control rods, soluble boron (PWRs), </w:t>
      </w:r>
      <w:r w:rsidR="00511B15">
        <w:t>coolant</w:t>
      </w:r>
      <w:r w:rsidR="00511B15" w:rsidRPr="005E41EB">
        <w:t xml:space="preserve"> </w:t>
      </w:r>
      <w:r w:rsidR="00E30F0E" w:rsidRPr="005E41EB">
        <w:t xml:space="preserve">temperature, and </w:t>
      </w:r>
      <w:r w:rsidR="00980019" w:rsidRPr="005E41EB">
        <w:t>bypassing</w:t>
      </w:r>
      <w:r w:rsidR="00E30F0E" w:rsidRPr="005E41EB">
        <w:t xml:space="preserve"> the turbine and using the steam for other purposes</w:t>
      </w:r>
      <w:r w:rsidR="00460C3A">
        <w:t xml:space="preserve"> </w:t>
      </w:r>
      <w:r w:rsidR="00460C3A">
        <w:fldChar w:fldCharType="begin" w:fldLock="1"/>
      </w:r>
      <w:r w:rsidR="00937067">
        <w:instrText>ADDIN CSL_CITATION {"citationItems":[{"id":"ITEM-1","itemData":{"DOI":"10.1016/j.pnucene.2024.105274","ISSN":"0149-1970","author":[{"dropping-particle":"","family":"Zhang","given":"Zhibo","non-dropping-particle":"","parse-names":false,"suffix":""},{"dropping-particle":"","family":"Jiang","given":"Jin","non-dropping-particle":"","parse-names":false,"suffix":""}],"container-title":"Progress in Nuclear Energy","id":"ITEM-1","issue":"April","issued":{"date-parts":[["2024"]]},"page":"105274","publisher":"Elsevier Ltd","title":"On load-following operations of small modular reactors","type":"article-journal","volume":"173"},"uris":["http://www.mendeley.com/documents/?uuid=6b4e4c9f-77c4-48f2-b7cb-ab0995f839fe"]}],"mendeley":{"formattedCitation":"[19]","plainTextFormattedCitation":"[19]","previouslyFormattedCitation":"[19]"},"properties":{"noteIndex":0},"schema":"https://github.com/citation-style-language/schema/raw/master/csl-citation.json"}</w:instrText>
      </w:r>
      <w:r w:rsidR="00460C3A">
        <w:fldChar w:fldCharType="separate"/>
      </w:r>
      <w:r w:rsidR="0056591D" w:rsidRPr="0056591D">
        <w:rPr>
          <w:noProof/>
        </w:rPr>
        <w:t>[19]</w:t>
      </w:r>
      <w:r w:rsidR="00460C3A">
        <w:fldChar w:fldCharType="end"/>
      </w:r>
      <w:r w:rsidR="00E30F0E" w:rsidRPr="005E41EB">
        <w:t>. The increased load-following capability will need attention from the licensing and o</w:t>
      </w:r>
      <w:r w:rsidR="008E68B3">
        <w:t>peration</w:t>
      </w:r>
      <w:r w:rsidR="00E30F0E" w:rsidRPr="005E41EB">
        <w:t>/m</w:t>
      </w:r>
      <w:r w:rsidR="001775E7">
        <w:t>aintenance</w:t>
      </w:r>
      <w:r w:rsidR="00E30F0E" w:rsidRPr="005E41EB">
        <w:t xml:space="preserve"> perspectives. </w:t>
      </w:r>
    </w:p>
    <w:p w14:paraId="141BB265" w14:textId="39C55E8D" w:rsidR="002F20FC" w:rsidRPr="005E41EB" w:rsidRDefault="00827B3C" w:rsidP="005B41DE">
      <w:pPr>
        <w:pStyle w:val="BodyText"/>
      </w:pPr>
      <w:r w:rsidRPr="005E41EB">
        <w:t>Dry storage of spent fuel</w:t>
      </w:r>
      <w:r w:rsidR="008801E0" w:rsidRPr="005E41EB">
        <w:t xml:space="preserve"> is currently not used in Sweden, where the used fuel is stored </w:t>
      </w:r>
      <w:r w:rsidR="00980019" w:rsidRPr="005E41EB">
        <w:t>in</w:t>
      </w:r>
      <w:r w:rsidR="008801E0" w:rsidRPr="005E41EB">
        <w:t xml:space="preserve"> water pools at the interim storage facility </w:t>
      </w:r>
      <w:r w:rsidR="008801E0" w:rsidRPr="005E41EB">
        <w:rPr>
          <w:i/>
          <w:iCs/>
        </w:rPr>
        <w:t>Clab</w:t>
      </w:r>
      <w:r w:rsidR="008801E0" w:rsidRPr="005E41EB">
        <w:t xml:space="preserve"> in Oskarshamn </w:t>
      </w:r>
      <w:r w:rsidR="006137CA">
        <w:fldChar w:fldCharType="begin" w:fldLock="1"/>
      </w:r>
      <w:r w:rsidR="00937067">
        <w:instrText>ADDIN CSL_CITATION {"citationItems":[{"id":"ITEM-1","itemData":{"URL":"https://skb.com/our-operations/clab/","author":[{"dropping-particle":"","family":"SKB","given":"","non-dropping-particle":"","parse-names":false,"suffix":""}],"id":"ITEM-1","issued":{"date-parts":[["2024"]]},"title":"Clab – Central Interim Storage Facility for Spent Nuclear Fuel","type":"webpage"},"uris":["http://www.mendeley.com/documents/?uuid=664d33e6-477d-4c20-a263-6d1e2214076c"]}],"mendeley":{"formattedCitation":"[20]","plainTextFormattedCitation":"[20]","previouslyFormattedCitation":"[20]"},"properties":{"noteIndex":0},"schema":"https://github.com/citation-style-language/schema/raw/master/csl-citation.json"}</w:instrText>
      </w:r>
      <w:r w:rsidR="006137CA">
        <w:fldChar w:fldCharType="separate"/>
      </w:r>
      <w:r w:rsidR="0056591D" w:rsidRPr="0056591D">
        <w:rPr>
          <w:noProof/>
        </w:rPr>
        <w:t>[20]</w:t>
      </w:r>
      <w:r w:rsidR="006137CA">
        <w:fldChar w:fldCharType="end"/>
      </w:r>
      <w:r w:rsidR="008801E0" w:rsidRPr="005E41EB">
        <w:t xml:space="preserve">. However, dry storage on-site might be an option for SMRs (and any new large-scale reactors). Dry storage might be advantageous because of decreased transportation of spent fuel and no need to expand the capacity of </w:t>
      </w:r>
      <w:r w:rsidR="008801E0" w:rsidRPr="005E41EB">
        <w:rPr>
          <w:i/>
          <w:iCs/>
        </w:rPr>
        <w:t>Clab</w:t>
      </w:r>
      <w:r w:rsidR="008801E0" w:rsidRPr="005E41EB">
        <w:t xml:space="preserve">. Equipment previously not used in Sweden to handle the spent nuclear fuel might need to be </w:t>
      </w:r>
      <w:r w:rsidR="00863D92">
        <w:t>de</w:t>
      </w:r>
      <w:r w:rsidR="008801E0" w:rsidRPr="005E41EB">
        <w:t xml:space="preserve">ployed. As on-site dry storage of spent fuel is used elsewhere </w:t>
      </w:r>
      <w:r w:rsidR="006B6C5D">
        <w:fldChar w:fldCharType="begin" w:fldLock="1"/>
      </w:r>
      <w:r w:rsidR="00937067">
        <w:instrText>ADDIN CSL_CITATION {"citationItems":[{"id":"ITEM-1","itemData":{"author":[{"dropping-particle":"","family":"NEA","given":"","non-dropping-particle":"","parse-names":false,"suffix":""}],"container-title":"Radioactive Waste Management and Decommissioning","id":"ITEM-1","issued":{"date-parts":[["2020"]]},"title":"Storage of Radioactive Waste and Spent Fuel","type":"report"},"uris":["http://www.mendeley.com/documents/?uuid=a800fd61-979e-4a3c-aab4-59f229ed1347"]}],"mendeley":{"formattedCitation":"[21]","plainTextFormattedCitation":"[21]","previouslyFormattedCitation":"[21]"},"properties":{"noteIndex":0},"schema":"https://github.com/citation-style-language/schema/raw/master/csl-citation.json"}</w:instrText>
      </w:r>
      <w:r w:rsidR="006B6C5D">
        <w:fldChar w:fldCharType="separate"/>
      </w:r>
      <w:r w:rsidR="0056591D" w:rsidRPr="0056591D">
        <w:rPr>
          <w:noProof/>
        </w:rPr>
        <w:t>[21]</w:t>
      </w:r>
      <w:r w:rsidR="006B6C5D">
        <w:fldChar w:fldCharType="end"/>
      </w:r>
      <w:r w:rsidR="008801E0" w:rsidRPr="005E41EB">
        <w:t xml:space="preserve">, it should be relatively easy from a technical perspective to implement it </w:t>
      </w:r>
      <w:r w:rsidR="00251D15">
        <w:t xml:space="preserve">in </w:t>
      </w:r>
      <w:r w:rsidR="008801E0" w:rsidRPr="005E41EB">
        <w:t xml:space="preserve">Sweden. However, </w:t>
      </w:r>
      <w:r w:rsidR="00183C90" w:rsidRPr="005E41EB">
        <w:t xml:space="preserve">mainly </w:t>
      </w:r>
      <w:r w:rsidR="00364DD5" w:rsidRPr="005E41EB">
        <w:t xml:space="preserve">the </w:t>
      </w:r>
      <w:r w:rsidR="008801E0" w:rsidRPr="005E41EB">
        <w:t>licensing</w:t>
      </w:r>
      <w:r w:rsidR="00A2358E">
        <w:t xml:space="preserve"> </w:t>
      </w:r>
      <w:r w:rsidR="00364DD5" w:rsidRPr="005E41EB">
        <w:t>aspe</w:t>
      </w:r>
      <w:r w:rsidR="00364DD5" w:rsidRPr="007D5D19">
        <w:t>cts</w:t>
      </w:r>
      <w:r w:rsidR="00364DD5" w:rsidRPr="005E41EB">
        <w:t xml:space="preserve"> need attention.</w:t>
      </w:r>
    </w:p>
    <w:p w14:paraId="2E169C43" w14:textId="77777777" w:rsidR="00D13E71" w:rsidRPr="005E41EB" w:rsidRDefault="00D13E71" w:rsidP="00902DC3">
      <w:pPr>
        <w:pStyle w:val="BodyText"/>
        <w:ind w:firstLine="0"/>
      </w:pPr>
    </w:p>
    <w:p w14:paraId="04F3F417" w14:textId="59986A67" w:rsidR="00D13E71" w:rsidRPr="005E41EB" w:rsidRDefault="002F20FC" w:rsidP="00D13E71">
      <w:pPr>
        <w:pStyle w:val="Heading2"/>
        <w:numPr>
          <w:ilvl w:val="1"/>
          <w:numId w:val="10"/>
        </w:numPr>
      </w:pPr>
      <w:r>
        <w:t xml:space="preserve">Summary and </w:t>
      </w:r>
      <w:r w:rsidR="00D13E71" w:rsidRPr="005E41EB">
        <w:t>conclusions</w:t>
      </w:r>
    </w:p>
    <w:p w14:paraId="1CE4A6CB" w14:textId="2C575BD1" w:rsidR="00D13E71" w:rsidRDefault="00533222" w:rsidP="009A502B">
      <w:pPr>
        <w:pStyle w:val="BodyText"/>
      </w:pPr>
      <w:r>
        <w:t>SMRs are considered an option for increasing the nuclear capacity</w:t>
      </w:r>
      <w:r w:rsidR="00FB120E">
        <w:t xml:space="preserve"> in Sweden. Of primary interest in the relatively near future are land-based light-water SMRs</w:t>
      </w:r>
      <w:r w:rsidR="007E22E4">
        <w:t>, mainly for electricity production but potentially also for heat or hydrogen pr</w:t>
      </w:r>
      <w:r w:rsidR="00BC180F">
        <w:t>oduction</w:t>
      </w:r>
      <w:r w:rsidR="00FB120E">
        <w:t>.</w:t>
      </w:r>
      <w:r w:rsidR="00126D36">
        <w:t xml:space="preserve"> Compared with </w:t>
      </w:r>
      <w:r w:rsidR="00297155">
        <w:t xml:space="preserve">the current Swedish reactors there are a number of novel features </w:t>
      </w:r>
      <w:r w:rsidR="008470AE">
        <w:t xml:space="preserve">entailed in the SMR designs that could be potential barriers to deploying </w:t>
      </w:r>
      <w:r w:rsidR="00DB370A">
        <w:t xml:space="preserve">the SMRs in Sweden. </w:t>
      </w:r>
      <w:r w:rsidR="003C226C">
        <w:t xml:space="preserve">Some of the novelties are already in use in reactors outside Sweden and </w:t>
      </w:r>
      <w:r w:rsidR="003D6E96">
        <w:t xml:space="preserve">will thus not need as much further </w:t>
      </w:r>
      <w:r w:rsidR="00587A62">
        <w:t xml:space="preserve">investigation </w:t>
      </w:r>
      <w:r w:rsidR="003D6E96">
        <w:t xml:space="preserve">from a technical perspective as those </w:t>
      </w:r>
      <w:r w:rsidR="00775648">
        <w:t>features that are new also to the rest of the world.</w:t>
      </w:r>
      <w:r w:rsidR="00074006">
        <w:t xml:space="preserve"> However, </w:t>
      </w:r>
      <w:r w:rsidR="000D45CC">
        <w:t>regulatory</w:t>
      </w:r>
      <w:r w:rsidR="00744A63">
        <w:t xml:space="preserve"> (notably l</w:t>
      </w:r>
      <w:r w:rsidR="00B33D11">
        <w:t>icensing</w:t>
      </w:r>
      <w:r w:rsidR="00744A63">
        <w:t>)</w:t>
      </w:r>
      <w:r w:rsidR="00074006">
        <w:t xml:space="preserve"> aspects need consideration </w:t>
      </w:r>
      <w:r w:rsidR="000D45CC">
        <w:t xml:space="preserve">when implementing </w:t>
      </w:r>
      <w:r w:rsidR="00CD0178">
        <w:t>features that have previously not been used in Sweden.</w:t>
      </w:r>
    </w:p>
    <w:p w14:paraId="60192799" w14:textId="4066C766" w:rsidR="00F56DAD" w:rsidRDefault="00921AF5" w:rsidP="009A502B">
      <w:pPr>
        <w:pStyle w:val="BodyText"/>
      </w:pPr>
      <w:r>
        <w:t xml:space="preserve">The </w:t>
      </w:r>
      <w:r w:rsidR="00BD1553">
        <w:t>novel features of SMRs might affect</w:t>
      </w:r>
      <w:r w:rsidR="00C02E9C">
        <w:t xml:space="preserve"> one or more of</w:t>
      </w:r>
      <w:r w:rsidR="00BD1553">
        <w:t xml:space="preserve"> l</w:t>
      </w:r>
      <w:r w:rsidR="00B33D11">
        <w:t>icensing</w:t>
      </w:r>
      <w:r w:rsidR="00BD1553">
        <w:t xml:space="preserve">, </w:t>
      </w:r>
      <w:r w:rsidR="00C02E9C">
        <w:t>c</w:t>
      </w:r>
      <w:r w:rsidR="00C524F1">
        <w:t>onstruction</w:t>
      </w:r>
      <w:r w:rsidR="00C02E9C">
        <w:t>, and o</w:t>
      </w:r>
      <w:r w:rsidR="008E68B3">
        <w:t>peration</w:t>
      </w:r>
      <w:r w:rsidR="00C02E9C">
        <w:t>/m</w:t>
      </w:r>
      <w:r w:rsidR="001775E7">
        <w:t>aintenance</w:t>
      </w:r>
      <w:r w:rsidR="00C02E9C">
        <w:t xml:space="preserve"> of the reactors.</w:t>
      </w:r>
      <w:r w:rsidR="00C627CC">
        <w:t xml:space="preserve"> Notable novelties compared with the Swedish reactor fleet were</w:t>
      </w:r>
      <w:r w:rsidR="003A4A21">
        <w:t xml:space="preserve"> in this work </w:t>
      </w:r>
      <w:r w:rsidR="00C627CC">
        <w:t xml:space="preserve">identified based on </w:t>
      </w:r>
      <w:r w:rsidR="00C627CC">
        <w:lastRenderedPageBreak/>
        <w:t xml:space="preserve">five proposed SMR designs, one BWR and four PWRs. These novelties are modularity, the smaller size of SMRs, </w:t>
      </w:r>
      <w:r w:rsidR="005E15DA">
        <w:t>integral PWR designs, the use of boron-free PWR coolant,</w:t>
      </w:r>
      <w:r w:rsidR="00D636FE">
        <w:t xml:space="preserve"> enhanced</w:t>
      </w:r>
      <w:r w:rsidR="00C627CC">
        <w:t xml:space="preserve"> natural circulation, </w:t>
      </w:r>
      <w:r w:rsidR="00D636FE">
        <w:t xml:space="preserve">increased </w:t>
      </w:r>
      <w:r w:rsidR="00C627CC">
        <w:t xml:space="preserve">passive safety, novel containment designs, </w:t>
      </w:r>
      <w:r w:rsidR="00C627CC" w:rsidRPr="00D636FE">
        <w:t>increased</w:t>
      </w:r>
      <w:r w:rsidR="00C627CC">
        <w:t xml:space="preserve"> load-following capability, </w:t>
      </w:r>
      <w:r w:rsidR="00ED25CA">
        <w:t xml:space="preserve">and </w:t>
      </w:r>
      <w:r w:rsidR="00C627CC">
        <w:t xml:space="preserve">dry storage of spent nuclear fuel. </w:t>
      </w:r>
      <w:r w:rsidR="00CE32A4">
        <w:t>All</w:t>
      </w:r>
      <w:r w:rsidR="00C627CC">
        <w:t xml:space="preserve"> of these novelties can affect the l</w:t>
      </w:r>
      <w:r w:rsidR="00B33D11">
        <w:t>icensing</w:t>
      </w:r>
      <w:r w:rsidR="006D3612">
        <w:t xml:space="preserve"> and almost all </w:t>
      </w:r>
      <w:r w:rsidR="00470C4A">
        <w:t xml:space="preserve">of them </w:t>
      </w:r>
      <w:r w:rsidR="006D3612">
        <w:t>the o</w:t>
      </w:r>
      <w:r w:rsidR="008E68B3">
        <w:t>peration</w:t>
      </w:r>
      <w:r w:rsidR="006D3612">
        <w:t>/m</w:t>
      </w:r>
      <w:r w:rsidR="001775E7">
        <w:t>aintenance</w:t>
      </w:r>
      <w:r w:rsidR="00C627CC">
        <w:t xml:space="preserve"> of the SMRs</w:t>
      </w:r>
      <w:r w:rsidR="00D2707E">
        <w:t>.</w:t>
      </w:r>
      <w:r w:rsidR="00E646CC">
        <w:t xml:space="preserve"> </w:t>
      </w:r>
      <w:r w:rsidR="00D2707E">
        <w:t>C</w:t>
      </w:r>
      <w:r w:rsidR="00C524F1">
        <w:t>onstruction</w:t>
      </w:r>
      <w:r w:rsidR="00E646CC">
        <w:t xml:space="preserve"> </w:t>
      </w:r>
      <w:r w:rsidR="00D2707E">
        <w:t xml:space="preserve">is </w:t>
      </w:r>
      <w:r w:rsidR="00A93E52">
        <w:t>more likely affected by the modularity, the smaller size, and the novel containment designs</w:t>
      </w:r>
      <w:r w:rsidR="00D52BDB">
        <w:t xml:space="preserve"> than by the other novelties</w:t>
      </w:r>
      <w:r w:rsidR="00E646CC">
        <w:t>.</w:t>
      </w:r>
    </w:p>
    <w:p w14:paraId="1AF88C3F" w14:textId="2AAFAEED" w:rsidR="001C57F1" w:rsidRDefault="00E26CE6" w:rsidP="00BB266E">
      <w:pPr>
        <w:pStyle w:val="BodyText"/>
      </w:pPr>
      <w:r>
        <w:t xml:space="preserve">Further </w:t>
      </w:r>
      <w:r w:rsidR="00F93C4C">
        <w:t xml:space="preserve">investigation of the novel </w:t>
      </w:r>
      <w:r w:rsidR="00E2131F">
        <w:t xml:space="preserve">features is needed to </w:t>
      </w:r>
      <w:r w:rsidR="00E639F7">
        <w:t xml:space="preserve">increase the understanding of them and </w:t>
      </w:r>
      <w:r w:rsidR="00E56239">
        <w:t xml:space="preserve">to </w:t>
      </w:r>
      <w:r w:rsidR="00444FC8">
        <w:t xml:space="preserve">decrease the barriers </w:t>
      </w:r>
      <w:r w:rsidR="00BD6AB4">
        <w:t>to implementing them</w:t>
      </w:r>
      <w:r w:rsidR="000C46EB">
        <w:t xml:space="preserve">. </w:t>
      </w:r>
      <w:r w:rsidR="00DD6D5F">
        <w:t xml:space="preserve">Such investigation </w:t>
      </w:r>
      <w:r w:rsidR="00650B7D">
        <w:t xml:space="preserve">is critical to </w:t>
      </w:r>
      <w:r w:rsidR="00217B47">
        <w:t>deploying SMRs in Sweden.</w:t>
      </w:r>
    </w:p>
    <w:p w14:paraId="61183124" w14:textId="77777777" w:rsidR="00D42865" w:rsidRPr="005E41EB" w:rsidRDefault="00D42865" w:rsidP="00BB266E">
      <w:pPr>
        <w:pStyle w:val="BodyText"/>
      </w:pPr>
    </w:p>
    <w:p w14:paraId="15F4F300" w14:textId="77777777" w:rsidR="00285755" w:rsidRPr="005E41EB" w:rsidRDefault="00285755" w:rsidP="00537496">
      <w:pPr>
        <w:pStyle w:val="Otherunnumberedheadings"/>
      </w:pPr>
      <w:r w:rsidRPr="005E41EB">
        <w:t>ACKNOWLEDGEMENTS</w:t>
      </w:r>
    </w:p>
    <w:p w14:paraId="03F28DAE" w14:textId="2F6E3619" w:rsidR="004A7E27" w:rsidRPr="005E41EB" w:rsidRDefault="004A7E27" w:rsidP="00537496">
      <w:pPr>
        <w:pStyle w:val="BodyText"/>
      </w:pPr>
      <w:r w:rsidRPr="005E41EB">
        <w:t>This work has been carried out within the framework of the ANItA collaboration (</w:t>
      </w:r>
      <w:hyperlink r:id="rId8" w:history="1">
        <w:r w:rsidRPr="005E41EB">
          <w:t>https://www3.uu.se/forskning/anita/?languageId=1</w:t>
        </w:r>
      </w:hyperlink>
      <w:r w:rsidRPr="005E41EB">
        <w:t>) and has been financially supported by the Swedish Energy Agency under project number 52680-1</w:t>
      </w:r>
      <w:r w:rsidR="00901372" w:rsidRPr="005E41EB">
        <w:t>. Stellan Molin, Luca Facciolo, Nici Bergroth, Konsta Värri, and Antti Ranta</w:t>
      </w:r>
      <w:r w:rsidR="00B63528" w:rsidRPr="005E41EB">
        <w:t>kaulio are acknowledged for fruitful discussions.</w:t>
      </w:r>
    </w:p>
    <w:p w14:paraId="32B76F9D" w14:textId="77777777" w:rsidR="00D26ADA" w:rsidRPr="005E41EB" w:rsidRDefault="00D26ADA" w:rsidP="00537496">
      <w:pPr>
        <w:pStyle w:val="Otherunnumberedheadings"/>
      </w:pPr>
      <w:r w:rsidRPr="005E41EB">
        <w:t>References</w:t>
      </w:r>
    </w:p>
    <w:p w14:paraId="2BBFDCC1" w14:textId="6EB111DA" w:rsidR="00937067" w:rsidRPr="007A7209" w:rsidRDefault="00CE2CD6" w:rsidP="007A7209">
      <w:pPr>
        <w:pStyle w:val="Referencelist"/>
        <w:numPr>
          <w:ilvl w:val="0"/>
          <w:numId w:val="0"/>
        </w:numPr>
        <w:ind w:left="720" w:hanging="360"/>
      </w:pPr>
      <w:r w:rsidRPr="005E41EB">
        <w:fldChar w:fldCharType="begin" w:fldLock="1"/>
      </w:r>
      <w:r w:rsidRPr="005E41EB">
        <w:instrText xml:space="preserve">ADDIN Mendeley Bibliography CSL_BIBLIOGRAPHY </w:instrText>
      </w:r>
      <w:r w:rsidRPr="005E41EB">
        <w:fldChar w:fldCharType="separate"/>
      </w:r>
      <w:r w:rsidR="00937067" w:rsidRPr="00937067">
        <w:rPr>
          <w:noProof/>
          <w:sz w:val="20"/>
        </w:rPr>
        <w:t>[</w:t>
      </w:r>
      <w:r w:rsidR="00937067" w:rsidRPr="007A7209">
        <w:rPr>
          <w:noProof/>
        </w:rPr>
        <w:t>1]</w:t>
      </w:r>
      <w:r w:rsidR="00937067" w:rsidRPr="007A7209">
        <w:rPr>
          <w:noProof/>
        </w:rPr>
        <w:tab/>
      </w:r>
      <w:r w:rsidR="00937067" w:rsidRPr="007A7209">
        <w:t xml:space="preserve">A. Håkansson, S. Wakter, S. Qvist, N.-O. Jonsson, E. Lundbom, A. Rantakaulio, T. Lind, M. Johnson, L. Oliver, K. Johnson, Sweden’s </w:t>
      </w:r>
      <w:r w:rsidR="00C30D0E">
        <w:t>F</w:t>
      </w:r>
      <w:r w:rsidR="00937067" w:rsidRPr="007A7209">
        <w:t xml:space="preserve">uture </w:t>
      </w:r>
      <w:r w:rsidR="00C30D0E">
        <w:t>P</w:t>
      </w:r>
      <w:r w:rsidR="00937067" w:rsidRPr="007A7209">
        <w:t xml:space="preserve">ower and </w:t>
      </w:r>
      <w:r w:rsidR="00C30D0E">
        <w:t>E</w:t>
      </w:r>
      <w:r w:rsidR="00937067" w:rsidRPr="007A7209">
        <w:t xml:space="preserve">nergy </w:t>
      </w:r>
      <w:r w:rsidR="00C30D0E">
        <w:t>P</w:t>
      </w:r>
      <w:r w:rsidR="00937067" w:rsidRPr="007A7209">
        <w:t xml:space="preserve">roduction </w:t>
      </w:r>
      <w:r w:rsidR="00C30D0E">
        <w:t>S</w:t>
      </w:r>
      <w:r w:rsidR="00937067" w:rsidRPr="007A7209">
        <w:t xml:space="preserve">cenarios: Project </w:t>
      </w:r>
      <w:r w:rsidR="00C4314F">
        <w:t>R</w:t>
      </w:r>
      <w:r w:rsidR="00937067" w:rsidRPr="007A7209">
        <w:t xml:space="preserve">eport ANItA </w:t>
      </w:r>
      <w:r w:rsidR="00C4314F">
        <w:t>P</w:t>
      </w:r>
      <w:r w:rsidR="00937067" w:rsidRPr="007A7209">
        <w:t>roject A1, 2023.</w:t>
      </w:r>
    </w:p>
    <w:p w14:paraId="7A84B52C" w14:textId="7EE738B6" w:rsidR="00937067" w:rsidRPr="007A7209" w:rsidRDefault="00937067" w:rsidP="007A7209">
      <w:pPr>
        <w:pStyle w:val="Referencelist"/>
        <w:numPr>
          <w:ilvl w:val="0"/>
          <w:numId w:val="0"/>
        </w:numPr>
        <w:ind w:left="720" w:hanging="360"/>
      </w:pPr>
      <w:r w:rsidRPr="007A7209">
        <w:t>[2]</w:t>
      </w:r>
      <w:r w:rsidRPr="007A7209">
        <w:tab/>
        <w:t>IAEA, Advances in Small Modular Reactor Technology Developments</w:t>
      </w:r>
      <w:r w:rsidR="00E06AA5">
        <w:t xml:space="preserve"> 2022 Edition</w:t>
      </w:r>
      <w:r w:rsidRPr="007A7209">
        <w:t>, IAEA</w:t>
      </w:r>
      <w:r w:rsidR="000B5ABD">
        <w:t>,</w:t>
      </w:r>
      <w:r w:rsidRPr="007A7209">
        <w:t xml:space="preserve"> 2022.</w:t>
      </w:r>
    </w:p>
    <w:p w14:paraId="502749C0" w14:textId="7018F1A1" w:rsidR="00937067" w:rsidRPr="007A7209" w:rsidRDefault="00937067" w:rsidP="007A7209">
      <w:pPr>
        <w:pStyle w:val="Referencelist"/>
        <w:numPr>
          <w:ilvl w:val="0"/>
          <w:numId w:val="0"/>
        </w:numPr>
        <w:ind w:left="720" w:hanging="360"/>
      </w:pPr>
      <w:r w:rsidRPr="007A7209">
        <w:t>[3]</w:t>
      </w:r>
      <w:r w:rsidRPr="007A7209">
        <w:tab/>
        <w:t>NEA, The NEA Small Modular Reactor Dashboard: Second Edition,</w:t>
      </w:r>
      <w:r w:rsidR="004B7CD6">
        <w:t xml:space="preserve"> NEA No. </w:t>
      </w:r>
      <w:r w:rsidR="00062988">
        <w:t>7671,</w:t>
      </w:r>
      <w:r w:rsidRPr="007A7209">
        <w:t xml:space="preserve"> 2024.</w:t>
      </w:r>
    </w:p>
    <w:p w14:paraId="0E4532D4" w14:textId="24529919" w:rsidR="00937067" w:rsidRPr="007A7209" w:rsidRDefault="00937067" w:rsidP="007A7209">
      <w:pPr>
        <w:pStyle w:val="Referencelist"/>
        <w:numPr>
          <w:ilvl w:val="0"/>
          <w:numId w:val="0"/>
        </w:numPr>
        <w:ind w:left="720" w:hanging="360"/>
      </w:pPr>
      <w:r w:rsidRPr="007A7209">
        <w:t>[4]</w:t>
      </w:r>
      <w:r w:rsidRPr="007A7209">
        <w:tab/>
        <w:t>Westinghouse, Westinghouse AP300 (2024)</w:t>
      </w:r>
      <w:r w:rsidR="00C06BA3">
        <w:t>,</w:t>
      </w:r>
      <w:r w:rsidRPr="007A7209">
        <w:t xml:space="preserve"> https://www.westinghousenuclear.com/energy-systems/ap300-smr</w:t>
      </w:r>
      <w:r w:rsidR="000942A0">
        <w:t xml:space="preserve"> (accessed May 31, 2024)</w:t>
      </w:r>
      <w:r w:rsidRPr="007A7209">
        <w:t>.</w:t>
      </w:r>
    </w:p>
    <w:p w14:paraId="0FBBADF5" w14:textId="0FC807C9" w:rsidR="00937067" w:rsidRPr="007A7209" w:rsidRDefault="00937067" w:rsidP="007A7209">
      <w:pPr>
        <w:pStyle w:val="Referencelist"/>
        <w:numPr>
          <w:ilvl w:val="0"/>
          <w:numId w:val="0"/>
        </w:numPr>
        <w:ind w:left="720" w:hanging="360"/>
      </w:pPr>
      <w:r w:rsidRPr="007A7209">
        <w:t>[5]</w:t>
      </w:r>
      <w:r w:rsidRPr="007A7209">
        <w:tab/>
        <w:t>Holtec, Holtec SMR-300 (2024)</w:t>
      </w:r>
      <w:r w:rsidR="00C06BA3">
        <w:t>,</w:t>
      </w:r>
      <w:r w:rsidRPr="007A7209">
        <w:t xml:space="preserve"> https://holtecinternational.com/products-and-services/smr/</w:t>
      </w:r>
      <w:r w:rsidR="003641C4">
        <w:t xml:space="preserve"> (accessed May 31, 2024)</w:t>
      </w:r>
      <w:r w:rsidR="003641C4" w:rsidRPr="007A7209">
        <w:t>.</w:t>
      </w:r>
    </w:p>
    <w:p w14:paraId="2E0D59A9" w14:textId="5EE235F7" w:rsidR="00937067" w:rsidRPr="007A7209" w:rsidRDefault="00937067" w:rsidP="007A7209">
      <w:pPr>
        <w:pStyle w:val="Referencelist"/>
        <w:numPr>
          <w:ilvl w:val="0"/>
          <w:numId w:val="0"/>
        </w:numPr>
        <w:ind w:left="720" w:hanging="360"/>
      </w:pPr>
      <w:r w:rsidRPr="007A7209">
        <w:t>[6]</w:t>
      </w:r>
      <w:r w:rsidRPr="007A7209">
        <w:tab/>
        <w:t xml:space="preserve">SSM, Nuclear </w:t>
      </w:r>
      <w:r w:rsidR="00285A36">
        <w:t>P</w:t>
      </w:r>
      <w:r w:rsidRPr="007A7209">
        <w:t>ower</w:t>
      </w:r>
      <w:r w:rsidR="00F77C55">
        <w:t xml:space="preserve"> (2024)</w:t>
      </w:r>
      <w:r w:rsidR="00285A36">
        <w:t>,</w:t>
      </w:r>
      <w:r w:rsidRPr="007A7209">
        <w:t xml:space="preserve"> https://www.stralsakerhetsmyndigheten.se/en/areas/nuclear-power/ (accessed May 3</w:t>
      </w:r>
      <w:r w:rsidR="00285A36">
        <w:t>1</w:t>
      </w:r>
      <w:r w:rsidRPr="007A7209">
        <w:t>, 2024).</w:t>
      </w:r>
    </w:p>
    <w:p w14:paraId="51357113" w14:textId="6379A986" w:rsidR="00937067" w:rsidRPr="007A7209" w:rsidRDefault="00937067" w:rsidP="007A7209">
      <w:pPr>
        <w:pStyle w:val="Referencelist"/>
        <w:numPr>
          <w:ilvl w:val="0"/>
          <w:numId w:val="0"/>
        </w:numPr>
        <w:ind w:left="720" w:hanging="360"/>
      </w:pPr>
      <w:r w:rsidRPr="007A7209">
        <w:t>[7]</w:t>
      </w:r>
      <w:r w:rsidRPr="007A7209">
        <w:tab/>
        <w:t>GE-Hitachi, BWRX-300 General Description Revision E,</w:t>
      </w:r>
      <w:r w:rsidR="005C2227">
        <w:t xml:space="preserve"> GE-Hitachi</w:t>
      </w:r>
      <w:r w:rsidR="0007309E">
        <w:t>,</w:t>
      </w:r>
      <w:r w:rsidRPr="007A7209">
        <w:t xml:space="preserve"> 2023.</w:t>
      </w:r>
    </w:p>
    <w:p w14:paraId="0A3FC717" w14:textId="215D91D4" w:rsidR="00937067" w:rsidRPr="007A7209" w:rsidRDefault="00937067" w:rsidP="007A7209">
      <w:pPr>
        <w:pStyle w:val="Referencelist"/>
        <w:numPr>
          <w:ilvl w:val="0"/>
          <w:numId w:val="0"/>
        </w:numPr>
        <w:ind w:left="720" w:hanging="360"/>
      </w:pPr>
      <w:r w:rsidRPr="007A7209">
        <w:t>[8]</w:t>
      </w:r>
      <w:r w:rsidRPr="007A7209">
        <w:tab/>
        <w:t xml:space="preserve">Rolls-Royce, Rolls-Royce </w:t>
      </w:r>
      <w:r w:rsidR="00BE6D95">
        <w:t>SMR G</w:t>
      </w:r>
      <w:r w:rsidRPr="007A7209">
        <w:t xml:space="preserve">eneric </w:t>
      </w:r>
      <w:r w:rsidR="00BE6D95">
        <w:t>D</w:t>
      </w:r>
      <w:r w:rsidRPr="007A7209">
        <w:t xml:space="preserve">esign </w:t>
      </w:r>
      <w:r w:rsidR="00BE6D95">
        <w:t>A</w:t>
      </w:r>
      <w:r w:rsidRPr="007A7209">
        <w:t>sse</w:t>
      </w:r>
      <w:r w:rsidR="00BE6D95">
        <w:t>s</w:t>
      </w:r>
      <w:r w:rsidRPr="007A7209">
        <w:t>sment</w:t>
      </w:r>
      <w:r w:rsidR="00C17B3B">
        <w:t xml:space="preserve"> (GDA)</w:t>
      </w:r>
      <w:r w:rsidRPr="007A7209">
        <w:t xml:space="preserve"> website (2024)</w:t>
      </w:r>
      <w:r w:rsidR="00BE6D95">
        <w:t xml:space="preserve">, </w:t>
      </w:r>
      <w:r w:rsidR="00BE6D95" w:rsidRPr="00BE6D95">
        <w:t>https://gda.rolls-royce-smr.com/</w:t>
      </w:r>
      <w:r w:rsidR="0031304B">
        <w:t xml:space="preserve"> </w:t>
      </w:r>
      <w:r w:rsidR="0031304B" w:rsidRPr="007A7209">
        <w:t xml:space="preserve">(accessed May </w:t>
      </w:r>
      <w:r w:rsidR="0031304B">
        <w:t>31</w:t>
      </w:r>
      <w:r w:rsidR="0031304B" w:rsidRPr="007A7209">
        <w:t>, 2024)</w:t>
      </w:r>
      <w:r w:rsidRPr="007A7209">
        <w:t>.</w:t>
      </w:r>
    </w:p>
    <w:p w14:paraId="4BC56105" w14:textId="6D3B1FFD" w:rsidR="00937067" w:rsidRPr="007A7209" w:rsidRDefault="00937067" w:rsidP="007A7209">
      <w:pPr>
        <w:pStyle w:val="Referencelist"/>
        <w:numPr>
          <w:ilvl w:val="0"/>
          <w:numId w:val="0"/>
        </w:numPr>
        <w:ind w:left="720" w:hanging="360"/>
      </w:pPr>
      <w:r w:rsidRPr="007A7209">
        <w:t>[9]</w:t>
      </w:r>
      <w:r w:rsidRPr="007A7209">
        <w:tab/>
        <w:t>NuScale, NuScale (2024)</w:t>
      </w:r>
      <w:r w:rsidR="00190A9A" w:rsidRPr="007A7209">
        <w:t>,</w:t>
      </w:r>
      <w:r w:rsidRPr="007A7209">
        <w:t xml:space="preserve"> https://www.nuscalepower.com.</w:t>
      </w:r>
    </w:p>
    <w:p w14:paraId="6E27E856" w14:textId="5DE97926" w:rsidR="00937067" w:rsidRPr="007A7209" w:rsidRDefault="00937067" w:rsidP="007A7209">
      <w:pPr>
        <w:pStyle w:val="Referencelist"/>
        <w:numPr>
          <w:ilvl w:val="0"/>
          <w:numId w:val="0"/>
        </w:numPr>
        <w:ind w:left="720" w:hanging="360"/>
      </w:pPr>
      <w:r w:rsidRPr="007A7209">
        <w:t>[10]</w:t>
      </w:r>
      <w:r w:rsidRPr="007A7209">
        <w:tab/>
        <w:t xml:space="preserve">EDF, The NUWARD SMR </w:t>
      </w:r>
      <w:r w:rsidR="0007309E">
        <w:t>S</w:t>
      </w:r>
      <w:r w:rsidRPr="007A7209">
        <w:t>olution (2024)</w:t>
      </w:r>
      <w:r w:rsidR="00064251" w:rsidRPr="007A7209">
        <w:t>,</w:t>
      </w:r>
      <w:r w:rsidRPr="007A7209">
        <w:t xml:space="preserve"> https://www.edf.fr/en/the-edf-group/producing-a-climate-friendly-energy/nuclear-energy/shaping-the-future-of-nuclear/the-nuwardtm-smr-solution/the-solution</w:t>
      </w:r>
      <w:r w:rsidR="00CA3147">
        <w:t xml:space="preserve"> (accessed May 31, 2024)</w:t>
      </w:r>
      <w:r w:rsidRPr="007A7209">
        <w:t>.</w:t>
      </w:r>
    </w:p>
    <w:p w14:paraId="0C091E30" w14:textId="16004AE6" w:rsidR="00937067" w:rsidRPr="007A7209" w:rsidRDefault="00937067" w:rsidP="007A7209">
      <w:pPr>
        <w:pStyle w:val="Referencelist"/>
        <w:numPr>
          <w:ilvl w:val="0"/>
          <w:numId w:val="0"/>
        </w:numPr>
        <w:ind w:left="720" w:hanging="360"/>
      </w:pPr>
      <w:r w:rsidRPr="007A7209">
        <w:t>[11]</w:t>
      </w:r>
      <w:r w:rsidRPr="007A7209">
        <w:tab/>
        <w:t>J. Park, J. Kang, C. Hah, Reactivity Flattening for a Soluble Boron-Free Small Modular Reactor, Trans</w:t>
      </w:r>
      <w:r w:rsidR="003270CB" w:rsidRPr="007A7209">
        <w:t>actions of the</w:t>
      </w:r>
      <w:r w:rsidRPr="007A7209">
        <w:t xml:space="preserve"> Korean Nucl</w:t>
      </w:r>
      <w:r w:rsidR="003270CB" w:rsidRPr="007A7209">
        <w:t>ear</w:t>
      </w:r>
      <w:r w:rsidRPr="007A7209">
        <w:t xml:space="preserve"> Soc</w:t>
      </w:r>
      <w:r w:rsidR="003270CB" w:rsidRPr="007A7209">
        <w:t>iety</w:t>
      </w:r>
      <w:r w:rsidRPr="007A7209">
        <w:t xml:space="preserve"> Autumn Meet</w:t>
      </w:r>
      <w:r w:rsidR="00330C0B" w:rsidRPr="007A7209">
        <w:t>ing</w:t>
      </w:r>
      <w:r w:rsidRPr="007A7209">
        <w:t>, Gyeo</w:t>
      </w:r>
      <w:r w:rsidR="0007309E">
        <w:t>n</w:t>
      </w:r>
      <w:r w:rsidRPr="007A7209">
        <w:t>gju, 201</w:t>
      </w:r>
      <w:r w:rsidR="005E4B20" w:rsidRPr="007A7209">
        <w:t>6</w:t>
      </w:r>
      <w:r w:rsidRPr="007A7209">
        <w:t>.</w:t>
      </w:r>
    </w:p>
    <w:p w14:paraId="54D7BD20" w14:textId="1F477092" w:rsidR="00937067" w:rsidRPr="007A7209" w:rsidRDefault="00937067" w:rsidP="007A7209">
      <w:pPr>
        <w:pStyle w:val="Referencelist"/>
        <w:numPr>
          <w:ilvl w:val="0"/>
          <w:numId w:val="0"/>
        </w:numPr>
        <w:ind w:left="720" w:hanging="360"/>
      </w:pPr>
      <w:r w:rsidRPr="007A7209">
        <w:t>[12]</w:t>
      </w:r>
      <w:r w:rsidRPr="007A7209">
        <w:tab/>
        <w:t xml:space="preserve">H. Hulme, A. Panteli, F. Pickering, M. Gass, A. Cole-Baker, P. Binks, M. Fenwick, M. Waters, J. Smith, Investigating the Corrosion Behavior of Zircaloy-4 in LiOH under a Thermal Gradient and Two-Phase Flow Regime, </w:t>
      </w:r>
      <w:r w:rsidR="00377BBF" w:rsidRPr="007A7209">
        <w:t xml:space="preserve">ASTM STP </w:t>
      </w:r>
      <w:r w:rsidR="00F43F44" w:rsidRPr="007A7209">
        <w:t>1622</w:t>
      </w:r>
      <w:r w:rsidRPr="007A7209">
        <w:t xml:space="preserve"> (2021) 537–563. https://doi.org/10.1520/stp162220190008.</w:t>
      </w:r>
    </w:p>
    <w:p w14:paraId="737F5C79" w14:textId="77BBD654" w:rsidR="00937067" w:rsidRPr="007A7209" w:rsidRDefault="00937067" w:rsidP="007A7209">
      <w:pPr>
        <w:pStyle w:val="Referencelist"/>
        <w:numPr>
          <w:ilvl w:val="0"/>
          <w:numId w:val="0"/>
        </w:numPr>
        <w:ind w:left="720" w:hanging="360"/>
      </w:pPr>
      <w:r w:rsidRPr="007A7209">
        <w:t>[13]</w:t>
      </w:r>
      <w:r w:rsidRPr="007A7209">
        <w:tab/>
      </w:r>
      <w:r w:rsidR="00D056DC">
        <w:t>EPRI</w:t>
      </w:r>
      <w:r w:rsidRPr="007A7209">
        <w:t>, Review of VVER Primary Water Chemistry and the Potential for its Use in PWRs</w:t>
      </w:r>
      <w:r w:rsidR="00443910">
        <w:t>:</w:t>
      </w:r>
      <w:r w:rsidRPr="007A7209">
        <w:t xml:space="preserve"> Potassium Hydroxide and/or Ammonia Based Water Chemistries, </w:t>
      </w:r>
      <w:r w:rsidR="00E639CC" w:rsidRPr="007A7209">
        <w:t xml:space="preserve">EPRI, </w:t>
      </w:r>
      <w:r w:rsidRPr="007A7209">
        <w:t>Palo A</w:t>
      </w:r>
      <w:r w:rsidR="00DA7C5B" w:rsidRPr="007A7209">
        <w:t>l</w:t>
      </w:r>
      <w:r w:rsidRPr="007A7209">
        <w:t>to, CA, 2002.</w:t>
      </w:r>
    </w:p>
    <w:p w14:paraId="780B84B7" w14:textId="67AEF898" w:rsidR="00937067" w:rsidRPr="007A7209" w:rsidRDefault="00937067" w:rsidP="007A7209">
      <w:pPr>
        <w:pStyle w:val="Referencelist"/>
        <w:numPr>
          <w:ilvl w:val="0"/>
          <w:numId w:val="0"/>
        </w:numPr>
        <w:ind w:left="720" w:hanging="360"/>
      </w:pPr>
      <w:r w:rsidRPr="007A7209">
        <w:t>[14]</w:t>
      </w:r>
      <w:r w:rsidRPr="007A7209">
        <w:tab/>
        <w:t>J.M. Hylko, The evolution of the ESBWR, Power 154 (2010).</w:t>
      </w:r>
    </w:p>
    <w:p w14:paraId="6CEF5CEF" w14:textId="5C883740" w:rsidR="00937067" w:rsidRPr="007A7209" w:rsidRDefault="00937067" w:rsidP="007A7209">
      <w:pPr>
        <w:pStyle w:val="Referencelist"/>
        <w:numPr>
          <w:ilvl w:val="0"/>
          <w:numId w:val="0"/>
        </w:numPr>
        <w:ind w:left="720" w:hanging="360"/>
      </w:pPr>
      <w:r w:rsidRPr="007A7209">
        <w:t>[15]</w:t>
      </w:r>
      <w:r w:rsidRPr="007A7209">
        <w:tab/>
        <w:t>GE-Hitachi, ESBWR (2024)</w:t>
      </w:r>
      <w:r w:rsidR="00D11810">
        <w:t>,</w:t>
      </w:r>
      <w:r w:rsidRPr="007A7209">
        <w:t xml:space="preserve"> https://www.gevernova.com/content/gepower-nuclear/global/en_us/home/build-a-plant/products/nuclear-power-plants-overview/esbwr.html (accessed May </w:t>
      </w:r>
      <w:r w:rsidR="00E02EDB">
        <w:t>31</w:t>
      </w:r>
      <w:r w:rsidRPr="007A7209">
        <w:t>, 2024).</w:t>
      </w:r>
    </w:p>
    <w:p w14:paraId="35CD31CA" w14:textId="3406D3DF" w:rsidR="00937067" w:rsidRPr="007A7209" w:rsidRDefault="00937067" w:rsidP="007A7209">
      <w:pPr>
        <w:pStyle w:val="Referencelist"/>
        <w:numPr>
          <w:ilvl w:val="0"/>
          <w:numId w:val="0"/>
        </w:numPr>
        <w:ind w:left="720" w:hanging="360"/>
      </w:pPr>
      <w:r w:rsidRPr="007A7209">
        <w:t>[16]</w:t>
      </w:r>
      <w:r w:rsidRPr="007A7209">
        <w:tab/>
        <w:t xml:space="preserve">IAEA, Safety Related Terms for Advanced Nuclear Plants, </w:t>
      </w:r>
      <w:r w:rsidR="00772E45" w:rsidRPr="007A7209">
        <w:t>IAEA</w:t>
      </w:r>
      <w:r w:rsidR="00B01854" w:rsidRPr="007A7209">
        <w:t xml:space="preserve">-TECDOC-626, </w:t>
      </w:r>
      <w:r w:rsidRPr="007A7209">
        <w:t>1991.</w:t>
      </w:r>
    </w:p>
    <w:p w14:paraId="1BFBDAB1" w14:textId="32EBB2BB" w:rsidR="00937067" w:rsidRPr="00F101E9" w:rsidRDefault="00937067" w:rsidP="007A7209">
      <w:pPr>
        <w:pStyle w:val="Referencelist"/>
        <w:numPr>
          <w:ilvl w:val="0"/>
          <w:numId w:val="0"/>
        </w:numPr>
        <w:ind w:left="720" w:hanging="360"/>
        <w:rPr>
          <w:lang w:val="sv-SE"/>
        </w:rPr>
      </w:pPr>
      <w:r w:rsidRPr="00F101E9">
        <w:rPr>
          <w:lang w:val="sv-SE"/>
        </w:rPr>
        <w:t>[17]</w:t>
      </w:r>
      <w:r w:rsidRPr="00F101E9">
        <w:rPr>
          <w:lang w:val="sv-SE"/>
        </w:rPr>
        <w:tab/>
        <w:t xml:space="preserve">T. Roth, J. </w:t>
      </w:r>
      <w:proofErr w:type="spellStart"/>
      <w:r w:rsidRPr="00F101E9">
        <w:rPr>
          <w:lang w:val="sv-SE"/>
        </w:rPr>
        <w:t>Silfwerbrand</w:t>
      </w:r>
      <w:proofErr w:type="spellEnd"/>
      <w:r w:rsidRPr="00F101E9">
        <w:rPr>
          <w:lang w:val="sv-SE"/>
        </w:rPr>
        <w:t xml:space="preserve">, H. Sundquist, Betonginneslutningar i svenska kärnkraftverk - En sammanställning över konstruktion och material, </w:t>
      </w:r>
      <w:r w:rsidR="003C572D" w:rsidRPr="00F101E9">
        <w:rPr>
          <w:lang w:val="sv-SE"/>
        </w:rPr>
        <w:t>SKI Rapport 02:59</w:t>
      </w:r>
      <w:r w:rsidR="00772CAD" w:rsidRPr="00F101E9">
        <w:rPr>
          <w:lang w:val="sv-SE"/>
        </w:rPr>
        <w:t>,</w:t>
      </w:r>
      <w:r w:rsidR="003C572D" w:rsidRPr="00F101E9">
        <w:rPr>
          <w:lang w:val="sv-SE"/>
        </w:rPr>
        <w:t xml:space="preserve"> </w:t>
      </w:r>
      <w:r w:rsidRPr="00F101E9">
        <w:rPr>
          <w:lang w:val="sv-SE"/>
        </w:rPr>
        <w:t xml:space="preserve">2002. </w:t>
      </w:r>
    </w:p>
    <w:p w14:paraId="280176A5" w14:textId="2D075FDB" w:rsidR="00937067" w:rsidRPr="007A7209" w:rsidRDefault="00937067" w:rsidP="007A7209">
      <w:pPr>
        <w:pStyle w:val="Referencelist"/>
        <w:numPr>
          <w:ilvl w:val="0"/>
          <w:numId w:val="0"/>
        </w:numPr>
        <w:ind w:left="720" w:hanging="360"/>
      </w:pPr>
      <w:r w:rsidRPr="007A7209">
        <w:t>[18]</w:t>
      </w:r>
      <w:r w:rsidRPr="007A7209">
        <w:tab/>
        <w:t>L. Fennern, Design evolution of BWRs: Dresden to generation III+, Prog. Nucl. Energy 102 (2018) 38–57. https://doi.org/10.1016/j.pnucene.2017.06.020.</w:t>
      </w:r>
    </w:p>
    <w:p w14:paraId="5B315036" w14:textId="0EF5196C" w:rsidR="00937067" w:rsidRPr="007A7209" w:rsidRDefault="00937067" w:rsidP="007A7209">
      <w:pPr>
        <w:pStyle w:val="Referencelist"/>
        <w:numPr>
          <w:ilvl w:val="0"/>
          <w:numId w:val="0"/>
        </w:numPr>
        <w:ind w:left="720" w:hanging="360"/>
      </w:pPr>
      <w:r w:rsidRPr="007A7209">
        <w:t>[19]</w:t>
      </w:r>
      <w:r w:rsidRPr="007A7209">
        <w:tab/>
        <w:t>Z. Zhang, J. Jiang, On load-following operations of small modular reactors, Prog. Nucl. Energy 173 (2024) 105274. https://doi.org/10.1016/j.pnucene.2024.105274.</w:t>
      </w:r>
    </w:p>
    <w:p w14:paraId="0DDF1145" w14:textId="0CFB5D1A" w:rsidR="00937067" w:rsidRPr="007A7209" w:rsidRDefault="00937067" w:rsidP="007A7209">
      <w:pPr>
        <w:pStyle w:val="Referencelist"/>
        <w:numPr>
          <w:ilvl w:val="0"/>
          <w:numId w:val="0"/>
        </w:numPr>
        <w:ind w:left="720" w:hanging="360"/>
      </w:pPr>
      <w:r w:rsidRPr="007A7209">
        <w:lastRenderedPageBreak/>
        <w:t>[20]</w:t>
      </w:r>
      <w:r w:rsidRPr="007A7209">
        <w:tab/>
        <w:t>SKB, Clab – Central Interim Storage Facility for Spent Nuclear Fuel (2024)</w:t>
      </w:r>
      <w:r w:rsidR="00012D71" w:rsidRPr="007A7209">
        <w:t>,</w:t>
      </w:r>
      <w:r w:rsidRPr="007A7209">
        <w:t xml:space="preserve"> https://skb.com/our-operations/clab/</w:t>
      </w:r>
      <w:r w:rsidR="00EB4F1E">
        <w:t xml:space="preserve"> </w:t>
      </w:r>
      <w:r w:rsidR="00EB4F1E" w:rsidRPr="007A7209">
        <w:t xml:space="preserve">(accessed May </w:t>
      </w:r>
      <w:r w:rsidR="00EB4F1E">
        <w:t>31</w:t>
      </w:r>
      <w:r w:rsidR="00EB4F1E" w:rsidRPr="007A7209">
        <w:t>, 2024)</w:t>
      </w:r>
      <w:r w:rsidRPr="007A7209">
        <w:t>.</w:t>
      </w:r>
    </w:p>
    <w:p w14:paraId="41A63BE3" w14:textId="5181D04C" w:rsidR="00937067" w:rsidRPr="007A7209" w:rsidRDefault="00937067" w:rsidP="007A7209">
      <w:pPr>
        <w:pStyle w:val="Referencelist"/>
        <w:numPr>
          <w:ilvl w:val="0"/>
          <w:numId w:val="0"/>
        </w:numPr>
        <w:ind w:left="720" w:hanging="360"/>
      </w:pPr>
      <w:r w:rsidRPr="007A7209">
        <w:t>[21]</w:t>
      </w:r>
      <w:r w:rsidRPr="007A7209">
        <w:tab/>
        <w:t>NEA, Storage of Radioactive Waste and Spent Fuel,</w:t>
      </w:r>
      <w:r w:rsidR="00D0038F" w:rsidRPr="007A7209">
        <w:t xml:space="preserve"> NEA No. 7406</w:t>
      </w:r>
      <w:r w:rsidR="00F80578" w:rsidRPr="007A7209">
        <w:t>,</w:t>
      </w:r>
      <w:r w:rsidRPr="007A7209">
        <w:t xml:space="preserve"> 2020.</w:t>
      </w:r>
    </w:p>
    <w:p w14:paraId="2D667741" w14:textId="118A4A77" w:rsidR="00295C50" w:rsidRPr="00BC6F1B" w:rsidRDefault="00CE2CD6" w:rsidP="00BC6F1B">
      <w:pPr>
        <w:widowControl w:val="0"/>
        <w:spacing w:line="240" w:lineRule="atLeast"/>
        <w:rPr>
          <w:lang w:val="en-US"/>
        </w:rPr>
      </w:pPr>
      <w:r w:rsidRPr="005E41EB">
        <w:fldChar w:fldCharType="end"/>
      </w:r>
    </w:p>
    <w:sectPr w:rsidR="00295C50" w:rsidRPr="00BC6F1B" w:rsidSect="003036A1">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F9A6" w14:textId="77777777" w:rsidR="0012086E" w:rsidRDefault="0012086E">
      <w:r>
        <w:separator/>
      </w:r>
    </w:p>
  </w:endnote>
  <w:endnote w:type="continuationSeparator" w:id="0">
    <w:p w14:paraId="0E8C0A63" w14:textId="77777777" w:rsidR="0012086E" w:rsidRDefault="0012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54B7A085" w:rsidR="00E20E70" w:rsidRDefault="00E20E70">
    <w:pPr>
      <w:pStyle w:val="zyxClassification1"/>
    </w:pPr>
    <w:r>
      <w:fldChar w:fldCharType="begin"/>
    </w:r>
    <w:r>
      <w:instrText xml:space="preserve"> DOCPROPERTY "IaeaClassification"  \* MERGEFORMAT </w:instrText>
    </w:r>
    <w:r>
      <w:fldChar w:fldCharType="end"/>
    </w:r>
  </w:p>
  <w:p w14:paraId="1FDEB1B7" w14:textId="48A4BBF4"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ECCEE7F" w:rsidR="00E20E70" w:rsidRDefault="00E20E70">
    <w:pPr>
      <w:pStyle w:val="zyxClassification1"/>
    </w:pPr>
    <w:r>
      <w:fldChar w:fldCharType="begin"/>
    </w:r>
    <w:r>
      <w:instrText xml:space="preserve"> DOCPROPERTY "IaeaClassification"  \* MERGEFORMAT </w:instrText>
    </w:r>
    <w:r>
      <w:fldChar w:fldCharType="end"/>
    </w:r>
  </w:p>
  <w:p w14:paraId="7E32AC2C" w14:textId="253E8DB2"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744B8A19"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7792F56F"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073CE37B"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3DC6F471"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5182C78F" w:rsidR="00E20E70" w:rsidRDefault="00E20E70">
    <w:r>
      <w:rPr>
        <w:sz w:val="16"/>
      </w:rPr>
      <w:fldChar w:fldCharType="begin"/>
    </w:r>
    <w:r>
      <w:rPr>
        <w:sz w:val="16"/>
      </w:rPr>
      <w:instrText xml:space="preserve"> FILENAME \* MERGEFORMAT </w:instrText>
    </w:r>
    <w:r>
      <w:rPr>
        <w:sz w:val="16"/>
      </w:rPr>
      <w:fldChar w:fldCharType="separate"/>
    </w:r>
    <w:r w:rsidR="00283E48">
      <w:rPr>
        <w:noProof/>
        <w:sz w:val="16"/>
      </w:rPr>
      <w:t>Novel design features of proposed light-water SMRs–a Swedish perspective_240530.docx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1486" w14:textId="77777777" w:rsidR="0012086E" w:rsidRDefault="0012086E">
      <w:r>
        <w:t>___________________________________________________________________________</w:t>
      </w:r>
    </w:p>
  </w:footnote>
  <w:footnote w:type="continuationSeparator" w:id="0">
    <w:p w14:paraId="6E6A4A43" w14:textId="77777777" w:rsidR="0012086E" w:rsidRDefault="0012086E">
      <w:r>
        <w:t>___________________________________________________________________________</w:t>
      </w:r>
    </w:p>
  </w:footnote>
  <w:footnote w:type="continuationNotice" w:id="1">
    <w:p w14:paraId="3DEFE3CC" w14:textId="77777777" w:rsidR="0012086E" w:rsidRDefault="00120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5BBCFD0C"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6F08143F"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527E11D4" w:rsidR="00E20E70" w:rsidRDefault="002E0D6A" w:rsidP="00B82FA5">
    <w:pPr>
      <w:pStyle w:val="Runninghead"/>
    </w:pPr>
    <w:r>
      <w:t xml:space="preserve">ERIKSSON </w:t>
    </w:r>
    <w:r w:rsidR="00AC5A3A">
      <w:t xml:space="preserve">and </w:t>
    </w:r>
    <w:r>
      <w:t>RETEGAN VOLLMER</w:t>
    </w:r>
  </w:p>
  <w:p w14:paraId="2762EF17" w14:textId="120A0A4E" w:rsidR="00037321" w:rsidRPr="009E1558" w:rsidRDefault="00037321" w:rsidP="00E01BF4">
    <w:pP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74ACB402"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F0440A4"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B82191A"/>
    <w:multiLevelType w:val="hybridMultilevel"/>
    <w:tmpl w:val="51E0991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FEAEF6A0"/>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lang w:val="en-GB"/>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5"/>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7"/>
  </w:num>
  <w:num w:numId="31" w16cid:durableId="1695614948">
    <w:abstractNumId w:val="7"/>
  </w:num>
  <w:num w:numId="32" w16cid:durableId="195823161">
    <w:abstractNumId w:val="11"/>
  </w:num>
  <w:num w:numId="33" w16cid:durableId="1359772137">
    <w:abstractNumId w:val="6"/>
  </w:num>
  <w:num w:numId="34" w16cid:durableId="50929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100"/>
    <w:rsid w:val="00000C23"/>
    <w:rsid w:val="0000237C"/>
    <w:rsid w:val="00003AA4"/>
    <w:rsid w:val="0000660A"/>
    <w:rsid w:val="00006723"/>
    <w:rsid w:val="00007719"/>
    <w:rsid w:val="00011782"/>
    <w:rsid w:val="000127EB"/>
    <w:rsid w:val="00012D71"/>
    <w:rsid w:val="00013661"/>
    <w:rsid w:val="000160BD"/>
    <w:rsid w:val="00020D03"/>
    <w:rsid w:val="00021D15"/>
    <w:rsid w:val="000223B9"/>
    <w:rsid w:val="000229AB"/>
    <w:rsid w:val="000234D5"/>
    <w:rsid w:val="0002569A"/>
    <w:rsid w:val="00026A88"/>
    <w:rsid w:val="00026C1E"/>
    <w:rsid w:val="0003270F"/>
    <w:rsid w:val="00032CFD"/>
    <w:rsid w:val="00034BFD"/>
    <w:rsid w:val="00036542"/>
    <w:rsid w:val="00036FC8"/>
    <w:rsid w:val="00037321"/>
    <w:rsid w:val="00041292"/>
    <w:rsid w:val="000469DE"/>
    <w:rsid w:val="000512A5"/>
    <w:rsid w:val="00051838"/>
    <w:rsid w:val="0005208F"/>
    <w:rsid w:val="00053746"/>
    <w:rsid w:val="0005519B"/>
    <w:rsid w:val="00055C7A"/>
    <w:rsid w:val="00055F90"/>
    <w:rsid w:val="00061A19"/>
    <w:rsid w:val="00062988"/>
    <w:rsid w:val="00064251"/>
    <w:rsid w:val="00067C1B"/>
    <w:rsid w:val="0007309E"/>
    <w:rsid w:val="00074006"/>
    <w:rsid w:val="0007650E"/>
    <w:rsid w:val="000858FC"/>
    <w:rsid w:val="000917FE"/>
    <w:rsid w:val="0009259D"/>
    <w:rsid w:val="000942A0"/>
    <w:rsid w:val="000950E1"/>
    <w:rsid w:val="00096520"/>
    <w:rsid w:val="00097DE7"/>
    <w:rsid w:val="000A0299"/>
    <w:rsid w:val="000A0E25"/>
    <w:rsid w:val="000A4667"/>
    <w:rsid w:val="000A5237"/>
    <w:rsid w:val="000B010A"/>
    <w:rsid w:val="000B5ABD"/>
    <w:rsid w:val="000C0E58"/>
    <w:rsid w:val="000C46EB"/>
    <w:rsid w:val="000C6F25"/>
    <w:rsid w:val="000D02A3"/>
    <w:rsid w:val="000D45CC"/>
    <w:rsid w:val="000E1038"/>
    <w:rsid w:val="000E19DB"/>
    <w:rsid w:val="000E1B97"/>
    <w:rsid w:val="000E5097"/>
    <w:rsid w:val="000E588F"/>
    <w:rsid w:val="000E7CB8"/>
    <w:rsid w:val="000F1137"/>
    <w:rsid w:val="000F1A3C"/>
    <w:rsid w:val="000F5340"/>
    <w:rsid w:val="000F7E94"/>
    <w:rsid w:val="0010003C"/>
    <w:rsid w:val="00104518"/>
    <w:rsid w:val="00104BFD"/>
    <w:rsid w:val="001062CB"/>
    <w:rsid w:val="00106C67"/>
    <w:rsid w:val="001119D6"/>
    <w:rsid w:val="0011465C"/>
    <w:rsid w:val="0011541E"/>
    <w:rsid w:val="00115C26"/>
    <w:rsid w:val="0012086E"/>
    <w:rsid w:val="00124A8B"/>
    <w:rsid w:val="001251C7"/>
    <w:rsid w:val="00126D36"/>
    <w:rsid w:val="001308F2"/>
    <w:rsid w:val="001313E8"/>
    <w:rsid w:val="00132786"/>
    <w:rsid w:val="00141597"/>
    <w:rsid w:val="00145C69"/>
    <w:rsid w:val="0014611C"/>
    <w:rsid w:val="00146BF4"/>
    <w:rsid w:val="001532E0"/>
    <w:rsid w:val="001571E5"/>
    <w:rsid w:val="00160EB0"/>
    <w:rsid w:val="001624A3"/>
    <w:rsid w:val="00162908"/>
    <w:rsid w:val="00162E2B"/>
    <w:rsid w:val="0016402A"/>
    <w:rsid w:val="001734B3"/>
    <w:rsid w:val="001738EB"/>
    <w:rsid w:val="00174CB5"/>
    <w:rsid w:val="00175770"/>
    <w:rsid w:val="001775E7"/>
    <w:rsid w:val="00180A64"/>
    <w:rsid w:val="00182E63"/>
    <w:rsid w:val="00183C90"/>
    <w:rsid w:val="001856F9"/>
    <w:rsid w:val="00190A9A"/>
    <w:rsid w:val="00193BCC"/>
    <w:rsid w:val="00194D01"/>
    <w:rsid w:val="00195397"/>
    <w:rsid w:val="001965E8"/>
    <w:rsid w:val="001A02E8"/>
    <w:rsid w:val="001A13A8"/>
    <w:rsid w:val="001A47FA"/>
    <w:rsid w:val="001B1487"/>
    <w:rsid w:val="001B31F9"/>
    <w:rsid w:val="001B3395"/>
    <w:rsid w:val="001B6569"/>
    <w:rsid w:val="001B745A"/>
    <w:rsid w:val="001B7C40"/>
    <w:rsid w:val="001C57F1"/>
    <w:rsid w:val="001C58F5"/>
    <w:rsid w:val="001C5B60"/>
    <w:rsid w:val="001D1D56"/>
    <w:rsid w:val="001D5004"/>
    <w:rsid w:val="001D5CEE"/>
    <w:rsid w:val="001E025B"/>
    <w:rsid w:val="001E1976"/>
    <w:rsid w:val="001E4044"/>
    <w:rsid w:val="001E5DD8"/>
    <w:rsid w:val="001F08C2"/>
    <w:rsid w:val="001F62CC"/>
    <w:rsid w:val="001F761C"/>
    <w:rsid w:val="00203393"/>
    <w:rsid w:val="0020580C"/>
    <w:rsid w:val="002071D9"/>
    <w:rsid w:val="00211AED"/>
    <w:rsid w:val="002123EE"/>
    <w:rsid w:val="002151FE"/>
    <w:rsid w:val="00217B47"/>
    <w:rsid w:val="002217F3"/>
    <w:rsid w:val="00221D08"/>
    <w:rsid w:val="00222FC2"/>
    <w:rsid w:val="0022575A"/>
    <w:rsid w:val="002266C4"/>
    <w:rsid w:val="00232904"/>
    <w:rsid w:val="00236D81"/>
    <w:rsid w:val="00242D1F"/>
    <w:rsid w:val="00242EBA"/>
    <w:rsid w:val="00244426"/>
    <w:rsid w:val="00244E93"/>
    <w:rsid w:val="00246C32"/>
    <w:rsid w:val="002471F6"/>
    <w:rsid w:val="00251D15"/>
    <w:rsid w:val="002547AF"/>
    <w:rsid w:val="002552B8"/>
    <w:rsid w:val="00256822"/>
    <w:rsid w:val="00257132"/>
    <w:rsid w:val="00257AA9"/>
    <w:rsid w:val="0026525A"/>
    <w:rsid w:val="00265A42"/>
    <w:rsid w:val="0027236E"/>
    <w:rsid w:val="00274790"/>
    <w:rsid w:val="0027534C"/>
    <w:rsid w:val="00276E91"/>
    <w:rsid w:val="00283E48"/>
    <w:rsid w:val="0028572B"/>
    <w:rsid w:val="00285755"/>
    <w:rsid w:val="0028593E"/>
    <w:rsid w:val="00285A36"/>
    <w:rsid w:val="00287B04"/>
    <w:rsid w:val="00291B0A"/>
    <w:rsid w:val="00295749"/>
    <w:rsid w:val="00295C50"/>
    <w:rsid w:val="00297155"/>
    <w:rsid w:val="002A0623"/>
    <w:rsid w:val="002A1331"/>
    <w:rsid w:val="002A1F9C"/>
    <w:rsid w:val="002A433E"/>
    <w:rsid w:val="002A44EE"/>
    <w:rsid w:val="002A6C9A"/>
    <w:rsid w:val="002B29C2"/>
    <w:rsid w:val="002B432B"/>
    <w:rsid w:val="002C4208"/>
    <w:rsid w:val="002C78F4"/>
    <w:rsid w:val="002D098C"/>
    <w:rsid w:val="002D2B11"/>
    <w:rsid w:val="002D7161"/>
    <w:rsid w:val="002E0D6A"/>
    <w:rsid w:val="002E273E"/>
    <w:rsid w:val="002E3498"/>
    <w:rsid w:val="002E3E1A"/>
    <w:rsid w:val="002F1043"/>
    <w:rsid w:val="002F20FC"/>
    <w:rsid w:val="002F2F7B"/>
    <w:rsid w:val="002F39BC"/>
    <w:rsid w:val="002F442A"/>
    <w:rsid w:val="002F5C49"/>
    <w:rsid w:val="00300096"/>
    <w:rsid w:val="003007FC"/>
    <w:rsid w:val="0030303C"/>
    <w:rsid w:val="003036A1"/>
    <w:rsid w:val="00306608"/>
    <w:rsid w:val="00310CD3"/>
    <w:rsid w:val="0031304B"/>
    <w:rsid w:val="0031320A"/>
    <w:rsid w:val="00315B88"/>
    <w:rsid w:val="00316DE7"/>
    <w:rsid w:val="003174C9"/>
    <w:rsid w:val="00326FCD"/>
    <w:rsid w:val="003270CB"/>
    <w:rsid w:val="00330C0B"/>
    <w:rsid w:val="00333AD5"/>
    <w:rsid w:val="00336EAE"/>
    <w:rsid w:val="00337B1B"/>
    <w:rsid w:val="00341B80"/>
    <w:rsid w:val="003430FD"/>
    <w:rsid w:val="00343206"/>
    <w:rsid w:val="00352DE1"/>
    <w:rsid w:val="003571AA"/>
    <w:rsid w:val="00357ECB"/>
    <w:rsid w:val="003641C4"/>
    <w:rsid w:val="00364DD5"/>
    <w:rsid w:val="00370E5C"/>
    <w:rsid w:val="00371075"/>
    <w:rsid w:val="003728E6"/>
    <w:rsid w:val="00376A84"/>
    <w:rsid w:val="00377BBF"/>
    <w:rsid w:val="00380035"/>
    <w:rsid w:val="003813B3"/>
    <w:rsid w:val="003813E5"/>
    <w:rsid w:val="00390358"/>
    <w:rsid w:val="0039359F"/>
    <w:rsid w:val="00395F84"/>
    <w:rsid w:val="00396DCC"/>
    <w:rsid w:val="00397757"/>
    <w:rsid w:val="003A2E0C"/>
    <w:rsid w:val="003A4A21"/>
    <w:rsid w:val="003B1892"/>
    <w:rsid w:val="003B3587"/>
    <w:rsid w:val="003B5E0E"/>
    <w:rsid w:val="003B5ED7"/>
    <w:rsid w:val="003B7677"/>
    <w:rsid w:val="003C06B7"/>
    <w:rsid w:val="003C0D83"/>
    <w:rsid w:val="003C226C"/>
    <w:rsid w:val="003C2339"/>
    <w:rsid w:val="003C294D"/>
    <w:rsid w:val="003C572D"/>
    <w:rsid w:val="003C5C34"/>
    <w:rsid w:val="003D0148"/>
    <w:rsid w:val="003D065C"/>
    <w:rsid w:val="003D255A"/>
    <w:rsid w:val="003D6E96"/>
    <w:rsid w:val="003E1597"/>
    <w:rsid w:val="003E23F4"/>
    <w:rsid w:val="003E2733"/>
    <w:rsid w:val="003E32DD"/>
    <w:rsid w:val="003E3A02"/>
    <w:rsid w:val="003E3B31"/>
    <w:rsid w:val="003F0707"/>
    <w:rsid w:val="003F0DF9"/>
    <w:rsid w:val="003F25B0"/>
    <w:rsid w:val="003F390C"/>
    <w:rsid w:val="003F6956"/>
    <w:rsid w:val="003F7DFF"/>
    <w:rsid w:val="0040000A"/>
    <w:rsid w:val="0040125C"/>
    <w:rsid w:val="0040199B"/>
    <w:rsid w:val="004021E4"/>
    <w:rsid w:val="00405AE1"/>
    <w:rsid w:val="0040652D"/>
    <w:rsid w:val="004072ED"/>
    <w:rsid w:val="0041075F"/>
    <w:rsid w:val="00410C23"/>
    <w:rsid w:val="00411EBA"/>
    <w:rsid w:val="004132DF"/>
    <w:rsid w:val="00416949"/>
    <w:rsid w:val="00421D99"/>
    <w:rsid w:val="0042314F"/>
    <w:rsid w:val="004231B4"/>
    <w:rsid w:val="00423462"/>
    <w:rsid w:val="00424203"/>
    <w:rsid w:val="004245E4"/>
    <w:rsid w:val="00426556"/>
    <w:rsid w:val="004276F9"/>
    <w:rsid w:val="00430638"/>
    <w:rsid w:val="00434401"/>
    <w:rsid w:val="004370D8"/>
    <w:rsid w:val="00443910"/>
    <w:rsid w:val="00444F3F"/>
    <w:rsid w:val="00444FC8"/>
    <w:rsid w:val="00445756"/>
    <w:rsid w:val="00445A0F"/>
    <w:rsid w:val="004478DA"/>
    <w:rsid w:val="00451055"/>
    <w:rsid w:val="00460678"/>
    <w:rsid w:val="00460C3A"/>
    <w:rsid w:val="00462304"/>
    <w:rsid w:val="00467F9E"/>
    <w:rsid w:val="00470C4A"/>
    <w:rsid w:val="00471D4D"/>
    <w:rsid w:val="00472C43"/>
    <w:rsid w:val="004730F8"/>
    <w:rsid w:val="00473351"/>
    <w:rsid w:val="00473FA4"/>
    <w:rsid w:val="00474DE1"/>
    <w:rsid w:val="004761EB"/>
    <w:rsid w:val="00476789"/>
    <w:rsid w:val="004768DF"/>
    <w:rsid w:val="00477371"/>
    <w:rsid w:val="00477DA3"/>
    <w:rsid w:val="00484905"/>
    <w:rsid w:val="0048520A"/>
    <w:rsid w:val="00487FC6"/>
    <w:rsid w:val="004937F5"/>
    <w:rsid w:val="00495ACC"/>
    <w:rsid w:val="00496C8E"/>
    <w:rsid w:val="004A0148"/>
    <w:rsid w:val="004A3250"/>
    <w:rsid w:val="004A4609"/>
    <w:rsid w:val="004A63DA"/>
    <w:rsid w:val="004A7E27"/>
    <w:rsid w:val="004B12B6"/>
    <w:rsid w:val="004B357D"/>
    <w:rsid w:val="004B44B4"/>
    <w:rsid w:val="004B65D0"/>
    <w:rsid w:val="004B6C9F"/>
    <w:rsid w:val="004B7CD6"/>
    <w:rsid w:val="004C37C6"/>
    <w:rsid w:val="004C3CAB"/>
    <w:rsid w:val="004C4C84"/>
    <w:rsid w:val="004C4EF1"/>
    <w:rsid w:val="004C6256"/>
    <w:rsid w:val="004C6822"/>
    <w:rsid w:val="004D2DCE"/>
    <w:rsid w:val="004D3DF1"/>
    <w:rsid w:val="004D69E4"/>
    <w:rsid w:val="004E702F"/>
    <w:rsid w:val="004F167F"/>
    <w:rsid w:val="004F35B3"/>
    <w:rsid w:val="004F3D22"/>
    <w:rsid w:val="004F4B3F"/>
    <w:rsid w:val="005005B2"/>
    <w:rsid w:val="00503208"/>
    <w:rsid w:val="00503FA1"/>
    <w:rsid w:val="0051051F"/>
    <w:rsid w:val="00511B15"/>
    <w:rsid w:val="0051261C"/>
    <w:rsid w:val="00513EAC"/>
    <w:rsid w:val="005301DD"/>
    <w:rsid w:val="00533222"/>
    <w:rsid w:val="00537496"/>
    <w:rsid w:val="00540D34"/>
    <w:rsid w:val="00542AFD"/>
    <w:rsid w:val="00544ED3"/>
    <w:rsid w:val="00545246"/>
    <w:rsid w:val="00545A23"/>
    <w:rsid w:val="00547DA4"/>
    <w:rsid w:val="0055356E"/>
    <w:rsid w:val="00553E3F"/>
    <w:rsid w:val="005543DF"/>
    <w:rsid w:val="00554CCB"/>
    <w:rsid w:val="00556588"/>
    <w:rsid w:val="00560B44"/>
    <w:rsid w:val="00560B67"/>
    <w:rsid w:val="0056138A"/>
    <w:rsid w:val="0056591D"/>
    <w:rsid w:val="00570073"/>
    <w:rsid w:val="00575098"/>
    <w:rsid w:val="00577439"/>
    <w:rsid w:val="00581342"/>
    <w:rsid w:val="00583FAA"/>
    <w:rsid w:val="00583FB1"/>
    <w:rsid w:val="0058477B"/>
    <w:rsid w:val="0058654F"/>
    <w:rsid w:val="00586609"/>
    <w:rsid w:val="00587A62"/>
    <w:rsid w:val="00587BAB"/>
    <w:rsid w:val="00593B01"/>
    <w:rsid w:val="00596ACA"/>
    <w:rsid w:val="00597BC1"/>
    <w:rsid w:val="005A2895"/>
    <w:rsid w:val="005A3D96"/>
    <w:rsid w:val="005A5BB1"/>
    <w:rsid w:val="005B02C0"/>
    <w:rsid w:val="005B1492"/>
    <w:rsid w:val="005B28F1"/>
    <w:rsid w:val="005B41DE"/>
    <w:rsid w:val="005B683E"/>
    <w:rsid w:val="005B68BF"/>
    <w:rsid w:val="005C2227"/>
    <w:rsid w:val="005C37EF"/>
    <w:rsid w:val="005C38DD"/>
    <w:rsid w:val="005D0061"/>
    <w:rsid w:val="005D0F57"/>
    <w:rsid w:val="005D55E8"/>
    <w:rsid w:val="005D6612"/>
    <w:rsid w:val="005D773C"/>
    <w:rsid w:val="005D79C6"/>
    <w:rsid w:val="005D7F1D"/>
    <w:rsid w:val="005E0427"/>
    <w:rsid w:val="005E15DA"/>
    <w:rsid w:val="005E2A46"/>
    <w:rsid w:val="005E39BC"/>
    <w:rsid w:val="005E41EB"/>
    <w:rsid w:val="005E4B20"/>
    <w:rsid w:val="005E4DFA"/>
    <w:rsid w:val="005F00A0"/>
    <w:rsid w:val="005F1F09"/>
    <w:rsid w:val="005F24FC"/>
    <w:rsid w:val="005F28CC"/>
    <w:rsid w:val="005F3A62"/>
    <w:rsid w:val="005F53CE"/>
    <w:rsid w:val="005F59A8"/>
    <w:rsid w:val="00604CD9"/>
    <w:rsid w:val="0061019A"/>
    <w:rsid w:val="006137CA"/>
    <w:rsid w:val="006156B3"/>
    <w:rsid w:val="0061715A"/>
    <w:rsid w:val="00620CAA"/>
    <w:rsid w:val="0063082C"/>
    <w:rsid w:val="00633764"/>
    <w:rsid w:val="00636637"/>
    <w:rsid w:val="00642224"/>
    <w:rsid w:val="00643266"/>
    <w:rsid w:val="00645B57"/>
    <w:rsid w:val="0064636C"/>
    <w:rsid w:val="00647F33"/>
    <w:rsid w:val="00650541"/>
    <w:rsid w:val="00650B7D"/>
    <w:rsid w:val="006521DB"/>
    <w:rsid w:val="006522F9"/>
    <w:rsid w:val="00652FAA"/>
    <w:rsid w:val="0065525D"/>
    <w:rsid w:val="006554CF"/>
    <w:rsid w:val="00657128"/>
    <w:rsid w:val="00660760"/>
    <w:rsid w:val="0066211E"/>
    <w:rsid w:val="00662532"/>
    <w:rsid w:val="00662C56"/>
    <w:rsid w:val="006635FC"/>
    <w:rsid w:val="0066381D"/>
    <w:rsid w:val="006638C5"/>
    <w:rsid w:val="00667BE4"/>
    <w:rsid w:val="00671765"/>
    <w:rsid w:val="00672B77"/>
    <w:rsid w:val="0067429D"/>
    <w:rsid w:val="006755D6"/>
    <w:rsid w:val="006817A3"/>
    <w:rsid w:val="00692869"/>
    <w:rsid w:val="00694AE5"/>
    <w:rsid w:val="00695245"/>
    <w:rsid w:val="00697D0E"/>
    <w:rsid w:val="006A1069"/>
    <w:rsid w:val="006A1E48"/>
    <w:rsid w:val="006A2DE1"/>
    <w:rsid w:val="006A3E4D"/>
    <w:rsid w:val="006A797C"/>
    <w:rsid w:val="006B0BD8"/>
    <w:rsid w:val="006B1395"/>
    <w:rsid w:val="006B2274"/>
    <w:rsid w:val="006B2693"/>
    <w:rsid w:val="006B6C5D"/>
    <w:rsid w:val="006C0965"/>
    <w:rsid w:val="006C0D40"/>
    <w:rsid w:val="006C238C"/>
    <w:rsid w:val="006C2633"/>
    <w:rsid w:val="006C32B5"/>
    <w:rsid w:val="006D1572"/>
    <w:rsid w:val="006D2194"/>
    <w:rsid w:val="006D2B68"/>
    <w:rsid w:val="006D2D5B"/>
    <w:rsid w:val="006D3612"/>
    <w:rsid w:val="006D4D7B"/>
    <w:rsid w:val="006D68BF"/>
    <w:rsid w:val="006D6D03"/>
    <w:rsid w:val="006E2210"/>
    <w:rsid w:val="006E2B1C"/>
    <w:rsid w:val="006E5460"/>
    <w:rsid w:val="006E5CA2"/>
    <w:rsid w:val="006F1415"/>
    <w:rsid w:val="006F57EE"/>
    <w:rsid w:val="006F699E"/>
    <w:rsid w:val="006F6C63"/>
    <w:rsid w:val="006F7872"/>
    <w:rsid w:val="007023EC"/>
    <w:rsid w:val="00704CE2"/>
    <w:rsid w:val="00705054"/>
    <w:rsid w:val="007060B1"/>
    <w:rsid w:val="0070636E"/>
    <w:rsid w:val="007074C8"/>
    <w:rsid w:val="0071049B"/>
    <w:rsid w:val="00710C2A"/>
    <w:rsid w:val="00710E25"/>
    <w:rsid w:val="00712CA2"/>
    <w:rsid w:val="00717C6F"/>
    <w:rsid w:val="007221AB"/>
    <w:rsid w:val="00722CFE"/>
    <w:rsid w:val="00732591"/>
    <w:rsid w:val="00736DA5"/>
    <w:rsid w:val="007445DA"/>
    <w:rsid w:val="00744A63"/>
    <w:rsid w:val="0074561B"/>
    <w:rsid w:val="00746CE3"/>
    <w:rsid w:val="00750103"/>
    <w:rsid w:val="00754204"/>
    <w:rsid w:val="0075604D"/>
    <w:rsid w:val="007669B3"/>
    <w:rsid w:val="007675EA"/>
    <w:rsid w:val="00771C54"/>
    <w:rsid w:val="00772CAD"/>
    <w:rsid w:val="00772E45"/>
    <w:rsid w:val="00775648"/>
    <w:rsid w:val="00783253"/>
    <w:rsid w:val="00784B28"/>
    <w:rsid w:val="00786ACA"/>
    <w:rsid w:val="00787D01"/>
    <w:rsid w:val="00791D9D"/>
    <w:rsid w:val="00793E6D"/>
    <w:rsid w:val="0079444F"/>
    <w:rsid w:val="00794B9E"/>
    <w:rsid w:val="00794FB5"/>
    <w:rsid w:val="00797DE2"/>
    <w:rsid w:val="007A1272"/>
    <w:rsid w:val="007A2724"/>
    <w:rsid w:val="007A2D3C"/>
    <w:rsid w:val="007A50A1"/>
    <w:rsid w:val="007A7209"/>
    <w:rsid w:val="007A7C7E"/>
    <w:rsid w:val="007B0DE4"/>
    <w:rsid w:val="007B0E42"/>
    <w:rsid w:val="007B0E4C"/>
    <w:rsid w:val="007B1602"/>
    <w:rsid w:val="007B46A6"/>
    <w:rsid w:val="007B4FD1"/>
    <w:rsid w:val="007B5DC7"/>
    <w:rsid w:val="007B6188"/>
    <w:rsid w:val="007C1AF4"/>
    <w:rsid w:val="007C79CD"/>
    <w:rsid w:val="007C7F18"/>
    <w:rsid w:val="007D058E"/>
    <w:rsid w:val="007D58D3"/>
    <w:rsid w:val="007D5D19"/>
    <w:rsid w:val="007E00A0"/>
    <w:rsid w:val="007E22E4"/>
    <w:rsid w:val="007E39E5"/>
    <w:rsid w:val="007F0D0F"/>
    <w:rsid w:val="007F1623"/>
    <w:rsid w:val="007F57AE"/>
    <w:rsid w:val="007F7C5B"/>
    <w:rsid w:val="00802381"/>
    <w:rsid w:val="008062B3"/>
    <w:rsid w:val="00807FF8"/>
    <w:rsid w:val="00812725"/>
    <w:rsid w:val="008149C4"/>
    <w:rsid w:val="00815471"/>
    <w:rsid w:val="00817109"/>
    <w:rsid w:val="00817BF3"/>
    <w:rsid w:val="0082030B"/>
    <w:rsid w:val="008203EE"/>
    <w:rsid w:val="00820723"/>
    <w:rsid w:val="00824206"/>
    <w:rsid w:val="00827B3C"/>
    <w:rsid w:val="00832E8C"/>
    <w:rsid w:val="00832EFE"/>
    <w:rsid w:val="008368FB"/>
    <w:rsid w:val="0084236F"/>
    <w:rsid w:val="00842F60"/>
    <w:rsid w:val="00843C2B"/>
    <w:rsid w:val="00845CB8"/>
    <w:rsid w:val="008470AE"/>
    <w:rsid w:val="00851613"/>
    <w:rsid w:val="00852948"/>
    <w:rsid w:val="008533FB"/>
    <w:rsid w:val="008554B7"/>
    <w:rsid w:val="00863D92"/>
    <w:rsid w:val="0086759E"/>
    <w:rsid w:val="00867637"/>
    <w:rsid w:val="00875C56"/>
    <w:rsid w:val="00877CE6"/>
    <w:rsid w:val="008801E0"/>
    <w:rsid w:val="008815CE"/>
    <w:rsid w:val="00881FD8"/>
    <w:rsid w:val="00883848"/>
    <w:rsid w:val="00884442"/>
    <w:rsid w:val="008860E5"/>
    <w:rsid w:val="00890AA6"/>
    <w:rsid w:val="008924E4"/>
    <w:rsid w:val="00893E6A"/>
    <w:rsid w:val="00894D34"/>
    <w:rsid w:val="00897ED5"/>
    <w:rsid w:val="008A20F5"/>
    <w:rsid w:val="008A25CB"/>
    <w:rsid w:val="008A5917"/>
    <w:rsid w:val="008A74D4"/>
    <w:rsid w:val="008B0C8E"/>
    <w:rsid w:val="008B0F58"/>
    <w:rsid w:val="008B11E6"/>
    <w:rsid w:val="008B3F48"/>
    <w:rsid w:val="008B5383"/>
    <w:rsid w:val="008B6BB9"/>
    <w:rsid w:val="008C1862"/>
    <w:rsid w:val="008C4F76"/>
    <w:rsid w:val="008D4974"/>
    <w:rsid w:val="008D6344"/>
    <w:rsid w:val="008D6810"/>
    <w:rsid w:val="008E13E7"/>
    <w:rsid w:val="008E1C45"/>
    <w:rsid w:val="008E29FA"/>
    <w:rsid w:val="008E30C8"/>
    <w:rsid w:val="008E34A4"/>
    <w:rsid w:val="008E51BA"/>
    <w:rsid w:val="008E68B3"/>
    <w:rsid w:val="00901372"/>
    <w:rsid w:val="00902DC3"/>
    <w:rsid w:val="00903964"/>
    <w:rsid w:val="00903AC2"/>
    <w:rsid w:val="00904734"/>
    <w:rsid w:val="00904E06"/>
    <w:rsid w:val="0090504A"/>
    <w:rsid w:val="00907038"/>
    <w:rsid w:val="00907AA8"/>
    <w:rsid w:val="00911543"/>
    <w:rsid w:val="00912C4A"/>
    <w:rsid w:val="0091387F"/>
    <w:rsid w:val="0091547F"/>
    <w:rsid w:val="00916C6F"/>
    <w:rsid w:val="00921AF5"/>
    <w:rsid w:val="00922245"/>
    <w:rsid w:val="00924B64"/>
    <w:rsid w:val="00932729"/>
    <w:rsid w:val="00937067"/>
    <w:rsid w:val="0094041F"/>
    <w:rsid w:val="00943C2F"/>
    <w:rsid w:val="00945DDA"/>
    <w:rsid w:val="0094767F"/>
    <w:rsid w:val="009519C9"/>
    <w:rsid w:val="009556B4"/>
    <w:rsid w:val="00960CD4"/>
    <w:rsid w:val="009611F6"/>
    <w:rsid w:val="009631C6"/>
    <w:rsid w:val="00966369"/>
    <w:rsid w:val="00967A43"/>
    <w:rsid w:val="00967DB2"/>
    <w:rsid w:val="00970E10"/>
    <w:rsid w:val="00974AEA"/>
    <w:rsid w:val="00975579"/>
    <w:rsid w:val="00977550"/>
    <w:rsid w:val="00980019"/>
    <w:rsid w:val="009813A2"/>
    <w:rsid w:val="009870B8"/>
    <w:rsid w:val="00987452"/>
    <w:rsid w:val="00991188"/>
    <w:rsid w:val="00991990"/>
    <w:rsid w:val="0099480B"/>
    <w:rsid w:val="00996AE9"/>
    <w:rsid w:val="009976F7"/>
    <w:rsid w:val="009A2033"/>
    <w:rsid w:val="009A502B"/>
    <w:rsid w:val="009B0B83"/>
    <w:rsid w:val="009B23DD"/>
    <w:rsid w:val="009B3C30"/>
    <w:rsid w:val="009C0940"/>
    <w:rsid w:val="009C1CAD"/>
    <w:rsid w:val="009D0B86"/>
    <w:rsid w:val="009D0E91"/>
    <w:rsid w:val="009D31A7"/>
    <w:rsid w:val="009D4CBB"/>
    <w:rsid w:val="009D52FA"/>
    <w:rsid w:val="009D582D"/>
    <w:rsid w:val="009D7AF3"/>
    <w:rsid w:val="009D7E04"/>
    <w:rsid w:val="009E0350"/>
    <w:rsid w:val="009E0D5B"/>
    <w:rsid w:val="009E1258"/>
    <w:rsid w:val="009E1558"/>
    <w:rsid w:val="009E2BB2"/>
    <w:rsid w:val="009F2B07"/>
    <w:rsid w:val="009F44F0"/>
    <w:rsid w:val="00A00737"/>
    <w:rsid w:val="00A03C37"/>
    <w:rsid w:val="00A05786"/>
    <w:rsid w:val="00A10DB2"/>
    <w:rsid w:val="00A11406"/>
    <w:rsid w:val="00A13575"/>
    <w:rsid w:val="00A16954"/>
    <w:rsid w:val="00A213F8"/>
    <w:rsid w:val="00A215BC"/>
    <w:rsid w:val="00A2358E"/>
    <w:rsid w:val="00A25ED6"/>
    <w:rsid w:val="00A27A5E"/>
    <w:rsid w:val="00A317A7"/>
    <w:rsid w:val="00A31AE7"/>
    <w:rsid w:val="00A32586"/>
    <w:rsid w:val="00A41432"/>
    <w:rsid w:val="00A42898"/>
    <w:rsid w:val="00A45B33"/>
    <w:rsid w:val="00A46359"/>
    <w:rsid w:val="00A51416"/>
    <w:rsid w:val="00A51E80"/>
    <w:rsid w:val="00A53649"/>
    <w:rsid w:val="00A606AF"/>
    <w:rsid w:val="00A60CD1"/>
    <w:rsid w:val="00A71A22"/>
    <w:rsid w:val="00A72341"/>
    <w:rsid w:val="00A75A5F"/>
    <w:rsid w:val="00A93E52"/>
    <w:rsid w:val="00A93F6A"/>
    <w:rsid w:val="00A952C7"/>
    <w:rsid w:val="00AA2CD0"/>
    <w:rsid w:val="00AA5364"/>
    <w:rsid w:val="00AA686D"/>
    <w:rsid w:val="00AB1416"/>
    <w:rsid w:val="00AB1B8B"/>
    <w:rsid w:val="00AB63AE"/>
    <w:rsid w:val="00AB6ACE"/>
    <w:rsid w:val="00AC06A2"/>
    <w:rsid w:val="00AC5512"/>
    <w:rsid w:val="00AC5A3A"/>
    <w:rsid w:val="00AD4D90"/>
    <w:rsid w:val="00AD4E2D"/>
    <w:rsid w:val="00AD69F2"/>
    <w:rsid w:val="00AD7422"/>
    <w:rsid w:val="00AD7778"/>
    <w:rsid w:val="00AE2448"/>
    <w:rsid w:val="00AE702D"/>
    <w:rsid w:val="00AF1E60"/>
    <w:rsid w:val="00AF21D3"/>
    <w:rsid w:val="00AF24BA"/>
    <w:rsid w:val="00B01854"/>
    <w:rsid w:val="00B036AC"/>
    <w:rsid w:val="00B0530D"/>
    <w:rsid w:val="00B075D8"/>
    <w:rsid w:val="00B133AA"/>
    <w:rsid w:val="00B20599"/>
    <w:rsid w:val="00B20C03"/>
    <w:rsid w:val="00B20CC4"/>
    <w:rsid w:val="00B23B24"/>
    <w:rsid w:val="00B26825"/>
    <w:rsid w:val="00B32F68"/>
    <w:rsid w:val="00B33D11"/>
    <w:rsid w:val="00B4083F"/>
    <w:rsid w:val="00B41086"/>
    <w:rsid w:val="00B42115"/>
    <w:rsid w:val="00B4389C"/>
    <w:rsid w:val="00B5119F"/>
    <w:rsid w:val="00B51323"/>
    <w:rsid w:val="00B514F0"/>
    <w:rsid w:val="00B51DB2"/>
    <w:rsid w:val="00B53D50"/>
    <w:rsid w:val="00B53F24"/>
    <w:rsid w:val="00B5634A"/>
    <w:rsid w:val="00B61AE4"/>
    <w:rsid w:val="00B61DEF"/>
    <w:rsid w:val="00B63528"/>
    <w:rsid w:val="00B65DB2"/>
    <w:rsid w:val="00B67F5E"/>
    <w:rsid w:val="00B701F0"/>
    <w:rsid w:val="00B71249"/>
    <w:rsid w:val="00B720A1"/>
    <w:rsid w:val="00B82FA5"/>
    <w:rsid w:val="00B83D22"/>
    <w:rsid w:val="00B8556C"/>
    <w:rsid w:val="00B914BD"/>
    <w:rsid w:val="00B9156F"/>
    <w:rsid w:val="00B942E7"/>
    <w:rsid w:val="00BA69D5"/>
    <w:rsid w:val="00BA7289"/>
    <w:rsid w:val="00BA75FC"/>
    <w:rsid w:val="00BB0981"/>
    <w:rsid w:val="00BB2267"/>
    <w:rsid w:val="00BB266E"/>
    <w:rsid w:val="00BB50E3"/>
    <w:rsid w:val="00BB6C5D"/>
    <w:rsid w:val="00BC10B0"/>
    <w:rsid w:val="00BC180F"/>
    <w:rsid w:val="00BC2B8D"/>
    <w:rsid w:val="00BC3CC2"/>
    <w:rsid w:val="00BC4C87"/>
    <w:rsid w:val="00BC57E4"/>
    <w:rsid w:val="00BC644A"/>
    <w:rsid w:val="00BC6F1B"/>
    <w:rsid w:val="00BC780E"/>
    <w:rsid w:val="00BD1400"/>
    <w:rsid w:val="00BD1553"/>
    <w:rsid w:val="00BD605C"/>
    <w:rsid w:val="00BD6AB4"/>
    <w:rsid w:val="00BE20F6"/>
    <w:rsid w:val="00BE2A76"/>
    <w:rsid w:val="00BE34C8"/>
    <w:rsid w:val="00BE6D95"/>
    <w:rsid w:val="00BE7E3A"/>
    <w:rsid w:val="00BF483F"/>
    <w:rsid w:val="00BF4EB5"/>
    <w:rsid w:val="00BF5C95"/>
    <w:rsid w:val="00BF69B1"/>
    <w:rsid w:val="00BF75C2"/>
    <w:rsid w:val="00C02E9C"/>
    <w:rsid w:val="00C06BA3"/>
    <w:rsid w:val="00C1370E"/>
    <w:rsid w:val="00C17B3B"/>
    <w:rsid w:val="00C22B1F"/>
    <w:rsid w:val="00C22E9C"/>
    <w:rsid w:val="00C237A6"/>
    <w:rsid w:val="00C251DC"/>
    <w:rsid w:val="00C3048D"/>
    <w:rsid w:val="00C30D0E"/>
    <w:rsid w:val="00C33A3B"/>
    <w:rsid w:val="00C35FC0"/>
    <w:rsid w:val="00C425C9"/>
    <w:rsid w:val="00C4314F"/>
    <w:rsid w:val="00C44F91"/>
    <w:rsid w:val="00C4680C"/>
    <w:rsid w:val="00C50D10"/>
    <w:rsid w:val="00C51A89"/>
    <w:rsid w:val="00C524F1"/>
    <w:rsid w:val="00C530E2"/>
    <w:rsid w:val="00C53C0B"/>
    <w:rsid w:val="00C54137"/>
    <w:rsid w:val="00C609F2"/>
    <w:rsid w:val="00C627CC"/>
    <w:rsid w:val="00C65510"/>
    <w:rsid w:val="00C65C21"/>
    <w:rsid w:val="00C65E60"/>
    <w:rsid w:val="00C713E0"/>
    <w:rsid w:val="00C71C09"/>
    <w:rsid w:val="00C729F0"/>
    <w:rsid w:val="00C758DA"/>
    <w:rsid w:val="00C81C5D"/>
    <w:rsid w:val="00C8283F"/>
    <w:rsid w:val="00C85357"/>
    <w:rsid w:val="00C86250"/>
    <w:rsid w:val="00C90630"/>
    <w:rsid w:val="00C90D78"/>
    <w:rsid w:val="00C93BE2"/>
    <w:rsid w:val="00C94684"/>
    <w:rsid w:val="00C97116"/>
    <w:rsid w:val="00CA2A5F"/>
    <w:rsid w:val="00CA2B30"/>
    <w:rsid w:val="00CA3147"/>
    <w:rsid w:val="00CA35E1"/>
    <w:rsid w:val="00CA409B"/>
    <w:rsid w:val="00CA6550"/>
    <w:rsid w:val="00CA6591"/>
    <w:rsid w:val="00CB0592"/>
    <w:rsid w:val="00CB22BA"/>
    <w:rsid w:val="00CB23AD"/>
    <w:rsid w:val="00CB25C6"/>
    <w:rsid w:val="00CB4EB2"/>
    <w:rsid w:val="00CC5C25"/>
    <w:rsid w:val="00CC7A96"/>
    <w:rsid w:val="00CD0178"/>
    <w:rsid w:val="00CD2355"/>
    <w:rsid w:val="00CD3EAF"/>
    <w:rsid w:val="00CD695F"/>
    <w:rsid w:val="00CE0087"/>
    <w:rsid w:val="00CE2698"/>
    <w:rsid w:val="00CE2CD6"/>
    <w:rsid w:val="00CE32A4"/>
    <w:rsid w:val="00CE5A52"/>
    <w:rsid w:val="00CE5DF2"/>
    <w:rsid w:val="00CF2BB6"/>
    <w:rsid w:val="00CF7AF3"/>
    <w:rsid w:val="00D0038F"/>
    <w:rsid w:val="00D004FA"/>
    <w:rsid w:val="00D02D8D"/>
    <w:rsid w:val="00D056DC"/>
    <w:rsid w:val="00D06D2B"/>
    <w:rsid w:val="00D100BF"/>
    <w:rsid w:val="00D11810"/>
    <w:rsid w:val="00D13E71"/>
    <w:rsid w:val="00D21104"/>
    <w:rsid w:val="00D2168D"/>
    <w:rsid w:val="00D21B21"/>
    <w:rsid w:val="00D23233"/>
    <w:rsid w:val="00D2415E"/>
    <w:rsid w:val="00D26ADA"/>
    <w:rsid w:val="00D2707E"/>
    <w:rsid w:val="00D27552"/>
    <w:rsid w:val="00D35A78"/>
    <w:rsid w:val="00D364E9"/>
    <w:rsid w:val="00D37E7E"/>
    <w:rsid w:val="00D4063B"/>
    <w:rsid w:val="00D425DA"/>
    <w:rsid w:val="00D42865"/>
    <w:rsid w:val="00D43FE8"/>
    <w:rsid w:val="00D4481D"/>
    <w:rsid w:val="00D47CFF"/>
    <w:rsid w:val="00D52BDB"/>
    <w:rsid w:val="00D534D8"/>
    <w:rsid w:val="00D53B3A"/>
    <w:rsid w:val="00D555A1"/>
    <w:rsid w:val="00D55AB3"/>
    <w:rsid w:val="00D55C7F"/>
    <w:rsid w:val="00D57967"/>
    <w:rsid w:val="00D57B8B"/>
    <w:rsid w:val="00D636FE"/>
    <w:rsid w:val="00D64347"/>
    <w:rsid w:val="00D64DC2"/>
    <w:rsid w:val="00D70AB0"/>
    <w:rsid w:val="00D7285D"/>
    <w:rsid w:val="00D73AC2"/>
    <w:rsid w:val="00D74022"/>
    <w:rsid w:val="00D77E1A"/>
    <w:rsid w:val="00D805DF"/>
    <w:rsid w:val="00D82B92"/>
    <w:rsid w:val="00D86516"/>
    <w:rsid w:val="00D8685A"/>
    <w:rsid w:val="00D90FB4"/>
    <w:rsid w:val="00D964B2"/>
    <w:rsid w:val="00D97757"/>
    <w:rsid w:val="00DA2C2E"/>
    <w:rsid w:val="00DA46CA"/>
    <w:rsid w:val="00DA494D"/>
    <w:rsid w:val="00DA719F"/>
    <w:rsid w:val="00DA7C5B"/>
    <w:rsid w:val="00DB370A"/>
    <w:rsid w:val="00DB6615"/>
    <w:rsid w:val="00DC48B4"/>
    <w:rsid w:val="00DC6F82"/>
    <w:rsid w:val="00DD1FBB"/>
    <w:rsid w:val="00DD2FCC"/>
    <w:rsid w:val="00DD6D5F"/>
    <w:rsid w:val="00DD7CB0"/>
    <w:rsid w:val="00DD7F9B"/>
    <w:rsid w:val="00DE11B4"/>
    <w:rsid w:val="00DE210B"/>
    <w:rsid w:val="00DE525B"/>
    <w:rsid w:val="00DE6D7A"/>
    <w:rsid w:val="00DE6D8C"/>
    <w:rsid w:val="00DE7EAD"/>
    <w:rsid w:val="00DF025A"/>
    <w:rsid w:val="00DF1180"/>
    <w:rsid w:val="00DF21EB"/>
    <w:rsid w:val="00DF2C77"/>
    <w:rsid w:val="00DF4650"/>
    <w:rsid w:val="00DF578B"/>
    <w:rsid w:val="00DF7120"/>
    <w:rsid w:val="00DF7DE2"/>
    <w:rsid w:val="00E01BF4"/>
    <w:rsid w:val="00E02EDB"/>
    <w:rsid w:val="00E04306"/>
    <w:rsid w:val="00E06AA5"/>
    <w:rsid w:val="00E07D36"/>
    <w:rsid w:val="00E11ABD"/>
    <w:rsid w:val="00E13090"/>
    <w:rsid w:val="00E14085"/>
    <w:rsid w:val="00E14293"/>
    <w:rsid w:val="00E17282"/>
    <w:rsid w:val="00E20E70"/>
    <w:rsid w:val="00E2131F"/>
    <w:rsid w:val="00E21EE6"/>
    <w:rsid w:val="00E22D21"/>
    <w:rsid w:val="00E23C92"/>
    <w:rsid w:val="00E25B68"/>
    <w:rsid w:val="00E26CE6"/>
    <w:rsid w:val="00E3055B"/>
    <w:rsid w:val="00E30DA4"/>
    <w:rsid w:val="00E30F0E"/>
    <w:rsid w:val="00E32BCD"/>
    <w:rsid w:val="00E3576D"/>
    <w:rsid w:val="00E372E4"/>
    <w:rsid w:val="00E40211"/>
    <w:rsid w:val="00E40B23"/>
    <w:rsid w:val="00E45D9D"/>
    <w:rsid w:val="00E4759B"/>
    <w:rsid w:val="00E47855"/>
    <w:rsid w:val="00E47DBC"/>
    <w:rsid w:val="00E53EDA"/>
    <w:rsid w:val="00E56239"/>
    <w:rsid w:val="00E614DB"/>
    <w:rsid w:val="00E61EB6"/>
    <w:rsid w:val="00E639CC"/>
    <w:rsid w:val="00E639F7"/>
    <w:rsid w:val="00E642BB"/>
    <w:rsid w:val="00E646CC"/>
    <w:rsid w:val="00E66CCB"/>
    <w:rsid w:val="00E722F0"/>
    <w:rsid w:val="00E74D0E"/>
    <w:rsid w:val="00E77E1F"/>
    <w:rsid w:val="00E84003"/>
    <w:rsid w:val="00E84A3A"/>
    <w:rsid w:val="00E84AF6"/>
    <w:rsid w:val="00E86D03"/>
    <w:rsid w:val="00E9274E"/>
    <w:rsid w:val="00E937AB"/>
    <w:rsid w:val="00E959EE"/>
    <w:rsid w:val="00E96479"/>
    <w:rsid w:val="00EA2577"/>
    <w:rsid w:val="00EA7F0F"/>
    <w:rsid w:val="00EB3674"/>
    <w:rsid w:val="00EB473A"/>
    <w:rsid w:val="00EB4F1E"/>
    <w:rsid w:val="00EB62F6"/>
    <w:rsid w:val="00EC10FC"/>
    <w:rsid w:val="00EC3D5A"/>
    <w:rsid w:val="00EC4BEA"/>
    <w:rsid w:val="00ED25CA"/>
    <w:rsid w:val="00ED3496"/>
    <w:rsid w:val="00ED424A"/>
    <w:rsid w:val="00EE0041"/>
    <w:rsid w:val="00EE0127"/>
    <w:rsid w:val="00EE0678"/>
    <w:rsid w:val="00EE1D82"/>
    <w:rsid w:val="00EE29B9"/>
    <w:rsid w:val="00EE403E"/>
    <w:rsid w:val="00EE5F27"/>
    <w:rsid w:val="00EF070B"/>
    <w:rsid w:val="00EF448F"/>
    <w:rsid w:val="00EF563A"/>
    <w:rsid w:val="00F004EE"/>
    <w:rsid w:val="00F031B6"/>
    <w:rsid w:val="00F101E9"/>
    <w:rsid w:val="00F149A7"/>
    <w:rsid w:val="00F16B78"/>
    <w:rsid w:val="00F17F7C"/>
    <w:rsid w:val="00F20241"/>
    <w:rsid w:val="00F21440"/>
    <w:rsid w:val="00F25256"/>
    <w:rsid w:val="00F30F50"/>
    <w:rsid w:val="00F341DE"/>
    <w:rsid w:val="00F34626"/>
    <w:rsid w:val="00F34EFF"/>
    <w:rsid w:val="00F40421"/>
    <w:rsid w:val="00F42315"/>
    <w:rsid w:val="00F42E23"/>
    <w:rsid w:val="00F43F44"/>
    <w:rsid w:val="00F45AF3"/>
    <w:rsid w:val="00F45EEE"/>
    <w:rsid w:val="00F51E9C"/>
    <w:rsid w:val="00F523CA"/>
    <w:rsid w:val="00F53F09"/>
    <w:rsid w:val="00F53FCD"/>
    <w:rsid w:val="00F55944"/>
    <w:rsid w:val="00F56DAD"/>
    <w:rsid w:val="00F578DF"/>
    <w:rsid w:val="00F60E49"/>
    <w:rsid w:val="00F61859"/>
    <w:rsid w:val="00F61D34"/>
    <w:rsid w:val="00F70FEB"/>
    <w:rsid w:val="00F71F01"/>
    <w:rsid w:val="00F74A9D"/>
    <w:rsid w:val="00F773F4"/>
    <w:rsid w:val="00F77C55"/>
    <w:rsid w:val="00F80578"/>
    <w:rsid w:val="00F83D81"/>
    <w:rsid w:val="00F84761"/>
    <w:rsid w:val="00F93C4C"/>
    <w:rsid w:val="00FA1E64"/>
    <w:rsid w:val="00FA29CA"/>
    <w:rsid w:val="00FA2A52"/>
    <w:rsid w:val="00FA478D"/>
    <w:rsid w:val="00FA51D8"/>
    <w:rsid w:val="00FB120E"/>
    <w:rsid w:val="00FB300C"/>
    <w:rsid w:val="00FB554F"/>
    <w:rsid w:val="00FB7B41"/>
    <w:rsid w:val="00FC195B"/>
    <w:rsid w:val="00FC22AA"/>
    <w:rsid w:val="00FC2B4B"/>
    <w:rsid w:val="00FC53E2"/>
    <w:rsid w:val="00FD11F3"/>
    <w:rsid w:val="00FD134C"/>
    <w:rsid w:val="00FD1DBD"/>
    <w:rsid w:val="00FD5101"/>
    <w:rsid w:val="00FD5A86"/>
    <w:rsid w:val="00FE5065"/>
    <w:rsid w:val="00FF1B7C"/>
    <w:rsid w:val="00FF309C"/>
    <w:rsid w:val="00FF3429"/>
    <w:rsid w:val="00FF386F"/>
    <w:rsid w:val="00FF3DE3"/>
    <w:rsid w:val="00FF4071"/>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99"/>
    <w:locked/>
    <w:rsid w:val="00BC2B8D"/>
    <w:rPr>
      <w:sz w:val="16"/>
      <w:szCs w:val="16"/>
    </w:rPr>
  </w:style>
  <w:style w:type="paragraph" w:styleId="CommentText">
    <w:name w:val="annotation text"/>
    <w:basedOn w:val="Normal"/>
    <w:link w:val="CommentTextChar"/>
    <w:uiPriority w:val="49"/>
    <w:locked/>
    <w:rsid w:val="00BC2B8D"/>
    <w:rPr>
      <w:sz w:val="20"/>
    </w:rPr>
  </w:style>
  <w:style w:type="character" w:customStyle="1" w:styleId="CommentTextChar">
    <w:name w:val="Comment Text Char"/>
    <w:basedOn w:val="DefaultParagraphFont"/>
    <w:link w:val="CommentText"/>
    <w:uiPriority w:val="49"/>
    <w:rsid w:val="00BC2B8D"/>
    <w:rPr>
      <w:lang w:eastAsia="en-US"/>
    </w:rPr>
  </w:style>
  <w:style w:type="paragraph" w:styleId="CommentSubject">
    <w:name w:val="annotation subject"/>
    <w:basedOn w:val="CommentText"/>
    <w:next w:val="CommentText"/>
    <w:link w:val="CommentSubjectChar"/>
    <w:uiPriority w:val="49"/>
    <w:locked/>
    <w:rsid w:val="00BC2B8D"/>
    <w:rPr>
      <w:b/>
      <w:bCs/>
    </w:rPr>
  </w:style>
  <w:style w:type="character" w:customStyle="1" w:styleId="CommentSubjectChar">
    <w:name w:val="Comment Subject Char"/>
    <w:basedOn w:val="CommentTextChar"/>
    <w:link w:val="CommentSubject"/>
    <w:uiPriority w:val="49"/>
    <w:rsid w:val="00BC2B8D"/>
    <w:rPr>
      <w:b/>
      <w:bCs/>
      <w:lang w:eastAsia="en-US"/>
    </w:rPr>
  </w:style>
  <w:style w:type="character" w:styleId="Hyperlink">
    <w:name w:val="Hyperlink"/>
    <w:basedOn w:val="DefaultParagraphFont"/>
    <w:uiPriority w:val="99"/>
    <w:unhideWhenUsed/>
    <w:locked/>
    <w:rsid w:val="004A7E27"/>
    <w:rPr>
      <w:color w:val="0000FF"/>
      <w:u w:val="single"/>
    </w:rPr>
  </w:style>
  <w:style w:type="paragraph" w:styleId="Revision">
    <w:name w:val="Revision"/>
    <w:hidden/>
    <w:uiPriority w:val="99"/>
    <w:semiHidden/>
    <w:rsid w:val="00FF407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uu.se/forskning/anita/?languageId=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1293</TotalTime>
  <Pages>7</Pages>
  <Words>6500</Words>
  <Characters>37056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Johan Eriksson</cp:lastModifiedBy>
  <cp:revision>923</cp:revision>
  <cp:lastPrinted>2024-05-31T17:19:00Z</cp:lastPrinted>
  <dcterms:created xsi:type="dcterms:W3CDTF">2024-04-30T08:57:00Z</dcterms:created>
  <dcterms:modified xsi:type="dcterms:W3CDTF">2024-05-31T20:14:00Z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endeley Document_1">
    <vt:lpwstr>True</vt:lpwstr>
  </property>
  <property fmtid="{D5CDD505-2E9C-101B-9397-08002B2CF9AE}" pid="12" name="Mendeley Unique User Id_1">
    <vt:lpwstr>3fc49f08-6188-393a-ad59-df0d8f4a0634</vt:lpwstr>
  </property>
  <property fmtid="{D5CDD505-2E9C-101B-9397-08002B2CF9AE}" pid="13" name="Mendeley Citation Style_1">
    <vt:lpwstr>http://www.zotero.org/styles/elsevier-with-titles</vt:lpwstr>
  </property>
  <property fmtid="{D5CDD505-2E9C-101B-9397-08002B2CF9AE}" pid="14" name="Mendeley Recent Style Id 0_1">
    <vt:lpwstr>http://www.zotero.org/styles/american-medical-association</vt:lpwstr>
  </property>
  <property fmtid="{D5CDD505-2E9C-101B-9397-08002B2CF9AE}" pid="15" name="Mendeley Recent Style Name 0_1">
    <vt:lpwstr>American Medical Association</vt:lpwstr>
  </property>
  <property fmtid="{D5CDD505-2E9C-101B-9397-08002B2CF9AE}" pid="16" name="Mendeley Recent Style Id 1_1">
    <vt:lpwstr>http://www.zotero.org/styles/american-political-science-association</vt:lpwstr>
  </property>
  <property fmtid="{D5CDD505-2E9C-101B-9397-08002B2CF9AE}" pid="17" name="Mendeley Recent Style Name 1_1">
    <vt:lpwstr>American Political Science Association</vt:lpwstr>
  </property>
  <property fmtid="{D5CDD505-2E9C-101B-9397-08002B2CF9AE}" pid="18" name="Mendeley Recent Style Id 2_1">
    <vt:lpwstr>http://www.zotero.org/styles/american-sociological-association</vt:lpwstr>
  </property>
  <property fmtid="{D5CDD505-2E9C-101B-9397-08002B2CF9AE}" pid="19" name="Mendeley Recent Style Name 2_1">
    <vt:lpwstr>American Sociological Association</vt:lpwstr>
  </property>
  <property fmtid="{D5CDD505-2E9C-101B-9397-08002B2CF9AE}" pid="20" name="Mendeley Recent Style Id 3_1">
    <vt:lpwstr>http://www.zotero.org/styles/chicago-fullnote-bibliography</vt:lpwstr>
  </property>
  <property fmtid="{D5CDD505-2E9C-101B-9397-08002B2CF9AE}" pid="21" name="Mendeley Recent Style Name 3_1">
    <vt:lpwstr>Chicago Manual of Style 17th edition (full note)</vt:lpwstr>
  </property>
  <property fmtid="{D5CDD505-2E9C-101B-9397-08002B2CF9AE}" pid="22" name="Mendeley Recent Style Id 4_1">
    <vt:lpwstr>http://www.zotero.org/styles/chicago-note-bibliography</vt:lpwstr>
  </property>
  <property fmtid="{D5CDD505-2E9C-101B-9397-08002B2CF9AE}" pid="23" name="Mendeley Recent Style Name 4_1">
    <vt:lpwstr>Chicago Manual of Style 17th edition (note)</vt:lpwstr>
  </property>
  <property fmtid="{D5CDD505-2E9C-101B-9397-08002B2CF9AE}" pid="24" name="Mendeley Recent Style Id 5_1">
    <vt:lpwstr>http://www.zotero.org/styles/elsevier-with-titles</vt:lpwstr>
  </property>
  <property fmtid="{D5CDD505-2E9C-101B-9397-08002B2CF9AE}" pid="25" name="Mendeley Recent Style Name 5_1">
    <vt:lpwstr>Elsevier (numeric, with titles)</vt:lpwstr>
  </property>
  <property fmtid="{D5CDD505-2E9C-101B-9397-08002B2CF9AE}" pid="26" name="Mendeley Recent Style Id 6_1">
    <vt:lpwstr>http://www.zotero.org/styles/elsevier-without-titles</vt:lpwstr>
  </property>
  <property fmtid="{D5CDD505-2E9C-101B-9397-08002B2CF9AE}" pid="27" name="Mendeley Recent Style Name 6_1">
    <vt:lpwstr>Elsevier (numeric, without titles)</vt:lpwstr>
  </property>
  <property fmtid="{D5CDD505-2E9C-101B-9397-08002B2CF9AE}" pid="28" name="Mendeley Recent Style Id 7_1">
    <vt:lpwstr>http://www.zotero.org/styles/ieee</vt:lpwstr>
  </property>
  <property fmtid="{D5CDD505-2E9C-101B-9397-08002B2CF9AE}" pid="29" name="Mendeley Recent Style Name 7_1">
    <vt:lpwstr>IEEE</vt:lpwstr>
  </property>
  <property fmtid="{D5CDD505-2E9C-101B-9397-08002B2CF9AE}" pid="30" name="Mendeley Recent Style Id 8_1">
    <vt:lpwstr>http://www.zotero.org/styles/modern-humanities-research-association</vt:lpwstr>
  </property>
  <property fmtid="{D5CDD505-2E9C-101B-9397-08002B2CF9AE}" pid="31" name="Mendeley Recent Style Name 8_1">
    <vt:lpwstr>Modern Humanities Research Association 3rd edition (note with bibliography)</vt:lpwstr>
  </property>
  <property fmtid="{D5CDD505-2E9C-101B-9397-08002B2CF9AE}" pid="32" name="Mendeley Recent Style Id 9_1">
    <vt:lpwstr>http://www.zotero.org/styles/nature</vt:lpwstr>
  </property>
  <property fmtid="{D5CDD505-2E9C-101B-9397-08002B2CF9AE}" pid="33" name="Mendeley Recent Style Name 9_1">
    <vt:lpwstr>Nature</vt:lpwstr>
  </property>
</Properties>
</file>