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BDDDC" w14:textId="350B7371" w:rsidR="00820368" w:rsidRDefault="004A238E" w:rsidP="00537496">
      <w:pPr>
        <w:pStyle w:val="Heading1"/>
      </w:pPr>
      <w:r w:rsidRPr="004A238E">
        <w:t xml:space="preserve">Experiment and </w:t>
      </w:r>
      <w:r w:rsidR="00C10024">
        <w:t>Modelling</w:t>
      </w:r>
      <w:r w:rsidRPr="004A238E">
        <w:t xml:space="preserve"> Efforts to</w:t>
      </w:r>
    </w:p>
    <w:p w14:paraId="478EBCEA" w14:textId="77777777" w:rsidR="00820368" w:rsidRDefault="004A238E" w:rsidP="00537496">
      <w:pPr>
        <w:pStyle w:val="Heading1"/>
      </w:pPr>
      <w:r w:rsidRPr="004A238E">
        <w:t>Support Development and Deployment</w:t>
      </w:r>
    </w:p>
    <w:p w14:paraId="7131EE58" w14:textId="061BC68D" w:rsidR="003A7FCE" w:rsidRPr="003B5E0E" w:rsidRDefault="004A238E" w:rsidP="003A7FCE">
      <w:pPr>
        <w:pStyle w:val="Heading1"/>
        <w:spacing w:after="100" w:afterAutospacing="1"/>
        <w:ind w:left="562" w:right="562"/>
      </w:pPr>
      <w:r w:rsidRPr="004A238E">
        <w:t>of Advanced Energy Systems</w:t>
      </w:r>
    </w:p>
    <w:p w14:paraId="32159D0F" w14:textId="0C8CD17B" w:rsidR="003B5E0E" w:rsidRDefault="00471834" w:rsidP="00537496">
      <w:pPr>
        <w:pStyle w:val="Authornameandaffiliation"/>
      </w:pPr>
      <w:r>
        <w:t>PIYUSH SABHARWALL</w:t>
      </w:r>
    </w:p>
    <w:p w14:paraId="02370931" w14:textId="034506EC" w:rsidR="00FF386F" w:rsidRDefault="00471834" w:rsidP="00537496">
      <w:pPr>
        <w:pStyle w:val="Authornameandaffiliation"/>
      </w:pPr>
      <w:r>
        <w:t>Idaho National Laboratory</w:t>
      </w:r>
    </w:p>
    <w:p w14:paraId="14684DE2" w14:textId="244A4C0B" w:rsidR="00FF386F" w:rsidRDefault="00471834" w:rsidP="00537496">
      <w:pPr>
        <w:pStyle w:val="Authornameandaffiliation"/>
      </w:pPr>
      <w:r>
        <w:t>Idaho Falls</w:t>
      </w:r>
      <w:r w:rsidR="00FF386F">
        <w:t xml:space="preserve">, </w:t>
      </w:r>
      <w:r>
        <w:t>ID</w:t>
      </w:r>
      <w:r w:rsidR="00614B92">
        <w:t>, USA</w:t>
      </w:r>
    </w:p>
    <w:p w14:paraId="0080899C" w14:textId="32D3C9ED" w:rsidR="00FF386F" w:rsidRDefault="00FF386F" w:rsidP="00537496">
      <w:pPr>
        <w:pStyle w:val="Authornameandaffiliation"/>
      </w:pPr>
      <w:r>
        <w:t xml:space="preserve">Email: </w:t>
      </w:r>
      <w:r w:rsidR="00614B92" w:rsidRPr="00614B92">
        <w:t>Piyush.Sabharwall@inl.gov</w:t>
      </w:r>
    </w:p>
    <w:p w14:paraId="2D4CA40C" w14:textId="77777777" w:rsidR="00696208" w:rsidRDefault="00696208" w:rsidP="00696208">
      <w:pPr>
        <w:pStyle w:val="Authornameandaffiliation"/>
      </w:pPr>
    </w:p>
    <w:p w14:paraId="703E3759" w14:textId="03694794" w:rsidR="00696208" w:rsidRDefault="00696208" w:rsidP="00696208">
      <w:pPr>
        <w:pStyle w:val="Authornameandaffiliation"/>
      </w:pPr>
      <w:r>
        <w:t>MAURICIO TANO</w:t>
      </w:r>
    </w:p>
    <w:p w14:paraId="1DDE4D1E" w14:textId="77777777" w:rsidR="00696208" w:rsidRDefault="00696208" w:rsidP="00696208">
      <w:pPr>
        <w:pStyle w:val="Authornameandaffiliation"/>
      </w:pPr>
      <w:r>
        <w:t>Idaho National Laboratory</w:t>
      </w:r>
    </w:p>
    <w:p w14:paraId="74412E12" w14:textId="77777777" w:rsidR="00696208" w:rsidRDefault="00696208" w:rsidP="00696208">
      <w:pPr>
        <w:pStyle w:val="Authornameandaffiliation"/>
      </w:pPr>
      <w:r>
        <w:t>Idaho Falls, ID, USA</w:t>
      </w:r>
    </w:p>
    <w:p w14:paraId="458ED8FD" w14:textId="77777777" w:rsidR="00696208" w:rsidRDefault="00696208" w:rsidP="00696208">
      <w:pPr>
        <w:pStyle w:val="Authornameandaffiliation"/>
      </w:pPr>
    </w:p>
    <w:p w14:paraId="1427390E" w14:textId="1FDF5E7E" w:rsidR="00696208" w:rsidRDefault="00395E2B" w:rsidP="00696208">
      <w:pPr>
        <w:pStyle w:val="Authornameandaffiliation"/>
      </w:pPr>
      <w:r>
        <w:t>GEORGE MESINA</w:t>
      </w:r>
    </w:p>
    <w:p w14:paraId="3FC4968B" w14:textId="77777777" w:rsidR="00696208" w:rsidRDefault="00696208" w:rsidP="00696208">
      <w:pPr>
        <w:pStyle w:val="Authornameandaffiliation"/>
      </w:pPr>
      <w:r>
        <w:t>Idaho National Laboratory</w:t>
      </w:r>
    </w:p>
    <w:p w14:paraId="73D01EC5" w14:textId="77777777" w:rsidR="00696208" w:rsidRDefault="00696208" w:rsidP="00696208">
      <w:pPr>
        <w:pStyle w:val="Authornameandaffiliation"/>
      </w:pPr>
      <w:r>
        <w:t>Idaho Falls, ID, USA</w:t>
      </w:r>
    </w:p>
    <w:p w14:paraId="5E2BDA1F" w14:textId="77777777" w:rsidR="00FF386F" w:rsidRDefault="00FF386F" w:rsidP="00537496">
      <w:pPr>
        <w:pStyle w:val="Authornameandaffiliation"/>
      </w:pPr>
    </w:p>
    <w:p w14:paraId="4FCCDB79" w14:textId="311F5B17" w:rsidR="00696208" w:rsidRDefault="00DE63FA" w:rsidP="00696208">
      <w:pPr>
        <w:pStyle w:val="Authornameandaffiliation"/>
      </w:pPr>
      <w:r>
        <w:t>YOUSSEF BALLOUT</w:t>
      </w:r>
    </w:p>
    <w:p w14:paraId="010C9CC8" w14:textId="77777777" w:rsidR="00696208" w:rsidRDefault="00696208" w:rsidP="00696208">
      <w:pPr>
        <w:pStyle w:val="Authornameandaffiliation"/>
      </w:pPr>
      <w:r>
        <w:t>Idaho National Laboratory</w:t>
      </w:r>
    </w:p>
    <w:p w14:paraId="5BE766BE" w14:textId="77777777" w:rsidR="00696208" w:rsidRDefault="00696208" w:rsidP="00696208">
      <w:pPr>
        <w:pStyle w:val="Authornameandaffiliation"/>
      </w:pPr>
      <w:r>
        <w:t>Idaho Falls, ID, USA</w:t>
      </w:r>
    </w:p>
    <w:p w14:paraId="2C7F19CB" w14:textId="77777777" w:rsidR="00FF386F" w:rsidRDefault="00FF386F" w:rsidP="00537496">
      <w:pPr>
        <w:pStyle w:val="Authornameandaffiliation"/>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418AC57B" w14:textId="3134D44A" w:rsidR="00647F33" w:rsidRDefault="00215DE1" w:rsidP="00537496">
      <w:pPr>
        <w:pStyle w:val="Abstracttext"/>
        <w:rPr>
          <w:szCs w:val="18"/>
          <w:lang w:val="en-GB"/>
        </w:rPr>
      </w:pPr>
      <w:r w:rsidRPr="00215DE1">
        <w:rPr>
          <w:szCs w:val="18"/>
          <w:lang w:val="en-GB"/>
        </w:rPr>
        <w:t>Advanced energy systems are the next generation of energy systems with self-control and monitoring attributes along with passive safety measures that are being designed and developed across the globe. Self-control of primary processes refers to the inherent safety of the reactor, whereas passive safety features are vital for operations where a strong deviation of normal process behavior occurs. Currently, many model</w:t>
      </w:r>
      <w:r w:rsidR="00FE57F6">
        <w:rPr>
          <w:szCs w:val="18"/>
          <w:lang w:val="en-GB"/>
        </w:rPr>
        <w:t>l</w:t>
      </w:r>
      <w:r w:rsidRPr="00215DE1">
        <w:rPr>
          <w:szCs w:val="18"/>
          <w:lang w:val="en-GB"/>
        </w:rPr>
        <w:t xml:space="preserve">ing and experimental efforts </w:t>
      </w:r>
      <w:r w:rsidR="002C1DED">
        <w:rPr>
          <w:szCs w:val="18"/>
          <w:lang w:val="en-GB"/>
        </w:rPr>
        <w:t xml:space="preserve">are </w:t>
      </w:r>
      <w:r w:rsidRPr="00215DE1">
        <w:rPr>
          <w:szCs w:val="18"/>
          <w:lang w:val="en-GB"/>
        </w:rPr>
        <w:t xml:space="preserve">being developed and supported under various United States (U.S.) Department of Energy (DOE) programs to offer verification and validation assistance for these novel systems. However, </w:t>
      </w:r>
      <w:proofErr w:type="gramStart"/>
      <w:r w:rsidRPr="00215DE1">
        <w:rPr>
          <w:szCs w:val="18"/>
          <w:lang w:val="en-GB"/>
        </w:rPr>
        <w:t>both of these</w:t>
      </w:r>
      <w:proofErr w:type="gramEnd"/>
      <w:r w:rsidRPr="00215DE1">
        <w:rPr>
          <w:szCs w:val="18"/>
          <w:lang w:val="en-GB"/>
        </w:rPr>
        <w:t xml:space="preserve"> efforts need to be synergized to ensure a successful accelerated deployment. This article provides an overview on the test beds being designed and developed along with the </w:t>
      </w:r>
      <w:r w:rsidR="00C10024">
        <w:rPr>
          <w:szCs w:val="18"/>
          <w:lang w:val="en-GB"/>
        </w:rPr>
        <w:t>Modelling</w:t>
      </w:r>
      <w:r w:rsidRPr="00215DE1">
        <w:rPr>
          <w:szCs w:val="18"/>
          <w:lang w:val="en-GB"/>
        </w:rPr>
        <w:t xml:space="preserve"> efforts in the Multiphysics Object-Oriented Simulation Environment (MOOSE) that support the </w:t>
      </w:r>
      <w:proofErr w:type="spellStart"/>
      <w:r w:rsidRPr="00215DE1">
        <w:rPr>
          <w:szCs w:val="18"/>
          <w:lang w:val="en-GB"/>
        </w:rPr>
        <w:t>multiphysics</w:t>
      </w:r>
      <w:proofErr w:type="spellEnd"/>
      <w:r w:rsidRPr="00215DE1">
        <w:rPr>
          <w:szCs w:val="18"/>
          <w:lang w:val="en-GB"/>
        </w:rPr>
        <w:t xml:space="preserve"> </w:t>
      </w:r>
      <w:r w:rsidR="00C10024">
        <w:rPr>
          <w:szCs w:val="18"/>
          <w:lang w:val="en-GB"/>
        </w:rPr>
        <w:t>Modelling</w:t>
      </w:r>
      <w:r w:rsidRPr="00215DE1">
        <w:rPr>
          <w:szCs w:val="18"/>
          <w:lang w:val="en-GB"/>
        </w:rPr>
        <w:t xml:space="preserve"> and simulations (i.e., neutronics, </w:t>
      </w:r>
      <w:proofErr w:type="gramStart"/>
      <w:r w:rsidRPr="00215DE1">
        <w:rPr>
          <w:szCs w:val="18"/>
          <w:lang w:val="en-GB"/>
        </w:rPr>
        <w:t>thermal-hydraulics</w:t>
      </w:r>
      <w:proofErr w:type="gramEnd"/>
      <w:r w:rsidRPr="00215DE1">
        <w:rPr>
          <w:szCs w:val="18"/>
          <w:lang w:val="en-GB"/>
        </w:rPr>
        <w:t xml:space="preserve">, </w:t>
      </w:r>
      <w:proofErr w:type="spellStart"/>
      <w:r w:rsidRPr="00215DE1">
        <w:rPr>
          <w:szCs w:val="18"/>
          <w:lang w:val="en-GB"/>
        </w:rPr>
        <w:t>thermomechanics</w:t>
      </w:r>
      <w:proofErr w:type="spellEnd"/>
      <w:r w:rsidRPr="00215DE1">
        <w:rPr>
          <w:szCs w:val="18"/>
          <w:lang w:val="en-GB"/>
        </w:rPr>
        <w:t>, and thermochemistry) of advanced nuclear reactors for engineering design, safety studies, licensing, and operational support. The experiments being designed and carried out will support technology maturation, and reduce uncertainty and risk associated with the design, operation, and deployment of next generation energy systems, such as small modular reactors and microreactors.</w:t>
      </w:r>
    </w:p>
    <w:p w14:paraId="094F6C5E" w14:textId="77777777" w:rsidR="00955C84" w:rsidRDefault="00955C84" w:rsidP="00537496">
      <w:pPr>
        <w:pStyle w:val="Abstracttext"/>
        <w:rPr>
          <w:szCs w:val="18"/>
          <w:lang w:val="en-GB"/>
        </w:rPr>
      </w:pPr>
    </w:p>
    <w:p w14:paraId="75320CC2" w14:textId="4D9364BC" w:rsidR="00955C84" w:rsidRPr="00FB3C56" w:rsidRDefault="00FB3C56" w:rsidP="00537496">
      <w:pPr>
        <w:pStyle w:val="Abstracttext"/>
        <w:rPr>
          <w:szCs w:val="18"/>
          <w:lang w:val="en-GB"/>
        </w:rPr>
      </w:pPr>
      <w:r w:rsidRPr="00FB3C56">
        <w:rPr>
          <w:i/>
          <w:szCs w:val="18"/>
        </w:rPr>
        <w:t>Keywords</w:t>
      </w:r>
      <w:r w:rsidRPr="00FB3C56">
        <w:rPr>
          <w:szCs w:val="18"/>
        </w:rPr>
        <w:t xml:space="preserve">: Thermal-Hydraulics, Experiments, Test Beds, MOOSE, Multiscale </w:t>
      </w:r>
      <w:r w:rsidR="00C10024">
        <w:rPr>
          <w:szCs w:val="18"/>
        </w:rPr>
        <w:t>Modelling</w:t>
      </w:r>
      <w:r w:rsidRPr="00FB3C56">
        <w:rPr>
          <w:szCs w:val="18"/>
        </w:rPr>
        <w:t>, and Validation</w:t>
      </w:r>
    </w:p>
    <w:p w14:paraId="03C6D75B" w14:textId="77777777" w:rsidR="00647F33" w:rsidRDefault="00F523CA" w:rsidP="00537496">
      <w:pPr>
        <w:pStyle w:val="Heading2"/>
        <w:numPr>
          <w:ilvl w:val="1"/>
          <w:numId w:val="10"/>
        </w:numPr>
      </w:pPr>
      <w:r>
        <w:t>INTRODUCTION</w:t>
      </w:r>
    </w:p>
    <w:p w14:paraId="7E405F19" w14:textId="5E6B2294" w:rsidR="00647F33" w:rsidRDefault="006A48E8" w:rsidP="00537496">
      <w:pPr>
        <w:pStyle w:val="BodyText"/>
      </w:pPr>
      <w:r>
        <w:t>In early 2000, the United States (</w:t>
      </w:r>
      <w:r w:rsidRPr="002007DE">
        <w:t>U</w:t>
      </w:r>
      <w:r>
        <w:t>.</w:t>
      </w:r>
      <w:r w:rsidRPr="002007DE">
        <w:t>S</w:t>
      </w:r>
      <w:r>
        <w:t>.)</w:t>
      </w:r>
      <w:r w:rsidRPr="002007DE">
        <w:t xml:space="preserve"> Department of Energy (DOE) initiated the International Forum on Generation IV Reactors</w:t>
      </w:r>
      <w:r>
        <w:t>,</w:t>
      </w:r>
      <w:r w:rsidRPr="002007DE">
        <w:t xml:space="preserve"> which focused on six system designs using gas, water, molten salt</w:t>
      </w:r>
      <w:r>
        <w:t>,</w:t>
      </w:r>
      <w:r w:rsidRPr="002007DE">
        <w:t xml:space="preserve"> and liquid metal as respective coolants</w:t>
      </w:r>
      <w:r>
        <w:t>.</w:t>
      </w:r>
      <w:r w:rsidRPr="002007DE">
        <w:t xml:space="preserve"> </w:t>
      </w:r>
      <w:r>
        <w:t>T</w:t>
      </w:r>
      <w:r w:rsidRPr="002007DE">
        <w:t xml:space="preserve">he key attributes that </w:t>
      </w:r>
      <w:r>
        <w:t>G</w:t>
      </w:r>
      <w:r w:rsidRPr="002007DE">
        <w:t xml:space="preserve">eneration IV reactors were targeting was to provide more robust safety and reliability, higher proliferation resistance, </w:t>
      </w:r>
      <w:r w:rsidR="00A57BC0">
        <w:t xml:space="preserve">and </w:t>
      </w:r>
      <w:r w:rsidRPr="002007DE">
        <w:t>economic competitiveness</w:t>
      </w:r>
      <w:r>
        <w:t>,</w:t>
      </w:r>
      <w:r w:rsidRPr="002007DE">
        <w:t xml:space="preserve"> a</w:t>
      </w:r>
      <w:r w:rsidR="00A57BC0">
        <w:t>s well as</w:t>
      </w:r>
      <w:r w:rsidRPr="002007DE">
        <w:t xml:space="preserve"> establishing strong sustainable energy development. T</w:t>
      </w:r>
      <w:r>
        <w:t>oday, t</w:t>
      </w:r>
      <w:r w:rsidRPr="002007DE">
        <w:t xml:space="preserve">hese systems are being looked at </w:t>
      </w:r>
      <w:r>
        <w:t xml:space="preserve">further on a </w:t>
      </w:r>
      <w:r w:rsidRPr="002007DE">
        <w:t>small modular reactor (300</w:t>
      </w:r>
      <w:r w:rsidR="00F3593F">
        <w:t> </w:t>
      </w:r>
      <w:r w:rsidRPr="002007DE">
        <w:t>MWe or less) and microreactor (50</w:t>
      </w:r>
      <w:r w:rsidR="00F3593F">
        <w:t> </w:t>
      </w:r>
      <w:r w:rsidRPr="002007DE">
        <w:t xml:space="preserve">MWe or less) scale with test bed development and enhancement in </w:t>
      </w:r>
      <w:r w:rsidR="00C10024">
        <w:t>Modelling</w:t>
      </w:r>
      <w:r w:rsidRPr="002007DE">
        <w:t xml:space="preserve"> capabilities </w:t>
      </w:r>
      <w:r>
        <w:t xml:space="preserve">where </w:t>
      </w:r>
      <w:r w:rsidRPr="002007DE">
        <w:t>verif</w:t>
      </w:r>
      <w:r w:rsidR="00DD459D">
        <w:t>ication</w:t>
      </w:r>
      <w:r w:rsidRPr="002007DE">
        <w:t xml:space="preserve"> and validat</w:t>
      </w:r>
      <w:r w:rsidR="00DD459D">
        <w:t>ion</w:t>
      </w:r>
      <w:r w:rsidRPr="002007DE">
        <w:t xml:space="preserve"> development needs </w:t>
      </w:r>
      <w:r w:rsidR="009C1CA9">
        <w:t xml:space="preserve">can be ascertained </w:t>
      </w:r>
      <w:r w:rsidR="0092106D">
        <w:t xml:space="preserve">all </w:t>
      </w:r>
      <w:r w:rsidRPr="002007DE">
        <w:t>while reducing uncertainties.</w:t>
      </w:r>
    </w:p>
    <w:p w14:paraId="068D4642" w14:textId="30F23516" w:rsidR="00EE0041" w:rsidRDefault="007E1BDB" w:rsidP="00537496">
      <w:pPr>
        <w:pStyle w:val="BodyText"/>
      </w:pPr>
      <w:r w:rsidRPr="002007DE">
        <w:t xml:space="preserve">This study provides a summary of selected experimental capabilities being developed to support </w:t>
      </w:r>
      <w:r w:rsidR="00231267">
        <w:t xml:space="preserve">the </w:t>
      </w:r>
      <w:r w:rsidRPr="002007DE">
        <w:t xml:space="preserve">experimental testing and demonstration of technology in support of advanced energy systems. </w:t>
      </w:r>
      <w:r>
        <w:t>To ensure successful o</w:t>
      </w:r>
      <w:r w:rsidRPr="002007DE">
        <w:t xml:space="preserve">ngoing </w:t>
      </w:r>
      <w:r w:rsidR="00646980" w:rsidRPr="002007DE">
        <w:t xml:space="preserve">accelerated deployment </w:t>
      </w:r>
      <w:r w:rsidRPr="002007DE">
        <w:t>efforts</w:t>
      </w:r>
      <w:r>
        <w:t>,</w:t>
      </w:r>
      <w:r w:rsidRPr="002007DE">
        <w:t xml:space="preserve"> DOE works closely with vendors</w:t>
      </w:r>
      <w:r>
        <w:t xml:space="preserve"> and</w:t>
      </w:r>
      <w:r w:rsidRPr="002007DE">
        <w:t xml:space="preserve"> the </w:t>
      </w:r>
      <w:r>
        <w:t xml:space="preserve">U.S. </w:t>
      </w:r>
      <w:r w:rsidRPr="002007DE">
        <w:t>Nuclear Regulatory Commission (NRC) to develop capabilities to demonstrate concept feasibility through experi</w:t>
      </w:r>
      <w:r>
        <w:t>m</w:t>
      </w:r>
      <w:r w:rsidRPr="002007DE">
        <w:t>ental testing and is supporting programs for the development and validation of high</w:t>
      </w:r>
      <w:r>
        <w:t>-</w:t>
      </w:r>
      <w:r w:rsidRPr="002007DE">
        <w:t xml:space="preserve">fidelity </w:t>
      </w:r>
      <w:r w:rsidR="00C10024">
        <w:t>Modelling</w:t>
      </w:r>
      <w:r w:rsidRPr="002007DE">
        <w:t xml:space="preserve"> tools.</w:t>
      </w:r>
    </w:p>
    <w:p w14:paraId="72F39A5F" w14:textId="67288181" w:rsidR="007E1BDB" w:rsidRDefault="00AD7E3F" w:rsidP="00537496">
      <w:pPr>
        <w:pStyle w:val="BodyText"/>
      </w:pPr>
      <w:r w:rsidRPr="00FF37F9">
        <w:t>Major experimental capabilities include the Single Primary Heat Extraction and Removal Emulator (SPHERE) and the Microreactor Agile Non-</w:t>
      </w:r>
      <w:proofErr w:type="gramStart"/>
      <w:r w:rsidR="00E55051">
        <w:t>n</w:t>
      </w:r>
      <w:r w:rsidRPr="00FF37F9">
        <w:t>uclear</w:t>
      </w:r>
      <w:proofErr w:type="gramEnd"/>
      <w:r w:rsidRPr="00FF37F9">
        <w:t xml:space="preserve"> Experimental Test Bed (MAGNET). The SPHERE facility allows for controlled testing of steady-state and transient heat-rejection capabilities </w:t>
      </w:r>
      <w:r>
        <w:t>for</w:t>
      </w:r>
      <w:r w:rsidRPr="00FF37F9">
        <w:t xml:space="preserve"> a single heat pipe using </w:t>
      </w:r>
      <w:r w:rsidRPr="00FF37F9">
        <w:lastRenderedPageBreak/>
        <w:t xml:space="preserve">electrical heaters that simulate heating </w:t>
      </w:r>
      <w:r>
        <w:t xml:space="preserve">processes </w:t>
      </w:r>
      <w:r w:rsidRPr="00FF37F9">
        <w:t>due to nuclear fission. The facility is capable of monitoring axial temperature profiles along the heat pipe and surrounding test articles during startup, steady-state operation, and transient</w:t>
      </w:r>
      <w:r>
        <w:t xml:space="preserve"> condition</w:t>
      </w:r>
      <w:r w:rsidRPr="00FF37F9">
        <w:t>s</w:t>
      </w:r>
      <w:r w:rsidR="00AC23D4">
        <w:rPr>
          <w:bCs/>
          <w:iCs/>
          <w:sz w:val="18"/>
        </w:rPr>
        <w:t xml:space="preserve"> [1]</w:t>
      </w:r>
      <w:r w:rsidRPr="00FF37F9">
        <w:t xml:space="preserve">. Instrumentation </w:t>
      </w:r>
      <w:r w:rsidR="00BB0C47">
        <w:t xml:space="preserve">in the facility </w:t>
      </w:r>
      <w:r w:rsidRPr="00FF37F9">
        <w:t>includes non-contact infrared thermal imaging, surface thermocouples, spatially distributed fiber-optic temperature and strain sensors, electrical power meters, and a water-cooled, gas-gap calorimeter for quantifying heat rejection from the heat pipe. The facility can be operated under both vacuum and inert-gas conditions</w:t>
      </w:r>
      <w:r w:rsidR="00DB0604">
        <w:t>.</w:t>
      </w:r>
      <w:r w:rsidRPr="00FF37F9">
        <w:t xml:space="preserve"> </w:t>
      </w:r>
      <w:r w:rsidR="00DB0604">
        <w:t xml:space="preserve">In addition, </w:t>
      </w:r>
      <w:r w:rsidR="00A3768D">
        <w:t xml:space="preserve">an </w:t>
      </w:r>
      <w:r w:rsidRPr="00FF37F9">
        <w:t xml:space="preserve">in-operando heat pipe operation capability with x-ray imaging </w:t>
      </w:r>
      <w:r w:rsidR="00A3768D">
        <w:t xml:space="preserve">was recently added </w:t>
      </w:r>
      <w:r w:rsidRPr="00FF37F9">
        <w:t xml:space="preserve">to further understand </w:t>
      </w:r>
      <w:r w:rsidR="00B5560F">
        <w:t xml:space="preserve">heat pipe </w:t>
      </w:r>
      <w:r w:rsidRPr="00FF37F9">
        <w:t>dynamics. Fig</w:t>
      </w:r>
      <w:r w:rsidR="00572369">
        <w:t xml:space="preserve">. </w:t>
      </w:r>
      <w:r w:rsidRPr="00FF37F9">
        <w:t xml:space="preserve">1 shows a schematic of </w:t>
      </w:r>
      <w:r w:rsidR="00B5560F">
        <w:t xml:space="preserve">the </w:t>
      </w:r>
      <w:r w:rsidRPr="00FF37F9">
        <w:t>SPHERE test facility</w:t>
      </w:r>
      <w:r w:rsidR="00B5560F">
        <w:t>, while</w:t>
      </w:r>
      <w:r w:rsidRPr="00FF37F9">
        <w:t xml:space="preserve"> Table 1 provides general information about the facility and operating conditions and constraints, respectively.</w:t>
      </w:r>
    </w:p>
    <w:p w14:paraId="491BC4AC" w14:textId="553BF5C8" w:rsidR="004737ED" w:rsidRDefault="00D05F54" w:rsidP="00DA356E">
      <w:pPr>
        <w:pStyle w:val="FigureGraphic"/>
      </w:pPr>
      <w:r w:rsidRPr="00417B32">
        <w:rPr>
          <w:noProof/>
        </w:rPr>
        <w:drawing>
          <wp:inline distT="0" distB="0" distL="0" distR="0" wp14:anchorId="7850D524" wp14:editId="500DBDF6">
            <wp:extent cx="4182386" cy="1169979"/>
            <wp:effectExtent l="0" t="0" r="0" b="0"/>
            <wp:docPr id="89" name="Picture 88" descr="A screenshot of a computer&#10;&#10;Description automatically generated with low confidence">
              <a:extLst xmlns:a="http://schemas.openxmlformats.org/drawingml/2006/main">
                <a:ext uri="{FF2B5EF4-FFF2-40B4-BE49-F238E27FC236}">
                  <a16:creationId xmlns:a16="http://schemas.microsoft.com/office/drawing/2014/main" id="{FBCF8E36-E911-F45B-1634-BEDD68B28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descr="A screenshot of a computer&#10;&#10;Description automatically generated with low confidence">
                      <a:extLst>
                        <a:ext uri="{FF2B5EF4-FFF2-40B4-BE49-F238E27FC236}">
                          <a16:creationId xmlns:a16="http://schemas.microsoft.com/office/drawing/2014/main" id="{FBCF8E36-E911-F45B-1634-BEDD68B28459}"/>
                        </a:ext>
                      </a:extLst>
                    </pic:cNvPr>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4238567" cy="1185695"/>
                    </a:xfrm>
                    <a:prstGeom prst="rect">
                      <a:avLst/>
                    </a:prstGeom>
                  </pic:spPr>
                </pic:pic>
              </a:graphicData>
            </a:graphic>
          </wp:inline>
        </w:drawing>
      </w:r>
    </w:p>
    <w:p w14:paraId="55906F44" w14:textId="417600E3" w:rsidR="004737ED" w:rsidRPr="008C5373" w:rsidRDefault="00A7406E" w:rsidP="00BB4D70">
      <w:pPr>
        <w:pStyle w:val="Figurecaption"/>
      </w:pPr>
      <w:r w:rsidRPr="008C5373">
        <w:t>FIG. </w:t>
      </w:r>
      <w:r w:rsidRPr="008C5373">
        <w:fldChar w:fldCharType="begin"/>
      </w:r>
      <w:r w:rsidRPr="008C5373">
        <w:instrText xml:space="preserve"> SEQ Figure \* ARABIC </w:instrText>
      </w:r>
      <w:r w:rsidRPr="008C5373">
        <w:fldChar w:fldCharType="separate"/>
      </w:r>
      <w:r w:rsidRPr="008C5373">
        <w:t>1</w:t>
      </w:r>
      <w:r w:rsidRPr="008C5373">
        <w:fldChar w:fldCharType="end"/>
      </w:r>
      <w:r w:rsidRPr="008C5373">
        <w:t xml:space="preserve">. </w:t>
      </w:r>
      <w:r w:rsidR="008C5373" w:rsidRPr="008C5373">
        <w:rPr>
          <w:bCs/>
        </w:rPr>
        <w:t xml:space="preserve">SPHERE </w:t>
      </w:r>
      <w:r w:rsidR="008C5373">
        <w:rPr>
          <w:bCs/>
        </w:rPr>
        <w:t>t</w:t>
      </w:r>
      <w:r w:rsidR="008C5373" w:rsidRPr="008C5373">
        <w:rPr>
          <w:bCs/>
        </w:rPr>
        <w:t xml:space="preserve">est </w:t>
      </w:r>
      <w:r w:rsidR="008C5373">
        <w:rPr>
          <w:bCs/>
        </w:rPr>
        <w:t>b</w:t>
      </w:r>
      <w:r w:rsidR="008C5373" w:rsidRPr="008C5373">
        <w:rPr>
          <w:bCs/>
        </w:rPr>
        <w:t>ed</w:t>
      </w:r>
      <w:r w:rsidR="008C5373">
        <w:rPr>
          <w:bCs/>
        </w:rPr>
        <w:t xml:space="preserve"> schematic</w:t>
      </w:r>
      <w:r w:rsidR="008C5373" w:rsidRPr="008C5373">
        <w:rPr>
          <w:bCs/>
        </w:rPr>
        <w:t>.</w:t>
      </w:r>
    </w:p>
    <w:p w14:paraId="4E56102D" w14:textId="77777777" w:rsidR="00572369" w:rsidRPr="005A1A59" w:rsidRDefault="00572369" w:rsidP="00572369">
      <w:pPr>
        <w:pStyle w:val="BodyText"/>
      </w:pPr>
    </w:p>
    <w:p w14:paraId="56B779CB" w14:textId="275932E4" w:rsidR="00572369" w:rsidRPr="005A1A59" w:rsidRDefault="00572369" w:rsidP="0086604B">
      <w:pPr>
        <w:pStyle w:val="BodyText"/>
        <w:tabs>
          <w:tab w:val="left" w:pos="1080"/>
        </w:tabs>
        <w:ind w:firstLine="0"/>
      </w:pPr>
      <w:r w:rsidRPr="005A1A59">
        <w:t>TABLE</w:t>
      </w:r>
      <w:r w:rsidR="008D5622" w:rsidRPr="005A1A59">
        <w:t> </w:t>
      </w:r>
      <w:r w:rsidR="008D5622" w:rsidRPr="005A1A59">
        <w:fldChar w:fldCharType="begin"/>
      </w:r>
      <w:r w:rsidR="008D5622" w:rsidRPr="005A1A59">
        <w:instrText xml:space="preserve"> SEQ </w:instrText>
      </w:r>
      <w:r w:rsidR="00885CBE">
        <w:instrText>Table</w:instrText>
      </w:r>
      <w:r w:rsidR="008D5622" w:rsidRPr="005A1A59">
        <w:instrText xml:space="preserve"> \* ARABIC </w:instrText>
      </w:r>
      <w:r w:rsidR="008D5622" w:rsidRPr="005A1A59">
        <w:fldChar w:fldCharType="separate"/>
      </w:r>
      <w:r w:rsidR="008D5622" w:rsidRPr="005A1A59">
        <w:t>1</w:t>
      </w:r>
      <w:r w:rsidR="008D5622" w:rsidRPr="005A1A59">
        <w:fldChar w:fldCharType="end"/>
      </w:r>
      <w:r w:rsidRPr="005A1A59">
        <w:t>.</w:t>
      </w:r>
      <w:r w:rsidR="0086604B" w:rsidRPr="002C288E">
        <w:rPr>
          <w:sz w:val="18"/>
          <w:szCs w:val="18"/>
        </w:rPr>
        <w:tab/>
      </w:r>
      <w:r w:rsidR="005A1A59" w:rsidRPr="005A1A59">
        <w:t xml:space="preserve">SPHERE </w:t>
      </w:r>
      <w:r w:rsidR="00221BCA">
        <w:t>t</w:t>
      </w:r>
      <w:r w:rsidR="005A1A59" w:rsidRPr="005A1A59">
        <w:t xml:space="preserve">est </w:t>
      </w:r>
      <w:r w:rsidR="00221BCA">
        <w:t>b</w:t>
      </w:r>
      <w:r w:rsidR="005A1A59" w:rsidRPr="005A1A59">
        <w:t xml:space="preserve">ed </w:t>
      </w:r>
      <w:r w:rsidR="00221BCA">
        <w:t>d</w:t>
      </w:r>
      <w:r w:rsidR="005A1A59" w:rsidRPr="005A1A59">
        <w:t xml:space="preserve">esign </w:t>
      </w:r>
      <w:r w:rsidR="00221BCA">
        <w:t>s</w:t>
      </w:r>
      <w:r w:rsidR="005A1A59" w:rsidRPr="005A1A59">
        <w:t>pecification</w:t>
      </w:r>
      <w:r w:rsidR="008D5622">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590"/>
      </w:tblGrid>
      <w:tr w:rsidR="00534D50" w:rsidRPr="005A1A59" w14:paraId="4C2A149B" w14:textId="77777777" w:rsidTr="00856647">
        <w:trPr>
          <w:jc w:val="center"/>
        </w:trPr>
        <w:tc>
          <w:tcPr>
            <w:tcW w:w="2160" w:type="dxa"/>
            <w:tcBorders>
              <w:top w:val="single" w:sz="4" w:space="0" w:color="auto"/>
              <w:bottom w:val="single" w:sz="4" w:space="0" w:color="auto"/>
            </w:tcBorders>
          </w:tcPr>
          <w:p w14:paraId="3A33FEDE" w14:textId="365EBB75" w:rsidR="00534D50" w:rsidRPr="005A1A59" w:rsidRDefault="00534D50" w:rsidP="003B17D7">
            <w:pPr>
              <w:pStyle w:val="BodyText"/>
              <w:ind w:firstLine="0"/>
            </w:pPr>
            <w:r>
              <w:t>Parameter</w:t>
            </w:r>
          </w:p>
        </w:tc>
        <w:tc>
          <w:tcPr>
            <w:tcW w:w="4590" w:type="dxa"/>
            <w:tcBorders>
              <w:top w:val="single" w:sz="4" w:space="0" w:color="auto"/>
              <w:bottom w:val="single" w:sz="4" w:space="0" w:color="auto"/>
            </w:tcBorders>
          </w:tcPr>
          <w:p w14:paraId="77C5642F" w14:textId="7563B01B" w:rsidR="00534D50" w:rsidRPr="005A1A59" w:rsidRDefault="00534D50" w:rsidP="003B17D7">
            <w:pPr>
              <w:pStyle w:val="BodyText"/>
              <w:ind w:firstLine="0"/>
              <w:jc w:val="center"/>
            </w:pPr>
            <w:r>
              <w:t>Value</w:t>
            </w:r>
          </w:p>
        </w:tc>
      </w:tr>
      <w:tr w:rsidR="0085182D" w:rsidRPr="005A1A59" w14:paraId="319F1693" w14:textId="77777777" w:rsidTr="00856647">
        <w:trPr>
          <w:jc w:val="center"/>
        </w:trPr>
        <w:tc>
          <w:tcPr>
            <w:tcW w:w="2160" w:type="dxa"/>
            <w:tcBorders>
              <w:top w:val="single" w:sz="4" w:space="0" w:color="auto"/>
            </w:tcBorders>
          </w:tcPr>
          <w:p w14:paraId="056558FA" w14:textId="3314E4AB" w:rsidR="0085182D" w:rsidRPr="005A1A59" w:rsidRDefault="0085182D" w:rsidP="0085182D">
            <w:pPr>
              <w:pStyle w:val="BodyText"/>
              <w:ind w:firstLine="0"/>
            </w:pPr>
            <w:r>
              <w:t>Length</w:t>
            </w:r>
          </w:p>
        </w:tc>
        <w:tc>
          <w:tcPr>
            <w:tcW w:w="4590" w:type="dxa"/>
            <w:tcBorders>
              <w:top w:val="single" w:sz="4" w:space="0" w:color="auto"/>
            </w:tcBorders>
          </w:tcPr>
          <w:p w14:paraId="1C131A0E" w14:textId="060E205D" w:rsidR="0085182D" w:rsidRPr="0085182D" w:rsidRDefault="0085182D" w:rsidP="0085182D">
            <w:pPr>
              <w:pStyle w:val="BodyText"/>
              <w:ind w:firstLine="0"/>
              <w:jc w:val="center"/>
            </w:pPr>
            <w:r w:rsidRPr="0085182D">
              <w:t>10 ft</w:t>
            </w:r>
          </w:p>
        </w:tc>
      </w:tr>
      <w:tr w:rsidR="0085182D" w:rsidRPr="005A1A59" w14:paraId="742090AD" w14:textId="77777777" w:rsidTr="00856647">
        <w:trPr>
          <w:jc w:val="center"/>
        </w:trPr>
        <w:tc>
          <w:tcPr>
            <w:tcW w:w="2160" w:type="dxa"/>
          </w:tcPr>
          <w:p w14:paraId="3F31D0C8" w14:textId="4271ACC9" w:rsidR="0085182D" w:rsidRPr="005A1A59" w:rsidRDefault="0085182D" w:rsidP="0085182D">
            <w:pPr>
              <w:pStyle w:val="BodyText"/>
              <w:ind w:firstLine="0"/>
            </w:pPr>
            <w:r>
              <w:t>Diameter</w:t>
            </w:r>
          </w:p>
        </w:tc>
        <w:tc>
          <w:tcPr>
            <w:tcW w:w="4590" w:type="dxa"/>
          </w:tcPr>
          <w:p w14:paraId="75235827" w14:textId="66FC359F" w:rsidR="0085182D" w:rsidRPr="0085182D" w:rsidRDefault="0085182D" w:rsidP="0085182D">
            <w:pPr>
              <w:pStyle w:val="BodyText"/>
              <w:ind w:firstLine="0"/>
              <w:jc w:val="center"/>
            </w:pPr>
            <w:r w:rsidRPr="0085182D">
              <w:t>12 in</w:t>
            </w:r>
          </w:p>
        </w:tc>
      </w:tr>
      <w:tr w:rsidR="0085182D" w:rsidRPr="005A1A59" w14:paraId="254FCE6F" w14:textId="77777777" w:rsidTr="00856647">
        <w:trPr>
          <w:jc w:val="center"/>
        </w:trPr>
        <w:tc>
          <w:tcPr>
            <w:tcW w:w="2160" w:type="dxa"/>
          </w:tcPr>
          <w:p w14:paraId="4CB7AE5F" w14:textId="306F41BE" w:rsidR="0085182D" w:rsidRPr="005A1A59" w:rsidRDefault="0085182D" w:rsidP="0085182D">
            <w:pPr>
              <w:pStyle w:val="BodyText"/>
              <w:ind w:firstLine="0"/>
            </w:pPr>
            <w:r>
              <w:t>Tube Material</w:t>
            </w:r>
          </w:p>
        </w:tc>
        <w:tc>
          <w:tcPr>
            <w:tcW w:w="4590" w:type="dxa"/>
          </w:tcPr>
          <w:p w14:paraId="3DA95C89" w14:textId="74A20A8C" w:rsidR="0085182D" w:rsidRPr="0085182D" w:rsidRDefault="0085182D" w:rsidP="0085182D">
            <w:pPr>
              <w:pStyle w:val="BodyText"/>
              <w:ind w:firstLine="0"/>
              <w:jc w:val="center"/>
            </w:pPr>
            <w:r w:rsidRPr="0085182D">
              <w:t>Stainless steel</w:t>
            </w:r>
          </w:p>
        </w:tc>
      </w:tr>
      <w:tr w:rsidR="0085182D" w:rsidRPr="005A1A59" w14:paraId="553991E1" w14:textId="77777777" w:rsidTr="00856647">
        <w:trPr>
          <w:jc w:val="center"/>
        </w:trPr>
        <w:tc>
          <w:tcPr>
            <w:tcW w:w="2160" w:type="dxa"/>
          </w:tcPr>
          <w:p w14:paraId="01AF49ED" w14:textId="794633C3" w:rsidR="0085182D" w:rsidRPr="005A1A59" w:rsidRDefault="0085182D" w:rsidP="0085182D">
            <w:pPr>
              <w:pStyle w:val="BodyText"/>
              <w:ind w:firstLine="0"/>
            </w:pPr>
            <w:r w:rsidRPr="00EE170F">
              <w:t>Connections</w:t>
            </w:r>
          </w:p>
        </w:tc>
        <w:tc>
          <w:tcPr>
            <w:tcW w:w="4590" w:type="dxa"/>
          </w:tcPr>
          <w:p w14:paraId="3CB3B528" w14:textId="077B8B62" w:rsidR="0085182D" w:rsidRPr="0085182D" w:rsidRDefault="0085182D" w:rsidP="0085182D">
            <w:pPr>
              <w:pStyle w:val="BodyText"/>
              <w:ind w:firstLine="0"/>
              <w:jc w:val="center"/>
            </w:pPr>
            <w:r w:rsidRPr="0085182D">
              <w:t>Flanged for gas flow and instrumentation feedthrough</w:t>
            </w:r>
          </w:p>
        </w:tc>
      </w:tr>
      <w:tr w:rsidR="0085182D" w:rsidRPr="005A1A59" w14:paraId="18D5B977" w14:textId="77777777" w:rsidTr="00856647">
        <w:trPr>
          <w:jc w:val="center"/>
        </w:trPr>
        <w:tc>
          <w:tcPr>
            <w:tcW w:w="2160" w:type="dxa"/>
          </w:tcPr>
          <w:p w14:paraId="520E1A9D" w14:textId="76A9C0B1" w:rsidR="0085182D" w:rsidRPr="005A1A59" w:rsidRDefault="0085182D" w:rsidP="0085182D">
            <w:pPr>
              <w:pStyle w:val="BodyText"/>
              <w:ind w:firstLine="0"/>
            </w:pPr>
            <w:r w:rsidRPr="00EE170F">
              <w:t xml:space="preserve">Maximum </w:t>
            </w:r>
            <w:r>
              <w:t>P</w:t>
            </w:r>
            <w:r w:rsidRPr="00EE170F">
              <w:t>ower</w:t>
            </w:r>
          </w:p>
        </w:tc>
        <w:tc>
          <w:tcPr>
            <w:tcW w:w="4590" w:type="dxa"/>
          </w:tcPr>
          <w:p w14:paraId="021FCBAF" w14:textId="299EDF15" w:rsidR="0085182D" w:rsidRPr="0085182D" w:rsidRDefault="0085182D" w:rsidP="0085182D">
            <w:pPr>
              <w:pStyle w:val="BodyText"/>
              <w:ind w:firstLine="0"/>
              <w:jc w:val="center"/>
            </w:pPr>
            <w:r w:rsidRPr="0085182D">
              <w:t>20 kW</w:t>
            </w:r>
          </w:p>
        </w:tc>
      </w:tr>
      <w:tr w:rsidR="0085182D" w:rsidRPr="005A1A59" w14:paraId="7D494C71" w14:textId="77777777" w:rsidTr="00856647">
        <w:trPr>
          <w:jc w:val="center"/>
        </w:trPr>
        <w:tc>
          <w:tcPr>
            <w:tcW w:w="2160" w:type="dxa"/>
          </w:tcPr>
          <w:p w14:paraId="5A38C93F" w14:textId="08FB0D77" w:rsidR="0085182D" w:rsidRPr="005A1A59" w:rsidRDefault="0085182D" w:rsidP="0085182D">
            <w:pPr>
              <w:pStyle w:val="BodyText"/>
              <w:ind w:firstLine="0"/>
            </w:pPr>
            <w:r w:rsidRPr="00EE170F">
              <w:t>Max</w:t>
            </w:r>
            <w:r w:rsidR="00856647">
              <w:t>imum</w:t>
            </w:r>
            <w:r w:rsidRPr="00EE170F">
              <w:t xml:space="preserve"> </w:t>
            </w:r>
            <w:r>
              <w:t>T</w:t>
            </w:r>
            <w:r w:rsidRPr="00EE170F">
              <w:t>emperature</w:t>
            </w:r>
          </w:p>
        </w:tc>
        <w:tc>
          <w:tcPr>
            <w:tcW w:w="4590" w:type="dxa"/>
          </w:tcPr>
          <w:p w14:paraId="4F8D5D83" w14:textId="4EE0F01C" w:rsidR="0085182D" w:rsidRPr="0085182D" w:rsidRDefault="0085182D" w:rsidP="0085182D">
            <w:pPr>
              <w:pStyle w:val="BodyText"/>
              <w:ind w:firstLine="0"/>
              <w:jc w:val="center"/>
            </w:pPr>
            <w:r w:rsidRPr="0085182D">
              <w:t>900 C</w:t>
            </w:r>
          </w:p>
        </w:tc>
      </w:tr>
      <w:tr w:rsidR="0085182D" w:rsidRPr="005A1A59" w14:paraId="75A3E750" w14:textId="77777777" w:rsidTr="00856647">
        <w:trPr>
          <w:jc w:val="center"/>
        </w:trPr>
        <w:tc>
          <w:tcPr>
            <w:tcW w:w="2160" w:type="dxa"/>
          </w:tcPr>
          <w:p w14:paraId="000693CD" w14:textId="3EB7B3EC" w:rsidR="0085182D" w:rsidRPr="005A1A59" w:rsidRDefault="0085182D" w:rsidP="0085182D">
            <w:pPr>
              <w:pStyle w:val="BodyText"/>
              <w:ind w:firstLine="0"/>
            </w:pPr>
            <w:r w:rsidRPr="00EE170F">
              <w:t xml:space="preserve">Heat </w:t>
            </w:r>
            <w:r>
              <w:t>R</w:t>
            </w:r>
            <w:r w:rsidRPr="00EE170F">
              <w:t>emoval</w:t>
            </w:r>
          </w:p>
        </w:tc>
        <w:tc>
          <w:tcPr>
            <w:tcW w:w="4590" w:type="dxa"/>
          </w:tcPr>
          <w:p w14:paraId="1760BF9F" w14:textId="2402296D" w:rsidR="0085182D" w:rsidRPr="0085182D" w:rsidRDefault="0085182D" w:rsidP="0085182D">
            <w:pPr>
              <w:pStyle w:val="BodyText"/>
              <w:ind w:firstLine="0"/>
              <w:jc w:val="center"/>
            </w:pPr>
            <w:r w:rsidRPr="0085182D">
              <w:t>Passive radiation or water-cooled gas-gap calorimeter</w:t>
            </w:r>
          </w:p>
        </w:tc>
      </w:tr>
    </w:tbl>
    <w:p w14:paraId="0C2573DB" w14:textId="77777777" w:rsidR="00EE170F" w:rsidRDefault="00EE170F" w:rsidP="00EE170F">
      <w:pPr>
        <w:pStyle w:val="BodyText"/>
      </w:pPr>
    </w:p>
    <w:p w14:paraId="0133BC8C" w14:textId="154DA036" w:rsidR="007A4F4B" w:rsidRPr="005A1A59" w:rsidRDefault="008D5622" w:rsidP="00EE170F">
      <w:pPr>
        <w:pStyle w:val="BodyText"/>
      </w:pPr>
      <w:r w:rsidRPr="00FF37F9">
        <w:t>The MAGNET facility is a large-scale 250-kW electrically</w:t>
      </w:r>
      <w:r>
        <w:t xml:space="preserve"> </w:t>
      </w:r>
      <w:r w:rsidRPr="00FF37F9">
        <w:t xml:space="preserve">heated microreactor test bed </w:t>
      </w:r>
      <w:r w:rsidR="00197358">
        <w:t xml:space="preserve">that </w:t>
      </w:r>
      <w:r w:rsidRPr="00FF37F9">
        <w:t>enable</w:t>
      </w:r>
      <w:r w:rsidR="00197358">
        <w:t>s</w:t>
      </w:r>
      <w:r w:rsidRPr="00FF37F9">
        <w:t xml:space="preserve"> non-nuclear experimental evaluation </w:t>
      </w:r>
      <w:r w:rsidR="00407FEF">
        <w:t xml:space="preserve">for </w:t>
      </w:r>
      <w:r w:rsidRPr="00FF37F9">
        <w:t xml:space="preserve">a variety of microreactor concepts. It can be supplied to electrically heat a scaled section of a microreactor and further test the capabilities of heat-rejection systems. The initial MAGNET experiments will support technology maturation, and reduce uncertainty and risk associated with the design, operation, and deployment of monolithic heat-pipe-based reactors. However, this test bed can be applied </w:t>
      </w:r>
      <w:r w:rsidR="008A1973">
        <w:t xml:space="preserve">broadly </w:t>
      </w:r>
      <w:r w:rsidRPr="00FF37F9">
        <w:t>to multiple microreactor concepts to evaluate a wide range of</w:t>
      </w:r>
      <w:r w:rsidR="008A1973">
        <w:t xml:space="preserve"> </w:t>
      </w:r>
      <w:r w:rsidRPr="00FF37F9">
        <w:t>thermal-hydraulic and structural phenomena</w:t>
      </w:r>
      <w:r w:rsidR="008A1973">
        <w:t>,</w:t>
      </w:r>
      <w:r w:rsidRPr="00FF37F9">
        <w:t xml:space="preserve"> such as interface-coupling with power</w:t>
      </w:r>
      <w:r>
        <w:t>-</w:t>
      </w:r>
      <w:r w:rsidRPr="00FF37F9">
        <w:t>conversion units (PCUs) and other co</w:t>
      </w:r>
      <w:r w:rsidR="00693F08">
        <w:t>-</w:t>
      </w:r>
      <w:r w:rsidRPr="00FF37F9">
        <w:t xml:space="preserve">located systems. MAGNET is co-located with </w:t>
      </w:r>
      <w:r w:rsidR="003C57FB">
        <w:t>the Thermal Energy Distribution System (</w:t>
      </w:r>
      <w:r w:rsidRPr="00FF37F9">
        <w:t>TEDS</w:t>
      </w:r>
      <w:r w:rsidR="003C57FB">
        <w:t>)</w:t>
      </w:r>
      <w:r w:rsidR="00693F08">
        <w:t>,</w:t>
      </w:r>
      <w:r w:rsidRPr="00FF37F9">
        <w:t xml:space="preserve"> which is a packed bed 200</w:t>
      </w:r>
      <w:r w:rsidR="003C57FB">
        <w:t>-</w:t>
      </w:r>
      <w:r w:rsidRPr="00FF37F9">
        <w:t>kW energy storage system and 20</w:t>
      </w:r>
      <w:r w:rsidR="003C57FB">
        <w:t>-</w:t>
      </w:r>
      <w:r w:rsidRPr="00FF37F9">
        <w:t xml:space="preserve">kW </w:t>
      </w:r>
      <w:r w:rsidR="00F35549">
        <w:t>high-temperature steam electrolysis (</w:t>
      </w:r>
      <w:r w:rsidRPr="00FF37F9">
        <w:t>HTSE</w:t>
      </w:r>
      <w:r w:rsidR="00F35549">
        <w:t>)</w:t>
      </w:r>
      <w:r w:rsidRPr="00FF37F9">
        <w:t xml:space="preserve"> system </w:t>
      </w:r>
      <w:r w:rsidR="00012B41">
        <w:t>that</w:t>
      </w:r>
      <w:r w:rsidR="00012B41" w:rsidRPr="00FF37F9">
        <w:t xml:space="preserve"> </w:t>
      </w:r>
      <w:r w:rsidRPr="00FF37F9">
        <w:t xml:space="preserve">can be coupled to understand integrated system dynamics. Within MAGNET, systems and components can be safely tested, providing valuable information </w:t>
      </w:r>
      <w:r w:rsidR="00633B6F">
        <w:t xml:space="preserve">regarding </w:t>
      </w:r>
      <w:r w:rsidRPr="00FF37F9">
        <w:t>failure modes, operating regimes, and thresholds</w:t>
      </w:r>
      <w:r w:rsidR="0086604B">
        <w:t xml:space="preserve"> [2]</w:t>
      </w:r>
      <w:r w:rsidRPr="00FF37F9">
        <w:t>. The goal is to provide a test bed that is broadly applicable to multiple concepts. Various types of advance</w:t>
      </w:r>
      <w:r w:rsidR="00633B6F">
        <w:t>d</w:t>
      </w:r>
      <w:r w:rsidRPr="00FF37F9">
        <w:t xml:space="preserve"> energy systems are being proposed, and these can be classified according to their core-cooling method. Each reactor type poses a different set of design and operational challenges. The initial set of tests to be performed in MAGNET are targeted towards demonstrating the feasibility and performance of these reactors systems. Idaho National Laboratory </w:t>
      </w:r>
      <w:r w:rsidR="000A0266">
        <w:t xml:space="preserve">(INL) </w:t>
      </w:r>
      <w:r w:rsidRPr="00FF37F9">
        <w:t xml:space="preserve">is partnering with Los Alamos National Laboratory </w:t>
      </w:r>
      <w:r w:rsidR="000A0266">
        <w:t xml:space="preserve">(LANL) </w:t>
      </w:r>
      <w:r w:rsidRPr="00FF37F9">
        <w:t xml:space="preserve">and Oak Ridge National Laboratory </w:t>
      </w:r>
      <w:r w:rsidR="000A0266">
        <w:t xml:space="preserve">(ORNL) </w:t>
      </w:r>
      <w:r w:rsidRPr="00FF37F9">
        <w:t xml:space="preserve">to meet the required development of </w:t>
      </w:r>
      <w:r w:rsidR="004B433A">
        <w:t xml:space="preserve">the </w:t>
      </w:r>
      <w:r w:rsidRPr="00FF37F9">
        <w:t>testing and instrumentation needs.</w:t>
      </w:r>
      <w:r>
        <w:t xml:space="preserve"> </w:t>
      </w:r>
      <w:r w:rsidRPr="00FF37F9">
        <w:t>A graphic of the MAGNET environmental chamber is shown in Fig</w:t>
      </w:r>
      <w:r w:rsidR="00F10405">
        <w:t>.</w:t>
      </w:r>
      <w:r w:rsidRPr="00FF37F9">
        <w:t xml:space="preserve"> 2. </w:t>
      </w:r>
      <w:r w:rsidR="00C47180" w:rsidRPr="00FF37F9">
        <w:t xml:space="preserve">MAGNET </w:t>
      </w:r>
      <w:r w:rsidR="00C47180">
        <w:t>d</w:t>
      </w:r>
      <w:r w:rsidRPr="00FF37F9">
        <w:t>esign specifications are shown in Table 2</w:t>
      </w:r>
      <w:r>
        <w:t>.</w:t>
      </w:r>
    </w:p>
    <w:p w14:paraId="1FAA4B4C" w14:textId="4E219E73" w:rsidR="00E60479" w:rsidRPr="00DA356E" w:rsidRDefault="00914200" w:rsidP="00DA356E">
      <w:pPr>
        <w:pStyle w:val="FigureGraphic"/>
      </w:pPr>
      <w:r w:rsidRPr="00DA356E">
        <w:rPr>
          <w:noProof/>
        </w:rPr>
        <w:lastRenderedPageBreak/>
        <w:drawing>
          <wp:inline distT="0" distB="0" distL="0" distR="0" wp14:anchorId="7AC88DBF" wp14:editId="603DCE65">
            <wp:extent cx="2623931" cy="1914559"/>
            <wp:effectExtent l="0" t="0" r="5080" b="0"/>
            <wp:docPr id="176114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41861" name=""/>
                    <pic:cNvPicPr/>
                  </pic:nvPicPr>
                  <pic:blipFill>
                    <a:blip r:embed="rId9"/>
                    <a:stretch>
                      <a:fillRect/>
                    </a:stretch>
                  </pic:blipFill>
                  <pic:spPr>
                    <a:xfrm>
                      <a:off x="0" y="0"/>
                      <a:ext cx="2792568" cy="2037606"/>
                    </a:xfrm>
                    <a:prstGeom prst="rect">
                      <a:avLst/>
                    </a:prstGeom>
                  </pic:spPr>
                </pic:pic>
              </a:graphicData>
            </a:graphic>
          </wp:inline>
        </w:drawing>
      </w:r>
    </w:p>
    <w:p w14:paraId="63176B37" w14:textId="745F2085" w:rsidR="00E60479" w:rsidRPr="00666760" w:rsidRDefault="00E60479" w:rsidP="00E60479">
      <w:pPr>
        <w:pStyle w:val="Figurecaption"/>
      </w:pPr>
      <w:r w:rsidRPr="00666760">
        <w:t>FIG. </w:t>
      </w:r>
      <w:r w:rsidRPr="00666760">
        <w:fldChar w:fldCharType="begin"/>
      </w:r>
      <w:r w:rsidRPr="00666760">
        <w:instrText xml:space="preserve"> SEQ Figure \* ARABIC </w:instrText>
      </w:r>
      <w:r w:rsidRPr="00666760">
        <w:fldChar w:fldCharType="separate"/>
      </w:r>
      <w:r w:rsidRPr="00666760">
        <w:rPr>
          <w:noProof/>
        </w:rPr>
        <w:t>2</w:t>
      </w:r>
      <w:r w:rsidRPr="00666760">
        <w:fldChar w:fldCharType="end"/>
      </w:r>
      <w:r w:rsidRPr="00666760">
        <w:t xml:space="preserve">. </w:t>
      </w:r>
      <w:r w:rsidR="00C34555" w:rsidRPr="00666760">
        <w:rPr>
          <w:bCs/>
        </w:rPr>
        <w:t>MAGNET environmental enclosure</w:t>
      </w:r>
      <w:r w:rsidRPr="00666760">
        <w:t>.</w:t>
      </w:r>
    </w:p>
    <w:p w14:paraId="1478F732" w14:textId="77777777" w:rsidR="00E60479" w:rsidRPr="005A1A59" w:rsidRDefault="00E60479" w:rsidP="00E60479">
      <w:pPr>
        <w:pStyle w:val="BodyText"/>
      </w:pPr>
    </w:p>
    <w:p w14:paraId="7FB00750" w14:textId="7FB5CACF" w:rsidR="00E60479" w:rsidRPr="005A1A59" w:rsidRDefault="00E60479" w:rsidP="00E60479">
      <w:pPr>
        <w:pStyle w:val="BodyText"/>
        <w:tabs>
          <w:tab w:val="left" w:pos="1080"/>
        </w:tabs>
        <w:ind w:firstLine="0"/>
      </w:pPr>
      <w:r w:rsidRPr="005A1A59">
        <w:t>TABLE </w:t>
      </w:r>
      <w:r w:rsidRPr="005A1A59">
        <w:fldChar w:fldCharType="begin"/>
      </w:r>
      <w:r w:rsidRPr="005A1A59">
        <w:instrText xml:space="preserve"> SEQ </w:instrText>
      </w:r>
      <w:r>
        <w:instrText>Table</w:instrText>
      </w:r>
      <w:r w:rsidRPr="005A1A59">
        <w:instrText xml:space="preserve"> \* ARABIC </w:instrText>
      </w:r>
      <w:r w:rsidRPr="005A1A59">
        <w:fldChar w:fldCharType="separate"/>
      </w:r>
      <w:r>
        <w:rPr>
          <w:noProof/>
        </w:rPr>
        <w:t>2</w:t>
      </w:r>
      <w:r w:rsidRPr="005A1A59">
        <w:fldChar w:fldCharType="end"/>
      </w:r>
      <w:r w:rsidRPr="005A1A59">
        <w:t>.</w:t>
      </w:r>
      <w:r w:rsidRPr="002C288E">
        <w:rPr>
          <w:sz w:val="18"/>
          <w:szCs w:val="18"/>
        </w:rPr>
        <w:tab/>
      </w:r>
      <w:r w:rsidR="00914200">
        <w:t>MAGNET</w:t>
      </w:r>
      <w:r w:rsidRPr="005A1A59">
        <w:t xml:space="preserve"> </w:t>
      </w:r>
      <w:r w:rsidR="00221BCA">
        <w:t>t</w:t>
      </w:r>
      <w:r w:rsidRPr="005A1A59">
        <w:t xml:space="preserve">est </w:t>
      </w:r>
      <w:r w:rsidR="00221BCA">
        <w:t>b</w:t>
      </w:r>
      <w:r w:rsidRPr="005A1A59">
        <w:t xml:space="preserve">ed </w:t>
      </w:r>
      <w:r w:rsidR="00221BCA">
        <w:t>d</w:t>
      </w:r>
      <w:r w:rsidRPr="005A1A59">
        <w:t xml:space="preserve">esign </w:t>
      </w:r>
      <w:r w:rsidR="00221BCA">
        <w:t>s</w:t>
      </w:r>
      <w:r w:rsidRPr="005A1A59">
        <w:t>pecification</w:t>
      </w:r>
      <w: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590"/>
      </w:tblGrid>
      <w:tr w:rsidR="00E60479" w:rsidRPr="005A1A59" w14:paraId="16CE42BB" w14:textId="77777777" w:rsidTr="00856647">
        <w:trPr>
          <w:jc w:val="center"/>
        </w:trPr>
        <w:tc>
          <w:tcPr>
            <w:tcW w:w="2160" w:type="dxa"/>
            <w:tcBorders>
              <w:top w:val="single" w:sz="4" w:space="0" w:color="auto"/>
              <w:bottom w:val="single" w:sz="4" w:space="0" w:color="auto"/>
            </w:tcBorders>
          </w:tcPr>
          <w:p w14:paraId="1F157336" w14:textId="77777777" w:rsidR="00E60479" w:rsidRPr="005A1A59" w:rsidRDefault="00E60479" w:rsidP="00D7314E">
            <w:pPr>
              <w:pStyle w:val="BodyText"/>
              <w:ind w:firstLine="0"/>
            </w:pPr>
            <w:r>
              <w:t>Parameter</w:t>
            </w:r>
          </w:p>
        </w:tc>
        <w:tc>
          <w:tcPr>
            <w:tcW w:w="4590" w:type="dxa"/>
            <w:tcBorders>
              <w:top w:val="single" w:sz="4" w:space="0" w:color="auto"/>
              <w:bottom w:val="single" w:sz="4" w:space="0" w:color="auto"/>
            </w:tcBorders>
          </w:tcPr>
          <w:p w14:paraId="14F1AEDE" w14:textId="77777777" w:rsidR="00E60479" w:rsidRPr="005A1A59" w:rsidRDefault="00E60479" w:rsidP="00D7314E">
            <w:pPr>
              <w:pStyle w:val="BodyText"/>
              <w:ind w:firstLine="0"/>
              <w:jc w:val="center"/>
            </w:pPr>
            <w:r>
              <w:t>Value</w:t>
            </w:r>
          </w:p>
        </w:tc>
      </w:tr>
      <w:tr w:rsidR="00E60479" w:rsidRPr="005A1A59" w14:paraId="6B9749FC" w14:textId="77777777" w:rsidTr="00856647">
        <w:trPr>
          <w:jc w:val="center"/>
        </w:trPr>
        <w:tc>
          <w:tcPr>
            <w:tcW w:w="2160" w:type="dxa"/>
            <w:tcBorders>
              <w:top w:val="single" w:sz="4" w:space="0" w:color="auto"/>
            </w:tcBorders>
          </w:tcPr>
          <w:p w14:paraId="01E2CFBD" w14:textId="59DCF359" w:rsidR="00E60479" w:rsidRPr="005A1A59" w:rsidRDefault="00541EAF" w:rsidP="00D7314E">
            <w:pPr>
              <w:pStyle w:val="BodyText"/>
              <w:ind w:firstLine="0"/>
            </w:pPr>
            <w:r>
              <w:t>Chamber Size</w:t>
            </w:r>
          </w:p>
        </w:tc>
        <w:tc>
          <w:tcPr>
            <w:tcW w:w="4590" w:type="dxa"/>
            <w:tcBorders>
              <w:top w:val="single" w:sz="4" w:space="0" w:color="auto"/>
            </w:tcBorders>
          </w:tcPr>
          <w:p w14:paraId="754823EE" w14:textId="09EE2BF5" w:rsidR="00E60479" w:rsidRPr="0085182D" w:rsidRDefault="002E660B" w:rsidP="00D7314E">
            <w:pPr>
              <w:pStyle w:val="BodyText"/>
              <w:ind w:firstLine="0"/>
              <w:jc w:val="center"/>
            </w:pPr>
            <w:r>
              <w:t xml:space="preserve">5 ft × 5 ft × </w:t>
            </w:r>
            <w:r w:rsidR="00646943">
              <w:t>10 ft</w:t>
            </w:r>
          </w:p>
        </w:tc>
      </w:tr>
      <w:tr w:rsidR="00E81DB1" w:rsidRPr="005A1A59" w14:paraId="11C5CBA8" w14:textId="77777777" w:rsidTr="00856647">
        <w:trPr>
          <w:jc w:val="center"/>
        </w:trPr>
        <w:tc>
          <w:tcPr>
            <w:tcW w:w="2160" w:type="dxa"/>
          </w:tcPr>
          <w:p w14:paraId="6DE480D3" w14:textId="6D0D4D8B" w:rsidR="00E81DB1" w:rsidRPr="00E81DB1" w:rsidRDefault="00E81DB1" w:rsidP="00E81DB1">
            <w:pPr>
              <w:pStyle w:val="BodyText"/>
              <w:ind w:firstLine="0"/>
            </w:pPr>
            <w:r w:rsidRPr="00E81DB1">
              <w:t xml:space="preserve">Heat </w:t>
            </w:r>
            <w:r>
              <w:t>R</w:t>
            </w:r>
            <w:r w:rsidRPr="00E81DB1">
              <w:t>emoval</w:t>
            </w:r>
          </w:p>
        </w:tc>
        <w:tc>
          <w:tcPr>
            <w:tcW w:w="4590" w:type="dxa"/>
          </w:tcPr>
          <w:p w14:paraId="722F0AFF" w14:textId="01608E93" w:rsidR="00E81DB1" w:rsidRPr="00E81DB1" w:rsidRDefault="00E81DB1" w:rsidP="00E81DB1">
            <w:pPr>
              <w:pStyle w:val="BodyText"/>
              <w:ind w:firstLine="0"/>
              <w:jc w:val="center"/>
            </w:pPr>
            <w:r w:rsidRPr="00E81DB1">
              <w:t>Liquid-cooled chamber walls, gas flow</w:t>
            </w:r>
          </w:p>
        </w:tc>
      </w:tr>
      <w:tr w:rsidR="00E81DB1" w:rsidRPr="005A1A59" w14:paraId="57CDD026" w14:textId="77777777" w:rsidTr="00856647">
        <w:trPr>
          <w:jc w:val="center"/>
        </w:trPr>
        <w:tc>
          <w:tcPr>
            <w:tcW w:w="2160" w:type="dxa"/>
          </w:tcPr>
          <w:p w14:paraId="25FE484D" w14:textId="6AF71CF9" w:rsidR="00E81DB1" w:rsidRPr="00E81DB1" w:rsidRDefault="00E81DB1" w:rsidP="00E81DB1">
            <w:pPr>
              <w:pStyle w:val="BodyText"/>
              <w:ind w:firstLine="0"/>
            </w:pPr>
            <w:r w:rsidRPr="00E81DB1">
              <w:t>Coolants</w:t>
            </w:r>
          </w:p>
        </w:tc>
        <w:tc>
          <w:tcPr>
            <w:tcW w:w="4590" w:type="dxa"/>
          </w:tcPr>
          <w:p w14:paraId="27288046" w14:textId="251F7638" w:rsidR="00E81DB1" w:rsidRPr="00E81DB1" w:rsidRDefault="00E81DB1" w:rsidP="00E81DB1">
            <w:pPr>
              <w:pStyle w:val="BodyText"/>
              <w:ind w:firstLine="0"/>
              <w:jc w:val="center"/>
            </w:pPr>
            <w:r w:rsidRPr="00E81DB1">
              <w:t>Air, inert gas (He, N</w:t>
            </w:r>
            <w:r w:rsidRPr="00E55051">
              <w:rPr>
                <w:vertAlign w:val="subscript"/>
              </w:rPr>
              <w:t>2</w:t>
            </w:r>
            <w:r w:rsidRPr="00E81DB1">
              <w:t>)</w:t>
            </w:r>
          </w:p>
        </w:tc>
      </w:tr>
      <w:tr w:rsidR="00E81DB1" w:rsidRPr="005A1A59" w14:paraId="4DED94AF" w14:textId="77777777" w:rsidTr="00856647">
        <w:trPr>
          <w:jc w:val="center"/>
        </w:trPr>
        <w:tc>
          <w:tcPr>
            <w:tcW w:w="2160" w:type="dxa"/>
          </w:tcPr>
          <w:p w14:paraId="0DB73007" w14:textId="3B435D8D" w:rsidR="00E81DB1" w:rsidRPr="00E81DB1" w:rsidRDefault="00E81DB1" w:rsidP="00E81DB1">
            <w:pPr>
              <w:pStyle w:val="BodyText"/>
              <w:ind w:firstLine="0"/>
            </w:pPr>
            <w:r w:rsidRPr="00E81DB1">
              <w:t>Gas Flow Rates</w:t>
            </w:r>
          </w:p>
        </w:tc>
        <w:tc>
          <w:tcPr>
            <w:tcW w:w="4590" w:type="dxa"/>
          </w:tcPr>
          <w:p w14:paraId="47BA3770" w14:textId="271D2B5B" w:rsidR="00E81DB1" w:rsidRPr="00E81DB1" w:rsidRDefault="00E81DB1" w:rsidP="00E81DB1">
            <w:pPr>
              <w:pStyle w:val="BodyText"/>
              <w:ind w:firstLine="0"/>
              <w:jc w:val="center"/>
            </w:pPr>
            <w:r w:rsidRPr="00E81DB1">
              <w:t xml:space="preserve">Up to 43.7 ACFM at 290 </w:t>
            </w:r>
            <w:proofErr w:type="spellStart"/>
            <w:r w:rsidRPr="00E81DB1">
              <w:t>psig</w:t>
            </w:r>
            <w:proofErr w:type="spellEnd"/>
          </w:p>
        </w:tc>
      </w:tr>
      <w:tr w:rsidR="00E81DB1" w:rsidRPr="005A1A59" w14:paraId="23FACF50" w14:textId="77777777" w:rsidTr="00856647">
        <w:trPr>
          <w:jc w:val="center"/>
        </w:trPr>
        <w:tc>
          <w:tcPr>
            <w:tcW w:w="2160" w:type="dxa"/>
          </w:tcPr>
          <w:p w14:paraId="2E6DE4FA" w14:textId="27CEF024" w:rsidR="00E81DB1" w:rsidRPr="00E81DB1" w:rsidRDefault="00E81DB1" w:rsidP="00E81DB1">
            <w:pPr>
              <w:pStyle w:val="BodyText"/>
              <w:ind w:firstLine="0"/>
            </w:pPr>
            <w:r w:rsidRPr="00E81DB1">
              <w:t>Design Pressure</w:t>
            </w:r>
          </w:p>
        </w:tc>
        <w:tc>
          <w:tcPr>
            <w:tcW w:w="4590" w:type="dxa"/>
          </w:tcPr>
          <w:p w14:paraId="48F617C5" w14:textId="2EB0A444" w:rsidR="00E81DB1" w:rsidRPr="00E81DB1" w:rsidRDefault="00E81DB1" w:rsidP="00E81DB1">
            <w:pPr>
              <w:pStyle w:val="BodyText"/>
              <w:ind w:firstLine="0"/>
              <w:jc w:val="center"/>
            </w:pPr>
            <w:r w:rsidRPr="00E81DB1">
              <w:t xml:space="preserve">22 </w:t>
            </w:r>
            <w:proofErr w:type="spellStart"/>
            <w:r w:rsidRPr="00E81DB1">
              <w:t>barg</w:t>
            </w:r>
            <w:proofErr w:type="spellEnd"/>
          </w:p>
        </w:tc>
      </w:tr>
      <w:tr w:rsidR="00E81DB1" w:rsidRPr="005A1A59" w14:paraId="07978835" w14:textId="77777777" w:rsidTr="00856647">
        <w:trPr>
          <w:jc w:val="center"/>
        </w:trPr>
        <w:tc>
          <w:tcPr>
            <w:tcW w:w="2160" w:type="dxa"/>
          </w:tcPr>
          <w:p w14:paraId="67EFF55E" w14:textId="3DDA489D" w:rsidR="00E81DB1" w:rsidRPr="00E81DB1" w:rsidRDefault="00E81DB1" w:rsidP="00E81DB1">
            <w:pPr>
              <w:pStyle w:val="BodyText"/>
              <w:ind w:firstLine="0"/>
            </w:pPr>
            <w:r w:rsidRPr="00E81DB1">
              <w:t>Maximum Power</w:t>
            </w:r>
          </w:p>
        </w:tc>
        <w:tc>
          <w:tcPr>
            <w:tcW w:w="4590" w:type="dxa"/>
          </w:tcPr>
          <w:p w14:paraId="7BA51806" w14:textId="50720303" w:rsidR="00E81DB1" w:rsidRPr="00E81DB1" w:rsidRDefault="00E81DB1" w:rsidP="00E81DB1">
            <w:pPr>
              <w:pStyle w:val="BodyText"/>
              <w:ind w:firstLine="0"/>
              <w:jc w:val="center"/>
            </w:pPr>
            <w:r w:rsidRPr="00E81DB1">
              <w:t>250 kW</w:t>
            </w:r>
          </w:p>
        </w:tc>
      </w:tr>
      <w:tr w:rsidR="00E81DB1" w:rsidRPr="005A1A59" w14:paraId="30AF9163" w14:textId="77777777" w:rsidTr="00856647">
        <w:trPr>
          <w:jc w:val="center"/>
        </w:trPr>
        <w:tc>
          <w:tcPr>
            <w:tcW w:w="2160" w:type="dxa"/>
          </w:tcPr>
          <w:p w14:paraId="5B510DA1" w14:textId="4CD3CF2F" w:rsidR="00E81DB1" w:rsidRPr="00E81DB1" w:rsidRDefault="00E81DB1" w:rsidP="00E81DB1">
            <w:pPr>
              <w:pStyle w:val="BodyText"/>
              <w:ind w:firstLine="0"/>
            </w:pPr>
            <w:r w:rsidRPr="00E81DB1">
              <w:t>Max Temperature</w:t>
            </w:r>
          </w:p>
        </w:tc>
        <w:tc>
          <w:tcPr>
            <w:tcW w:w="4590" w:type="dxa"/>
          </w:tcPr>
          <w:p w14:paraId="4F84B20E" w14:textId="272D87C9" w:rsidR="00E81DB1" w:rsidRPr="00E81DB1" w:rsidRDefault="00E81DB1" w:rsidP="00E81DB1">
            <w:pPr>
              <w:pStyle w:val="BodyText"/>
              <w:ind w:firstLine="0"/>
              <w:jc w:val="center"/>
            </w:pPr>
            <w:r w:rsidRPr="00E81DB1">
              <w:t>750 C</w:t>
            </w:r>
          </w:p>
        </w:tc>
      </w:tr>
      <w:tr w:rsidR="00E81DB1" w:rsidRPr="005A1A59" w14:paraId="73A33500" w14:textId="77777777" w:rsidTr="00856647">
        <w:trPr>
          <w:jc w:val="center"/>
        </w:trPr>
        <w:tc>
          <w:tcPr>
            <w:tcW w:w="2160" w:type="dxa"/>
          </w:tcPr>
          <w:p w14:paraId="5A6955AF" w14:textId="0ADAA13B" w:rsidR="00E81DB1" w:rsidRPr="00E81DB1" w:rsidRDefault="00E81DB1" w:rsidP="00E81DB1">
            <w:pPr>
              <w:pStyle w:val="BodyText"/>
              <w:ind w:firstLine="0"/>
            </w:pPr>
            <w:r w:rsidRPr="00E81DB1">
              <w:t>Heat Removal</w:t>
            </w:r>
          </w:p>
        </w:tc>
        <w:tc>
          <w:tcPr>
            <w:tcW w:w="4590" w:type="dxa"/>
          </w:tcPr>
          <w:p w14:paraId="160908CC" w14:textId="7C3272B6" w:rsidR="00E81DB1" w:rsidRPr="00E81DB1" w:rsidRDefault="00E81DB1" w:rsidP="00E81DB1">
            <w:pPr>
              <w:pStyle w:val="BodyText"/>
              <w:ind w:firstLine="0"/>
              <w:jc w:val="center"/>
            </w:pPr>
            <w:r w:rsidRPr="00E81DB1">
              <w:t>Passive radiation or water-cooled gas-gap calorimeter</w:t>
            </w:r>
          </w:p>
        </w:tc>
      </w:tr>
    </w:tbl>
    <w:p w14:paraId="5735385C" w14:textId="77777777" w:rsidR="00E60479" w:rsidRDefault="00E60479" w:rsidP="00E60479">
      <w:pPr>
        <w:pStyle w:val="BodyText"/>
      </w:pPr>
    </w:p>
    <w:p w14:paraId="27906F34" w14:textId="027610D1" w:rsidR="000E65D0" w:rsidRDefault="00D61843" w:rsidP="00A57BC0">
      <w:pPr>
        <w:pStyle w:val="BodyText"/>
      </w:pPr>
      <w:r w:rsidRPr="00FF37F9">
        <w:t xml:space="preserve">To provide capabilities for integrated </w:t>
      </w:r>
      <w:r>
        <w:t xml:space="preserve">PCU </w:t>
      </w:r>
      <w:r w:rsidRPr="00FF37F9">
        <w:t xml:space="preserve">testing, a modified, commercially available Capstone C30 microturbine unit </w:t>
      </w:r>
      <w:r w:rsidR="00655686">
        <w:t>[3]</w:t>
      </w:r>
      <w:r>
        <w:t>, as depicted in Fig. 3</w:t>
      </w:r>
      <w:r w:rsidR="00F10405">
        <w:t>,</w:t>
      </w:r>
      <w:r w:rsidRPr="00FF37F9">
        <w:t xml:space="preserve"> has been acquired and will be integrated with MAGNET. Fig</w:t>
      </w:r>
      <w:r w:rsidR="00F10405">
        <w:t>.</w:t>
      </w:r>
      <w:r w:rsidRPr="00FF37F9">
        <w:t xml:space="preserve"> 3 shows the key </w:t>
      </w:r>
      <w:r w:rsidR="00F10405">
        <w:t xml:space="preserve">PCU </w:t>
      </w:r>
      <w:r w:rsidRPr="00FF37F9">
        <w:t>components, including the compressor, turbine, alternator, internal recuperator, gas cooler, and power management and distribution (PMAD) subsystem</w:t>
      </w:r>
      <w:r w:rsidR="007943A3">
        <w:t xml:space="preserve"> [</w:t>
      </w:r>
      <w:r w:rsidR="003539FF">
        <w:t>2</w:t>
      </w:r>
      <w:r w:rsidR="007943A3">
        <w:t>]</w:t>
      </w:r>
      <w:r w:rsidRPr="00FF37F9">
        <w:t xml:space="preserve">. </w:t>
      </w:r>
      <w:r w:rsidR="00366F3E">
        <w:t xml:space="preserve">Generated power </w:t>
      </w:r>
      <w:r w:rsidRPr="00FF37F9">
        <w:t>can be fed to the electrical heaters in MAGNET to supplement externally supplied electricity or to a load bank as part of the</w:t>
      </w:r>
      <w:r>
        <w:t xml:space="preserve"> </w:t>
      </w:r>
      <w:r w:rsidRPr="00FF37F9">
        <w:t>co-located Microgrid Research Laboratory. The cycle is completely closed, and gas flows through the compressor and recuperator into the heat-source heat exchanger, into the turbine, back into the recuperator, and finally into the gas cooler for the rejection of waste heat.</w:t>
      </w:r>
    </w:p>
    <w:p w14:paraId="486FEE1A" w14:textId="0CC313CE" w:rsidR="00DA356E" w:rsidRPr="00DA356E" w:rsidRDefault="000E206C" w:rsidP="00DA356E">
      <w:pPr>
        <w:pStyle w:val="FigureGraphic"/>
      </w:pPr>
      <w:r w:rsidRPr="00BB25AE">
        <w:rPr>
          <w:noProof/>
        </w:rPr>
        <w:drawing>
          <wp:inline distT="0" distB="0" distL="0" distR="0" wp14:anchorId="32DB7318" wp14:editId="56040390">
            <wp:extent cx="4333461" cy="1749010"/>
            <wp:effectExtent l="0" t="0" r="0" b="3810"/>
            <wp:docPr id="138692512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25128" name="Picture 1" descr="Diagram&#10;&#10;Description automatically generated"/>
                    <pic:cNvPicPr/>
                  </pic:nvPicPr>
                  <pic:blipFill rotWithShape="1">
                    <a:blip r:embed="rId10"/>
                    <a:srcRect l="1486" t="2715" r="2418" b="6184"/>
                    <a:stretch/>
                  </pic:blipFill>
                  <pic:spPr bwMode="auto">
                    <a:xfrm>
                      <a:off x="0" y="0"/>
                      <a:ext cx="4412551" cy="1780931"/>
                    </a:xfrm>
                    <a:prstGeom prst="rect">
                      <a:avLst/>
                    </a:prstGeom>
                    <a:ln>
                      <a:noFill/>
                    </a:ln>
                    <a:extLst>
                      <a:ext uri="{53640926-AAD7-44D8-BBD7-CCE9431645EC}">
                        <a14:shadowObscured xmlns:a14="http://schemas.microsoft.com/office/drawing/2010/main"/>
                      </a:ext>
                    </a:extLst>
                  </pic:spPr>
                </pic:pic>
              </a:graphicData>
            </a:graphic>
          </wp:inline>
        </w:drawing>
      </w:r>
    </w:p>
    <w:p w14:paraId="090E3045" w14:textId="49783535" w:rsidR="00DA356E" w:rsidRPr="00DF6AB3" w:rsidRDefault="00DA356E" w:rsidP="00DA356E">
      <w:pPr>
        <w:pStyle w:val="Figurecaption"/>
      </w:pPr>
      <w:r w:rsidRPr="00DF6AB3">
        <w:t>FIG. </w:t>
      </w:r>
      <w:r w:rsidRPr="00DF6AB3">
        <w:fldChar w:fldCharType="begin"/>
      </w:r>
      <w:r w:rsidRPr="00DF6AB3">
        <w:instrText xml:space="preserve"> SEQ Figure \* ARABIC </w:instrText>
      </w:r>
      <w:r w:rsidRPr="00DF6AB3">
        <w:fldChar w:fldCharType="separate"/>
      </w:r>
      <w:r w:rsidRPr="00DF6AB3">
        <w:rPr>
          <w:noProof/>
        </w:rPr>
        <w:t>3</w:t>
      </w:r>
      <w:r w:rsidRPr="00DF6AB3">
        <w:fldChar w:fldCharType="end"/>
      </w:r>
      <w:r w:rsidRPr="00DF6AB3">
        <w:t xml:space="preserve">. </w:t>
      </w:r>
      <w:r w:rsidR="00DF6AB3" w:rsidRPr="00DF6AB3">
        <w:rPr>
          <w:bCs/>
        </w:rPr>
        <w:t>Layout of PCU loop connected to MAGNET</w:t>
      </w:r>
      <w:r w:rsidR="000E206C">
        <w:rPr>
          <w:bCs/>
        </w:rPr>
        <w:t>.</w:t>
      </w:r>
    </w:p>
    <w:p w14:paraId="7240554D" w14:textId="77777777" w:rsidR="0008258D" w:rsidRDefault="0008258D" w:rsidP="00A57BC0">
      <w:pPr>
        <w:pStyle w:val="BodyText"/>
        <w:ind w:firstLine="0"/>
      </w:pPr>
    </w:p>
    <w:p w14:paraId="74FB8A7E" w14:textId="7F3D5DAA" w:rsidR="0008258D" w:rsidRDefault="004F3A97" w:rsidP="0008258D">
      <w:pPr>
        <w:pStyle w:val="BodyText"/>
      </w:pPr>
      <w:r w:rsidRPr="00FF37F9">
        <w:t>Other test beds</w:t>
      </w:r>
      <w:r w:rsidR="004A5E10">
        <w:t>, as indicated in Fig. 4,</w:t>
      </w:r>
      <w:r w:rsidRPr="00FF37F9">
        <w:t xml:space="preserve"> </w:t>
      </w:r>
      <w:r w:rsidR="0070422D">
        <w:t>at INL</w:t>
      </w:r>
      <w:r w:rsidR="0070422D" w:rsidRPr="00FF37F9" w:rsidDel="004F3A97">
        <w:t xml:space="preserve"> </w:t>
      </w:r>
      <w:r w:rsidRPr="00FF37F9">
        <w:t xml:space="preserve">that are currently being designed and developed </w:t>
      </w:r>
      <w:r w:rsidR="00B66E2C">
        <w:t>include</w:t>
      </w:r>
      <w:r w:rsidRPr="00FF37F9">
        <w:t>:</w:t>
      </w:r>
    </w:p>
    <w:p w14:paraId="0E9FA5E1" w14:textId="703F4F65" w:rsidR="005D2CA5" w:rsidRDefault="004C0885" w:rsidP="009419EF">
      <w:pPr>
        <w:pStyle w:val="ListEmdash"/>
        <w:ind w:left="709"/>
      </w:pPr>
      <w:r w:rsidRPr="004C0885">
        <w:t>Demonstration of Operational Microreactor Experiments (DOME)</w:t>
      </w:r>
      <w:r>
        <w:t xml:space="preserve">, </w:t>
      </w:r>
      <w:r w:rsidRPr="004C0885">
        <w:t>which will support testing up to 20MWt</w:t>
      </w:r>
    </w:p>
    <w:p w14:paraId="1B6D18F9" w14:textId="71F18700" w:rsidR="0061268B" w:rsidRPr="00312DE0" w:rsidRDefault="00A57BC0" w:rsidP="009419EF">
      <w:pPr>
        <w:pStyle w:val="ListEmdash"/>
        <w:ind w:left="709"/>
      </w:pPr>
      <w:r w:rsidRPr="00D10637">
        <w:t xml:space="preserve">Transient Reactor Test </w:t>
      </w:r>
      <w:r>
        <w:t>(</w:t>
      </w:r>
      <w:r w:rsidR="0061268B" w:rsidRPr="00312DE0">
        <w:t>TREAT</w:t>
      </w:r>
      <w:r>
        <w:t>)</w:t>
      </w:r>
      <w:r w:rsidR="0061268B" w:rsidRPr="00312DE0">
        <w:t xml:space="preserve"> Microreactor Experiment Cell (T-REXC) </w:t>
      </w:r>
      <w:r w:rsidR="00E42AF5">
        <w:t>t</w:t>
      </w:r>
      <w:r w:rsidR="0061268B" w:rsidRPr="00312DE0">
        <w:t xml:space="preserve">est </w:t>
      </w:r>
      <w:r w:rsidR="00E42AF5">
        <w:t>b</w:t>
      </w:r>
      <w:r w:rsidR="0061268B" w:rsidRPr="00312DE0">
        <w:t>ed</w:t>
      </w:r>
      <w:r w:rsidR="00430AB8">
        <w:t xml:space="preserve">, </w:t>
      </w:r>
      <w:r w:rsidR="0061268B" w:rsidRPr="00312DE0">
        <w:t>which will support testing up to 100kWt</w:t>
      </w:r>
    </w:p>
    <w:p w14:paraId="6867B8E1" w14:textId="5F8954E1" w:rsidR="005D2CA5" w:rsidRDefault="0061268B" w:rsidP="009419EF">
      <w:pPr>
        <w:pStyle w:val="ListEmdash"/>
        <w:ind w:left="709"/>
      </w:pPr>
      <w:r w:rsidRPr="0061268B">
        <w:t>Laboratory for Operation and Testing in the United States (LOTUS)</w:t>
      </w:r>
      <w:r w:rsidR="00430AB8">
        <w:t xml:space="preserve">, </w:t>
      </w:r>
      <w:r w:rsidRPr="0061268B">
        <w:t>which will support testing up to 500kWt</w:t>
      </w:r>
      <w:r>
        <w:t>.</w:t>
      </w:r>
    </w:p>
    <w:p w14:paraId="6CAC7426" w14:textId="774F27EC" w:rsidR="0004712A" w:rsidRPr="00DA356E" w:rsidRDefault="00075055" w:rsidP="0004712A">
      <w:pPr>
        <w:pStyle w:val="FigureGraphic"/>
      </w:pPr>
      <w:r w:rsidRPr="0054228C">
        <w:rPr>
          <w:rFonts w:eastAsiaTheme="minorHAnsi"/>
          <w:i/>
          <w:iCs/>
          <w:noProof/>
        </w:rPr>
        <w:lastRenderedPageBreak/>
        <w:drawing>
          <wp:inline distT="0" distB="0" distL="0" distR="0" wp14:anchorId="32BB8890" wp14:editId="690E774E">
            <wp:extent cx="4829781" cy="2019632"/>
            <wp:effectExtent l="0" t="0" r="0" b="0"/>
            <wp:docPr id="125655212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52123" name="Picture 1" descr="Diagram&#10;&#10;Description automatically generated"/>
                    <pic:cNvPicPr/>
                  </pic:nvPicPr>
                  <pic:blipFill>
                    <a:blip r:embed="rId11"/>
                    <a:stretch>
                      <a:fillRect/>
                    </a:stretch>
                  </pic:blipFill>
                  <pic:spPr>
                    <a:xfrm>
                      <a:off x="0" y="0"/>
                      <a:ext cx="4883570" cy="2042125"/>
                    </a:xfrm>
                    <a:prstGeom prst="rect">
                      <a:avLst/>
                    </a:prstGeom>
                  </pic:spPr>
                </pic:pic>
              </a:graphicData>
            </a:graphic>
          </wp:inline>
        </w:drawing>
      </w:r>
    </w:p>
    <w:p w14:paraId="2EF0C3E0" w14:textId="0FC9406F" w:rsidR="0004712A" w:rsidRPr="00DF6AB3" w:rsidRDefault="0004712A" w:rsidP="0004712A">
      <w:pPr>
        <w:pStyle w:val="Figurecaption"/>
      </w:pPr>
      <w:r w:rsidRPr="00DF6AB3">
        <w:t>FIG. </w:t>
      </w:r>
      <w:r w:rsidRPr="00DF6AB3">
        <w:fldChar w:fldCharType="begin"/>
      </w:r>
      <w:r w:rsidRPr="00DF6AB3">
        <w:instrText xml:space="preserve"> SEQ Figure \* ARABIC </w:instrText>
      </w:r>
      <w:r w:rsidRPr="00DF6AB3">
        <w:fldChar w:fldCharType="separate"/>
      </w:r>
      <w:r w:rsidR="00075055">
        <w:rPr>
          <w:noProof/>
        </w:rPr>
        <w:t>4</w:t>
      </w:r>
      <w:r w:rsidRPr="00DF6AB3">
        <w:fldChar w:fldCharType="end"/>
      </w:r>
      <w:r w:rsidRPr="00DF6AB3">
        <w:t xml:space="preserve">. </w:t>
      </w:r>
      <w:r w:rsidR="00B853F8" w:rsidRPr="003E0633">
        <w:t xml:space="preserve">Advanced </w:t>
      </w:r>
      <w:r w:rsidR="0070422D">
        <w:t>r</w:t>
      </w:r>
      <w:r w:rsidR="00B853F8" w:rsidRPr="003E0633">
        <w:t xml:space="preserve">eactor </w:t>
      </w:r>
      <w:r w:rsidR="0070422D">
        <w:t>d</w:t>
      </w:r>
      <w:r w:rsidR="00B853F8" w:rsidRPr="007A1491">
        <w:t xml:space="preserve">emonstration </w:t>
      </w:r>
      <w:r w:rsidR="0070422D">
        <w:t>t</w:t>
      </w:r>
      <w:r w:rsidR="00B853F8" w:rsidRPr="007A1491">
        <w:t xml:space="preserve">est </w:t>
      </w:r>
      <w:r w:rsidR="0070422D">
        <w:t>b</w:t>
      </w:r>
      <w:r w:rsidR="00B853F8" w:rsidRPr="007A1491">
        <w:t xml:space="preserve">eds at </w:t>
      </w:r>
      <w:r w:rsidR="0070422D">
        <w:t xml:space="preserve">the </w:t>
      </w:r>
      <w:r w:rsidR="00B853F8" w:rsidRPr="007A1491">
        <w:t>M</w:t>
      </w:r>
      <w:r w:rsidR="00B853F8" w:rsidRPr="003E0633">
        <w:t xml:space="preserve">aterials and Fuels Complex </w:t>
      </w:r>
      <w:r w:rsidR="001B12AD">
        <w:t xml:space="preserve">(MFC) </w:t>
      </w:r>
      <w:r w:rsidR="00B853F8" w:rsidRPr="003E0633">
        <w:t>at INL</w:t>
      </w:r>
      <w:r>
        <w:rPr>
          <w:bCs/>
        </w:rPr>
        <w:t>.</w:t>
      </w:r>
    </w:p>
    <w:p w14:paraId="74CD1556" w14:textId="1F702F94" w:rsidR="00E25B68" w:rsidRDefault="00C10024" w:rsidP="0026525A">
      <w:pPr>
        <w:pStyle w:val="Heading2"/>
        <w:numPr>
          <w:ilvl w:val="1"/>
          <w:numId w:val="10"/>
        </w:numPr>
      </w:pPr>
      <w:r>
        <w:t>Modelling</w:t>
      </w:r>
      <w:r w:rsidR="000C5C71" w:rsidRPr="00970EE4">
        <w:t xml:space="preserve"> and Simulation Supporting Development and Deployment of Advanced Energy Systems</w:t>
      </w:r>
    </w:p>
    <w:p w14:paraId="7AB86964" w14:textId="2A729546" w:rsidR="00E25B68" w:rsidRDefault="00A82C96" w:rsidP="00537496">
      <w:pPr>
        <w:pStyle w:val="BodyText"/>
      </w:pPr>
      <w:r w:rsidRPr="00392575">
        <w:t>Model</w:t>
      </w:r>
      <w:r w:rsidR="00FE57F6">
        <w:t>l</w:t>
      </w:r>
      <w:r w:rsidRPr="00392575">
        <w:t xml:space="preserve">ing and simulation can serve to provide relevant insights </w:t>
      </w:r>
      <w:r w:rsidR="0066101C" w:rsidRPr="00392575">
        <w:t xml:space="preserve">from design to experimental data analysis </w:t>
      </w:r>
      <w:r w:rsidRPr="00392575">
        <w:t xml:space="preserve">throughout </w:t>
      </w:r>
      <w:r w:rsidR="0066101C">
        <w:t>an</w:t>
      </w:r>
      <w:r w:rsidR="0066101C" w:rsidRPr="00392575">
        <w:t xml:space="preserve"> </w:t>
      </w:r>
      <w:r w:rsidRPr="00392575">
        <w:t>entire</w:t>
      </w:r>
      <w:r>
        <w:t xml:space="preserve"> </w:t>
      </w:r>
      <w:r w:rsidRPr="00392575">
        <w:t>experimental procedure.</w:t>
      </w:r>
      <w:r>
        <w:t xml:space="preserve"> </w:t>
      </w:r>
      <w:r w:rsidRPr="00392575">
        <w:t>Most of the model</w:t>
      </w:r>
      <w:r w:rsidR="00FE57F6">
        <w:t>l</w:t>
      </w:r>
      <w:r w:rsidRPr="00392575">
        <w:t>ing and simulation efforts for advanced nuclear reactors at</w:t>
      </w:r>
      <w:r w:rsidR="002531BC">
        <w:t xml:space="preserve"> </w:t>
      </w:r>
      <w:r w:rsidRPr="00392575">
        <w:t xml:space="preserve">INL are associated with </w:t>
      </w:r>
      <w:r w:rsidR="002531BC">
        <w:t>DOE’s</w:t>
      </w:r>
      <w:r w:rsidRPr="00392575">
        <w:t xml:space="preserve"> Nuclear Energy Advanced Model</w:t>
      </w:r>
      <w:r w:rsidR="00FE57F6">
        <w:t>l</w:t>
      </w:r>
      <w:r>
        <w:t>ing</w:t>
      </w:r>
      <w:r w:rsidRPr="00392575">
        <w:t xml:space="preserve"> and Simulation (NEAMS) program</w:t>
      </w:r>
      <w:r w:rsidR="002531BC">
        <w:rPr>
          <w:rFonts w:eastAsiaTheme="minorHAnsi"/>
        </w:rPr>
        <w:t xml:space="preserve"> [</w:t>
      </w:r>
      <w:r w:rsidR="00EF44F0">
        <w:rPr>
          <w:rFonts w:eastAsiaTheme="minorHAnsi"/>
        </w:rPr>
        <w:t>4</w:t>
      </w:r>
      <w:r w:rsidR="002531BC">
        <w:rPr>
          <w:rFonts w:eastAsiaTheme="minorHAnsi"/>
        </w:rPr>
        <w:t>]</w:t>
      </w:r>
      <w:r w:rsidRPr="00392575">
        <w:t>. The mission of this program is to develop model</w:t>
      </w:r>
      <w:r w:rsidR="00FE57F6">
        <w:t>l</w:t>
      </w:r>
      <w:r w:rsidRPr="00392575">
        <w:t>ing and simulation tools for advanced nuclear reactors. The program encompasses five technical areas, namely fuel performance, reactor physics, structural materials and chemistry, thermal fluids, and materials and chemistry. Some of the tools developed under these technical areas and the scale to which they apply are shown in Fig</w:t>
      </w:r>
      <w:r>
        <w:t>.</w:t>
      </w:r>
      <w:r w:rsidRPr="00392575">
        <w:t xml:space="preserve"> </w:t>
      </w:r>
      <w:r>
        <w:t>5</w:t>
      </w:r>
      <w:r w:rsidRPr="00392575">
        <w:t>.</w:t>
      </w:r>
    </w:p>
    <w:p w14:paraId="6FA972E6" w14:textId="77777777" w:rsidR="00A82C96" w:rsidRDefault="00A82C96" w:rsidP="00537496">
      <w:pPr>
        <w:pStyle w:val="BodyText"/>
      </w:pPr>
    </w:p>
    <w:p w14:paraId="150849FC" w14:textId="01D7A751" w:rsidR="00A82C96" w:rsidRPr="00DA356E" w:rsidRDefault="003E707F" w:rsidP="00A82C96">
      <w:pPr>
        <w:pStyle w:val="FigureGraphic"/>
      </w:pPr>
      <w:r w:rsidRPr="003A081F">
        <w:rPr>
          <w:noProof/>
        </w:rPr>
        <w:drawing>
          <wp:inline distT="0" distB="0" distL="0" distR="0" wp14:anchorId="493A92C3" wp14:editId="671D0F7E">
            <wp:extent cx="5060143" cy="2282024"/>
            <wp:effectExtent l="0" t="0" r="0" b="4445"/>
            <wp:docPr id="94510548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99978" name="Picture 1" descr="Diagram&#10;&#10;Description automatically generated"/>
                    <pic:cNvPicPr/>
                  </pic:nvPicPr>
                  <pic:blipFill>
                    <a:blip r:embed="rId12"/>
                    <a:stretch>
                      <a:fillRect/>
                    </a:stretch>
                  </pic:blipFill>
                  <pic:spPr>
                    <a:xfrm>
                      <a:off x="0" y="0"/>
                      <a:ext cx="5259301" cy="2371840"/>
                    </a:xfrm>
                    <a:prstGeom prst="rect">
                      <a:avLst/>
                    </a:prstGeom>
                  </pic:spPr>
                </pic:pic>
              </a:graphicData>
            </a:graphic>
          </wp:inline>
        </w:drawing>
      </w:r>
    </w:p>
    <w:p w14:paraId="7A0B1798" w14:textId="0008DFF7" w:rsidR="00A82C96" w:rsidRPr="00DF6AB3" w:rsidRDefault="00A82C96" w:rsidP="00A82C96">
      <w:pPr>
        <w:pStyle w:val="Figurecaption"/>
      </w:pPr>
      <w:r w:rsidRPr="00DF6AB3">
        <w:t>FIG. </w:t>
      </w:r>
      <w:r w:rsidRPr="00DF6AB3">
        <w:fldChar w:fldCharType="begin"/>
      </w:r>
      <w:r w:rsidRPr="00DF6AB3">
        <w:instrText xml:space="preserve"> SEQ Figure \* ARABIC </w:instrText>
      </w:r>
      <w:r w:rsidRPr="00DF6AB3">
        <w:fldChar w:fldCharType="separate"/>
      </w:r>
      <w:r>
        <w:rPr>
          <w:noProof/>
        </w:rPr>
        <w:t>5</w:t>
      </w:r>
      <w:r w:rsidRPr="00DF6AB3">
        <w:fldChar w:fldCharType="end"/>
      </w:r>
      <w:r w:rsidRPr="00DF6AB3">
        <w:t xml:space="preserve">. </w:t>
      </w:r>
      <w:r w:rsidR="000421DE">
        <w:t>M</w:t>
      </w:r>
      <w:r w:rsidR="007C27E4">
        <w:t xml:space="preserve">ain NEAMS tools </w:t>
      </w:r>
      <w:r w:rsidR="00F23129">
        <w:t xml:space="preserve">schematic chart </w:t>
      </w:r>
      <w:r w:rsidR="007C27E4">
        <w:t>for advanced nuclear reactor model</w:t>
      </w:r>
      <w:r w:rsidR="00FE57F6">
        <w:t>l</w:t>
      </w:r>
      <w:r w:rsidR="007C27E4">
        <w:t>ing and simulation support.</w:t>
      </w:r>
    </w:p>
    <w:p w14:paraId="2B3F01C2" w14:textId="77777777" w:rsidR="00A82C96" w:rsidRDefault="00A82C96" w:rsidP="00537496">
      <w:pPr>
        <w:pStyle w:val="BodyText"/>
      </w:pPr>
    </w:p>
    <w:p w14:paraId="0FB029ED" w14:textId="3B3CAEAA" w:rsidR="00C65E60" w:rsidRDefault="0003571A" w:rsidP="00537496">
      <w:pPr>
        <w:pStyle w:val="BodyText"/>
      </w:pPr>
      <w:r w:rsidRPr="00AE5E48">
        <w:t>Griffin is the multi-fidelity reactor physics tool provid</w:t>
      </w:r>
      <w:r w:rsidR="009814E1">
        <w:t>ing</w:t>
      </w:r>
      <w:r w:rsidRPr="00AE5E48">
        <w:t xml:space="preserve"> radiation transport solutions from lower fidelity diffusion methods to higher fidelity transport solutions. BISON is the fuel performance code that solves tightly coupled tensorial formulations of solid mechanics and heat transfer. </w:t>
      </w:r>
      <w:proofErr w:type="spellStart"/>
      <w:r w:rsidRPr="00AE5E48">
        <w:t>Thermochimica</w:t>
      </w:r>
      <w:proofErr w:type="spellEnd"/>
      <w:r w:rsidRPr="00AE5E48">
        <w:t xml:space="preserve"> is the thermochemistry application that solves for equilibrium thermodynamics to identify material property evolution under </w:t>
      </w:r>
      <w:r>
        <w:t xml:space="preserve">the </w:t>
      </w:r>
      <w:r w:rsidRPr="00AE5E48">
        <w:t>fuel</w:t>
      </w:r>
      <w:r>
        <w:t>’s</w:t>
      </w:r>
      <w:r w:rsidRPr="00AE5E48">
        <w:t xml:space="preserve"> isotop</w:t>
      </w:r>
      <w:r>
        <w:t>ic</w:t>
      </w:r>
      <w:r w:rsidRPr="00AE5E48">
        <w:t xml:space="preserve"> evolution and corrosion. Finally, due to the multiple scales involved in thermohydraulic phenomena in nuclear reactors, three applications support thermohydraulic </w:t>
      </w:r>
      <w:r w:rsidR="00C10024">
        <w:t>Modelling</w:t>
      </w:r>
      <w:r w:rsidRPr="00AE5E48">
        <w:t xml:space="preserve">: </w:t>
      </w:r>
      <w:r w:rsidR="00C275AD">
        <w:t xml:space="preserve">(1) </w:t>
      </w:r>
      <w:r w:rsidRPr="00AE5E48">
        <w:t>Nek5000/</w:t>
      </w:r>
      <w:proofErr w:type="spellStart"/>
      <w:r w:rsidRPr="00AE5E48">
        <w:t>nekRS</w:t>
      </w:r>
      <w:proofErr w:type="spellEnd"/>
      <w:r w:rsidRPr="00AE5E48">
        <w:t xml:space="preserve">, </w:t>
      </w:r>
      <w:r w:rsidR="00C275AD">
        <w:t xml:space="preserve">(2) </w:t>
      </w:r>
      <w:r w:rsidRPr="00AE5E48">
        <w:t>Pronghorn</w:t>
      </w:r>
      <w:r w:rsidR="00C275AD">
        <w:t>,</w:t>
      </w:r>
      <w:r w:rsidRPr="00AE5E48">
        <w:t xml:space="preserve"> and </w:t>
      </w:r>
      <w:r w:rsidR="00C275AD">
        <w:t xml:space="preserve">(3) </w:t>
      </w:r>
      <w:r>
        <w:t>the Systems Analysis Module (</w:t>
      </w:r>
      <w:r w:rsidRPr="00AE5E48">
        <w:t>SAM</w:t>
      </w:r>
      <w:r>
        <w:t>)</w:t>
      </w:r>
      <w:r w:rsidRPr="00AE5E48">
        <w:t>.</w:t>
      </w:r>
    </w:p>
    <w:p w14:paraId="4180A253" w14:textId="35A8C6F8" w:rsidR="0003571A" w:rsidRDefault="009518E9" w:rsidP="00537496">
      <w:pPr>
        <w:pStyle w:val="BodyText"/>
      </w:pPr>
      <w:r w:rsidRPr="0093365A">
        <w:t xml:space="preserve">Nek5000 and </w:t>
      </w:r>
      <w:proofErr w:type="spellStart"/>
      <w:r w:rsidRPr="0093365A">
        <w:t>nekRS</w:t>
      </w:r>
      <w:proofErr w:type="spellEnd"/>
      <w:r w:rsidR="00984A9F">
        <w:t>—</w:t>
      </w:r>
      <w:r w:rsidRPr="0093365A">
        <w:t xml:space="preserve">its new version supporting </w:t>
      </w:r>
      <w:r w:rsidR="00914E68">
        <w:t xml:space="preserve">graphics </w:t>
      </w:r>
      <w:r w:rsidR="00A16D84">
        <w:t>processing units (</w:t>
      </w:r>
      <w:r w:rsidRPr="0093365A">
        <w:t>GPUs</w:t>
      </w:r>
      <w:r w:rsidR="00A16D84">
        <w:t>)</w:t>
      </w:r>
      <w:r w:rsidR="00984A9F">
        <w:t>—</w:t>
      </w:r>
      <w:r>
        <w:t>are</w:t>
      </w:r>
      <w:r w:rsidRPr="0093365A">
        <w:t xml:space="preserve"> direct numerical simulation tool</w:t>
      </w:r>
      <w:r>
        <w:t>s</w:t>
      </w:r>
      <w:r w:rsidRPr="0093365A">
        <w:t xml:space="preserve">. </w:t>
      </w:r>
      <w:r>
        <w:t>They</w:t>
      </w:r>
      <w:r w:rsidRPr="0093365A">
        <w:t xml:space="preserve"> solve the Navier-Stokes and heat transfer equations up to the Kolmogorov scale without any approximations. In addition, large</w:t>
      </w:r>
      <w:r>
        <w:t>-</w:t>
      </w:r>
      <w:r w:rsidRPr="0093365A">
        <w:t xml:space="preserve">eddy simulation </w:t>
      </w:r>
      <w:r>
        <w:t>capabilities</w:t>
      </w:r>
      <w:r w:rsidRPr="0093365A">
        <w:t xml:space="preserve"> have </w:t>
      </w:r>
      <w:r>
        <w:t xml:space="preserve">more </w:t>
      </w:r>
      <w:r w:rsidRPr="0093365A">
        <w:t>recently been added to the Nek code</w:t>
      </w:r>
      <w:r>
        <w:t>s</w:t>
      </w:r>
      <w:r w:rsidRPr="0093365A">
        <w:t xml:space="preserve"> to support </w:t>
      </w:r>
      <w:r>
        <w:t>lower fidelity model</w:t>
      </w:r>
      <w:r w:rsidR="00FE57F6">
        <w:t>l</w:t>
      </w:r>
      <w:r>
        <w:t>ing.</w:t>
      </w:r>
    </w:p>
    <w:p w14:paraId="744521AA" w14:textId="18302B2E" w:rsidR="0026525A" w:rsidRDefault="00C043E6" w:rsidP="00537496">
      <w:pPr>
        <w:pStyle w:val="BodyText"/>
      </w:pPr>
      <w:r w:rsidRPr="0093365A">
        <w:lastRenderedPageBreak/>
        <w:t xml:space="preserve">Pronghorn is </w:t>
      </w:r>
      <w:r w:rsidR="00B64E11">
        <w:t xml:space="preserve">an </w:t>
      </w:r>
      <w:r w:rsidRPr="0093365A">
        <w:t>engineering-scale thermal</w:t>
      </w:r>
      <w:r>
        <w:t>-</w:t>
      </w:r>
      <w:r w:rsidRPr="0093365A">
        <w:t>hydraulics tool. Using a porous media formulation, Pronghorn allows multi-dimensional solving of thermal-hydraulic phenomena in nuclear reactor cores without the need to fully resolve the flow field down to the smallest scale. Pronghorn supports either Reynolds Average Navier</w:t>
      </w:r>
      <w:r>
        <w:t>-</w:t>
      </w:r>
      <w:r w:rsidRPr="0093365A">
        <w:t>Stokes (RANS) formulations for model</w:t>
      </w:r>
      <w:r w:rsidR="00FE57F6">
        <w:t>l</w:t>
      </w:r>
      <w:r w:rsidRPr="0093365A">
        <w:t>ing free flow to coarse-mesh porous media flow with dedicated friction and heat exchange coefficients for faster computations. A procedure called high-to-low has been developed to automatically tune closure models in Pronghorn from higher fidelity simulations.</w:t>
      </w:r>
    </w:p>
    <w:p w14:paraId="07513FC7" w14:textId="62079699" w:rsidR="00C043E6" w:rsidRDefault="00D97D0E" w:rsidP="00537496">
      <w:pPr>
        <w:pStyle w:val="BodyText"/>
      </w:pPr>
      <w:r w:rsidRPr="0093365A">
        <w:t>SAM is the system</w:t>
      </w:r>
      <w:r>
        <w:t>s</w:t>
      </w:r>
      <w:r w:rsidRPr="0093365A">
        <w:t xml:space="preserve"> code for plant-scale simulation. Typically, in reactor analyses, the system model in SAM is coupled to a higher fidelity </w:t>
      </w:r>
      <w:r w:rsidR="00801BAF" w:rsidRPr="0093365A">
        <w:t xml:space="preserve">Pronghorn </w:t>
      </w:r>
      <w:r w:rsidR="00801BAF">
        <w:t xml:space="preserve">core </w:t>
      </w:r>
      <w:r w:rsidRPr="0093365A">
        <w:t xml:space="preserve">model </w:t>
      </w:r>
      <w:r>
        <w:t xml:space="preserve">to capture the </w:t>
      </w:r>
      <w:r w:rsidRPr="0093365A">
        <w:t>engineering</w:t>
      </w:r>
      <w:r w:rsidR="005C11A0">
        <w:t>-</w:t>
      </w:r>
      <w:r w:rsidRPr="0093365A">
        <w:t>scale</w:t>
      </w:r>
      <w:r>
        <w:t xml:space="preserve"> </w:t>
      </w:r>
      <w:r w:rsidR="005C11A0">
        <w:t xml:space="preserve">thermal-hydraulics </w:t>
      </w:r>
      <w:r>
        <w:t>at the core</w:t>
      </w:r>
      <w:r w:rsidRPr="0093365A">
        <w:t>. For this purpose, a domain overlapping approach has been developed to seamlessly couple the system model in SAM to the higher fidelity model in Pronghorn. This coupling enables realistic studies of plant transients.</w:t>
      </w:r>
    </w:p>
    <w:p w14:paraId="72C78EC5" w14:textId="575C9C55" w:rsidR="009814E1" w:rsidRDefault="009814E1" w:rsidP="00537496">
      <w:pPr>
        <w:pStyle w:val="BodyText"/>
      </w:pPr>
      <w:r w:rsidRPr="0093365A">
        <w:t xml:space="preserve">The NEAMS tools integrate two main components. </w:t>
      </w:r>
      <w:r w:rsidR="00407145">
        <w:t xml:space="preserve">The first is </w:t>
      </w:r>
      <w:r w:rsidRPr="0093365A">
        <w:t xml:space="preserve">a method for solving the partial differential equations associated with the fluid phenomena </w:t>
      </w:r>
      <w:r w:rsidR="006677EC">
        <w:t>(</w:t>
      </w:r>
      <w:r w:rsidRPr="0093365A">
        <w:t>e.g., a finite volume solver for the Navier-Stokes equations</w:t>
      </w:r>
      <w:r w:rsidR="006677EC">
        <w:t>)</w:t>
      </w:r>
      <w:r w:rsidRPr="0093365A">
        <w:t>. The</w:t>
      </w:r>
      <w:r w:rsidR="00FE700C">
        <w:t xml:space="preserve"> second is</w:t>
      </w:r>
      <w:r w:rsidRPr="0093365A">
        <w:t xml:space="preserve"> a set of closure models adapted to a reactor configuration, such as the </w:t>
      </w:r>
      <w:proofErr w:type="spellStart"/>
      <w:r w:rsidR="00C403AB" w:rsidRPr="00C403AB">
        <w:t>Kerntechnischer</w:t>
      </w:r>
      <w:proofErr w:type="spellEnd"/>
      <w:r w:rsidR="00C403AB" w:rsidRPr="00C403AB">
        <w:t xml:space="preserve"> </w:t>
      </w:r>
      <w:proofErr w:type="spellStart"/>
      <w:r w:rsidR="00C403AB" w:rsidRPr="00C403AB">
        <w:t>Ausschuss</w:t>
      </w:r>
      <w:proofErr w:type="spellEnd"/>
      <w:r w:rsidR="00C403AB" w:rsidRPr="00C403AB">
        <w:t xml:space="preserve"> </w:t>
      </w:r>
      <w:r w:rsidR="00C403AB">
        <w:t>(</w:t>
      </w:r>
      <w:r w:rsidRPr="0093365A">
        <w:t>KTA</w:t>
      </w:r>
      <w:r w:rsidR="00C403AB">
        <w:t>)</w:t>
      </w:r>
      <w:r w:rsidRPr="0093365A">
        <w:t xml:space="preserve"> correlations for model</w:t>
      </w:r>
      <w:r w:rsidR="00FE57F6">
        <w:t>l</w:t>
      </w:r>
      <w:r w:rsidRPr="0093365A">
        <w:t xml:space="preserve">ing bulk friction in a pebble bed. While the latter models are proprietary and require access </w:t>
      </w:r>
      <w:r>
        <w:t xml:space="preserve">approval </w:t>
      </w:r>
      <w:r w:rsidRPr="0093365A">
        <w:t>to the specific codes, the physics solvers are developed as open source</w:t>
      </w:r>
      <w:r w:rsidR="00FE700C">
        <w:t xml:space="preserve">, which </w:t>
      </w:r>
      <w:r w:rsidRPr="0093365A">
        <w:t xml:space="preserve">allows the physics models to benefit from </w:t>
      </w:r>
      <w:r w:rsidR="002825BD" w:rsidRPr="0093365A">
        <w:t xml:space="preserve">feedback </w:t>
      </w:r>
      <w:r w:rsidR="002825BD">
        <w:t xml:space="preserve">from </w:t>
      </w:r>
      <w:r w:rsidRPr="0093365A">
        <w:t xml:space="preserve">the larger </w:t>
      </w:r>
      <w:r>
        <w:t xml:space="preserve">user </w:t>
      </w:r>
      <w:r w:rsidRPr="0093365A">
        <w:t>community</w:t>
      </w:r>
      <w:r w:rsidR="002825BD">
        <w:t>,</w:t>
      </w:r>
      <w:r w:rsidRPr="0093365A">
        <w:t xml:space="preserve"> and thus</w:t>
      </w:r>
      <w:r w:rsidR="002825BD">
        <w:t>,</w:t>
      </w:r>
      <w:r w:rsidRPr="0093365A">
        <w:t xml:space="preserve"> to be continuously improved. The open-source bases for the Pronghorn and SAM thermal-hydraulic codes are the models within the Multiphysics Object-Oriented Simulation Environment (MOOSE). In particular, the Navier-Stokes module, the subchannel module, and the thermal-hydraulics module form the physical basis for the</w:t>
      </w:r>
      <w:r>
        <w:t>se</w:t>
      </w:r>
      <w:r w:rsidRPr="0093365A">
        <w:t xml:space="preserve"> NEAMS codes. Table </w:t>
      </w:r>
      <w:r>
        <w:t>3</w:t>
      </w:r>
      <w:r w:rsidRPr="0093365A">
        <w:t xml:space="preserve"> shows the scale, flow formulation, dimensions and typical number of elements, runtime, and simulation time of these modules</w:t>
      </w:r>
      <w:r>
        <w:t xml:space="preserve"> </w:t>
      </w:r>
      <w:r w:rsidR="006A4300">
        <w:t>[5]</w:t>
      </w:r>
      <w:r>
        <w:t>.</w:t>
      </w:r>
    </w:p>
    <w:p w14:paraId="5A1D3D6F" w14:textId="77777777" w:rsidR="003C0AC3" w:rsidRPr="005A1A59" w:rsidRDefault="003C0AC3" w:rsidP="003C0AC3">
      <w:pPr>
        <w:pStyle w:val="BodyText"/>
      </w:pPr>
    </w:p>
    <w:p w14:paraId="2ECAAB62" w14:textId="1030C6CB" w:rsidR="003C0AC3" w:rsidRPr="005A1A59" w:rsidRDefault="003C0AC3" w:rsidP="003C0AC3">
      <w:pPr>
        <w:pStyle w:val="BodyText"/>
        <w:tabs>
          <w:tab w:val="left" w:pos="1080"/>
        </w:tabs>
        <w:ind w:firstLine="0"/>
      </w:pPr>
      <w:r w:rsidRPr="005A1A59">
        <w:t>TABLE </w:t>
      </w:r>
      <w:r w:rsidRPr="005A1A59">
        <w:fldChar w:fldCharType="begin"/>
      </w:r>
      <w:r w:rsidRPr="005A1A59">
        <w:instrText xml:space="preserve"> SEQ </w:instrText>
      </w:r>
      <w:r>
        <w:instrText>Table</w:instrText>
      </w:r>
      <w:r w:rsidRPr="005A1A59">
        <w:instrText xml:space="preserve"> \* ARABIC </w:instrText>
      </w:r>
      <w:r w:rsidRPr="005A1A59">
        <w:fldChar w:fldCharType="separate"/>
      </w:r>
      <w:r>
        <w:rPr>
          <w:noProof/>
        </w:rPr>
        <w:t>3</w:t>
      </w:r>
      <w:r w:rsidRPr="005A1A59">
        <w:fldChar w:fldCharType="end"/>
      </w:r>
      <w:r w:rsidRPr="005A1A59">
        <w:t>.</w:t>
      </w:r>
      <w:r w:rsidRPr="002C288E">
        <w:rPr>
          <w:sz w:val="18"/>
          <w:szCs w:val="18"/>
        </w:rPr>
        <w:tab/>
      </w:r>
      <w:r w:rsidR="00221BCA">
        <w:t>Open-source MOOSE modules that support the NEAMS thermal-hydraulics simulation tools.</w:t>
      </w:r>
    </w:p>
    <w:tbl>
      <w:tblPr>
        <w:tblStyle w:val="TableGrid"/>
        <w:tblW w:w="9045" w:type="dxa"/>
        <w:jc w:val="center"/>
        <w:tblLayout w:type="fixed"/>
        <w:tblLook w:val="04A0" w:firstRow="1" w:lastRow="0" w:firstColumn="1" w:lastColumn="0" w:noHBand="0" w:noVBand="1"/>
      </w:tblPr>
      <w:tblGrid>
        <w:gridCol w:w="985"/>
        <w:gridCol w:w="1080"/>
        <w:gridCol w:w="1850"/>
        <w:gridCol w:w="1300"/>
        <w:gridCol w:w="900"/>
        <w:gridCol w:w="905"/>
        <w:gridCol w:w="2025"/>
      </w:tblGrid>
      <w:tr w:rsidR="00B812E4" w:rsidRPr="005A1A59" w14:paraId="3C874640" w14:textId="77777777" w:rsidTr="00D21619">
        <w:trPr>
          <w:jc w:val="center"/>
        </w:trPr>
        <w:tc>
          <w:tcPr>
            <w:tcW w:w="985" w:type="dxa"/>
            <w:vAlign w:val="center"/>
          </w:tcPr>
          <w:p w14:paraId="0DF2796B" w14:textId="3089D4A7" w:rsidR="00DB6E70" w:rsidRPr="005A1A59" w:rsidRDefault="00CB219F" w:rsidP="00CB219F">
            <w:pPr>
              <w:pStyle w:val="BodyText"/>
              <w:ind w:firstLine="0"/>
              <w:jc w:val="left"/>
            </w:pPr>
            <w:r>
              <w:t>Module</w:t>
            </w:r>
          </w:p>
        </w:tc>
        <w:tc>
          <w:tcPr>
            <w:tcW w:w="1080" w:type="dxa"/>
            <w:vAlign w:val="center"/>
          </w:tcPr>
          <w:p w14:paraId="335A4064" w14:textId="0F088D8A" w:rsidR="00DB6E70" w:rsidRPr="005A1A59" w:rsidRDefault="00CB219F" w:rsidP="00CB219F">
            <w:pPr>
              <w:pStyle w:val="BodyText"/>
              <w:ind w:firstLine="0"/>
              <w:jc w:val="center"/>
            </w:pPr>
            <w:r>
              <w:t>Scale</w:t>
            </w:r>
          </w:p>
        </w:tc>
        <w:tc>
          <w:tcPr>
            <w:tcW w:w="1850" w:type="dxa"/>
            <w:vAlign w:val="center"/>
          </w:tcPr>
          <w:p w14:paraId="301DA332" w14:textId="4A07CDD2" w:rsidR="00DB6E70" w:rsidRPr="005A1A59" w:rsidRDefault="00CB219F" w:rsidP="00CB219F">
            <w:pPr>
              <w:pStyle w:val="BodyText"/>
              <w:ind w:firstLine="0"/>
              <w:jc w:val="center"/>
            </w:pPr>
            <w:r>
              <w:t>Flow Formulation</w:t>
            </w:r>
          </w:p>
        </w:tc>
        <w:tc>
          <w:tcPr>
            <w:tcW w:w="1300" w:type="dxa"/>
            <w:vAlign w:val="center"/>
          </w:tcPr>
          <w:p w14:paraId="5A90BBBB" w14:textId="7A7D260F" w:rsidR="00DB6E70" w:rsidRPr="005A1A59" w:rsidRDefault="00CB219F" w:rsidP="00CB219F">
            <w:pPr>
              <w:pStyle w:val="BodyText"/>
              <w:ind w:firstLine="0"/>
              <w:jc w:val="center"/>
            </w:pPr>
            <w:r>
              <w:t>Dimension</w:t>
            </w:r>
          </w:p>
        </w:tc>
        <w:tc>
          <w:tcPr>
            <w:tcW w:w="900" w:type="dxa"/>
            <w:vAlign w:val="center"/>
          </w:tcPr>
          <w:p w14:paraId="7D7EE553" w14:textId="32A59251" w:rsidR="00DB6E70" w:rsidRPr="005A1A59" w:rsidRDefault="00E85A6A" w:rsidP="00CB219F">
            <w:pPr>
              <w:pStyle w:val="BodyText"/>
              <w:ind w:firstLine="0"/>
              <w:jc w:val="center"/>
            </w:pPr>
            <w:r>
              <w:t>Element Count</w:t>
            </w:r>
          </w:p>
        </w:tc>
        <w:tc>
          <w:tcPr>
            <w:tcW w:w="905" w:type="dxa"/>
            <w:vAlign w:val="center"/>
          </w:tcPr>
          <w:p w14:paraId="22C19021" w14:textId="534C5433" w:rsidR="00DB6E70" w:rsidRPr="005A1A59" w:rsidRDefault="00E85A6A" w:rsidP="00CB219F">
            <w:pPr>
              <w:pStyle w:val="BodyText"/>
              <w:ind w:firstLine="0"/>
              <w:jc w:val="center"/>
            </w:pPr>
            <w:r>
              <w:t>Typical Runtime</w:t>
            </w:r>
          </w:p>
        </w:tc>
        <w:tc>
          <w:tcPr>
            <w:tcW w:w="2025" w:type="dxa"/>
            <w:vAlign w:val="center"/>
          </w:tcPr>
          <w:p w14:paraId="7C0A91C6" w14:textId="6C8D774D" w:rsidR="00DB6E70" w:rsidRPr="005A1A59" w:rsidRDefault="008D3951" w:rsidP="00CB219F">
            <w:pPr>
              <w:pStyle w:val="BodyText"/>
              <w:ind w:firstLine="0"/>
              <w:jc w:val="center"/>
            </w:pPr>
            <w:r w:rsidRPr="00B53B8C">
              <w:t>Typical Simulations</w:t>
            </w:r>
          </w:p>
        </w:tc>
      </w:tr>
      <w:tr w:rsidR="002A314D" w:rsidRPr="005A1A59" w14:paraId="00A20010" w14:textId="77777777" w:rsidTr="00D21619">
        <w:trPr>
          <w:jc w:val="center"/>
        </w:trPr>
        <w:tc>
          <w:tcPr>
            <w:tcW w:w="985" w:type="dxa"/>
            <w:vAlign w:val="center"/>
          </w:tcPr>
          <w:p w14:paraId="17FF17AA" w14:textId="30A2F225" w:rsidR="002A314D" w:rsidRPr="00B812E4" w:rsidRDefault="002A314D" w:rsidP="00FA251B">
            <w:pPr>
              <w:pStyle w:val="BodyText"/>
              <w:ind w:firstLine="0"/>
              <w:jc w:val="left"/>
              <w:rPr>
                <w:sz w:val="18"/>
                <w:szCs w:val="18"/>
              </w:rPr>
            </w:pPr>
            <w:r w:rsidRPr="00B812E4">
              <w:rPr>
                <w:sz w:val="18"/>
                <w:szCs w:val="18"/>
              </w:rPr>
              <w:t>Navier-Stokes Module</w:t>
            </w:r>
          </w:p>
        </w:tc>
        <w:tc>
          <w:tcPr>
            <w:tcW w:w="1080" w:type="dxa"/>
            <w:vAlign w:val="center"/>
          </w:tcPr>
          <w:p w14:paraId="64A8AEBE" w14:textId="77777777" w:rsidR="002A314D" w:rsidRPr="00B812E4" w:rsidRDefault="002A314D" w:rsidP="00FA251B">
            <w:pPr>
              <w:pStyle w:val="BodyText"/>
              <w:ind w:firstLine="0"/>
              <w:jc w:val="center"/>
              <w:rPr>
                <w:sz w:val="18"/>
                <w:szCs w:val="18"/>
              </w:rPr>
            </w:pPr>
            <w:r w:rsidRPr="00B812E4">
              <w:rPr>
                <w:sz w:val="18"/>
                <w:szCs w:val="18"/>
              </w:rPr>
              <w:t>Coarse-Mesh CFD</w:t>
            </w:r>
          </w:p>
          <w:p w14:paraId="61D40B49" w14:textId="5125173A" w:rsidR="002A314D" w:rsidRPr="00B812E4" w:rsidRDefault="002A314D" w:rsidP="00FA251B">
            <w:pPr>
              <w:pStyle w:val="BodyText"/>
              <w:ind w:firstLine="0"/>
              <w:jc w:val="center"/>
              <w:rPr>
                <w:sz w:val="18"/>
                <w:szCs w:val="18"/>
              </w:rPr>
            </w:pPr>
            <w:r w:rsidRPr="00B812E4">
              <w:rPr>
                <w:sz w:val="18"/>
                <w:szCs w:val="18"/>
              </w:rPr>
              <w:t>RANS-CFD Simulations</w:t>
            </w:r>
          </w:p>
        </w:tc>
        <w:tc>
          <w:tcPr>
            <w:tcW w:w="1850" w:type="dxa"/>
            <w:vAlign w:val="center"/>
          </w:tcPr>
          <w:p w14:paraId="7F626821" w14:textId="1EB7C896" w:rsidR="00D21619" w:rsidRDefault="002A314D" w:rsidP="00D21619">
            <w:pPr>
              <w:pStyle w:val="ListParagraph"/>
              <w:numPr>
                <w:ilvl w:val="0"/>
                <w:numId w:val="37"/>
              </w:numPr>
              <w:ind w:left="74" w:hanging="180"/>
              <w:rPr>
                <w:sz w:val="18"/>
                <w:szCs w:val="18"/>
              </w:rPr>
            </w:pPr>
            <w:r w:rsidRPr="00B812E4">
              <w:rPr>
                <w:sz w:val="18"/>
                <w:szCs w:val="18"/>
              </w:rPr>
              <w:t>Incompressible,</w:t>
            </w:r>
          </w:p>
          <w:p w14:paraId="7E1BCE75" w14:textId="3FE76792" w:rsidR="00D21619" w:rsidRDefault="00D21619" w:rsidP="00D21619">
            <w:pPr>
              <w:pStyle w:val="ListParagraph"/>
              <w:ind w:left="74"/>
              <w:rPr>
                <w:sz w:val="18"/>
                <w:szCs w:val="18"/>
              </w:rPr>
            </w:pPr>
            <w:r>
              <w:rPr>
                <w:sz w:val="18"/>
                <w:szCs w:val="18"/>
              </w:rPr>
              <w:t>w</w:t>
            </w:r>
            <w:r w:rsidR="002A314D" w:rsidRPr="00B812E4">
              <w:rPr>
                <w:sz w:val="18"/>
                <w:szCs w:val="18"/>
              </w:rPr>
              <w:t>eak</w:t>
            </w:r>
            <w:r>
              <w:rPr>
                <w:sz w:val="18"/>
                <w:szCs w:val="18"/>
              </w:rPr>
              <w:t>ly c</w:t>
            </w:r>
            <w:r w:rsidR="002A314D" w:rsidRPr="00B812E4">
              <w:rPr>
                <w:sz w:val="18"/>
                <w:szCs w:val="18"/>
              </w:rPr>
              <w:t>ompressible</w:t>
            </w:r>
          </w:p>
          <w:p w14:paraId="7FBB44D6" w14:textId="4BB7A20F" w:rsidR="002A314D" w:rsidRPr="00B812E4" w:rsidRDefault="00D21619" w:rsidP="00D21619">
            <w:pPr>
              <w:pStyle w:val="ListParagraph"/>
              <w:ind w:left="74"/>
              <w:rPr>
                <w:sz w:val="18"/>
                <w:szCs w:val="18"/>
              </w:rPr>
            </w:pPr>
            <w:r>
              <w:rPr>
                <w:sz w:val="18"/>
                <w:szCs w:val="18"/>
              </w:rPr>
              <w:t>or f</w:t>
            </w:r>
            <w:r w:rsidR="002A314D" w:rsidRPr="00B812E4">
              <w:rPr>
                <w:sz w:val="18"/>
                <w:szCs w:val="18"/>
              </w:rPr>
              <w:t xml:space="preserve">ully </w:t>
            </w:r>
            <w:r>
              <w:rPr>
                <w:sz w:val="18"/>
                <w:szCs w:val="18"/>
              </w:rPr>
              <w:t>c</w:t>
            </w:r>
            <w:r w:rsidR="002A314D" w:rsidRPr="00B812E4">
              <w:rPr>
                <w:sz w:val="18"/>
                <w:szCs w:val="18"/>
              </w:rPr>
              <w:t>ompressible</w:t>
            </w:r>
          </w:p>
          <w:p w14:paraId="4E4CB3A9" w14:textId="1410C725" w:rsidR="002A314D" w:rsidRPr="00B812E4" w:rsidRDefault="00D21619" w:rsidP="00D21619">
            <w:pPr>
              <w:pStyle w:val="ListParagraph"/>
              <w:numPr>
                <w:ilvl w:val="0"/>
                <w:numId w:val="37"/>
              </w:numPr>
              <w:ind w:left="74" w:hanging="180"/>
              <w:rPr>
                <w:sz w:val="18"/>
                <w:szCs w:val="18"/>
              </w:rPr>
            </w:pPr>
            <w:r>
              <w:rPr>
                <w:sz w:val="18"/>
                <w:szCs w:val="18"/>
              </w:rPr>
              <w:t>1</w:t>
            </w:r>
            <w:r w:rsidR="002A314D" w:rsidRPr="00B812E4">
              <w:rPr>
                <w:sz w:val="18"/>
                <w:szCs w:val="18"/>
              </w:rPr>
              <w:t>- or multi-phase</w:t>
            </w:r>
          </w:p>
          <w:p w14:paraId="2C9EDFB1" w14:textId="3E030879" w:rsidR="002A314D" w:rsidRPr="00B812E4" w:rsidRDefault="00D21619" w:rsidP="00D21619">
            <w:pPr>
              <w:pStyle w:val="ListParagraph"/>
              <w:numPr>
                <w:ilvl w:val="0"/>
                <w:numId w:val="37"/>
              </w:numPr>
              <w:ind w:left="74" w:hanging="180"/>
              <w:rPr>
                <w:sz w:val="18"/>
                <w:szCs w:val="18"/>
              </w:rPr>
            </w:pPr>
            <w:r>
              <w:rPr>
                <w:sz w:val="18"/>
                <w:szCs w:val="18"/>
              </w:rPr>
              <w:t>1</w:t>
            </w:r>
            <w:r w:rsidR="002A314D" w:rsidRPr="00B812E4">
              <w:rPr>
                <w:sz w:val="18"/>
                <w:szCs w:val="18"/>
              </w:rPr>
              <w:t>- or multi-component flow</w:t>
            </w:r>
          </w:p>
        </w:tc>
        <w:tc>
          <w:tcPr>
            <w:tcW w:w="1300" w:type="dxa"/>
            <w:vAlign w:val="center"/>
          </w:tcPr>
          <w:p w14:paraId="61F29310" w14:textId="499F64C3" w:rsidR="002A314D" w:rsidRPr="00C67C79" w:rsidRDefault="002A314D" w:rsidP="00801BAF">
            <w:pPr>
              <w:pStyle w:val="ListParagraph"/>
              <w:numPr>
                <w:ilvl w:val="0"/>
                <w:numId w:val="37"/>
              </w:numPr>
              <w:ind w:left="74" w:hanging="180"/>
              <w:rPr>
                <w:sz w:val="18"/>
                <w:szCs w:val="18"/>
              </w:rPr>
            </w:pPr>
            <w:r w:rsidRPr="00C67C79">
              <w:rPr>
                <w:sz w:val="18"/>
                <w:szCs w:val="18"/>
              </w:rPr>
              <w:t xml:space="preserve">Typically, 2D </w:t>
            </w:r>
            <w:proofErr w:type="spellStart"/>
            <w:r w:rsidRPr="00C67C79">
              <w:rPr>
                <w:sz w:val="18"/>
                <w:szCs w:val="18"/>
              </w:rPr>
              <w:t>axisymmetricor</w:t>
            </w:r>
            <w:proofErr w:type="spellEnd"/>
            <w:r w:rsidRPr="00C67C79">
              <w:rPr>
                <w:sz w:val="18"/>
                <w:szCs w:val="18"/>
              </w:rPr>
              <w:t xml:space="preserve"> 3D</w:t>
            </w:r>
          </w:p>
          <w:p w14:paraId="185B7119" w14:textId="3B61A6DB" w:rsidR="002A314D" w:rsidRPr="00B812E4" w:rsidRDefault="00D21619" w:rsidP="00801BAF">
            <w:pPr>
              <w:pStyle w:val="ListParagraph"/>
              <w:numPr>
                <w:ilvl w:val="0"/>
                <w:numId w:val="37"/>
              </w:numPr>
              <w:ind w:left="74" w:hanging="180"/>
              <w:rPr>
                <w:sz w:val="18"/>
                <w:szCs w:val="18"/>
              </w:rPr>
            </w:pPr>
            <w:r>
              <w:rPr>
                <w:sz w:val="18"/>
                <w:szCs w:val="18"/>
              </w:rPr>
              <w:t>Usable</w:t>
            </w:r>
            <w:r w:rsidR="002A314D" w:rsidRPr="00C67C79">
              <w:rPr>
                <w:sz w:val="18"/>
                <w:szCs w:val="18"/>
              </w:rPr>
              <w:t xml:space="preserve"> in 1D</w:t>
            </w:r>
          </w:p>
        </w:tc>
        <w:tc>
          <w:tcPr>
            <w:tcW w:w="900" w:type="dxa"/>
            <w:vAlign w:val="center"/>
          </w:tcPr>
          <w:p w14:paraId="070E90F2" w14:textId="6A10CF49" w:rsidR="002A314D" w:rsidRPr="00B812E4" w:rsidRDefault="002A314D" w:rsidP="00FA251B">
            <w:pPr>
              <w:jc w:val="center"/>
              <w:rPr>
                <w:sz w:val="18"/>
                <w:szCs w:val="18"/>
              </w:rPr>
            </w:pPr>
            <w:r w:rsidRPr="00C67C79">
              <w:rPr>
                <w:sz w:val="18"/>
                <w:szCs w:val="18"/>
              </w:rPr>
              <w:t>10,000</w:t>
            </w:r>
            <w:r w:rsidR="00546525">
              <w:rPr>
                <w:sz w:val="18"/>
                <w:szCs w:val="18"/>
              </w:rPr>
              <w:t xml:space="preserve"> t</w:t>
            </w:r>
            <w:r w:rsidR="00546525" w:rsidRPr="00546525">
              <w:rPr>
                <w:sz w:val="18"/>
                <w:szCs w:val="18"/>
              </w:rPr>
              <w:t>ypical</w:t>
            </w:r>
            <w:r w:rsidR="00546525">
              <w:rPr>
                <w:sz w:val="18"/>
                <w:szCs w:val="18"/>
              </w:rPr>
              <w:t>ly</w:t>
            </w:r>
          </w:p>
        </w:tc>
        <w:tc>
          <w:tcPr>
            <w:tcW w:w="905" w:type="dxa"/>
            <w:vAlign w:val="center"/>
          </w:tcPr>
          <w:p w14:paraId="50BFB502" w14:textId="4C03838D" w:rsidR="002A314D" w:rsidRPr="00B812E4" w:rsidRDefault="002A314D" w:rsidP="00FA251B">
            <w:pPr>
              <w:jc w:val="center"/>
              <w:rPr>
                <w:sz w:val="18"/>
                <w:szCs w:val="18"/>
              </w:rPr>
            </w:pPr>
            <w:r w:rsidRPr="00C67C79">
              <w:rPr>
                <w:sz w:val="18"/>
                <w:szCs w:val="18"/>
              </w:rPr>
              <w:t>1 minute</w:t>
            </w:r>
          </w:p>
        </w:tc>
        <w:tc>
          <w:tcPr>
            <w:tcW w:w="2025" w:type="dxa"/>
            <w:vAlign w:val="center"/>
          </w:tcPr>
          <w:p w14:paraId="3DDA97C2" w14:textId="77777777" w:rsidR="002A314D" w:rsidRPr="00C67C79" w:rsidRDefault="002A314D" w:rsidP="00801BAF">
            <w:pPr>
              <w:pStyle w:val="ListParagraph"/>
              <w:numPr>
                <w:ilvl w:val="0"/>
                <w:numId w:val="37"/>
              </w:numPr>
              <w:ind w:left="74" w:hanging="180"/>
              <w:rPr>
                <w:sz w:val="18"/>
                <w:szCs w:val="18"/>
              </w:rPr>
            </w:pPr>
            <w:r w:rsidRPr="00C67C79">
              <w:rPr>
                <w:sz w:val="18"/>
                <w:szCs w:val="18"/>
              </w:rPr>
              <w:t>Flow through nuclear reactor core or plena</w:t>
            </w:r>
          </w:p>
          <w:p w14:paraId="05FCB7A9" w14:textId="56E5F43A" w:rsidR="002A314D" w:rsidRPr="00C67C79" w:rsidRDefault="002A314D" w:rsidP="00801BAF">
            <w:pPr>
              <w:pStyle w:val="ListParagraph"/>
              <w:numPr>
                <w:ilvl w:val="0"/>
                <w:numId w:val="37"/>
              </w:numPr>
              <w:ind w:left="74" w:hanging="180"/>
              <w:rPr>
                <w:sz w:val="18"/>
                <w:szCs w:val="18"/>
              </w:rPr>
            </w:pPr>
            <w:r w:rsidRPr="00C67C79">
              <w:rPr>
                <w:sz w:val="18"/>
                <w:szCs w:val="18"/>
              </w:rPr>
              <w:t>3D multi-phase flow in pipes</w:t>
            </w:r>
          </w:p>
          <w:p w14:paraId="65F845FE" w14:textId="4B1E7B20" w:rsidR="002A314D" w:rsidRPr="00B812E4" w:rsidRDefault="002A314D" w:rsidP="00801BAF">
            <w:pPr>
              <w:pStyle w:val="ListParagraph"/>
              <w:numPr>
                <w:ilvl w:val="0"/>
                <w:numId w:val="37"/>
              </w:numPr>
              <w:ind w:left="74" w:hanging="180"/>
              <w:rPr>
                <w:sz w:val="18"/>
                <w:szCs w:val="18"/>
              </w:rPr>
            </w:pPr>
            <w:r w:rsidRPr="00C67C79">
              <w:rPr>
                <w:sz w:val="18"/>
                <w:szCs w:val="18"/>
              </w:rPr>
              <w:t>Natural convection flow in open cavities</w:t>
            </w:r>
          </w:p>
        </w:tc>
      </w:tr>
      <w:tr w:rsidR="002A314D" w:rsidRPr="005A1A59" w14:paraId="14198404" w14:textId="77777777" w:rsidTr="00D21619">
        <w:trPr>
          <w:jc w:val="center"/>
        </w:trPr>
        <w:tc>
          <w:tcPr>
            <w:tcW w:w="985" w:type="dxa"/>
            <w:vAlign w:val="center"/>
          </w:tcPr>
          <w:p w14:paraId="2A9C554A" w14:textId="72929C04" w:rsidR="002A314D" w:rsidRPr="00B812E4" w:rsidRDefault="002A314D" w:rsidP="00FA251B">
            <w:pPr>
              <w:pStyle w:val="BodyText"/>
              <w:ind w:firstLine="0"/>
              <w:jc w:val="left"/>
              <w:rPr>
                <w:sz w:val="18"/>
                <w:szCs w:val="18"/>
              </w:rPr>
            </w:pPr>
            <w:r w:rsidRPr="00B812E4">
              <w:rPr>
                <w:sz w:val="18"/>
                <w:szCs w:val="18"/>
              </w:rPr>
              <w:t>Subchannel Module</w:t>
            </w:r>
          </w:p>
        </w:tc>
        <w:tc>
          <w:tcPr>
            <w:tcW w:w="1080" w:type="dxa"/>
            <w:vAlign w:val="center"/>
          </w:tcPr>
          <w:p w14:paraId="13EA88DA" w14:textId="665C1121" w:rsidR="002A314D" w:rsidRPr="00B812E4" w:rsidRDefault="002A314D" w:rsidP="00FA251B">
            <w:pPr>
              <w:pStyle w:val="BodyText"/>
              <w:ind w:firstLine="0"/>
              <w:jc w:val="center"/>
              <w:rPr>
                <w:sz w:val="18"/>
                <w:szCs w:val="18"/>
              </w:rPr>
            </w:pPr>
            <w:r>
              <w:rPr>
                <w:sz w:val="18"/>
                <w:szCs w:val="18"/>
              </w:rPr>
              <w:t>Subchannel Scale</w:t>
            </w:r>
          </w:p>
        </w:tc>
        <w:tc>
          <w:tcPr>
            <w:tcW w:w="1850" w:type="dxa"/>
            <w:vAlign w:val="center"/>
          </w:tcPr>
          <w:p w14:paraId="0778DCD5" w14:textId="528C0081" w:rsidR="002A314D" w:rsidRPr="00D21619" w:rsidRDefault="002A314D" w:rsidP="00D21619">
            <w:pPr>
              <w:pStyle w:val="ListParagraph"/>
              <w:numPr>
                <w:ilvl w:val="0"/>
                <w:numId w:val="37"/>
              </w:numPr>
              <w:ind w:left="74" w:hanging="180"/>
              <w:rPr>
                <w:sz w:val="18"/>
                <w:szCs w:val="18"/>
              </w:rPr>
            </w:pPr>
            <w:r w:rsidRPr="00D21619">
              <w:rPr>
                <w:sz w:val="18"/>
                <w:szCs w:val="18"/>
              </w:rPr>
              <w:t xml:space="preserve">Incompressible or </w:t>
            </w:r>
            <w:r w:rsidR="00D21619">
              <w:rPr>
                <w:sz w:val="18"/>
                <w:szCs w:val="18"/>
              </w:rPr>
              <w:t>w</w:t>
            </w:r>
            <w:r w:rsidRPr="00D21619">
              <w:rPr>
                <w:sz w:val="18"/>
                <w:szCs w:val="18"/>
              </w:rPr>
              <w:t xml:space="preserve">eakly </w:t>
            </w:r>
            <w:r w:rsidR="00D21619">
              <w:rPr>
                <w:sz w:val="18"/>
                <w:szCs w:val="18"/>
              </w:rPr>
              <w:t>c</w:t>
            </w:r>
            <w:r w:rsidRPr="00D21619">
              <w:rPr>
                <w:sz w:val="18"/>
                <w:szCs w:val="18"/>
              </w:rPr>
              <w:t>ompressible</w:t>
            </w:r>
          </w:p>
          <w:p w14:paraId="42BC98F1" w14:textId="77777777" w:rsidR="002A314D" w:rsidRPr="00C67C79" w:rsidRDefault="002A314D" w:rsidP="00D21619">
            <w:pPr>
              <w:pStyle w:val="ListParagraph"/>
              <w:numPr>
                <w:ilvl w:val="0"/>
                <w:numId w:val="37"/>
              </w:numPr>
              <w:ind w:left="74" w:hanging="180"/>
              <w:rPr>
                <w:sz w:val="18"/>
                <w:szCs w:val="18"/>
              </w:rPr>
            </w:pPr>
            <w:r w:rsidRPr="00C67C79">
              <w:rPr>
                <w:sz w:val="18"/>
                <w:szCs w:val="18"/>
              </w:rPr>
              <w:t>Single-phase</w:t>
            </w:r>
          </w:p>
          <w:p w14:paraId="61E910AB" w14:textId="251E93EF" w:rsidR="002A314D" w:rsidRPr="00B812E4" w:rsidRDefault="002A314D" w:rsidP="00D21619">
            <w:pPr>
              <w:pStyle w:val="ListParagraph"/>
              <w:numPr>
                <w:ilvl w:val="0"/>
                <w:numId w:val="37"/>
              </w:numPr>
              <w:ind w:left="74" w:hanging="180"/>
              <w:rPr>
                <w:sz w:val="18"/>
                <w:szCs w:val="18"/>
              </w:rPr>
            </w:pPr>
            <w:r w:rsidRPr="00C67C79">
              <w:rPr>
                <w:sz w:val="18"/>
                <w:szCs w:val="18"/>
              </w:rPr>
              <w:t>Single- or multi-component flow</w:t>
            </w:r>
          </w:p>
        </w:tc>
        <w:tc>
          <w:tcPr>
            <w:tcW w:w="1300" w:type="dxa"/>
            <w:vAlign w:val="center"/>
          </w:tcPr>
          <w:p w14:paraId="6B666552" w14:textId="77777777" w:rsidR="002A314D" w:rsidRPr="00C67C79" w:rsidRDefault="002A314D" w:rsidP="00FA251B">
            <w:pPr>
              <w:jc w:val="center"/>
              <w:rPr>
                <w:sz w:val="18"/>
                <w:szCs w:val="18"/>
              </w:rPr>
            </w:pPr>
            <w:r w:rsidRPr="00C67C79">
              <w:rPr>
                <w:sz w:val="18"/>
                <w:szCs w:val="18"/>
              </w:rPr>
              <w:t>Typically, 3D</w:t>
            </w:r>
          </w:p>
          <w:p w14:paraId="044BA1A1" w14:textId="5249EDCE" w:rsidR="002A314D" w:rsidRPr="00B812E4" w:rsidRDefault="002A314D" w:rsidP="00FA251B">
            <w:pPr>
              <w:pStyle w:val="BodyText"/>
              <w:ind w:firstLine="0"/>
              <w:jc w:val="center"/>
              <w:rPr>
                <w:sz w:val="18"/>
                <w:szCs w:val="18"/>
              </w:rPr>
            </w:pPr>
            <w:r w:rsidRPr="00C67C79">
              <w:rPr>
                <w:sz w:val="18"/>
                <w:szCs w:val="18"/>
              </w:rPr>
              <w:t>Can be used in 1D and 2D</w:t>
            </w:r>
          </w:p>
        </w:tc>
        <w:tc>
          <w:tcPr>
            <w:tcW w:w="900" w:type="dxa"/>
            <w:vAlign w:val="center"/>
          </w:tcPr>
          <w:p w14:paraId="64845010" w14:textId="4CC85D17" w:rsidR="002A314D" w:rsidRPr="00B812E4" w:rsidRDefault="002A314D" w:rsidP="00FA251B">
            <w:pPr>
              <w:jc w:val="center"/>
              <w:rPr>
                <w:sz w:val="18"/>
                <w:szCs w:val="18"/>
              </w:rPr>
            </w:pPr>
            <w:r w:rsidRPr="00C67C79">
              <w:rPr>
                <w:sz w:val="18"/>
                <w:szCs w:val="18"/>
              </w:rPr>
              <w:t>100,000</w:t>
            </w:r>
            <w:r w:rsidR="00546525">
              <w:rPr>
                <w:sz w:val="18"/>
                <w:szCs w:val="18"/>
              </w:rPr>
              <w:t xml:space="preserve"> t</w:t>
            </w:r>
            <w:r w:rsidR="00546525" w:rsidRPr="00546525">
              <w:rPr>
                <w:sz w:val="18"/>
                <w:szCs w:val="18"/>
              </w:rPr>
              <w:t>ypical</w:t>
            </w:r>
            <w:r w:rsidR="00546525">
              <w:rPr>
                <w:sz w:val="18"/>
                <w:szCs w:val="18"/>
              </w:rPr>
              <w:t>ly</w:t>
            </w:r>
          </w:p>
        </w:tc>
        <w:tc>
          <w:tcPr>
            <w:tcW w:w="905" w:type="dxa"/>
            <w:vAlign w:val="center"/>
          </w:tcPr>
          <w:p w14:paraId="37FC36C7" w14:textId="7954376A" w:rsidR="002A314D" w:rsidRPr="00B812E4" w:rsidRDefault="002A314D" w:rsidP="00FA251B">
            <w:pPr>
              <w:jc w:val="center"/>
              <w:rPr>
                <w:sz w:val="18"/>
                <w:szCs w:val="18"/>
              </w:rPr>
            </w:pPr>
            <w:r w:rsidRPr="00C67C79">
              <w:rPr>
                <w:sz w:val="18"/>
                <w:szCs w:val="18"/>
              </w:rPr>
              <w:t>10 seconds</w:t>
            </w:r>
          </w:p>
        </w:tc>
        <w:tc>
          <w:tcPr>
            <w:tcW w:w="2025" w:type="dxa"/>
            <w:vAlign w:val="center"/>
          </w:tcPr>
          <w:p w14:paraId="45316C6E" w14:textId="2EDED8EB" w:rsidR="002A314D" w:rsidRPr="00B812E4" w:rsidRDefault="002A314D" w:rsidP="00801BAF">
            <w:pPr>
              <w:pStyle w:val="ListParagraph"/>
              <w:numPr>
                <w:ilvl w:val="0"/>
                <w:numId w:val="37"/>
              </w:numPr>
              <w:ind w:left="74" w:hanging="180"/>
              <w:rPr>
                <w:sz w:val="18"/>
                <w:szCs w:val="18"/>
              </w:rPr>
            </w:pPr>
            <w:r w:rsidRPr="00C67C79">
              <w:rPr>
                <w:sz w:val="18"/>
                <w:szCs w:val="18"/>
              </w:rPr>
              <w:t>Flow development, blockage, and natural convection cooling of nuclear reactor fuel assembly</w:t>
            </w:r>
          </w:p>
        </w:tc>
      </w:tr>
      <w:tr w:rsidR="002A314D" w:rsidRPr="005A1A59" w14:paraId="190551E3" w14:textId="77777777" w:rsidTr="00D21619">
        <w:trPr>
          <w:jc w:val="center"/>
        </w:trPr>
        <w:tc>
          <w:tcPr>
            <w:tcW w:w="985" w:type="dxa"/>
            <w:vAlign w:val="center"/>
          </w:tcPr>
          <w:p w14:paraId="5977EE45" w14:textId="376662A1" w:rsidR="002A314D" w:rsidRPr="00B812E4" w:rsidRDefault="002A314D" w:rsidP="00FA251B">
            <w:pPr>
              <w:pStyle w:val="BodyText"/>
              <w:ind w:firstLine="0"/>
              <w:jc w:val="left"/>
              <w:rPr>
                <w:sz w:val="18"/>
                <w:szCs w:val="18"/>
              </w:rPr>
            </w:pPr>
            <w:r w:rsidRPr="00B812E4">
              <w:rPr>
                <w:sz w:val="18"/>
                <w:szCs w:val="18"/>
              </w:rPr>
              <w:t>Thermal-Hydraulics Module</w:t>
            </w:r>
          </w:p>
        </w:tc>
        <w:tc>
          <w:tcPr>
            <w:tcW w:w="1080" w:type="dxa"/>
            <w:vAlign w:val="center"/>
          </w:tcPr>
          <w:p w14:paraId="68FC9FDC" w14:textId="66B266CB" w:rsidR="002A314D" w:rsidRPr="00B812E4" w:rsidRDefault="002A314D" w:rsidP="00FA251B">
            <w:pPr>
              <w:pStyle w:val="BodyText"/>
              <w:ind w:firstLine="0"/>
              <w:jc w:val="center"/>
              <w:rPr>
                <w:sz w:val="18"/>
                <w:szCs w:val="18"/>
              </w:rPr>
            </w:pPr>
            <w:r>
              <w:rPr>
                <w:sz w:val="18"/>
                <w:szCs w:val="18"/>
              </w:rPr>
              <w:t>Lumped-Parameters Simulations</w:t>
            </w:r>
          </w:p>
        </w:tc>
        <w:tc>
          <w:tcPr>
            <w:tcW w:w="1850" w:type="dxa"/>
            <w:vAlign w:val="center"/>
          </w:tcPr>
          <w:p w14:paraId="4A7C0544" w14:textId="77777777" w:rsidR="002A314D" w:rsidRPr="00C67C79" w:rsidRDefault="002A314D" w:rsidP="00801BAF">
            <w:pPr>
              <w:pStyle w:val="ListParagraph"/>
              <w:numPr>
                <w:ilvl w:val="0"/>
                <w:numId w:val="37"/>
              </w:numPr>
              <w:ind w:left="74" w:hanging="180"/>
              <w:rPr>
                <w:sz w:val="18"/>
                <w:szCs w:val="18"/>
              </w:rPr>
            </w:pPr>
            <w:r w:rsidRPr="00C67C79">
              <w:rPr>
                <w:sz w:val="18"/>
                <w:szCs w:val="18"/>
              </w:rPr>
              <w:t>Compressible</w:t>
            </w:r>
          </w:p>
          <w:p w14:paraId="12E2F000" w14:textId="77777777" w:rsidR="002A314D" w:rsidRPr="00C67C79" w:rsidRDefault="002A314D" w:rsidP="00801BAF">
            <w:pPr>
              <w:pStyle w:val="ListParagraph"/>
              <w:numPr>
                <w:ilvl w:val="0"/>
                <w:numId w:val="37"/>
              </w:numPr>
              <w:ind w:left="74" w:hanging="180"/>
              <w:rPr>
                <w:sz w:val="18"/>
                <w:szCs w:val="18"/>
              </w:rPr>
            </w:pPr>
            <w:r w:rsidRPr="00C67C79">
              <w:rPr>
                <w:sz w:val="18"/>
                <w:szCs w:val="18"/>
              </w:rPr>
              <w:t>Single-phase</w:t>
            </w:r>
          </w:p>
          <w:p w14:paraId="3E8DB01C" w14:textId="1424B212" w:rsidR="002A314D" w:rsidRPr="00B812E4" w:rsidRDefault="002A314D" w:rsidP="00801BAF">
            <w:pPr>
              <w:pStyle w:val="ListParagraph"/>
              <w:numPr>
                <w:ilvl w:val="0"/>
                <w:numId w:val="37"/>
              </w:numPr>
              <w:ind w:left="74" w:hanging="180"/>
              <w:rPr>
                <w:sz w:val="18"/>
                <w:szCs w:val="18"/>
              </w:rPr>
            </w:pPr>
            <w:r w:rsidRPr="00C67C79">
              <w:rPr>
                <w:sz w:val="18"/>
                <w:szCs w:val="18"/>
              </w:rPr>
              <w:t>Single-component flow</w:t>
            </w:r>
          </w:p>
        </w:tc>
        <w:tc>
          <w:tcPr>
            <w:tcW w:w="1300" w:type="dxa"/>
            <w:vAlign w:val="center"/>
          </w:tcPr>
          <w:p w14:paraId="5CA9FF4E" w14:textId="36346924" w:rsidR="002A314D" w:rsidRPr="00B812E4" w:rsidRDefault="002A314D" w:rsidP="00FA251B">
            <w:pPr>
              <w:jc w:val="center"/>
              <w:rPr>
                <w:sz w:val="18"/>
                <w:szCs w:val="18"/>
              </w:rPr>
            </w:pPr>
            <w:r w:rsidRPr="00C67C79">
              <w:rPr>
                <w:sz w:val="18"/>
                <w:szCs w:val="18"/>
              </w:rPr>
              <w:t>1D, 0D</w:t>
            </w:r>
          </w:p>
        </w:tc>
        <w:tc>
          <w:tcPr>
            <w:tcW w:w="900" w:type="dxa"/>
            <w:vAlign w:val="center"/>
          </w:tcPr>
          <w:p w14:paraId="00B44B13" w14:textId="72E9005A" w:rsidR="002A314D" w:rsidRPr="00B812E4" w:rsidRDefault="002A314D" w:rsidP="00FA251B">
            <w:pPr>
              <w:jc w:val="center"/>
              <w:rPr>
                <w:sz w:val="18"/>
                <w:szCs w:val="18"/>
              </w:rPr>
            </w:pPr>
            <w:r w:rsidRPr="00C67C79">
              <w:rPr>
                <w:sz w:val="18"/>
                <w:szCs w:val="18"/>
              </w:rPr>
              <w:t>100</w:t>
            </w:r>
            <w:r w:rsidR="00546525">
              <w:rPr>
                <w:sz w:val="18"/>
                <w:szCs w:val="18"/>
              </w:rPr>
              <w:t xml:space="preserve"> t</w:t>
            </w:r>
            <w:r w:rsidR="00546525" w:rsidRPr="00546525">
              <w:rPr>
                <w:sz w:val="18"/>
                <w:szCs w:val="18"/>
              </w:rPr>
              <w:t>ypical</w:t>
            </w:r>
            <w:r w:rsidR="00546525">
              <w:rPr>
                <w:sz w:val="18"/>
                <w:szCs w:val="18"/>
              </w:rPr>
              <w:t>ly</w:t>
            </w:r>
          </w:p>
        </w:tc>
        <w:tc>
          <w:tcPr>
            <w:tcW w:w="905" w:type="dxa"/>
            <w:vAlign w:val="center"/>
          </w:tcPr>
          <w:p w14:paraId="1FB0D56C" w14:textId="3DF21D12" w:rsidR="002A314D" w:rsidRPr="00B812E4" w:rsidRDefault="002A314D" w:rsidP="00FA251B">
            <w:pPr>
              <w:jc w:val="center"/>
              <w:rPr>
                <w:sz w:val="18"/>
                <w:szCs w:val="18"/>
              </w:rPr>
            </w:pPr>
            <w:r w:rsidRPr="00C67C79">
              <w:rPr>
                <w:sz w:val="18"/>
                <w:szCs w:val="18"/>
              </w:rPr>
              <w:t>10 seconds</w:t>
            </w:r>
          </w:p>
        </w:tc>
        <w:tc>
          <w:tcPr>
            <w:tcW w:w="2025" w:type="dxa"/>
            <w:vAlign w:val="center"/>
          </w:tcPr>
          <w:p w14:paraId="5DF84895" w14:textId="5D4861AF" w:rsidR="002A314D" w:rsidRPr="00B812E4" w:rsidRDefault="002A314D" w:rsidP="00801BAF">
            <w:pPr>
              <w:pStyle w:val="ListParagraph"/>
              <w:numPr>
                <w:ilvl w:val="0"/>
                <w:numId w:val="37"/>
              </w:numPr>
              <w:ind w:left="74" w:hanging="180"/>
              <w:rPr>
                <w:sz w:val="18"/>
                <w:szCs w:val="18"/>
              </w:rPr>
            </w:pPr>
            <w:r w:rsidRPr="00C67C79">
              <w:rPr>
                <w:sz w:val="18"/>
                <w:szCs w:val="18"/>
              </w:rPr>
              <w:t>Heat extraction unit from reactor core; Thermal loops with compressibility effects</w:t>
            </w:r>
          </w:p>
        </w:tc>
      </w:tr>
    </w:tbl>
    <w:p w14:paraId="089A1993" w14:textId="02DA36C1" w:rsidR="00546525" w:rsidRDefault="00546525" w:rsidP="00546525">
      <w:pPr>
        <w:pStyle w:val="BodyText"/>
      </w:pPr>
    </w:p>
    <w:p w14:paraId="7601504C" w14:textId="25E313CD" w:rsidR="003E3545" w:rsidRPr="00DA356E" w:rsidRDefault="00485D6F" w:rsidP="003E3545">
      <w:pPr>
        <w:pStyle w:val="FigureGraphic"/>
      </w:pPr>
      <w:r>
        <w:rPr>
          <w:noProof/>
        </w:rPr>
        <mc:AlternateContent>
          <mc:Choice Requires="wpg">
            <w:drawing>
              <wp:anchor distT="0" distB="0" distL="114300" distR="114300" simplePos="0" relativeHeight="251665408" behindDoc="0" locked="0" layoutInCell="1" allowOverlap="1" wp14:anchorId="137B5E1E" wp14:editId="636F87E9">
                <wp:simplePos x="0" y="0"/>
                <wp:positionH relativeFrom="column">
                  <wp:posOffset>585537</wp:posOffset>
                </wp:positionH>
                <wp:positionV relativeFrom="paragraph">
                  <wp:posOffset>99929</wp:posOffset>
                </wp:positionV>
                <wp:extent cx="4659630" cy="2262188"/>
                <wp:effectExtent l="0" t="0" r="26670" b="24130"/>
                <wp:wrapNone/>
                <wp:docPr id="339495767" name="Group 5"/>
                <wp:cNvGraphicFramePr/>
                <a:graphic xmlns:a="http://schemas.openxmlformats.org/drawingml/2006/main">
                  <a:graphicData uri="http://schemas.microsoft.com/office/word/2010/wordprocessingGroup">
                    <wpg:wgp>
                      <wpg:cNvGrpSpPr/>
                      <wpg:grpSpPr>
                        <a:xfrm>
                          <a:off x="0" y="0"/>
                          <a:ext cx="4659630" cy="2262188"/>
                          <a:chOff x="0" y="0"/>
                          <a:chExt cx="4659630" cy="2262188"/>
                        </a:xfrm>
                      </wpg:grpSpPr>
                      <wps:wsp>
                        <wps:cNvPr id="217" name="Text Box 2"/>
                        <wps:cNvSpPr txBox="1">
                          <a:spLocks noChangeArrowheads="1"/>
                        </wps:cNvSpPr>
                        <wps:spPr bwMode="auto">
                          <a:xfrm>
                            <a:off x="1" y="0"/>
                            <a:ext cx="561474" cy="757989"/>
                          </a:xfrm>
                          <a:prstGeom prst="rect">
                            <a:avLst/>
                          </a:prstGeom>
                          <a:solidFill>
                            <a:srgbClr val="FFFFFF"/>
                          </a:solidFill>
                          <a:ln w="9525">
                            <a:solidFill>
                              <a:srgbClr val="000000"/>
                            </a:solidFill>
                            <a:miter lim="800000"/>
                            <a:headEnd/>
                            <a:tailEnd/>
                          </a:ln>
                        </wps:spPr>
                        <wps:txbx>
                          <w:txbxContent>
                            <w:p w14:paraId="5A8DF300" w14:textId="57C37D9D" w:rsidR="00C33F41" w:rsidRPr="00443CC8" w:rsidRDefault="00C33F41">
                              <w:pPr>
                                <w:rPr>
                                  <w:sz w:val="16"/>
                                  <w:szCs w:val="16"/>
                                </w:rPr>
                              </w:pPr>
                              <w:r w:rsidRPr="00443CC8">
                                <w:rPr>
                                  <w:sz w:val="16"/>
                                  <w:szCs w:val="16"/>
                                </w:rPr>
                                <w:t>Flow with conjugated heat transfer in a pool-type molten salt reactor.</w:t>
                              </w:r>
                            </w:p>
                          </w:txbxContent>
                        </wps:txbx>
                        <wps:bodyPr rot="0" vert="horz" wrap="square" lIns="18288" tIns="18288" rIns="18288" bIns="18288" anchor="t" anchorCtr="0">
                          <a:noAutofit/>
                        </wps:bodyPr>
                      </wps:wsp>
                      <wpg:grpSp>
                        <wpg:cNvPr id="935664427" name="Group 4"/>
                        <wpg:cNvGrpSpPr/>
                        <wpg:grpSpPr>
                          <a:xfrm>
                            <a:off x="0" y="0"/>
                            <a:ext cx="4659630" cy="2262188"/>
                            <a:chOff x="0" y="0"/>
                            <a:chExt cx="3564759" cy="2262188"/>
                          </a:xfrm>
                        </wpg:grpSpPr>
                        <wpg:grpSp>
                          <wpg:cNvPr id="529053963" name="Group 2"/>
                          <wpg:cNvGrpSpPr/>
                          <wpg:grpSpPr>
                            <a:xfrm>
                              <a:off x="0" y="0"/>
                              <a:ext cx="3564759" cy="1533525"/>
                              <a:chOff x="0" y="0"/>
                              <a:chExt cx="3564759" cy="1473375"/>
                            </a:xfrm>
                          </wpg:grpSpPr>
                          <wps:wsp>
                            <wps:cNvPr id="1136909785" name="Rectangle 1"/>
                            <wps:cNvSpPr/>
                            <wps:spPr>
                              <a:xfrm>
                                <a:off x="0" y="0"/>
                                <a:ext cx="1630680" cy="147337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517553" name="Rectangle 1"/>
                            <wps:cNvSpPr/>
                            <wps:spPr>
                              <a:xfrm>
                                <a:off x="1634359" y="0"/>
                                <a:ext cx="1930400" cy="147320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0989679" name="Group 2"/>
                          <wpg:cNvGrpSpPr/>
                          <wpg:grpSpPr>
                            <a:xfrm>
                              <a:off x="0" y="1533525"/>
                              <a:ext cx="3564255" cy="728663"/>
                              <a:chOff x="0" y="0"/>
                              <a:chExt cx="3564759" cy="1473375"/>
                            </a:xfrm>
                          </wpg:grpSpPr>
                          <wps:wsp>
                            <wps:cNvPr id="288404491" name="Rectangle 1"/>
                            <wps:cNvSpPr/>
                            <wps:spPr>
                              <a:xfrm>
                                <a:off x="0" y="0"/>
                                <a:ext cx="1630680" cy="147337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709106" name="Rectangle 1"/>
                            <wps:cNvSpPr/>
                            <wps:spPr>
                              <a:xfrm>
                                <a:off x="1634359" y="0"/>
                                <a:ext cx="1930400" cy="147320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22144474" name="Text Box 2"/>
                        <wps:cNvSpPr txBox="1">
                          <a:spLocks noChangeArrowheads="1"/>
                        </wps:cNvSpPr>
                        <wps:spPr bwMode="auto">
                          <a:xfrm>
                            <a:off x="4035084" y="21"/>
                            <a:ext cx="623887" cy="685779"/>
                          </a:xfrm>
                          <a:prstGeom prst="rect">
                            <a:avLst/>
                          </a:prstGeom>
                          <a:solidFill>
                            <a:srgbClr val="FFFFFF"/>
                          </a:solidFill>
                          <a:ln w="9525">
                            <a:solidFill>
                              <a:srgbClr val="000000"/>
                            </a:solidFill>
                            <a:miter lim="800000"/>
                            <a:headEnd/>
                            <a:tailEnd/>
                          </a:ln>
                        </wps:spPr>
                        <wps:txbx>
                          <w:txbxContent>
                            <w:p w14:paraId="0A524E26" w14:textId="2705AD7E" w:rsidR="00485D6F" w:rsidRPr="00443CC8" w:rsidRDefault="00485D6F">
                              <w:pPr>
                                <w:rPr>
                                  <w:sz w:val="16"/>
                                  <w:szCs w:val="16"/>
                                </w:rPr>
                              </w:pPr>
                              <w:r w:rsidRPr="00443CC8">
                                <w:rPr>
                                  <w:sz w:val="16"/>
                                  <w:szCs w:val="16"/>
                                </w:rPr>
                                <w:t>Porous media flow in high-temperature gas-cooled reactor core.</w:t>
                              </w:r>
                            </w:p>
                          </w:txbxContent>
                        </wps:txbx>
                        <wps:bodyPr rot="0" vert="horz" wrap="square" lIns="18288" tIns="45720" rIns="18288" bIns="45720" anchor="t" anchorCtr="0">
                          <a:noAutofit/>
                        </wps:bodyPr>
                      </wps:wsp>
                      <wps:wsp>
                        <wps:cNvPr id="858301418" name="Text Box 2"/>
                        <wps:cNvSpPr txBox="1">
                          <a:spLocks noChangeArrowheads="1"/>
                        </wps:cNvSpPr>
                        <wps:spPr bwMode="auto">
                          <a:xfrm>
                            <a:off x="0" y="1532131"/>
                            <a:ext cx="838200" cy="729064"/>
                          </a:xfrm>
                          <a:prstGeom prst="rect">
                            <a:avLst/>
                          </a:prstGeom>
                          <a:solidFill>
                            <a:srgbClr val="FFFFFF"/>
                          </a:solidFill>
                          <a:ln w="9525">
                            <a:solidFill>
                              <a:srgbClr val="000000"/>
                            </a:solidFill>
                            <a:miter lim="800000"/>
                            <a:headEnd/>
                            <a:tailEnd/>
                          </a:ln>
                        </wps:spPr>
                        <wps:txbx>
                          <w:txbxContent>
                            <w:p w14:paraId="56A44AE1" w14:textId="5913A773" w:rsidR="00485D6F" w:rsidRPr="00485D6F" w:rsidRDefault="00485D6F">
                              <w:pPr>
                                <w:rPr>
                                  <w:sz w:val="16"/>
                                  <w:szCs w:val="16"/>
                                </w:rPr>
                              </w:pPr>
                              <w:proofErr w:type="spellStart"/>
                              <w:r w:rsidRPr="00485D6F">
                                <w:rPr>
                                  <w:sz w:val="16"/>
                                  <w:szCs w:val="16"/>
                                </w:rPr>
                                <w:t>Lagrangian</w:t>
                              </w:r>
                              <w:proofErr w:type="spellEnd"/>
                              <w:r w:rsidRPr="00485D6F">
                                <w:rPr>
                                  <w:sz w:val="16"/>
                                  <w:szCs w:val="16"/>
                                </w:rPr>
                                <w:t>-Eulerian formulation model of melt pool during laser welding</w:t>
                              </w:r>
                              <w:r w:rsidR="00443CC8">
                                <w:rPr>
                                  <w:sz w:val="16"/>
                                  <w:szCs w:val="16"/>
                                </w:rPr>
                                <w:t>.</w:t>
                              </w:r>
                            </w:p>
                          </w:txbxContent>
                        </wps:txbx>
                        <wps:bodyPr rot="0" vert="horz" wrap="square" lIns="18288" tIns="45720" rIns="18288" bIns="45720" anchor="t" anchorCtr="0">
                          <a:noAutofit/>
                        </wps:bodyPr>
                      </wps:wsp>
                      <wps:wsp>
                        <wps:cNvPr id="230067971" name="Text Box 2"/>
                        <wps:cNvSpPr txBox="1">
                          <a:spLocks noChangeArrowheads="1"/>
                        </wps:cNvSpPr>
                        <wps:spPr bwMode="auto">
                          <a:xfrm>
                            <a:off x="3898231" y="1531270"/>
                            <a:ext cx="761399" cy="728863"/>
                          </a:xfrm>
                          <a:prstGeom prst="rect">
                            <a:avLst/>
                          </a:prstGeom>
                          <a:solidFill>
                            <a:srgbClr val="FFFFFF"/>
                          </a:solidFill>
                          <a:ln w="9525">
                            <a:solidFill>
                              <a:srgbClr val="000000"/>
                            </a:solidFill>
                            <a:miter lim="800000"/>
                            <a:headEnd/>
                            <a:tailEnd/>
                          </a:ln>
                        </wps:spPr>
                        <wps:txbx>
                          <w:txbxContent>
                            <w:p w14:paraId="35CD1D61" w14:textId="4D6F9DF3" w:rsidR="00443CC8" w:rsidRPr="00443CC8" w:rsidRDefault="00443CC8">
                              <w:pPr>
                                <w:rPr>
                                  <w:sz w:val="16"/>
                                  <w:szCs w:val="16"/>
                                </w:rPr>
                              </w:pPr>
                              <w:r w:rsidRPr="00443CC8">
                                <w:rPr>
                                  <w:sz w:val="16"/>
                                  <w:szCs w:val="16"/>
                                </w:rPr>
                                <w:t>Two-phase model of permeation of molten salt flow into a graphite channel.</w:t>
                              </w:r>
                            </w:p>
                          </w:txbxContent>
                        </wps:txbx>
                        <wps:bodyPr rot="0" vert="horz" wrap="square" lIns="18288" tIns="18288" rIns="18288" bIns="18288" anchor="t" anchorCtr="0">
                          <a:noAutofit/>
                        </wps:bodyPr>
                      </wps:wsp>
                    </wpg:wgp>
                  </a:graphicData>
                </a:graphic>
                <wp14:sizeRelV relativeFrom="margin">
                  <wp14:pctHeight>0</wp14:pctHeight>
                </wp14:sizeRelV>
              </wp:anchor>
            </w:drawing>
          </mc:Choice>
          <mc:Fallback xmlns:w16du="http://schemas.microsoft.com/office/word/2023/wordml/word16du">
            <w:pict>
              <v:group w14:anchorId="137B5E1E" id="Group 5" o:spid="_x0000_s1026" style="position:absolute;left:0;text-align:left;margin-left:46.1pt;margin-top:7.85pt;width:366.9pt;height:178.15pt;z-index:251665408;mso-height-relative:margin" coordsize="46596,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">
                <v:shapetype id="_x0000_t202" coordsize="21600,21600" o:spt="202" path="m,l,21600r21600,l21600,xe">
                  <v:stroke joinstyle="miter"/>
                  <v:path gradientshapeok="t" o:connecttype="rect"/>
                </v:shapetype>
                <v:shape id="Text Box 2" o:spid="_x0000_s1027" type="#_x0000_t202" style="position:absolute;width:5614;height:7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">
                  <v:textbox inset="1.44pt,1.44pt,1.44pt,1.44pt">
                    <w:txbxContent>
                      <w:p w14:paraId="5A8DF300" w14:textId="57C37D9D" w:rsidR="00C33F41" w:rsidRPr="00443CC8" w:rsidRDefault="00C33F41">
                        <w:pPr>
                          <w:rPr>
                            <w:sz w:val="16"/>
                            <w:szCs w:val="16"/>
                          </w:rPr>
                        </w:pPr>
                        <w:r w:rsidRPr="00443CC8">
                          <w:rPr>
                            <w:sz w:val="16"/>
                            <w:szCs w:val="16"/>
                          </w:rPr>
                          <w:t>Flow with conjugated heat transfer in a pool-type molten salt reactor.</w:t>
                        </w:r>
                      </w:p>
                    </w:txbxContent>
                  </v:textbox>
                </v:shape>
                <v:group id="Group 4" o:spid="_x0000_s1028" style="position:absolute;width:46596;height:22621" coordsize="356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">
                  <v:group id="Group 2" o:spid="_x0000_s1029" style="position:absolute;width:35647;height:15335" coordsize="35647,1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">
                    <v:rect id="Rectangle 1" o:spid="_x0000_s1030" style="position:absolute;width:16306;height:14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" filled="f" strokecolor="black [3213]"/>
                    <v:rect id="Rectangle 1" o:spid="_x0000_s1031" style="position:absolute;left:16343;width:19304;height:14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" filled="f" strokecolor="black [3213]"/>
                  </v:group>
                  <v:group id="Group 2" o:spid="_x0000_s1032" style="position:absolute;top:15335;width:35642;height:7286" coordsize="35647,1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">
                    <v:rect id="Rectangle 1" o:spid="_x0000_s1033" style="position:absolute;width:16306;height:14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" filled="f" strokecolor="black [3213]"/>
                    <v:rect id="Rectangle 1" o:spid="_x0000_s1034" style="position:absolute;left:16343;width:19304;height:14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" filled="f" strokecolor="black [3213]"/>
                  </v:group>
                </v:group>
                <v:shape id="Text Box 2" o:spid="_x0000_s1035" type="#_x0000_t202" style="position:absolute;left:40350;width:623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">
                  <v:textbox inset="1.44pt,,1.44pt">
                    <w:txbxContent>
                      <w:p w14:paraId="0A524E26" w14:textId="2705AD7E" w:rsidR="00485D6F" w:rsidRPr="00443CC8" w:rsidRDefault="00485D6F">
                        <w:pPr>
                          <w:rPr>
                            <w:sz w:val="16"/>
                            <w:szCs w:val="16"/>
                          </w:rPr>
                        </w:pPr>
                        <w:r w:rsidRPr="00443CC8">
                          <w:rPr>
                            <w:sz w:val="16"/>
                            <w:szCs w:val="16"/>
                          </w:rPr>
                          <w:t>Porous media flow in high-temperature gas-cooled reactor core.</w:t>
                        </w:r>
                      </w:p>
                    </w:txbxContent>
                  </v:textbox>
                </v:shape>
                <v:shape id="Text Box 2" o:spid="_x0000_s1036" type="#_x0000_t202" style="position:absolute;top:15321;width:8382;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">
                  <v:textbox inset="1.44pt,,1.44pt">
                    <w:txbxContent>
                      <w:p w14:paraId="56A44AE1" w14:textId="5913A773" w:rsidR="00485D6F" w:rsidRPr="00485D6F" w:rsidRDefault="00485D6F">
                        <w:pPr>
                          <w:rPr>
                            <w:sz w:val="16"/>
                            <w:szCs w:val="16"/>
                          </w:rPr>
                        </w:pPr>
                        <w:proofErr w:type="spellStart"/>
                        <w:r w:rsidRPr="00485D6F">
                          <w:rPr>
                            <w:sz w:val="16"/>
                            <w:szCs w:val="16"/>
                          </w:rPr>
                          <w:t>Lagrangian</w:t>
                        </w:r>
                        <w:proofErr w:type="spellEnd"/>
                        <w:r w:rsidRPr="00485D6F">
                          <w:rPr>
                            <w:sz w:val="16"/>
                            <w:szCs w:val="16"/>
                          </w:rPr>
                          <w:t>-Eulerian formulation model of melt pool during laser welding</w:t>
                        </w:r>
                        <w:r w:rsidR="00443CC8">
                          <w:rPr>
                            <w:sz w:val="16"/>
                            <w:szCs w:val="16"/>
                          </w:rPr>
                          <w:t>.</w:t>
                        </w:r>
                      </w:p>
                    </w:txbxContent>
                  </v:textbox>
                </v:shape>
                <v:shape id="Text Box 2" o:spid="_x0000_s1037" type="#_x0000_t202" style="position:absolute;left:38982;top:15312;width:7614;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">
                  <v:textbox inset="1.44pt,1.44pt,1.44pt,1.44pt">
                    <w:txbxContent>
                      <w:p w14:paraId="35CD1D61" w14:textId="4D6F9DF3" w:rsidR="00443CC8" w:rsidRPr="00443CC8" w:rsidRDefault="00443CC8">
                        <w:pPr>
                          <w:rPr>
                            <w:sz w:val="16"/>
                            <w:szCs w:val="16"/>
                          </w:rPr>
                        </w:pPr>
                        <w:r w:rsidRPr="00443CC8">
                          <w:rPr>
                            <w:sz w:val="16"/>
                            <w:szCs w:val="16"/>
                          </w:rPr>
                          <w:t>Two-phase model of permeation of molten salt flow into a graphite channel.</w:t>
                        </w:r>
                      </w:p>
                    </w:txbxContent>
                  </v:textbox>
                </v:shape>
              </v:group>
            </w:pict>
          </mc:Fallback>
        </mc:AlternateContent>
      </w:r>
      <w:r w:rsidR="00DF488F" w:rsidRPr="00B212A0">
        <w:rPr>
          <w:noProof/>
        </w:rPr>
        <w:drawing>
          <wp:inline distT="0" distB="0" distL="0" distR="0" wp14:anchorId="704109AF" wp14:editId="312F8AAF">
            <wp:extent cx="3403600" cy="2314791"/>
            <wp:effectExtent l="0" t="0" r="6350" b="9525"/>
            <wp:docPr id="2048275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1373" name=""/>
                    <pic:cNvPicPr/>
                  </pic:nvPicPr>
                  <pic:blipFill>
                    <a:blip r:embed="rId13"/>
                    <a:stretch>
                      <a:fillRect/>
                    </a:stretch>
                  </pic:blipFill>
                  <pic:spPr>
                    <a:xfrm>
                      <a:off x="0" y="0"/>
                      <a:ext cx="3403600" cy="2314791"/>
                    </a:xfrm>
                    <a:prstGeom prst="rect">
                      <a:avLst/>
                    </a:prstGeom>
                  </pic:spPr>
                </pic:pic>
              </a:graphicData>
            </a:graphic>
          </wp:inline>
        </w:drawing>
      </w:r>
    </w:p>
    <w:p w14:paraId="5E5BF385" w14:textId="26117614" w:rsidR="00546525" w:rsidRDefault="00546525" w:rsidP="003E3545">
      <w:pPr>
        <w:pStyle w:val="Figurecaption"/>
      </w:pPr>
      <w:r w:rsidRPr="00DF6AB3">
        <w:t>FIG. </w:t>
      </w:r>
      <w:r w:rsidRPr="00DF6AB3">
        <w:fldChar w:fldCharType="begin"/>
      </w:r>
      <w:r w:rsidRPr="00DF6AB3">
        <w:instrText xml:space="preserve"> SEQ Figure \* ARABIC </w:instrText>
      </w:r>
      <w:r w:rsidRPr="00DF6AB3">
        <w:fldChar w:fldCharType="separate"/>
      </w:r>
      <w:r>
        <w:rPr>
          <w:noProof/>
        </w:rPr>
        <w:t>6</w:t>
      </w:r>
      <w:r w:rsidRPr="00DF6AB3">
        <w:fldChar w:fldCharType="end"/>
      </w:r>
      <w:r w:rsidRPr="00DF6AB3">
        <w:t xml:space="preserve">. </w:t>
      </w:r>
      <w:r>
        <w:t>Application examples of the Navier-Stokes Module.</w:t>
      </w:r>
    </w:p>
    <w:p w14:paraId="60AF45DC" w14:textId="48996E78" w:rsidR="003E3545" w:rsidRDefault="00546525" w:rsidP="00546525">
      <w:pPr>
        <w:pStyle w:val="BodyText"/>
      </w:pPr>
      <w:r w:rsidRPr="00134BE6">
        <w:lastRenderedPageBreak/>
        <w:t>Four characteristic application examples of the Navier-Stokes module are shown in Fig</w:t>
      </w:r>
      <w:r>
        <w:t>.</w:t>
      </w:r>
      <w:r w:rsidRPr="00134BE6">
        <w:t xml:space="preserve"> </w:t>
      </w:r>
      <w:r>
        <w:t>6</w:t>
      </w:r>
      <w:r w:rsidRPr="00134BE6">
        <w:t xml:space="preserve">. The Navier-Stokes module uses either a streamwise </w:t>
      </w:r>
      <w:proofErr w:type="spellStart"/>
      <w:r w:rsidRPr="00134BE6">
        <w:t>Pretrov</w:t>
      </w:r>
      <w:proofErr w:type="spellEnd"/>
      <w:r w:rsidRPr="00134BE6">
        <w:t>-</w:t>
      </w:r>
      <w:proofErr w:type="spellStart"/>
      <w:r w:rsidRPr="00134BE6">
        <w:t>Galerkin</w:t>
      </w:r>
      <w:proofErr w:type="spellEnd"/>
      <w:r w:rsidRPr="00134BE6">
        <w:t xml:space="preserve">-stabilized finite element discretization, which is mostly used for compressible flows, or a finite volume discretization, which is mostly used for incompressible and weakly compressible flows. For turbulence </w:t>
      </w:r>
      <w:r w:rsidR="00C10024">
        <w:t>Modelling</w:t>
      </w:r>
      <w:r w:rsidRPr="00134BE6">
        <w:t>, the code supports standard RANS closures</w:t>
      </w:r>
      <w:r>
        <w:t>,</w:t>
      </w:r>
      <w:r w:rsidRPr="00134BE6">
        <w:t xml:space="preserve"> such as the k-ϵ model. Software quality assurance of the code is based on hundreds of verification cases ensuring proper code convergence and non-regression, </w:t>
      </w:r>
      <w:r>
        <w:t>as well as</w:t>
      </w:r>
      <w:r w:rsidRPr="00134BE6">
        <w:t xml:space="preserve"> a growing base of validation cases on canonical flow experiments from the </w:t>
      </w:r>
      <w:r w:rsidRPr="003D0695">
        <w:t xml:space="preserve">European Research Community on Flow, Turbulence and Combustion </w:t>
      </w:r>
      <w:r>
        <w:t>(</w:t>
      </w:r>
      <w:r w:rsidRPr="00134BE6">
        <w:t>ERCOFTAC</w:t>
      </w:r>
      <w:r>
        <w:t>)</w:t>
      </w:r>
      <w:r w:rsidRPr="00134BE6">
        <w:t xml:space="preserve"> database.</w:t>
      </w:r>
    </w:p>
    <w:p w14:paraId="2E7537ED" w14:textId="2B688618" w:rsidR="000B3002" w:rsidRDefault="000B3002" w:rsidP="003E3545">
      <w:pPr>
        <w:pStyle w:val="BodyText"/>
      </w:pPr>
      <w:r w:rsidRPr="00134BE6">
        <w:t xml:space="preserve">The subchannel module is applicable to water, liquid metal, or gas flows in reactor assemblies. This code solves the conservation equations for mass, momentum, and energy in a subchannel discretization. The code supports solutions for incompressible or weakly compressible </w:t>
      </w:r>
      <w:r>
        <w:t>flows with one or multiple components</w:t>
      </w:r>
      <w:r w:rsidRPr="00134BE6">
        <w:t xml:space="preserve">. The quality assurance of the code is based on hundreds of non-regression tests, </w:t>
      </w:r>
      <w:r w:rsidR="00C33004">
        <w:t>while</w:t>
      </w:r>
      <w:r w:rsidRPr="00134BE6">
        <w:t xml:space="preserve"> the validation of the code currently includes 41 validation cases involving </w:t>
      </w:r>
      <w:r>
        <w:t>six</w:t>
      </w:r>
      <w:r w:rsidRPr="00134BE6">
        <w:t xml:space="preserve"> experimental facilities and the </w:t>
      </w:r>
      <w:r w:rsidR="00D70A58">
        <w:t>Experimental Breeder Reactor II (</w:t>
      </w:r>
      <w:r w:rsidRPr="00134BE6">
        <w:t>EBR</w:t>
      </w:r>
      <w:r w:rsidR="00D70A58">
        <w:noBreakHyphen/>
      </w:r>
      <w:r w:rsidRPr="00134BE6">
        <w:t>II</w:t>
      </w:r>
      <w:r w:rsidR="00D70A58">
        <w:t>)</w:t>
      </w:r>
      <w:r w:rsidRPr="00134BE6">
        <w:t xml:space="preserve">. An example of </w:t>
      </w:r>
      <w:r w:rsidR="00FD14E0">
        <w:t xml:space="preserve">the </w:t>
      </w:r>
      <w:r w:rsidRPr="00134BE6">
        <w:t>code validation for the EBR-II shutdown and heat removal tests</w:t>
      </w:r>
      <w:r>
        <w:t xml:space="preserve"> (SHRT)</w:t>
      </w:r>
      <w:r w:rsidRPr="00134BE6">
        <w:t xml:space="preserve"> 17 and 45</w:t>
      </w:r>
      <w:r w:rsidR="00FD14E0">
        <w:noBreakHyphen/>
      </w:r>
      <w:r w:rsidRPr="00134BE6">
        <w:t>R is shown in Fig</w:t>
      </w:r>
      <w:r w:rsidR="00BC387C">
        <w:t>.</w:t>
      </w:r>
      <w:r w:rsidRPr="00134BE6">
        <w:t xml:space="preserve"> </w:t>
      </w:r>
      <w:r w:rsidR="00BC387C">
        <w:t>7</w:t>
      </w:r>
      <w:r w:rsidRPr="00134BE6">
        <w:t>.</w:t>
      </w:r>
    </w:p>
    <w:p w14:paraId="0EC67E12" w14:textId="77777777" w:rsidR="000B3002" w:rsidRDefault="000B3002" w:rsidP="003E354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2"/>
        <w:gridCol w:w="3155"/>
        <w:gridCol w:w="3130"/>
      </w:tblGrid>
      <w:tr w:rsidR="00266152" w14:paraId="0893CBC0" w14:textId="77777777" w:rsidTr="002D642B">
        <w:tc>
          <w:tcPr>
            <w:tcW w:w="3005" w:type="dxa"/>
            <w:vAlign w:val="center"/>
          </w:tcPr>
          <w:p w14:paraId="75376D23" w14:textId="3919595D" w:rsidR="00266152" w:rsidRDefault="001E2786" w:rsidP="002D642B">
            <w:pPr>
              <w:pStyle w:val="FigureGraphic"/>
            </w:pPr>
            <w:r w:rsidRPr="002908A0">
              <w:rPr>
                <w:noProof/>
              </w:rPr>
              <w:drawing>
                <wp:inline distT="0" distB="0" distL="0" distR="0" wp14:anchorId="1C861CC1" wp14:editId="6009D507">
                  <wp:extent cx="1502312" cy="1183288"/>
                  <wp:effectExtent l="38100" t="38100" r="34925" b="36195"/>
                  <wp:docPr id="185202704" name="Picture 20" descr="A picture containing chart&#10;&#10;Description automatically generated">
                    <a:extLst xmlns:a="http://schemas.openxmlformats.org/drawingml/2006/main">
                      <a:ext uri="{FF2B5EF4-FFF2-40B4-BE49-F238E27FC236}">
                        <a16:creationId xmlns:a16="http://schemas.microsoft.com/office/drawing/2014/main" id="{1855985B-92AE-7C0B-A0E8-4638B9FDE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icture containing chart&#10;&#10;Description automatically generated">
                            <a:extLst>
                              <a:ext uri="{FF2B5EF4-FFF2-40B4-BE49-F238E27FC236}">
                                <a16:creationId xmlns:a16="http://schemas.microsoft.com/office/drawing/2014/main" id="{1855985B-92AE-7C0B-A0E8-4638B9FDE48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3888" cy="1200282"/>
                          </a:xfrm>
                          <a:prstGeom prst="rect">
                            <a:avLst/>
                          </a:prstGeom>
                          <a:ln w="28575">
                            <a:solidFill>
                              <a:schemeClr val="tx1"/>
                            </a:solidFill>
                          </a:ln>
                        </pic:spPr>
                      </pic:pic>
                    </a:graphicData>
                  </a:graphic>
                </wp:inline>
              </w:drawing>
            </w:r>
          </w:p>
        </w:tc>
        <w:tc>
          <w:tcPr>
            <w:tcW w:w="3006" w:type="dxa"/>
            <w:vAlign w:val="center"/>
          </w:tcPr>
          <w:p w14:paraId="6A62C722" w14:textId="3E71D4BD" w:rsidR="00266152" w:rsidRDefault="00070A56" w:rsidP="002D642B">
            <w:pPr>
              <w:pStyle w:val="FigureGraphic"/>
            </w:pPr>
            <w:r w:rsidRPr="002908A0">
              <w:rPr>
                <w:noProof/>
              </w:rPr>
              <w:drawing>
                <wp:inline distT="0" distB="0" distL="0" distR="0" wp14:anchorId="2FFB3260" wp14:editId="52C84CF0">
                  <wp:extent cx="1866315" cy="1399736"/>
                  <wp:effectExtent l="0" t="0" r="0" b="0"/>
                  <wp:docPr id="1152587169" name="Picture 18" descr="A graph with different colored lines and points&#10;&#10;Description automatically generated">
                    <a:extLst xmlns:a="http://schemas.openxmlformats.org/drawingml/2006/main">
                      <a:ext uri="{FF2B5EF4-FFF2-40B4-BE49-F238E27FC236}">
                        <a16:creationId xmlns:a16="http://schemas.microsoft.com/office/drawing/2014/main" id="{C62E9E8E-4D8C-BF45-636C-9747B5B9D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graph with different colored lines and points&#10;&#10;Description automatically generated">
                            <a:extLst>
                              <a:ext uri="{FF2B5EF4-FFF2-40B4-BE49-F238E27FC236}">
                                <a16:creationId xmlns:a16="http://schemas.microsoft.com/office/drawing/2014/main" id="{C62E9E8E-4D8C-BF45-636C-9747B5B9D79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683" cy="1429262"/>
                          </a:xfrm>
                          <a:prstGeom prst="rect">
                            <a:avLst/>
                          </a:prstGeom>
                        </pic:spPr>
                      </pic:pic>
                    </a:graphicData>
                  </a:graphic>
                </wp:inline>
              </w:drawing>
            </w:r>
          </w:p>
        </w:tc>
        <w:tc>
          <w:tcPr>
            <w:tcW w:w="3006" w:type="dxa"/>
            <w:vAlign w:val="center"/>
          </w:tcPr>
          <w:p w14:paraId="6A7E4116" w14:textId="12543ECD" w:rsidR="00266152" w:rsidRDefault="002D642B" w:rsidP="002D642B">
            <w:pPr>
              <w:pStyle w:val="FigureGraphic"/>
            </w:pPr>
            <w:r w:rsidRPr="002908A0">
              <w:rPr>
                <w:noProof/>
              </w:rPr>
              <w:drawing>
                <wp:inline distT="0" distB="0" distL="0" distR="0" wp14:anchorId="44F9F64B" wp14:editId="446A8173">
                  <wp:extent cx="1850878" cy="1388160"/>
                  <wp:effectExtent l="0" t="0" r="0" b="0"/>
                  <wp:docPr id="1822390670" name="Picture 19" descr="A graph with lines and dots&#10;&#10;Description automatically generated">
                    <a:extLst xmlns:a="http://schemas.openxmlformats.org/drawingml/2006/main">
                      <a:ext uri="{FF2B5EF4-FFF2-40B4-BE49-F238E27FC236}">
                        <a16:creationId xmlns:a16="http://schemas.microsoft.com/office/drawing/2014/main" id="{D392421C-2055-C64D-959C-0C731B4E9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graph with lines and dots&#10;&#10;Description automatically generated">
                            <a:extLst>
                              <a:ext uri="{FF2B5EF4-FFF2-40B4-BE49-F238E27FC236}">
                                <a16:creationId xmlns:a16="http://schemas.microsoft.com/office/drawing/2014/main" id="{D392421C-2055-C64D-959C-0C731B4E9CB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7138" cy="1437855"/>
                          </a:xfrm>
                          <a:prstGeom prst="rect">
                            <a:avLst/>
                          </a:prstGeom>
                        </pic:spPr>
                      </pic:pic>
                    </a:graphicData>
                  </a:graphic>
                </wp:inline>
              </w:drawing>
            </w:r>
          </w:p>
        </w:tc>
      </w:tr>
    </w:tbl>
    <w:p w14:paraId="4F12A707" w14:textId="193CDEB7" w:rsidR="000B3002" w:rsidRPr="00DF6AB3" w:rsidRDefault="000B3002" w:rsidP="000B3002">
      <w:pPr>
        <w:pStyle w:val="Figurecaption"/>
      </w:pPr>
      <w:r w:rsidRPr="00DF6AB3">
        <w:t>FIG. </w:t>
      </w:r>
      <w:r w:rsidRPr="00DF6AB3">
        <w:fldChar w:fldCharType="begin"/>
      </w:r>
      <w:r w:rsidRPr="00DF6AB3">
        <w:instrText xml:space="preserve"> SEQ Figure \* ARABIC </w:instrText>
      </w:r>
      <w:r w:rsidRPr="00DF6AB3">
        <w:fldChar w:fldCharType="separate"/>
      </w:r>
      <w:r>
        <w:rPr>
          <w:noProof/>
        </w:rPr>
        <w:t>7</w:t>
      </w:r>
      <w:r w:rsidRPr="00DF6AB3">
        <w:fldChar w:fldCharType="end"/>
      </w:r>
      <w:r w:rsidRPr="00DF6AB3">
        <w:t xml:space="preserve">. </w:t>
      </w:r>
      <w:r w:rsidR="006A4A93">
        <w:t>Example of application and validation of the subchannel code for the SHRT in EBR-II. Left: Subchannel model of the XX09 assembly. Center: Validation of the outlet temperature profile for transient SHRT-17. Right: Validation of the outlet temperature profile for transient SHRT-45</w:t>
      </w:r>
      <w:r w:rsidR="004C073E">
        <w:t>-</w:t>
      </w:r>
      <w:r w:rsidR="006A4A93">
        <w:t>R.</w:t>
      </w:r>
    </w:p>
    <w:p w14:paraId="78B2CA5A" w14:textId="77777777" w:rsidR="000B3002" w:rsidRDefault="000B3002" w:rsidP="003E3545">
      <w:pPr>
        <w:pStyle w:val="BodyText"/>
      </w:pPr>
    </w:p>
    <w:p w14:paraId="7E009BDE" w14:textId="603355F9" w:rsidR="003B796F" w:rsidRDefault="003B796F" w:rsidP="003E3545">
      <w:pPr>
        <w:pStyle w:val="BodyText"/>
      </w:pPr>
      <w:r w:rsidRPr="00134BE6">
        <w:t>The therm</w:t>
      </w:r>
      <w:r>
        <w:t>al-</w:t>
      </w:r>
      <w:r w:rsidRPr="00134BE6">
        <w:t xml:space="preserve">hydraulics module solves for fully compressible, single-phase flow and uses the reconstructed discontinuous </w:t>
      </w:r>
      <w:proofErr w:type="spellStart"/>
      <w:r w:rsidRPr="00134BE6">
        <w:t>Galerkin</w:t>
      </w:r>
      <w:proofErr w:type="spellEnd"/>
      <w:r w:rsidRPr="00134BE6">
        <w:t xml:space="preserve"> method for discretization. The code integrates a modern component syntax that makes it easy to build system-level analyses. Closure correlations are available for laminar and turbulent flows. Quality assurance of the code is based on hundreds of regression tests, and the code has been validated against analytical solutions and experimental data.</w:t>
      </w:r>
    </w:p>
    <w:p w14:paraId="4AF9177A" w14:textId="4FF8D653" w:rsidR="003B796F" w:rsidRDefault="00DA66D8" w:rsidP="003E3545">
      <w:pPr>
        <w:pStyle w:val="BodyText"/>
      </w:pPr>
      <w:r>
        <w:t>Pronghorn is the primary reactor thermal-hydraulics engineering tool based on open-source modules. Pronghorn has been used to model the thermohydraulic phenomena in molten salt reactors, high-temperature reactors, both gas</w:t>
      </w:r>
      <w:r w:rsidR="00BA196B">
        <w:t>-</w:t>
      </w:r>
      <w:r>
        <w:t xml:space="preserve"> and fluoride</w:t>
      </w:r>
      <w:r w:rsidR="00BA196B">
        <w:t>-</w:t>
      </w:r>
      <w:r>
        <w:t>cooled, and liquid</w:t>
      </w:r>
      <w:r w:rsidR="00BA196B">
        <w:t>-</w:t>
      </w:r>
      <w:r>
        <w:t>metal</w:t>
      </w:r>
      <w:r w:rsidR="00BA196B">
        <w:t>-</w:t>
      </w:r>
      <w:r>
        <w:t xml:space="preserve">cooled reactors. Many of the models developed are openly available on the </w:t>
      </w:r>
      <w:r w:rsidR="00AF698C" w:rsidRPr="00AF698C">
        <w:t>National Reactor Innovation Center</w:t>
      </w:r>
      <w:r w:rsidR="00AF698C">
        <w:t xml:space="preserve"> (</w:t>
      </w:r>
      <w:r>
        <w:t>NRIC</w:t>
      </w:r>
      <w:r w:rsidR="00AF698C">
        <w:t>)</w:t>
      </w:r>
      <w:r>
        <w:t xml:space="preserve">-NEAMS </w:t>
      </w:r>
      <w:r w:rsidR="00964E0A">
        <w:t>v</w:t>
      </w:r>
      <w:r>
        <w:t xml:space="preserve">irtual </w:t>
      </w:r>
      <w:r w:rsidR="00964E0A">
        <w:t>t</w:t>
      </w:r>
      <w:r>
        <w:t xml:space="preserve">est </w:t>
      </w:r>
      <w:r w:rsidR="00964E0A">
        <w:t>b</w:t>
      </w:r>
      <w:r>
        <w:t>ed.</w:t>
      </w:r>
    </w:p>
    <w:p w14:paraId="3F54EF06" w14:textId="6456B391" w:rsidR="00C340BD" w:rsidRDefault="00C340BD" w:rsidP="003E3545">
      <w:pPr>
        <w:pStyle w:val="BodyText"/>
      </w:pPr>
      <w:r>
        <w:t>Current collaborative efforts</w:t>
      </w:r>
      <w:r w:rsidR="000B1D33">
        <w:t xml:space="preserve"> either</w:t>
      </w:r>
      <w:r>
        <w:t xml:space="preserve"> are planned or underway to increase the validation base of Pronghorn and other NEAMS thermal-hydraulics tools on DOE-funded experimental efforts. For example, the weakly compressible formulation for high-pressure, high-temperature helium flows over typical reactor components is a planned joint validation effort with the DOE Microreactor Program. In addition, validation of heat pipe </w:t>
      </w:r>
      <w:r w:rsidR="00C10024">
        <w:t>Modelling</w:t>
      </w:r>
      <w:r>
        <w:t xml:space="preserve"> tools is an ongoing joint effort between NEAMS and the DOE Microreactor Program.</w:t>
      </w:r>
    </w:p>
    <w:p w14:paraId="26624583" w14:textId="27EBDF6A" w:rsidR="007512FE" w:rsidRDefault="00E742ED" w:rsidP="00E742ED">
      <w:pPr>
        <w:pStyle w:val="BodyText"/>
      </w:pPr>
      <w:r>
        <w:t xml:space="preserve">A project is underway to couple MOOSE with the premier nuclear power plant safety code, the </w:t>
      </w:r>
      <w:r w:rsidRPr="00134BE6">
        <w:t>Reactor Excursion and Leak Analysis Program with 3D capabilities (RELAP5-3D)</w:t>
      </w:r>
      <w:r w:rsidR="00C10024">
        <w:t xml:space="preserve"> [6]</w:t>
      </w:r>
      <w:r>
        <w:t xml:space="preserve">. The combination will provide the nuclear industry with extraordinary new capabilities to analyse both existing and advanced reactors because </w:t>
      </w:r>
      <w:r w:rsidR="004C6966">
        <w:t>INL</w:t>
      </w:r>
      <w:r w:rsidR="00463345" w:rsidRPr="00134BE6">
        <w:t xml:space="preserve"> has continuously adapted </w:t>
      </w:r>
      <w:r>
        <w:t xml:space="preserve">the code </w:t>
      </w:r>
      <w:r w:rsidR="00463345" w:rsidRPr="00134BE6">
        <w:t>to support systems analysis of advanced nuclear reactors</w:t>
      </w:r>
      <w:r w:rsidR="007512FE">
        <w:t>, while maintaining the ability to analyse the existing fleet on reactors</w:t>
      </w:r>
      <w:r w:rsidR="007512FE" w:rsidRPr="00134BE6">
        <w:t>.</w:t>
      </w:r>
      <w:r w:rsidR="00443CC8">
        <w:t xml:space="preserve"> </w:t>
      </w:r>
      <w:r w:rsidR="00F46D93">
        <w:t>RELAP5-3D</w:t>
      </w:r>
      <w:r w:rsidR="00463345" w:rsidRPr="00134BE6">
        <w:t xml:space="preserve"> currently supports most of the proposed coolants for advanced nuclear reactors, including liquid metals, molten salts, and pressurized noble gases, among others. </w:t>
      </w:r>
      <w:r w:rsidR="009F7836">
        <w:t>Because the code is verified, validated</w:t>
      </w:r>
      <w:r w:rsidR="00C10024">
        <w:t xml:space="preserve"> [7]</w:t>
      </w:r>
      <w:r w:rsidR="009F7836">
        <w:t xml:space="preserve">, and has a pedigree of billions of </w:t>
      </w:r>
      <w:r w:rsidR="00132F06">
        <w:t xml:space="preserve">plant </w:t>
      </w:r>
      <w:r w:rsidR="009F7836">
        <w:t>modelling runs</w:t>
      </w:r>
      <w:r w:rsidR="00132F06">
        <w:t xml:space="preserve"> by users all</w:t>
      </w:r>
      <w:r w:rsidR="009F7836">
        <w:t xml:space="preserve"> around the world, </w:t>
      </w:r>
      <w:r w:rsidR="00132F06">
        <w:t>including</w:t>
      </w:r>
      <w:r w:rsidR="009F7836">
        <w:t xml:space="preserve"> fixes for </w:t>
      </w:r>
      <w:r w:rsidR="00132F06">
        <w:t>over a thousand</w:t>
      </w:r>
      <w:r w:rsidR="009F7836">
        <w:t xml:space="preserve"> user trouble reports </w:t>
      </w:r>
      <w:r w:rsidR="00132F06">
        <w:t>from</w:t>
      </w:r>
      <w:r w:rsidR="009F7836">
        <w:t xml:space="preserve"> four decades</w:t>
      </w:r>
      <w:r w:rsidR="00132F06">
        <w:t xml:space="preserve"> of use</w:t>
      </w:r>
      <w:r w:rsidR="009F7836">
        <w:t>, the</w:t>
      </w:r>
      <w:r w:rsidR="007512FE">
        <w:t xml:space="preserve"> code</w:t>
      </w:r>
      <w:r w:rsidR="00463345" w:rsidRPr="00134BE6">
        <w:t xml:space="preserve"> is routine</w:t>
      </w:r>
      <w:r w:rsidR="00132F06">
        <w:t>ly</w:t>
      </w:r>
      <w:r w:rsidR="00463345" w:rsidRPr="00134BE6">
        <w:t xml:space="preserve"> use</w:t>
      </w:r>
      <w:r w:rsidR="00132F06">
        <w:t>d</w:t>
      </w:r>
      <w:r w:rsidR="00463345" w:rsidRPr="00134BE6">
        <w:t xml:space="preserve"> by </w:t>
      </w:r>
      <w:r w:rsidR="00060EAC">
        <w:t xml:space="preserve">utilities, training simulator companies, universities, </w:t>
      </w:r>
      <w:r w:rsidR="00132F06">
        <w:t xml:space="preserve">national laboratories, </w:t>
      </w:r>
      <w:r w:rsidR="00060EAC">
        <w:t xml:space="preserve">and </w:t>
      </w:r>
      <w:r w:rsidR="00463345" w:rsidRPr="00134BE6">
        <w:t xml:space="preserve">advanced reactor </w:t>
      </w:r>
      <w:r w:rsidR="00463345">
        <w:t>vendors</w:t>
      </w:r>
      <w:r w:rsidR="00463345" w:rsidRPr="00134BE6">
        <w:t xml:space="preserve"> for the calculation of reactor operating transients</w:t>
      </w:r>
      <w:r w:rsidR="00132F06">
        <w:t>,</w:t>
      </w:r>
      <w:r w:rsidR="00463345" w:rsidRPr="00134BE6">
        <w:t xml:space="preserve"> safety cases</w:t>
      </w:r>
      <w:r w:rsidR="00132F06">
        <w:t>, and aiding the design of new reactors</w:t>
      </w:r>
      <w:r w:rsidR="00463345" w:rsidRPr="00134BE6">
        <w:t>.</w:t>
      </w:r>
    </w:p>
    <w:p w14:paraId="5C740BD8" w14:textId="6E8DAA3F" w:rsidR="009F7836" w:rsidRDefault="007512FE" w:rsidP="003E3545">
      <w:pPr>
        <w:pStyle w:val="BodyText"/>
      </w:pPr>
      <w:r>
        <w:lastRenderedPageBreak/>
        <w:t>Commercial Grade Dedications</w:t>
      </w:r>
      <w:r w:rsidR="009F7836">
        <w:t xml:space="preserve"> (CGD)</w:t>
      </w:r>
      <w:r>
        <w:t xml:space="preserve"> of RELAP5-3D are used throughout the industry to create proprietary versions that are subsequently used for licensing submittals to the US Nuclear Regulatory Commission. </w:t>
      </w:r>
      <w:r w:rsidR="009F7836">
        <w:t xml:space="preserve">Private companies have </w:t>
      </w:r>
      <w:r>
        <w:t xml:space="preserve">done for </w:t>
      </w:r>
      <w:r w:rsidR="009F7836">
        <w:t xml:space="preserve">advanced reactor projects including </w:t>
      </w:r>
      <w:r>
        <w:t xml:space="preserve">mPower, </w:t>
      </w:r>
      <w:proofErr w:type="spellStart"/>
      <w:r>
        <w:t>NuScale</w:t>
      </w:r>
      <w:proofErr w:type="spellEnd"/>
      <w:r>
        <w:t>, and</w:t>
      </w:r>
      <w:r w:rsidR="009F7836">
        <w:t xml:space="preserve"> CGD</w:t>
      </w:r>
      <w:r>
        <w:t xml:space="preserve"> is underway for both the</w:t>
      </w:r>
      <w:r w:rsidR="009F7836">
        <w:t xml:space="preserve"> TerraPower </w:t>
      </w:r>
      <w:r>
        <w:t>Molten Chloride and Natrium reactors.</w:t>
      </w:r>
      <w:r w:rsidR="00463345" w:rsidRPr="00134BE6">
        <w:t xml:space="preserve"> </w:t>
      </w:r>
      <w:r w:rsidR="009F7836">
        <w:t>It is also used in the d</w:t>
      </w:r>
      <w:r w:rsidR="00060EAC">
        <w:t>e</w:t>
      </w:r>
      <w:r w:rsidR="009F7836">
        <w:t>sign stage of new advanced reactors. For DOE</w:t>
      </w:r>
      <w:r w:rsidR="00463345" w:rsidRPr="00134BE6">
        <w:t xml:space="preserve">, the code has been used for the integral design of the Microreactor Applications Research Validation and Evaluation (MARVEL) reactor </w:t>
      </w:r>
      <w:r w:rsidR="00463345">
        <w:t xml:space="preserve">potentially </w:t>
      </w:r>
      <w:r w:rsidR="009D4888" w:rsidRPr="00134BE6">
        <w:t xml:space="preserve">to be </w:t>
      </w:r>
      <w:r w:rsidR="00463345" w:rsidRPr="00134BE6">
        <w:t xml:space="preserve">built at INL </w:t>
      </w:r>
      <w:proofErr w:type="gramStart"/>
      <w:r w:rsidR="00463345" w:rsidRPr="00134BE6">
        <w:t>in the near future</w:t>
      </w:r>
      <w:proofErr w:type="gramEnd"/>
      <w:r w:rsidR="00463345" w:rsidRPr="00134BE6">
        <w:t xml:space="preserve">. Model validation is underway for the non-nuclear, electrically heated flow test mock-up of the MARVEL reactor, called the Primary Coolant Apparatus Test (PCAT). </w:t>
      </w:r>
      <w:r w:rsidR="009F7836">
        <w:t>Currently HOLTEC and Pathfinder are using RELAP5-3D to develop their new advanced reactor designs under CRADA and GAIN vouchers.</w:t>
      </w:r>
    </w:p>
    <w:p w14:paraId="0F051BA7" w14:textId="63D2BB6B" w:rsidR="00DA66D8" w:rsidRDefault="009F7836" w:rsidP="003E3545">
      <w:pPr>
        <w:pStyle w:val="BodyText"/>
      </w:pPr>
      <w:r>
        <w:t>And once these new reactors are built and deployed, there is need to train operators. RELAP5-3D has been adapted to serve as the thermal-hydraulic engine of many nuclear power plant training simulators and simulator companies are gearing up to do the same for emerging advanced reactors.</w:t>
      </w:r>
    </w:p>
    <w:p w14:paraId="149E1DD6" w14:textId="6AD19198" w:rsidR="00E742ED" w:rsidRDefault="00060EAC" w:rsidP="003E3545">
      <w:pPr>
        <w:pStyle w:val="BodyText"/>
      </w:pPr>
      <w:r>
        <w:t>Recently, a consortium of INL, Naval Nuclear Laboratories (NNL), and Information Systems Laboratories (ISL) has formed to combine the advances made at the laboratories into a single code version with all the advantages of each separate version. This includes upgrades to the programming language, programming guidelines, version control method, manuals, expansion of the verification and validation for advanced reactors, and a vast expansion of dedicated analysts and developers.</w:t>
      </w:r>
      <w:r w:rsidR="00E742ED">
        <w:t xml:space="preserve"> This version is being developed in conjunction with the effort to couple RELAP5 to MOOSE, when compiled together, through direct memory access for the fastest and most sure binding, while allowing both codes to continue to develop and run independently as well.</w:t>
      </w:r>
    </w:p>
    <w:p w14:paraId="674A898C" w14:textId="79CE9694" w:rsidR="00443CC8" w:rsidRDefault="00060EAC" w:rsidP="00A57BC0">
      <w:pPr>
        <w:pStyle w:val="BodyText"/>
      </w:pPr>
      <w:r>
        <w:t xml:space="preserve">Once this new </w:t>
      </w:r>
      <w:r w:rsidR="00E742ED">
        <w:t xml:space="preserve">consortium </w:t>
      </w:r>
      <w:r>
        <w:t>code version</w:t>
      </w:r>
      <w:r w:rsidR="00E742ED">
        <w:t xml:space="preserve"> is available and capable of being coupled with MOOSE, it will be capable of doing anything that RELAP-7 or RELAP5-3D can do, couple natively with MOOSE, and visualize its calculations in whole new and powerful ways. </w:t>
      </w:r>
    </w:p>
    <w:p w14:paraId="1B297C48" w14:textId="6F4269C4" w:rsidR="00EE0041" w:rsidRDefault="00463345" w:rsidP="0026525A">
      <w:pPr>
        <w:pStyle w:val="Heading2"/>
        <w:numPr>
          <w:ilvl w:val="1"/>
          <w:numId w:val="10"/>
        </w:numPr>
      </w:pPr>
      <w:r>
        <w:t>CONCLUSIONS</w:t>
      </w:r>
    </w:p>
    <w:p w14:paraId="2191A402" w14:textId="74F80E0A" w:rsidR="00EE0041" w:rsidRDefault="009419EF" w:rsidP="00537496">
      <w:pPr>
        <w:pStyle w:val="BodyText"/>
      </w:pPr>
      <w:r w:rsidRPr="00C104FE">
        <w:t>The current work provides a summary of selected experimental capabilities being</w:t>
      </w:r>
      <w:r>
        <w:t xml:space="preserve"> </w:t>
      </w:r>
      <w:r w:rsidRPr="00C104FE">
        <w:t>developed to support advanced energy systems enabl</w:t>
      </w:r>
      <w:r w:rsidR="00C23864">
        <w:t>ing the</w:t>
      </w:r>
      <w:r w:rsidRPr="00C104FE">
        <w:t xml:space="preserve"> deployment of novel concepts. Additionally, a selection of </w:t>
      </w:r>
      <w:r w:rsidR="00C10024">
        <w:t>Modelling</w:t>
      </w:r>
      <w:r w:rsidRPr="00C104FE">
        <w:t xml:space="preserve"> approaches </w:t>
      </w:r>
      <w:r w:rsidR="00AA7D97">
        <w:t>also was</w:t>
      </w:r>
      <w:r w:rsidRPr="00C104FE">
        <w:t xml:space="preserve"> discussed that can support these experimental capabilities. The content represents ongoing efforts enabl</w:t>
      </w:r>
      <w:r w:rsidR="00AA7D97">
        <w:t>ing</w:t>
      </w:r>
      <w:r w:rsidRPr="00C104FE">
        <w:t xml:space="preserve"> accelerated development and demonstration of advanced energy systems.</w:t>
      </w:r>
    </w:p>
    <w:p w14:paraId="65038522" w14:textId="77777777" w:rsidR="00717C6F" w:rsidRDefault="00717C6F" w:rsidP="009419EF">
      <w:pPr>
        <w:pStyle w:val="Heading2"/>
        <w:numPr>
          <w:ilvl w:val="1"/>
          <w:numId w:val="10"/>
        </w:numPr>
      </w:pPr>
      <w:r>
        <w:t>REFERENCES</w:t>
      </w:r>
    </w:p>
    <w:p w14:paraId="4241B3E0" w14:textId="53D918C4" w:rsidR="00285755" w:rsidRDefault="009406DD" w:rsidP="00537496">
      <w:pPr>
        <w:pStyle w:val="Referencelist"/>
      </w:pPr>
      <w:r>
        <w:t>SABHARWALL</w:t>
      </w:r>
      <w:r w:rsidR="00D26ADA" w:rsidRPr="00D26ADA">
        <w:t xml:space="preserve">, </w:t>
      </w:r>
      <w:r>
        <w:t>P</w:t>
      </w:r>
      <w:r w:rsidR="00D26ADA" w:rsidRPr="00D26ADA">
        <w:t>.,</w:t>
      </w:r>
      <w:r w:rsidR="00677FC3">
        <w:t xml:space="preserve"> et al.</w:t>
      </w:r>
      <w:r w:rsidR="00D26ADA" w:rsidRPr="00D26ADA">
        <w:t>,</w:t>
      </w:r>
      <w:r w:rsidR="00662532">
        <w:t xml:space="preserve"> </w:t>
      </w:r>
      <w:r w:rsidR="009F2F16">
        <w:rPr>
          <w:rFonts w:eastAsiaTheme="minorHAnsi"/>
        </w:rPr>
        <w:t xml:space="preserve">“SPHERE Assembly and Operation Demonstration,” INL/EXT-20-60782, </w:t>
      </w:r>
      <w:r w:rsidR="009F2F16" w:rsidRPr="00B44A5F">
        <w:rPr>
          <w:rFonts w:eastAsiaTheme="minorHAnsi"/>
        </w:rPr>
        <w:t xml:space="preserve">Idaho National Laboratory, </w:t>
      </w:r>
      <w:r w:rsidR="009F2F16">
        <w:rPr>
          <w:rFonts w:eastAsiaTheme="minorHAnsi"/>
        </w:rPr>
        <w:t xml:space="preserve">Idaho Falls, ID, USA </w:t>
      </w:r>
      <w:r w:rsidR="009F2F16" w:rsidRPr="00B44A5F">
        <w:rPr>
          <w:rFonts w:eastAsiaTheme="minorHAnsi"/>
        </w:rPr>
        <w:t>(2020)</w:t>
      </w:r>
      <w:r w:rsidR="00D26ADA" w:rsidRPr="00D26ADA">
        <w:t>.</w:t>
      </w:r>
    </w:p>
    <w:p w14:paraId="6D9E6A0B" w14:textId="1300C5E1" w:rsidR="009E0D5B" w:rsidRPr="00D62483" w:rsidRDefault="009F2F16" w:rsidP="00041E81">
      <w:pPr>
        <w:pStyle w:val="Referencelist"/>
      </w:pPr>
      <w:r>
        <w:t>SABHARWALL</w:t>
      </w:r>
      <w:r w:rsidR="00D26ADA" w:rsidRPr="009E0D5B">
        <w:t xml:space="preserve">, </w:t>
      </w:r>
      <w:r>
        <w:t>P</w:t>
      </w:r>
      <w:r w:rsidR="00D26ADA" w:rsidRPr="009E0D5B">
        <w:t xml:space="preserve">., </w:t>
      </w:r>
      <w:r>
        <w:t xml:space="preserve">et al., </w:t>
      </w:r>
      <w:r w:rsidR="00800E74" w:rsidRPr="00DA0526">
        <w:rPr>
          <w:rFonts w:eastAsiaTheme="minorHAnsi"/>
        </w:rPr>
        <w:t>“Non</w:t>
      </w:r>
      <w:r w:rsidR="00C438E0" w:rsidRPr="00DA0526">
        <w:rPr>
          <w:rFonts w:eastAsiaTheme="minorHAnsi"/>
        </w:rPr>
        <w:t>nuclear experimental capabilities to support design, development and demonstration of microreactors</w:t>
      </w:r>
      <w:r w:rsidR="00800E74" w:rsidRPr="00DA0526">
        <w:rPr>
          <w:rFonts w:eastAsiaTheme="minorHAnsi"/>
        </w:rPr>
        <w:t xml:space="preserve">,” </w:t>
      </w:r>
      <w:proofErr w:type="spellStart"/>
      <w:r w:rsidR="00800E74" w:rsidRPr="00DA0526">
        <w:rPr>
          <w:rFonts w:eastAsiaTheme="minorHAnsi"/>
          <w:i/>
          <w:iCs/>
        </w:rPr>
        <w:t>Nucl</w:t>
      </w:r>
      <w:proofErr w:type="spellEnd"/>
      <w:r w:rsidR="00055C53" w:rsidRPr="00DA0526">
        <w:rPr>
          <w:rFonts w:eastAsiaTheme="minorHAnsi"/>
          <w:i/>
          <w:iCs/>
        </w:rPr>
        <w:t>.</w:t>
      </w:r>
      <w:r w:rsidR="00800E74" w:rsidRPr="00DA0526">
        <w:rPr>
          <w:rFonts w:eastAsiaTheme="minorHAnsi"/>
          <w:i/>
          <w:iCs/>
        </w:rPr>
        <w:t xml:space="preserve"> Technol</w:t>
      </w:r>
      <w:r w:rsidR="00055C53" w:rsidRPr="00DA0526">
        <w:rPr>
          <w:rFonts w:eastAsiaTheme="minorHAnsi"/>
          <w:i/>
          <w:iCs/>
        </w:rPr>
        <w:t>.</w:t>
      </w:r>
      <w:r w:rsidR="00800E74" w:rsidRPr="00DA0526">
        <w:rPr>
          <w:rFonts w:eastAsiaTheme="minorHAnsi"/>
        </w:rPr>
        <w:t xml:space="preserve"> </w:t>
      </w:r>
      <w:r w:rsidR="00DA6D8D" w:rsidRPr="00DA0526">
        <w:rPr>
          <w:rFonts w:eastAsiaTheme="minorHAnsi"/>
        </w:rPr>
        <w:t>209(1)</w:t>
      </w:r>
      <w:r w:rsidR="00724DDD">
        <w:rPr>
          <w:rFonts w:eastAsiaTheme="minorHAnsi"/>
        </w:rPr>
        <w:t>,</w:t>
      </w:r>
      <w:r w:rsidR="00EC5F73" w:rsidRPr="00EC5F73">
        <w:rPr>
          <w:rFonts w:eastAsiaTheme="minorHAnsi"/>
        </w:rPr>
        <w:t xml:space="preserve"> </w:t>
      </w:r>
      <w:r w:rsidR="00724DDD" w:rsidRPr="00DA0526">
        <w:rPr>
          <w:rFonts w:eastAsiaTheme="minorHAnsi"/>
        </w:rPr>
        <w:t xml:space="preserve">special issue </w:t>
      </w:r>
      <w:r w:rsidR="00041E81" w:rsidRPr="00DA0526">
        <w:rPr>
          <w:rFonts w:eastAsiaTheme="minorHAnsi"/>
        </w:rPr>
        <w:t>on the U.S. Department of Energy Microreactor Program</w:t>
      </w:r>
      <w:r w:rsidR="00800E74" w:rsidRPr="00DA0526">
        <w:rPr>
          <w:rFonts w:eastAsiaTheme="minorHAnsi"/>
        </w:rPr>
        <w:t xml:space="preserve"> </w:t>
      </w:r>
      <w:r w:rsidR="00724DDD">
        <w:rPr>
          <w:rFonts w:eastAsiaTheme="minorHAnsi"/>
        </w:rPr>
        <w:t>(</w:t>
      </w:r>
      <w:r w:rsidR="00800E74" w:rsidRPr="00DA0526">
        <w:rPr>
          <w:rFonts w:eastAsiaTheme="minorHAnsi"/>
        </w:rPr>
        <w:t>202</w:t>
      </w:r>
      <w:r w:rsidR="00F519CA" w:rsidRPr="00DA0526">
        <w:rPr>
          <w:rFonts w:eastAsiaTheme="minorHAnsi"/>
        </w:rPr>
        <w:t>3</w:t>
      </w:r>
      <w:r w:rsidR="00724DDD">
        <w:rPr>
          <w:rFonts w:eastAsiaTheme="minorHAnsi"/>
        </w:rPr>
        <w:t>)</w:t>
      </w:r>
      <w:r w:rsidR="00724DDD" w:rsidRPr="00DA0526">
        <w:rPr>
          <w:rFonts w:eastAsiaTheme="minorHAnsi"/>
        </w:rPr>
        <w:t xml:space="preserve"> </w:t>
      </w:r>
      <w:r w:rsidR="00724DDD" w:rsidRPr="00EC5F73">
        <w:rPr>
          <w:rFonts w:eastAsiaTheme="minorHAnsi"/>
        </w:rPr>
        <w:t>S41</w:t>
      </w:r>
      <w:r w:rsidR="00724DDD">
        <w:rPr>
          <w:rFonts w:eastAsiaTheme="minorHAnsi"/>
        </w:rPr>
        <w:t>–</w:t>
      </w:r>
      <w:r w:rsidR="00724DDD" w:rsidRPr="00EC5F73">
        <w:rPr>
          <w:rFonts w:eastAsiaTheme="minorHAnsi"/>
        </w:rPr>
        <w:t>S59</w:t>
      </w:r>
      <w:r w:rsidR="00800E74" w:rsidRPr="00DA0526">
        <w:rPr>
          <w:rFonts w:eastAsiaTheme="minorHAnsi"/>
        </w:rPr>
        <w:t>.</w:t>
      </w:r>
    </w:p>
    <w:p w14:paraId="4E0D0525" w14:textId="3D0A8304" w:rsidR="00D62483" w:rsidRPr="009E0D5B" w:rsidRDefault="00470917" w:rsidP="00041E81">
      <w:pPr>
        <w:pStyle w:val="Referencelist"/>
      </w:pPr>
      <w:r>
        <w:rPr>
          <w:rFonts w:eastAsiaTheme="minorHAnsi"/>
        </w:rPr>
        <w:t xml:space="preserve">CAPSTONE GREEN ENERGY CORPORATION. “C30” </w:t>
      </w:r>
      <w:r w:rsidR="00EC0A6A">
        <w:rPr>
          <w:rFonts w:eastAsiaTheme="minorHAnsi"/>
        </w:rPr>
        <w:t xml:space="preserve">website. Available at: </w:t>
      </w:r>
      <w:hyperlink r:id="rId17" w:history="1">
        <w:r w:rsidR="00EC0A6A" w:rsidRPr="00D26B0E">
          <w:rPr>
            <w:rStyle w:val="Hyperlink"/>
            <w:rFonts w:eastAsiaTheme="minorHAnsi"/>
          </w:rPr>
          <w:t>https://www.capstonegreenenergy.com/products/energy-conversion-products/capstonemicroturbines/c30</w:t>
        </w:r>
      </w:hyperlink>
      <w:r w:rsidR="00EC0A6A">
        <w:rPr>
          <w:rFonts w:eastAsiaTheme="minorHAnsi"/>
        </w:rPr>
        <w:t xml:space="preserve"> (</w:t>
      </w:r>
      <w:r w:rsidR="00C44997">
        <w:rPr>
          <w:rFonts w:eastAsiaTheme="minorHAnsi"/>
        </w:rPr>
        <w:t>last</w:t>
      </w:r>
      <w:r w:rsidR="00113C91">
        <w:rPr>
          <w:rFonts w:eastAsiaTheme="minorHAnsi"/>
        </w:rPr>
        <w:t> </w:t>
      </w:r>
      <w:r w:rsidR="00C44997">
        <w:rPr>
          <w:rFonts w:eastAsiaTheme="minorHAnsi"/>
        </w:rPr>
        <w:t xml:space="preserve">accessed </w:t>
      </w:r>
      <w:r>
        <w:rPr>
          <w:rFonts w:eastAsiaTheme="minorHAnsi"/>
        </w:rPr>
        <w:t>June 28, 2021).</w:t>
      </w:r>
    </w:p>
    <w:p w14:paraId="715727BF" w14:textId="2E868F62" w:rsidR="009E0D5B" w:rsidRDefault="00DA3D16" w:rsidP="00537496">
      <w:pPr>
        <w:pStyle w:val="Referencelist"/>
      </w:pPr>
      <w:bookmarkStart w:id="0" w:name="_Ref166966775"/>
      <w:r w:rsidRPr="00B44A5F">
        <w:rPr>
          <w:rFonts w:eastAsiaTheme="minorHAnsi"/>
        </w:rPr>
        <w:t>STANEK</w:t>
      </w:r>
      <w:r w:rsidR="0014379A" w:rsidRPr="00B44A5F">
        <w:rPr>
          <w:rFonts w:eastAsiaTheme="minorHAnsi"/>
        </w:rPr>
        <w:t>, C. R.</w:t>
      </w:r>
      <w:r w:rsidR="00526AD4">
        <w:rPr>
          <w:rFonts w:eastAsiaTheme="minorHAnsi"/>
        </w:rPr>
        <w:t>,</w:t>
      </w:r>
      <w:r w:rsidR="0014379A" w:rsidRPr="00B44A5F">
        <w:rPr>
          <w:rFonts w:eastAsiaTheme="minorHAnsi"/>
        </w:rPr>
        <w:t xml:space="preserve"> </w:t>
      </w:r>
      <w:r w:rsidR="006550D9">
        <w:rPr>
          <w:rFonts w:eastAsiaTheme="minorHAnsi"/>
        </w:rPr>
        <w:t>“</w:t>
      </w:r>
      <w:r w:rsidR="0014379A" w:rsidRPr="00B44A5F">
        <w:rPr>
          <w:rFonts w:eastAsiaTheme="minorHAnsi"/>
        </w:rPr>
        <w:t>Overview of DOE-NE NEAMS Program</w:t>
      </w:r>
      <w:r w:rsidR="006550D9">
        <w:rPr>
          <w:rFonts w:eastAsiaTheme="minorHAnsi"/>
        </w:rPr>
        <w:t xml:space="preserve">,” </w:t>
      </w:r>
      <w:r w:rsidR="0014379A" w:rsidRPr="00B44A5F">
        <w:rPr>
          <w:rFonts w:eastAsiaTheme="minorHAnsi"/>
        </w:rPr>
        <w:t>LA-UR-19-22247</w:t>
      </w:r>
      <w:r w:rsidR="00526AD4">
        <w:rPr>
          <w:rFonts w:eastAsiaTheme="minorHAnsi"/>
        </w:rPr>
        <w:t>,</w:t>
      </w:r>
      <w:r w:rsidR="0014379A" w:rsidRPr="00B44A5F">
        <w:rPr>
          <w:rFonts w:eastAsiaTheme="minorHAnsi"/>
        </w:rPr>
        <w:t xml:space="preserve"> Los Alamos National Lab</w:t>
      </w:r>
      <w:r w:rsidR="00526AD4">
        <w:rPr>
          <w:rFonts w:eastAsiaTheme="minorHAnsi"/>
        </w:rPr>
        <w:t>oratory</w:t>
      </w:r>
      <w:r w:rsidR="0014379A" w:rsidRPr="00B44A5F">
        <w:rPr>
          <w:rFonts w:eastAsiaTheme="minorHAnsi"/>
        </w:rPr>
        <w:t>, Los Alamos, NM</w:t>
      </w:r>
      <w:r w:rsidR="00526AD4">
        <w:rPr>
          <w:rFonts w:eastAsiaTheme="minorHAnsi"/>
        </w:rPr>
        <w:t>, USA</w:t>
      </w:r>
      <w:bookmarkEnd w:id="0"/>
      <w:r w:rsidR="006550D9" w:rsidRPr="006550D9">
        <w:rPr>
          <w:rFonts w:eastAsiaTheme="minorHAnsi"/>
        </w:rPr>
        <w:t xml:space="preserve"> </w:t>
      </w:r>
      <w:r w:rsidR="006550D9" w:rsidRPr="00B44A5F">
        <w:rPr>
          <w:rFonts w:eastAsiaTheme="minorHAnsi"/>
        </w:rPr>
        <w:t>(2019).</w:t>
      </w:r>
    </w:p>
    <w:p w14:paraId="51945A7A" w14:textId="2369637A" w:rsidR="00C10024" w:rsidRPr="00C10024" w:rsidRDefault="00DA3D16" w:rsidP="00C10024">
      <w:pPr>
        <w:pStyle w:val="Referencelist"/>
      </w:pPr>
      <w:bookmarkStart w:id="1" w:name="_Ref166966871"/>
      <w:r w:rsidRPr="00B44A5F">
        <w:rPr>
          <w:rFonts w:eastAsiaTheme="minorHAnsi"/>
        </w:rPr>
        <w:t xml:space="preserve">LINDSAY, A., </w:t>
      </w:r>
      <w:r>
        <w:rPr>
          <w:rFonts w:eastAsiaTheme="minorHAnsi"/>
        </w:rPr>
        <w:t>et al.</w:t>
      </w:r>
      <w:r w:rsidRPr="00B44A5F">
        <w:rPr>
          <w:rFonts w:eastAsiaTheme="minorHAnsi"/>
        </w:rPr>
        <w:t xml:space="preserve">, </w:t>
      </w:r>
      <w:r>
        <w:rPr>
          <w:rFonts w:eastAsiaTheme="minorHAnsi"/>
        </w:rPr>
        <w:t>“</w:t>
      </w:r>
      <w:r w:rsidRPr="00B44A5F">
        <w:rPr>
          <w:rFonts w:eastAsiaTheme="minorHAnsi"/>
        </w:rPr>
        <w:t xml:space="preserve">MOOSE Navier–Stokes </w:t>
      </w:r>
      <w:r w:rsidR="00545FC2">
        <w:rPr>
          <w:rFonts w:eastAsiaTheme="minorHAnsi"/>
        </w:rPr>
        <w:t>m</w:t>
      </w:r>
      <w:r w:rsidRPr="00B44A5F">
        <w:rPr>
          <w:rFonts w:eastAsiaTheme="minorHAnsi"/>
        </w:rPr>
        <w:t>odule</w:t>
      </w:r>
      <w:r w:rsidR="00545FC2">
        <w:rPr>
          <w:rFonts w:eastAsiaTheme="minorHAnsi"/>
        </w:rPr>
        <w:t>,</w:t>
      </w:r>
      <w:r>
        <w:rPr>
          <w:rFonts w:eastAsiaTheme="minorHAnsi"/>
        </w:rPr>
        <w:t xml:space="preserve">” </w:t>
      </w:r>
      <w:proofErr w:type="spellStart"/>
      <w:r w:rsidRPr="000A6163">
        <w:rPr>
          <w:rFonts w:eastAsiaTheme="minorHAnsi"/>
          <w:i/>
          <w:iCs/>
        </w:rPr>
        <w:t>SoftwareX</w:t>
      </w:r>
      <w:proofErr w:type="spellEnd"/>
      <w:r w:rsidRPr="00B44A5F">
        <w:rPr>
          <w:rFonts w:eastAsiaTheme="minorHAnsi"/>
        </w:rPr>
        <w:t>,</w:t>
      </w:r>
      <w:r w:rsidR="000A6163">
        <w:rPr>
          <w:rFonts w:eastAsiaTheme="minorHAnsi"/>
        </w:rPr>
        <w:t xml:space="preserve"> </w:t>
      </w:r>
      <w:r w:rsidRPr="00B44A5F">
        <w:rPr>
          <w:rFonts w:eastAsiaTheme="minorHAnsi"/>
        </w:rPr>
        <w:t xml:space="preserve">23 </w:t>
      </w:r>
      <w:bookmarkEnd w:id="1"/>
      <w:r w:rsidR="000A6163">
        <w:rPr>
          <w:rFonts w:eastAsiaTheme="minorHAnsi"/>
        </w:rPr>
        <w:t>(</w:t>
      </w:r>
      <w:r w:rsidRPr="00B44A5F">
        <w:rPr>
          <w:rFonts w:eastAsiaTheme="minorHAnsi"/>
        </w:rPr>
        <w:t>2023</w:t>
      </w:r>
      <w:r w:rsidR="000A6163">
        <w:rPr>
          <w:rFonts w:eastAsiaTheme="minorHAnsi"/>
        </w:rPr>
        <w:t>)</w:t>
      </w:r>
      <w:r w:rsidR="000A6163" w:rsidRPr="000A6163">
        <w:rPr>
          <w:rFonts w:eastAsiaTheme="minorHAnsi"/>
        </w:rPr>
        <w:t xml:space="preserve"> </w:t>
      </w:r>
      <w:r w:rsidR="000A6163" w:rsidRPr="00B44A5F">
        <w:rPr>
          <w:rFonts w:eastAsiaTheme="minorHAnsi"/>
        </w:rPr>
        <w:t>101503.</w:t>
      </w:r>
    </w:p>
    <w:p w14:paraId="563095B7" w14:textId="5B948C84" w:rsidR="00C10024" w:rsidRDefault="00C10024" w:rsidP="00C10024">
      <w:pPr>
        <w:pStyle w:val="Referencelist"/>
        <w:rPr>
          <w:rFonts w:eastAsiaTheme="minorHAnsi"/>
        </w:rPr>
      </w:pPr>
      <w:r w:rsidRPr="00C10024">
        <w:rPr>
          <w:rFonts w:eastAsiaTheme="minorHAnsi"/>
        </w:rPr>
        <w:t>The RELAP5 Team Code Development Team, RELAP5-3D© Code Manual Vols. I</w:t>
      </w:r>
      <w:r>
        <w:rPr>
          <w:rFonts w:eastAsiaTheme="minorHAnsi"/>
        </w:rPr>
        <w:t xml:space="preserve"> and</w:t>
      </w:r>
      <w:r w:rsidRPr="00C10024">
        <w:rPr>
          <w:rFonts w:eastAsiaTheme="minorHAnsi"/>
        </w:rPr>
        <w:t xml:space="preserve"> IV, Revision 4.</w:t>
      </w:r>
      <w:r>
        <w:rPr>
          <w:rFonts w:eastAsiaTheme="minorHAnsi"/>
        </w:rPr>
        <w:t>5</w:t>
      </w:r>
      <w:r w:rsidRPr="00C10024">
        <w:rPr>
          <w:rFonts w:eastAsiaTheme="minorHAnsi"/>
        </w:rPr>
        <w:t xml:space="preserve">, INL/MIS-15-36723, </w:t>
      </w:r>
      <w:r>
        <w:rPr>
          <w:rFonts w:eastAsiaTheme="minorHAnsi"/>
        </w:rPr>
        <w:t>Oct</w:t>
      </w:r>
      <w:r w:rsidRPr="00C10024">
        <w:rPr>
          <w:rFonts w:eastAsiaTheme="minorHAnsi"/>
        </w:rPr>
        <w:t>. 20</w:t>
      </w:r>
      <w:r>
        <w:rPr>
          <w:rFonts w:eastAsiaTheme="minorHAnsi"/>
        </w:rPr>
        <w:t>23.</w:t>
      </w:r>
    </w:p>
    <w:p w14:paraId="2CBC5C79" w14:textId="1F67A79D" w:rsidR="00C10024" w:rsidRPr="00C10024" w:rsidRDefault="00C10024" w:rsidP="00C10024">
      <w:pPr>
        <w:pStyle w:val="Referencelist"/>
        <w:rPr>
          <w:rFonts w:eastAsiaTheme="minorHAnsi"/>
        </w:rPr>
      </w:pPr>
      <w:r w:rsidRPr="00C10024">
        <w:rPr>
          <w:rFonts w:eastAsiaTheme="minorHAnsi"/>
        </w:rPr>
        <w:t>The RELAP5 Team Code Development Team, RELAP5-3D© Code Manual Vols. III, Revision 4.</w:t>
      </w:r>
      <w:r>
        <w:rPr>
          <w:rFonts w:eastAsiaTheme="minorHAnsi"/>
        </w:rPr>
        <w:t>5</w:t>
      </w:r>
      <w:r w:rsidRPr="00C10024">
        <w:rPr>
          <w:rFonts w:eastAsiaTheme="minorHAnsi"/>
        </w:rPr>
        <w:t xml:space="preserve">, INL/MIS-15-36723, </w:t>
      </w:r>
      <w:r>
        <w:rPr>
          <w:rFonts w:eastAsiaTheme="minorHAnsi"/>
        </w:rPr>
        <w:t>Oct</w:t>
      </w:r>
      <w:r w:rsidRPr="00C10024">
        <w:rPr>
          <w:rFonts w:eastAsiaTheme="minorHAnsi"/>
        </w:rPr>
        <w:t>. 20</w:t>
      </w:r>
      <w:r>
        <w:rPr>
          <w:rFonts w:eastAsiaTheme="minorHAnsi"/>
        </w:rPr>
        <w:t>23.</w:t>
      </w:r>
    </w:p>
    <w:sectPr w:rsidR="00C10024" w:rsidRPr="00C10024" w:rsidSect="0026525A">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C365B" w14:textId="77777777" w:rsidR="007B55A2" w:rsidRDefault="007B55A2">
      <w:r>
        <w:separator/>
      </w:r>
    </w:p>
  </w:endnote>
  <w:endnote w:type="continuationSeparator" w:id="0">
    <w:p w14:paraId="6B9423D6" w14:textId="77777777" w:rsidR="007B55A2" w:rsidRDefault="007B5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FD6C0" w14:textId="77777777" w:rsidR="007B55A2" w:rsidRDefault="007B55A2">
      <w:r>
        <w:t>___________________________________________________________________________</w:t>
      </w:r>
    </w:p>
  </w:footnote>
  <w:footnote w:type="continuationSeparator" w:id="0">
    <w:p w14:paraId="1725A78B" w14:textId="77777777" w:rsidR="007B55A2" w:rsidRDefault="007B55A2">
      <w:r>
        <w:t>___________________________________________________________________________</w:t>
      </w:r>
    </w:p>
  </w:footnote>
  <w:footnote w:type="continuationNotice" w:id="1">
    <w:p w14:paraId="0442153E" w14:textId="77777777" w:rsidR="007B55A2" w:rsidRDefault="007B55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2CEF" w14:textId="31AD2B6C" w:rsidR="00E20E70" w:rsidRDefault="00CF7AF3" w:rsidP="009B3DED">
    <w:pPr>
      <w:pStyle w:val="Runninghead"/>
    </w:pPr>
    <w:r>
      <w:t>IAEA-CN-</w:t>
    </w:r>
    <w:r w:rsidR="009B3DED">
      <w:t>XXX</w:t>
    </w:r>
    <w:r>
      <w:t>/</w:t>
    </w:r>
    <w:r w:rsidR="009B3DED">
      <w:t>XX</w:t>
    </w:r>
    <w:r w:rsidR="00E20E70">
      <w:fldChar w:fldCharType="begin"/>
    </w:r>
    <w:r w:rsidR="00E20E70">
      <w:instrText>DOCPROPERTY "IaeaClassification2"  \* MERGEFORMAT</w:instrText>
    </w:r>
    <w:r w:rsidR="00E20E7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25A53DE7" w:rsidR="00E20E70" w:rsidRDefault="00F94277" w:rsidP="00B82FA5">
    <w:pPr>
      <w:pStyle w:val="Runninghead"/>
    </w:pPr>
    <w:r>
      <w:t>SABHARWALL</w:t>
    </w:r>
    <w:r w:rsidR="00E1695E">
      <w:t xml:space="preserve">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2"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DF4AD982"/>
    <w:lvl w:ilvl="0" w:tplc="0BA62254">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C646BB"/>
    <w:multiLevelType w:val="hybridMultilevel"/>
    <w:tmpl w:val="4FD897B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7"/>
  </w:num>
  <w:num w:numId="2" w16cid:durableId="59716700">
    <w:abstractNumId w:val="4"/>
  </w:num>
  <w:num w:numId="3" w16cid:durableId="731540123">
    <w:abstractNumId w:val="11"/>
  </w:num>
  <w:num w:numId="4" w16cid:durableId="744034000">
    <w:abstractNumId w:val="11"/>
  </w:num>
  <w:num w:numId="5" w16cid:durableId="1474641089">
    <w:abstractNumId w:val="11"/>
  </w:num>
  <w:num w:numId="6" w16cid:durableId="528497540">
    <w:abstractNumId w:val="5"/>
  </w:num>
  <w:num w:numId="7" w16cid:durableId="176696273">
    <w:abstractNumId w:val="8"/>
  </w:num>
  <w:num w:numId="8" w16cid:durableId="1131169468">
    <w:abstractNumId w:val="12"/>
  </w:num>
  <w:num w:numId="9" w16cid:durableId="1007632637">
    <w:abstractNumId w:val="1"/>
  </w:num>
  <w:num w:numId="10" w16cid:durableId="422917246">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1"/>
  </w:num>
  <w:num w:numId="12" w16cid:durableId="468400009">
    <w:abstractNumId w:val="11"/>
  </w:num>
  <w:num w:numId="13" w16cid:durableId="1927378143">
    <w:abstractNumId w:val="11"/>
  </w:num>
  <w:num w:numId="14" w16cid:durableId="1289622783">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1"/>
  </w:num>
  <w:num w:numId="16" w16cid:durableId="656224632">
    <w:abstractNumId w:val="11"/>
  </w:num>
  <w:num w:numId="17" w16cid:durableId="784034295">
    <w:abstractNumId w:val="11"/>
  </w:num>
  <w:num w:numId="18" w16cid:durableId="12935558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1"/>
  </w:num>
  <w:num w:numId="20" w16cid:durableId="2113888906">
    <w:abstractNumId w:val="2"/>
  </w:num>
  <w:num w:numId="21" w16cid:durableId="1417746791">
    <w:abstractNumId w:val="11"/>
  </w:num>
  <w:num w:numId="22" w16cid:durableId="1720975952">
    <w:abstractNumId w:val="3"/>
  </w:num>
  <w:num w:numId="23" w16cid:durableId="983584939">
    <w:abstractNumId w:val="0"/>
  </w:num>
  <w:num w:numId="24" w16cid:durableId="76482875">
    <w:abstractNumId w:val="10"/>
  </w:num>
  <w:num w:numId="25" w16cid:durableId="1024988134">
    <w:abstractNumId w:val="11"/>
  </w:num>
  <w:num w:numId="26" w16cid:durableId="2000382986">
    <w:abstractNumId w:val="11"/>
  </w:num>
  <w:num w:numId="27" w16cid:durableId="1390575348">
    <w:abstractNumId w:val="11"/>
  </w:num>
  <w:num w:numId="28" w16cid:durableId="621231405">
    <w:abstractNumId w:val="11"/>
  </w:num>
  <w:num w:numId="29" w16cid:durableId="995762299">
    <w:abstractNumId w:val="11"/>
  </w:num>
  <w:num w:numId="30" w16cid:durableId="320278723">
    <w:abstractNumId w:val="6"/>
  </w:num>
  <w:num w:numId="31" w16cid:durableId="1695614948">
    <w:abstractNumId w:val="6"/>
  </w:num>
  <w:num w:numId="32" w16cid:durableId="195823161">
    <w:abstractNumId w:val="11"/>
  </w:num>
  <w:num w:numId="33" w16cid:durableId="1341543374">
    <w:abstractNumId w:val="11"/>
  </w:num>
  <w:num w:numId="34" w16cid:durableId="1557476036">
    <w:abstractNumId w:val="2"/>
  </w:num>
  <w:num w:numId="35" w16cid:durableId="219636676">
    <w:abstractNumId w:val="2"/>
  </w:num>
  <w:num w:numId="36" w16cid:durableId="1526754116">
    <w:abstractNumId w:val="2"/>
  </w:num>
  <w:num w:numId="37" w16cid:durableId="493572575">
    <w:abstractNumId w:val="9"/>
  </w:num>
  <w:num w:numId="38" w16cid:durableId="19476200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E01"/>
    <w:rsid w:val="00012B41"/>
    <w:rsid w:val="000229AB"/>
    <w:rsid w:val="0002569A"/>
    <w:rsid w:val="0003571A"/>
    <w:rsid w:val="00037321"/>
    <w:rsid w:val="00041E81"/>
    <w:rsid w:val="000421DE"/>
    <w:rsid w:val="0004712A"/>
    <w:rsid w:val="00055C53"/>
    <w:rsid w:val="0005612B"/>
    <w:rsid w:val="00060EAC"/>
    <w:rsid w:val="000670D8"/>
    <w:rsid w:val="00070A56"/>
    <w:rsid w:val="00075055"/>
    <w:rsid w:val="0008258D"/>
    <w:rsid w:val="00082597"/>
    <w:rsid w:val="000A0266"/>
    <w:rsid w:val="000A0299"/>
    <w:rsid w:val="000A5336"/>
    <w:rsid w:val="000A6163"/>
    <w:rsid w:val="000B1D33"/>
    <w:rsid w:val="000B3002"/>
    <w:rsid w:val="000C5C71"/>
    <w:rsid w:val="000C6F25"/>
    <w:rsid w:val="000E0322"/>
    <w:rsid w:val="000E206C"/>
    <w:rsid w:val="000E65D0"/>
    <w:rsid w:val="000F7E94"/>
    <w:rsid w:val="001119D6"/>
    <w:rsid w:val="00113C91"/>
    <w:rsid w:val="001308F2"/>
    <w:rsid w:val="001313E8"/>
    <w:rsid w:val="00132F06"/>
    <w:rsid w:val="0014379A"/>
    <w:rsid w:val="0015405E"/>
    <w:rsid w:val="00197358"/>
    <w:rsid w:val="001A1506"/>
    <w:rsid w:val="001B12AD"/>
    <w:rsid w:val="001C1148"/>
    <w:rsid w:val="001C58F5"/>
    <w:rsid w:val="001C5953"/>
    <w:rsid w:val="001D5CEE"/>
    <w:rsid w:val="001E2786"/>
    <w:rsid w:val="002071D9"/>
    <w:rsid w:val="00215DE1"/>
    <w:rsid w:val="00221BCA"/>
    <w:rsid w:val="002279DC"/>
    <w:rsid w:val="00231267"/>
    <w:rsid w:val="0024699A"/>
    <w:rsid w:val="002531BC"/>
    <w:rsid w:val="00256822"/>
    <w:rsid w:val="00261A8F"/>
    <w:rsid w:val="0026525A"/>
    <w:rsid w:val="00266152"/>
    <w:rsid w:val="00274790"/>
    <w:rsid w:val="002825BD"/>
    <w:rsid w:val="00285755"/>
    <w:rsid w:val="002A1F9C"/>
    <w:rsid w:val="002A314D"/>
    <w:rsid w:val="002B29C2"/>
    <w:rsid w:val="002B73BD"/>
    <w:rsid w:val="002C1DED"/>
    <w:rsid w:val="002C4208"/>
    <w:rsid w:val="002D642B"/>
    <w:rsid w:val="002E660B"/>
    <w:rsid w:val="00312DE0"/>
    <w:rsid w:val="003253F9"/>
    <w:rsid w:val="00352DE1"/>
    <w:rsid w:val="003539FF"/>
    <w:rsid w:val="00366F3E"/>
    <w:rsid w:val="003728E6"/>
    <w:rsid w:val="003868F2"/>
    <w:rsid w:val="00395E2B"/>
    <w:rsid w:val="003A7FCE"/>
    <w:rsid w:val="003B5E0E"/>
    <w:rsid w:val="003B6650"/>
    <w:rsid w:val="003B796F"/>
    <w:rsid w:val="003C0AC3"/>
    <w:rsid w:val="003C57FB"/>
    <w:rsid w:val="003D0695"/>
    <w:rsid w:val="003D255A"/>
    <w:rsid w:val="003E3545"/>
    <w:rsid w:val="003E707F"/>
    <w:rsid w:val="00407145"/>
    <w:rsid w:val="00407FEF"/>
    <w:rsid w:val="00416949"/>
    <w:rsid w:val="00416E5E"/>
    <w:rsid w:val="004222BF"/>
    <w:rsid w:val="00430AB8"/>
    <w:rsid w:val="004370D8"/>
    <w:rsid w:val="00443CC8"/>
    <w:rsid w:val="00463345"/>
    <w:rsid w:val="00470917"/>
    <w:rsid w:val="00471834"/>
    <w:rsid w:val="00472C43"/>
    <w:rsid w:val="004737ED"/>
    <w:rsid w:val="00481D4F"/>
    <w:rsid w:val="00485D6F"/>
    <w:rsid w:val="004A238E"/>
    <w:rsid w:val="004A5E10"/>
    <w:rsid w:val="004B157D"/>
    <w:rsid w:val="004B433A"/>
    <w:rsid w:val="004C073E"/>
    <w:rsid w:val="004C0885"/>
    <w:rsid w:val="004C6966"/>
    <w:rsid w:val="004D48DC"/>
    <w:rsid w:val="004F3A97"/>
    <w:rsid w:val="00506DF6"/>
    <w:rsid w:val="00526AD4"/>
    <w:rsid w:val="0052700D"/>
    <w:rsid w:val="005315D4"/>
    <w:rsid w:val="00534D50"/>
    <w:rsid w:val="00537496"/>
    <w:rsid w:val="00540BB7"/>
    <w:rsid w:val="00541EAF"/>
    <w:rsid w:val="00544ED3"/>
    <w:rsid w:val="00545FC2"/>
    <w:rsid w:val="00546525"/>
    <w:rsid w:val="00572369"/>
    <w:rsid w:val="005836A6"/>
    <w:rsid w:val="0058477B"/>
    <w:rsid w:val="0058654F"/>
    <w:rsid w:val="00596ACA"/>
    <w:rsid w:val="005A1A59"/>
    <w:rsid w:val="005C11A0"/>
    <w:rsid w:val="005D2CA5"/>
    <w:rsid w:val="005D787C"/>
    <w:rsid w:val="005E39BC"/>
    <w:rsid w:val="005F00A0"/>
    <w:rsid w:val="00606AAE"/>
    <w:rsid w:val="0061268B"/>
    <w:rsid w:val="006148E1"/>
    <w:rsid w:val="00614B92"/>
    <w:rsid w:val="00633B6F"/>
    <w:rsid w:val="00634B5C"/>
    <w:rsid w:val="00646943"/>
    <w:rsid w:val="00646980"/>
    <w:rsid w:val="006477B0"/>
    <w:rsid w:val="00647F33"/>
    <w:rsid w:val="006550D9"/>
    <w:rsid w:val="00655686"/>
    <w:rsid w:val="0066101C"/>
    <w:rsid w:val="00662532"/>
    <w:rsid w:val="00666760"/>
    <w:rsid w:val="006677EC"/>
    <w:rsid w:val="00677FC3"/>
    <w:rsid w:val="00693F08"/>
    <w:rsid w:val="00694304"/>
    <w:rsid w:val="00696208"/>
    <w:rsid w:val="006A4300"/>
    <w:rsid w:val="006A48E8"/>
    <w:rsid w:val="006A4A93"/>
    <w:rsid w:val="006B2274"/>
    <w:rsid w:val="006F095E"/>
    <w:rsid w:val="0070422D"/>
    <w:rsid w:val="00717C6F"/>
    <w:rsid w:val="0072352B"/>
    <w:rsid w:val="00724DDD"/>
    <w:rsid w:val="007445DA"/>
    <w:rsid w:val="007512FE"/>
    <w:rsid w:val="00754204"/>
    <w:rsid w:val="0076435D"/>
    <w:rsid w:val="00784739"/>
    <w:rsid w:val="007943A3"/>
    <w:rsid w:val="007A4EC1"/>
    <w:rsid w:val="007A4F4B"/>
    <w:rsid w:val="007B4FD1"/>
    <w:rsid w:val="007B55A2"/>
    <w:rsid w:val="007C27E4"/>
    <w:rsid w:val="007E1BDB"/>
    <w:rsid w:val="007E6580"/>
    <w:rsid w:val="00800E74"/>
    <w:rsid w:val="00801BAF"/>
    <w:rsid w:val="00802381"/>
    <w:rsid w:val="00802481"/>
    <w:rsid w:val="00820368"/>
    <w:rsid w:val="00823630"/>
    <w:rsid w:val="00831697"/>
    <w:rsid w:val="008359CE"/>
    <w:rsid w:val="00846036"/>
    <w:rsid w:val="0085182D"/>
    <w:rsid w:val="00856647"/>
    <w:rsid w:val="0086604B"/>
    <w:rsid w:val="00867D60"/>
    <w:rsid w:val="00883848"/>
    <w:rsid w:val="00885CBE"/>
    <w:rsid w:val="00897ED5"/>
    <w:rsid w:val="008A1973"/>
    <w:rsid w:val="008B6BB9"/>
    <w:rsid w:val="008C5373"/>
    <w:rsid w:val="008D3951"/>
    <w:rsid w:val="008D55F3"/>
    <w:rsid w:val="008D5622"/>
    <w:rsid w:val="00900E68"/>
    <w:rsid w:val="00902A41"/>
    <w:rsid w:val="00911543"/>
    <w:rsid w:val="00914200"/>
    <w:rsid w:val="00914E68"/>
    <w:rsid w:val="0092106D"/>
    <w:rsid w:val="009406DD"/>
    <w:rsid w:val="009419EF"/>
    <w:rsid w:val="009518E9"/>
    <w:rsid w:val="009519C9"/>
    <w:rsid w:val="00955C84"/>
    <w:rsid w:val="00964E0A"/>
    <w:rsid w:val="009814E1"/>
    <w:rsid w:val="00984A9F"/>
    <w:rsid w:val="009A1652"/>
    <w:rsid w:val="009A7CD6"/>
    <w:rsid w:val="009B3DED"/>
    <w:rsid w:val="009C1CA9"/>
    <w:rsid w:val="009D0B86"/>
    <w:rsid w:val="009D4888"/>
    <w:rsid w:val="009E0D5B"/>
    <w:rsid w:val="009E1558"/>
    <w:rsid w:val="009F2F16"/>
    <w:rsid w:val="009F7836"/>
    <w:rsid w:val="00A16D84"/>
    <w:rsid w:val="00A216B2"/>
    <w:rsid w:val="00A23BC9"/>
    <w:rsid w:val="00A3768D"/>
    <w:rsid w:val="00A42898"/>
    <w:rsid w:val="00A57BC0"/>
    <w:rsid w:val="00A7406E"/>
    <w:rsid w:val="00A757DD"/>
    <w:rsid w:val="00A76DB3"/>
    <w:rsid w:val="00A82C96"/>
    <w:rsid w:val="00A97D11"/>
    <w:rsid w:val="00AA5443"/>
    <w:rsid w:val="00AA7D97"/>
    <w:rsid w:val="00AB6ACE"/>
    <w:rsid w:val="00AC23D4"/>
    <w:rsid w:val="00AC5A3A"/>
    <w:rsid w:val="00AD745A"/>
    <w:rsid w:val="00AD7E3F"/>
    <w:rsid w:val="00AF698C"/>
    <w:rsid w:val="00B31699"/>
    <w:rsid w:val="00B53B8C"/>
    <w:rsid w:val="00B5560F"/>
    <w:rsid w:val="00B64E11"/>
    <w:rsid w:val="00B66E2C"/>
    <w:rsid w:val="00B753FB"/>
    <w:rsid w:val="00B812E4"/>
    <w:rsid w:val="00B82FA5"/>
    <w:rsid w:val="00B84700"/>
    <w:rsid w:val="00B853F8"/>
    <w:rsid w:val="00BA196B"/>
    <w:rsid w:val="00BB0C47"/>
    <w:rsid w:val="00BB4D70"/>
    <w:rsid w:val="00BC387C"/>
    <w:rsid w:val="00BD1400"/>
    <w:rsid w:val="00BD605C"/>
    <w:rsid w:val="00BE2A76"/>
    <w:rsid w:val="00C043E6"/>
    <w:rsid w:val="00C10024"/>
    <w:rsid w:val="00C23864"/>
    <w:rsid w:val="00C269D3"/>
    <w:rsid w:val="00C275AD"/>
    <w:rsid w:val="00C33004"/>
    <w:rsid w:val="00C33F41"/>
    <w:rsid w:val="00C340BD"/>
    <w:rsid w:val="00C34555"/>
    <w:rsid w:val="00C403AB"/>
    <w:rsid w:val="00C438E0"/>
    <w:rsid w:val="00C44997"/>
    <w:rsid w:val="00C47180"/>
    <w:rsid w:val="00C60988"/>
    <w:rsid w:val="00C65E60"/>
    <w:rsid w:val="00C734E5"/>
    <w:rsid w:val="00CA25B3"/>
    <w:rsid w:val="00CB219F"/>
    <w:rsid w:val="00CC0545"/>
    <w:rsid w:val="00CE5A52"/>
    <w:rsid w:val="00CF7AF3"/>
    <w:rsid w:val="00D05F54"/>
    <w:rsid w:val="00D21619"/>
    <w:rsid w:val="00D26ADA"/>
    <w:rsid w:val="00D35A78"/>
    <w:rsid w:val="00D555A1"/>
    <w:rsid w:val="00D61843"/>
    <w:rsid w:val="00D62483"/>
    <w:rsid w:val="00D64DC2"/>
    <w:rsid w:val="00D70A58"/>
    <w:rsid w:val="00D97D0E"/>
    <w:rsid w:val="00DA0526"/>
    <w:rsid w:val="00DA356E"/>
    <w:rsid w:val="00DA3D16"/>
    <w:rsid w:val="00DA46CA"/>
    <w:rsid w:val="00DA66D8"/>
    <w:rsid w:val="00DA6D8D"/>
    <w:rsid w:val="00DB0604"/>
    <w:rsid w:val="00DB6E70"/>
    <w:rsid w:val="00DD459D"/>
    <w:rsid w:val="00DE63FA"/>
    <w:rsid w:val="00DF21EB"/>
    <w:rsid w:val="00DF488F"/>
    <w:rsid w:val="00DF6AB3"/>
    <w:rsid w:val="00E13387"/>
    <w:rsid w:val="00E1695E"/>
    <w:rsid w:val="00E20E70"/>
    <w:rsid w:val="00E25B68"/>
    <w:rsid w:val="00E35469"/>
    <w:rsid w:val="00E42AF5"/>
    <w:rsid w:val="00E432E0"/>
    <w:rsid w:val="00E54F82"/>
    <w:rsid w:val="00E55051"/>
    <w:rsid w:val="00E60479"/>
    <w:rsid w:val="00E742ED"/>
    <w:rsid w:val="00E81DB1"/>
    <w:rsid w:val="00E84003"/>
    <w:rsid w:val="00E85A6A"/>
    <w:rsid w:val="00E93444"/>
    <w:rsid w:val="00EC0A6A"/>
    <w:rsid w:val="00EC10FC"/>
    <w:rsid w:val="00EC5F73"/>
    <w:rsid w:val="00EE0041"/>
    <w:rsid w:val="00EE170F"/>
    <w:rsid w:val="00EE29B9"/>
    <w:rsid w:val="00EF44F0"/>
    <w:rsid w:val="00F004EE"/>
    <w:rsid w:val="00F10405"/>
    <w:rsid w:val="00F23129"/>
    <w:rsid w:val="00F24642"/>
    <w:rsid w:val="00F35549"/>
    <w:rsid w:val="00F3593F"/>
    <w:rsid w:val="00F404D6"/>
    <w:rsid w:val="00F42E23"/>
    <w:rsid w:val="00F45EEE"/>
    <w:rsid w:val="00F46D93"/>
    <w:rsid w:val="00F519CA"/>
    <w:rsid w:val="00F51E9C"/>
    <w:rsid w:val="00F523CA"/>
    <w:rsid w:val="00F53D18"/>
    <w:rsid w:val="00F74A9D"/>
    <w:rsid w:val="00F94277"/>
    <w:rsid w:val="00FA251B"/>
    <w:rsid w:val="00FB3C56"/>
    <w:rsid w:val="00FC0F09"/>
    <w:rsid w:val="00FD14E0"/>
    <w:rsid w:val="00FE57F6"/>
    <w:rsid w:val="00FE700C"/>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rsid w:val="00B84700"/>
    <w:pPr>
      <w:numPr>
        <w:numId w:val="6"/>
      </w:numPr>
      <w:tabs>
        <w:tab w:val="clear" w:pos="1179"/>
        <w:tab w:val="left" w:pos="990"/>
      </w:tabs>
      <w:ind w:left="1124" w:right="1138" w:hanging="562"/>
      <w:jc w:val="both"/>
    </w:pPr>
    <w:rPr>
      <w:sz w:val="22"/>
      <w:lang w:eastAsia="en-US"/>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BB4D70"/>
    <w:pPr>
      <w:ind w:firstLine="0"/>
      <w:jc w:val="center"/>
    </w:pPr>
    <w:rPr>
      <w:i/>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BB4D70"/>
    <w:rPr>
      <w:i/>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locked/>
    <w:rsid w:val="00614B92"/>
    <w:rPr>
      <w:color w:val="0000FF" w:themeColor="hyperlink"/>
      <w:u w:val="single"/>
    </w:rPr>
  </w:style>
  <w:style w:type="character" w:styleId="UnresolvedMention">
    <w:name w:val="Unresolved Mention"/>
    <w:basedOn w:val="DefaultParagraphFont"/>
    <w:uiPriority w:val="99"/>
    <w:semiHidden/>
    <w:unhideWhenUsed/>
    <w:rsid w:val="00614B92"/>
    <w:rPr>
      <w:color w:val="605E5C"/>
      <w:shd w:val="clear" w:color="auto" w:fill="E1DFDD"/>
    </w:rPr>
  </w:style>
  <w:style w:type="paragraph" w:styleId="Revision">
    <w:name w:val="Revision"/>
    <w:hidden/>
    <w:uiPriority w:val="99"/>
    <w:semiHidden/>
    <w:rsid w:val="00AD7E3F"/>
    <w:rPr>
      <w:sz w:val="22"/>
      <w:lang w:eastAsia="en-US"/>
    </w:rPr>
  </w:style>
  <w:style w:type="paragraph" w:customStyle="1" w:styleId="FigureGraphic">
    <w:name w:val="Figure/Graphic"/>
    <w:next w:val="Normal"/>
    <w:rsid w:val="00DA356E"/>
    <w:pPr>
      <w:keepNext/>
      <w:keepLines/>
      <w:spacing w:before="60" w:after="120"/>
      <w:jc w:val="center"/>
    </w:pPr>
    <w:rPr>
      <w:lang w:val="en-US" w:eastAsia="en-US"/>
    </w:rPr>
  </w:style>
  <w:style w:type="paragraph" w:styleId="ListParagraph">
    <w:name w:val="List Paragraph"/>
    <w:basedOn w:val="Normal"/>
    <w:uiPriority w:val="49"/>
    <w:locked/>
    <w:rsid w:val="00D216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apstonegreenenergy.com/products/energy-conversion-products/capstonemicroturbines/c3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43</TotalTime>
  <Pages>7</Pages>
  <Words>3275</Words>
  <Characters>18670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Piyush Sabharwall</cp:lastModifiedBy>
  <cp:revision>7</cp:revision>
  <cp:lastPrinted>2024-03-19T13:52:00Z</cp:lastPrinted>
  <dcterms:created xsi:type="dcterms:W3CDTF">2024-05-21T22:37:00Z</dcterms:created>
  <dcterms:modified xsi:type="dcterms:W3CDTF">2024-05-23T02:50:00Z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