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hint="eastAsia" w:eastAsia="宋体"/>
          <w:highlight w:val="none"/>
          <w:lang w:val="en-US" w:eastAsia="zh-CN"/>
        </w:rPr>
      </w:pPr>
      <w:r>
        <w:rPr>
          <w:rFonts w:ascii="Times New Roman Bold" w:hAnsi="Times New Roman Bold" w:eastAsia="Times New Roman" w:cs="Times New Roman"/>
          <w:b/>
          <w:bCs w:val="0"/>
          <w:i w:val="0"/>
          <w:iCs w:val="0"/>
          <w:caps/>
          <w:color w:val="auto"/>
          <w:spacing w:val="0"/>
          <w:sz w:val="24"/>
          <w:szCs w:val="20"/>
          <w:highlight w:val="none"/>
          <w:shd w:val="clear" w:fill="auto"/>
        </w:rPr>
        <w:t>The Status of Supply Chain for Small Modular Reactors deployment in China</w:t>
      </w:r>
    </w:p>
    <w:p>
      <w:pPr>
        <w:pStyle w:val="46"/>
        <w:rPr>
          <w:highlight w:val="none"/>
        </w:rPr>
      </w:pPr>
    </w:p>
    <w:p>
      <w:pPr>
        <w:pStyle w:val="46"/>
        <w:rPr>
          <w:rFonts w:hint="eastAsia" w:eastAsia="宋体"/>
          <w:highlight w:val="none"/>
          <w:lang w:val="en-US" w:eastAsia="zh-CN"/>
        </w:rPr>
      </w:pPr>
      <w:r>
        <w:rPr>
          <w:rFonts w:hint="eastAsia" w:eastAsia="宋体"/>
          <w:highlight w:val="none"/>
          <w:lang w:val="en-US" w:eastAsia="zh-CN"/>
        </w:rPr>
        <w:t>ZHU Sheng</w:t>
      </w:r>
    </w:p>
    <w:p>
      <w:pPr>
        <w:pStyle w:val="46"/>
        <w:rPr>
          <w:highlight w:val="none"/>
        </w:rPr>
      </w:pPr>
      <w:r>
        <w:rPr>
          <w:rFonts w:hint="eastAsia" w:eastAsia="宋体"/>
          <w:highlight w:val="none"/>
          <w:lang w:val="en-US" w:eastAsia="zh-CN"/>
        </w:rPr>
        <w:t>Nuclear Power Operations Research Institute</w:t>
      </w:r>
    </w:p>
    <w:p>
      <w:pPr>
        <w:pStyle w:val="46"/>
        <w:rPr>
          <w:rFonts w:hint="default" w:eastAsia="宋体"/>
          <w:highlight w:val="none"/>
          <w:lang w:val="en-US" w:eastAsia="zh-CN"/>
        </w:rPr>
      </w:pPr>
      <w:r>
        <w:rPr>
          <w:rFonts w:hint="eastAsia" w:eastAsia="宋体"/>
          <w:highlight w:val="none"/>
          <w:lang w:val="en-US" w:eastAsia="zh-CN"/>
        </w:rPr>
        <w:t>Shanghai</w:t>
      </w:r>
      <w:r>
        <w:rPr>
          <w:highlight w:val="none"/>
        </w:rPr>
        <w:t xml:space="preserve">, </w:t>
      </w:r>
      <w:r>
        <w:rPr>
          <w:rFonts w:hint="eastAsia" w:eastAsia="宋体"/>
          <w:highlight w:val="none"/>
          <w:lang w:val="en-US" w:eastAsia="zh-CN"/>
        </w:rPr>
        <w:t>China</w:t>
      </w:r>
    </w:p>
    <w:p>
      <w:pPr>
        <w:pStyle w:val="46"/>
        <w:rPr>
          <w:rFonts w:hint="eastAsia" w:eastAsia="宋体"/>
          <w:highlight w:val="none"/>
          <w:lang w:val="en-US" w:eastAsia="zh-CN"/>
        </w:rPr>
      </w:pPr>
      <w:r>
        <w:rPr>
          <w:highlight w:val="none"/>
        </w:rPr>
        <w:t xml:space="preserve">Email: </w:t>
      </w:r>
      <w:r>
        <w:rPr>
          <w:rFonts w:hint="eastAsia" w:eastAsia="宋体"/>
          <w:highlight w:val="none"/>
          <w:lang w:val="en-US" w:eastAsia="zh-CN"/>
        </w:rPr>
        <w:fldChar w:fldCharType="begin"/>
      </w:r>
      <w:r>
        <w:rPr>
          <w:rFonts w:hint="eastAsia" w:eastAsia="宋体"/>
          <w:highlight w:val="none"/>
          <w:lang w:val="en-US" w:eastAsia="zh-CN"/>
        </w:rPr>
        <w:instrText xml:space="preserve"> HYPERLINK "mailto:zhusheng@cnnp.com.cn" </w:instrText>
      </w:r>
      <w:r>
        <w:rPr>
          <w:rFonts w:hint="eastAsia" w:eastAsia="宋体"/>
          <w:highlight w:val="none"/>
          <w:lang w:val="en-US" w:eastAsia="zh-CN"/>
        </w:rPr>
        <w:fldChar w:fldCharType="separate"/>
      </w:r>
      <w:r>
        <w:rPr>
          <w:rStyle w:val="24"/>
          <w:rFonts w:hint="eastAsia" w:eastAsia="宋体"/>
          <w:highlight w:val="none"/>
          <w:lang w:val="en-US" w:eastAsia="zh-CN"/>
        </w:rPr>
        <w:t>zhusheng@cnnp.com.cn</w:t>
      </w:r>
      <w:r>
        <w:rPr>
          <w:rFonts w:hint="eastAsia" w:eastAsia="宋体"/>
          <w:highlight w:val="none"/>
          <w:lang w:val="en-US" w:eastAsia="zh-CN"/>
        </w:rPr>
        <w:fldChar w:fldCharType="end"/>
      </w:r>
    </w:p>
    <w:p>
      <w:pPr>
        <w:pStyle w:val="46"/>
        <w:ind w:left="0" w:leftChars="0" w:firstLine="0" w:firstLineChars="0"/>
        <w:rPr>
          <w:highlight w:val="none"/>
        </w:rPr>
      </w:pPr>
    </w:p>
    <w:p>
      <w:pPr>
        <w:pStyle w:val="46"/>
        <w:ind w:left="0" w:leftChars="0" w:firstLine="0" w:firstLineChars="0"/>
        <w:rPr>
          <w:highlight w:val="none"/>
        </w:rPr>
      </w:pPr>
    </w:p>
    <w:p>
      <w:pPr>
        <w:pStyle w:val="46"/>
        <w:rPr>
          <w:b/>
          <w:highlight w:val="none"/>
        </w:rPr>
      </w:pPr>
      <w:r>
        <w:rPr>
          <w:b/>
          <w:highlight w:val="none"/>
        </w:rPr>
        <w:t>Abstract</w:t>
      </w:r>
    </w:p>
    <w:p>
      <w:pPr>
        <w:pStyle w:val="46"/>
        <w:rPr>
          <w:highlight w:val="none"/>
        </w:rPr>
      </w:pPr>
    </w:p>
    <w:p>
      <w:pPr>
        <w:pStyle w:val="48"/>
        <w:jc w:val="both"/>
        <w:rPr>
          <w:rFonts w:hint="eastAsia" w:eastAsia="宋体"/>
          <w:highlight w:val="none"/>
          <w:lang w:val="en-US" w:eastAsia="zh-CN"/>
        </w:rPr>
      </w:pPr>
      <w:r>
        <w:rPr>
          <w:rFonts w:hint="eastAsia" w:eastAsia="宋体" w:cs="Times New Roman"/>
          <w:sz w:val="18"/>
          <w:szCs w:val="20"/>
          <w:highlight w:val="none"/>
          <w:lang w:val="en-US" w:eastAsia="zh-CN"/>
        </w:rPr>
        <w:t>Small Modular Reactors (</w:t>
      </w:r>
      <w:r>
        <w:rPr>
          <w:rFonts w:ascii="Times New Roman" w:hAnsi="Times New Roman" w:eastAsia="Times New Roman" w:cs="Times New Roman"/>
          <w:sz w:val="18"/>
          <w:szCs w:val="20"/>
          <w:highlight w:val="none"/>
        </w:rPr>
        <w:t>SMRs</w:t>
      </w:r>
      <w:r>
        <w:rPr>
          <w:rFonts w:hint="eastAsia" w:eastAsia="宋体" w:cs="Times New Roman"/>
          <w:sz w:val="18"/>
          <w:szCs w:val="20"/>
          <w:highlight w:val="none"/>
          <w:lang w:val="en-US" w:eastAsia="zh-CN"/>
        </w:rPr>
        <w:t xml:space="preserve">) </w:t>
      </w:r>
      <w:r>
        <w:rPr>
          <w:rFonts w:ascii="Times New Roman" w:hAnsi="Times New Roman" w:eastAsia="Times New Roman" w:cs="Times New Roman"/>
          <w:sz w:val="18"/>
          <w:szCs w:val="20"/>
          <w:highlight w:val="none"/>
        </w:rPr>
        <w:t xml:space="preserve">have the characteristics of small size, light weight, strong application flexibility, and low initial investment. They can be widely used in various scenarios such as power generation, heating, and seawater desalination, and are one of the important choices for achieving zero carbon energy. China began the technological research and development of SMRs in the early 1980s, targeting the application needs of heating in cold regions, power supply in remote areas, and seawater desalination in coastal areas. Various types, power levels, and technical characteristics of </w:t>
      </w:r>
      <w:r>
        <w:rPr>
          <w:rFonts w:hint="eastAsia" w:eastAsia="宋体" w:cs="Times New Roman"/>
          <w:sz w:val="18"/>
          <w:szCs w:val="20"/>
          <w:highlight w:val="none"/>
          <w:lang w:val="en-US" w:eastAsia="zh-CN"/>
        </w:rPr>
        <w:t xml:space="preserve"> </w:t>
      </w:r>
      <w:r>
        <w:rPr>
          <w:rFonts w:ascii="Times New Roman" w:hAnsi="Times New Roman" w:eastAsia="Times New Roman" w:cs="Times New Roman"/>
          <w:sz w:val="18"/>
          <w:szCs w:val="20"/>
          <w:highlight w:val="none"/>
        </w:rPr>
        <w:t>SMRs were developed. Among them, the 200MWe high-temperature gas cooled SMR has been put into operation in 202</w:t>
      </w:r>
      <w:r>
        <w:rPr>
          <w:rFonts w:hint="eastAsia" w:eastAsia="宋体" w:cs="Times New Roman"/>
          <w:sz w:val="18"/>
          <w:szCs w:val="20"/>
          <w:highlight w:val="none"/>
          <w:lang w:val="en-US" w:eastAsia="zh-CN"/>
        </w:rPr>
        <w:t>3</w:t>
      </w:r>
      <w:r>
        <w:rPr>
          <w:rFonts w:ascii="Times New Roman" w:hAnsi="Times New Roman" w:eastAsia="Times New Roman" w:cs="Times New Roman"/>
          <w:sz w:val="18"/>
          <w:szCs w:val="20"/>
          <w:highlight w:val="none"/>
        </w:rPr>
        <w:t xml:space="preserve">, and the 125MWe “Linglong </w:t>
      </w:r>
      <w:r>
        <w:rPr>
          <w:rFonts w:hint="eastAsia" w:eastAsia="宋体" w:cs="Times New Roman"/>
          <w:sz w:val="18"/>
          <w:szCs w:val="20"/>
          <w:highlight w:val="none"/>
          <w:lang w:val="en-US" w:eastAsia="zh-CN"/>
        </w:rPr>
        <w:t>one</w:t>
      </w:r>
      <w:r>
        <w:rPr>
          <w:rFonts w:ascii="Times New Roman" w:hAnsi="Times New Roman" w:eastAsia="Times New Roman" w:cs="Times New Roman"/>
          <w:sz w:val="18"/>
          <w:szCs w:val="20"/>
          <w:highlight w:val="none"/>
        </w:rPr>
        <w:t xml:space="preserve">” integrated multi-purpose water cooled SMR is under construction，and is planned to be completed for power generation in 2026, and several SMRs are in different research and development stages </w:t>
      </w:r>
      <w:r>
        <w:rPr>
          <w:rFonts w:hint="eastAsia" w:eastAsia="宋体" w:cs="Times New Roman"/>
          <w:sz w:val="18"/>
          <w:szCs w:val="20"/>
          <w:highlight w:val="none"/>
          <w:lang w:val="en-US" w:eastAsia="zh-CN"/>
        </w:rPr>
        <w:t>currently</w:t>
      </w:r>
      <w:r>
        <w:rPr>
          <w:rFonts w:ascii="Times New Roman" w:hAnsi="Times New Roman" w:eastAsia="Times New Roman" w:cs="Times New Roman"/>
          <w:sz w:val="18"/>
          <w:szCs w:val="20"/>
          <w:highlight w:val="none"/>
        </w:rPr>
        <w:t xml:space="preserve">. China has established a complete supply chain system through more than 30 years of research and development, construction, and application practice in the field of SMRs, which can provide strong support for the deployment of SMRs. This article will introduce the status of SMRs supply chains in China from various aspects such as </w:t>
      </w:r>
      <w:r>
        <w:rPr>
          <w:rFonts w:hint="eastAsia" w:eastAsia="宋体" w:cs="Times New Roman"/>
          <w:sz w:val="18"/>
          <w:szCs w:val="20"/>
          <w:highlight w:val="none"/>
          <w:lang w:val="en-US" w:eastAsia="zh-CN"/>
        </w:rPr>
        <w:t>materials and fuel,</w:t>
      </w:r>
      <w:r>
        <w:rPr>
          <w:rFonts w:ascii="Times New Roman" w:hAnsi="Times New Roman" w:eastAsia="Times New Roman" w:cs="Times New Roman"/>
          <w:sz w:val="18"/>
          <w:szCs w:val="20"/>
          <w:highlight w:val="none"/>
        </w:rPr>
        <w:t xml:space="preserve"> research and development, </w:t>
      </w:r>
      <w:r>
        <w:rPr>
          <w:rFonts w:hint="eastAsia" w:eastAsia="宋体" w:cs="Times New Roman"/>
          <w:sz w:val="18"/>
          <w:szCs w:val="20"/>
          <w:highlight w:val="none"/>
          <w:lang w:val="en-US" w:eastAsia="zh-CN"/>
        </w:rPr>
        <w:t>components</w:t>
      </w:r>
      <w:r>
        <w:rPr>
          <w:rFonts w:ascii="Times New Roman" w:hAnsi="Times New Roman" w:eastAsia="Times New Roman" w:cs="Times New Roman"/>
          <w:sz w:val="18"/>
          <w:szCs w:val="20"/>
          <w:highlight w:val="none"/>
        </w:rPr>
        <w:t xml:space="preserve"> manufacturing, construction, operation and maintenance, </w:t>
      </w:r>
      <w:r>
        <w:rPr>
          <w:rFonts w:hint="eastAsia" w:eastAsia="宋体" w:cs="Times New Roman"/>
          <w:sz w:val="18"/>
          <w:szCs w:val="20"/>
          <w:highlight w:val="none"/>
          <w:lang w:val="en-US" w:eastAsia="zh-CN"/>
        </w:rPr>
        <w:t>education and training</w:t>
      </w:r>
      <w:r>
        <w:rPr>
          <w:rFonts w:ascii="Times New Roman" w:hAnsi="Times New Roman" w:eastAsia="Times New Roman" w:cs="Times New Roman"/>
          <w:sz w:val="18"/>
          <w:szCs w:val="20"/>
          <w:highlight w:val="none"/>
        </w:rPr>
        <w:t>. It will be helpful for the potential SMR users to understand China’s capabilities in SMR deployment, and promote the large-scale application of SMRs</w:t>
      </w:r>
      <w:r>
        <w:rPr>
          <w:rFonts w:hint="eastAsia" w:eastAsia="宋体" w:cs="Times New Roman"/>
          <w:sz w:val="18"/>
          <w:szCs w:val="20"/>
          <w:highlight w:val="none"/>
          <w:lang w:val="en-US" w:eastAsia="zh-CN"/>
        </w:rPr>
        <w:t>.</w:t>
      </w:r>
    </w:p>
    <w:p>
      <w:pPr>
        <w:pStyle w:val="5"/>
        <w:numPr>
          <w:ilvl w:val="1"/>
          <w:numId w:val="9"/>
        </w:numPr>
        <w:rPr>
          <w:highlight w:val="none"/>
        </w:rPr>
      </w:pPr>
      <w:r>
        <w:rPr>
          <w:highlight w:val="none"/>
        </w:rPr>
        <w:t>INTRODUCTION</w:t>
      </w:r>
    </w:p>
    <w:p>
      <w:pPr>
        <w:pStyle w:val="4"/>
        <w:rPr>
          <w:rFonts w:ascii="Times New Roman" w:hAnsi="Times New Roman" w:eastAsia="Times New Roman" w:cs="Times New Roman"/>
          <w:highlight w:val="none"/>
        </w:rPr>
      </w:pPr>
      <w:r>
        <w:rPr>
          <w:rFonts w:hint="default" w:ascii="Times New Roman" w:hAnsi="Times New Roman" w:eastAsia="Times New Roman" w:cs="Times New Roman"/>
          <w:b w:val="0"/>
          <w:bCs w:val="0"/>
          <w:caps w:val="0"/>
          <w:kern w:val="0"/>
          <w:highlight w:val="none"/>
          <w:lang w:val="en-US" w:eastAsia="en-US" w:bidi="ar-SA"/>
        </w:rPr>
        <w:t xml:space="preserve">The </w:t>
      </w:r>
      <w:r>
        <w:rPr>
          <w:rFonts w:hint="eastAsia" w:eastAsia="宋体" w:cs="Times New Roman"/>
          <w:b w:val="0"/>
          <w:bCs w:val="0"/>
          <w:caps w:val="0"/>
          <w:kern w:val="0"/>
          <w:highlight w:val="none"/>
          <w:lang w:val="en-US" w:eastAsia="zh-CN" w:bidi="ar-SA"/>
        </w:rPr>
        <w:t>application</w:t>
      </w:r>
      <w:r>
        <w:rPr>
          <w:rFonts w:hint="default" w:ascii="Times New Roman" w:hAnsi="Times New Roman" w:eastAsia="Times New Roman" w:cs="Times New Roman"/>
          <w:b w:val="0"/>
          <w:bCs w:val="0"/>
          <w:caps w:val="0"/>
          <w:kern w:val="0"/>
          <w:highlight w:val="none"/>
          <w:lang w:val="en-US" w:eastAsia="en-US" w:bidi="ar-SA"/>
        </w:rPr>
        <w:t xml:space="preserve"> of nuclear energy is one of the greatest discoveries of the twentieth century. After more than half a century of development, nuclear energy has become an important part of the world's energy system. </w:t>
      </w:r>
      <w:r>
        <w:rPr>
          <w:rFonts w:ascii="Times New Roman" w:hAnsi="Times New Roman" w:eastAsia="Times New Roman" w:cs="Times New Roman"/>
          <w:sz w:val="20"/>
          <w:szCs w:val="20"/>
          <w:highlight w:val="none"/>
          <w:lang w:val="en-US"/>
        </w:rPr>
        <w:t xml:space="preserve">Large nuclear reactors, are capable of fulfilling much of the </w:t>
      </w:r>
      <w:r>
        <w:rPr>
          <w:rFonts w:hint="eastAsia" w:eastAsia="宋体" w:cs="Times New Roman"/>
          <w:sz w:val="20"/>
          <w:szCs w:val="20"/>
          <w:highlight w:val="none"/>
          <w:lang w:val="en-US" w:eastAsia="zh-CN"/>
        </w:rPr>
        <w:t>energy</w:t>
      </w:r>
      <w:r>
        <w:rPr>
          <w:rFonts w:ascii="Times New Roman" w:hAnsi="Times New Roman" w:eastAsia="Times New Roman" w:cs="Times New Roman"/>
          <w:sz w:val="20"/>
          <w:szCs w:val="20"/>
          <w:highlight w:val="none"/>
          <w:lang w:val="en-US"/>
        </w:rPr>
        <w:t xml:space="preserve"> demand but face significant financing and infrastructure challenges</w:t>
      </w:r>
      <w:r>
        <w:rPr>
          <w:rFonts w:hint="eastAsia" w:eastAsia="宋体" w:cs="Times New Roman"/>
          <w:sz w:val="20"/>
          <w:szCs w:val="20"/>
          <w:highlight w:val="none"/>
          <w:lang w:val="en-US" w:eastAsia="zh-CN"/>
        </w:rPr>
        <w:t xml:space="preserve">. </w:t>
      </w:r>
      <w:r>
        <w:rPr>
          <w:rFonts w:hint="default" w:ascii="Times New Roman" w:hAnsi="Times New Roman" w:eastAsia="Times New Roman" w:cs="Times New Roman"/>
          <w:b w:val="0"/>
          <w:bCs w:val="0"/>
          <w:caps w:val="0"/>
          <w:kern w:val="0"/>
          <w:highlight w:val="none"/>
          <w:lang w:val="en-US" w:eastAsia="en-US" w:bidi="ar-SA"/>
        </w:rPr>
        <w:t xml:space="preserve">Small </w:t>
      </w:r>
      <w:r>
        <w:rPr>
          <w:rFonts w:hint="eastAsia" w:eastAsia="宋体" w:cs="Times New Roman"/>
          <w:b w:val="0"/>
          <w:bCs w:val="0"/>
          <w:caps w:val="0"/>
          <w:kern w:val="0"/>
          <w:highlight w:val="none"/>
          <w:lang w:val="en-US" w:eastAsia="zh-CN" w:bidi="ar-SA"/>
        </w:rPr>
        <w:t>M</w:t>
      </w:r>
      <w:r>
        <w:rPr>
          <w:rFonts w:hint="default" w:ascii="Times New Roman" w:hAnsi="Times New Roman" w:eastAsia="Times New Roman" w:cs="Times New Roman"/>
          <w:b w:val="0"/>
          <w:bCs w:val="0"/>
          <w:caps w:val="0"/>
          <w:kern w:val="0"/>
          <w:highlight w:val="none"/>
          <w:lang w:val="en-US" w:eastAsia="en-US" w:bidi="ar-SA"/>
        </w:rPr>
        <w:t xml:space="preserve">odular </w:t>
      </w:r>
      <w:r>
        <w:rPr>
          <w:rFonts w:hint="eastAsia" w:eastAsia="宋体" w:cs="Times New Roman"/>
          <w:b w:val="0"/>
          <w:bCs w:val="0"/>
          <w:caps w:val="0"/>
          <w:kern w:val="0"/>
          <w:highlight w:val="none"/>
          <w:lang w:val="en-US" w:eastAsia="zh-CN" w:bidi="ar-SA"/>
        </w:rPr>
        <w:t>R</w:t>
      </w:r>
      <w:r>
        <w:rPr>
          <w:rFonts w:hint="default" w:ascii="Times New Roman" w:hAnsi="Times New Roman" w:eastAsia="Times New Roman" w:cs="Times New Roman"/>
          <w:b w:val="0"/>
          <w:bCs w:val="0"/>
          <w:caps w:val="0"/>
          <w:kern w:val="0"/>
          <w:highlight w:val="none"/>
          <w:lang w:val="en-US" w:eastAsia="en-US" w:bidi="ar-SA"/>
        </w:rPr>
        <w:t xml:space="preserve">eactors </w:t>
      </w:r>
      <w:r>
        <w:rPr>
          <w:rFonts w:hint="default" w:eastAsia="Times New Roman" w:cs="Times New Roman"/>
          <w:b w:val="0"/>
          <w:bCs w:val="0"/>
          <w:caps w:val="0"/>
          <w:kern w:val="0"/>
          <w:highlight w:val="none"/>
          <w:lang w:val="en-US" w:eastAsia="zh-CN" w:bidi="ar-SA"/>
        </w:rPr>
        <w:t>(SMRs)</w:t>
      </w:r>
      <w:r>
        <w:rPr>
          <w:rFonts w:ascii="Times New Roman" w:hAnsi="Times New Roman" w:eastAsia="Times New Roman" w:cs="Times New Roman"/>
          <w:sz w:val="20"/>
          <w:szCs w:val="20"/>
          <w:highlight w:val="none"/>
          <w:lang w:val="en-US"/>
        </w:rPr>
        <w:t xml:space="preserve"> </w:t>
      </w:r>
      <w:r>
        <w:rPr>
          <w:rFonts w:hint="default" w:ascii="Times New Roman" w:hAnsi="Times New Roman" w:eastAsia="Times New Roman" w:cs="Times New Roman"/>
          <w:b w:val="0"/>
          <w:bCs w:val="0"/>
          <w:caps w:val="0"/>
          <w:kern w:val="0"/>
          <w:highlight w:val="none"/>
          <w:lang w:val="en-US" w:eastAsia="en-US" w:bidi="ar-SA"/>
        </w:rPr>
        <w:t>are advanced nuclear reactors that have a power capacity of up to 300 MW(e) per unit</w:t>
      </w:r>
      <w:r>
        <w:rPr>
          <w:rFonts w:hint="default" w:ascii="Times New Roman" w:hAnsi="Times New Roman" w:eastAsia="Times New Roman" w:cs="Times New Roman"/>
          <w:b w:val="0"/>
          <w:bCs w:val="0"/>
          <w:caps w:val="0"/>
          <w:kern w:val="0"/>
          <w:highlight w:val="none"/>
          <w:vertAlign w:val="baseline"/>
          <w:lang w:val="en-US" w:eastAsia="zh-CN" w:bidi="ar-SA"/>
        </w:rPr>
        <w:t>[</w:t>
      </w:r>
      <w:r>
        <w:rPr>
          <w:rFonts w:hint="eastAsia" w:cs="Times New Roman"/>
          <w:b w:val="0"/>
          <w:bCs w:val="0"/>
          <w:caps w:val="0"/>
          <w:kern w:val="0"/>
          <w:highlight w:val="none"/>
          <w:vertAlign w:val="baseline"/>
          <w:lang w:val="en-US" w:eastAsia="zh-CN" w:bidi="ar-SA"/>
        </w:rPr>
        <w:t>1</w:t>
      </w:r>
      <w:r>
        <w:rPr>
          <w:rFonts w:hint="default" w:ascii="Times New Roman" w:hAnsi="Times New Roman" w:eastAsia="Times New Roman" w:cs="Times New Roman"/>
          <w:b w:val="0"/>
          <w:bCs w:val="0"/>
          <w:caps w:val="0"/>
          <w:kern w:val="0"/>
          <w:highlight w:val="none"/>
          <w:vertAlign w:val="baseline"/>
          <w:lang w:val="en-US" w:eastAsia="zh-CN" w:bidi="ar-SA"/>
        </w:rPr>
        <w:t>]</w:t>
      </w:r>
      <w:r>
        <w:rPr>
          <w:rFonts w:hint="eastAsia" w:eastAsia="宋体" w:cs="Times New Roman"/>
          <w:b w:val="0"/>
          <w:bCs w:val="0"/>
          <w:caps w:val="0"/>
          <w:kern w:val="0"/>
          <w:highlight w:val="none"/>
          <w:vertAlign w:val="baseline"/>
          <w:lang w:val="en-US" w:eastAsia="zh-CN" w:bidi="ar-SA"/>
        </w:rPr>
        <w:t>.</w:t>
      </w:r>
      <w:r>
        <w:rPr>
          <w:rFonts w:hint="default" w:ascii="Times New Roman" w:hAnsi="Times New Roman" w:eastAsia="Times New Roman" w:cs="Times New Roman"/>
          <w:b w:val="0"/>
          <w:bCs w:val="0"/>
          <w:caps w:val="0"/>
          <w:kern w:val="0"/>
          <w:highlight w:val="none"/>
          <w:vertAlign w:val="baseline"/>
          <w:lang w:val="en-US" w:eastAsia="en-US" w:bidi="ar-SA"/>
        </w:rPr>
        <w:t xml:space="preserve"> </w:t>
      </w:r>
      <w:r>
        <w:rPr>
          <w:rFonts w:hint="eastAsia" w:eastAsia="宋体" w:cs="Times New Roman"/>
          <w:b w:val="0"/>
          <w:bCs w:val="0"/>
          <w:caps w:val="0"/>
          <w:kern w:val="0"/>
          <w:highlight w:val="none"/>
          <w:lang w:val="en-US" w:eastAsia="zh-CN" w:bidi="ar-SA"/>
        </w:rPr>
        <w:t xml:space="preserve">SMRs </w:t>
      </w:r>
      <w:r>
        <w:rPr>
          <w:rFonts w:hint="default" w:ascii="Times New Roman" w:hAnsi="Times New Roman" w:eastAsia="Times New Roman" w:cs="Times New Roman"/>
          <w:b w:val="0"/>
          <w:bCs w:val="0"/>
          <w:caps w:val="0"/>
          <w:kern w:val="0"/>
          <w:highlight w:val="none"/>
          <w:lang w:val="en-US" w:eastAsia="en-US" w:bidi="ar-SA"/>
        </w:rPr>
        <w:t>have the characteristics of small size, light weight and strong application flexibility, and can be used in various scenarios such as power generation, heating and seawater desalination</w:t>
      </w:r>
      <w:r>
        <w:rPr>
          <w:rFonts w:hint="eastAsia" w:eastAsia="宋体" w:cs="Times New Roman"/>
          <w:b w:val="0"/>
          <w:bCs w:val="0"/>
          <w:caps w:val="0"/>
          <w:kern w:val="0"/>
          <w:highlight w:val="none"/>
          <w:vertAlign w:val="baseline"/>
          <w:lang w:val="en-US" w:eastAsia="zh-CN" w:bidi="ar-SA"/>
        </w:rPr>
        <w:t>[2]</w:t>
      </w:r>
      <w:r>
        <w:rPr>
          <w:rFonts w:hint="eastAsia" w:eastAsia="宋体" w:cs="Times New Roman"/>
          <w:sz w:val="20"/>
          <w:szCs w:val="20"/>
          <w:highlight w:val="none"/>
          <w:vertAlign w:val="baseline"/>
          <w:lang w:val="en-US" w:eastAsia="zh-CN"/>
        </w:rPr>
        <w:t>.</w:t>
      </w:r>
      <w:r>
        <w:rPr>
          <w:rFonts w:hint="eastAsia" w:eastAsia="宋体" w:cs="Times New Roman"/>
          <w:sz w:val="20"/>
          <w:szCs w:val="20"/>
          <w:highlight w:val="none"/>
          <w:lang w:val="en-US" w:eastAsia="zh-CN"/>
        </w:rPr>
        <w:t xml:space="preserve"> </w:t>
      </w:r>
      <w:r>
        <w:rPr>
          <w:rFonts w:hint="default" w:eastAsia="Times New Roman" w:cs="Times New Roman"/>
          <w:b w:val="0"/>
          <w:bCs w:val="0"/>
          <w:caps w:val="0"/>
          <w:kern w:val="0"/>
          <w:highlight w:val="none"/>
          <w:lang w:val="en-US" w:eastAsia="zh-CN" w:bidi="ar-SA"/>
        </w:rPr>
        <w:t>SMRs</w:t>
      </w:r>
      <w:r>
        <w:rPr>
          <w:rFonts w:hint="eastAsia" w:cs="Times New Roman"/>
          <w:b w:val="0"/>
          <w:bCs w:val="0"/>
          <w:caps w:val="0"/>
          <w:kern w:val="0"/>
          <w:highlight w:val="none"/>
          <w:lang w:val="en-US" w:eastAsia="zh-CN" w:bidi="ar-SA"/>
        </w:rPr>
        <w:t xml:space="preserve"> </w:t>
      </w:r>
      <w:r>
        <w:rPr>
          <w:rFonts w:ascii="Times New Roman" w:hAnsi="Times New Roman" w:eastAsia="Times New Roman" w:cs="Times New Roman"/>
          <w:sz w:val="20"/>
          <w:szCs w:val="20"/>
          <w:highlight w:val="none"/>
          <w:lang w:val="en-US"/>
        </w:rPr>
        <w:t>could provide a viable alternative, particularly in locations and countries that are not suitable for large reactors</w:t>
      </w:r>
      <w:r>
        <w:rPr>
          <w:rFonts w:hint="eastAsia" w:eastAsia="宋体" w:cs="Times New Roman"/>
          <w:sz w:val="20"/>
          <w:szCs w:val="20"/>
          <w:highlight w:val="none"/>
          <w:vertAlign w:val="baseline"/>
          <w:lang w:val="en-US" w:eastAsia="zh-CN"/>
        </w:rPr>
        <w:t>[3]</w:t>
      </w:r>
      <w:r>
        <w:rPr>
          <w:rFonts w:ascii="Times New Roman" w:hAnsi="Times New Roman" w:eastAsia="Times New Roman" w:cs="Times New Roman"/>
          <w:sz w:val="20"/>
          <w:szCs w:val="20"/>
          <w:highlight w:val="none"/>
          <w:vertAlign w:val="baseline"/>
          <w:lang w:val="en-US"/>
        </w:rPr>
        <w:t>.</w:t>
      </w:r>
      <w:r>
        <w:rPr>
          <w:rFonts w:ascii="Times New Roman" w:hAnsi="Times New Roman" w:eastAsia="Times New Roman" w:cs="Times New Roman"/>
          <w:sz w:val="20"/>
          <w:szCs w:val="20"/>
          <w:highlight w:val="none"/>
          <w:lang w:val="en-US"/>
        </w:rPr>
        <w:t xml:space="preserve"> </w:t>
      </w:r>
    </w:p>
    <w:p>
      <w:pPr>
        <w:pStyle w:val="4"/>
        <w:rPr>
          <w:rFonts w:ascii="Times New Roman" w:hAnsi="Times New Roman" w:eastAsia="Times New Roman" w:cs="Times New Roman"/>
          <w:sz w:val="20"/>
          <w:szCs w:val="20"/>
          <w:highlight w:val="none"/>
          <w:lang w:val="en-US" w:eastAsia="zh-CN"/>
        </w:rPr>
      </w:pPr>
      <w:r>
        <w:rPr>
          <w:rFonts w:hint="default" w:ascii="Times New Roman" w:hAnsi="Times New Roman" w:eastAsia="Times New Roman" w:cs="Times New Roman"/>
          <w:b w:val="0"/>
          <w:bCs w:val="0"/>
          <w:caps w:val="0"/>
          <w:kern w:val="0"/>
          <w:highlight w:val="none"/>
          <w:lang w:val="en-US" w:eastAsia="zh-CN" w:bidi="ar-SA"/>
        </w:rPr>
        <w:t>The IAEA's 2022 Annual Handbook of SMRs</w:t>
      </w:r>
      <w:r>
        <w:rPr>
          <w:rFonts w:hint="default" w:ascii="Times New Roman" w:hAnsi="Times New Roman" w:eastAsia="Times New Roman" w:cs="Times New Roman"/>
          <w:b w:val="0"/>
          <w:bCs w:val="0"/>
          <w:caps w:val="0"/>
          <w:kern w:val="0"/>
          <w:highlight w:val="none"/>
          <w:vertAlign w:val="baseline"/>
          <w:lang w:val="en-US" w:eastAsia="zh-CN" w:bidi="ar-SA"/>
        </w:rPr>
        <w:t>[</w:t>
      </w:r>
      <w:r>
        <w:rPr>
          <w:rFonts w:hint="eastAsia" w:cs="Times New Roman"/>
          <w:b w:val="0"/>
          <w:bCs w:val="0"/>
          <w:caps w:val="0"/>
          <w:kern w:val="0"/>
          <w:highlight w:val="none"/>
          <w:vertAlign w:val="baseline"/>
          <w:lang w:val="en-US" w:eastAsia="zh-CN" w:bidi="ar-SA"/>
        </w:rPr>
        <w:t>4</w:t>
      </w:r>
      <w:r>
        <w:rPr>
          <w:rFonts w:hint="default" w:ascii="Times New Roman" w:hAnsi="Times New Roman" w:eastAsia="Times New Roman" w:cs="Times New Roman"/>
          <w:b w:val="0"/>
          <w:bCs w:val="0"/>
          <w:caps w:val="0"/>
          <w:kern w:val="0"/>
          <w:highlight w:val="none"/>
          <w:vertAlign w:val="baseline"/>
          <w:lang w:val="en-US" w:eastAsia="zh-CN" w:bidi="ar-SA"/>
        </w:rPr>
        <w:t xml:space="preserve">] </w:t>
      </w:r>
      <w:r>
        <w:rPr>
          <w:rFonts w:hint="default" w:ascii="Times New Roman" w:hAnsi="Times New Roman" w:eastAsia="Times New Roman" w:cs="Times New Roman"/>
          <w:b w:val="0"/>
          <w:bCs w:val="0"/>
          <w:caps w:val="0"/>
          <w:kern w:val="0"/>
          <w:highlight w:val="none"/>
          <w:lang w:val="en-US" w:eastAsia="zh-CN" w:bidi="ar-SA"/>
        </w:rPr>
        <w:t>counts 83 types of advanced small reactors, including: 33 light water reactors, 17 high-temperature gas-cooled reactors, 8 liquid metal fast reactors, 13 molten salt reactors, and 12 micro</w:t>
      </w:r>
      <w:r>
        <w:rPr>
          <w:rFonts w:hint="default" w:eastAsia="Times New Roman" w:cs="Times New Roman"/>
          <w:b w:val="0"/>
          <w:bCs w:val="0"/>
          <w:caps w:val="0"/>
          <w:kern w:val="0"/>
          <w:highlight w:val="none"/>
          <w:lang w:val="en-US" w:eastAsia="zh-CN" w:bidi="ar-SA"/>
        </w:rPr>
        <w:t>-</w:t>
      </w:r>
      <w:r>
        <w:rPr>
          <w:rFonts w:hint="default" w:ascii="Times New Roman" w:hAnsi="Times New Roman" w:eastAsia="Times New Roman" w:cs="Times New Roman"/>
          <w:b w:val="0"/>
          <w:bCs w:val="0"/>
          <w:caps w:val="0"/>
          <w:kern w:val="0"/>
          <w:highlight w:val="none"/>
          <w:lang w:val="en-US" w:eastAsia="zh-CN" w:bidi="ar-SA"/>
        </w:rPr>
        <w:t>reactors</w:t>
      </w:r>
      <w:r>
        <w:rPr>
          <w:rFonts w:hint="eastAsia" w:cs="Times New Roman"/>
          <w:b w:val="0"/>
          <w:bCs w:val="0"/>
          <w:caps w:val="0"/>
          <w:kern w:val="0"/>
          <w:highlight w:val="none"/>
          <w:lang w:val="en-US" w:eastAsia="zh-CN" w:bidi="ar-SA"/>
        </w:rPr>
        <w:t xml:space="preserve">. </w:t>
      </w:r>
      <w:r>
        <w:rPr>
          <w:rFonts w:ascii="Times New Roman" w:hAnsi="Times New Roman" w:eastAsia="Times New Roman" w:cs="Times New Roman"/>
          <w:sz w:val="20"/>
          <w:szCs w:val="20"/>
          <w:highlight w:val="none"/>
          <w:lang w:val="en-US" w:eastAsia="zh-CN"/>
        </w:rPr>
        <w:t>Most of the SMR</w:t>
      </w:r>
      <w:r>
        <w:rPr>
          <w:rFonts w:hint="eastAsia" w:cs="Times New Roman"/>
          <w:sz w:val="20"/>
          <w:szCs w:val="20"/>
          <w:highlight w:val="none"/>
          <w:lang w:val="en-US" w:eastAsia="zh-CN"/>
        </w:rPr>
        <w:t>s</w:t>
      </w:r>
      <w:r>
        <w:rPr>
          <w:rFonts w:ascii="Times New Roman" w:hAnsi="Times New Roman" w:eastAsia="Times New Roman" w:cs="Times New Roman"/>
          <w:sz w:val="20"/>
          <w:szCs w:val="20"/>
          <w:highlight w:val="none"/>
          <w:lang w:val="en-US" w:eastAsia="zh-CN"/>
        </w:rPr>
        <w:t xml:space="preserve"> adopt advanced safety features and are </w:t>
      </w:r>
      <w:r>
        <w:rPr>
          <w:rFonts w:hint="eastAsia" w:cs="Times New Roman"/>
          <w:sz w:val="20"/>
          <w:szCs w:val="20"/>
          <w:highlight w:val="none"/>
          <w:lang w:val="en-US" w:eastAsia="zh-CN"/>
        </w:rPr>
        <w:t>deploy-able</w:t>
      </w:r>
      <w:r>
        <w:rPr>
          <w:rFonts w:ascii="Times New Roman" w:hAnsi="Times New Roman" w:eastAsia="Times New Roman" w:cs="Times New Roman"/>
          <w:sz w:val="20"/>
          <w:szCs w:val="20"/>
          <w:highlight w:val="none"/>
          <w:lang w:val="en-US" w:eastAsia="zh-CN"/>
        </w:rPr>
        <w:t xml:space="preserve"> either as a single or </w:t>
      </w:r>
      <w:r>
        <w:rPr>
          <w:rFonts w:hint="eastAsia" w:cs="Times New Roman"/>
          <w:sz w:val="20"/>
          <w:szCs w:val="20"/>
          <w:highlight w:val="none"/>
          <w:lang w:val="en-US" w:eastAsia="zh-CN"/>
        </w:rPr>
        <w:t>multi-module</w:t>
      </w:r>
      <w:r>
        <w:rPr>
          <w:rFonts w:ascii="Times New Roman" w:hAnsi="Times New Roman" w:eastAsia="Times New Roman" w:cs="Times New Roman"/>
          <w:sz w:val="20"/>
          <w:szCs w:val="20"/>
          <w:highlight w:val="none"/>
          <w:lang w:val="en-US" w:eastAsia="zh-CN"/>
        </w:rPr>
        <w:t xml:space="preserve"> plant</w:t>
      </w:r>
      <w:r>
        <w:rPr>
          <w:rFonts w:hint="eastAsia" w:cs="Times New Roman"/>
          <w:sz w:val="20"/>
          <w:szCs w:val="20"/>
          <w:highlight w:val="none"/>
          <w:lang w:val="en-US" w:eastAsia="zh-CN"/>
        </w:rPr>
        <w:t>，Figure 1 shows some typical SMRs with different coolants and configurations</w:t>
      </w:r>
      <w:r>
        <w:rPr>
          <w:rFonts w:ascii="Times New Roman" w:hAnsi="Times New Roman" w:eastAsia="Times New Roman" w:cs="Times New Roman"/>
          <w:sz w:val="20"/>
          <w:szCs w:val="20"/>
          <w:highlight w:val="none"/>
          <w:lang w:val="en-US" w:eastAsia="zh-CN"/>
        </w:rPr>
        <w:t xml:space="preserve">. </w:t>
      </w:r>
    </w:p>
    <w:p>
      <w:pPr>
        <w:pStyle w:val="4"/>
        <w:rPr>
          <w:rFonts w:hint="default" w:ascii="Times New Roman" w:hAnsi="Times New Roman" w:eastAsia="Times New Roman" w:cs="Times New Roman"/>
          <w:b w:val="0"/>
          <w:bCs w:val="0"/>
          <w:caps w:val="0"/>
          <w:kern w:val="0"/>
          <w:highlight w:val="none"/>
          <w:lang w:val="en-US" w:eastAsia="zh-CN" w:bidi="ar-SA"/>
        </w:rPr>
      </w:pPr>
      <w:r>
        <w:rPr>
          <w:rFonts w:hint="eastAsia" w:cs="Times New Roman"/>
          <w:b w:val="0"/>
          <w:bCs w:val="0"/>
          <w:caps w:val="0"/>
          <w:kern w:val="0"/>
          <w:highlight w:val="none"/>
          <w:lang w:val="en-US" w:eastAsia="zh-CN" w:bidi="ar-SA"/>
        </w:rPr>
        <w:t>Normally, the SMRs have 3 main advantages compared to the large nuclear power plants:</w:t>
      </w:r>
    </w:p>
    <w:p>
      <w:pPr>
        <w:pStyle w:val="30"/>
        <w:rPr>
          <w:rFonts w:hint="eastAsia"/>
          <w:highlight w:val="none"/>
        </w:rPr>
      </w:pPr>
      <w:r>
        <w:rPr>
          <w:rFonts w:hint="eastAsia"/>
          <w:highlight w:val="none"/>
        </w:rPr>
        <w:t xml:space="preserve">Up to one-third of the generating capacity of </w:t>
      </w:r>
      <w:r>
        <w:rPr>
          <w:rFonts w:hint="eastAsia" w:eastAsia="宋体"/>
          <w:highlight w:val="none"/>
          <w:lang w:val="en-US" w:eastAsia="zh-CN"/>
        </w:rPr>
        <w:t>large</w:t>
      </w:r>
      <w:r>
        <w:rPr>
          <w:rFonts w:hint="eastAsia"/>
          <w:highlight w:val="none"/>
        </w:rPr>
        <w:t xml:space="preserve"> nuclear power reactors</w:t>
      </w:r>
      <w:r>
        <w:rPr>
          <w:rFonts w:hint="eastAsia" w:eastAsia="宋体"/>
          <w:highlight w:val="none"/>
          <w:lang w:val="en-US" w:eastAsia="zh-CN"/>
        </w:rPr>
        <w:t xml:space="preserve"> with more flexibility and less financing requirement</w:t>
      </w:r>
      <w:r>
        <w:rPr>
          <w:rFonts w:hint="eastAsia"/>
          <w:highlight w:val="none"/>
        </w:rPr>
        <w:t>;</w:t>
      </w:r>
    </w:p>
    <w:p>
      <w:pPr>
        <w:pStyle w:val="30"/>
        <w:rPr>
          <w:rFonts w:hint="eastAsia"/>
          <w:highlight w:val="none"/>
        </w:rPr>
      </w:pPr>
      <w:r>
        <w:rPr>
          <w:rFonts w:hint="eastAsia"/>
          <w:highlight w:val="none"/>
        </w:rPr>
        <w:t xml:space="preserve">Components </w:t>
      </w:r>
      <w:r>
        <w:rPr>
          <w:rFonts w:hint="eastAsia" w:eastAsia="宋体"/>
          <w:highlight w:val="none"/>
          <w:lang w:val="en-US" w:eastAsia="zh-CN"/>
        </w:rPr>
        <w:t xml:space="preserve">or </w:t>
      </w:r>
      <w:r>
        <w:rPr>
          <w:rFonts w:hint="eastAsia"/>
          <w:highlight w:val="none"/>
        </w:rPr>
        <w:t xml:space="preserve">systems can be </w:t>
      </w:r>
      <w:r>
        <w:rPr>
          <w:rFonts w:hint="eastAsia" w:eastAsia="宋体"/>
          <w:highlight w:val="none"/>
          <w:lang w:val="en-US" w:eastAsia="zh-CN"/>
        </w:rPr>
        <w:t>factory</w:t>
      </w:r>
      <w:r>
        <w:rPr>
          <w:rFonts w:hint="eastAsia"/>
          <w:highlight w:val="none"/>
        </w:rPr>
        <w:t xml:space="preserve"> fabricated</w:t>
      </w:r>
      <w:r>
        <w:rPr>
          <w:rFonts w:hint="eastAsia" w:eastAsia="宋体"/>
          <w:highlight w:val="none"/>
          <w:lang w:val="en-US" w:eastAsia="zh-CN"/>
        </w:rPr>
        <w:t xml:space="preserve"> and easily maintenance</w:t>
      </w:r>
      <w:r>
        <w:rPr>
          <w:rFonts w:hint="eastAsia"/>
          <w:highlight w:val="none"/>
        </w:rPr>
        <w:t xml:space="preserve"> ;</w:t>
      </w:r>
    </w:p>
    <w:p>
      <w:pPr>
        <w:pStyle w:val="30"/>
        <w:rPr>
          <w:rFonts w:hint="eastAsia"/>
          <w:highlight w:val="none"/>
        </w:rPr>
      </w:pPr>
      <w:r>
        <w:rPr>
          <w:rFonts w:hint="eastAsia" w:eastAsia="宋体"/>
          <w:highlight w:val="none"/>
          <w:lang w:val="en-US" w:eastAsia="zh-CN"/>
        </w:rPr>
        <w:t>Main equipment or systems can be t</w:t>
      </w:r>
      <w:r>
        <w:rPr>
          <w:rFonts w:hint="eastAsia"/>
          <w:highlight w:val="none"/>
        </w:rPr>
        <w:t>ransported as modules to the sites or install</w:t>
      </w:r>
      <w:r>
        <w:rPr>
          <w:rFonts w:hint="eastAsia" w:eastAsia="宋体"/>
          <w:highlight w:val="none"/>
          <w:lang w:val="en-US" w:eastAsia="zh-CN"/>
        </w:rPr>
        <w:t>ed</w:t>
      </w:r>
      <w:r>
        <w:rPr>
          <w:rFonts w:hint="eastAsia"/>
          <w:highlight w:val="none"/>
        </w:rPr>
        <w:t>.</w:t>
      </w:r>
    </w:p>
    <w:p>
      <w:pPr>
        <w:pStyle w:val="4"/>
        <w:ind w:firstLine="400" w:firstLineChars="200"/>
        <w:rPr>
          <w:highlight w:val="none"/>
          <w:lang w:val="en-US" w:eastAsia="zh-CN"/>
        </w:rPr>
      </w:pPr>
      <w:r>
        <w:rPr>
          <w:rFonts w:ascii="Times New Roman" w:hAnsi="Times New Roman" w:eastAsia="Times New Roman" w:cs="Times New Roman"/>
          <w:sz w:val="20"/>
          <w:szCs w:val="20"/>
          <w:highlight w:val="none"/>
          <w:lang w:val="en-US" w:eastAsia="zh-CN"/>
        </w:rPr>
        <w:t xml:space="preserve">There is increasing interest in SMRs and their applications. During the International Conference on Climate Change and the Role of Nuclear Power held in September 2019, SMRs were considered by many </w:t>
      </w:r>
      <w:r>
        <w:rPr>
          <w:rFonts w:hint="eastAsia" w:cs="Times New Roman"/>
          <w:sz w:val="20"/>
          <w:szCs w:val="20"/>
          <w:highlight w:val="none"/>
          <w:lang w:val="en-US" w:eastAsia="zh-CN"/>
        </w:rPr>
        <w:t>countries</w:t>
      </w:r>
      <w:r>
        <w:rPr>
          <w:rFonts w:ascii="Times New Roman" w:hAnsi="Times New Roman" w:eastAsia="Times New Roman" w:cs="Times New Roman"/>
          <w:sz w:val="20"/>
          <w:szCs w:val="20"/>
          <w:highlight w:val="none"/>
          <w:lang w:val="en-US" w:eastAsia="zh-CN"/>
        </w:rPr>
        <w:t xml:space="preserve"> as a potential viable nuclear option to contribute in mitigating the climate change</w:t>
      </w:r>
      <w:r>
        <w:rPr>
          <w:rFonts w:hint="eastAsia" w:cs="Times New Roman"/>
          <w:sz w:val="20"/>
          <w:szCs w:val="20"/>
          <w:highlight w:val="none"/>
          <w:lang w:val="en-US" w:eastAsia="zh-CN"/>
        </w:rPr>
        <w:t>[4]</w:t>
      </w:r>
      <w:r>
        <w:rPr>
          <w:rFonts w:ascii="Times New Roman" w:hAnsi="Times New Roman" w:eastAsia="Times New Roman" w:cs="Times New Roman"/>
          <w:sz w:val="20"/>
          <w:szCs w:val="20"/>
          <w:highlight w:val="none"/>
          <w:lang w:val="en-US" w:eastAsia="zh-CN"/>
        </w:rPr>
        <w:t>.</w:t>
      </w:r>
    </w:p>
    <w:p>
      <w:pPr>
        <w:pStyle w:val="4"/>
        <w:rPr>
          <w:rFonts w:ascii="Times New Roman" w:hAnsi="Times New Roman" w:eastAsia="Times New Roman" w:cs="Times New Roman"/>
          <w:sz w:val="20"/>
          <w:szCs w:val="20"/>
          <w:highlight w:val="none"/>
          <w:lang w:val="en-US" w:eastAsia="zh-CN"/>
        </w:rPr>
      </w:pPr>
    </w:p>
    <w:p>
      <w:pPr>
        <w:pStyle w:val="4"/>
        <w:jc w:val="center"/>
        <w:rPr>
          <w:highlight w:val="none"/>
        </w:rPr>
      </w:pPr>
      <w:r>
        <w:rPr>
          <w:highlight w:val="none"/>
        </w:rPr>
        <w:drawing>
          <wp:inline distT="0" distB="0" distL="114300" distR="114300">
            <wp:extent cx="4400550" cy="2739390"/>
            <wp:effectExtent l="0" t="0" r="6350" b="381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rcRect l="24425" t="35057" r="17431" b="7818"/>
                    <a:stretch>
                      <a:fillRect/>
                    </a:stretch>
                  </pic:blipFill>
                  <pic:spPr>
                    <a:xfrm>
                      <a:off x="0" y="0"/>
                      <a:ext cx="4400550" cy="2739390"/>
                    </a:xfrm>
                    <a:prstGeom prst="rect">
                      <a:avLst/>
                    </a:prstGeom>
                    <a:noFill/>
                    <a:ln>
                      <a:noFill/>
                    </a:ln>
                  </pic:spPr>
                </pic:pic>
              </a:graphicData>
            </a:graphic>
          </wp:inline>
        </w:drawing>
      </w:r>
    </w:p>
    <w:p>
      <w:pPr>
        <w:pStyle w:val="4"/>
        <w:jc w:val="center"/>
        <w:rPr>
          <w:rFonts w:hint="default"/>
          <w:highlight w:val="none"/>
          <w:lang w:val="en-US"/>
        </w:rPr>
      </w:pPr>
      <w:r>
        <w:rPr>
          <w:rFonts w:hint="eastAsia" w:cs="Times New Roman"/>
          <w:sz w:val="18"/>
          <w:szCs w:val="18"/>
          <w:highlight w:val="none"/>
          <w:lang w:val="en-US" w:eastAsia="zh-CN"/>
        </w:rPr>
        <w:t xml:space="preserve">Fig 1  </w:t>
      </w:r>
      <w:r>
        <w:rPr>
          <w:rFonts w:hint="eastAsia" w:ascii="Times New Roman" w:hAnsi="Times New Roman" w:eastAsia="Times New Roman" w:cs="Times New Roman"/>
          <w:sz w:val="18"/>
          <w:szCs w:val="18"/>
          <w:highlight w:val="none"/>
          <w:lang w:val="en-US" w:eastAsia="zh-CN"/>
        </w:rPr>
        <w:t xml:space="preserve">SMRs classificaiton </w:t>
      </w:r>
      <w:r>
        <w:rPr>
          <w:rFonts w:hint="eastAsia" w:cs="Times New Roman"/>
          <w:sz w:val="18"/>
          <w:szCs w:val="18"/>
          <w:highlight w:val="none"/>
          <w:lang w:val="en-US" w:eastAsia="zh-CN"/>
        </w:rPr>
        <w:t>and typical reactors</w:t>
      </w:r>
    </w:p>
    <w:p>
      <w:pPr>
        <w:pStyle w:val="5"/>
        <w:numPr>
          <w:ilvl w:val="1"/>
          <w:numId w:val="9"/>
        </w:numPr>
        <w:rPr>
          <w:rFonts w:hint="default" w:ascii="Times New Roman" w:hAnsi="Times New Roman" w:eastAsia="宋体" w:cs="Times New Roman"/>
          <w:sz w:val="20"/>
          <w:szCs w:val="20"/>
          <w:highlight w:val="none"/>
          <w:lang w:val="en-US" w:eastAsia="zh-CN"/>
        </w:rPr>
      </w:pPr>
      <w:r>
        <w:rPr>
          <w:rFonts w:hint="eastAsia"/>
          <w:highlight w:val="none"/>
        </w:rPr>
        <w:t>General process of nuclear power programme</w:t>
      </w:r>
    </w:p>
    <w:p>
      <w:pPr>
        <w:pStyle w:val="4"/>
        <w:rPr>
          <w:rFonts w:hint="default" w:eastAsia="宋体" w:cs="Times New Roman"/>
          <w:sz w:val="20"/>
          <w:szCs w:val="20"/>
          <w:highlight w:val="none"/>
          <w:lang w:val="en-US" w:eastAsia="zh-CN"/>
        </w:rPr>
      </w:pPr>
      <w:r>
        <w:rPr>
          <w:rFonts w:ascii="Times New Roman" w:hAnsi="Times New Roman" w:eastAsia="Times New Roman" w:cs="Times New Roman"/>
          <w:sz w:val="20"/>
          <w:szCs w:val="20"/>
          <w:highlight w:val="none"/>
        </w:rPr>
        <w:t>Developing a nuclear power programme is a major undertaking and involves many complex and interrelated activities of long duration</w:t>
      </w:r>
      <w:r>
        <w:rPr>
          <w:rFonts w:hint="eastAsia" w:eastAsia="宋体" w:cs="Times New Roman"/>
          <w:sz w:val="20"/>
          <w:szCs w:val="20"/>
          <w:highlight w:val="none"/>
          <w:lang w:val="en-US" w:eastAsia="zh-CN"/>
        </w:rPr>
        <w:t xml:space="preserve"> (</w:t>
      </w:r>
      <w:r>
        <w:rPr>
          <w:rFonts w:ascii="Times New Roman" w:hAnsi="Times New Roman" w:eastAsia="Times New Roman" w:cs="Times New Roman"/>
          <w:sz w:val="20"/>
          <w:szCs w:val="20"/>
          <w:highlight w:val="none"/>
        </w:rPr>
        <w:t>about 10</w:t>
      </w:r>
      <w:r>
        <w:rPr>
          <w:rFonts w:hint="eastAsia" w:eastAsia="宋体" w:cs="Times New Roman"/>
          <w:sz w:val="20"/>
          <w:szCs w:val="20"/>
          <w:highlight w:val="none"/>
          <w:lang w:val="en-US" w:eastAsia="zh-CN"/>
        </w:rPr>
        <w:t>~</w:t>
      </w:r>
      <w:r>
        <w:rPr>
          <w:rFonts w:ascii="Times New Roman" w:hAnsi="Times New Roman" w:eastAsia="Times New Roman" w:cs="Times New Roman"/>
          <w:sz w:val="20"/>
          <w:szCs w:val="20"/>
          <w:highlight w:val="none"/>
        </w:rPr>
        <w:t>15 years</w:t>
      </w:r>
      <w:r>
        <w:rPr>
          <w:rFonts w:hint="eastAsia" w:eastAsia="宋体" w:cs="Times New Roman"/>
          <w:sz w:val="20"/>
          <w:szCs w:val="20"/>
          <w:highlight w:val="none"/>
          <w:lang w:val="en-US" w:eastAsia="zh-CN"/>
        </w:rPr>
        <w:t>)</w:t>
      </w:r>
      <w:r>
        <w:rPr>
          <w:rFonts w:ascii="Times New Roman" w:hAnsi="Times New Roman" w:eastAsia="Times New Roman" w:cs="Times New Roman"/>
          <w:sz w:val="20"/>
          <w:szCs w:val="20"/>
          <w:highlight w:val="none"/>
        </w:rPr>
        <w:t>. These activities involve, among others, planning, preparation and investment in a sustainable infrastructure that provides the legal, regulatory, technological, human resources and industrial support to ensure that nuclear power is used in a safe and secure manner</w:t>
      </w:r>
      <w:r>
        <w:rPr>
          <w:rFonts w:hint="default" w:eastAsia="Times New Roman" w:cs="Times New Roman"/>
          <w:sz w:val="20"/>
          <w:szCs w:val="20"/>
          <w:highlight w:val="none"/>
          <w:lang w:val="en-US" w:eastAsia="zh-CN"/>
        </w:rPr>
        <w:t>[5]</w:t>
      </w:r>
      <w:r>
        <w:rPr>
          <w:rFonts w:hint="eastAsia" w:ascii="Times New Roman" w:hAnsi="Times New Roman" w:eastAsia="Times New Roman" w:cs="Times New Roman"/>
          <w:sz w:val="20"/>
          <w:szCs w:val="20"/>
          <w:highlight w:val="none"/>
          <w:lang w:val="en-US" w:eastAsia="zh-CN"/>
        </w:rPr>
        <w:t>.Fig 2 shows the Typical n</w:t>
      </w:r>
      <w:r>
        <w:rPr>
          <w:rFonts w:ascii="Times New Roman" w:hAnsi="Times New Roman" w:eastAsia="Times New Roman" w:cs="Times New Roman"/>
          <w:sz w:val="20"/>
          <w:szCs w:val="20"/>
          <w:highlight w:val="none"/>
          <w:lang w:val="en-US" w:eastAsia="zh-CN"/>
        </w:rPr>
        <w:t>uclear infrastructure development programme</w:t>
      </w:r>
      <w:r>
        <w:rPr>
          <w:rFonts w:hint="eastAsia" w:ascii="Times New Roman" w:hAnsi="Times New Roman" w:eastAsia="Times New Roman" w:cs="Times New Roman"/>
          <w:sz w:val="20"/>
          <w:szCs w:val="20"/>
          <w:highlight w:val="none"/>
          <w:lang w:val="en-US" w:eastAsia="zh-CN"/>
        </w:rPr>
        <w:t>.</w:t>
      </w:r>
    </w:p>
    <w:p>
      <w:pPr>
        <w:pStyle w:val="4"/>
        <w:rPr>
          <w:rFonts w:hint="eastAsia" w:eastAsia="宋体" w:cs="Times New Roman"/>
          <w:sz w:val="20"/>
          <w:szCs w:val="20"/>
          <w:highlight w:val="none"/>
          <w:lang w:val="en-US" w:eastAsia="zh-CN"/>
        </w:rPr>
      </w:pPr>
    </w:p>
    <w:p>
      <w:pPr>
        <w:pStyle w:val="4"/>
        <w:ind w:left="0" w:leftChars="0" w:firstLine="0" w:firstLineChars="0"/>
        <w:jc w:val="center"/>
        <w:rPr>
          <w:rFonts w:hint="eastAsia" w:eastAsia="宋体"/>
          <w:highlight w:val="none"/>
          <w:lang w:eastAsia="zh-CN"/>
        </w:rPr>
      </w:pPr>
      <w:r>
        <w:rPr>
          <w:rFonts w:hint="eastAsia" w:eastAsia="宋体"/>
          <w:highlight w:val="none"/>
          <w:lang w:eastAsia="zh-CN"/>
        </w:rPr>
        <w:drawing>
          <wp:inline distT="0" distB="0" distL="114300" distR="114300">
            <wp:extent cx="5729605" cy="3222625"/>
            <wp:effectExtent l="0" t="0" r="10795" b="3175"/>
            <wp:docPr id="2" name="图片 2" descr="172594701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25947011576"/>
                    <pic:cNvPicPr>
                      <a:picLocks noChangeAspect="1"/>
                    </pic:cNvPicPr>
                  </pic:nvPicPr>
                  <pic:blipFill>
                    <a:blip r:embed="rId11"/>
                    <a:stretch>
                      <a:fillRect/>
                    </a:stretch>
                  </pic:blipFill>
                  <pic:spPr>
                    <a:xfrm>
                      <a:off x="0" y="0"/>
                      <a:ext cx="5729605" cy="3222625"/>
                    </a:xfrm>
                    <a:prstGeom prst="rect">
                      <a:avLst/>
                    </a:prstGeom>
                  </pic:spPr>
                </pic:pic>
              </a:graphicData>
            </a:graphic>
          </wp:inline>
        </w:drawing>
      </w:r>
    </w:p>
    <w:p>
      <w:pPr>
        <w:pStyle w:val="4"/>
        <w:jc w:val="center"/>
        <w:rPr>
          <w:rFonts w:ascii="Times New Roman" w:hAnsi="Times New Roman" w:eastAsia="Times New Roman" w:cs="Times New Roman"/>
          <w:sz w:val="18"/>
          <w:szCs w:val="18"/>
          <w:highlight w:val="none"/>
          <w:lang w:val="en-US" w:eastAsia="zh-CN"/>
        </w:rPr>
      </w:pPr>
      <w:r>
        <w:rPr>
          <w:rFonts w:hint="eastAsia" w:cs="Times New Roman"/>
          <w:sz w:val="18"/>
          <w:szCs w:val="18"/>
          <w:highlight w:val="none"/>
          <w:lang w:val="en-US" w:eastAsia="zh-CN"/>
        </w:rPr>
        <w:t>Fig 2  Typical n</w:t>
      </w:r>
      <w:r>
        <w:rPr>
          <w:rFonts w:ascii="Times New Roman" w:hAnsi="Times New Roman" w:eastAsia="Times New Roman" w:cs="Times New Roman"/>
          <w:sz w:val="18"/>
          <w:szCs w:val="18"/>
          <w:highlight w:val="none"/>
          <w:lang w:val="en-US" w:eastAsia="zh-CN"/>
        </w:rPr>
        <w:t>uclear infrastructure development programme</w:t>
      </w:r>
      <w:r>
        <w:rPr>
          <w:rFonts w:ascii="Times New Roman" w:hAnsi="Times New Roman" w:eastAsia="Times New Roman" w:cs="Times New Roman"/>
          <w:sz w:val="18"/>
          <w:szCs w:val="18"/>
          <w:highlight w:val="none"/>
          <w:vertAlign w:val="superscript"/>
          <w:lang w:val="en-US" w:eastAsia="zh-CN"/>
        </w:rPr>
        <w:t xml:space="preserve"> </w:t>
      </w:r>
      <w:r>
        <w:rPr>
          <w:rFonts w:ascii="Times New Roman" w:hAnsi="Times New Roman" w:eastAsia="Times New Roman" w:cs="Times New Roman"/>
          <w:sz w:val="18"/>
          <w:szCs w:val="18"/>
          <w:highlight w:val="none"/>
          <w:vertAlign w:val="baseline"/>
          <w:lang w:val="en-US" w:eastAsia="zh-CN"/>
        </w:rPr>
        <w:t>[</w:t>
      </w:r>
      <w:r>
        <w:rPr>
          <w:rFonts w:hint="default" w:eastAsia="Times New Roman" w:cs="Times New Roman"/>
          <w:sz w:val="18"/>
          <w:szCs w:val="18"/>
          <w:highlight w:val="none"/>
          <w:vertAlign w:val="baseline"/>
          <w:lang w:val="en-US" w:eastAsia="zh-CN"/>
        </w:rPr>
        <w:t>6</w:t>
      </w:r>
      <w:r>
        <w:rPr>
          <w:rFonts w:ascii="Times New Roman" w:hAnsi="Times New Roman" w:eastAsia="Times New Roman" w:cs="Times New Roman"/>
          <w:sz w:val="18"/>
          <w:szCs w:val="18"/>
          <w:highlight w:val="none"/>
          <w:vertAlign w:val="baseline"/>
          <w:lang w:val="en-US" w:eastAsia="zh-CN"/>
        </w:rPr>
        <w:t>]</w:t>
      </w:r>
    </w:p>
    <w:p>
      <w:pPr>
        <w:pStyle w:val="4"/>
        <w:jc w:val="center"/>
        <w:rPr>
          <w:rFonts w:hint="default"/>
          <w:highlight w:val="none"/>
          <w:lang w:val="en-US" w:eastAsia="zh-CN"/>
        </w:rPr>
      </w:pPr>
    </w:p>
    <w:p>
      <w:pPr>
        <w:pStyle w:val="4"/>
        <w:rPr>
          <w:rFonts w:hint="eastAsia" w:ascii="Times New Roman" w:hAnsi="Times New Roman" w:eastAsia="Times New Roman" w:cs="Times New Roman"/>
          <w:sz w:val="20"/>
          <w:szCs w:val="20"/>
          <w:highlight w:val="none"/>
          <w:lang w:val="en-US" w:eastAsia="zh-CN"/>
        </w:rPr>
      </w:pPr>
      <w:r>
        <w:rPr>
          <w:rFonts w:hint="eastAsia" w:ascii="Times New Roman" w:hAnsi="Times New Roman" w:eastAsia="Times New Roman" w:cs="Times New Roman"/>
          <w:sz w:val="20"/>
          <w:szCs w:val="20"/>
          <w:highlight w:val="none"/>
          <w:lang w:val="en-US" w:eastAsia="zh-CN"/>
        </w:rPr>
        <w:t>Whether a nuclear energy project can be successfully completed requires not only a reasonable engineering management plan, but also the guarantee provided by a complete supply chain. Due to the high complexity and technical difficulty of nuclear energy projects, there are only a few countries worldwide that have a complete supply chain system for nuclear energy projects. Many countries' nuclear energy projects require support from the international community to be implemented.</w:t>
      </w:r>
    </w:p>
    <w:p>
      <w:pPr>
        <w:pStyle w:val="4"/>
        <w:rPr>
          <w:rFonts w:hint="eastAsia" w:ascii="Times New Roman" w:hAnsi="Times New Roman" w:eastAsia="Times New Roman" w:cs="Times New Roman"/>
          <w:sz w:val="20"/>
          <w:szCs w:val="20"/>
          <w:highlight w:val="none"/>
          <w:lang w:val="en-US" w:eastAsia="zh-CN"/>
        </w:rPr>
      </w:pPr>
      <w:r>
        <w:rPr>
          <w:rFonts w:hint="eastAsia" w:ascii="Times New Roman" w:hAnsi="Times New Roman" w:eastAsia="Times New Roman" w:cs="Times New Roman"/>
          <w:sz w:val="20"/>
          <w:szCs w:val="20"/>
          <w:highlight w:val="none"/>
          <w:lang w:val="en-US" w:eastAsia="zh-CN"/>
        </w:rPr>
        <w:t xml:space="preserve">In the applications </w:t>
      </w:r>
      <w:r>
        <w:rPr>
          <w:rFonts w:hint="eastAsia" w:cs="Times New Roman"/>
          <w:sz w:val="20"/>
          <w:szCs w:val="20"/>
          <w:highlight w:val="none"/>
          <w:lang w:val="en-US" w:eastAsia="zh-CN"/>
        </w:rPr>
        <w:t xml:space="preserve">of </w:t>
      </w:r>
      <w:r>
        <w:rPr>
          <w:rFonts w:hint="eastAsia" w:ascii="Times New Roman" w:hAnsi="Times New Roman" w:eastAsia="Times New Roman" w:cs="Times New Roman"/>
          <w:sz w:val="20"/>
          <w:szCs w:val="20"/>
          <w:highlight w:val="none"/>
          <w:lang w:val="en-US" w:eastAsia="zh-CN"/>
        </w:rPr>
        <w:t xml:space="preserve">SMRs, an important application scenario is to provide energy for some small and medium-sized countries or emerging economies. These users do not have the </w:t>
      </w:r>
      <w:r>
        <w:rPr>
          <w:rFonts w:hint="eastAsia" w:cs="Times New Roman"/>
          <w:sz w:val="20"/>
          <w:szCs w:val="20"/>
          <w:highlight w:val="none"/>
          <w:lang w:val="en-US" w:eastAsia="zh-CN"/>
        </w:rPr>
        <w:t>circumstance</w:t>
      </w:r>
      <w:r>
        <w:rPr>
          <w:rFonts w:hint="eastAsia" w:ascii="Times New Roman" w:hAnsi="Times New Roman" w:eastAsia="Times New Roman" w:cs="Times New Roman"/>
          <w:sz w:val="20"/>
          <w:szCs w:val="20"/>
          <w:highlight w:val="none"/>
          <w:lang w:val="en-US" w:eastAsia="zh-CN"/>
        </w:rPr>
        <w:t xml:space="preserve"> to establish a complete supply chain system for SMRs</w:t>
      </w:r>
      <w:r>
        <w:rPr>
          <w:rFonts w:hint="eastAsia" w:cs="Times New Roman"/>
          <w:sz w:val="20"/>
          <w:szCs w:val="20"/>
          <w:highlight w:val="none"/>
          <w:lang w:val="en-US" w:eastAsia="zh-CN"/>
        </w:rPr>
        <w:t xml:space="preserve"> by </w:t>
      </w:r>
      <w:r>
        <w:rPr>
          <w:rFonts w:hint="eastAsia" w:ascii="Times New Roman" w:hAnsi="Times New Roman" w:eastAsia="Times New Roman" w:cs="Times New Roman"/>
          <w:sz w:val="20"/>
          <w:szCs w:val="20"/>
          <w:highlight w:val="none"/>
          <w:lang w:val="en-US" w:eastAsia="zh-CN"/>
        </w:rPr>
        <w:t>themselves and need to rely on the supply chain of SMR suppliers to provide guarantees for the smooth implementation of projects. The robustness of the supply chain will be one of the important factors affecting the application prospects of SMRs.</w:t>
      </w:r>
    </w:p>
    <w:p>
      <w:pPr>
        <w:pStyle w:val="5"/>
        <w:numPr>
          <w:ilvl w:val="1"/>
          <w:numId w:val="9"/>
        </w:numPr>
        <w:rPr>
          <w:rFonts w:hint="eastAsia"/>
          <w:highlight w:val="none"/>
        </w:rPr>
      </w:pPr>
      <w:r>
        <w:rPr>
          <w:rFonts w:hint="eastAsia"/>
          <w:highlight w:val="none"/>
        </w:rPr>
        <w:t>Composition of nuclear power supply chain</w:t>
      </w:r>
    </w:p>
    <w:p>
      <w:pPr>
        <w:pStyle w:val="4"/>
        <w:rPr>
          <w:rFonts w:ascii="Times New Roman" w:hAnsi="Times New Roman" w:eastAsia="Times New Roman" w:cs="Times New Roman"/>
          <w:sz w:val="20"/>
          <w:szCs w:val="20"/>
          <w:highlight w:val="none"/>
        </w:rPr>
      </w:pPr>
      <w:r>
        <w:rPr>
          <w:rFonts w:hint="eastAsia" w:eastAsia="宋体" w:cs="Times New Roman"/>
          <w:sz w:val="20"/>
          <w:szCs w:val="20"/>
          <w:highlight w:val="none"/>
          <w:lang w:val="en-US" w:eastAsia="zh-CN"/>
        </w:rPr>
        <w:t>Nuclear power s</w:t>
      </w:r>
      <w:r>
        <w:rPr>
          <w:rFonts w:ascii="Times New Roman" w:hAnsi="Times New Roman" w:eastAsia="Times New Roman" w:cs="Times New Roman"/>
          <w:sz w:val="20"/>
          <w:szCs w:val="20"/>
          <w:highlight w:val="none"/>
        </w:rPr>
        <w:t xml:space="preserve">upply chain encompasses all </w:t>
      </w:r>
      <w:r>
        <w:rPr>
          <w:rFonts w:hint="eastAsia" w:eastAsia="宋体" w:cs="Times New Roman"/>
          <w:sz w:val="20"/>
          <w:szCs w:val="20"/>
          <w:highlight w:val="none"/>
          <w:lang w:val="en-US" w:eastAsia="zh-CN"/>
        </w:rPr>
        <w:t xml:space="preserve">the members and </w:t>
      </w:r>
      <w:r>
        <w:rPr>
          <w:rFonts w:ascii="Times New Roman" w:hAnsi="Times New Roman" w:eastAsia="Times New Roman" w:cs="Times New Roman"/>
          <w:sz w:val="20"/>
          <w:szCs w:val="20"/>
          <w:highlight w:val="none"/>
        </w:rPr>
        <w:t>activities involved in</w:t>
      </w:r>
      <w:r>
        <w:rPr>
          <w:rFonts w:hint="eastAsia" w:eastAsia="宋体" w:cs="Times New Roman"/>
          <w:sz w:val="20"/>
          <w:szCs w:val="20"/>
          <w:highlight w:val="none"/>
          <w:lang w:val="en-US" w:eastAsia="zh-CN"/>
        </w:rPr>
        <w:t xml:space="preserve"> </w:t>
      </w:r>
      <w:r>
        <w:rPr>
          <w:rFonts w:ascii="Times New Roman" w:hAnsi="Times New Roman" w:eastAsia="Times New Roman" w:cs="Times New Roman"/>
          <w:sz w:val="20"/>
          <w:szCs w:val="20"/>
          <w:highlight w:val="none"/>
        </w:rPr>
        <w:t xml:space="preserve">sourcing, </w:t>
      </w:r>
      <w:r>
        <w:rPr>
          <w:rFonts w:hint="eastAsia" w:eastAsia="宋体" w:cs="Times New Roman"/>
          <w:sz w:val="20"/>
          <w:szCs w:val="20"/>
          <w:highlight w:val="none"/>
          <w:lang w:val="en-US" w:eastAsia="zh-CN"/>
        </w:rPr>
        <w:t xml:space="preserve"> designing,</w:t>
      </w:r>
      <w:r>
        <w:rPr>
          <w:rFonts w:ascii="Times New Roman" w:hAnsi="Times New Roman" w:eastAsia="Times New Roman" w:cs="Times New Roman"/>
          <w:sz w:val="20"/>
          <w:szCs w:val="20"/>
          <w:highlight w:val="none"/>
        </w:rPr>
        <w:t xml:space="preserve"> </w:t>
      </w:r>
      <w:r>
        <w:rPr>
          <w:rFonts w:hint="eastAsia" w:eastAsia="宋体" w:cs="Times New Roman"/>
          <w:sz w:val="20"/>
          <w:szCs w:val="20"/>
          <w:highlight w:val="none"/>
          <w:lang w:val="en-US" w:eastAsia="zh-CN"/>
        </w:rPr>
        <w:t xml:space="preserve">manufacturing, </w:t>
      </w:r>
      <w:r>
        <w:rPr>
          <w:rFonts w:ascii="Times New Roman" w:hAnsi="Times New Roman" w:eastAsia="Times New Roman" w:cs="Times New Roman"/>
          <w:sz w:val="20"/>
          <w:szCs w:val="20"/>
          <w:highlight w:val="none"/>
        </w:rPr>
        <w:t xml:space="preserve">procurement, </w:t>
      </w:r>
      <w:r>
        <w:rPr>
          <w:rFonts w:hint="eastAsia" w:eastAsia="宋体" w:cs="Times New Roman"/>
          <w:sz w:val="20"/>
          <w:szCs w:val="20"/>
          <w:highlight w:val="none"/>
          <w:lang w:val="en-US" w:eastAsia="zh-CN"/>
        </w:rPr>
        <w:t xml:space="preserve">construction, operation and  maintenance, </w:t>
      </w:r>
      <w:r>
        <w:rPr>
          <w:rFonts w:ascii="Times New Roman" w:hAnsi="Times New Roman" w:eastAsia="Times New Roman" w:cs="Times New Roman"/>
          <w:sz w:val="20"/>
          <w:szCs w:val="20"/>
          <w:highlight w:val="none"/>
        </w:rPr>
        <w:t>conversion and logistics management</w:t>
      </w:r>
      <w:r>
        <w:rPr>
          <w:rFonts w:hint="eastAsia" w:eastAsia="宋体" w:cs="Times New Roman"/>
          <w:sz w:val="20"/>
          <w:szCs w:val="20"/>
          <w:highlight w:val="none"/>
          <w:lang w:val="en-US" w:eastAsia="zh-CN"/>
        </w:rPr>
        <w:t xml:space="preserve">. </w:t>
      </w:r>
      <w:r>
        <w:rPr>
          <w:rFonts w:ascii="Times New Roman" w:hAnsi="Times New Roman" w:eastAsia="Times New Roman" w:cs="Times New Roman"/>
          <w:sz w:val="20"/>
          <w:szCs w:val="20"/>
          <w:highlight w:val="none"/>
        </w:rPr>
        <w:t xml:space="preserve">It also includes coordination and collaboration with suppliers, intermediaries, third party service providers or customers. </w:t>
      </w:r>
    </w:p>
    <w:p>
      <w:pPr>
        <w:pStyle w:val="4"/>
        <w:rPr>
          <w:rFonts w:hint="eastAsia" w:ascii="宋体" w:hAnsi="宋体" w:eastAsia="宋体" w:cs="宋体"/>
          <w:sz w:val="24"/>
          <w:szCs w:val="24"/>
          <w:highlight w:val="none"/>
          <w:lang w:val="en-US" w:eastAsia="zh-CN"/>
        </w:rPr>
      </w:pPr>
      <w:r>
        <w:rPr>
          <w:rFonts w:hint="eastAsia" w:eastAsia="宋体" w:cs="Times New Roman"/>
          <w:sz w:val="20"/>
          <w:szCs w:val="20"/>
          <w:highlight w:val="none"/>
          <w:lang w:val="en-US" w:eastAsia="zh-CN"/>
        </w:rPr>
        <w:t xml:space="preserve">Typical nuclear supply chain including the nuclear materials&amp;fuel, SMRs or large nuclear power reactors </w:t>
      </w:r>
      <w:r>
        <w:rPr>
          <w:rFonts w:ascii="Times New Roman" w:hAnsi="Times New Roman" w:eastAsia="Times New Roman" w:cs="Times New Roman"/>
          <w:sz w:val="20"/>
          <w:szCs w:val="20"/>
          <w:highlight w:val="none"/>
        </w:rPr>
        <w:t>technology</w:t>
      </w:r>
      <w:r>
        <w:rPr>
          <w:rFonts w:hint="eastAsia" w:eastAsia="宋体" w:cs="Times New Roman"/>
          <w:sz w:val="20"/>
          <w:szCs w:val="20"/>
          <w:highlight w:val="none"/>
          <w:lang w:val="en-US" w:eastAsia="zh-CN"/>
        </w:rPr>
        <w:t xml:space="preserve"> </w:t>
      </w:r>
      <w:r>
        <w:rPr>
          <w:rFonts w:ascii="Times New Roman" w:hAnsi="Times New Roman" w:eastAsia="Times New Roman" w:cs="Times New Roman"/>
          <w:sz w:val="20"/>
          <w:szCs w:val="20"/>
          <w:highlight w:val="none"/>
        </w:rPr>
        <w:t>vendors</w:t>
      </w:r>
      <w:r>
        <w:rPr>
          <w:rFonts w:hint="eastAsia" w:eastAsia="宋体" w:cs="Times New Roman"/>
          <w:sz w:val="20"/>
          <w:szCs w:val="20"/>
          <w:highlight w:val="none"/>
          <w:lang w:val="en-US" w:eastAsia="zh-CN"/>
        </w:rPr>
        <w:t xml:space="preserve">,component manufacture,construction, operation&amp;maintenance,and technique service. </w:t>
      </w:r>
      <w:r>
        <w:rPr>
          <w:rFonts w:ascii="Times New Roman" w:hAnsi="Times New Roman" w:eastAsia="Times New Roman" w:cs="Times New Roman"/>
          <w:sz w:val="20"/>
          <w:szCs w:val="20"/>
          <w:highlight w:val="none"/>
        </w:rPr>
        <w:t xml:space="preserve">Typical nuclear supply chain are shown in Fig. </w:t>
      </w:r>
      <w:r>
        <w:rPr>
          <w:rFonts w:hint="eastAsia" w:eastAsia="宋体" w:cs="Times New Roman"/>
          <w:sz w:val="20"/>
          <w:szCs w:val="20"/>
          <w:highlight w:val="none"/>
          <w:lang w:val="en-US" w:eastAsia="zh-CN"/>
        </w:rPr>
        <w:t>3</w:t>
      </w:r>
      <w:r>
        <w:rPr>
          <w:rFonts w:ascii="Times New Roman" w:hAnsi="Times New Roman" w:eastAsia="Times New Roman" w:cs="Times New Roman"/>
          <w:sz w:val="20"/>
          <w:szCs w:val="20"/>
          <w:highlight w:val="none"/>
        </w:rPr>
        <w:t xml:space="preserve">. New build projects are typically concerned with how </w:t>
      </w:r>
      <w:r>
        <w:rPr>
          <w:rFonts w:hint="eastAsia" w:eastAsia="宋体" w:cs="Times New Roman"/>
          <w:sz w:val="20"/>
          <w:szCs w:val="20"/>
          <w:highlight w:val="none"/>
          <w:lang w:val="en-US" w:eastAsia="zh-CN"/>
        </w:rPr>
        <w:t xml:space="preserve">the SMR or large nuclear power plant </w:t>
      </w:r>
      <w:r>
        <w:rPr>
          <w:rFonts w:ascii="Times New Roman" w:hAnsi="Times New Roman" w:eastAsia="Times New Roman" w:cs="Times New Roman"/>
          <w:sz w:val="20"/>
          <w:szCs w:val="20"/>
          <w:highlight w:val="none"/>
        </w:rPr>
        <w:t xml:space="preserve">technology vendors set up and manage their supply chains, while operating plants typically deal directly with </w:t>
      </w:r>
      <w:r>
        <w:rPr>
          <w:rFonts w:hint="eastAsia" w:eastAsia="宋体" w:cs="Times New Roman"/>
          <w:sz w:val="20"/>
          <w:szCs w:val="20"/>
          <w:highlight w:val="none"/>
          <w:lang w:val="en-US" w:eastAsia="zh-CN"/>
        </w:rPr>
        <w:t>equipment manufacturers</w:t>
      </w:r>
      <w:r>
        <w:rPr>
          <w:rFonts w:ascii="Times New Roman" w:hAnsi="Times New Roman" w:eastAsia="Times New Roman" w:cs="Times New Roman"/>
          <w:sz w:val="20"/>
          <w:szCs w:val="20"/>
          <w:highlight w:val="none"/>
        </w:rPr>
        <w:t xml:space="preserve"> and </w:t>
      </w:r>
      <w:r>
        <w:rPr>
          <w:rFonts w:hint="eastAsia" w:eastAsia="宋体" w:cs="Times New Roman"/>
          <w:sz w:val="20"/>
          <w:szCs w:val="20"/>
          <w:highlight w:val="none"/>
          <w:lang w:val="en-US" w:eastAsia="zh-CN"/>
        </w:rPr>
        <w:t>their sub-suppliers</w:t>
      </w:r>
      <w:r>
        <w:rPr>
          <w:rFonts w:ascii="Times New Roman" w:hAnsi="Times New Roman" w:eastAsia="Times New Roman" w:cs="Times New Roman"/>
          <w:sz w:val="20"/>
          <w:szCs w:val="20"/>
          <w:highlight w:val="none"/>
        </w:rPr>
        <w:t xml:space="preserve"> for spare parts associated with operation and maintenance activities</w:t>
      </w:r>
      <w:r>
        <w:rPr>
          <w:rFonts w:hint="eastAsia" w:eastAsia="宋体"/>
          <w:color w:val="000000" w:themeColor="text1"/>
          <w:sz w:val="18"/>
          <w:szCs w:val="18"/>
          <w:highlight w:val="none"/>
          <w:vertAlign w:val="baseline"/>
          <w:lang w:val="en-US" w:eastAsia="zh-CN"/>
          <w14:textFill>
            <w14:solidFill>
              <w14:schemeClr w14:val="tx1"/>
            </w14:solidFill>
          </w14:textFill>
        </w:rPr>
        <w:t>[7]</w:t>
      </w:r>
      <w:r>
        <w:rPr>
          <w:rFonts w:ascii="Times New Roman" w:hAnsi="Times New Roman" w:eastAsia="Times New Roman" w:cs="Times New Roman"/>
          <w:sz w:val="20"/>
          <w:szCs w:val="20"/>
          <w:highlight w:val="none"/>
        </w:rPr>
        <w:t xml:space="preserve">. </w:t>
      </w:r>
      <w:r>
        <w:rPr>
          <w:rFonts w:hint="eastAsia" w:eastAsia="宋体" w:cs="Times New Roman"/>
          <w:sz w:val="20"/>
          <w:szCs w:val="20"/>
          <w:highlight w:val="none"/>
          <w:lang w:val="en-US" w:eastAsia="zh-CN"/>
        </w:rPr>
        <w:t>All of the</w:t>
      </w:r>
      <w:r>
        <w:rPr>
          <w:rFonts w:ascii="Times New Roman" w:hAnsi="Times New Roman" w:eastAsia="Times New Roman" w:cs="Times New Roman"/>
          <w:sz w:val="20"/>
          <w:szCs w:val="20"/>
          <w:highlight w:val="none"/>
        </w:rPr>
        <w:t xml:space="preserve"> activities </w:t>
      </w:r>
      <w:r>
        <w:rPr>
          <w:rFonts w:hint="eastAsia" w:eastAsia="宋体" w:cs="Times New Roman"/>
          <w:sz w:val="20"/>
          <w:szCs w:val="20"/>
          <w:highlight w:val="none"/>
          <w:lang w:val="en-US" w:eastAsia="zh-CN"/>
        </w:rPr>
        <w:t xml:space="preserve">in the supply chain </w:t>
      </w:r>
      <w:r>
        <w:rPr>
          <w:rFonts w:ascii="Times New Roman" w:hAnsi="Times New Roman" w:eastAsia="Times New Roman" w:cs="Times New Roman"/>
          <w:sz w:val="20"/>
          <w:szCs w:val="20"/>
          <w:highlight w:val="none"/>
        </w:rPr>
        <w:t>are invariably linked</w:t>
      </w:r>
      <w:r>
        <w:rPr>
          <w:rFonts w:hint="eastAsia" w:eastAsia="宋体" w:cs="Times New Roman"/>
          <w:sz w:val="20"/>
          <w:szCs w:val="20"/>
          <w:highlight w:val="none"/>
          <w:lang w:val="en-US" w:eastAsia="zh-CN"/>
        </w:rPr>
        <w:t>, and these activities will influence the performance of the SMR or large nuclear power p</w:t>
      </w:r>
      <w:r>
        <w:rPr>
          <w:rFonts w:hint="eastAsia" w:eastAsia="宋体" w:cs="Times New Roman"/>
          <w:color w:val="000000" w:themeColor="text1"/>
          <w:sz w:val="20"/>
          <w:szCs w:val="20"/>
          <w:highlight w:val="none"/>
          <w:lang w:val="en-US" w:eastAsia="zh-CN"/>
          <w14:textFill>
            <w14:solidFill>
              <w14:schemeClr w14:val="tx1"/>
            </w14:solidFill>
          </w14:textFill>
        </w:rPr>
        <w:t>lant .</w:t>
      </w:r>
    </w:p>
    <w:p>
      <w:pPr>
        <w:pStyle w:val="4"/>
        <w:jc w:val="center"/>
        <w:rPr>
          <w:rFonts w:hint="eastAsia" w:cs="Times New Roman"/>
          <w:sz w:val="18"/>
          <w:szCs w:val="18"/>
          <w:highlight w:val="none"/>
          <w:lang w:val="en-US" w:eastAsia="zh-CN"/>
        </w:rPr>
      </w:pPr>
      <w:r>
        <w:rPr>
          <w:rFonts w:hint="eastAsia" w:cs="Times New Roman"/>
          <w:sz w:val="18"/>
          <w:szCs w:val="18"/>
          <w:highlight w:val="none"/>
          <w:lang w:val="en-US" w:eastAsia="zh-CN"/>
        </w:rPr>
        <w:drawing>
          <wp:inline distT="0" distB="0" distL="114935" distR="114935">
            <wp:extent cx="4746625" cy="2633980"/>
            <wp:effectExtent l="0" t="0" r="3175" b="762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a:srcRect l="9730" t="10938" r="6317"/>
                    <a:stretch>
                      <a:fillRect/>
                    </a:stretch>
                  </pic:blipFill>
                  <pic:spPr>
                    <a:xfrm>
                      <a:off x="0" y="0"/>
                      <a:ext cx="4746625" cy="2633980"/>
                    </a:xfrm>
                    <a:prstGeom prst="rect">
                      <a:avLst/>
                    </a:prstGeom>
                  </pic:spPr>
                </pic:pic>
              </a:graphicData>
            </a:graphic>
          </wp:inline>
        </w:drawing>
      </w:r>
    </w:p>
    <w:p>
      <w:pPr>
        <w:pStyle w:val="4"/>
        <w:jc w:val="center"/>
        <w:rPr>
          <w:rFonts w:hint="eastAsia" w:cs="Times New Roman"/>
          <w:sz w:val="18"/>
          <w:szCs w:val="18"/>
          <w:highlight w:val="none"/>
          <w:lang w:val="en-US" w:eastAsia="zh-CN"/>
        </w:rPr>
      </w:pPr>
      <w:r>
        <w:rPr>
          <w:rFonts w:hint="eastAsia" w:cs="Times New Roman"/>
          <w:sz w:val="18"/>
          <w:szCs w:val="18"/>
          <w:highlight w:val="none"/>
          <w:lang w:val="en-US" w:eastAsia="zh-CN"/>
        </w:rPr>
        <w:t xml:space="preserve">Fig 3  </w:t>
      </w:r>
      <w:r>
        <w:rPr>
          <w:rFonts w:hint="default" w:cs="Times New Roman"/>
          <w:sz w:val="18"/>
          <w:szCs w:val="18"/>
          <w:highlight w:val="none"/>
          <w:lang w:val="en-US" w:eastAsia="zh-CN"/>
        </w:rPr>
        <w:t>The main iteams of nuclear power supply chain</w:t>
      </w:r>
      <w:r>
        <w:rPr>
          <w:rFonts w:hint="eastAsia" w:cs="Times New Roman"/>
          <w:sz w:val="18"/>
          <w:szCs w:val="18"/>
          <w:highlight w:val="none"/>
          <w:lang w:val="en-US" w:eastAsia="zh-CN"/>
        </w:rPr>
        <w:t>[7]</w:t>
      </w:r>
    </w:p>
    <w:p>
      <w:pPr>
        <w:pStyle w:val="4"/>
        <w:jc w:val="center"/>
        <w:rPr>
          <w:rFonts w:hint="default" w:cs="Times New Roman"/>
          <w:sz w:val="18"/>
          <w:szCs w:val="18"/>
          <w:highlight w:val="none"/>
          <w:lang w:val="en-US" w:eastAsia="zh-CN"/>
        </w:rPr>
      </w:pPr>
    </w:p>
    <w:p>
      <w:pPr>
        <w:pStyle w:val="4"/>
        <w:rPr>
          <w:rFonts w:hint="eastAsia" w:eastAsia="宋体"/>
          <w:highlight w:val="none"/>
          <w:lang w:val="en-US" w:eastAsia="zh-CN"/>
        </w:rPr>
      </w:pPr>
      <w:r>
        <w:rPr>
          <w:rFonts w:hint="eastAsia" w:eastAsia="宋体"/>
          <w:highlight w:val="none"/>
          <w:lang w:val="en-US" w:eastAsia="zh-CN"/>
        </w:rPr>
        <w:t>Member</w:t>
      </w:r>
      <w:r>
        <w:rPr>
          <w:rFonts w:hint="eastAsia"/>
          <w:highlight w:val="none"/>
        </w:rPr>
        <w:t>s that typically involved in a nuclear power programme supply chain include the Engineering companies</w:t>
      </w:r>
      <w:r>
        <w:rPr>
          <w:rFonts w:hint="eastAsia" w:eastAsia="宋体"/>
          <w:highlight w:val="none"/>
          <w:lang w:val="en-US" w:eastAsia="zh-CN"/>
        </w:rPr>
        <w:t>, m</w:t>
      </w:r>
      <w:r>
        <w:rPr>
          <w:rFonts w:hint="eastAsia"/>
          <w:highlight w:val="none"/>
        </w:rPr>
        <w:t>anufacturing companies</w:t>
      </w:r>
      <w:r>
        <w:rPr>
          <w:rFonts w:hint="eastAsia" w:eastAsia="宋体"/>
          <w:highlight w:val="none"/>
          <w:lang w:val="en-US" w:eastAsia="zh-CN"/>
        </w:rPr>
        <w:t>, c</w:t>
      </w:r>
      <w:r>
        <w:rPr>
          <w:rFonts w:hint="eastAsia"/>
          <w:highlight w:val="none"/>
        </w:rPr>
        <w:t>ivil construction and system assembly companies</w:t>
      </w:r>
      <w:r>
        <w:rPr>
          <w:rFonts w:hint="eastAsia" w:eastAsia="宋体"/>
          <w:highlight w:val="none"/>
          <w:lang w:val="en-US" w:eastAsia="zh-CN"/>
        </w:rPr>
        <w:t>, s</w:t>
      </w:r>
      <w:r>
        <w:rPr>
          <w:rFonts w:hint="eastAsia"/>
          <w:highlight w:val="none"/>
        </w:rPr>
        <w:t>ervices</w:t>
      </w:r>
      <w:r>
        <w:rPr>
          <w:rFonts w:hint="eastAsia" w:eastAsia="宋体"/>
          <w:highlight w:val="none"/>
          <w:lang w:val="en-US" w:eastAsia="zh-CN"/>
        </w:rPr>
        <w:t xml:space="preserve"> companies, o</w:t>
      </w:r>
      <w:r>
        <w:rPr>
          <w:rFonts w:hint="eastAsia"/>
          <w:highlight w:val="none"/>
        </w:rPr>
        <w:t>peration and maintenance companies</w:t>
      </w:r>
      <w:r>
        <w:rPr>
          <w:rFonts w:hint="eastAsia" w:eastAsia="宋体"/>
          <w:highlight w:val="none"/>
          <w:lang w:val="en-US" w:eastAsia="zh-CN"/>
        </w:rPr>
        <w:t>, and t</w:t>
      </w:r>
      <w:r>
        <w:rPr>
          <w:rFonts w:hint="eastAsia"/>
          <w:highlight w:val="none"/>
        </w:rPr>
        <w:t>echnical support organizations</w:t>
      </w:r>
      <w:r>
        <w:rPr>
          <w:rFonts w:hint="eastAsia" w:eastAsia="宋体"/>
          <w:highlight w:val="none"/>
          <w:lang w:val="en-US" w:eastAsia="zh-CN"/>
        </w:rPr>
        <w:t>.</w:t>
      </w:r>
    </w:p>
    <w:p>
      <w:pPr>
        <w:pStyle w:val="4"/>
        <w:rPr>
          <w:highlight w:val="none"/>
          <w:lang w:val="en-GB"/>
        </w:rPr>
      </w:pPr>
      <w:r>
        <w:rPr>
          <w:rFonts w:hint="eastAsia"/>
          <w:highlight w:val="none"/>
        </w:rPr>
        <w:t>Due to the particularity of nuclear energy, the implementation of nuclear energy requires special attention to the impact of nuclear safety on society and the environment, as well as nuclear safety issues at all stages of the nuclear energy supply chain.</w:t>
      </w:r>
    </w:p>
    <w:p>
      <w:pPr>
        <w:pStyle w:val="5"/>
        <w:rPr>
          <w:highlight w:val="none"/>
        </w:rPr>
      </w:pPr>
      <w:r>
        <w:rPr>
          <w:rFonts w:hint="eastAsia" w:eastAsia="宋体"/>
          <w:highlight w:val="none"/>
          <w:lang w:val="en-US" w:eastAsia="zh-CN"/>
        </w:rPr>
        <w:t>The SMRs supply chain in China</w:t>
      </w:r>
    </w:p>
    <w:p>
      <w:pPr>
        <w:pStyle w:val="6"/>
        <w:numPr>
          <w:ilvl w:val="1"/>
          <w:numId w:val="10"/>
        </w:numPr>
        <w:ind w:left="567" w:hanging="567"/>
        <w:rPr>
          <w:rFonts w:hint="default" w:eastAsia="Times New Roman"/>
          <w:highlight w:val="none"/>
          <w:lang w:val="en-US" w:eastAsia="zh-CN"/>
        </w:rPr>
      </w:pPr>
      <w:r>
        <w:rPr>
          <w:rFonts w:hint="eastAsia"/>
          <w:highlight w:val="none"/>
          <w:lang w:val="en-US" w:eastAsia="zh-CN"/>
        </w:rPr>
        <w:t>The status of SMRs development and application in China</w:t>
      </w:r>
    </w:p>
    <w:p>
      <w:pPr>
        <w:pStyle w:val="4"/>
        <w:rPr>
          <w:rFonts w:hint="eastAsia" w:eastAsia="宋体"/>
          <w:highlight w:val="none"/>
          <w:lang w:val="en-US" w:eastAsia="zh-CN"/>
        </w:rPr>
      </w:pPr>
      <w:r>
        <w:rPr>
          <w:rFonts w:hint="eastAsia" w:eastAsia="宋体"/>
          <w:highlight w:val="none"/>
          <w:lang w:val="en-US" w:eastAsia="zh-CN"/>
        </w:rPr>
        <w:t xml:space="preserve">Since the beginning of the 21st century, China has developed a variety of types of small reactors with different power levels and technical characteristics for the needs of heating in cold areas, power supply in remote areas and seawater desalination in offshore areas(Table 1). </w:t>
      </w:r>
    </w:p>
    <w:p>
      <w:pPr>
        <w:pStyle w:val="4"/>
        <w:rPr>
          <w:rFonts w:hint="eastAsia" w:eastAsia="宋体"/>
          <w:highlight w:val="none"/>
          <w:lang w:val="en-US" w:eastAsia="zh-CN"/>
        </w:rPr>
      </w:pPr>
      <w:r>
        <w:rPr>
          <w:rFonts w:hint="eastAsia" w:eastAsia="宋体"/>
          <w:highlight w:val="none"/>
          <w:lang w:val="en-US" w:eastAsia="zh-CN"/>
        </w:rPr>
        <w:t>Among the SMRs in China, the ACP100</w:t>
      </w:r>
      <w:r>
        <w:rPr>
          <w:rFonts w:hint="default" w:ascii="Times New Roman" w:hAnsi="Times New Roman" w:eastAsia="宋体" w:cs="Times New Roman"/>
          <w:highlight w:val="none"/>
          <w:lang w:val="en-US" w:eastAsia="zh-CN"/>
        </w:rPr>
        <w:t>“Linglong one”</w:t>
      </w:r>
      <w:r>
        <w:rPr>
          <w:rFonts w:hint="eastAsia" w:ascii="Times New Roman" w:hAnsi="Times New Roman" w:eastAsia="宋体" w:cs="Times New Roman"/>
          <w:highlight w:val="none"/>
          <w:lang w:val="en-US" w:eastAsia="zh-CN"/>
        </w:rPr>
        <w:t xml:space="preserve"> </w:t>
      </w:r>
      <w:r>
        <w:rPr>
          <w:rFonts w:hint="eastAsia" w:eastAsia="宋体"/>
          <w:highlight w:val="none"/>
          <w:lang w:val="en-US" w:eastAsia="zh-CN"/>
        </w:rPr>
        <w:t xml:space="preserve">integrated small multi-purpose modular pressurized water reactor independently developed by China National Nuclear Corporation(CNNC) is under construction and is scheduled to be completed in 2026(Fig 4).The 210MWe HTR-PM (Fig 5)designed by the </w:t>
      </w:r>
      <w:r>
        <w:rPr>
          <w:rFonts w:hint="eastAsia" w:eastAsia="宋体"/>
          <w:highlight w:val="none"/>
          <w:lang w:val="en-US" w:eastAsia="zh-CN"/>
        </w:rPr>
        <w:fldChar w:fldCharType="begin"/>
      </w:r>
      <w:r>
        <w:rPr>
          <w:rFonts w:hint="eastAsia" w:eastAsia="宋体"/>
          <w:highlight w:val="none"/>
          <w:lang w:val="en-US" w:eastAsia="zh-CN"/>
        </w:rPr>
        <w:instrText xml:space="preserve"> HYPERLINK "https://www.inet.tsinghua.edu.cn/ineten/" \t "https://cn.bing.com/_blank" </w:instrText>
      </w:r>
      <w:r>
        <w:rPr>
          <w:rFonts w:hint="eastAsia" w:eastAsia="宋体"/>
          <w:highlight w:val="none"/>
          <w:lang w:val="en-US" w:eastAsia="zh-CN"/>
        </w:rPr>
        <w:fldChar w:fldCharType="separate"/>
      </w:r>
      <w:r>
        <w:rPr>
          <w:rFonts w:hint="eastAsia" w:eastAsia="宋体"/>
          <w:highlight w:val="none"/>
          <w:lang w:val="en-US" w:eastAsia="zh-CN"/>
        </w:rPr>
        <w:t>Institute of Nuclear and New Energy Technology</w:t>
      </w:r>
      <w:r>
        <w:rPr>
          <w:rFonts w:hint="eastAsia" w:eastAsia="宋体"/>
          <w:highlight w:val="none"/>
          <w:lang w:val="en-US" w:eastAsia="zh-CN"/>
        </w:rPr>
        <w:fldChar w:fldCharType="end"/>
      </w:r>
      <w:r>
        <w:rPr>
          <w:rFonts w:hint="eastAsia" w:eastAsia="宋体"/>
          <w:highlight w:val="none"/>
          <w:lang w:val="en-US" w:eastAsia="zh-CN"/>
        </w:rPr>
        <w:t>(INET) of Tsinghua University has connected to grid in December 2023[8]. The NHR200-II integrated low-temperature heating reactor designed by Tsinghua University and DHR-400 pool type heating reactor designed by CNNC have initially met the engineering application conditions. The State Power Investment Corporation(SPIC) has developed a 200MWe compact reactor and has completed the conceptual design , and China General Nuclear Power Corporation has developed an ACPR50S offshore floating reactor.</w:t>
      </w:r>
    </w:p>
    <w:p>
      <w:pPr>
        <w:pStyle w:val="4"/>
        <w:ind w:firstLine="0"/>
        <w:jc w:val="center"/>
        <w:rPr>
          <w:rFonts w:hint="default"/>
          <w:sz w:val="18"/>
          <w:szCs w:val="18"/>
          <w:highlight w:val="none"/>
          <w:lang w:val="en-US" w:eastAsia="zh-CN"/>
        </w:rPr>
      </w:pPr>
      <w:r>
        <w:rPr>
          <w:rFonts w:hint="eastAsia"/>
          <w:sz w:val="18"/>
          <w:szCs w:val="18"/>
          <w:highlight w:val="none"/>
          <w:lang w:val="en-US" w:eastAsia="zh-CN"/>
        </w:rPr>
        <w:t>TBALE 1  The typical</w:t>
      </w:r>
      <w:r>
        <w:rPr>
          <w:rFonts w:hint="eastAsia"/>
          <w:sz w:val="18"/>
          <w:szCs w:val="18"/>
          <w:highlight w:val="none"/>
        </w:rPr>
        <w:t xml:space="preserve"> small reactor types </w:t>
      </w:r>
      <w:r>
        <w:rPr>
          <w:rFonts w:hint="eastAsia"/>
          <w:sz w:val="18"/>
          <w:szCs w:val="18"/>
          <w:highlight w:val="none"/>
          <w:lang w:val="en-US" w:eastAsia="zh-CN"/>
        </w:rPr>
        <w:t>in China[2]</w:t>
      </w:r>
    </w:p>
    <w:tbl>
      <w:tblPr>
        <w:tblStyle w:val="21"/>
        <w:tblW w:w="4975" w:type="pct"/>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18"/>
        <w:gridCol w:w="1472"/>
        <w:gridCol w:w="1710"/>
        <w:gridCol w:w="1572"/>
        <w:gridCol w:w="1601"/>
        <w:gridCol w:w="1824"/>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blHeader/>
          <w:jc w:val="center"/>
        </w:trPr>
        <w:tc>
          <w:tcPr>
            <w:tcW w:w="553" w:type="pct"/>
            <w:tcBorders>
              <w:bottom w:val="single" w:color="auto" w:sz="4" w:space="0"/>
            </w:tcBorders>
            <w:noWrap w:val="0"/>
            <w:vAlign w:val="center"/>
          </w:tcPr>
          <w:p>
            <w:pPr>
              <w:pStyle w:val="62"/>
              <w:snapToGrid w:val="0"/>
              <w:spacing w:afterLines="0" w:line="240" w:lineRule="auto"/>
              <w:jc w:val="center"/>
              <w:rPr>
                <w:rFonts w:hint="default"/>
                <w:b/>
                <w:bCs/>
                <w:color w:val="auto"/>
                <w:sz w:val="18"/>
                <w:szCs w:val="18"/>
                <w:highlight w:val="none"/>
                <w:vertAlign w:val="baseline"/>
                <w:lang w:val="en-US" w:eastAsia="zh-CN"/>
              </w:rPr>
            </w:pPr>
            <w:r>
              <w:rPr>
                <w:rFonts w:hint="eastAsia"/>
                <w:b/>
                <w:bCs/>
                <w:color w:val="auto"/>
                <w:sz w:val="18"/>
                <w:szCs w:val="18"/>
                <w:highlight w:val="none"/>
                <w:vertAlign w:val="baseline"/>
                <w:lang w:val="en-US" w:eastAsia="zh-CN"/>
              </w:rPr>
              <w:t>No.</w:t>
            </w:r>
          </w:p>
        </w:tc>
        <w:tc>
          <w:tcPr>
            <w:tcW w:w="800" w:type="pct"/>
            <w:tcBorders>
              <w:bottom w:val="single" w:color="auto" w:sz="4" w:space="0"/>
            </w:tcBorders>
            <w:noWrap w:val="0"/>
            <w:vAlign w:val="center"/>
          </w:tcPr>
          <w:p>
            <w:pPr>
              <w:pStyle w:val="62"/>
              <w:snapToGrid w:val="0"/>
              <w:spacing w:afterLines="0" w:line="240" w:lineRule="auto"/>
              <w:jc w:val="center"/>
              <w:rPr>
                <w:rFonts w:hint="default"/>
                <w:b/>
                <w:bCs/>
                <w:color w:val="auto"/>
                <w:sz w:val="18"/>
                <w:szCs w:val="18"/>
                <w:highlight w:val="none"/>
                <w:vertAlign w:val="baseline"/>
                <w:lang w:val="en-US" w:eastAsia="zh-CN"/>
              </w:rPr>
            </w:pPr>
            <w:r>
              <w:rPr>
                <w:rFonts w:hint="eastAsia"/>
                <w:b/>
                <w:bCs/>
                <w:color w:val="auto"/>
                <w:sz w:val="18"/>
                <w:szCs w:val="18"/>
                <w:highlight w:val="none"/>
                <w:vertAlign w:val="baseline"/>
                <w:lang w:val="en-US" w:eastAsia="zh-CN"/>
              </w:rPr>
              <w:t>Design</w:t>
            </w:r>
          </w:p>
        </w:tc>
        <w:tc>
          <w:tcPr>
            <w:tcW w:w="929" w:type="pct"/>
            <w:tcBorders>
              <w:bottom w:val="single" w:color="auto" w:sz="4" w:space="0"/>
            </w:tcBorders>
            <w:noWrap w:val="0"/>
            <w:vAlign w:val="center"/>
          </w:tcPr>
          <w:p>
            <w:pPr>
              <w:pStyle w:val="62"/>
              <w:snapToGrid w:val="0"/>
              <w:spacing w:afterLines="0" w:line="240" w:lineRule="auto"/>
              <w:jc w:val="center"/>
              <w:rPr>
                <w:rFonts w:hint="default"/>
                <w:b/>
                <w:bCs/>
                <w:color w:val="auto"/>
                <w:sz w:val="18"/>
                <w:szCs w:val="18"/>
                <w:highlight w:val="none"/>
                <w:vertAlign w:val="baseline"/>
                <w:lang w:val="en-US" w:eastAsia="zh-CN"/>
              </w:rPr>
            </w:pPr>
            <w:r>
              <w:rPr>
                <w:rFonts w:hint="eastAsia"/>
                <w:b/>
                <w:bCs/>
                <w:color w:val="auto"/>
                <w:sz w:val="18"/>
                <w:szCs w:val="18"/>
                <w:highlight w:val="none"/>
                <w:vertAlign w:val="baseline"/>
                <w:lang w:val="en-US" w:eastAsia="zh-CN"/>
              </w:rPr>
              <w:t>Type</w:t>
            </w:r>
          </w:p>
        </w:tc>
        <w:tc>
          <w:tcPr>
            <w:tcW w:w="854" w:type="pct"/>
            <w:tcBorders>
              <w:bottom w:val="single" w:color="auto" w:sz="4" w:space="0"/>
            </w:tcBorders>
            <w:noWrap w:val="0"/>
            <w:vAlign w:val="center"/>
          </w:tcPr>
          <w:p>
            <w:pPr>
              <w:pStyle w:val="62"/>
              <w:snapToGrid w:val="0"/>
              <w:spacing w:afterLines="0" w:line="240" w:lineRule="auto"/>
              <w:jc w:val="center"/>
              <w:rPr>
                <w:rFonts w:hint="default"/>
                <w:b/>
                <w:bCs/>
                <w:color w:val="auto"/>
                <w:sz w:val="18"/>
                <w:szCs w:val="18"/>
                <w:highlight w:val="none"/>
                <w:vertAlign w:val="baseline"/>
                <w:lang w:val="en-US" w:eastAsia="zh-CN"/>
              </w:rPr>
            </w:pPr>
            <w:r>
              <w:rPr>
                <w:rFonts w:hint="eastAsia"/>
                <w:b/>
                <w:bCs/>
                <w:color w:val="auto"/>
                <w:sz w:val="18"/>
                <w:szCs w:val="18"/>
                <w:highlight w:val="none"/>
                <w:vertAlign w:val="baseline"/>
                <w:lang w:val="en-US" w:eastAsia="zh-CN"/>
              </w:rPr>
              <w:t>Output MWe</w:t>
            </w:r>
          </w:p>
        </w:tc>
        <w:tc>
          <w:tcPr>
            <w:tcW w:w="870" w:type="pct"/>
            <w:tcBorders>
              <w:bottom w:val="single" w:color="auto" w:sz="4" w:space="0"/>
            </w:tcBorders>
            <w:noWrap w:val="0"/>
            <w:vAlign w:val="center"/>
          </w:tcPr>
          <w:p>
            <w:pPr>
              <w:pStyle w:val="62"/>
              <w:snapToGrid w:val="0"/>
              <w:spacing w:afterLines="0" w:line="240" w:lineRule="auto"/>
              <w:jc w:val="center"/>
              <w:rPr>
                <w:rFonts w:hint="default"/>
                <w:b/>
                <w:bCs/>
                <w:color w:val="auto"/>
                <w:sz w:val="18"/>
                <w:szCs w:val="18"/>
                <w:highlight w:val="none"/>
                <w:vertAlign w:val="baseline"/>
                <w:lang w:val="en-US" w:eastAsia="zh-CN"/>
              </w:rPr>
            </w:pPr>
            <w:r>
              <w:rPr>
                <w:rFonts w:hint="eastAsia"/>
                <w:b/>
                <w:bCs/>
                <w:color w:val="auto"/>
                <w:sz w:val="18"/>
                <w:szCs w:val="18"/>
                <w:highlight w:val="none"/>
                <w:vertAlign w:val="baseline"/>
                <w:lang w:val="en-US" w:eastAsia="zh-CN"/>
              </w:rPr>
              <w:t>Designer</w:t>
            </w:r>
          </w:p>
        </w:tc>
        <w:tc>
          <w:tcPr>
            <w:tcW w:w="991" w:type="pct"/>
            <w:tcBorders>
              <w:bottom w:val="single" w:color="auto" w:sz="4" w:space="0"/>
            </w:tcBorders>
            <w:noWrap w:val="0"/>
            <w:vAlign w:val="center"/>
          </w:tcPr>
          <w:p>
            <w:pPr>
              <w:pStyle w:val="62"/>
              <w:snapToGrid w:val="0"/>
              <w:spacing w:afterLines="0" w:line="240" w:lineRule="auto"/>
              <w:jc w:val="center"/>
              <w:rPr>
                <w:rFonts w:hint="default"/>
                <w:b/>
                <w:bCs/>
                <w:color w:val="auto"/>
                <w:sz w:val="18"/>
                <w:szCs w:val="18"/>
                <w:highlight w:val="none"/>
                <w:vertAlign w:val="baseline"/>
                <w:lang w:val="en-US" w:eastAsia="zh-CN"/>
              </w:rPr>
            </w:pPr>
            <w:r>
              <w:rPr>
                <w:rFonts w:hint="eastAsia"/>
                <w:b/>
                <w:bCs/>
                <w:color w:val="auto"/>
                <w:sz w:val="18"/>
                <w:szCs w:val="18"/>
                <w:highlight w:val="none"/>
                <w:vertAlign w:val="baseline"/>
                <w:lang w:val="en-US" w:eastAsia="zh-CN"/>
              </w:rPr>
              <w:t>Status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jc w:val="center"/>
        </w:trPr>
        <w:tc>
          <w:tcPr>
            <w:tcW w:w="553" w:type="pct"/>
            <w:tcBorders>
              <w:top w:val="single" w:color="auto" w:sz="4" w:space="0"/>
              <w:tl2br w:val="nil"/>
              <w:tr2bl w:val="nil"/>
            </w:tcBorders>
            <w:noWrap w:val="0"/>
            <w:vAlign w:val="center"/>
          </w:tcPr>
          <w:p>
            <w:pPr>
              <w:pStyle w:val="62"/>
              <w:snapToGrid w:val="0"/>
              <w:spacing w:afterLines="0" w:line="240" w:lineRule="auto"/>
              <w:jc w:val="center"/>
              <w:rPr>
                <w:rFonts w:hint="default"/>
                <w:b w:val="0"/>
                <w:color w:val="auto"/>
                <w:sz w:val="18"/>
                <w:szCs w:val="18"/>
                <w:highlight w:val="none"/>
                <w:vertAlign w:val="baseline"/>
                <w:lang w:val="en-US" w:eastAsia="zh-CN"/>
              </w:rPr>
            </w:pPr>
            <w:r>
              <w:rPr>
                <w:rFonts w:hint="eastAsia"/>
                <w:b w:val="0"/>
                <w:color w:val="auto"/>
                <w:sz w:val="18"/>
                <w:szCs w:val="18"/>
                <w:highlight w:val="none"/>
                <w:vertAlign w:val="baseline"/>
                <w:lang w:val="en-US" w:eastAsia="zh-CN"/>
              </w:rPr>
              <w:t>1</w:t>
            </w:r>
          </w:p>
        </w:tc>
        <w:tc>
          <w:tcPr>
            <w:tcW w:w="800" w:type="pct"/>
            <w:tcBorders>
              <w:top w:val="single" w:color="auto" w:sz="4" w:space="0"/>
              <w:tl2br w:val="nil"/>
              <w:tr2bl w:val="nil"/>
            </w:tcBorders>
            <w:noWrap w:val="0"/>
            <w:vAlign w:val="center"/>
          </w:tcPr>
          <w:p>
            <w:pPr>
              <w:pStyle w:val="62"/>
              <w:snapToGrid w:val="0"/>
              <w:spacing w:afterLines="0" w:line="240" w:lineRule="auto"/>
              <w:jc w:val="center"/>
              <w:rPr>
                <w:rFonts w:hint="default"/>
                <w:b w:val="0"/>
                <w:color w:val="auto"/>
                <w:sz w:val="18"/>
                <w:szCs w:val="18"/>
                <w:highlight w:val="none"/>
                <w:vertAlign w:val="baseline"/>
                <w:lang w:val="en-US" w:eastAsia="zh-CN"/>
              </w:rPr>
            </w:pPr>
            <w:r>
              <w:rPr>
                <w:rFonts w:hint="eastAsia"/>
                <w:b w:val="0"/>
                <w:color w:val="auto"/>
                <w:sz w:val="18"/>
                <w:szCs w:val="18"/>
                <w:highlight w:val="none"/>
                <w:vertAlign w:val="baseline"/>
                <w:lang w:val="en-US" w:eastAsia="zh-CN"/>
              </w:rPr>
              <w:t>ACP100</w:t>
            </w:r>
          </w:p>
        </w:tc>
        <w:tc>
          <w:tcPr>
            <w:tcW w:w="929" w:type="pct"/>
            <w:tcBorders>
              <w:top w:val="single" w:color="auto" w:sz="4" w:space="0"/>
              <w:tl2br w:val="nil"/>
              <w:tr2bl w:val="nil"/>
            </w:tcBorders>
            <w:noWrap w:val="0"/>
            <w:vAlign w:val="center"/>
          </w:tcPr>
          <w:p>
            <w:pPr>
              <w:keepNext w:val="0"/>
              <w:keepLines w:val="0"/>
              <w:widowControl/>
              <w:suppressLineNumbers w:val="0"/>
              <w:spacing w:line="240" w:lineRule="auto"/>
              <w:jc w:val="center"/>
              <w:rPr>
                <w:rFonts w:hint="eastAsia"/>
                <w:b w:val="0"/>
                <w:color w:val="auto"/>
                <w:sz w:val="18"/>
                <w:szCs w:val="18"/>
                <w:highlight w:val="none"/>
                <w:vertAlign w:val="baseline"/>
                <w:lang w:val="en-US" w:eastAsia="zh-CN"/>
              </w:rPr>
            </w:pPr>
            <w:r>
              <w:rPr>
                <w:rFonts w:hint="eastAsia" w:ascii="Times New Roman" w:hAnsi="Times New Roman" w:eastAsia="宋体" w:cs="Times New Roman"/>
                <w:b w:val="0"/>
                <w:color w:val="auto"/>
                <w:kern w:val="0"/>
                <w:sz w:val="18"/>
                <w:szCs w:val="18"/>
                <w:highlight w:val="none"/>
                <w:vertAlign w:val="baseline"/>
                <w:lang w:val="en-US" w:eastAsia="zh-CN" w:bidi="ar-SA"/>
              </w:rPr>
              <w:t>Integral</w:t>
            </w:r>
            <w:r>
              <w:rPr>
                <w:rFonts w:hint="eastAsia" w:eastAsia="宋体" w:cs="Times New Roman"/>
                <w:b w:val="0"/>
                <w:color w:val="auto"/>
                <w:kern w:val="0"/>
                <w:sz w:val="18"/>
                <w:szCs w:val="18"/>
                <w:highlight w:val="none"/>
                <w:vertAlign w:val="baseline"/>
                <w:lang w:val="en-US" w:eastAsia="zh-CN" w:bidi="ar-SA"/>
              </w:rPr>
              <w:t xml:space="preserve"> </w:t>
            </w:r>
            <w:r>
              <w:rPr>
                <w:rFonts w:hint="default" w:ascii="Times New Roman" w:hAnsi="Times New Roman" w:eastAsia="宋体" w:cs="Times New Roman"/>
                <w:b w:val="0"/>
                <w:color w:val="auto"/>
                <w:kern w:val="0"/>
                <w:sz w:val="18"/>
                <w:szCs w:val="18"/>
                <w:highlight w:val="none"/>
                <w:vertAlign w:val="baseline"/>
                <w:lang w:val="en-US" w:eastAsia="zh-CN" w:bidi="ar-SA"/>
              </w:rPr>
              <w:t>PWR</w:t>
            </w:r>
          </w:p>
        </w:tc>
        <w:tc>
          <w:tcPr>
            <w:tcW w:w="854" w:type="pct"/>
            <w:tcBorders>
              <w:top w:val="single" w:color="auto" w:sz="4" w:space="0"/>
              <w:tl2br w:val="nil"/>
              <w:tr2bl w:val="nil"/>
            </w:tcBorders>
            <w:noWrap w:val="0"/>
            <w:vAlign w:val="center"/>
          </w:tcPr>
          <w:p>
            <w:pPr>
              <w:pStyle w:val="62"/>
              <w:snapToGrid w:val="0"/>
              <w:spacing w:afterLines="0" w:line="240" w:lineRule="auto"/>
              <w:jc w:val="center"/>
              <w:rPr>
                <w:rFonts w:hint="default"/>
                <w:b w:val="0"/>
                <w:color w:val="auto"/>
                <w:sz w:val="18"/>
                <w:szCs w:val="18"/>
                <w:highlight w:val="none"/>
                <w:vertAlign w:val="baseline"/>
                <w:lang w:val="en-US" w:eastAsia="zh-CN"/>
              </w:rPr>
            </w:pPr>
            <w:r>
              <w:rPr>
                <w:rFonts w:hint="eastAsia"/>
                <w:b w:val="0"/>
                <w:color w:val="auto"/>
                <w:sz w:val="18"/>
                <w:szCs w:val="18"/>
                <w:highlight w:val="none"/>
                <w:vertAlign w:val="baseline"/>
                <w:lang w:val="en-US" w:eastAsia="zh-CN"/>
              </w:rPr>
              <w:t>125</w:t>
            </w:r>
          </w:p>
        </w:tc>
        <w:tc>
          <w:tcPr>
            <w:tcW w:w="870" w:type="pct"/>
            <w:tcBorders>
              <w:top w:val="single" w:color="auto" w:sz="4" w:space="0"/>
              <w:tl2br w:val="nil"/>
              <w:tr2bl w:val="nil"/>
            </w:tcBorders>
            <w:noWrap w:val="0"/>
            <w:vAlign w:val="center"/>
          </w:tcPr>
          <w:p>
            <w:pPr>
              <w:pStyle w:val="62"/>
              <w:snapToGrid w:val="0"/>
              <w:spacing w:afterLines="0" w:line="240" w:lineRule="auto"/>
              <w:jc w:val="center"/>
              <w:rPr>
                <w:rFonts w:hint="default"/>
                <w:b w:val="0"/>
                <w:color w:val="auto"/>
                <w:sz w:val="18"/>
                <w:szCs w:val="18"/>
                <w:highlight w:val="none"/>
                <w:vertAlign w:val="baseline"/>
                <w:lang w:val="en-US" w:eastAsia="zh-CN"/>
              </w:rPr>
            </w:pPr>
            <w:r>
              <w:rPr>
                <w:rFonts w:hint="eastAsia"/>
                <w:b w:val="0"/>
                <w:color w:val="auto"/>
                <w:sz w:val="18"/>
                <w:szCs w:val="18"/>
                <w:highlight w:val="none"/>
                <w:vertAlign w:val="baseline"/>
                <w:lang w:val="en-US" w:eastAsia="zh-CN"/>
              </w:rPr>
              <w:t>CNNC/NPIC</w:t>
            </w:r>
          </w:p>
        </w:tc>
        <w:tc>
          <w:tcPr>
            <w:tcW w:w="991" w:type="pct"/>
            <w:tcBorders>
              <w:top w:val="single" w:color="auto" w:sz="4" w:space="0"/>
              <w:tl2br w:val="nil"/>
              <w:tr2bl w:val="nil"/>
            </w:tcBorders>
            <w:noWrap w:val="0"/>
            <w:vAlign w:val="center"/>
          </w:tcPr>
          <w:p>
            <w:pPr>
              <w:pStyle w:val="62"/>
              <w:snapToGrid w:val="0"/>
              <w:spacing w:afterLines="0" w:line="240" w:lineRule="auto"/>
              <w:jc w:val="center"/>
              <w:rPr>
                <w:rFonts w:hint="default"/>
                <w:b w:val="0"/>
                <w:color w:val="auto"/>
                <w:sz w:val="18"/>
                <w:szCs w:val="18"/>
                <w:highlight w:val="none"/>
                <w:vertAlign w:val="baseline"/>
                <w:lang w:val="en-US" w:eastAsia="zh-CN"/>
              </w:rPr>
            </w:pPr>
            <w:r>
              <w:rPr>
                <w:rFonts w:hint="eastAsia"/>
                <w:b w:val="0"/>
                <w:color w:val="auto"/>
                <w:sz w:val="18"/>
                <w:szCs w:val="18"/>
                <w:highlight w:val="none"/>
                <w:vertAlign w:val="baseline"/>
                <w:lang w:val="en-US" w:eastAsia="zh-CN"/>
              </w:rPr>
              <w:t>Under Construction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jc w:val="center"/>
        </w:trPr>
        <w:tc>
          <w:tcPr>
            <w:tcW w:w="553" w:type="pct"/>
            <w:tcBorders>
              <w:tl2br w:val="nil"/>
              <w:tr2bl w:val="nil"/>
            </w:tcBorders>
            <w:noWrap w:val="0"/>
            <w:vAlign w:val="center"/>
          </w:tcPr>
          <w:p>
            <w:pPr>
              <w:pStyle w:val="62"/>
              <w:snapToGrid w:val="0"/>
              <w:spacing w:afterLines="0" w:line="240" w:lineRule="auto"/>
              <w:jc w:val="center"/>
              <w:rPr>
                <w:rFonts w:hint="default"/>
                <w:b w:val="0"/>
                <w:color w:val="auto"/>
                <w:sz w:val="18"/>
                <w:szCs w:val="18"/>
                <w:highlight w:val="none"/>
                <w:vertAlign w:val="baseline"/>
                <w:lang w:val="en-US" w:eastAsia="zh-CN"/>
              </w:rPr>
            </w:pPr>
            <w:r>
              <w:rPr>
                <w:rFonts w:hint="eastAsia"/>
                <w:b w:val="0"/>
                <w:color w:val="auto"/>
                <w:sz w:val="18"/>
                <w:szCs w:val="18"/>
                <w:highlight w:val="none"/>
                <w:vertAlign w:val="baseline"/>
                <w:lang w:val="en-US" w:eastAsia="zh-CN"/>
              </w:rPr>
              <w:t>2</w:t>
            </w:r>
          </w:p>
        </w:tc>
        <w:tc>
          <w:tcPr>
            <w:tcW w:w="800" w:type="pct"/>
            <w:tcBorders>
              <w:tl2br w:val="nil"/>
              <w:tr2bl w:val="nil"/>
            </w:tcBorders>
            <w:noWrap w:val="0"/>
            <w:vAlign w:val="center"/>
          </w:tcPr>
          <w:p>
            <w:pPr>
              <w:pStyle w:val="62"/>
              <w:snapToGrid w:val="0"/>
              <w:spacing w:afterLines="0" w:line="240" w:lineRule="auto"/>
              <w:jc w:val="center"/>
              <w:rPr>
                <w:rFonts w:hint="eastAsia" w:ascii="Times New Roman" w:hAnsi="Times New Roman" w:eastAsia="宋体" w:cs="Times New Roman"/>
                <w:b w:val="0"/>
                <w:color w:val="auto"/>
                <w:kern w:val="0"/>
                <w:sz w:val="18"/>
                <w:szCs w:val="18"/>
                <w:highlight w:val="none"/>
                <w:vertAlign w:val="baseline"/>
                <w:lang w:val="en-US" w:eastAsia="zh-CN" w:bidi="ar-SA"/>
              </w:rPr>
            </w:pPr>
            <w:r>
              <w:rPr>
                <w:rFonts w:hint="eastAsia"/>
                <w:b w:val="0"/>
                <w:color w:val="auto"/>
                <w:sz w:val="18"/>
                <w:szCs w:val="18"/>
                <w:highlight w:val="none"/>
                <w:vertAlign w:val="baseline"/>
                <w:lang w:val="en-US" w:eastAsia="zh-CN"/>
              </w:rPr>
              <w:t>ACP100S</w:t>
            </w:r>
          </w:p>
        </w:tc>
        <w:tc>
          <w:tcPr>
            <w:tcW w:w="929" w:type="pct"/>
            <w:tcBorders>
              <w:tl2br w:val="nil"/>
              <w:tr2bl w:val="nil"/>
            </w:tcBorders>
            <w:noWrap w:val="0"/>
            <w:vAlign w:val="center"/>
          </w:tcPr>
          <w:p>
            <w:pPr>
              <w:keepNext w:val="0"/>
              <w:keepLines w:val="0"/>
              <w:widowControl/>
              <w:suppressLineNumbers w:val="0"/>
              <w:spacing w:line="240" w:lineRule="auto"/>
              <w:jc w:val="center"/>
              <w:rPr>
                <w:rFonts w:hint="eastAsia" w:ascii="Times New Roman" w:hAnsi="Times New Roman" w:eastAsia="宋体" w:cs="Times New Roman"/>
                <w:b w:val="0"/>
                <w:color w:val="auto"/>
                <w:kern w:val="0"/>
                <w:sz w:val="18"/>
                <w:szCs w:val="18"/>
                <w:highlight w:val="none"/>
                <w:vertAlign w:val="baseline"/>
                <w:lang w:val="en-US" w:eastAsia="zh-CN" w:bidi="ar-SA"/>
              </w:rPr>
            </w:pPr>
            <w:r>
              <w:rPr>
                <w:rFonts w:hint="eastAsia" w:ascii="Times New Roman" w:hAnsi="Times New Roman" w:eastAsia="宋体" w:cs="Times New Roman"/>
                <w:b w:val="0"/>
                <w:color w:val="auto"/>
                <w:kern w:val="0"/>
                <w:sz w:val="18"/>
                <w:szCs w:val="18"/>
                <w:highlight w:val="none"/>
                <w:vertAlign w:val="baseline"/>
                <w:lang w:val="en-US" w:eastAsia="zh-CN" w:bidi="ar-SA"/>
              </w:rPr>
              <w:t>Integral</w:t>
            </w:r>
            <w:r>
              <w:rPr>
                <w:rFonts w:hint="eastAsia" w:eastAsia="宋体" w:cs="Times New Roman"/>
                <w:b w:val="0"/>
                <w:color w:val="auto"/>
                <w:kern w:val="0"/>
                <w:sz w:val="18"/>
                <w:szCs w:val="18"/>
                <w:highlight w:val="none"/>
                <w:vertAlign w:val="baseline"/>
                <w:lang w:val="en-US" w:eastAsia="zh-CN" w:bidi="ar-SA"/>
              </w:rPr>
              <w:t xml:space="preserve"> </w:t>
            </w:r>
            <w:r>
              <w:rPr>
                <w:rFonts w:hint="default" w:ascii="Times New Roman" w:hAnsi="Times New Roman" w:eastAsia="宋体" w:cs="Times New Roman"/>
                <w:b w:val="0"/>
                <w:color w:val="auto"/>
                <w:kern w:val="0"/>
                <w:sz w:val="18"/>
                <w:szCs w:val="18"/>
                <w:highlight w:val="none"/>
                <w:vertAlign w:val="baseline"/>
                <w:lang w:val="en-US" w:eastAsia="zh-CN" w:bidi="ar-SA"/>
              </w:rPr>
              <w:t>PWR</w:t>
            </w:r>
          </w:p>
        </w:tc>
        <w:tc>
          <w:tcPr>
            <w:tcW w:w="854" w:type="pct"/>
            <w:tcBorders>
              <w:tl2br w:val="nil"/>
              <w:tr2bl w:val="nil"/>
            </w:tcBorders>
            <w:noWrap w:val="0"/>
            <w:vAlign w:val="center"/>
          </w:tcPr>
          <w:p>
            <w:pPr>
              <w:pStyle w:val="62"/>
              <w:snapToGrid w:val="0"/>
              <w:spacing w:afterLines="0" w:line="240" w:lineRule="auto"/>
              <w:jc w:val="center"/>
              <w:rPr>
                <w:rFonts w:hint="eastAsia" w:ascii="Times New Roman" w:hAnsi="Times New Roman" w:eastAsia="宋体" w:cs="Times New Roman"/>
                <w:b w:val="0"/>
                <w:color w:val="auto"/>
                <w:kern w:val="0"/>
                <w:sz w:val="18"/>
                <w:szCs w:val="18"/>
                <w:highlight w:val="none"/>
                <w:vertAlign w:val="baseline"/>
                <w:lang w:val="en-US" w:eastAsia="zh-CN" w:bidi="ar-SA"/>
              </w:rPr>
            </w:pPr>
            <w:r>
              <w:rPr>
                <w:rFonts w:hint="eastAsia"/>
                <w:b w:val="0"/>
                <w:color w:val="auto"/>
                <w:sz w:val="18"/>
                <w:szCs w:val="18"/>
                <w:highlight w:val="none"/>
                <w:vertAlign w:val="baseline"/>
                <w:lang w:val="en-US" w:eastAsia="zh-CN"/>
              </w:rPr>
              <w:t>125</w:t>
            </w:r>
          </w:p>
        </w:tc>
        <w:tc>
          <w:tcPr>
            <w:tcW w:w="870" w:type="pct"/>
            <w:tcBorders>
              <w:tl2br w:val="nil"/>
              <w:tr2bl w:val="nil"/>
            </w:tcBorders>
            <w:noWrap w:val="0"/>
            <w:vAlign w:val="center"/>
          </w:tcPr>
          <w:p>
            <w:pPr>
              <w:keepNext w:val="0"/>
              <w:keepLines w:val="0"/>
              <w:widowControl/>
              <w:suppressLineNumbers w:val="0"/>
              <w:spacing w:line="240" w:lineRule="auto"/>
              <w:jc w:val="center"/>
              <w:rPr>
                <w:rFonts w:hint="eastAsia" w:ascii="Times New Roman" w:hAnsi="Times New Roman" w:eastAsia="宋体" w:cs="Times New Roman"/>
                <w:b w:val="0"/>
                <w:color w:val="auto"/>
                <w:kern w:val="0"/>
                <w:sz w:val="18"/>
                <w:szCs w:val="18"/>
                <w:highlight w:val="none"/>
                <w:vertAlign w:val="baseline"/>
                <w:lang w:val="en-US" w:eastAsia="zh-CN" w:bidi="ar-SA"/>
              </w:rPr>
            </w:pPr>
            <w:r>
              <w:rPr>
                <w:rFonts w:hint="eastAsia"/>
                <w:b w:val="0"/>
                <w:color w:val="auto"/>
                <w:sz w:val="18"/>
                <w:szCs w:val="18"/>
                <w:highlight w:val="none"/>
                <w:vertAlign w:val="baseline"/>
                <w:lang w:val="en-US" w:eastAsia="zh-CN"/>
              </w:rPr>
              <w:t>CNNC/NPIC</w:t>
            </w:r>
          </w:p>
        </w:tc>
        <w:tc>
          <w:tcPr>
            <w:tcW w:w="991" w:type="pct"/>
            <w:tcBorders>
              <w:tl2br w:val="nil"/>
              <w:tr2bl w:val="nil"/>
            </w:tcBorders>
            <w:noWrap w:val="0"/>
            <w:vAlign w:val="center"/>
          </w:tcPr>
          <w:p>
            <w:pPr>
              <w:keepNext w:val="0"/>
              <w:keepLines w:val="0"/>
              <w:widowControl/>
              <w:suppressLineNumbers w:val="0"/>
              <w:spacing w:line="240" w:lineRule="auto"/>
              <w:jc w:val="center"/>
              <w:rPr>
                <w:rFonts w:hint="eastAsia" w:ascii="Times New Roman" w:hAnsi="Times New Roman" w:eastAsia="宋体" w:cs="Times New Roman"/>
                <w:b w:val="0"/>
                <w:color w:val="auto"/>
                <w:kern w:val="0"/>
                <w:sz w:val="18"/>
                <w:szCs w:val="18"/>
                <w:highlight w:val="none"/>
                <w:vertAlign w:val="baseline"/>
                <w:lang w:val="en-US" w:eastAsia="zh-CN" w:bidi="ar-SA"/>
              </w:rPr>
            </w:pPr>
            <w:r>
              <w:rPr>
                <w:rFonts w:hint="eastAsia" w:ascii="Times New Roman" w:hAnsi="Times New Roman" w:cs="Times New Roman"/>
                <w:b w:val="0"/>
                <w:color w:val="auto"/>
                <w:kern w:val="0"/>
                <w:sz w:val="18"/>
                <w:szCs w:val="18"/>
                <w:highlight w:val="none"/>
                <w:vertAlign w:val="baseline"/>
                <w:lang w:val="en-US" w:eastAsia="zh-CN" w:bidi="ar-SA"/>
              </w:rPr>
              <w:t>Basic Design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553" w:type="pct"/>
            <w:tcBorders>
              <w:tl2br w:val="nil"/>
              <w:tr2bl w:val="nil"/>
            </w:tcBorders>
            <w:noWrap w:val="0"/>
            <w:vAlign w:val="center"/>
          </w:tcPr>
          <w:p>
            <w:pPr>
              <w:pStyle w:val="62"/>
              <w:snapToGrid w:val="0"/>
              <w:spacing w:afterLines="0" w:line="240" w:lineRule="auto"/>
              <w:jc w:val="center"/>
              <w:rPr>
                <w:rFonts w:hint="default"/>
                <w:b w:val="0"/>
                <w:color w:val="auto"/>
                <w:sz w:val="18"/>
                <w:szCs w:val="18"/>
                <w:highlight w:val="none"/>
                <w:vertAlign w:val="baseline"/>
                <w:lang w:val="en-US" w:eastAsia="zh-CN"/>
              </w:rPr>
            </w:pPr>
            <w:r>
              <w:rPr>
                <w:rFonts w:hint="eastAsia"/>
                <w:b w:val="0"/>
                <w:color w:val="auto"/>
                <w:sz w:val="18"/>
                <w:szCs w:val="18"/>
                <w:highlight w:val="none"/>
                <w:vertAlign w:val="baseline"/>
                <w:lang w:val="en-US" w:eastAsia="zh-CN"/>
              </w:rPr>
              <w:t>3</w:t>
            </w:r>
          </w:p>
        </w:tc>
        <w:tc>
          <w:tcPr>
            <w:tcW w:w="800" w:type="pct"/>
            <w:tcBorders>
              <w:tl2br w:val="nil"/>
              <w:tr2bl w:val="nil"/>
            </w:tcBorders>
            <w:noWrap w:val="0"/>
            <w:vAlign w:val="center"/>
          </w:tcPr>
          <w:p>
            <w:pPr>
              <w:pStyle w:val="62"/>
              <w:snapToGrid w:val="0"/>
              <w:spacing w:afterLines="0" w:line="240" w:lineRule="auto"/>
              <w:jc w:val="center"/>
              <w:rPr>
                <w:rFonts w:hint="default"/>
                <w:b w:val="0"/>
                <w:color w:val="auto"/>
                <w:sz w:val="18"/>
                <w:szCs w:val="18"/>
                <w:highlight w:val="none"/>
                <w:vertAlign w:val="baseline"/>
                <w:lang w:val="en-US" w:eastAsia="zh-CN"/>
              </w:rPr>
            </w:pPr>
            <w:r>
              <w:rPr>
                <w:rFonts w:hint="eastAsia"/>
                <w:b w:val="0"/>
                <w:color w:val="auto"/>
                <w:sz w:val="18"/>
                <w:szCs w:val="18"/>
                <w:highlight w:val="none"/>
                <w:vertAlign w:val="baseline"/>
                <w:lang w:val="en-US" w:eastAsia="zh-CN"/>
              </w:rPr>
              <w:t>CAP200</w:t>
            </w:r>
          </w:p>
        </w:tc>
        <w:tc>
          <w:tcPr>
            <w:tcW w:w="929" w:type="pct"/>
            <w:tcBorders>
              <w:tl2br w:val="nil"/>
              <w:tr2bl w:val="nil"/>
            </w:tcBorders>
            <w:noWrap w:val="0"/>
            <w:vAlign w:val="center"/>
          </w:tcPr>
          <w:p>
            <w:pPr>
              <w:keepNext w:val="0"/>
              <w:keepLines w:val="0"/>
              <w:widowControl/>
              <w:suppressLineNumbers w:val="0"/>
              <w:spacing w:line="240" w:lineRule="auto"/>
              <w:jc w:val="center"/>
              <w:rPr>
                <w:rFonts w:hint="eastAsia"/>
                <w:b w:val="0"/>
                <w:color w:val="auto"/>
                <w:sz w:val="18"/>
                <w:szCs w:val="18"/>
                <w:highlight w:val="none"/>
                <w:vertAlign w:val="baseline"/>
                <w:lang w:val="en-US" w:eastAsia="zh-CN"/>
              </w:rPr>
            </w:pPr>
            <w:r>
              <w:rPr>
                <w:rFonts w:hint="eastAsia" w:ascii="Times New Roman" w:hAnsi="Times New Roman" w:cs="Times New Roman"/>
                <w:b w:val="0"/>
                <w:color w:val="auto"/>
                <w:kern w:val="0"/>
                <w:sz w:val="18"/>
                <w:szCs w:val="18"/>
                <w:highlight w:val="none"/>
                <w:vertAlign w:val="baseline"/>
                <w:lang w:val="en-US" w:eastAsia="zh-CN" w:bidi="ar-SA"/>
              </w:rPr>
              <w:t>Compact</w:t>
            </w:r>
            <w:r>
              <w:rPr>
                <w:rFonts w:hint="eastAsia" w:cs="Times New Roman"/>
                <w:b w:val="0"/>
                <w:color w:val="auto"/>
                <w:kern w:val="0"/>
                <w:sz w:val="18"/>
                <w:szCs w:val="18"/>
                <w:highlight w:val="none"/>
                <w:vertAlign w:val="baseline"/>
                <w:lang w:val="en-US" w:eastAsia="zh-CN" w:bidi="ar-SA"/>
              </w:rPr>
              <w:t xml:space="preserve"> </w:t>
            </w:r>
            <w:r>
              <w:rPr>
                <w:rFonts w:hint="default" w:ascii="Times New Roman" w:hAnsi="Times New Roman" w:eastAsia="宋体" w:cs="Times New Roman"/>
                <w:b w:val="0"/>
                <w:color w:val="auto"/>
                <w:kern w:val="0"/>
                <w:sz w:val="18"/>
                <w:szCs w:val="18"/>
                <w:highlight w:val="none"/>
                <w:vertAlign w:val="baseline"/>
                <w:lang w:val="en-US" w:eastAsia="zh-CN" w:bidi="ar-SA"/>
              </w:rPr>
              <w:t>PWR</w:t>
            </w:r>
          </w:p>
        </w:tc>
        <w:tc>
          <w:tcPr>
            <w:tcW w:w="854" w:type="pct"/>
            <w:tcBorders>
              <w:tl2br w:val="nil"/>
              <w:tr2bl w:val="nil"/>
            </w:tcBorders>
            <w:noWrap w:val="0"/>
            <w:vAlign w:val="center"/>
          </w:tcPr>
          <w:p>
            <w:pPr>
              <w:pStyle w:val="62"/>
              <w:snapToGrid w:val="0"/>
              <w:spacing w:afterLines="0" w:line="240" w:lineRule="auto"/>
              <w:jc w:val="center"/>
              <w:rPr>
                <w:rFonts w:hint="default"/>
                <w:b w:val="0"/>
                <w:color w:val="auto"/>
                <w:sz w:val="18"/>
                <w:szCs w:val="18"/>
                <w:highlight w:val="none"/>
                <w:vertAlign w:val="baseline"/>
                <w:lang w:val="en-US" w:eastAsia="zh-CN"/>
              </w:rPr>
            </w:pPr>
            <w:r>
              <w:rPr>
                <w:rFonts w:hint="eastAsia"/>
                <w:b w:val="0"/>
                <w:color w:val="auto"/>
                <w:sz w:val="18"/>
                <w:szCs w:val="18"/>
                <w:highlight w:val="none"/>
                <w:vertAlign w:val="baseline"/>
                <w:lang w:val="en-US" w:eastAsia="zh-CN"/>
              </w:rPr>
              <w:t>＞200</w:t>
            </w:r>
          </w:p>
        </w:tc>
        <w:tc>
          <w:tcPr>
            <w:tcW w:w="870" w:type="pct"/>
            <w:tcBorders>
              <w:tl2br w:val="nil"/>
              <w:tr2bl w:val="nil"/>
            </w:tcBorders>
            <w:noWrap w:val="0"/>
            <w:vAlign w:val="center"/>
          </w:tcPr>
          <w:p>
            <w:pPr>
              <w:pStyle w:val="62"/>
              <w:snapToGrid w:val="0"/>
              <w:spacing w:afterLines="0" w:line="240" w:lineRule="auto"/>
              <w:jc w:val="center"/>
              <w:rPr>
                <w:rFonts w:hint="default"/>
                <w:b w:val="0"/>
                <w:color w:val="auto"/>
                <w:sz w:val="18"/>
                <w:szCs w:val="18"/>
                <w:highlight w:val="none"/>
                <w:vertAlign w:val="baseline"/>
                <w:lang w:val="en-US" w:eastAsia="zh-CN"/>
              </w:rPr>
            </w:pPr>
            <w:r>
              <w:rPr>
                <w:rFonts w:hint="eastAsia"/>
                <w:b w:val="0"/>
                <w:color w:val="auto"/>
                <w:sz w:val="18"/>
                <w:szCs w:val="18"/>
                <w:highlight w:val="none"/>
                <w:vertAlign w:val="baseline"/>
                <w:lang w:val="en-US" w:eastAsia="zh-CN"/>
              </w:rPr>
              <w:t>SPIC/SNERDI</w:t>
            </w:r>
          </w:p>
        </w:tc>
        <w:tc>
          <w:tcPr>
            <w:tcW w:w="991" w:type="pct"/>
            <w:tcBorders>
              <w:tl2br w:val="nil"/>
              <w:tr2bl w:val="nil"/>
            </w:tcBorders>
            <w:noWrap w:val="0"/>
            <w:vAlign w:val="center"/>
          </w:tcPr>
          <w:p>
            <w:pPr>
              <w:keepNext w:val="0"/>
              <w:keepLines w:val="0"/>
              <w:widowControl/>
              <w:suppressLineNumbers w:val="0"/>
              <w:spacing w:line="240" w:lineRule="auto"/>
              <w:jc w:val="center"/>
              <w:rPr>
                <w:rFonts w:hint="eastAsia"/>
                <w:b w:val="0"/>
                <w:color w:val="auto"/>
                <w:sz w:val="18"/>
                <w:szCs w:val="18"/>
                <w:highlight w:val="none"/>
                <w:vertAlign w:val="baseline"/>
                <w:lang w:val="en-US" w:eastAsia="zh-CN"/>
              </w:rPr>
            </w:pPr>
            <w:r>
              <w:rPr>
                <w:rFonts w:hint="eastAsia" w:ascii="Times New Roman" w:hAnsi="Times New Roman" w:cs="Times New Roman"/>
                <w:b w:val="0"/>
                <w:color w:val="auto"/>
                <w:kern w:val="0"/>
                <w:sz w:val="18"/>
                <w:szCs w:val="18"/>
                <w:highlight w:val="none"/>
                <w:vertAlign w:val="baseline"/>
                <w:lang w:val="en-US" w:eastAsia="zh-CN" w:bidi="ar-SA"/>
              </w:rPr>
              <w:t xml:space="preserve">Basic </w:t>
            </w:r>
            <w:r>
              <w:rPr>
                <w:rFonts w:hint="eastAsia" w:ascii="Times New Roman" w:hAnsi="Times New Roman" w:eastAsia="宋体" w:cs="Times New Roman"/>
                <w:b w:val="0"/>
                <w:color w:val="auto"/>
                <w:kern w:val="0"/>
                <w:sz w:val="18"/>
                <w:szCs w:val="18"/>
                <w:highlight w:val="none"/>
                <w:vertAlign w:val="baseline"/>
                <w:lang w:val="en-US" w:eastAsia="zh-CN" w:bidi="ar-SA"/>
              </w:rPr>
              <w:t>Design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jc w:val="center"/>
        </w:trPr>
        <w:tc>
          <w:tcPr>
            <w:tcW w:w="553" w:type="pct"/>
            <w:tcBorders>
              <w:tl2br w:val="nil"/>
              <w:tr2bl w:val="nil"/>
            </w:tcBorders>
            <w:noWrap w:val="0"/>
            <w:vAlign w:val="center"/>
          </w:tcPr>
          <w:p>
            <w:pPr>
              <w:pStyle w:val="62"/>
              <w:snapToGrid w:val="0"/>
              <w:spacing w:afterLines="0" w:line="240" w:lineRule="auto"/>
              <w:jc w:val="center"/>
              <w:rPr>
                <w:rFonts w:hint="default"/>
                <w:b w:val="0"/>
                <w:color w:val="auto"/>
                <w:sz w:val="18"/>
                <w:szCs w:val="18"/>
                <w:highlight w:val="none"/>
                <w:vertAlign w:val="baseline"/>
                <w:lang w:val="en-US" w:eastAsia="zh-CN"/>
              </w:rPr>
            </w:pPr>
            <w:r>
              <w:rPr>
                <w:rFonts w:hint="eastAsia"/>
                <w:b w:val="0"/>
                <w:color w:val="auto"/>
                <w:sz w:val="18"/>
                <w:szCs w:val="18"/>
                <w:highlight w:val="none"/>
                <w:vertAlign w:val="baseline"/>
                <w:lang w:val="en-US" w:eastAsia="zh-CN"/>
              </w:rPr>
              <w:t>4</w:t>
            </w:r>
          </w:p>
        </w:tc>
        <w:tc>
          <w:tcPr>
            <w:tcW w:w="800" w:type="pct"/>
            <w:tcBorders>
              <w:tl2br w:val="nil"/>
              <w:tr2bl w:val="nil"/>
            </w:tcBorders>
            <w:noWrap w:val="0"/>
            <w:vAlign w:val="center"/>
          </w:tcPr>
          <w:p>
            <w:pPr>
              <w:pStyle w:val="62"/>
              <w:snapToGrid w:val="0"/>
              <w:spacing w:afterLines="0" w:line="240" w:lineRule="auto"/>
              <w:jc w:val="center"/>
              <w:rPr>
                <w:rFonts w:hint="default"/>
                <w:b w:val="0"/>
                <w:color w:val="auto"/>
                <w:sz w:val="18"/>
                <w:szCs w:val="18"/>
                <w:highlight w:val="none"/>
                <w:vertAlign w:val="baseline"/>
                <w:lang w:val="en-US" w:eastAsia="zh-CN"/>
              </w:rPr>
            </w:pPr>
            <w:r>
              <w:rPr>
                <w:rFonts w:hint="eastAsia"/>
                <w:b w:val="0"/>
                <w:color w:val="auto"/>
                <w:sz w:val="18"/>
                <w:szCs w:val="18"/>
                <w:highlight w:val="none"/>
                <w:vertAlign w:val="baseline"/>
                <w:lang w:val="en-US" w:eastAsia="zh-CN"/>
              </w:rPr>
              <w:t>DHR 400</w:t>
            </w:r>
          </w:p>
        </w:tc>
        <w:tc>
          <w:tcPr>
            <w:tcW w:w="929" w:type="pct"/>
            <w:tcBorders>
              <w:tl2br w:val="nil"/>
              <w:tr2bl w:val="nil"/>
            </w:tcBorders>
            <w:noWrap w:val="0"/>
            <w:vAlign w:val="center"/>
          </w:tcPr>
          <w:p>
            <w:pPr>
              <w:pStyle w:val="62"/>
              <w:snapToGrid w:val="0"/>
              <w:spacing w:afterLines="0" w:line="240" w:lineRule="auto"/>
              <w:jc w:val="center"/>
              <w:rPr>
                <w:rFonts w:hint="default" w:ascii="Times New Roman" w:hAnsi="Times New Roman" w:eastAsia="宋体" w:cs="Times New Roman"/>
                <w:b w:val="0"/>
                <w:color w:val="auto"/>
                <w:kern w:val="0"/>
                <w:sz w:val="18"/>
                <w:szCs w:val="18"/>
                <w:highlight w:val="none"/>
                <w:vertAlign w:val="baseline"/>
                <w:lang w:val="en-US" w:eastAsia="zh-CN" w:bidi="ar-SA"/>
              </w:rPr>
            </w:pPr>
            <w:r>
              <w:rPr>
                <w:rFonts w:hint="eastAsia"/>
                <w:b w:val="0"/>
                <w:color w:val="auto"/>
                <w:sz w:val="18"/>
                <w:szCs w:val="18"/>
                <w:highlight w:val="none"/>
                <w:vertAlign w:val="baseline"/>
                <w:lang w:val="en-US" w:eastAsia="zh-CN"/>
              </w:rPr>
              <w:t>Pool-type</w:t>
            </w:r>
          </w:p>
        </w:tc>
        <w:tc>
          <w:tcPr>
            <w:tcW w:w="854" w:type="pct"/>
            <w:tcBorders>
              <w:tl2br w:val="nil"/>
              <w:tr2bl w:val="nil"/>
            </w:tcBorders>
            <w:noWrap w:val="0"/>
            <w:vAlign w:val="center"/>
          </w:tcPr>
          <w:p>
            <w:pPr>
              <w:pStyle w:val="62"/>
              <w:snapToGrid w:val="0"/>
              <w:spacing w:afterLines="0" w:line="240" w:lineRule="auto"/>
              <w:jc w:val="center"/>
              <w:rPr>
                <w:rFonts w:hint="eastAsia" w:ascii="Times New Roman" w:hAnsi="Times New Roman" w:eastAsia="宋体" w:cs="Times New Roman"/>
                <w:b w:val="0"/>
                <w:color w:val="auto"/>
                <w:kern w:val="0"/>
                <w:sz w:val="18"/>
                <w:szCs w:val="18"/>
                <w:highlight w:val="none"/>
                <w:vertAlign w:val="baseline"/>
                <w:lang w:val="en-US" w:eastAsia="zh-CN" w:bidi="ar-SA"/>
              </w:rPr>
            </w:pPr>
            <w:r>
              <w:rPr>
                <w:rFonts w:hint="eastAsia"/>
                <w:b w:val="0"/>
                <w:color w:val="auto"/>
                <w:sz w:val="18"/>
                <w:szCs w:val="18"/>
                <w:highlight w:val="none"/>
                <w:vertAlign w:val="baseline"/>
                <w:lang w:val="en-US" w:eastAsia="zh-CN"/>
              </w:rPr>
              <w:t>400 MWt</w:t>
            </w:r>
          </w:p>
        </w:tc>
        <w:tc>
          <w:tcPr>
            <w:tcW w:w="870" w:type="pct"/>
            <w:tcBorders>
              <w:tl2br w:val="nil"/>
              <w:tr2bl w:val="nil"/>
            </w:tcBorders>
            <w:noWrap w:val="0"/>
            <w:vAlign w:val="center"/>
          </w:tcPr>
          <w:p>
            <w:pPr>
              <w:pStyle w:val="62"/>
              <w:snapToGrid w:val="0"/>
              <w:spacing w:afterLines="0" w:line="240" w:lineRule="auto"/>
              <w:jc w:val="center"/>
              <w:rPr>
                <w:rFonts w:hint="eastAsia" w:ascii="Times New Roman" w:hAnsi="Times New Roman" w:eastAsia="宋体" w:cs="Times New Roman"/>
                <w:b w:val="0"/>
                <w:color w:val="auto"/>
                <w:kern w:val="0"/>
                <w:sz w:val="18"/>
                <w:szCs w:val="18"/>
                <w:highlight w:val="none"/>
                <w:vertAlign w:val="baseline"/>
                <w:lang w:val="en-US" w:eastAsia="zh-CN" w:bidi="ar-SA"/>
              </w:rPr>
            </w:pPr>
            <w:r>
              <w:rPr>
                <w:rFonts w:hint="eastAsia"/>
                <w:b w:val="0"/>
                <w:color w:val="auto"/>
                <w:sz w:val="18"/>
                <w:szCs w:val="18"/>
                <w:highlight w:val="none"/>
                <w:vertAlign w:val="baseline"/>
                <w:lang w:val="en-US" w:eastAsia="zh-CN"/>
              </w:rPr>
              <w:t>CNNC</w:t>
            </w:r>
          </w:p>
        </w:tc>
        <w:tc>
          <w:tcPr>
            <w:tcW w:w="991" w:type="pct"/>
            <w:tcBorders>
              <w:tl2br w:val="nil"/>
              <w:tr2bl w:val="nil"/>
            </w:tcBorders>
            <w:noWrap w:val="0"/>
            <w:vAlign w:val="center"/>
          </w:tcPr>
          <w:p>
            <w:pPr>
              <w:pStyle w:val="62"/>
              <w:snapToGrid w:val="0"/>
              <w:spacing w:afterLines="0" w:line="240" w:lineRule="auto"/>
              <w:jc w:val="center"/>
              <w:rPr>
                <w:rFonts w:hint="eastAsia" w:ascii="Times New Roman" w:hAnsi="Times New Roman" w:eastAsia="宋体" w:cs="Times New Roman"/>
                <w:b w:val="0"/>
                <w:color w:val="auto"/>
                <w:kern w:val="0"/>
                <w:sz w:val="18"/>
                <w:szCs w:val="18"/>
                <w:highlight w:val="none"/>
                <w:vertAlign w:val="baseline"/>
                <w:lang w:val="en-US" w:eastAsia="zh-CN" w:bidi="ar-SA"/>
              </w:rPr>
            </w:pPr>
            <w:r>
              <w:rPr>
                <w:rFonts w:hint="eastAsia"/>
                <w:b w:val="0"/>
                <w:color w:val="auto"/>
                <w:sz w:val="18"/>
                <w:szCs w:val="18"/>
                <w:highlight w:val="none"/>
                <w:vertAlign w:val="baseline"/>
                <w:lang w:val="en-US" w:eastAsia="zh-CN"/>
              </w:rPr>
              <w:t>Basic Design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jc w:val="center"/>
        </w:trPr>
        <w:tc>
          <w:tcPr>
            <w:tcW w:w="553" w:type="pct"/>
            <w:tcBorders>
              <w:tl2br w:val="nil"/>
              <w:tr2bl w:val="nil"/>
            </w:tcBorders>
            <w:noWrap w:val="0"/>
            <w:vAlign w:val="center"/>
          </w:tcPr>
          <w:p>
            <w:pPr>
              <w:pStyle w:val="62"/>
              <w:snapToGrid w:val="0"/>
              <w:spacing w:afterLines="0" w:line="240" w:lineRule="auto"/>
              <w:jc w:val="center"/>
              <w:rPr>
                <w:rFonts w:hint="default"/>
                <w:b w:val="0"/>
                <w:color w:val="auto"/>
                <w:sz w:val="18"/>
                <w:szCs w:val="18"/>
                <w:highlight w:val="none"/>
                <w:vertAlign w:val="baseline"/>
                <w:lang w:val="en-US" w:eastAsia="zh-CN"/>
              </w:rPr>
            </w:pPr>
            <w:r>
              <w:rPr>
                <w:rFonts w:hint="eastAsia"/>
                <w:b w:val="0"/>
                <w:color w:val="auto"/>
                <w:sz w:val="18"/>
                <w:szCs w:val="18"/>
                <w:highlight w:val="none"/>
                <w:vertAlign w:val="baseline"/>
                <w:lang w:val="en-US" w:eastAsia="zh-CN"/>
              </w:rPr>
              <w:t>5</w:t>
            </w:r>
          </w:p>
        </w:tc>
        <w:tc>
          <w:tcPr>
            <w:tcW w:w="800" w:type="pct"/>
            <w:tcBorders>
              <w:tl2br w:val="nil"/>
              <w:tr2bl w:val="nil"/>
            </w:tcBorders>
            <w:noWrap w:val="0"/>
            <w:vAlign w:val="center"/>
          </w:tcPr>
          <w:p>
            <w:pPr>
              <w:pStyle w:val="62"/>
              <w:snapToGrid w:val="0"/>
              <w:spacing w:afterLines="0" w:line="240" w:lineRule="auto"/>
              <w:jc w:val="center"/>
              <w:rPr>
                <w:rFonts w:hint="default"/>
                <w:b w:val="0"/>
                <w:color w:val="auto"/>
                <w:sz w:val="18"/>
                <w:szCs w:val="18"/>
                <w:highlight w:val="none"/>
                <w:vertAlign w:val="baseline"/>
                <w:lang w:val="en-US" w:eastAsia="zh-CN"/>
              </w:rPr>
            </w:pPr>
            <w:r>
              <w:rPr>
                <w:rFonts w:hint="eastAsia"/>
                <w:b w:val="0"/>
                <w:color w:val="auto"/>
                <w:sz w:val="18"/>
                <w:szCs w:val="18"/>
                <w:highlight w:val="none"/>
                <w:vertAlign w:val="baseline"/>
                <w:lang w:val="en-US" w:eastAsia="zh-CN"/>
              </w:rPr>
              <w:t>HAPPY200</w:t>
            </w:r>
          </w:p>
        </w:tc>
        <w:tc>
          <w:tcPr>
            <w:tcW w:w="929" w:type="pct"/>
            <w:tcBorders>
              <w:tl2br w:val="nil"/>
              <w:tr2bl w:val="nil"/>
            </w:tcBorders>
            <w:noWrap w:val="0"/>
            <w:vAlign w:val="center"/>
          </w:tcPr>
          <w:p>
            <w:pPr>
              <w:pStyle w:val="62"/>
              <w:snapToGrid w:val="0"/>
              <w:spacing w:afterLines="0" w:line="240" w:lineRule="auto"/>
              <w:jc w:val="center"/>
              <w:rPr>
                <w:rFonts w:hint="default" w:ascii="Times New Roman" w:hAnsi="Times New Roman" w:eastAsia="宋体" w:cs="Times New Roman"/>
                <w:b w:val="0"/>
                <w:color w:val="auto"/>
                <w:kern w:val="0"/>
                <w:sz w:val="18"/>
                <w:szCs w:val="18"/>
                <w:highlight w:val="none"/>
                <w:vertAlign w:val="baseline"/>
                <w:lang w:val="en-US" w:eastAsia="zh-CN" w:bidi="ar-SA"/>
              </w:rPr>
            </w:pPr>
            <w:r>
              <w:rPr>
                <w:rFonts w:hint="eastAsia" w:cs="Times New Roman"/>
                <w:b w:val="0"/>
                <w:color w:val="auto"/>
                <w:kern w:val="0"/>
                <w:sz w:val="18"/>
                <w:szCs w:val="18"/>
                <w:highlight w:val="none"/>
                <w:vertAlign w:val="baseline"/>
                <w:lang w:val="en-US" w:eastAsia="zh-CN" w:bidi="ar-SA"/>
              </w:rPr>
              <w:t>PWR</w:t>
            </w:r>
          </w:p>
        </w:tc>
        <w:tc>
          <w:tcPr>
            <w:tcW w:w="854" w:type="pct"/>
            <w:tcBorders>
              <w:tl2br w:val="nil"/>
              <w:tr2bl w:val="nil"/>
            </w:tcBorders>
            <w:noWrap w:val="0"/>
            <w:vAlign w:val="center"/>
          </w:tcPr>
          <w:p>
            <w:pPr>
              <w:pStyle w:val="62"/>
              <w:snapToGrid w:val="0"/>
              <w:spacing w:afterLines="0" w:line="240" w:lineRule="auto"/>
              <w:jc w:val="center"/>
              <w:rPr>
                <w:rFonts w:hint="default"/>
                <w:b w:val="0"/>
                <w:color w:val="auto"/>
                <w:sz w:val="18"/>
                <w:szCs w:val="18"/>
                <w:highlight w:val="none"/>
                <w:vertAlign w:val="baseline"/>
                <w:lang w:val="en-US" w:eastAsia="zh-CN"/>
              </w:rPr>
            </w:pPr>
            <w:r>
              <w:rPr>
                <w:rFonts w:hint="eastAsia"/>
                <w:b w:val="0"/>
                <w:color w:val="auto"/>
                <w:sz w:val="18"/>
                <w:szCs w:val="18"/>
                <w:highlight w:val="none"/>
                <w:vertAlign w:val="baseline"/>
                <w:lang w:val="en-US" w:eastAsia="zh-CN"/>
              </w:rPr>
              <w:t>200MWt</w:t>
            </w:r>
          </w:p>
        </w:tc>
        <w:tc>
          <w:tcPr>
            <w:tcW w:w="870" w:type="pct"/>
            <w:tcBorders>
              <w:tl2br w:val="nil"/>
              <w:tr2bl w:val="nil"/>
            </w:tcBorders>
            <w:noWrap w:val="0"/>
            <w:vAlign w:val="center"/>
          </w:tcPr>
          <w:p>
            <w:pPr>
              <w:keepNext w:val="0"/>
              <w:keepLines w:val="0"/>
              <w:widowControl/>
              <w:suppressLineNumbers w:val="0"/>
              <w:spacing w:line="240" w:lineRule="auto"/>
              <w:jc w:val="center"/>
              <w:rPr>
                <w:rFonts w:hint="default" w:ascii="Times New Roman" w:hAnsi="Times New Roman" w:eastAsia="宋体" w:cs="Times New Roman"/>
                <w:b w:val="0"/>
                <w:color w:val="auto"/>
                <w:kern w:val="0"/>
                <w:sz w:val="18"/>
                <w:szCs w:val="18"/>
                <w:highlight w:val="none"/>
                <w:vertAlign w:val="baseline"/>
                <w:lang w:val="en-US" w:eastAsia="zh-CN" w:bidi="ar-SA"/>
              </w:rPr>
            </w:pPr>
            <w:r>
              <w:rPr>
                <w:rFonts w:hint="eastAsia" w:ascii="Times New Roman" w:hAnsi="Times New Roman" w:cs="Times New Roman"/>
                <w:b w:val="0"/>
                <w:color w:val="auto"/>
                <w:kern w:val="0"/>
                <w:sz w:val="18"/>
                <w:szCs w:val="18"/>
                <w:highlight w:val="none"/>
                <w:vertAlign w:val="baseline"/>
                <w:lang w:val="en-US" w:eastAsia="zh-CN" w:bidi="ar-SA"/>
              </w:rPr>
              <w:t>SPIC</w:t>
            </w:r>
          </w:p>
        </w:tc>
        <w:tc>
          <w:tcPr>
            <w:tcW w:w="991" w:type="pct"/>
            <w:tcBorders>
              <w:tl2br w:val="nil"/>
              <w:tr2bl w:val="nil"/>
            </w:tcBorders>
            <w:noWrap w:val="0"/>
            <w:vAlign w:val="center"/>
          </w:tcPr>
          <w:p>
            <w:pPr>
              <w:keepNext w:val="0"/>
              <w:keepLines w:val="0"/>
              <w:widowControl/>
              <w:suppressLineNumbers w:val="0"/>
              <w:spacing w:line="240" w:lineRule="auto"/>
              <w:jc w:val="center"/>
              <w:rPr>
                <w:rFonts w:hint="default" w:ascii="Times New Roman" w:hAnsi="Times New Roman" w:eastAsia="宋体" w:cs="Times New Roman"/>
                <w:b w:val="0"/>
                <w:color w:val="auto"/>
                <w:kern w:val="0"/>
                <w:sz w:val="18"/>
                <w:szCs w:val="18"/>
                <w:highlight w:val="none"/>
                <w:vertAlign w:val="baseline"/>
                <w:lang w:val="en-US" w:eastAsia="zh-CN" w:bidi="ar-SA"/>
              </w:rPr>
            </w:pPr>
            <w:r>
              <w:rPr>
                <w:rFonts w:hint="eastAsia" w:ascii="Times New Roman" w:hAnsi="Times New Roman" w:cs="Times New Roman"/>
                <w:b w:val="0"/>
                <w:color w:val="auto"/>
                <w:kern w:val="0"/>
                <w:sz w:val="18"/>
                <w:szCs w:val="18"/>
                <w:highlight w:val="none"/>
                <w:vertAlign w:val="baseline"/>
                <w:lang w:val="en-US" w:eastAsia="zh-CN" w:bidi="ar-SA"/>
              </w:rPr>
              <w:t>Detailed Design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553" w:type="pct"/>
            <w:tcBorders>
              <w:tl2br w:val="nil"/>
              <w:tr2bl w:val="nil"/>
            </w:tcBorders>
            <w:noWrap w:val="0"/>
            <w:vAlign w:val="center"/>
          </w:tcPr>
          <w:p>
            <w:pPr>
              <w:pStyle w:val="62"/>
              <w:snapToGrid w:val="0"/>
              <w:spacing w:afterLines="0" w:line="240" w:lineRule="auto"/>
              <w:jc w:val="center"/>
              <w:rPr>
                <w:rFonts w:hint="default"/>
                <w:b w:val="0"/>
                <w:color w:val="auto"/>
                <w:sz w:val="18"/>
                <w:szCs w:val="18"/>
                <w:highlight w:val="none"/>
                <w:vertAlign w:val="baseline"/>
                <w:lang w:val="en-US" w:eastAsia="zh-CN"/>
              </w:rPr>
            </w:pPr>
            <w:r>
              <w:rPr>
                <w:rFonts w:hint="eastAsia"/>
                <w:b w:val="0"/>
                <w:color w:val="auto"/>
                <w:sz w:val="18"/>
                <w:szCs w:val="18"/>
                <w:highlight w:val="none"/>
                <w:vertAlign w:val="baseline"/>
                <w:lang w:val="en-US" w:eastAsia="zh-CN"/>
              </w:rPr>
              <w:t>6</w:t>
            </w:r>
          </w:p>
        </w:tc>
        <w:tc>
          <w:tcPr>
            <w:tcW w:w="800" w:type="pct"/>
            <w:tcBorders>
              <w:tl2br w:val="nil"/>
              <w:tr2bl w:val="nil"/>
            </w:tcBorders>
            <w:noWrap w:val="0"/>
            <w:vAlign w:val="center"/>
          </w:tcPr>
          <w:p>
            <w:pPr>
              <w:pStyle w:val="62"/>
              <w:snapToGrid w:val="0"/>
              <w:spacing w:afterLines="0" w:line="240" w:lineRule="auto"/>
              <w:jc w:val="center"/>
              <w:rPr>
                <w:rFonts w:hint="default"/>
                <w:b w:val="0"/>
                <w:color w:val="auto"/>
                <w:sz w:val="18"/>
                <w:szCs w:val="18"/>
                <w:highlight w:val="none"/>
                <w:vertAlign w:val="baseline"/>
                <w:lang w:val="en-US" w:eastAsia="zh-CN"/>
              </w:rPr>
            </w:pPr>
            <w:r>
              <w:rPr>
                <w:rFonts w:hint="eastAsia"/>
                <w:b w:val="0"/>
                <w:color w:val="auto"/>
                <w:sz w:val="18"/>
                <w:szCs w:val="18"/>
                <w:highlight w:val="none"/>
                <w:vertAlign w:val="baseline"/>
                <w:lang w:val="en-US" w:eastAsia="zh-CN"/>
              </w:rPr>
              <w:t>NHR200-II</w:t>
            </w:r>
          </w:p>
        </w:tc>
        <w:tc>
          <w:tcPr>
            <w:tcW w:w="929" w:type="pct"/>
            <w:tcBorders>
              <w:tl2br w:val="nil"/>
              <w:tr2bl w:val="nil"/>
            </w:tcBorders>
            <w:noWrap w:val="0"/>
            <w:vAlign w:val="center"/>
          </w:tcPr>
          <w:p>
            <w:pPr>
              <w:keepNext w:val="0"/>
              <w:keepLines w:val="0"/>
              <w:widowControl/>
              <w:suppressLineNumbers w:val="0"/>
              <w:spacing w:line="240" w:lineRule="auto"/>
              <w:jc w:val="center"/>
              <w:rPr>
                <w:rFonts w:hint="eastAsia" w:ascii="Times New Roman" w:hAnsi="Times New Roman" w:eastAsia="宋体" w:cs="Times New Roman"/>
                <w:b w:val="0"/>
                <w:color w:val="auto"/>
                <w:kern w:val="0"/>
                <w:sz w:val="18"/>
                <w:szCs w:val="18"/>
                <w:highlight w:val="none"/>
                <w:vertAlign w:val="baseline"/>
                <w:lang w:val="en-US" w:eastAsia="zh-CN" w:bidi="ar-SA"/>
              </w:rPr>
            </w:pPr>
            <w:r>
              <w:rPr>
                <w:rFonts w:hint="eastAsia" w:ascii="Times New Roman" w:hAnsi="Times New Roman" w:eastAsia="宋体" w:cs="Times New Roman"/>
                <w:b w:val="0"/>
                <w:color w:val="auto"/>
                <w:kern w:val="0"/>
                <w:sz w:val="18"/>
                <w:szCs w:val="18"/>
                <w:highlight w:val="none"/>
                <w:vertAlign w:val="baseline"/>
                <w:lang w:val="en-US" w:eastAsia="zh-CN" w:bidi="ar-SA"/>
              </w:rPr>
              <w:t>Integral</w:t>
            </w:r>
            <w:r>
              <w:rPr>
                <w:rFonts w:hint="eastAsia" w:eastAsia="宋体" w:cs="Times New Roman"/>
                <w:b w:val="0"/>
                <w:color w:val="auto"/>
                <w:kern w:val="0"/>
                <w:sz w:val="18"/>
                <w:szCs w:val="18"/>
                <w:highlight w:val="none"/>
                <w:vertAlign w:val="baseline"/>
                <w:lang w:val="en-US" w:eastAsia="zh-CN" w:bidi="ar-SA"/>
              </w:rPr>
              <w:t xml:space="preserve"> </w:t>
            </w:r>
            <w:r>
              <w:rPr>
                <w:rFonts w:hint="default" w:ascii="Times New Roman" w:hAnsi="Times New Roman" w:eastAsia="宋体" w:cs="Times New Roman"/>
                <w:b w:val="0"/>
                <w:color w:val="auto"/>
                <w:kern w:val="0"/>
                <w:sz w:val="18"/>
                <w:szCs w:val="18"/>
                <w:highlight w:val="none"/>
                <w:vertAlign w:val="baseline"/>
                <w:lang w:val="en-US" w:eastAsia="zh-CN" w:bidi="ar-SA"/>
              </w:rPr>
              <w:t>PWR</w:t>
            </w:r>
          </w:p>
        </w:tc>
        <w:tc>
          <w:tcPr>
            <w:tcW w:w="854" w:type="pct"/>
            <w:tcBorders>
              <w:tl2br w:val="nil"/>
              <w:tr2bl w:val="nil"/>
            </w:tcBorders>
            <w:noWrap w:val="0"/>
            <w:vAlign w:val="center"/>
          </w:tcPr>
          <w:p>
            <w:pPr>
              <w:pStyle w:val="62"/>
              <w:snapToGrid w:val="0"/>
              <w:spacing w:afterLines="0" w:line="240" w:lineRule="auto"/>
              <w:jc w:val="center"/>
              <w:rPr>
                <w:rFonts w:hint="eastAsia" w:ascii="Times New Roman" w:hAnsi="Times New Roman" w:eastAsia="宋体" w:cs="Times New Roman"/>
                <w:b w:val="0"/>
                <w:color w:val="auto"/>
                <w:kern w:val="0"/>
                <w:sz w:val="18"/>
                <w:szCs w:val="18"/>
                <w:highlight w:val="none"/>
                <w:vertAlign w:val="baseline"/>
                <w:lang w:val="en-US" w:eastAsia="zh-CN" w:bidi="ar-SA"/>
              </w:rPr>
            </w:pPr>
            <w:r>
              <w:rPr>
                <w:rFonts w:hint="eastAsia"/>
                <w:b w:val="0"/>
                <w:color w:val="auto"/>
                <w:sz w:val="18"/>
                <w:szCs w:val="18"/>
                <w:highlight w:val="none"/>
                <w:vertAlign w:val="baseline"/>
                <w:lang w:val="en-US" w:eastAsia="zh-CN"/>
              </w:rPr>
              <w:t>200MWt</w:t>
            </w:r>
          </w:p>
        </w:tc>
        <w:tc>
          <w:tcPr>
            <w:tcW w:w="870" w:type="pct"/>
            <w:tcBorders>
              <w:tl2br w:val="nil"/>
              <w:tr2bl w:val="nil"/>
            </w:tcBorders>
            <w:noWrap w:val="0"/>
            <w:vAlign w:val="center"/>
          </w:tcPr>
          <w:p>
            <w:pPr>
              <w:keepNext w:val="0"/>
              <w:keepLines w:val="0"/>
              <w:widowControl/>
              <w:suppressLineNumbers w:val="0"/>
              <w:spacing w:line="240" w:lineRule="auto"/>
              <w:jc w:val="center"/>
              <w:rPr>
                <w:rFonts w:hint="eastAsia" w:ascii="Times New Roman" w:hAnsi="Times New Roman" w:eastAsia="宋体" w:cs="Times New Roman"/>
                <w:b w:val="0"/>
                <w:color w:val="auto"/>
                <w:kern w:val="0"/>
                <w:sz w:val="18"/>
                <w:szCs w:val="18"/>
                <w:highlight w:val="none"/>
                <w:vertAlign w:val="baseline"/>
                <w:lang w:val="en-US" w:eastAsia="zh-CN" w:bidi="ar-SA"/>
              </w:rPr>
            </w:pPr>
            <w:r>
              <w:rPr>
                <w:rFonts w:hint="eastAsia" w:ascii="Times New Roman" w:hAnsi="Times New Roman" w:cs="Times New Roman"/>
                <w:b w:val="0"/>
                <w:color w:val="auto"/>
                <w:kern w:val="0"/>
                <w:sz w:val="18"/>
                <w:szCs w:val="18"/>
                <w:highlight w:val="none"/>
                <w:vertAlign w:val="baseline"/>
                <w:lang w:val="en-US" w:eastAsia="zh-CN" w:bidi="ar-SA"/>
              </w:rPr>
              <w:t>Tsinghua University&amp;CGN</w:t>
            </w:r>
          </w:p>
        </w:tc>
        <w:tc>
          <w:tcPr>
            <w:tcW w:w="991" w:type="pct"/>
            <w:tcBorders>
              <w:tl2br w:val="nil"/>
              <w:tr2bl w:val="nil"/>
            </w:tcBorders>
            <w:noWrap w:val="0"/>
            <w:vAlign w:val="center"/>
          </w:tcPr>
          <w:p>
            <w:pPr>
              <w:keepNext w:val="0"/>
              <w:keepLines w:val="0"/>
              <w:widowControl/>
              <w:suppressLineNumbers w:val="0"/>
              <w:spacing w:line="240" w:lineRule="auto"/>
              <w:jc w:val="center"/>
              <w:rPr>
                <w:rFonts w:hint="eastAsia" w:ascii="Times New Roman" w:hAnsi="Times New Roman" w:cs="Times New Roman"/>
                <w:b w:val="0"/>
                <w:color w:val="auto"/>
                <w:kern w:val="0"/>
                <w:sz w:val="18"/>
                <w:szCs w:val="18"/>
                <w:highlight w:val="none"/>
                <w:vertAlign w:val="baseline"/>
                <w:lang w:val="en-US" w:eastAsia="zh-CN" w:bidi="ar-SA"/>
              </w:rPr>
            </w:pPr>
            <w:r>
              <w:rPr>
                <w:rFonts w:hint="eastAsia" w:ascii="Times New Roman" w:hAnsi="Times New Roman" w:cs="Times New Roman"/>
                <w:b w:val="0"/>
                <w:color w:val="auto"/>
                <w:kern w:val="0"/>
                <w:sz w:val="18"/>
                <w:szCs w:val="18"/>
                <w:highlight w:val="none"/>
                <w:vertAlign w:val="baseline"/>
                <w:lang w:val="en-US" w:eastAsia="zh-CN" w:bidi="ar-SA"/>
              </w:rPr>
              <w:t>Basic Design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jc w:val="center"/>
        </w:trPr>
        <w:tc>
          <w:tcPr>
            <w:tcW w:w="553" w:type="pct"/>
            <w:tcBorders>
              <w:tl2br w:val="nil"/>
              <w:tr2bl w:val="nil"/>
            </w:tcBorders>
            <w:noWrap w:val="0"/>
            <w:vAlign w:val="center"/>
          </w:tcPr>
          <w:p>
            <w:pPr>
              <w:pStyle w:val="62"/>
              <w:snapToGrid w:val="0"/>
              <w:spacing w:afterLines="0" w:line="240" w:lineRule="auto"/>
              <w:jc w:val="center"/>
              <w:rPr>
                <w:rFonts w:hint="default"/>
                <w:b w:val="0"/>
                <w:color w:val="auto"/>
                <w:sz w:val="18"/>
                <w:szCs w:val="18"/>
                <w:highlight w:val="none"/>
                <w:vertAlign w:val="baseline"/>
                <w:lang w:val="en-US" w:eastAsia="zh-CN"/>
              </w:rPr>
            </w:pPr>
            <w:r>
              <w:rPr>
                <w:rFonts w:hint="eastAsia"/>
                <w:b w:val="0"/>
                <w:color w:val="auto"/>
                <w:sz w:val="18"/>
                <w:szCs w:val="18"/>
                <w:highlight w:val="none"/>
                <w:vertAlign w:val="baseline"/>
                <w:lang w:val="en-US" w:eastAsia="zh-CN"/>
              </w:rPr>
              <w:t>7</w:t>
            </w:r>
          </w:p>
        </w:tc>
        <w:tc>
          <w:tcPr>
            <w:tcW w:w="800" w:type="pct"/>
            <w:tcBorders>
              <w:tl2br w:val="nil"/>
              <w:tr2bl w:val="nil"/>
            </w:tcBorders>
            <w:noWrap w:val="0"/>
            <w:vAlign w:val="center"/>
          </w:tcPr>
          <w:p>
            <w:pPr>
              <w:pStyle w:val="62"/>
              <w:snapToGrid w:val="0"/>
              <w:spacing w:afterLines="0" w:line="240" w:lineRule="auto"/>
              <w:jc w:val="center"/>
              <w:rPr>
                <w:rFonts w:hint="default"/>
                <w:b w:val="0"/>
                <w:color w:val="auto"/>
                <w:sz w:val="18"/>
                <w:szCs w:val="18"/>
                <w:highlight w:val="none"/>
                <w:vertAlign w:val="baseline"/>
                <w:lang w:val="en-US" w:eastAsia="zh-CN"/>
              </w:rPr>
            </w:pPr>
            <w:r>
              <w:rPr>
                <w:rFonts w:hint="eastAsia"/>
                <w:b w:val="0"/>
                <w:color w:val="auto"/>
                <w:sz w:val="18"/>
                <w:szCs w:val="18"/>
                <w:highlight w:val="none"/>
                <w:vertAlign w:val="baseline"/>
                <w:lang w:val="en-US" w:eastAsia="zh-CN"/>
              </w:rPr>
              <w:t>ACPR50S</w:t>
            </w:r>
          </w:p>
        </w:tc>
        <w:tc>
          <w:tcPr>
            <w:tcW w:w="929" w:type="pct"/>
            <w:tcBorders>
              <w:tl2br w:val="nil"/>
              <w:tr2bl w:val="nil"/>
            </w:tcBorders>
            <w:noWrap w:val="0"/>
            <w:vAlign w:val="center"/>
          </w:tcPr>
          <w:p>
            <w:pPr>
              <w:keepNext w:val="0"/>
              <w:keepLines w:val="0"/>
              <w:widowControl/>
              <w:suppressLineNumbers w:val="0"/>
              <w:spacing w:line="240" w:lineRule="auto"/>
              <w:jc w:val="center"/>
              <w:rPr>
                <w:rFonts w:hint="eastAsia" w:ascii="Times New Roman" w:hAnsi="Times New Roman" w:eastAsia="宋体" w:cs="Times New Roman"/>
                <w:b w:val="0"/>
                <w:color w:val="auto"/>
                <w:kern w:val="0"/>
                <w:sz w:val="18"/>
                <w:szCs w:val="18"/>
                <w:highlight w:val="none"/>
                <w:vertAlign w:val="baseline"/>
                <w:lang w:val="en-US" w:eastAsia="zh-CN" w:bidi="ar-SA"/>
              </w:rPr>
            </w:pPr>
            <w:r>
              <w:rPr>
                <w:rFonts w:hint="eastAsia" w:ascii="Times New Roman" w:hAnsi="Times New Roman" w:cs="Times New Roman"/>
                <w:b w:val="0"/>
                <w:color w:val="auto"/>
                <w:kern w:val="0"/>
                <w:sz w:val="18"/>
                <w:szCs w:val="18"/>
                <w:highlight w:val="none"/>
                <w:vertAlign w:val="baseline"/>
                <w:lang w:val="en-US" w:eastAsia="zh-CN" w:bidi="ar-SA"/>
              </w:rPr>
              <w:t>Compact</w:t>
            </w:r>
            <w:r>
              <w:rPr>
                <w:rFonts w:hint="eastAsia" w:cs="Times New Roman"/>
                <w:b w:val="0"/>
                <w:color w:val="auto"/>
                <w:kern w:val="0"/>
                <w:sz w:val="18"/>
                <w:szCs w:val="18"/>
                <w:highlight w:val="none"/>
                <w:vertAlign w:val="baseline"/>
                <w:lang w:val="en-US" w:eastAsia="zh-CN" w:bidi="ar-SA"/>
              </w:rPr>
              <w:t xml:space="preserve"> </w:t>
            </w:r>
            <w:r>
              <w:rPr>
                <w:rFonts w:hint="default" w:ascii="Times New Roman" w:hAnsi="Times New Roman" w:eastAsia="宋体" w:cs="Times New Roman"/>
                <w:b w:val="0"/>
                <w:color w:val="auto"/>
                <w:kern w:val="0"/>
                <w:sz w:val="18"/>
                <w:szCs w:val="18"/>
                <w:highlight w:val="none"/>
                <w:vertAlign w:val="baseline"/>
                <w:lang w:val="en-US" w:eastAsia="zh-CN" w:bidi="ar-SA"/>
              </w:rPr>
              <w:t>PWR</w:t>
            </w:r>
          </w:p>
        </w:tc>
        <w:tc>
          <w:tcPr>
            <w:tcW w:w="854" w:type="pct"/>
            <w:tcBorders>
              <w:tl2br w:val="nil"/>
              <w:tr2bl w:val="nil"/>
            </w:tcBorders>
            <w:noWrap w:val="0"/>
            <w:vAlign w:val="center"/>
          </w:tcPr>
          <w:p>
            <w:pPr>
              <w:pStyle w:val="62"/>
              <w:snapToGrid w:val="0"/>
              <w:spacing w:afterLines="0" w:line="240" w:lineRule="auto"/>
              <w:jc w:val="center"/>
              <w:rPr>
                <w:rFonts w:hint="default"/>
                <w:b w:val="0"/>
                <w:color w:val="auto"/>
                <w:sz w:val="18"/>
                <w:szCs w:val="18"/>
                <w:highlight w:val="none"/>
                <w:vertAlign w:val="baseline"/>
                <w:lang w:val="en-US" w:eastAsia="zh-CN"/>
              </w:rPr>
            </w:pPr>
            <w:r>
              <w:rPr>
                <w:rFonts w:hint="eastAsia"/>
                <w:b w:val="0"/>
                <w:color w:val="auto"/>
                <w:sz w:val="18"/>
                <w:szCs w:val="18"/>
                <w:highlight w:val="none"/>
                <w:vertAlign w:val="baseline"/>
                <w:lang w:val="en-US" w:eastAsia="zh-CN"/>
              </w:rPr>
              <w:t>50</w:t>
            </w:r>
          </w:p>
        </w:tc>
        <w:tc>
          <w:tcPr>
            <w:tcW w:w="870" w:type="pct"/>
            <w:tcBorders>
              <w:tl2br w:val="nil"/>
              <w:tr2bl w:val="nil"/>
            </w:tcBorders>
            <w:noWrap w:val="0"/>
            <w:vAlign w:val="center"/>
          </w:tcPr>
          <w:p>
            <w:pPr>
              <w:keepNext w:val="0"/>
              <w:keepLines w:val="0"/>
              <w:widowControl/>
              <w:suppressLineNumbers w:val="0"/>
              <w:spacing w:line="240" w:lineRule="auto"/>
              <w:jc w:val="center"/>
              <w:rPr>
                <w:rFonts w:hint="default" w:ascii="Times New Roman" w:hAnsi="Times New Roman" w:eastAsia="宋体" w:cs="Times New Roman"/>
                <w:b w:val="0"/>
                <w:color w:val="auto"/>
                <w:kern w:val="0"/>
                <w:sz w:val="18"/>
                <w:szCs w:val="18"/>
                <w:highlight w:val="none"/>
                <w:vertAlign w:val="baseline"/>
                <w:lang w:val="en-US" w:eastAsia="zh-CN" w:bidi="ar-SA"/>
              </w:rPr>
            </w:pPr>
            <w:r>
              <w:rPr>
                <w:rFonts w:hint="eastAsia" w:ascii="Times New Roman" w:hAnsi="Times New Roman" w:cs="Times New Roman"/>
                <w:b w:val="0"/>
                <w:color w:val="auto"/>
                <w:kern w:val="0"/>
                <w:sz w:val="18"/>
                <w:szCs w:val="18"/>
                <w:highlight w:val="none"/>
                <w:vertAlign w:val="baseline"/>
                <w:lang w:val="en-US" w:eastAsia="zh-CN" w:bidi="ar-SA"/>
              </w:rPr>
              <w:t>CGNPC</w:t>
            </w:r>
          </w:p>
        </w:tc>
        <w:tc>
          <w:tcPr>
            <w:tcW w:w="991" w:type="pct"/>
            <w:tcBorders>
              <w:tl2br w:val="nil"/>
              <w:tr2bl w:val="nil"/>
            </w:tcBorders>
            <w:noWrap w:val="0"/>
            <w:vAlign w:val="center"/>
          </w:tcPr>
          <w:p>
            <w:pPr>
              <w:keepNext w:val="0"/>
              <w:keepLines w:val="0"/>
              <w:widowControl/>
              <w:suppressLineNumbers w:val="0"/>
              <w:spacing w:line="240" w:lineRule="auto"/>
              <w:jc w:val="center"/>
              <w:rPr>
                <w:rFonts w:hint="eastAsia" w:ascii="Times New Roman" w:hAnsi="Times New Roman" w:eastAsia="宋体" w:cs="Times New Roman"/>
                <w:b w:val="0"/>
                <w:color w:val="auto"/>
                <w:kern w:val="0"/>
                <w:sz w:val="18"/>
                <w:szCs w:val="18"/>
                <w:highlight w:val="none"/>
                <w:vertAlign w:val="baseline"/>
                <w:lang w:val="en-US" w:eastAsia="zh-CN" w:bidi="ar-SA"/>
              </w:rPr>
            </w:pPr>
            <w:r>
              <w:rPr>
                <w:rFonts w:hint="eastAsia" w:ascii="Times New Roman" w:hAnsi="Times New Roman" w:cs="Times New Roman"/>
                <w:b w:val="0"/>
                <w:color w:val="auto"/>
                <w:kern w:val="0"/>
                <w:sz w:val="18"/>
                <w:szCs w:val="18"/>
                <w:highlight w:val="none"/>
                <w:vertAlign w:val="baseline"/>
                <w:lang w:val="en-US" w:eastAsia="zh-CN" w:bidi="ar-SA"/>
              </w:rPr>
              <w:t>Detailed Design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553" w:type="pct"/>
            <w:tcBorders>
              <w:tl2br w:val="nil"/>
              <w:tr2bl w:val="nil"/>
            </w:tcBorders>
            <w:noWrap w:val="0"/>
            <w:vAlign w:val="center"/>
          </w:tcPr>
          <w:p>
            <w:pPr>
              <w:pStyle w:val="62"/>
              <w:snapToGrid w:val="0"/>
              <w:spacing w:afterLines="0" w:line="240" w:lineRule="auto"/>
              <w:jc w:val="center"/>
              <w:rPr>
                <w:rFonts w:hint="default"/>
                <w:b w:val="0"/>
                <w:color w:val="auto"/>
                <w:sz w:val="18"/>
                <w:szCs w:val="18"/>
                <w:highlight w:val="none"/>
                <w:vertAlign w:val="baseline"/>
                <w:lang w:val="en-US" w:eastAsia="zh-CN"/>
              </w:rPr>
            </w:pPr>
            <w:r>
              <w:rPr>
                <w:rFonts w:hint="eastAsia"/>
                <w:b w:val="0"/>
                <w:color w:val="auto"/>
                <w:sz w:val="18"/>
                <w:szCs w:val="18"/>
                <w:highlight w:val="none"/>
                <w:vertAlign w:val="baseline"/>
                <w:lang w:val="en-US" w:eastAsia="zh-CN"/>
              </w:rPr>
              <w:t>8</w:t>
            </w:r>
          </w:p>
        </w:tc>
        <w:tc>
          <w:tcPr>
            <w:tcW w:w="800" w:type="pct"/>
            <w:tcBorders>
              <w:tl2br w:val="nil"/>
              <w:tr2bl w:val="nil"/>
            </w:tcBorders>
            <w:noWrap w:val="0"/>
            <w:vAlign w:val="center"/>
          </w:tcPr>
          <w:p>
            <w:pPr>
              <w:pStyle w:val="62"/>
              <w:snapToGrid w:val="0"/>
              <w:spacing w:afterLines="0" w:line="240" w:lineRule="auto"/>
              <w:jc w:val="center"/>
              <w:rPr>
                <w:rFonts w:hint="default"/>
                <w:b w:val="0"/>
                <w:color w:val="auto"/>
                <w:sz w:val="18"/>
                <w:szCs w:val="18"/>
                <w:highlight w:val="none"/>
                <w:vertAlign w:val="baseline"/>
                <w:lang w:val="en-US" w:eastAsia="zh-CN"/>
              </w:rPr>
            </w:pPr>
            <w:r>
              <w:rPr>
                <w:rFonts w:hint="eastAsia"/>
                <w:b w:val="0"/>
                <w:color w:val="auto"/>
                <w:sz w:val="18"/>
                <w:szCs w:val="18"/>
                <w:highlight w:val="none"/>
                <w:vertAlign w:val="baseline"/>
                <w:lang w:val="en-US" w:eastAsia="zh-CN"/>
              </w:rPr>
              <w:t>HTR-PM</w:t>
            </w:r>
          </w:p>
        </w:tc>
        <w:tc>
          <w:tcPr>
            <w:tcW w:w="929" w:type="pct"/>
            <w:tcBorders>
              <w:tl2br w:val="nil"/>
              <w:tr2bl w:val="nil"/>
            </w:tcBorders>
            <w:noWrap w:val="0"/>
            <w:vAlign w:val="center"/>
          </w:tcPr>
          <w:p>
            <w:pPr>
              <w:pStyle w:val="62"/>
              <w:snapToGrid w:val="0"/>
              <w:spacing w:afterLines="0" w:line="240" w:lineRule="auto"/>
              <w:jc w:val="center"/>
              <w:rPr>
                <w:rFonts w:hint="default" w:ascii="Times New Roman" w:hAnsi="Times New Roman" w:eastAsia="宋体" w:cs="Times New Roman"/>
                <w:b w:val="0"/>
                <w:color w:val="auto"/>
                <w:kern w:val="0"/>
                <w:sz w:val="18"/>
                <w:szCs w:val="18"/>
                <w:highlight w:val="none"/>
                <w:vertAlign w:val="baseline"/>
                <w:lang w:val="en-US" w:eastAsia="zh-CN" w:bidi="ar-SA"/>
              </w:rPr>
            </w:pPr>
            <w:r>
              <w:rPr>
                <w:rFonts w:hint="eastAsia" w:cs="Times New Roman"/>
                <w:b w:val="0"/>
                <w:color w:val="auto"/>
                <w:kern w:val="0"/>
                <w:sz w:val="18"/>
                <w:szCs w:val="18"/>
                <w:highlight w:val="none"/>
                <w:vertAlign w:val="baseline"/>
                <w:lang w:val="en-US" w:eastAsia="zh-CN" w:bidi="ar-SA"/>
              </w:rPr>
              <w:t>HTGR</w:t>
            </w:r>
          </w:p>
        </w:tc>
        <w:tc>
          <w:tcPr>
            <w:tcW w:w="854" w:type="pct"/>
            <w:tcBorders>
              <w:tl2br w:val="nil"/>
              <w:tr2bl w:val="nil"/>
            </w:tcBorders>
            <w:noWrap w:val="0"/>
            <w:vAlign w:val="center"/>
          </w:tcPr>
          <w:p>
            <w:pPr>
              <w:pStyle w:val="62"/>
              <w:snapToGrid w:val="0"/>
              <w:spacing w:afterLines="0" w:line="240" w:lineRule="auto"/>
              <w:jc w:val="center"/>
              <w:rPr>
                <w:rFonts w:hint="default"/>
                <w:b w:val="0"/>
                <w:color w:val="auto"/>
                <w:sz w:val="18"/>
                <w:szCs w:val="18"/>
                <w:highlight w:val="none"/>
                <w:vertAlign w:val="baseline"/>
                <w:lang w:val="en-US" w:eastAsia="zh-CN"/>
              </w:rPr>
            </w:pPr>
            <w:r>
              <w:rPr>
                <w:rFonts w:hint="eastAsia"/>
                <w:b w:val="0"/>
                <w:color w:val="auto"/>
                <w:sz w:val="18"/>
                <w:szCs w:val="18"/>
                <w:highlight w:val="none"/>
                <w:vertAlign w:val="baseline"/>
                <w:lang w:val="en-US" w:eastAsia="zh-CN"/>
              </w:rPr>
              <w:t>210</w:t>
            </w:r>
          </w:p>
        </w:tc>
        <w:tc>
          <w:tcPr>
            <w:tcW w:w="870" w:type="pct"/>
            <w:tcBorders>
              <w:tl2br w:val="nil"/>
              <w:tr2bl w:val="nil"/>
            </w:tcBorders>
            <w:noWrap w:val="0"/>
            <w:vAlign w:val="center"/>
          </w:tcPr>
          <w:p>
            <w:pPr>
              <w:keepNext w:val="0"/>
              <w:keepLines w:val="0"/>
              <w:widowControl/>
              <w:suppressLineNumbers w:val="0"/>
              <w:spacing w:line="240" w:lineRule="auto"/>
              <w:jc w:val="center"/>
              <w:rPr>
                <w:rFonts w:hint="eastAsia" w:ascii="Times New Roman" w:hAnsi="Times New Roman" w:eastAsia="宋体" w:cs="Times New Roman"/>
                <w:b w:val="0"/>
                <w:color w:val="auto"/>
                <w:kern w:val="0"/>
                <w:sz w:val="18"/>
                <w:szCs w:val="18"/>
                <w:highlight w:val="none"/>
                <w:vertAlign w:val="baseline"/>
                <w:lang w:val="en-US" w:eastAsia="zh-CN" w:bidi="ar-SA"/>
              </w:rPr>
            </w:pPr>
            <w:r>
              <w:rPr>
                <w:rFonts w:hint="eastAsia" w:ascii="Times New Roman" w:hAnsi="Times New Roman" w:cs="Times New Roman"/>
                <w:b w:val="0"/>
                <w:color w:val="auto"/>
                <w:kern w:val="0"/>
                <w:sz w:val="18"/>
                <w:szCs w:val="18"/>
                <w:highlight w:val="none"/>
                <w:vertAlign w:val="baseline"/>
                <w:lang w:val="en-US" w:eastAsia="zh-CN" w:bidi="ar-SA"/>
              </w:rPr>
              <w:t>INET,Tsinghua University</w:t>
            </w:r>
          </w:p>
        </w:tc>
        <w:tc>
          <w:tcPr>
            <w:tcW w:w="991" w:type="pct"/>
            <w:tcBorders>
              <w:tl2br w:val="nil"/>
              <w:tr2bl w:val="nil"/>
            </w:tcBorders>
            <w:noWrap w:val="0"/>
            <w:vAlign w:val="center"/>
          </w:tcPr>
          <w:p>
            <w:pPr>
              <w:keepNext w:val="0"/>
              <w:keepLines w:val="0"/>
              <w:widowControl/>
              <w:suppressLineNumbers w:val="0"/>
              <w:spacing w:line="240" w:lineRule="auto"/>
              <w:jc w:val="center"/>
              <w:rPr>
                <w:rFonts w:hint="default" w:ascii="Times New Roman" w:hAnsi="Times New Roman" w:eastAsia="宋体" w:cs="Times New Roman"/>
                <w:b w:val="0"/>
                <w:color w:val="auto"/>
                <w:kern w:val="0"/>
                <w:sz w:val="18"/>
                <w:szCs w:val="18"/>
                <w:highlight w:val="none"/>
                <w:vertAlign w:val="baseline"/>
                <w:lang w:val="en-US" w:eastAsia="zh-CN" w:bidi="ar-SA"/>
              </w:rPr>
            </w:pPr>
            <w:r>
              <w:rPr>
                <w:rFonts w:hint="eastAsia" w:ascii="Times New Roman" w:hAnsi="Times New Roman" w:cs="Times New Roman"/>
                <w:b w:val="0"/>
                <w:color w:val="auto"/>
                <w:kern w:val="0"/>
                <w:sz w:val="18"/>
                <w:szCs w:val="18"/>
                <w:highlight w:val="none"/>
                <w:vertAlign w:val="baseline"/>
                <w:lang w:val="en-US" w:eastAsia="zh-CN" w:bidi="ar-SA"/>
              </w:rPr>
              <w:t>In operation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553" w:type="pct"/>
            <w:tcBorders>
              <w:tl2br w:val="nil"/>
              <w:tr2bl w:val="nil"/>
            </w:tcBorders>
            <w:noWrap w:val="0"/>
            <w:vAlign w:val="center"/>
          </w:tcPr>
          <w:p>
            <w:pPr>
              <w:pStyle w:val="62"/>
              <w:snapToGrid w:val="0"/>
              <w:spacing w:afterLines="0" w:line="240" w:lineRule="auto"/>
              <w:jc w:val="center"/>
              <w:rPr>
                <w:rFonts w:hint="default"/>
                <w:b w:val="0"/>
                <w:color w:val="auto"/>
                <w:sz w:val="18"/>
                <w:szCs w:val="18"/>
                <w:highlight w:val="none"/>
                <w:vertAlign w:val="baseline"/>
                <w:lang w:val="en-US" w:eastAsia="zh-CN"/>
              </w:rPr>
            </w:pPr>
            <w:r>
              <w:rPr>
                <w:rFonts w:hint="eastAsia"/>
                <w:b w:val="0"/>
                <w:color w:val="auto"/>
                <w:sz w:val="18"/>
                <w:szCs w:val="18"/>
                <w:highlight w:val="none"/>
                <w:vertAlign w:val="baseline"/>
                <w:lang w:val="en-US" w:eastAsia="zh-CN"/>
              </w:rPr>
              <w:t>9</w:t>
            </w:r>
          </w:p>
        </w:tc>
        <w:tc>
          <w:tcPr>
            <w:tcW w:w="800" w:type="pct"/>
            <w:tcBorders>
              <w:tl2br w:val="nil"/>
              <w:tr2bl w:val="nil"/>
            </w:tcBorders>
            <w:noWrap w:val="0"/>
            <w:vAlign w:val="center"/>
          </w:tcPr>
          <w:p>
            <w:pPr>
              <w:pStyle w:val="62"/>
              <w:snapToGrid w:val="0"/>
              <w:spacing w:afterLines="0" w:line="240" w:lineRule="auto"/>
              <w:jc w:val="center"/>
              <w:rPr>
                <w:rFonts w:hint="default"/>
                <w:b w:val="0"/>
                <w:color w:val="auto"/>
                <w:sz w:val="18"/>
                <w:szCs w:val="18"/>
                <w:highlight w:val="none"/>
                <w:vertAlign w:val="baseline"/>
                <w:lang w:val="en-US" w:eastAsia="zh-CN"/>
              </w:rPr>
            </w:pPr>
            <w:r>
              <w:rPr>
                <w:rFonts w:hint="eastAsia"/>
                <w:b w:val="0"/>
                <w:color w:val="auto"/>
                <w:sz w:val="18"/>
                <w:szCs w:val="18"/>
                <w:highlight w:val="none"/>
                <w:vertAlign w:val="baseline"/>
                <w:lang w:val="en-US" w:eastAsia="zh-CN"/>
              </w:rPr>
              <w:t>HTR-10</w:t>
            </w:r>
          </w:p>
        </w:tc>
        <w:tc>
          <w:tcPr>
            <w:tcW w:w="929" w:type="pct"/>
            <w:tcBorders>
              <w:tl2br w:val="nil"/>
              <w:tr2bl w:val="nil"/>
            </w:tcBorders>
            <w:noWrap w:val="0"/>
            <w:vAlign w:val="center"/>
          </w:tcPr>
          <w:p>
            <w:pPr>
              <w:pStyle w:val="62"/>
              <w:snapToGrid w:val="0"/>
              <w:spacing w:afterLines="0" w:line="240" w:lineRule="auto"/>
              <w:jc w:val="center"/>
              <w:rPr>
                <w:rFonts w:hint="default" w:ascii="Times New Roman" w:hAnsi="Times New Roman" w:eastAsia="宋体" w:cs="Times New Roman"/>
                <w:b w:val="0"/>
                <w:color w:val="auto"/>
                <w:kern w:val="0"/>
                <w:sz w:val="18"/>
                <w:szCs w:val="18"/>
                <w:highlight w:val="none"/>
                <w:vertAlign w:val="baseline"/>
                <w:lang w:val="en-US" w:eastAsia="zh-CN" w:bidi="ar-SA"/>
              </w:rPr>
            </w:pPr>
            <w:r>
              <w:rPr>
                <w:rFonts w:hint="eastAsia" w:cs="Times New Roman"/>
                <w:b w:val="0"/>
                <w:color w:val="auto"/>
                <w:kern w:val="0"/>
                <w:sz w:val="18"/>
                <w:szCs w:val="18"/>
                <w:highlight w:val="none"/>
                <w:vertAlign w:val="baseline"/>
                <w:lang w:val="en-US" w:eastAsia="zh-CN" w:bidi="ar-SA"/>
              </w:rPr>
              <w:t>HTGR</w:t>
            </w:r>
          </w:p>
        </w:tc>
        <w:tc>
          <w:tcPr>
            <w:tcW w:w="854" w:type="pct"/>
            <w:tcBorders>
              <w:tl2br w:val="nil"/>
              <w:tr2bl w:val="nil"/>
            </w:tcBorders>
            <w:noWrap w:val="0"/>
            <w:vAlign w:val="center"/>
          </w:tcPr>
          <w:p>
            <w:pPr>
              <w:pStyle w:val="62"/>
              <w:snapToGrid w:val="0"/>
              <w:spacing w:afterLines="0" w:line="240" w:lineRule="auto"/>
              <w:jc w:val="center"/>
              <w:rPr>
                <w:rFonts w:hint="default"/>
                <w:b w:val="0"/>
                <w:color w:val="auto"/>
                <w:sz w:val="18"/>
                <w:szCs w:val="18"/>
                <w:highlight w:val="none"/>
                <w:vertAlign w:val="baseline"/>
                <w:lang w:val="en-US" w:eastAsia="zh-CN"/>
              </w:rPr>
            </w:pPr>
            <w:r>
              <w:rPr>
                <w:rFonts w:hint="eastAsia"/>
                <w:b w:val="0"/>
                <w:color w:val="auto"/>
                <w:sz w:val="18"/>
                <w:szCs w:val="18"/>
                <w:highlight w:val="none"/>
                <w:vertAlign w:val="baseline"/>
                <w:lang w:val="en-US" w:eastAsia="zh-CN"/>
              </w:rPr>
              <w:t>2.5</w:t>
            </w:r>
          </w:p>
        </w:tc>
        <w:tc>
          <w:tcPr>
            <w:tcW w:w="870" w:type="pct"/>
            <w:tcBorders>
              <w:tl2br w:val="nil"/>
              <w:tr2bl w:val="nil"/>
            </w:tcBorders>
            <w:noWrap w:val="0"/>
            <w:vAlign w:val="center"/>
          </w:tcPr>
          <w:p>
            <w:pPr>
              <w:keepNext w:val="0"/>
              <w:keepLines w:val="0"/>
              <w:widowControl/>
              <w:suppressLineNumbers w:val="0"/>
              <w:spacing w:line="240" w:lineRule="auto"/>
              <w:jc w:val="center"/>
              <w:rPr>
                <w:rFonts w:hint="eastAsia" w:ascii="Times New Roman" w:hAnsi="Times New Roman" w:eastAsia="宋体" w:cs="Times New Roman"/>
                <w:b w:val="0"/>
                <w:color w:val="auto"/>
                <w:kern w:val="0"/>
                <w:sz w:val="18"/>
                <w:szCs w:val="18"/>
                <w:highlight w:val="none"/>
                <w:vertAlign w:val="baseline"/>
                <w:lang w:val="en-US" w:eastAsia="zh-CN" w:bidi="ar-SA"/>
              </w:rPr>
            </w:pPr>
            <w:r>
              <w:rPr>
                <w:rFonts w:hint="eastAsia" w:ascii="Times New Roman" w:hAnsi="Times New Roman" w:cs="Times New Roman"/>
                <w:b w:val="0"/>
                <w:color w:val="auto"/>
                <w:kern w:val="0"/>
                <w:sz w:val="18"/>
                <w:szCs w:val="18"/>
                <w:highlight w:val="none"/>
                <w:vertAlign w:val="baseline"/>
                <w:lang w:val="en-US" w:eastAsia="zh-CN" w:bidi="ar-SA"/>
              </w:rPr>
              <w:t>INET,Tsinghua University</w:t>
            </w:r>
          </w:p>
        </w:tc>
        <w:tc>
          <w:tcPr>
            <w:tcW w:w="991" w:type="pct"/>
            <w:tcBorders>
              <w:tl2br w:val="nil"/>
              <w:tr2bl w:val="nil"/>
            </w:tcBorders>
            <w:noWrap w:val="0"/>
            <w:vAlign w:val="center"/>
          </w:tcPr>
          <w:p>
            <w:pPr>
              <w:keepNext w:val="0"/>
              <w:keepLines w:val="0"/>
              <w:widowControl/>
              <w:suppressLineNumbers w:val="0"/>
              <w:spacing w:line="240" w:lineRule="auto"/>
              <w:jc w:val="center"/>
              <w:rPr>
                <w:rFonts w:hint="default" w:ascii="Times New Roman" w:hAnsi="Times New Roman" w:eastAsia="宋体" w:cs="Times New Roman"/>
                <w:b w:val="0"/>
                <w:color w:val="auto"/>
                <w:kern w:val="0"/>
                <w:sz w:val="18"/>
                <w:szCs w:val="18"/>
                <w:highlight w:val="none"/>
                <w:vertAlign w:val="baseline"/>
                <w:lang w:val="en-US" w:eastAsia="zh-CN" w:bidi="ar-SA"/>
              </w:rPr>
            </w:pPr>
            <w:r>
              <w:rPr>
                <w:rFonts w:hint="eastAsia" w:ascii="Times New Roman" w:hAnsi="Times New Roman" w:cs="Times New Roman"/>
                <w:b w:val="0"/>
                <w:color w:val="auto"/>
                <w:kern w:val="0"/>
                <w:sz w:val="18"/>
                <w:szCs w:val="18"/>
                <w:highlight w:val="none"/>
                <w:vertAlign w:val="baseline"/>
                <w:lang w:val="en-US" w:eastAsia="zh-CN" w:bidi="ar-SA"/>
              </w:rPr>
              <w:t>Operable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jc w:val="center"/>
        </w:trPr>
        <w:tc>
          <w:tcPr>
            <w:tcW w:w="553" w:type="pct"/>
            <w:tcBorders>
              <w:tl2br w:val="nil"/>
              <w:tr2bl w:val="nil"/>
            </w:tcBorders>
            <w:noWrap w:val="0"/>
            <w:vAlign w:val="center"/>
          </w:tcPr>
          <w:p>
            <w:pPr>
              <w:pStyle w:val="62"/>
              <w:snapToGrid w:val="0"/>
              <w:spacing w:afterLines="0" w:line="240" w:lineRule="auto"/>
              <w:jc w:val="center"/>
              <w:rPr>
                <w:rFonts w:hint="default"/>
                <w:b w:val="0"/>
                <w:color w:val="auto"/>
                <w:sz w:val="18"/>
                <w:szCs w:val="18"/>
                <w:highlight w:val="none"/>
                <w:vertAlign w:val="baseline"/>
                <w:lang w:val="en-US" w:eastAsia="zh-CN"/>
              </w:rPr>
            </w:pPr>
            <w:r>
              <w:rPr>
                <w:rFonts w:hint="eastAsia"/>
                <w:b w:val="0"/>
                <w:color w:val="auto"/>
                <w:sz w:val="18"/>
                <w:szCs w:val="18"/>
                <w:highlight w:val="none"/>
                <w:vertAlign w:val="baseline"/>
                <w:lang w:val="en-US" w:eastAsia="zh-CN"/>
              </w:rPr>
              <w:t>10</w:t>
            </w:r>
          </w:p>
        </w:tc>
        <w:tc>
          <w:tcPr>
            <w:tcW w:w="800" w:type="pct"/>
            <w:tcBorders>
              <w:tl2br w:val="nil"/>
              <w:tr2bl w:val="nil"/>
            </w:tcBorders>
            <w:noWrap w:val="0"/>
            <w:vAlign w:val="center"/>
          </w:tcPr>
          <w:p>
            <w:pPr>
              <w:pStyle w:val="62"/>
              <w:snapToGrid w:val="0"/>
              <w:spacing w:afterLines="0" w:line="240" w:lineRule="auto"/>
              <w:jc w:val="center"/>
              <w:rPr>
                <w:rFonts w:hint="default"/>
                <w:b w:val="0"/>
                <w:color w:val="auto"/>
                <w:sz w:val="18"/>
                <w:szCs w:val="18"/>
                <w:highlight w:val="none"/>
                <w:vertAlign w:val="baseline"/>
                <w:lang w:val="en-US" w:eastAsia="zh-CN"/>
              </w:rPr>
            </w:pPr>
            <w:r>
              <w:rPr>
                <w:rFonts w:hint="eastAsia"/>
                <w:b w:val="0"/>
                <w:color w:val="auto"/>
                <w:sz w:val="18"/>
                <w:szCs w:val="18"/>
                <w:highlight w:val="none"/>
                <w:vertAlign w:val="baseline"/>
                <w:lang w:val="en-US" w:eastAsia="zh-CN"/>
              </w:rPr>
              <w:t>smTMSR</w:t>
            </w:r>
          </w:p>
        </w:tc>
        <w:tc>
          <w:tcPr>
            <w:tcW w:w="929" w:type="pct"/>
            <w:tcBorders>
              <w:tl2br w:val="nil"/>
              <w:tr2bl w:val="nil"/>
            </w:tcBorders>
            <w:noWrap w:val="0"/>
            <w:vAlign w:val="center"/>
          </w:tcPr>
          <w:p>
            <w:pPr>
              <w:pStyle w:val="62"/>
              <w:snapToGrid w:val="0"/>
              <w:spacing w:afterLines="0" w:line="240" w:lineRule="auto"/>
              <w:jc w:val="center"/>
              <w:rPr>
                <w:rFonts w:hint="default" w:cs="Times New Roman"/>
                <w:b w:val="0"/>
                <w:color w:val="auto"/>
                <w:kern w:val="0"/>
                <w:sz w:val="18"/>
                <w:szCs w:val="18"/>
                <w:highlight w:val="none"/>
                <w:vertAlign w:val="baseline"/>
                <w:lang w:val="en-US" w:eastAsia="zh-CN" w:bidi="ar-SA"/>
              </w:rPr>
            </w:pPr>
            <w:r>
              <w:rPr>
                <w:rFonts w:hint="eastAsia" w:cs="Times New Roman"/>
                <w:b w:val="0"/>
                <w:color w:val="auto"/>
                <w:kern w:val="0"/>
                <w:sz w:val="18"/>
                <w:szCs w:val="18"/>
                <w:highlight w:val="none"/>
                <w:vertAlign w:val="baseline"/>
                <w:lang w:val="en-US" w:eastAsia="zh-CN" w:bidi="ar-SA"/>
              </w:rPr>
              <w:t>MSR</w:t>
            </w:r>
          </w:p>
        </w:tc>
        <w:tc>
          <w:tcPr>
            <w:tcW w:w="854" w:type="pct"/>
            <w:tcBorders>
              <w:tl2br w:val="nil"/>
              <w:tr2bl w:val="nil"/>
            </w:tcBorders>
            <w:noWrap w:val="0"/>
            <w:vAlign w:val="center"/>
          </w:tcPr>
          <w:p>
            <w:pPr>
              <w:pStyle w:val="62"/>
              <w:snapToGrid w:val="0"/>
              <w:spacing w:afterLines="0" w:line="240" w:lineRule="auto"/>
              <w:jc w:val="center"/>
              <w:rPr>
                <w:rFonts w:hint="default"/>
                <w:b w:val="0"/>
                <w:color w:val="auto"/>
                <w:sz w:val="18"/>
                <w:szCs w:val="18"/>
                <w:highlight w:val="none"/>
                <w:vertAlign w:val="baseline"/>
                <w:lang w:val="en-US" w:eastAsia="zh-CN"/>
              </w:rPr>
            </w:pPr>
            <w:r>
              <w:rPr>
                <w:rFonts w:hint="eastAsia"/>
                <w:b w:val="0"/>
                <w:color w:val="auto"/>
                <w:sz w:val="18"/>
                <w:szCs w:val="18"/>
                <w:highlight w:val="none"/>
                <w:vertAlign w:val="baseline"/>
                <w:lang w:val="en-US" w:eastAsia="zh-CN"/>
              </w:rPr>
              <w:t>168</w:t>
            </w:r>
          </w:p>
        </w:tc>
        <w:tc>
          <w:tcPr>
            <w:tcW w:w="870" w:type="pct"/>
            <w:tcBorders>
              <w:tl2br w:val="nil"/>
              <w:tr2bl w:val="nil"/>
            </w:tcBorders>
            <w:noWrap w:val="0"/>
            <w:vAlign w:val="center"/>
          </w:tcPr>
          <w:p>
            <w:pPr>
              <w:keepNext w:val="0"/>
              <w:keepLines w:val="0"/>
              <w:widowControl/>
              <w:suppressLineNumbers w:val="0"/>
              <w:spacing w:line="240" w:lineRule="auto"/>
              <w:jc w:val="center"/>
              <w:rPr>
                <w:rFonts w:hint="default" w:ascii="Times New Roman" w:hAnsi="Times New Roman" w:cs="Times New Roman"/>
                <w:b w:val="0"/>
                <w:color w:val="auto"/>
                <w:kern w:val="0"/>
                <w:sz w:val="18"/>
                <w:szCs w:val="18"/>
                <w:highlight w:val="none"/>
                <w:vertAlign w:val="baseline"/>
                <w:lang w:val="en-US" w:eastAsia="zh-CN" w:bidi="ar-SA"/>
              </w:rPr>
            </w:pPr>
            <w:r>
              <w:rPr>
                <w:rFonts w:hint="eastAsia" w:ascii="Times New Roman" w:hAnsi="Times New Roman" w:cs="Times New Roman"/>
                <w:b w:val="0"/>
                <w:color w:val="auto"/>
                <w:kern w:val="0"/>
                <w:sz w:val="18"/>
                <w:szCs w:val="18"/>
                <w:highlight w:val="none"/>
                <w:vertAlign w:val="baseline"/>
                <w:lang w:val="en-US" w:eastAsia="zh-CN" w:bidi="ar-SA"/>
              </w:rPr>
              <w:t>CAS/SINAP</w:t>
            </w:r>
          </w:p>
        </w:tc>
        <w:tc>
          <w:tcPr>
            <w:tcW w:w="991" w:type="pct"/>
            <w:tcBorders>
              <w:tl2br w:val="nil"/>
              <w:tr2bl w:val="nil"/>
            </w:tcBorders>
            <w:noWrap w:val="0"/>
            <w:vAlign w:val="center"/>
          </w:tcPr>
          <w:p>
            <w:pPr>
              <w:keepNext w:val="0"/>
              <w:keepLines w:val="0"/>
              <w:widowControl/>
              <w:suppressLineNumbers w:val="0"/>
              <w:spacing w:line="240" w:lineRule="auto"/>
              <w:jc w:val="center"/>
              <w:rPr>
                <w:rFonts w:hint="default" w:ascii="Times New Roman" w:hAnsi="Times New Roman" w:cs="Times New Roman"/>
                <w:b w:val="0"/>
                <w:color w:val="auto"/>
                <w:kern w:val="0"/>
                <w:sz w:val="18"/>
                <w:szCs w:val="18"/>
                <w:highlight w:val="none"/>
                <w:vertAlign w:val="baseline"/>
                <w:lang w:val="en-US" w:eastAsia="zh-CN" w:bidi="ar-SA"/>
              </w:rPr>
            </w:pPr>
            <w:r>
              <w:rPr>
                <w:rFonts w:hint="eastAsia" w:ascii="Times New Roman" w:hAnsi="Times New Roman" w:cs="Times New Roman"/>
                <w:b w:val="0"/>
                <w:color w:val="auto"/>
                <w:kern w:val="0"/>
                <w:sz w:val="18"/>
                <w:szCs w:val="18"/>
                <w:highlight w:val="none"/>
                <w:vertAlign w:val="baseline"/>
                <w:lang w:val="en-US" w:eastAsia="zh-CN" w:bidi="ar-SA"/>
              </w:rPr>
              <w:t>conceptual Design</w:t>
            </w:r>
          </w:p>
        </w:tc>
      </w:tr>
    </w:tbl>
    <w:p>
      <w:pPr>
        <w:pStyle w:val="4"/>
        <w:rPr>
          <w:highlight w:val="none"/>
        </w:rPr>
      </w:pPr>
    </w:p>
    <w:tbl>
      <w:tblPr>
        <w:tblStyle w:val="21"/>
        <w:tblW w:w="91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25"/>
        <w:gridCol w:w="46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1" w:hRule="atLeast"/>
        </w:trPr>
        <w:tc>
          <w:tcPr>
            <w:tcW w:w="4525" w:type="dxa"/>
            <w:tcBorders>
              <w:tl2br w:val="nil"/>
              <w:tr2bl w:val="nil"/>
            </w:tcBorders>
            <w:vAlign w:val="top"/>
          </w:tcPr>
          <w:p>
            <w:pPr>
              <w:adjustRightInd w:val="0"/>
              <w:snapToGrid w:val="0"/>
              <w:jc w:val="both"/>
              <w:rPr>
                <w:rFonts w:hint="eastAsia" w:eastAsia="宋体"/>
                <w:snapToGrid w:val="0"/>
                <w:color w:val="auto"/>
                <w:kern w:val="0"/>
                <w:sz w:val="18"/>
                <w:szCs w:val="18"/>
                <w:highlight w:val="none"/>
                <w:lang w:val="en-US" w:eastAsia="zh-CN"/>
              </w:rPr>
            </w:pPr>
            <w:r>
              <w:rPr>
                <w:rFonts w:hint="eastAsia" w:eastAsia="宋体"/>
                <w:snapToGrid w:val="0"/>
                <w:color w:val="auto"/>
                <w:kern w:val="0"/>
                <w:sz w:val="18"/>
                <w:szCs w:val="18"/>
                <w:highlight w:val="none"/>
                <w:lang w:val="en-US" w:eastAsia="zh-CN"/>
              </w:rPr>
              <w:drawing>
                <wp:anchor distT="0" distB="0" distL="114300" distR="114300" simplePos="0" relativeHeight="251660288" behindDoc="0" locked="0" layoutInCell="1" allowOverlap="1">
                  <wp:simplePos x="0" y="0"/>
                  <wp:positionH relativeFrom="column">
                    <wp:posOffset>-48895</wp:posOffset>
                  </wp:positionH>
                  <wp:positionV relativeFrom="paragraph">
                    <wp:posOffset>58420</wp:posOffset>
                  </wp:positionV>
                  <wp:extent cx="2827655" cy="2146300"/>
                  <wp:effectExtent l="0" t="0" r="4445" b="0"/>
                  <wp:wrapSquare wrapText="bothSides"/>
                  <wp:docPr id="9" name="图片 7" descr="IMG_256"/>
                  <wp:cNvGraphicFramePr/>
                  <a:graphic xmlns:a="http://schemas.openxmlformats.org/drawingml/2006/main">
                    <a:graphicData uri="http://schemas.openxmlformats.org/drawingml/2006/picture">
                      <pic:pic xmlns:pic="http://schemas.openxmlformats.org/drawingml/2006/picture">
                        <pic:nvPicPr>
                          <pic:cNvPr id="9" name="图片 7" descr="IMG_256"/>
                          <pic:cNvPicPr/>
                        </pic:nvPicPr>
                        <pic:blipFill>
                          <a:blip r:embed="rId13"/>
                          <a:stretch>
                            <a:fillRect/>
                          </a:stretch>
                        </pic:blipFill>
                        <pic:spPr>
                          <a:xfrm>
                            <a:off x="0" y="0"/>
                            <a:ext cx="2827655" cy="2146300"/>
                          </a:xfrm>
                          <a:prstGeom prst="rect">
                            <a:avLst/>
                          </a:prstGeom>
                          <a:noFill/>
                          <a:ln w="9525">
                            <a:noFill/>
                          </a:ln>
                        </pic:spPr>
                      </pic:pic>
                    </a:graphicData>
                  </a:graphic>
                </wp:anchor>
              </w:drawing>
            </w:r>
          </w:p>
        </w:tc>
        <w:tc>
          <w:tcPr>
            <w:tcW w:w="4614" w:type="dxa"/>
            <w:tcBorders>
              <w:tl2br w:val="nil"/>
              <w:tr2bl w:val="nil"/>
            </w:tcBorders>
            <w:vAlign w:val="top"/>
          </w:tcPr>
          <w:p>
            <w:pPr>
              <w:adjustRightInd w:val="0"/>
              <w:snapToGrid w:val="0"/>
              <w:jc w:val="both"/>
              <w:rPr>
                <w:rFonts w:hint="eastAsia" w:eastAsia="宋体"/>
                <w:snapToGrid w:val="0"/>
                <w:color w:val="auto"/>
                <w:kern w:val="0"/>
                <w:sz w:val="18"/>
                <w:szCs w:val="18"/>
                <w:highlight w:val="none"/>
                <w:lang w:val="en-US" w:eastAsia="zh-CN"/>
              </w:rPr>
            </w:pPr>
            <w:r>
              <w:rPr>
                <w:rFonts w:hint="eastAsia" w:eastAsia="宋体"/>
                <w:snapToGrid w:val="0"/>
                <w:color w:val="auto"/>
                <w:kern w:val="0"/>
                <w:sz w:val="18"/>
                <w:szCs w:val="18"/>
                <w:highlight w:val="none"/>
                <w:lang w:val="en-US" w:eastAsia="zh-CN"/>
              </w:rPr>
              <w:drawing>
                <wp:anchor distT="0" distB="0" distL="114300" distR="114300" simplePos="0" relativeHeight="251659264" behindDoc="0" locked="0" layoutInCell="1" allowOverlap="1">
                  <wp:simplePos x="0" y="0"/>
                  <wp:positionH relativeFrom="column">
                    <wp:posOffset>-56515</wp:posOffset>
                  </wp:positionH>
                  <wp:positionV relativeFrom="paragraph">
                    <wp:posOffset>63500</wp:posOffset>
                  </wp:positionV>
                  <wp:extent cx="2903855" cy="2128520"/>
                  <wp:effectExtent l="0" t="0" r="4445" b="5080"/>
                  <wp:wrapSquare wrapText="bothSides"/>
                  <wp:docPr id="10"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56"/>
                          <pic:cNvPicPr>
                            <a:picLocks noChangeAspect="1"/>
                          </pic:cNvPicPr>
                        </pic:nvPicPr>
                        <pic:blipFill>
                          <a:blip r:embed="rId14"/>
                          <a:stretch>
                            <a:fillRect/>
                          </a:stretch>
                        </pic:blipFill>
                        <pic:spPr>
                          <a:xfrm>
                            <a:off x="0" y="0"/>
                            <a:ext cx="2903855" cy="2128520"/>
                          </a:xfrm>
                          <a:prstGeom prst="rect">
                            <a:avLst/>
                          </a:prstGeom>
                          <a:noFill/>
                          <a:ln w="9525">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4525" w:type="dxa"/>
            <w:tcBorders>
              <w:tl2br w:val="nil"/>
              <w:tr2bl w:val="nil"/>
            </w:tcBorders>
            <w:vAlign w:val="top"/>
          </w:tcPr>
          <w:p>
            <w:pPr>
              <w:adjustRightInd w:val="0"/>
              <w:snapToGrid w:val="0"/>
              <w:jc w:val="center"/>
              <w:rPr>
                <w:highlight w:val="none"/>
                <w:vertAlign w:val="baseline"/>
              </w:rPr>
            </w:pPr>
            <w:r>
              <w:rPr>
                <w:rFonts w:hint="eastAsia" w:eastAsia="宋体"/>
                <w:snapToGrid w:val="0"/>
                <w:color w:val="auto"/>
                <w:kern w:val="0"/>
                <w:sz w:val="18"/>
                <w:szCs w:val="18"/>
                <w:highlight w:val="none"/>
                <w:lang w:val="en-US" w:eastAsia="zh-CN"/>
              </w:rPr>
              <w:t>Fig 4 The reactor pressure vessel installed in place in Hainan province, Chin</w:t>
            </w:r>
            <w:r>
              <w:rPr>
                <w:rFonts w:hint="eastAsia" w:eastAsia="宋体"/>
                <w:snapToGrid w:val="0"/>
                <w:color w:val="auto"/>
                <w:kern w:val="0"/>
                <w:sz w:val="18"/>
                <w:szCs w:val="18"/>
                <w:highlight w:val="none"/>
                <w:vertAlign w:val="baseline"/>
                <w:lang w:val="en-US" w:eastAsia="zh-CN"/>
              </w:rPr>
              <w:t>a[9]</w:t>
            </w:r>
          </w:p>
        </w:tc>
        <w:tc>
          <w:tcPr>
            <w:tcW w:w="4614" w:type="dxa"/>
            <w:tcBorders>
              <w:tl2br w:val="nil"/>
              <w:tr2bl w:val="nil"/>
            </w:tcBorders>
            <w:vAlign w:val="top"/>
          </w:tcPr>
          <w:p>
            <w:pPr>
              <w:adjustRightInd w:val="0"/>
              <w:snapToGrid w:val="0"/>
              <w:jc w:val="center"/>
              <w:rPr>
                <w:rFonts w:hint="default"/>
                <w:highlight w:val="none"/>
                <w:vertAlign w:val="baseline"/>
                <w:lang w:val="en-US"/>
              </w:rPr>
            </w:pPr>
            <w:r>
              <w:rPr>
                <w:rFonts w:hint="eastAsia" w:ascii="Times New Roman" w:hAnsi="Times New Roman" w:eastAsia="Times New Roman" w:cs="Times New Roman"/>
                <w:sz w:val="18"/>
                <w:szCs w:val="18"/>
                <w:highlight w:val="none"/>
                <w:lang w:val="en-US" w:eastAsia="zh-CN" w:bidi="ar-SA"/>
              </w:rPr>
              <w:t>Fig</w:t>
            </w:r>
            <w:r>
              <w:rPr>
                <w:rFonts w:hint="eastAsia" w:cs="Times New Roman"/>
                <w:sz w:val="18"/>
                <w:szCs w:val="18"/>
                <w:highlight w:val="none"/>
                <w:lang w:val="en-US" w:eastAsia="zh-CN" w:bidi="ar-SA"/>
              </w:rPr>
              <w:t xml:space="preserve"> 5</w:t>
            </w:r>
            <w:r>
              <w:rPr>
                <w:rFonts w:hint="eastAsia" w:ascii="Times New Roman" w:hAnsi="Times New Roman" w:eastAsia="Times New Roman" w:cs="Times New Roman"/>
                <w:sz w:val="18"/>
                <w:szCs w:val="18"/>
                <w:highlight w:val="none"/>
                <w:lang w:val="en-US" w:eastAsia="zh-CN" w:bidi="ar-SA"/>
              </w:rPr>
              <w:t xml:space="preserve"> The 210MWe HTR-PM demonstration project in Shandong province</w:t>
            </w:r>
            <w:r>
              <w:rPr>
                <w:rFonts w:hint="eastAsia" w:cs="Times New Roman"/>
                <w:sz w:val="18"/>
                <w:szCs w:val="18"/>
                <w:highlight w:val="none"/>
                <w:lang w:val="en-US" w:eastAsia="zh-CN" w:bidi="ar-SA"/>
              </w:rPr>
              <w:t>，China</w:t>
            </w:r>
          </w:p>
        </w:tc>
      </w:tr>
    </w:tbl>
    <w:p>
      <w:pPr>
        <w:pStyle w:val="6"/>
        <w:numPr>
          <w:ilvl w:val="1"/>
          <w:numId w:val="10"/>
        </w:numPr>
        <w:ind w:left="567" w:hanging="567"/>
        <w:rPr>
          <w:rFonts w:hint="default" w:eastAsia="Times New Roman"/>
          <w:highlight w:val="none"/>
          <w:lang w:val="en-US" w:eastAsia="zh-CN"/>
        </w:rPr>
      </w:pPr>
      <w:r>
        <w:rPr>
          <w:rFonts w:hint="eastAsia" w:ascii="宋体" w:hAnsi="宋体" w:eastAsia="宋体" w:cs="宋体"/>
          <w:color w:val="auto"/>
          <w:sz w:val="24"/>
          <w:szCs w:val="24"/>
          <w:highlight w:val="none"/>
          <w:lang w:val="en-US" w:eastAsia="zh-CN"/>
        </w:rPr>
        <w:t xml:space="preserve"> </w:t>
      </w:r>
      <w:r>
        <w:rPr>
          <w:rFonts w:hint="eastAsia"/>
          <w:highlight w:val="none"/>
          <w:lang w:val="en-US" w:eastAsia="zh-CN"/>
        </w:rPr>
        <w:t>The status of SMRs supply chain in China</w:t>
      </w:r>
    </w:p>
    <w:p>
      <w:pPr>
        <w:pStyle w:val="4"/>
        <w:rPr>
          <w:rFonts w:hint="eastAsia" w:eastAsia="宋体"/>
          <w:highlight w:val="none"/>
          <w:lang w:val="en-US" w:eastAsia="zh-CN"/>
        </w:rPr>
      </w:pPr>
      <w:r>
        <w:rPr>
          <w:rFonts w:hint="eastAsia" w:eastAsia="宋体"/>
          <w:highlight w:val="none"/>
          <w:lang w:val="en-US" w:eastAsia="zh-CN"/>
        </w:rPr>
        <w:t>The nuclear power supply chain is a complex system that includes nuclear materials&amp;fuel, research &amp; development(R&amp;D), equipment manufacturing, construction, operation and maintenance enterprises, as well as related universities, research institutes, training institutions and other companies. Due to the special characteristics of nuclear energy applications, it is particularly important to pay attention to the impact of nuclear safety on society and the environment. Therefore, strict requirements have been put forward for relevant enterprises, research institutions, universities, and training institutions in the nuclear power supply chain.</w:t>
      </w:r>
    </w:p>
    <w:p>
      <w:pPr>
        <w:pStyle w:val="4"/>
        <w:rPr>
          <w:rFonts w:hint="default" w:eastAsia="宋体"/>
          <w:highlight w:val="none"/>
          <w:lang w:val="en-US" w:eastAsia="zh-CN"/>
        </w:rPr>
      </w:pPr>
      <w:r>
        <w:rPr>
          <w:rFonts w:hint="default" w:eastAsia="宋体"/>
          <w:highlight w:val="none"/>
          <w:lang w:val="en-US" w:eastAsia="zh-CN"/>
        </w:rPr>
        <w:t xml:space="preserve">As one of the few countries in the world with an independent and complete nuclear industry </w:t>
      </w:r>
      <w:r>
        <w:rPr>
          <w:rFonts w:hint="eastAsia" w:eastAsia="宋体"/>
          <w:highlight w:val="none"/>
          <w:lang w:val="en-US" w:eastAsia="zh-CN"/>
        </w:rPr>
        <w:t>systems</w:t>
      </w:r>
      <w:r>
        <w:rPr>
          <w:rFonts w:hint="default" w:eastAsia="宋体"/>
          <w:highlight w:val="none"/>
          <w:lang w:val="en-US" w:eastAsia="zh-CN"/>
        </w:rPr>
        <w:t>, China has 55 operating nuclear power units</w:t>
      </w:r>
      <w:r>
        <w:rPr>
          <w:rFonts w:hint="eastAsia" w:eastAsia="宋体"/>
          <w:highlight w:val="none"/>
          <w:lang w:val="en-US" w:eastAsia="zh-CN"/>
        </w:rPr>
        <w:t xml:space="preserve"> by the end of 2023</w:t>
      </w:r>
      <w:r>
        <w:rPr>
          <w:rFonts w:hint="default" w:eastAsia="宋体"/>
          <w:highlight w:val="none"/>
          <w:lang w:val="en-US" w:eastAsia="zh-CN"/>
        </w:rPr>
        <w:t>, ranking third in the world</w:t>
      </w:r>
      <w:r>
        <w:rPr>
          <w:rFonts w:hint="eastAsia" w:eastAsia="宋体"/>
          <w:highlight w:val="none"/>
          <w:lang w:val="en-US" w:eastAsia="zh-CN"/>
        </w:rPr>
        <w:t>, and there are</w:t>
      </w:r>
      <w:r>
        <w:rPr>
          <w:rFonts w:hint="default" w:eastAsia="宋体"/>
          <w:highlight w:val="none"/>
          <w:lang w:val="en-US" w:eastAsia="zh-CN"/>
        </w:rPr>
        <w:t xml:space="preserve"> 26 nuclear power units are under construction, maintaining the world's </w:t>
      </w:r>
      <w:r>
        <w:rPr>
          <w:rFonts w:hint="eastAsia" w:eastAsia="宋体"/>
          <w:highlight w:val="none"/>
          <w:lang w:val="en-US" w:eastAsia="zh-CN"/>
        </w:rPr>
        <w:t>leading</w:t>
      </w:r>
      <w:r>
        <w:rPr>
          <w:rFonts w:hint="default" w:eastAsia="宋体"/>
          <w:highlight w:val="none"/>
          <w:lang w:val="en-US" w:eastAsia="zh-CN"/>
        </w:rPr>
        <w:t xml:space="preserve"> position. In 2022 and 2023, 10 nuclear power units </w:t>
      </w:r>
      <w:r>
        <w:rPr>
          <w:rFonts w:hint="eastAsia" w:eastAsia="宋体"/>
          <w:highlight w:val="none"/>
          <w:lang w:val="en-US" w:eastAsia="zh-CN"/>
        </w:rPr>
        <w:t>were</w:t>
      </w:r>
      <w:r>
        <w:rPr>
          <w:rFonts w:hint="default" w:eastAsia="宋体"/>
          <w:highlight w:val="none"/>
          <w:lang w:val="en-US" w:eastAsia="zh-CN"/>
        </w:rPr>
        <w:t xml:space="preserve"> </w:t>
      </w:r>
      <w:r>
        <w:rPr>
          <w:rFonts w:hint="eastAsia" w:eastAsia="宋体"/>
          <w:highlight w:val="none"/>
          <w:lang w:val="en-US" w:eastAsia="zh-CN"/>
        </w:rPr>
        <w:t>applied to be built</w:t>
      </w:r>
      <w:r>
        <w:rPr>
          <w:rFonts w:hint="default" w:eastAsia="宋体"/>
          <w:highlight w:val="none"/>
          <w:lang w:val="en-US" w:eastAsia="zh-CN"/>
        </w:rPr>
        <w:t xml:space="preserve"> annually , and nuclear power construction enter</w:t>
      </w:r>
      <w:r>
        <w:rPr>
          <w:rFonts w:hint="eastAsia" w:eastAsia="宋体"/>
          <w:highlight w:val="none"/>
          <w:lang w:val="en-US" w:eastAsia="zh-CN"/>
        </w:rPr>
        <w:t>ed</w:t>
      </w:r>
      <w:r>
        <w:rPr>
          <w:rFonts w:hint="default" w:eastAsia="宋体"/>
          <w:highlight w:val="none"/>
          <w:lang w:val="en-US" w:eastAsia="zh-CN"/>
        </w:rPr>
        <w:t xml:space="preserve"> a high-quality development </w:t>
      </w:r>
      <w:r>
        <w:rPr>
          <w:rFonts w:hint="eastAsia" w:eastAsia="宋体"/>
          <w:highlight w:val="none"/>
          <w:lang w:val="en-US" w:eastAsia="zh-CN"/>
        </w:rPr>
        <w:t>period[10]</w:t>
      </w:r>
      <w:r>
        <w:rPr>
          <w:rFonts w:hint="default" w:eastAsia="宋体"/>
          <w:highlight w:val="none"/>
          <w:lang w:val="en-US" w:eastAsia="zh-CN"/>
        </w:rPr>
        <w:t xml:space="preserve">. </w:t>
      </w:r>
    </w:p>
    <w:p>
      <w:pPr>
        <w:pStyle w:val="4"/>
        <w:rPr>
          <w:rFonts w:hint="eastAsia"/>
          <w:highlight w:val="none"/>
        </w:rPr>
      </w:pPr>
      <w:r>
        <w:rPr>
          <w:rFonts w:hint="default" w:eastAsia="宋体"/>
          <w:highlight w:val="none"/>
          <w:lang w:val="en-US" w:eastAsia="zh-CN"/>
        </w:rPr>
        <w:t xml:space="preserve">Among them, the first </w:t>
      </w:r>
      <w:r>
        <w:rPr>
          <w:rFonts w:hint="eastAsia" w:eastAsia="宋体"/>
          <w:highlight w:val="none"/>
          <w:lang w:val="en-US" w:eastAsia="zh-CN"/>
        </w:rPr>
        <w:t>unite</w:t>
      </w:r>
      <w:r>
        <w:rPr>
          <w:rFonts w:hint="default" w:eastAsia="宋体"/>
          <w:highlight w:val="none"/>
          <w:lang w:val="en-US" w:eastAsia="zh-CN"/>
        </w:rPr>
        <w:t xml:space="preserve"> of China's independently developed “Hualong</w:t>
      </w:r>
      <w:r>
        <w:rPr>
          <w:rFonts w:hint="eastAsia" w:eastAsia="宋体"/>
          <w:highlight w:val="none"/>
          <w:lang w:val="en-US" w:eastAsia="zh-CN"/>
        </w:rPr>
        <w:t xml:space="preserve"> one</w:t>
      </w:r>
      <w:r>
        <w:rPr>
          <w:rFonts w:hint="default" w:eastAsia="宋体"/>
          <w:highlight w:val="none"/>
          <w:lang w:val="en-US" w:eastAsia="zh-CN"/>
        </w:rPr>
        <w:t>”</w:t>
      </w:r>
      <w:r>
        <w:rPr>
          <w:rFonts w:hint="eastAsia" w:eastAsia="宋体"/>
          <w:highlight w:val="none"/>
          <w:lang w:val="en-US" w:eastAsia="zh-CN"/>
        </w:rPr>
        <w:t>(Fig 6)</w:t>
      </w:r>
      <w:r>
        <w:rPr>
          <w:rFonts w:hint="default" w:eastAsia="宋体"/>
          <w:highlight w:val="none"/>
          <w:lang w:val="en-US" w:eastAsia="zh-CN"/>
        </w:rPr>
        <w:t xml:space="preserve"> advanced large</w:t>
      </w:r>
      <w:r>
        <w:rPr>
          <w:rFonts w:hint="eastAsia" w:eastAsia="宋体"/>
          <w:highlight w:val="none"/>
          <w:lang w:val="en-US" w:eastAsia="zh-CN"/>
        </w:rPr>
        <w:t xml:space="preserve"> </w:t>
      </w:r>
      <w:r>
        <w:rPr>
          <w:rFonts w:hint="default" w:eastAsia="宋体"/>
          <w:highlight w:val="none"/>
          <w:lang w:val="en-US" w:eastAsia="zh-CN"/>
        </w:rPr>
        <w:t>pressurized water reactor nuclear power plant has been in operation since January 2021</w:t>
      </w:r>
      <w:r>
        <w:rPr>
          <w:rFonts w:hint="eastAsia" w:eastAsia="宋体"/>
          <w:highlight w:val="none"/>
          <w:lang w:val="en-US" w:eastAsia="zh-CN"/>
        </w:rPr>
        <w:t>[11]</w:t>
      </w:r>
      <w:r>
        <w:rPr>
          <w:rFonts w:hint="default" w:eastAsia="宋体"/>
          <w:highlight w:val="none"/>
          <w:lang w:val="en-US" w:eastAsia="zh-CN"/>
        </w:rPr>
        <w:t xml:space="preserve"> and is currently undergoing mass construction; The </w:t>
      </w:r>
      <w:r>
        <w:rPr>
          <w:rFonts w:hint="eastAsia" w:eastAsia="宋体"/>
          <w:highlight w:val="none"/>
          <w:lang w:val="en-US" w:eastAsia="zh-CN"/>
        </w:rPr>
        <w:t>development</w:t>
      </w:r>
      <w:r>
        <w:rPr>
          <w:rFonts w:hint="default" w:eastAsia="宋体"/>
          <w:highlight w:val="none"/>
          <w:lang w:val="en-US" w:eastAsia="zh-CN"/>
        </w:rPr>
        <w:t xml:space="preserve"> of the “Guohe </w:t>
      </w:r>
      <w:r>
        <w:rPr>
          <w:rFonts w:hint="eastAsia" w:eastAsia="宋体"/>
          <w:highlight w:val="none"/>
          <w:lang w:val="en-US" w:eastAsia="zh-CN"/>
        </w:rPr>
        <w:t>one</w:t>
      </w:r>
      <w:r>
        <w:rPr>
          <w:rFonts w:hint="default" w:eastAsia="宋体"/>
          <w:highlight w:val="none"/>
          <w:lang w:val="en-US" w:eastAsia="zh-CN"/>
        </w:rPr>
        <w:t>”</w:t>
      </w:r>
      <w:r>
        <w:rPr>
          <w:rFonts w:hint="eastAsia" w:eastAsia="宋体"/>
          <w:highlight w:val="none"/>
          <w:lang w:val="en-US" w:eastAsia="zh-CN"/>
        </w:rPr>
        <w:t>(Fig 7)</w:t>
      </w:r>
      <w:r>
        <w:rPr>
          <w:rFonts w:hint="default" w:eastAsia="宋体"/>
          <w:highlight w:val="none"/>
          <w:lang w:val="en-US" w:eastAsia="zh-CN"/>
        </w:rPr>
        <w:t xml:space="preserve"> advanced passive pressurized water reactor nuclear power plant </w:t>
      </w:r>
      <w:r>
        <w:rPr>
          <w:rFonts w:hint="eastAsia" w:eastAsia="宋体"/>
          <w:highlight w:val="none"/>
          <w:lang w:val="en-US" w:eastAsia="zh-CN"/>
        </w:rPr>
        <w:t>has</w:t>
      </w:r>
      <w:r>
        <w:rPr>
          <w:rFonts w:hint="default" w:eastAsia="宋体"/>
          <w:highlight w:val="none"/>
          <w:lang w:val="en-US" w:eastAsia="zh-CN"/>
        </w:rPr>
        <w:t xml:space="preserve"> also</w:t>
      </w:r>
      <w:r>
        <w:rPr>
          <w:rFonts w:hint="eastAsia" w:eastAsia="宋体"/>
          <w:highlight w:val="none"/>
          <w:lang w:val="en-US" w:eastAsia="zh-CN"/>
        </w:rPr>
        <w:t xml:space="preserve"> been completed</w:t>
      </w:r>
      <w:r>
        <w:rPr>
          <w:rFonts w:hint="default" w:eastAsia="宋体"/>
          <w:highlight w:val="none"/>
          <w:lang w:val="en-US" w:eastAsia="zh-CN"/>
        </w:rPr>
        <w:t xml:space="preserve"> </w:t>
      </w:r>
      <w:r>
        <w:rPr>
          <w:rFonts w:hint="eastAsia" w:eastAsia="宋体"/>
          <w:highlight w:val="none"/>
          <w:lang w:val="en-US" w:eastAsia="zh-CN"/>
        </w:rPr>
        <w:t>in 2020[12]</w:t>
      </w:r>
      <w:r>
        <w:rPr>
          <w:rFonts w:hint="default" w:eastAsia="宋体"/>
          <w:highlight w:val="none"/>
          <w:lang w:val="en-US" w:eastAsia="zh-CN"/>
        </w:rPr>
        <w:t xml:space="preserve">. </w:t>
      </w:r>
      <w:r>
        <w:rPr>
          <w:rFonts w:hint="eastAsia" w:eastAsia="宋体"/>
          <w:highlight w:val="none"/>
          <w:lang w:val="en-US" w:eastAsia="zh-CN"/>
        </w:rPr>
        <w:t xml:space="preserve">China has established </w:t>
      </w:r>
      <w:r>
        <w:rPr>
          <w:rFonts w:hint="default" w:eastAsia="宋体"/>
          <w:highlight w:val="none"/>
          <w:lang w:val="en-US" w:eastAsia="zh-CN"/>
        </w:rPr>
        <w:t>complete supply chain system</w:t>
      </w:r>
      <w:r>
        <w:rPr>
          <w:rFonts w:hint="eastAsia" w:eastAsia="宋体"/>
          <w:highlight w:val="none"/>
          <w:lang w:val="en-US" w:eastAsia="zh-CN"/>
        </w:rPr>
        <w:t xml:space="preserve"> during</w:t>
      </w:r>
      <w:r>
        <w:rPr>
          <w:rFonts w:hint="default" w:eastAsia="宋体"/>
          <w:highlight w:val="none"/>
          <w:lang w:val="en-US" w:eastAsia="zh-CN"/>
        </w:rPr>
        <w:t xml:space="preserve"> the research, development, construction, and operation of Hualong One and Guohe One</w:t>
      </w:r>
      <w:r>
        <w:rPr>
          <w:rFonts w:hint="eastAsia" w:eastAsia="宋体"/>
          <w:highlight w:val="none"/>
          <w:lang w:val="en-US" w:eastAsia="zh-CN"/>
        </w:rPr>
        <w:t>.</w:t>
      </w:r>
    </w:p>
    <w:tbl>
      <w:tblPr>
        <w:tblStyle w:val="21"/>
        <w:tblW w:w="91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21"/>
        <w:gridCol w:w="46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1" w:hRule="atLeast"/>
        </w:trPr>
        <w:tc>
          <w:tcPr>
            <w:tcW w:w="4525" w:type="dxa"/>
            <w:tcBorders>
              <w:tl2br w:val="nil"/>
              <w:tr2bl w:val="nil"/>
            </w:tcBorders>
            <w:vAlign w:val="top"/>
          </w:tcPr>
          <w:p>
            <w:pPr>
              <w:adjustRightInd w:val="0"/>
              <w:snapToGrid w:val="0"/>
              <w:jc w:val="center"/>
              <w:rPr>
                <w:rFonts w:hint="eastAsia" w:eastAsia="宋体"/>
                <w:snapToGrid w:val="0"/>
                <w:color w:val="auto"/>
                <w:kern w:val="0"/>
                <w:sz w:val="18"/>
                <w:szCs w:val="18"/>
                <w:highlight w:val="none"/>
                <w:lang w:val="en-US" w:eastAsia="zh-CN"/>
              </w:rPr>
            </w:pPr>
            <w:r>
              <w:rPr>
                <w:rFonts w:hint="eastAsia" w:eastAsia="宋体"/>
                <w:snapToGrid w:val="0"/>
                <w:color w:val="auto"/>
                <w:kern w:val="0"/>
                <w:sz w:val="18"/>
                <w:szCs w:val="18"/>
                <w:highlight w:val="none"/>
                <w:lang w:val="en-US" w:eastAsia="zh-CN"/>
              </w:rPr>
              <w:drawing>
                <wp:inline distT="0" distB="0" distL="114300" distR="114300">
                  <wp:extent cx="2832735" cy="1993265"/>
                  <wp:effectExtent l="0" t="0" r="12065" b="635"/>
                  <wp:docPr id="1" name="图片 1" descr="华龙一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华龙一号"/>
                          <pic:cNvPicPr>
                            <a:picLocks noChangeAspect="1"/>
                          </pic:cNvPicPr>
                        </pic:nvPicPr>
                        <pic:blipFill>
                          <a:blip r:embed="rId15"/>
                          <a:stretch>
                            <a:fillRect/>
                          </a:stretch>
                        </pic:blipFill>
                        <pic:spPr>
                          <a:xfrm>
                            <a:off x="0" y="0"/>
                            <a:ext cx="2832735" cy="1993265"/>
                          </a:xfrm>
                          <a:prstGeom prst="rect">
                            <a:avLst/>
                          </a:prstGeom>
                        </pic:spPr>
                      </pic:pic>
                    </a:graphicData>
                  </a:graphic>
                </wp:inline>
              </w:drawing>
            </w:r>
          </w:p>
        </w:tc>
        <w:tc>
          <w:tcPr>
            <w:tcW w:w="4614" w:type="dxa"/>
            <w:tcBorders>
              <w:tl2br w:val="nil"/>
              <w:tr2bl w:val="nil"/>
            </w:tcBorders>
            <w:vAlign w:val="top"/>
          </w:tcPr>
          <w:p>
            <w:pPr>
              <w:adjustRightInd w:val="0"/>
              <w:snapToGrid w:val="0"/>
              <w:jc w:val="center"/>
              <w:rPr>
                <w:rFonts w:hint="eastAsia" w:eastAsia="宋体"/>
                <w:snapToGrid w:val="0"/>
                <w:color w:val="auto"/>
                <w:kern w:val="0"/>
                <w:sz w:val="18"/>
                <w:szCs w:val="18"/>
                <w:highlight w:val="none"/>
                <w:lang w:val="en-US" w:eastAsia="zh-CN"/>
              </w:rPr>
            </w:pPr>
            <w:r>
              <w:rPr>
                <w:highlight w:val="none"/>
              </w:rPr>
              <w:drawing>
                <wp:inline distT="0" distB="0" distL="114300" distR="114300">
                  <wp:extent cx="2840355" cy="1992630"/>
                  <wp:effectExtent l="0" t="0" r="4445" b="1270"/>
                  <wp:docPr id="100" name="图片 99"/>
                  <wp:cNvGraphicFramePr/>
                  <a:graphic xmlns:a="http://schemas.openxmlformats.org/drawingml/2006/main">
                    <a:graphicData uri="http://schemas.openxmlformats.org/drawingml/2006/picture">
                      <pic:pic xmlns:pic="http://schemas.openxmlformats.org/drawingml/2006/picture">
                        <pic:nvPicPr>
                          <pic:cNvPr id="100" name="图片 99"/>
                          <pic:cNvPicPr/>
                        </pic:nvPicPr>
                        <pic:blipFill>
                          <a:blip r:embed="rId16"/>
                          <a:srcRect l="18984" b="31865"/>
                          <a:stretch>
                            <a:fillRect/>
                          </a:stretch>
                        </pic:blipFill>
                        <pic:spPr>
                          <a:xfrm>
                            <a:off x="0" y="0"/>
                            <a:ext cx="2840355" cy="199263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4525" w:type="dxa"/>
            <w:tcBorders>
              <w:tl2br w:val="nil"/>
              <w:tr2bl w:val="nil"/>
            </w:tcBorders>
            <w:vAlign w:val="top"/>
          </w:tcPr>
          <w:p>
            <w:pPr>
              <w:adjustRightInd w:val="0"/>
              <w:snapToGrid w:val="0"/>
              <w:jc w:val="center"/>
              <w:rPr>
                <w:rFonts w:hint="default"/>
                <w:highlight w:val="none"/>
                <w:vertAlign w:val="baseline"/>
                <w:lang w:val="en-US"/>
              </w:rPr>
            </w:pPr>
            <w:r>
              <w:rPr>
                <w:rFonts w:hint="eastAsia" w:eastAsia="宋体"/>
                <w:snapToGrid w:val="0"/>
                <w:color w:val="auto"/>
                <w:kern w:val="0"/>
                <w:sz w:val="18"/>
                <w:szCs w:val="18"/>
                <w:highlight w:val="none"/>
                <w:lang w:val="en-US" w:eastAsia="zh-CN"/>
              </w:rPr>
              <w:t>Fig 6  The Hualong One Nuclear power plant in Fujian province, China[13]</w:t>
            </w:r>
          </w:p>
        </w:tc>
        <w:tc>
          <w:tcPr>
            <w:tcW w:w="4614" w:type="dxa"/>
            <w:tcBorders>
              <w:tl2br w:val="nil"/>
              <w:tr2bl w:val="nil"/>
            </w:tcBorders>
            <w:vAlign w:val="top"/>
          </w:tcPr>
          <w:p>
            <w:pPr>
              <w:adjustRightInd w:val="0"/>
              <w:snapToGrid w:val="0"/>
              <w:jc w:val="center"/>
              <w:rPr>
                <w:rFonts w:hint="default"/>
                <w:highlight w:val="none"/>
                <w:vertAlign w:val="baseline"/>
                <w:lang w:val="en-US"/>
              </w:rPr>
            </w:pPr>
            <w:r>
              <w:rPr>
                <w:rFonts w:hint="eastAsia" w:ascii="Times New Roman" w:hAnsi="Times New Roman" w:eastAsia="Times New Roman" w:cs="Times New Roman"/>
                <w:sz w:val="18"/>
                <w:szCs w:val="18"/>
                <w:highlight w:val="none"/>
                <w:lang w:val="en-US" w:eastAsia="zh-CN" w:bidi="ar-SA"/>
              </w:rPr>
              <w:t>Fig</w:t>
            </w:r>
            <w:r>
              <w:rPr>
                <w:rFonts w:hint="eastAsia" w:cs="Times New Roman"/>
                <w:sz w:val="18"/>
                <w:szCs w:val="18"/>
                <w:highlight w:val="none"/>
                <w:lang w:val="en-US" w:eastAsia="zh-CN" w:bidi="ar-SA"/>
              </w:rPr>
              <w:t xml:space="preserve"> 7</w:t>
            </w:r>
            <w:r>
              <w:rPr>
                <w:rFonts w:hint="eastAsia" w:ascii="Times New Roman" w:hAnsi="Times New Roman" w:eastAsia="Times New Roman" w:cs="Times New Roman"/>
                <w:sz w:val="18"/>
                <w:szCs w:val="18"/>
                <w:highlight w:val="none"/>
                <w:lang w:val="en-US" w:eastAsia="zh-CN" w:bidi="ar-SA"/>
              </w:rPr>
              <w:t xml:space="preserve">  The</w:t>
            </w:r>
            <w:r>
              <w:rPr>
                <w:rFonts w:hint="eastAsia" w:cs="Times New Roman"/>
                <w:sz w:val="18"/>
                <w:szCs w:val="18"/>
                <w:highlight w:val="none"/>
                <w:lang w:val="en-US" w:eastAsia="zh-CN" w:bidi="ar-SA"/>
              </w:rPr>
              <w:t xml:space="preserve"> Guohe One nuclear power plant under construction in Shandong province,China[12]</w:t>
            </w:r>
          </w:p>
        </w:tc>
      </w:tr>
    </w:tbl>
    <w:p>
      <w:pPr>
        <w:pStyle w:val="4"/>
        <w:rPr>
          <w:rFonts w:hint="eastAsia"/>
          <w:highlight w:val="none"/>
        </w:rPr>
      </w:pPr>
    </w:p>
    <w:p>
      <w:pPr>
        <w:pStyle w:val="4"/>
        <w:rPr>
          <w:rFonts w:hint="default" w:eastAsia="宋体"/>
          <w:highlight w:val="none"/>
          <w:lang w:val="en-US" w:eastAsia="zh-CN"/>
        </w:rPr>
      </w:pPr>
      <w:r>
        <w:rPr>
          <w:rFonts w:hint="default" w:eastAsia="宋体"/>
          <w:highlight w:val="none"/>
          <w:lang w:val="en-US" w:eastAsia="zh-CN"/>
        </w:rPr>
        <w:t xml:space="preserve">The relevant </w:t>
      </w:r>
      <w:r>
        <w:rPr>
          <w:rFonts w:hint="eastAsia" w:eastAsia="宋体"/>
          <w:highlight w:val="none"/>
          <w:lang w:val="en-US" w:eastAsia="zh-CN"/>
        </w:rPr>
        <w:t>members</w:t>
      </w:r>
      <w:r>
        <w:rPr>
          <w:rFonts w:hint="default" w:eastAsia="宋体"/>
          <w:highlight w:val="none"/>
          <w:lang w:val="en-US" w:eastAsia="zh-CN"/>
        </w:rPr>
        <w:t xml:space="preserve"> in the supply chains of </w:t>
      </w:r>
      <w:r>
        <w:rPr>
          <w:rFonts w:hint="eastAsia"/>
          <w:highlight w:val="none"/>
        </w:rPr>
        <w:t>“Hualong One</w:t>
      </w:r>
      <w:r>
        <w:rPr>
          <w:rFonts w:hint="default" w:eastAsia="宋体"/>
          <w:highlight w:val="none"/>
          <w:lang w:val="en-US" w:eastAsia="zh-CN"/>
        </w:rPr>
        <w:t>”</w:t>
      </w:r>
      <w:r>
        <w:rPr>
          <w:rFonts w:hint="eastAsia"/>
          <w:highlight w:val="none"/>
        </w:rPr>
        <w:t xml:space="preserve"> </w:t>
      </w:r>
      <w:r>
        <w:rPr>
          <w:rFonts w:hint="default" w:eastAsia="宋体"/>
          <w:highlight w:val="none"/>
          <w:lang w:val="en-US" w:eastAsia="zh-CN"/>
        </w:rPr>
        <w:t xml:space="preserve">and </w:t>
      </w:r>
      <w:r>
        <w:rPr>
          <w:rFonts w:hint="eastAsia"/>
          <w:highlight w:val="none"/>
        </w:rPr>
        <w:t>“Guohe One</w:t>
      </w:r>
      <w:r>
        <w:rPr>
          <w:rFonts w:hint="default" w:eastAsia="宋体"/>
          <w:highlight w:val="none"/>
          <w:lang w:val="en-US" w:eastAsia="zh-CN"/>
        </w:rPr>
        <w:t>” also have the ability to provide services for SMR projects, which can provide strong support for the development</w:t>
      </w:r>
      <w:r>
        <w:rPr>
          <w:rFonts w:hint="eastAsia" w:eastAsia="宋体"/>
          <w:highlight w:val="none"/>
          <w:lang w:val="en-US" w:eastAsia="zh-CN"/>
        </w:rPr>
        <w:t xml:space="preserve"> and application</w:t>
      </w:r>
      <w:r>
        <w:rPr>
          <w:rFonts w:hint="default" w:eastAsia="宋体"/>
          <w:highlight w:val="none"/>
          <w:lang w:val="en-US" w:eastAsia="zh-CN"/>
        </w:rPr>
        <w:t xml:space="preserve"> of SMRs in China.</w:t>
      </w:r>
    </w:p>
    <w:p>
      <w:pPr>
        <w:pStyle w:val="4"/>
        <w:rPr>
          <w:rFonts w:hint="eastAsia" w:eastAsia="宋体"/>
          <w:highlight w:val="none"/>
          <w:lang w:val="en-US" w:eastAsia="zh-CN"/>
        </w:rPr>
      </w:pPr>
      <w:r>
        <w:rPr>
          <w:rFonts w:hint="eastAsia" w:eastAsia="宋体"/>
          <w:highlight w:val="none"/>
          <w:lang w:val="en-US" w:eastAsia="zh-CN"/>
        </w:rPr>
        <w:t>Through a systematic analysis, the China's SMR supply chain has been sorted out from six aspects: nuclear material fuel, research and development, component manufacturing, engineering construction, operation and maintenance, and education and training(Fig 8).</w:t>
      </w:r>
    </w:p>
    <w:p>
      <w:pPr>
        <w:pStyle w:val="4"/>
        <w:rPr>
          <w:rFonts w:hint="eastAsia" w:eastAsia="宋体"/>
          <w:highlight w:val="none"/>
          <w:lang w:val="en-US" w:eastAsia="zh-CN"/>
        </w:rPr>
      </w:pPr>
    </w:p>
    <w:p>
      <w:pPr>
        <w:pStyle w:val="4"/>
        <w:ind w:left="0" w:leftChars="0" w:firstLine="0" w:firstLineChars="0"/>
        <w:jc w:val="center"/>
        <w:rPr>
          <w:rFonts w:hint="eastAsia" w:eastAsia="宋体"/>
          <w:highlight w:val="none"/>
          <w:lang w:eastAsia="zh-CN"/>
        </w:rPr>
      </w:pPr>
      <w:r>
        <w:rPr>
          <w:rFonts w:hint="eastAsia" w:eastAsia="宋体"/>
          <w:highlight w:val="none"/>
          <w:lang w:eastAsia="zh-CN"/>
        </w:rPr>
        <w:drawing>
          <wp:inline distT="0" distB="0" distL="114300" distR="114300">
            <wp:extent cx="4970145" cy="2847975"/>
            <wp:effectExtent l="0" t="0" r="8255" b="9525"/>
            <wp:docPr id="14" name="图片 14" descr="China NPP SMR supply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hina NPP SMR supplychain"/>
                    <pic:cNvPicPr>
                      <a:picLocks noChangeAspect="1"/>
                    </pic:cNvPicPr>
                  </pic:nvPicPr>
                  <pic:blipFill>
                    <a:blip r:embed="rId17"/>
                    <a:stretch>
                      <a:fillRect/>
                    </a:stretch>
                  </pic:blipFill>
                  <pic:spPr>
                    <a:xfrm>
                      <a:off x="0" y="0"/>
                      <a:ext cx="4970145" cy="2847975"/>
                    </a:xfrm>
                    <a:prstGeom prst="rect">
                      <a:avLst/>
                    </a:prstGeom>
                  </pic:spPr>
                </pic:pic>
              </a:graphicData>
            </a:graphic>
          </wp:inline>
        </w:drawing>
      </w:r>
    </w:p>
    <w:p>
      <w:pPr>
        <w:pStyle w:val="4"/>
        <w:jc w:val="center"/>
        <w:rPr>
          <w:rFonts w:hint="default"/>
          <w:sz w:val="18"/>
          <w:szCs w:val="18"/>
          <w:highlight w:val="none"/>
        </w:rPr>
      </w:pPr>
      <w:r>
        <w:rPr>
          <w:rFonts w:hint="eastAsia" w:cs="Times New Roman"/>
          <w:sz w:val="18"/>
          <w:szCs w:val="18"/>
          <w:highlight w:val="none"/>
          <w:lang w:val="en-US" w:eastAsia="zh-CN"/>
        </w:rPr>
        <w:t xml:space="preserve">Fig 8  The </w:t>
      </w:r>
      <w:r>
        <w:rPr>
          <w:rFonts w:hint="default" w:eastAsia="Times New Roman"/>
          <w:caps w:val="0"/>
          <w:sz w:val="18"/>
          <w:szCs w:val="18"/>
          <w:highlight w:val="none"/>
          <w:lang w:val="en-US" w:eastAsia="zh-CN"/>
        </w:rPr>
        <w:t>c</w:t>
      </w:r>
      <w:r>
        <w:rPr>
          <w:rFonts w:hint="default"/>
          <w:sz w:val="18"/>
          <w:szCs w:val="18"/>
          <w:highlight w:val="none"/>
        </w:rPr>
        <w:t>omposition of</w:t>
      </w:r>
      <w:r>
        <w:rPr>
          <w:rFonts w:hint="eastAsia" w:eastAsia="宋体"/>
          <w:sz w:val="18"/>
          <w:szCs w:val="18"/>
          <w:highlight w:val="none"/>
          <w:lang w:val="en-US" w:eastAsia="zh-CN"/>
        </w:rPr>
        <w:t xml:space="preserve"> China SMRs/NPP</w:t>
      </w:r>
      <w:r>
        <w:rPr>
          <w:rFonts w:hint="default"/>
          <w:sz w:val="18"/>
          <w:szCs w:val="18"/>
          <w:highlight w:val="none"/>
        </w:rPr>
        <w:t xml:space="preserve"> supply chain</w:t>
      </w:r>
    </w:p>
    <w:p>
      <w:pPr>
        <w:pStyle w:val="4"/>
        <w:jc w:val="center"/>
        <w:rPr>
          <w:rFonts w:hint="default"/>
          <w:sz w:val="18"/>
          <w:szCs w:val="18"/>
          <w:highlight w:val="none"/>
          <w:lang w:val="en-US"/>
        </w:rPr>
      </w:pPr>
    </w:p>
    <w:p>
      <w:pPr>
        <w:pStyle w:val="30"/>
        <w:numPr>
          <w:ilvl w:val="0"/>
          <w:numId w:val="11"/>
        </w:numPr>
        <w:bidi w:val="0"/>
        <w:ind w:left="720" w:leftChars="0" w:hanging="360" w:firstLineChars="0"/>
        <w:rPr>
          <w:rFonts w:hint="default"/>
          <w:highlight w:val="none"/>
          <w:lang w:val="en-US" w:eastAsia="zh-CN"/>
        </w:rPr>
      </w:pPr>
      <w:r>
        <w:rPr>
          <w:rFonts w:hint="eastAsia"/>
          <w:b/>
          <w:bCs/>
          <w:highlight w:val="none"/>
          <w:lang w:val="en-US" w:eastAsia="zh-CN"/>
        </w:rPr>
        <w:t>M</w:t>
      </w:r>
      <w:r>
        <w:rPr>
          <w:rFonts w:hint="default"/>
          <w:b/>
          <w:bCs/>
          <w:highlight w:val="none"/>
          <w:lang w:val="en-US" w:eastAsia="zh-CN"/>
        </w:rPr>
        <w:t>aterials</w:t>
      </w:r>
      <w:r>
        <w:rPr>
          <w:rFonts w:hint="eastAsia"/>
          <w:b/>
          <w:bCs/>
          <w:highlight w:val="none"/>
          <w:lang w:val="en-US" w:eastAsia="zh-CN"/>
        </w:rPr>
        <w:t xml:space="preserve"> &amp; F</w:t>
      </w:r>
      <w:r>
        <w:rPr>
          <w:rFonts w:hint="default"/>
          <w:b/>
          <w:bCs/>
          <w:highlight w:val="none"/>
          <w:lang w:val="en-US" w:eastAsia="zh-CN"/>
        </w:rPr>
        <w:t xml:space="preserve">uel: </w:t>
      </w:r>
      <w:r>
        <w:rPr>
          <w:rFonts w:hint="default"/>
          <w:highlight w:val="none"/>
          <w:lang w:val="en-US" w:eastAsia="zh-CN"/>
        </w:rPr>
        <w:t xml:space="preserve">The </w:t>
      </w:r>
      <w:r>
        <w:rPr>
          <w:rFonts w:hint="eastAsia"/>
          <w:highlight w:val="none"/>
          <w:lang w:val="en-US" w:eastAsia="zh-CN"/>
        </w:rPr>
        <w:t>key items</w:t>
      </w:r>
      <w:r>
        <w:rPr>
          <w:rFonts w:hint="default"/>
          <w:highlight w:val="none"/>
          <w:lang w:val="en-US" w:eastAsia="zh-CN"/>
        </w:rPr>
        <w:t xml:space="preserve"> of nuclear fuel rods are fuel pellets and nuclear fuel rod cladding materials. Nuclear fuel pellets are the main </w:t>
      </w:r>
      <w:r>
        <w:rPr>
          <w:rFonts w:hint="eastAsia"/>
          <w:highlight w:val="none"/>
          <w:lang w:val="en-US" w:eastAsia="zh-CN"/>
        </w:rPr>
        <w:t>contributor</w:t>
      </w:r>
      <w:r>
        <w:rPr>
          <w:rFonts w:hint="default"/>
          <w:highlight w:val="none"/>
          <w:lang w:val="en-US" w:eastAsia="zh-CN"/>
        </w:rPr>
        <w:t xml:space="preserve"> for generating heat in fission</w:t>
      </w:r>
      <w:r>
        <w:rPr>
          <w:rFonts w:hint="eastAsia"/>
          <w:highlight w:val="none"/>
          <w:lang w:val="en-US" w:eastAsia="zh-CN"/>
        </w:rPr>
        <w:t xml:space="preserve"> </w:t>
      </w:r>
      <w:r>
        <w:rPr>
          <w:rFonts w:hint="default"/>
          <w:highlight w:val="none"/>
          <w:lang w:val="en-US" w:eastAsia="zh-CN"/>
        </w:rPr>
        <w:t xml:space="preserve">reactions, while </w:t>
      </w:r>
      <w:r>
        <w:rPr>
          <w:rFonts w:hint="eastAsia"/>
          <w:highlight w:val="none"/>
          <w:lang w:val="en-US" w:eastAsia="zh-CN"/>
        </w:rPr>
        <w:t xml:space="preserve">the </w:t>
      </w:r>
      <w:r>
        <w:rPr>
          <w:rFonts w:hint="default"/>
          <w:highlight w:val="none"/>
          <w:lang w:val="en-US" w:eastAsia="zh-CN"/>
        </w:rPr>
        <w:t xml:space="preserve">fuel cladding materials are the main factors affecting the performance of nuclear fuel rods. China's nuclear fuel manufacturing and supply are currently exclusively supplied by China National Nuclear Corporation (CNNC), which is the only enterprise in China with a complete nuclear fuel cycle industry. The </w:t>
      </w:r>
      <w:r>
        <w:rPr>
          <w:rFonts w:hint="eastAsia"/>
          <w:highlight w:val="none"/>
          <w:lang w:val="en-US" w:eastAsia="zh-CN"/>
        </w:rPr>
        <w:t>China government</w:t>
      </w:r>
      <w:r>
        <w:rPr>
          <w:rFonts w:hint="default"/>
          <w:highlight w:val="none"/>
          <w:lang w:val="en-US" w:eastAsia="zh-CN"/>
        </w:rPr>
        <w:t xml:space="preserve"> authorizes CNNC</w:t>
      </w:r>
      <w:r>
        <w:rPr>
          <w:rFonts w:hint="eastAsia"/>
          <w:highlight w:val="none"/>
          <w:lang w:val="en-US" w:eastAsia="zh-CN"/>
        </w:rPr>
        <w:t xml:space="preserve"> </w:t>
      </w:r>
      <w:r>
        <w:rPr>
          <w:rFonts w:hint="default"/>
          <w:highlight w:val="none"/>
          <w:lang w:val="en-US" w:eastAsia="zh-CN"/>
        </w:rPr>
        <w:t xml:space="preserve">to exercise exclusive control over the production, operation, import, and export of nuclear fuel and uranium products. CNNC Lanzhou Uranium Enrichment Co.,Ltd </w:t>
      </w:r>
      <w:r>
        <w:rPr>
          <w:rFonts w:hint="eastAsia"/>
          <w:highlight w:val="none"/>
          <w:lang w:val="en-US" w:eastAsia="zh-CN"/>
        </w:rPr>
        <w:t>,</w:t>
      </w:r>
      <w:r>
        <w:rPr>
          <w:rFonts w:hint="default"/>
          <w:highlight w:val="none"/>
          <w:lang w:val="en-US" w:eastAsia="zh-CN"/>
        </w:rPr>
        <w:t xml:space="preserve"> CNNC No</w:t>
      </w:r>
      <w:r>
        <w:rPr>
          <w:rFonts w:hint="eastAsia"/>
          <w:highlight w:val="none"/>
          <w:lang w:val="en-US" w:eastAsia="zh-CN"/>
        </w:rPr>
        <w:t>r</w:t>
      </w:r>
      <w:r>
        <w:rPr>
          <w:rFonts w:hint="default"/>
          <w:highlight w:val="none"/>
          <w:lang w:val="en-US" w:eastAsia="zh-CN"/>
        </w:rPr>
        <w:t>th Nuclear Fuel Component Co.,Ltd</w:t>
      </w:r>
      <w:r>
        <w:rPr>
          <w:rFonts w:hint="eastAsia"/>
          <w:highlight w:val="none"/>
          <w:lang w:val="en-US" w:eastAsia="zh-CN"/>
        </w:rPr>
        <w:t>,</w:t>
      </w:r>
      <w:r>
        <w:rPr>
          <w:rFonts w:hint="default"/>
          <w:highlight w:val="none"/>
          <w:lang w:val="en-US" w:eastAsia="zh-CN"/>
        </w:rPr>
        <w:t>CNNC 404 Co., Ltd</w:t>
      </w:r>
      <w:r>
        <w:rPr>
          <w:rFonts w:hint="eastAsia"/>
          <w:highlight w:val="none"/>
          <w:lang w:val="en-US" w:eastAsia="zh-CN"/>
        </w:rPr>
        <w:t xml:space="preserve"> and </w:t>
      </w:r>
      <w:r>
        <w:rPr>
          <w:rFonts w:hint="default"/>
          <w:highlight w:val="none"/>
          <w:lang w:val="en-US" w:eastAsia="zh-CN"/>
        </w:rPr>
        <w:t>China National Uranium Co., Ltd</w:t>
      </w:r>
      <w:r>
        <w:rPr>
          <w:rFonts w:hint="eastAsia"/>
          <w:highlight w:val="none"/>
          <w:lang w:val="en-US" w:eastAsia="zh-CN"/>
        </w:rPr>
        <w:t xml:space="preserve"> </w:t>
      </w:r>
      <w:r>
        <w:rPr>
          <w:rFonts w:hint="default"/>
          <w:highlight w:val="none"/>
          <w:lang w:val="en-US" w:eastAsia="zh-CN"/>
        </w:rPr>
        <w:t>etc</w:t>
      </w:r>
      <w:r>
        <w:rPr>
          <w:rFonts w:hint="eastAsia"/>
          <w:highlight w:val="none"/>
          <w:lang w:val="en-US" w:eastAsia="zh-CN"/>
        </w:rPr>
        <w:t xml:space="preserve"> </w:t>
      </w:r>
      <w:r>
        <w:rPr>
          <w:rFonts w:hint="default"/>
          <w:highlight w:val="none"/>
          <w:lang w:val="en-US" w:eastAsia="zh-CN"/>
        </w:rPr>
        <w:t xml:space="preserve">have complete qualifications and capabilities for </w:t>
      </w:r>
      <w:r>
        <w:rPr>
          <w:rFonts w:hint="eastAsia"/>
          <w:highlight w:val="none"/>
          <w:lang w:val="en-US" w:eastAsia="zh-CN"/>
        </w:rPr>
        <w:t xml:space="preserve">manufacturing and </w:t>
      </w:r>
      <w:r>
        <w:rPr>
          <w:rFonts w:hint="default"/>
          <w:highlight w:val="none"/>
          <w:lang w:val="en-US" w:eastAsia="zh-CN"/>
        </w:rPr>
        <w:t>processing nuclear fuel components</w:t>
      </w:r>
      <w:r>
        <w:rPr>
          <w:rFonts w:hint="eastAsia"/>
          <w:highlight w:val="none"/>
          <w:lang w:val="en-US" w:eastAsia="zh-CN"/>
        </w:rPr>
        <w:t xml:space="preserve">, </w:t>
      </w:r>
      <w:r>
        <w:rPr>
          <w:rFonts w:hint="default"/>
          <w:highlight w:val="none"/>
          <w:lang w:val="en-US" w:eastAsia="zh-CN"/>
        </w:rPr>
        <w:t>and can provide nuclear fuel for various SMRs</w:t>
      </w:r>
      <w:r>
        <w:rPr>
          <w:rFonts w:hint="eastAsia"/>
          <w:highlight w:val="none"/>
          <w:lang w:val="en-US" w:eastAsia="zh-CN"/>
        </w:rPr>
        <w:t xml:space="preserve"> and other nuclear facilities[14,15]</w:t>
      </w:r>
      <w:r>
        <w:rPr>
          <w:rFonts w:hint="default"/>
          <w:highlight w:val="none"/>
          <w:lang w:val="en-US" w:eastAsia="zh-CN"/>
        </w:rPr>
        <w:t>.</w:t>
      </w:r>
      <w:r>
        <w:rPr>
          <w:rFonts w:hint="eastAsia"/>
          <w:highlight w:val="none"/>
          <w:lang w:val="en-US" w:eastAsia="zh-CN"/>
        </w:rPr>
        <w:t xml:space="preserve"> </w:t>
      </w:r>
    </w:p>
    <w:p>
      <w:pPr>
        <w:pStyle w:val="30"/>
        <w:numPr>
          <w:ilvl w:val="0"/>
          <w:numId w:val="11"/>
        </w:numPr>
        <w:bidi w:val="0"/>
        <w:ind w:left="720" w:leftChars="0" w:hanging="360" w:firstLineChars="0"/>
        <w:rPr>
          <w:rFonts w:hint="default"/>
          <w:highlight w:val="none"/>
          <w:lang w:val="en-US" w:eastAsia="zh-CN"/>
        </w:rPr>
      </w:pPr>
      <w:r>
        <w:rPr>
          <w:rFonts w:hint="eastAsia"/>
          <w:b/>
          <w:bCs/>
          <w:highlight w:val="none"/>
          <w:lang w:val="en-US" w:eastAsia="zh-CN"/>
        </w:rPr>
        <w:t>R</w:t>
      </w:r>
      <w:r>
        <w:rPr>
          <w:rFonts w:hint="default"/>
          <w:b/>
          <w:bCs/>
          <w:highlight w:val="none"/>
          <w:lang w:val="en-US" w:eastAsia="zh-CN"/>
        </w:rPr>
        <w:t xml:space="preserve">esearch </w:t>
      </w:r>
      <w:r>
        <w:rPr>
          <w:rFonts w:hint="eastAsia"/>
          <w:b/>
          <w:bCs/>
          <w:highlight w:val="none"/>
          <w:lang w:val="en-US" w:eastAsia="zh-CN"/>
        </w:rPr>
        <w:t>&amp; D</w:t>
      </w:r>
      <w:r>
        <w:rPr>
          <w:rFonts w:hint="default"/>
          <w:b/>
          <w:bCs/>
          <w:highlight w:val="none"/>
          <w:lang w:val="en-US" w:eastAsia="zh-CN"/>
        </w:rPr>
        <w:t>evelopment:</w:t>
      </w:r>
      <w:r>
        <w:rPr>
          <w:rFonts w:hint="default"/>
          <w:highlight w:val="none"/>
          <w:lang w:val="en-US" w:eastAsia="zh-CN"/>
        </w:rPr>
        <w:t xml:space="preserve"> There are </w:t>
      </w:r>
      <w:r>
        <w:rPr>
          <w:rFonts w:hint="eastAsia"/>
          <w:highlight w:val="none"/>
          <w:lang w:val="en-US" w:eastAsia="zh-CN"/>
        </w:rPr>
        <w:t>many companies</w:t>
      </w:r>
      <w:r>
        <w:rPr>
          <w:rFonts w:hint="default"/>
          <w:highlight w:val="none"/>
          <w:lang w:val="en-US" w:eastAsia="zh-CN"/>
        </w:rPr>
        <w:t xml:space="preserve"> and institut</w:t>
      </w:r>
      <w:r>
        <w:rPr>
          <w:rFonts w:hint="eastAsia"/>
          <w:highlight w:val="none"/>
          <w:lang w:val="en-US" w:eastAsia="zh-CN"/>
        </w:rPr>
        <w:t>e</w:t>
      </w:r>
      <w:r>
        <w:rPr>
          <w:rFonts w:hint="default"/>
          <w:highlight w:val="none"/>
          <w:lang w:val="en-US" w:eastAsia="zh-CN"/>
        </w:rPr>
        <w:t xml:space="preserve">s in China </w:t>
      </w:r>
      <w:r>
        <w:rPr>
          <w:rFonts w:hint="eastAsia"/>
          <w:highlight w:val="none"/>
          <w:lang w:val="en-US" w:eastAsia="zh-CN"/>
        </w:rPr>
        <w:t>have</w:t>
      </w:r>
      <w:r>
        <w:rPr>
          <w:rFonts w:hint="default"/>
          <w:highlight w:val="none"/>
          <w:lang w:val="en-US" w:eastAsia="zh-CN"/>
        </w:rPr>
        <w:t xml:space="preserve"> SMR research and development capabilities, which can engage in the research and development of various types </w:t>
      </w:r>
      <w:r>
        <w:rPr>
          <w:rFonts w:hint="eastAsia"/>
          <w:highlight w:val="none"/>
          <w:lang w:val="en-US" w:eastAsia="zh-CN"/>
        </w:rPr>
        <w:t xml:space="preserve">of </w:t>
      </w:r>
      <w:r>
        <w:rPr>
          <w:rFonts w:hint="default"/>
          <w:highlight w:val="none"/>
          <w:lang w:val="en-US" w:eastAsia="zh-CN"/>
        </w:rPr>
        <w:t>reactor</w:t>
      </w:r>
      <w:r>
        <w:rPr>
          <w:rFonts w:hint="eastAsia"/>
          <w:highlight w:val="none"/>
          <w:lang w:val="en-US" w:eastAsia="zh-CN"/>
        </w:rPr>
        <w:t xml:space="preserve">s </w:t>
      </w:r>
      <w:r>
        <w:rPr>
          <w:rFonts w:hint="default"/>
          <w:highlight w:val="none"/>
          <w:lang w:val="en-US" w:eastAsia="zh-CN"/>
        </w:rPr>
        <w:t xml:space="preserve">including small pressurized water reactors, high-temperature gas cooled reactors, metal cooled reactors, etc. The main research and development </w:t>
      </w:r>
      <w:r>
        <w:rPr>
          <w:rFonts w:hint="eastAsia"/>
          <w:highlight w:val="none"/>
          <w:lang w:val="en-US" w:eastAsia="zh-CN"/>
        </w:rPr>
        <w:t xml:space="preserve">groups </w:t>
      </w:r>
      <w:r>
        <w:rPr>
          <w:rFonts w:hint="default"/>
          <w:highlight w:val="none"/>
          <w:lang w:val="en-US" w:eastAsia="zh-CN"/>
        </w:rPr>
        <w:t xml:space="preserve">include </w:t>
      </w:r>
      <w:r>
        <w:rPr>
          <w:rFonts w:hint="eastAsia"/>
          <w:highlight w:val="none"/>
          <w:lang w:val="en-US" w:eastAsia="zh-CN"/>
        </w:rPr>
        <w:t xml:space="preserve">Nuclear Power Institute of China, </w:t>
      </w:r>
      <w:r>
        <w:rPr>
          <w:rFonts w:hint="default"/>
          <w:highlight w:val="none"/>
          <w:lang w:val="en-US" w:eastAsia="zh-CN"/>
        </w:rPr>
        <w:t>China Nuclear Power Engineering Co.,Ltd, Nuclear China</w:t>
      </w:r>
      <w:r>
        <w:rPr>
          <w:rFonts w:hint="eastAsia"/>
          <w:highlight w:val="none"/>
          <w:lang w:val="en-US" w:eastAsia="zh-CN"/>
        </w:rPr>
        <w:t xml:space="preserve"> Institute of Atomic Energy, Shanghai Nuclear Engineering Research and Design Insititute Co.,Ltd, </w:t>
      </w:r>
      <w:r>
        <w:rPr>
          <w:rFonts w:hint="default"/>
          <w:highlight w:val="none"/>
          <w:lang w:val="en-US" w:eastAsia="zh-CN"/>
        </w:rPr>
        <w:t>Tsinghua University, etc</w:t>
      </w:r>
      <w:r>
        <w:rPr>
          <w:rFonts w:hint="eastAsia"/>
          <w:highlight w:val="none"/>
          <w:lang w:val="en-US" w:eastAsia="zh-CN"/>
        </w:rPr>
        <w:t>[14,15]</w:t>
      </w:r>
      <w:r>
        <w:rPr>
          <w:rFonts w:hint="default"/>
          <w:highlight w:val="none"/>
          <w:lang w:val="en-US" w:eastAsia="zh-CN"/>
        </w:rPr>
        <w:t>. Among them, the HTR-PM high-temperature gas cooled reactor developed by Tsinghua University has been put into operation, and the ACP100 “Linglong</w:t>
      </w:r>
      <w:r>
        <w:rPr>
          <w:rFonts w:hint="eastAsia"/>
          <w:highlight w:val="none"/>
          <w:lang w:val="en-US" w:eastAsia="zh-CN"/>
        </w:rPr>
        <w:t xml:space="preserve"> one</w:t>
      </w:r>
      <w:r>
        <w:rPr>
          <w:rFonts w:hint="default"/>
          <w:highlight w:val="none"/>
          <w:lang w:val="en-US" w:eastAsia="zh-CN"/>
        </w:rPr>
        <w:t>”</w:t>
      </w:r>
      <w:r>
        <w:rPr>
          <w:rFonts w:hint="eastAsia"/>
          <w:highlight w:val="none"/>
          <w:lang w:val="en-US" w:eastAsia="zh-CN"/>
        </w:rPr>
        <w:t xml:space="preserve"> </w:t>
      </w:r>
      <w:r>
        <w:rPr>
          <w:rFonts w:hint="default"/>
          <w:highlight w:val="none"/>
          <w:lang w:val="en-US" w:eastAsia="zh-CN"/>
        </w:rPr>
        <w:t>mall pressurized water reactor</w:t>
      </w:r>
      <w:r>
        <w:rPr>
          <w:rFonts w:hint="eastAsia"/>
          <w:highlight w:val="none"/>
          <w:lang w:val="en-US" w:eastAsia="zh-CN"/>
        </w:rPr>
        <w:t xml:space="preserve"> </w:t>
      </w:r>
      <w:r>
        <w:rPr>
          <w:rFonts w:hint="default"/>
          <w:highlight w:val="none"/>
          <w:lang w:val="en-US" w:eastAsia="zh-CN"/>
        </w:rPr>
        <w:t>developed by the Nuclear Power Institute is under construction as planned and is expected to be put into operation in 2026</w:t>
      </w:r>
      <w:r>
        <w:rPr>
          <w:rFonts w:hint="eastAsia"/>
          <w:highlight w:val="none"/>
          <w:lang w:val="en-US" w:eastAsia="zh-CN"/>
        </w:rPr>
        <w:t>[16]</w:t>
      </w:r>
      <w:r>
        <w:rPr>
          <w:rFonts w:hint="default"/>
          <w:highlight w:val="none"/>
          <w:lang w:val="en-US" w:eastAsia="zh-CN"/>
        </w:rPr>
        <w:t>.</w:t>
      </w:r>
    </w:p>
    <w:p>
      <w:pPr>
        <w:pStyle w:val="30"/>
        <w:numPr>
          <w:ilvl w:val="0"/>
          <w:numId w:val="11"/>
        </w:numPr>
        <w:bidi w:val="0"/>
        <w:ind w:left="720" w:leftChars="0" w:hanging="360" w:firstLineChars="0"/>
        <w:rPr>
          <w:rFonts w:hint="default"/>
          <w:highlight w:val="none"/>
          <w:lang w:val="en-US" w:eastAsia="zh-CN"/>
        </w:rPr>
      </w:pPr>
      <w:r>
        <w:rPr>
          <w:rFonts w:hint="eastAsia"/>
          <w:b/>
          <w:bCs/>
          <w:highlight w:val="none"/>
          <w:lang w:val="en-US" w:eastAsia="zh-CN"/>
        </w:rPr>
        <w:t>Components</w:t>
      </w:r>
      <w:r>
        <w:rPr>
          <w:rFonts w:hint="default"/>
          <w:b/>
          <w:bCs/>
          <w:highlight w:val="none"/>
          <w:lang w:val="en-US" w:eastAsia="zh-CN"/>
        </w:rPr>
        <w:t xml:space="preserve"> manufacturing: </w:t>
      </w:r>
      <w:r>
        <w:rPr>
          <w:rFonts w:hint="default"/>
          <w:highlight w:val="none"/>
          <w:lang w:val="en-US" w:eastAsia="zh-CN"/>
        </w:rPr>
        <w:t xml:space="preserve">Nuclear power </w:t>
      </w:r>
      <w:r>
        <w:rPr>
          <w:rFonts w:hint="eastAsia"/>
          <w:highlight w:val="none"/>
          <w:lang w:val="en-US" w:eastAsia="zh-CN"/>
        </w:rPr>
        <w:t>facilities</w:t>
      </w:r>
      <w:r>
        <w:rPr>
          <w:rFonts w:hint="default"/>
          <w:highlight w:val="none"/>
          <w:lang w:val="en-US" w:eastAsia="zh-CN"/>
        </w:rPr>
        <w:t xml:space="preserve"> can generally be divided into three </w:t>
      </w:r>
      <w:r>
        <w:rPr>
          <w:rFonts w:hint="eastAsia"/>
          <w:highlight w:val="none"/>
          <w:lang w:val="en-US" w:eastAsia="zh-CN"/>
        </w:rPr>
        <w:t>parts</w:t>
      </w:r>
      <w:r>
        <w:rPr>
          <w:rFonts w:hint="default"/>
          <w:highlight w:val="none"/>
          <w:lang w:val="en-US" w:eastAsia="zh-CN"/>
        </w:rPr>
        <w:t xml:space="preserve">: nuclear island equipment (NI), conventional island equipment (CI), and auxiliary systems (BOP). At present, China has </w:t>
      </w:r>
      <w:r>
        <w:rPr>
          <w:rFonts w:hint="eastAsia"/>
          <w:highlight w:val="none"/>
          <w:lang w:val="en-US" w:eastAsia="zh-CN"/>
        </w:rPr>
        <w:t>establish</w:t>
      </w:r>
      <w:r>
        <w:rPr>
          <w:rFonts w:hint="default"/>
          <w:highlight w:val="none"/>
          <w:lang w:val="en-US" w:eastAsia="zh-CN"/>
        </w:rPr>
        <w:t>ed three major nuclear power equipment manufacturing bases in Northeast China, Shanghai, and Sichuan</w:t>
      </w:r>
      <w:r>
        <w:rPr>
          <w:rFonts w:hint="eastAsia"/>
          <w:highlight w:val="none"/>
          <w:lang w:val="en-US" w:eastAsia="zh-CN"/>
        </w:rPr>
        <w:t xml:space="preserve"> province</w:t>
      </w:r>
      <w:r>
        <w:rPr>
          <w:rFonts w:hint="default"/>
          <w:highlight w:val="none"/>
          <w:lang w:val="en-US" w:eastAsia="zh-CN"/>
        </w:rPr>
        <w:t>, with more than 100 enterprises possessing the production capacity of nuclear power equipment. Generally, there are 3-4 individual equipment suppliers</w:t>
      </w:r>
      <w:r>
        <w:rPr>
          <w:rFonts w:hint="eastAsia"/>
          <w:highlight w:val="none"/>
          <w:lang w:val="en-US" w:eastAsia="zh-CN"/>
        </w:rPr>
        <w:t xml:space="preserve"> for one kind of equipment</w:t>
      </w:r>
      <w:r>
        <w:rPr>
          <w:rFonts w:hint="default"/>
          <w:highlight w:val="none"/>
          <w:lang w:val="en-US" w:eastAsia="zh-CN"/>
        </w:rPr>
        <w:t>. At present, the supply status of nuclear island equipment is dominated by four enterprises: Shanghai Electric</w:t>
      </w:r>
      <w:r>
        <w:rPr>
          <w:rFonts w:hint="eastAsia"/>
          <w:highlight w:val="none"/>
          <w:lang w:val="en-US" w:eastAsia="zh-CN"/>
        </w:rPr>
        <w:t xml:space="preserve"> Corporation</w:t>
      </w:r>
      <w:r>
        <w:rPr>
          <w:rFonts w:hint="default"/>
          <w:highlight w:val="none"/>
          <w:lang w:val="en-US" w:eastAsia="zh-CN"/>
        </w:rPr>
        <w:t>, Dongfang Electric</w:t>
      </w:r>
      <w:r>
        <w:rPr>
          <w:rFonts w:hint="eastAsia"/>
          <w:highlight w:val="none"/>
          <w:lang w:val="en-US" w:eastAsia="zh-CN"/>
        </w:rPr>
        <w:t xml:space="preserve"> Corporation</w:t>
      </w:r>
      <w:r>
        <w:rPr>
          <w:rFonts w:hint="default"/>
          <w:highlight w:val="none"/>
          <w:lang w:val="en-US" w:eastAsia="zh-CN"/>
        </w:rPr>
        <w:t>, Harbin Electric Group, and China First Heavy Industries Corporation</w:t>
      </w:r>
      <w:r>
        <w:rPr>
          <w:rFonts w:hint="eastAsia"/>
          <w:highlight w:val="none"/>
          <w:lang w:val="en-US" w:eastAsia="zh-CN"/>
        </w:rPr>
        <w:t>[14,15]</w:t>
      </w:r>
      <w:r>
        <w:rPr>
          <w:rFonts w:hint="default"/>
          <w:highlight w:val="none"/>
          <w:lang w:val="en-US" w:eastAsia="zh-CN"/>
        </w:rPr>
        <w:t>. They undertake the manufacturing tasks of large pressurized water reactor nuclear power plants and various SMR</w:t>
      </w:r>
      <w:r>
        <w:rPr>
          <w:rFonts w:hint="eastAsia"/>
          <w:highlight w:val="none"/>
          <w:lang w:val="en-US" w:eastAsia="zh-CN"/>
        </w:rPr>
        <w:t>s</w:t>
      </w:r>
      <w:r>
        <w:rPr>
          <w:rFonts w:hint="default"/>
          <w:highlight w:val="none"/>
          <w:lang w:val="en-US" w:eastAsia="zh-CN"/>
        </w:rPr>
        <w:t xml:space="preserve"> main equipment, including reactor pressure vessels, </w:t>
      </w:r>
      <w:r>
        <w:rPr>
          <w:rFonts w:hint="eastAsia"/>
          <w:highlight w:val="none"/>
          <w:lang w:val="en-US" w:eastAsia="zh-CN"/>
        </w:rPr>
        <w:t>pressurizer</w:t>
      </w:r>
      <w:bookmarkStart w:id="3" w:name="_GoBack"/>
      <w:bookmarkEnd w:id="3"/>
      <w:r>
        <w:rPr>
          <w:rFonts w:hint="default"/>
          <w:highlight w:val="none"/>
          <w:lang w:val="en-US" w:eastAsia="zh-CN"/>
        </w:rPr>
        <w:t>, steam generators, turbine generators, main coolant pumps, and other core equipment.</w:t>
      </w:r>
    </w:p>
    <w:p>
      <w:pPr>
        <w:pStyle w:val="30"/>
        <w:numPr>
          <w:ilvl w:val="0"/>
          <w:numId w:val="11"/>
        </w:numPr>
        <w:bidi w:val="0"/>
        <w:ind w:left="720" w:leftChars="0" w:hanging="360" w:firstLineChars="0"/>
        <w:rPr>
          <w:rFonts w:hint="default"/>
          <w:highlight w:val="none"/>
          <w:lang w:val="en-US" w:eastAsia="zh-CN"/>
        </w:rPr>
      </w:pPr>
      <w:r>
        <w:rPr>
          <w:rFonts w:hint="eastAsia"/>
          <w:b/>
          <w:bCs/>
          <w:highlight w:val="none"/>
          <w:lang w:val="en-US" w:eastAsia="zh-CN"/>
        </w:rPr>
        <w:t xml:space="preserve">Construction: </w:t>
      </w:r>
      <w:r>
        <w:rPr>
          <w:rFonts w:hint="eastAsia"/>
          <w:highlight w:val="none"/>
          <w:lang w:val="en-US" w:eastAsia="zh-CN"/>
        </w:rPr>
        <w:t xml:space="preserve">Nuclear power facilities have a long construction period, large investment scale, and high quality requirements, requiring a sustainable team of technical workers and a large number of professional tools and equipment. In the past 20 years, China has been the most active region in the the  field of nuclear power plants construction, with over 20 large nuclear power plants and 1 ACP100 </w:t>
      </w:r>
      <w:r>
        <w:rPr>
          <w:rFonts w:hint="default"/>
          <w:highlight w:val="none"/>
          <w:lang w:val="en-US" w:eastAsia="zh-CN"/>
        </w:rPr>
        <w:t>“</w:t>
      </w:r>
      <w:r>
        <w:rPr>
          <w:rFonts w:hint="eastAsia"/>
          <w:highlight w:val="none"/>
          <w:lang w:val="en-US" w:eastAsia="zh-CN"/>
        </w:rPr>
        <w:t>Linglong one</w:t>
      </w:r>
      <w:r>
        <w:rPr>
          <w:rFonts w:hint="default"/>
          <w:highlight w:val="none"/>
          <w:lang w:val="en-US" w:eastAsia="zh-CN"/>
        </w:rPr>
        <w:t>”</w:t>
      </w:r>
      <w:r>
        <w:rPr>
          <w:rFonts w:hint="eastAsia"/>
          <w:highlight w:val="none"/>
          <w:lang w:val="en-US" w:eastAsia="zh-CN"/>
        </w:rPr>
        <w:t xml:space="preserve">small modular reactor currently under construction. During this process, China has established a comprehensive capacity for nuclear power plant construction and formed a group of experienced nuclear power plant construction companies, such as China Nuclear Engineering </w:t>
      </w:r>
      <w:r>
        <w:rPr>
          <w:rFonts w:hint="default" w:ascii="Times New Roman" w:hAnsi="Times New Roman" w:cs="Times New Roman"/>
          <w:highlight w:val="none"/>
          <w:lang w:val="en-US" w:eastAsia="zh-CN"/>
        </w:rPr>
        <w:t>&amp;construction Co.,Ltd，SEPCO Electic Power Construciton Co.,Ltd</w:t>
      </w:r>
      <w:r>
        <w:rPr>
          <w:rFonts w:hint="eastAsia" w:ascii="Times New Roman" w:hAnsi="Times New Roman" w:cs="Times New Roman"/>
          <w:highlight w:val="none"/>
          <w:lang w:val="en-US" w:eastAsia="zh-CN"/>
        </w:rPr>
        <w:t xml:space="preserve">, </w:t>
      </w:r>
      <w:r>
        <w:rPr>
          <w:rFonts w:hint="default" w:ascii="Times New Roman" w:hAnsi="Times New Roman" w:cs="Times New Roman"/>
          <w:highlight w:val="none"/>
          <w:lang w:val="en-US" w:eastAsia="zh-CN"/>
        </w:rPr>
        <w:t>Guangdong Power Engineering  Co.,Ltd</w:t>
      </w:r>
      <w:r>
        <w:rPr>
          <w:rFonts w:hint="eastAsia" w:ascii="Times New Roman" w:hAnsi="Times New Roman" w:cs="Times New Roman"/>
          <w:highlight w:val="none"/>
          <w:lang w:val="en-US" w:eastAsia="zh-CN"/>
        </w:rPr>
        <w:t xml:space="preserve">, </w:t>
      </w:r>
      <w:r>
        <w:rPr>
          <w:rFonts w:hint="default" w:ascii="Times New Roman" w:hAnsi="Times New Roman" w:cs="Times New Roman"/>
          <w:highlight w:val="none"/>
          <w:lang w:val="en-US" w:eastAsia="zh-CN"/>
        </w:rPr>
        <w:t>Electric Power Construction Co.,Ltd</w:t>
      </w:r>
      <w:r>
        <w:rPr>
          <w:rFonts w:hint="eastAsia"/>
          <w:highlight w:val="none"/>
          <w:lang w:val="en-US" w:eastAsia="zh-CN"/>
        </w:rPr>
        <w:t>[14,15]</w:t>
      </w:r>
      <w:r>
        <w:rPr>
          <w:rFonts w:hint="default" w:ascii="Times New Roman" w:hAnsi="Times New Roman" w:cs="Times New Roman"/>
          <w:highlight w:val="none"/>
          <w:lang w:val="en-US" w:eastAsia="zh-CN"/>
        </w:rPr>
        <w:t>. All of these construction companies h</w:t>
      </w:r>
      <w:r>
        <w:rPr>
          <w:rFonts w:hint="eastAsia"/>
          <w:highlight w:val="none"/>
          <w:lang w:val="en-US" w:eastAsia="zh-CN"/>
        </w:rPr>
        <w:t xml:space="preserve">ave the capability of undertaking the construction work of large advanced pressurized water reactors and small modular reactors, including </w:t>
      </w:r>
      <w:r>
        <w:rPr>
          <w:rFonts w:hint="default"/>
          <w:highlight w:val="none"/>
          <w:lang w:val="en-US" w:eastAsia="zh-CN"/>
        </w:rPr>
        <w:t>“</w:t>
      </w:r>
      <w:r>
        <w:rPr>
          <w:rFonts w:hint="eastAsia"/>
          <w:highlight w:val="none"/>
          <w:lang w:val="en-US" w:eastAsia="zh-CN"/>
        </w:rPr>
        <w:t>Hualong One</w:t>
      </w:r>
      <w:r>
        <w:rPr>
          <w:rFonts w:hint="default"/>
          <w:highlight w:val="none"/>
          <w:lang w:val="en-US" w:eastAsia="zh-CN"/>
        </w:rPr>
        <w:t>”</w:t>
      </w:r>
      <w:r>
        <w:rPr>
          <w:rFonts w:hint="eastAsia"/>
          <w:highlight w:val="none"/>
          <w:lang w:val="en-US" w:eastAsia="zh-CN"/>
        </w:rPr>
        <w:t xml:space="preserve">, </w:t>
      </w:r>
      <w:r>
        <w:rPr>
          <w:rFonts w:hint="default"/>
          <w:highlight w:val="none"/>
          <w:lang w:val="en-US" w:eastAsia="zh-CN"/>
        </w:rPr>
        <w:t>“</w:t>
      </w:r>
      <w:r>
        <w:rPr>
          <w:rFonts w:hint="eastAsia"/>
          <w:highlight w:val="none"/>
          <w:lang w:val="en-US" w:eastAsia="zh-CN"/>
        </w:rPr>
        <w:t>Guohe One</w:t>
      </w:r>
      <w:r>
        <w:rPr>
          <w:rFonts w:hint="default"/>
          <w:highlight w:val="none"/>
          <w:lang w:val="en-US" w:eastAsia="zh-CN"/>
        </w:rPr>
        <w:t>”</w:t>
      </w:r>
      <w:r>
        <w:rPr>
          <w:rFonts w:hint="eastAsia"/>
          <w:highlight w:val="none"/>
          <w:lang w:val="en-US" w:eastAsia="zh-CN"/>
        </w:rPr>
        <w:t>, HTR-200, ACP100, etc.</w:t>
      </w:r>
    </w:p>
    <w:p>
      <w:pPr>
        <w:pStyle w:val="30"/>
        <w:numPr>
          <w:ilvl w:val="0"/>
          <w:numId w:val="11"/>
        </w:numPr>
        <w:bidi w:val="0"/>
        <w:ind w:left="720" w:leftChars="0" w:hanging="360" w:firstLineChars="0"/>
        <w:rPr>
          <w:rFonts w:hint="default"/>
          <w:highlight w:val="none"/>
          <w:lang w:val="en-US" w:eastAsia="zh-CN"/>
        </w:rPr>
      </w:pPr>
      <w:r>
        <w:rPr>
          <w:rFonts w:hint="default"/>
          <w:b/>
          <w:bCs/>
          <w:highlight w:val="none"/>
          <w:lang w:val="en-US" w:eastAsia="zh-CN"/>
        </w:rPr>
        <w:t xml:space="preserve">Operation </w:t>
      </w:r>
      <w:r>
        <w:rPr>
          <w:rFonts w:hint="eastAsia"/>
          <w:b/>
          <w:bCs/>
          <w:highlight w:val="none"/>
          <w:lang w:val="en-US" w:eastAsia="zh-CN"/>
        </w:rPr>
        <w:t>&amp; M</w:t>
      </w:r>
      <w:r>
        <w:rPr>
          <w:rFonts w:hint="default"/>
          <w:b/>
          <w:bCs/>
          <w:highlight w:val="none"/>
          <w:lang w:val="en-US" w:eastAsia="zh-CN"/>
        </w:rPr>
        <w:t xml:space="preserve">aintenance: </w:t>
      </w:r>
      <w:r>
        <w:rPr>
          <w:rFonts w:hint="eastAsia"/>
          <w:highlight w:val="none"/>
          <w:lang w:val="en-US" w:eastAsia="zh-CN"/>
        </w:rPr>
        <w:t>By</w:t>
      </w:r>
      <w:r>
        <w:rPr>
          <w:rFonts w:hint="default"/>
          <w:highlight w:val="none"/>
          <w:lang w:val="en-US" w:eastAsia="zh-CN"/>
        </w:rPr>
        <w:t xml:space="preserve"> of the end of 2023, there are 55 nuclear power </w:t>
      </w:r>
      <w:r>
        <w:rPr>
          <w:rFonts w:hint="eastAsia"/>
          <w:highlight w:val="none"/>
          <w:lang w:val="en-US" w:eastAsia="zh-CN"/>
        </w:rPr>
        <w:t>unit</w:t>
      </w:r>
      <w:r>
        <w:rPr>
          <w:rFonts w:hint="default"/>
          <w:highlight w:val="none"/>
          <w:lang w:val="en-US" w:eastAsia="zh-CN"/>
        </w:rPr>
        <w:t xml:space="preserve">s in operation in China, and the operating indicators of each nuclear power plant are in a leading position globally, reflecting the excellent quality of Chinese nuclear power operation and maintenance enterprises. Relevant enterprises can also provide sufficient technical and </w:t>
      </w:r>
      <w:r>
        <w:rPr>
          <w:rFonts w:hint="eastAsia"/>
          <w:highlight w:val="none"/>
          <w:lang w:val="en-US" w:eastAsia="zh-CN"/>
        </w:rPr>
        <w:t>manpower</w:t>
      </w:r>
      <w:r>
        <w:rPr>
          <w:rFonts w:hint="default"/>
          <w:highlight w:val="none"/>
          <w:lang w:val="en-US" w:eastAsia="zh-CN"/>
        </w:rPr>
        <w:t xml:space="preserve"> support for the operation and maintenance of SMRs. </w:t>
      </w:r>
      <w:r>
        <w:rPr>
          <w:rFonts w:hint="eastAsia"/>
          <w:highlight w:val="none"/>
          <w:lang w:val="en-US" w:eastAsia="zh-CN"/>
        </w:rPr>
        <w:t>Companie</w:t>
      </w:r>
      <w:r>
        <w:rPr>
          <w:rFonts w:hint="default"/>
          <w:highlight w:val="none"/>
          <w:lang w:val="en-US" w:eastAsia="zh-CN"/>
        </w:rPr>
        <w:t xml:space="preserve">s that possess the technical capabilities </w:t>
      </w:r>
      <w:r>
        <w:rPr>
          <w:rFonts w:hint="eastAsia"/>
          <w:highlight w:val="none"/>
          <w:lang w:val="en-US" w:eastAsia="zh-CN"/>
        </w:rPr>
        <w:t>for the</w:t>
      </w:r>
      <w:r>
        <w:rPr>
          <w:rFonts w:hint="default"/>
          <w:highlight w:val="none"/>
          <w:lang w:val="en-US" w:eastAsia="zh-CN"/>
        </w:rPr>
        <w:t xml:space="preserve"> operation and maintenance of nuclear power plants </w:t>
      </w:r>
      <w:r>
        <w:rPr>
          <w:rFonts w:hint="eastAsia"/>
          <w:highlight w:val="none"/>
          <w:lang w:val="en-US" w:eastAsia="zh-CN"/>
        </w:rPr>
        <w:t xml:space="preserve">and SMRs </w:t>
      </w:r>
      <w:r>
        <w:rPr>
          <w:rFonts w:hint="default"/>
          <w:highlight w:val="none"/>
          <w:lang w:val="en-US" w:eastAsia="zh-CN"/>
        </w:rPr>
        <w:t>include</w:t>
      </w:r>
      <w:r>
        <w:rPr>
          <w:rFonts w:hint="eastAsia"/>
          <w:highlight w:val="none"/>
          <w:lang w:val="en-US" w:eastAsia="zh-CN"/>
        </w:rPr>
        <w:t xml:space="preserve"> China National Nuclear Power Co.,Ltd、State Nuclear Power Plant Service Co.,Ltd，China Nuclear Power Operaiton Technology Co.,Ltd，Nuclear Power Operations Research institute Co.,Ltd[14].</w:t>
      </w:r>
    </w:p>
    <w:p>
      <w:pPr>
        <w:pStyle w:val="30"/>
        <w:numPr>
          <w:ilvl w:val="0"/>
          <w:numId w:val="11"/>
        </w:numPr>
        <w:bidi w:val="0"/>
        <w:ind w:left="720" w:leftChars="0" w:hanging="360" w:firstLineChars="0"/>
        <w:rPr>
          <w:rFonts w:hint="eastAsia"/>
          <w:highlight w:val="none"/>
          <w:lang w:val="en-US" w:eastAsia="zh-CN"/>
        </w:rPr>
      </w:pPr>
      <w:r>
        <w:rPr>
          <w:rFonts w:hint="eastAsia"/>
          <w:highlight w:val="none"/>
          <w:lang w:val="en-US" w:eastAsia="zh-CN"/>
        </w:rPr>
        <w:t xml:space="preserve"> </w:t>
      </w:r>
      <w:r>
        <w:rPr>
          <w:rFonts w:hint="eastAsia"/>
          <w:b/>
          <w:bCs/>
          <w:highlight w:val="none"/>
          <w:lang w:val="en-US" w:eastAsia="zh-CN"/>
        </w:rPr>
        <w:t xml:space="preserve">Education &amp; Training: </w:t>
      </w:r>
      <w:r>
        <w:rPr>
          <w:rFonts w:hint="eastAsia"/>
          <w:highlight w:val="none"/>
          <w:lang w:val="en-US" w:eastAsia="zh-CN"/>
        </w:rPr>
        <w:t>With the rapid development of nuclear power in the past 20 years, China has also made significant progress in the education of nuclear energy professionals. More than 10 universities have established nuclear energy related majors, such as Tsinghua University, Shanghai Jiao Tong University, Xi'an Jiaotong University, Harbin Engineering University, etc[15]. Every year, they can provide hundreds of highly educated nuclear energy professionals for various areas in the nuclear energy supply chain. Many of them will enter SMRs research and development institute, operation companies and other enterprises, providing sufficient intellectual support for the development of SMRs in China.</w:t>
      </w:r>
    </w:p>
    <w:p>
      <w:pPr>
        <w:pStyle w:val="4"/>
        <w:rPr>
          <w:rFonts w:hint="default" w:eastAsia="宋体"/>
          <w:highlight w:val="none"/>
          <w:lang w:val="en-US" w:eastAsia="zh-CN"/>
        </w:rPr>
      </w:pPr>
      <w:r>
        <w:rPr>
          <w:rFonts w:hint="default" w:eastAsia="宋体"/>
          <w:highlight w:val="none"/>
          <w:lang w:val="en-US" w:eastAsia="zh-CN"/>
        </w:rPr>
        <w:t>From the above introduction, it can be seen that China has established a complete supply chain system in the field of SMRs, which can provide comprehensive support for different types of SMRs, application scenarios, and user needs.</w:t>
      </w:r>
    </w:p>
    <w:p>
      <w:pPr>
        <w:pStyle w:val="5"/>
        <w:numPr>
          <w:ilvl w:val="0"/>
          <w:numId w:val="12"/>
        </w:numPr>
        <w:ind w:left="425" w:leftChars="0" w:hanging="425" w:firstLineChars="0"/>
        <w:rPr>
          <w:highlight w:val="none"/>
        </w:rPr>
      </w:pPr>
      <w:r>
        <w:rPr>
          <w:rFonts w:hint="eastAsia"/>
          <w:highlight w:val="none"/>
          <w:lang w:val="en-US" w:eastAsia="zh-CN"/>
        </w:rPr>
        <w:t>Conclusions</w:t>
      </w:r>
    </w:p>
    <w:p>
      <w:pPr>
        <w:pStyle w:val="4"/>
        <w:rPr>
          <w:rFonts w:hint="eastAsia" w:eastAsia="宋体"/>
          <w:highlight w:val="none"/>
          <w:lang w:val="en-US" w:eastAsia="zh-CN"/>
        </w:rPr>
      </w:pPr>
      <w:r>
        <w:rPr>
          <w:rFonts w:hint="eastAsia" w:eastAsia="宋体"/>
          <w:highlight w:val="none"/>
          <w:lang w:val="en-US" w:eastAsia="zh-CN"/>
        </w:rPr>
        <w:t xml:space="preserve">In the past 20 years, China has made great efforts in the field of SMRs research and application, and has developed various types of SMRs that can provide customized SMR products for different users. In terms of SMRs applications, China's 210MWt HTR-PM has been put into operation in 2023, and the small modular pressurized water reactor ACP100 </w:t>
      </w:r>
      <w:r>
        <w:rPr>
          <w:rFonts w:hint="default" w:eastAsia="宋体"/>
          <w:highlight w:val="none"/>
          <w:lang w:val="en-US" w:eastAsia="zh-CN"/>
        </w:rPr>
        <w:t>“</w:t>
      </w:r>
      <w:r>
        <w:rPr>
          <w:rFonts w:hint="eastAsia" w:eastAsia="宋体"/>
          <w:highlight w:val="none"/>
          <w:lang w:val="en-US" w:eastAsia="zh-CN"/>
        </w:rPr>
        <w:t>Linglong one</w:t>
      </w:r>
      <w:r>
        <w:rPr>
          <w:rFonts w:hint="default" w:eastAsia="宋体"/>
          <w:highlight w:val="none"/>
          <w:lang w:val="en-US" w:eastAsia="zh-CN"/>
        </w:rPr>
        <w:t>”</w:t>
      </w:r>
      <w:r>
        <w:rPr>
          <w:rFonts w:hint="eastAsia" w:eastAsia="宋体"/>
          <w:highlight w:val="none"/>
          <w:lang w:val="en-US" w:eastAsia="zh-CN"/>
        </w:rPr>
        <w:t xml:space="preserve"> will also be completed in 2026, accumulating rich experience in SMR construction and operation.</w:t>
      </w:r>
    </w:p>
    <w:p>
      <w:pPr>
        <w:pStyle w:val="4"/>
        <w:rPr>
          <w:rFonts w:hint="eastAsia" w:eastAsia="宋体"/>
          <w:highlight w:val="none"/>
          <w:lang w:val="en-US" w:eastAsia="zh-CN"/>
        </w:rPr>
      </w:pPr>
      <w:r>
        <w:rPr>
          <w:rFonts w:hint="eastAsia" w:eastAsia="宋体"/>
          <w:highlight w:val="none"/>
          <w:lang w:val="en-US" w:eastAsia="zh-CN"/>
        </w:rPr>
        <w:t>During the development and application process of SMRs, China has established a complete supply chain system, which can provide full lifetime technical support and services for SMRs.</w:t>
      </w:r>
    </w:p>
    <w:p>
      <w:pPr>
        <w:pStyle w:val="4"/>
        <w:rPr>
          <w:rFonts w:hint="eastAsia" w:eastAsia="宋体"/>
          <w:highlight w:val="none"/>
          <w:lang w:val="en-US" w:eastAsia="zh-CN"/>
        </w:rPr>
      </w:pPr>
      <w:r>
        <w:rPr>
          <w:rFonts w:hint="eastAsia" w:eastAsia="宋体"/>
          <w:highlight w:val="none"/>
          <w:lang w:val="en-US" w:eastAsia="zh-CN"/>
        </w:rPr>
        <w:t>The SMRs and their supply chain system of China can not only provide support for domestic users, but also provide comprehensive services in advance for international users of China</w:t>
      </w:r>
      <w:r>
        <w:rPr>
          <w:rFonts w:hint="default" w:eastAsia="宋体"/>
          <w:highlight w:val="none"/>
          <w:lang w:val="en-US" w:eastAsia="zh-CN"/>
        </w:rPr>
        <w:t>’</w:t>
      </w:r>
      <w:r>
        <w:rPr>
          <w:rFonts w:hint="eastAsia" w:eastAsia="宋体"/>
          <w:highlight w:val="none"/>
          <w:lang w:val="en-US" w:eastAsia="zh-CN"/>
        </w:rPr>
        <w:t>s SMRs according to their needs. Meanwhile, based on China's existing experience in SMR construction and application, it can also provide technical and service support for other countries</w:t>
      </w:r>
      <w:r>
        <w:rPr>
          <w:rFonts w:hint="default" w:eastAsia="宋体"/>
          <w:highlight w:val="none"/>
          <w:lang w:val="en-US" w:eastAsia="zh-CN"/>
        </w:rPr>
        <w:t>’</w:t>
      </w:r>
      <w:r>
        <w:rPr>
          <w:rFonts w:hint="eastAsia" w:eastAsia="宋体"/>
          <w:highlight w:val="none"/>
          <w:lang w:val="en-US" w:eastAsia="zh-CN"/>
        </w:rPr>
        <w:t xml:space="preserve"> SMRs projects.</w:t>
      </w:r>
    </w:p>
    <w:p>
      <w:pPr>
        <w:pStyle w:val="4"/>
        <w:rPr>
          <w:highlight w:val="none"/>
        </w:rPr>
      </w:pPr>
    </w:p>
    <w:p>
      <w:pPr>
        <w:pStyle w:val="54"/>
        <w:rPr>
          <w:highlight w:val="none"/>
        </w:rPr>
      </w:pPr>
      <w:r>
        <w:rPr>
          <w:highlight w:val="none"/>
        </w:rPr>
        <w:t>References</w:t>
      </w:r>
    </w:p>
    <w:p>
      <w:pPr>
        <w:pStyle w:val="56"/>
        <w:ind w:left="800"/>
        <w:rPr>
          <w:rFonts w:hint="default"/>
          <w:kern w:val="0"/>
          <w:highlight w:val="none"/>
          <w:lang w:val="en-US" w:eastAsia="zh-CN"/>
        </w:rPr>
      </w:pPr>
      <w:r>
        <w:rPr>
          <w:rFonts w:hint="default"/>
          <w:kern w:val="0"/>
          <w:highlight w:val="none"/>
          <w:lang w:val="en-US" w:eastAsia="zh-CN"/>
        </w:rPr>
        <w:t xml:space="preserve">IAEA,What are Small Modular Reactors. https://www.iaea.org/newscenter/news/what-are-small-modular-reactors-smrs,2023.9.13 </w:t>
      </w:r>
    </w:p>
    <w:p>
      <w:pPr>
        <w:pStyle w:val="56"/>
        <w:ind w:left="800"/>
        <w:rPr>
          <w:rFonts w:hint="default"/>
          <w:kern w:val="0"/>
          <w:highlight w:val="none"/>
          <w:lang w:val="en-US" w:eastAsia="zh-CN"/>
        </w:rPr>
      </w:pPr>
      <w:r>
        <w:rPr>
          <w:rFonts w:hint="default"/>
          <w:kern w:val="0"/>
          <w:highlight w:val="none"/>
          <w:lang w:val="en-US" w:eastAsia="zh-CN"/>
        </w:rPr>
        <w:t>ZHU Sheng,</w:t>
      </w:r>
      <w:r>
        <w:rPr>
          <w:rFonts w:hint="eastAsia"/>
          <w:kern w:val="0"/>
          <w:highlight w:val="none"/>
          <w:lang w:val="en-US" w:eastAsia="zh-CN"/>
        </w:rPr>
        <w:t xml:space="preserve"> </w:t>
      </w:r>
      <w:r>
        <w:rPr>
          <w:rFonts w:hint="default"/>
          <w:kern w:val="0"/>
          <w:highlight w:val="none"/>
          <w:lang w:val="en-US" w:eastAsia="zh-CN"/>
        </w:rPr>
        <w:t>YAN Zhen,</w:t>
      </w:r>
      <w:r>
        <w:rPr>
          <w:rFonts w:hint="eastAsia"/>
          <w:kern w:val="0"/>
          <w:highlight w:val="none"/>
          <w:lang w:val="en-US" w:eastAsia="zh-CN"/>
        </w:rPr>
        <w:t xml:space="preserve"> </w:t>
      </w:r>
      <w:r>
        <w:rPr>
          <w:rFonts w:ascii="Times New Roman" w:hAnsi="Times New Roman"/>
          <w:sz w:val="18"/>
          <w:szCs w:val="18"/>
          <w:highlight w:val="none"/>
        </w:rPr>
        <w:t>The Prospects of Small Modular Reactor Development and Application in China Based on the User Requirements</w:t>
      </w:r>
      <w:r>
        <w:rPr>
          <w:rFonts w:hint="eastAsia" w:eastAsia="宋体"/>
          <w:sz w:val="18"/>
          <w:szCs w:val="18"/>
          <w:highlight w:val="none"/>
          <w:lang w:val="en-US" w:eastAsia="zh-CN"/>
        </w:rPr>
        <w:t>, ICONE 31, 2024.8</w:t>
      </w:r>
    </w:p>
    <w:p>
      <w:pPr>
        <w:pStyle w:val="56"/>
        <w:ind w:left="800"/>
        <w:rPr>
          <w:rFonts w:hint="default"/>
          <w:kern w:val="0"/>
          <w:highlight w:val="none"/>
          <w:lang w:val="en-US" w:eastAsia="zh-CN"/>
        </w:rPr>
      </w:pPr>
      <w:r>
        <w:rPr>
          <w:rFonts w:hint="eastAsia" w:eastAsia="宋体" w:cs="Times New Roman"/>
          <w:sz w:val="18"/>
          <w:szCs w:val="18"/>
          <w:highlight w:val="none"/>
          <w:lang w:val="en-US" w:eastAsia="zh-CN"/>
        </w:rPr>
        <w:t xml:space="preserve">National Nuclear Laboratory, </w:t>
      </w:r>
      <w:r>
        <w:rPr>
          <w:rFonts w:ascii="Times New Roman" w:hAnsi="Times New Roman" w:eastAsia="Times New Roman" w:cs="Times New Roman"/>
          <w:sz w:val="18"/>
          <w:szCs w:val="18"/>
          <w:highlight w:val="none"/>
        </w:rPr>
        <w:t>Small Modular Reactors (SMR) Feasibility Study</w:t>
      </w:r>
      <w:r>
        <w:rPr>
          <w:rFonts w:hint="eastAsia" w:eastAsia="宋体" w:cs="Times New Roman"/>
          <w:sz w:val="18"/>
          <w:szCs w:val="18"/>
          <w:highlight w:val="none"/>
          <w:lang w:val="en-US" w:eastAsia="zh-CN"/>
        </w:rPr>
        <w:t>, 2014.12</w:t>
      </w:r>
    </w:p>
    <w:p>
      <w:pPr>
        <w:pStyle w:val="56"/>
        <w:ind w:left="800"/>
        <w:rPr>
          <w:kern w:val="0"/>
          <w:highlight w:val="none"/>
        </w:rPr>
      </w:pPr>
      <w:r>
        <w:rPr>
          <w:rFonts w:hint="default"/>
          <w:kern w:val="0"/>
          <w:highlight w:val="none"/>
          <w:lang w:val="en-US" w:eastAsia="zh-CN"/>
        </w:rPr>
        <w:t>IAEA,</w:t>
      </w:r>
      <w:r>
        <w:rPr>
          <w:rFonts w:hint="eastAsia"/>
          <w:kern w:val="0"/>
          <w:highlight w:val="none"/>
          <w:lang w:val="en-US" w:eastAsia="zh-CN"/>
        </w:rPr>
        <w:t xml:space="preserve"> </w:t>
      </w:r>
      <w:r>
        <w:rPr>
          <w:rFonts w:hint="default"/>
          <w:kern w:val="0"/>
          <w:highlight w:val="none"/>
          <w:lang w:val="en-US" w:eastAsia="zh-CN"/>
        </w:rPr>
        <w:t>ADVANCES IN SMALL MODULAR REACTOR TECHNOLOGY DEVELOPMENTS 2022 Edition ,A Supplement to: IAEA Advanced Reactors Information System (ARIS)</w:t>
      </w:r>
      <w:r>
        <w:rPr>
          <w:rFonts w:hint="eastAsia"/>
          <w:kern w:val="0"/>
          <w:highlight w:val="none"/>
          <w:lang w:val="en-US" w:eastAsia="zh-CN"/>
        </w:rPr>
        <w:t>,2022.9</w:t>
      </w:r>
    </w:p>
    <w:p>
      <w:pPr>
        <w:pStyle w:val="56"/>
        <w:ind w:left="800"/>
        <w:rPr>
          <w:kern w:val="0"/>
          <w:highlight w:val="none"/>
          <w:lang w:val="en-US" w:eastAsia="zh-CN"/>
        </w:rPr>
      </w:pPr>
      <w:r>
        <w:rPr>
          <w:rFonts w:hint="default"/>
          <w:kern w:val="0"/>
          <w:highlight w:val="none"/>
          <w:lang w:val="en-US" w:eastAsia="zh-CN"/>
        </w:rPr>
        <w:t>IAEA,</w:t>
      </w:r>
      <w:r>
        <w:rPr>
          <w:rFonts w:ascii="Times New Roman" w:hAnsi="Times New Roman" w:eastAsia="Times New Roman" w:cs="Times New Roman"/>
          <w:sz w:val="18"/>
          <w:szCs w:val="18"/>
          <w:highlight w:val="none"/>
          <w:lang w:val="en-US" w:eastAsia="zh-CN"/>
        </w:rPr>
        <w:t>No. NG-T-3.4</w:t>
      </w:r>
      <w:r>
        <w:rPr>
          <w:rFonts w:hint="default" w:ascii="Times New Roman" w:hAnsi="Times New Roman" w:eastAsia="Times New Roman" w:cs="Times New Roman"/>
          <w:sz w:val="18"/>
          <w:szCs w:val="18"/>
          <w:highlight w:val="none"/>
          <w:lang w:val="en-US" w:eastAsia="zh-CN"/>
        </w:rPr>
        <w:t>,</w:t>
      </w:r>
      <w:r>
        <w:rPr>
          <w:rFonts w:ascii="Times New Roman" w:hAnsi="Times New Roman" w:eastAsia="Times New Roman" w:cs="Times New Roman"/>
          <w:sz w:val="18"/>
          <w:szCs w:val="18"/>
          <w:highlight w:val="none"/>
          <w:lang w:val="en-US" w:eastAsia="zh-CN"/>
        </w:rPr>
        <w:t>Industrial Involvement to Support a National Nuclear Power Programme</w:t>
      </w:r>
      <w:r>
        <w:rPr>
          <w:rFonts w:hint="default" w:ascii="Times New Roman" w:hAnsi="Times New Roman" w:eastAsia="Times New Roman" w:cs="Times New Roman"/>
          <w:sz w:val="18"/>
          <w:szCs w:val="18"/>
          <w:highlight w:val="none"/>
          <w:lang w:val="en-US" w:eastAsia="zh-CN"/>
        </w:rPr>
        <w:t>,2016.12</w:t>
      </w:r>
    </w:p>
    <w:p>
      <w:pPr>
        <w:pStyle w:val="56"/>
        <w:ind w:left="800"/>
        <w:rPr>
          <w:highlight w:val="none"/>
          <w:lang w:val="en-US" w:eastAsia="zh-CN"/>
        </w:rPr>
      </w:pPr>
      <w:r>
        <w:rPr>
          <w:rFonts w:ascii="Times New Roman" w:hAnsi="Times New Roman" w:eastAsia="Times New Roman" w:cs="Times New Roman"/>
          <w:sz w:val="18"/>
          <w:szCs w:val="18"/>
          <w:highlight w:val="none"/>
          <w:lang w:val="en-US" w:eastAsia="zh-CN"/>
        </w:rPr>
        <w:t>I</w:t>
      </w:r>
      <w:r>
        <w:rPr>
          <w:rFonts w:hint="eastAsia" w:cs="Times New Roman"/>
          <w:sz w:val="18"/>
          <w:szCs w:val="18"/>
          <w:highlight w:val="none"/>
          <w:lang w:val="en-US" w:eastAsia="zh-CN"/>
        </w:rPr>
        <w:t xml:space="preserve">AEA, </w:t>
      </w:r>
      <w:r>
        <w:rPr>
          <w:rFonts w:ascii="Times New Roman" w:hAnsi="Times New Roman" w:eastAsia="Times New Roman" w:cs="Times New Roman"/>
          <w:sz w:val="18"/>
          <w:szCs w:val="18"/>
          <w:highlight w:val="none"/>
          <w:lang w:val="en-US" w:eastAsia="zh-CN"/>
        </w:rPr>
        <w:t>No. NG-G-3.1</w:t>
      </w:r>
      <w:r>
        <w:rPr>
          <w:rFonts w:hint="eastAsia" w:cs="Times New Roman"/>
          <w:sz w:val="18"/>
          <w:szCs w:val="18"/>
          <w:highlight w:val="none"/>
          <w:lang w:val="en-US" w:eastAsia="zh-CN"/>
        </w:rPr>
        <w:t xml:space="preserve">(rev.2), </w:t>
      </w:r>
      <w:r>
        <w:rPr>
          <w:rFonts w:ascii="Times New Roman" w:hAnsi="Times New Roman" w:eastAsia="Times New Roman" w:cs="Times New Roman"/>
          <w:sz w:val="18"/>
          <w:szCs w:val="18"/>
          <w:highlight w:val="none"/>
          <w:lang w:val="en-US" w:eastAsia="zh-CN"/>
        </w:rPr>
        <w:t>Milestones in the Development of a National Infrastructure for Nuclear Power,20</w:t>
      </w:r>
      <w:r>
        <w:rPr>
          <w:rFonts w:hint="eastAsia" w:cs="Times New Roman"/>
          <w:sz w:val="18"/>
          <w:szCs w:val="18"/>
          <w:highlight w:val="none"/>
          <w:lang w:val="en-US" w:eastAsia="zh-CN"/>
        </w:rPr>
        <w:t>24.6</w:t>
      </w:r>
    </w:p>
    <w:p>
      <w:pPr>
        <w:pStyle w:val="56"/>
        <w:ind w:left="800"/>
        <w:rPr>
          <w:rFonts w:hint="eastAsia"/>
          <w:highlight w:val="none"/>
          <w:lang w:val="en-US" w:eastAsia="zh-CN"/>
        </w:rPr>
      </w:pPr>
      <w:r>
        <w:rPr>
          <w:rFonts w:hint="eastAsia"/>
          <w:highlight w:val="none"/>
          <w:lang w:val="en-US" w:eastAsia="zh-CN"/>
        </w:rPr>
        <w:t>IAEA, No. NP-T-3.21, Procurement Engineering and Supply Chain Guidelines in Support of Operation and Maintenance of Nuclear Facilities, 2016.9</w:t>
      </w:r>
    </w:p>
    <w:p>
      <w:pPr>
        <w:pStyle w:val="56"/>
        <w:ind w:left="800"/>
        <w:rPr>
          <w:rFonts w:hint="eastAsia"/>
          <w:highlight w:val="none"/>
          <w:lang w:val="en-US" w:eastAsia="zh-CN"/>
        </w:rPr>
      </w:pPr>
      <w:r>
        <w:rPr>
          <w:rFonts w:hint="eastAsia"/>
          <w:color w:val="auto"/>
          <w:kern w:val="0"/>
          <w:highlight w:val="none"/>
          <w:lang w:val="en-US" w:eastAsia="zh-CN"/>
        </w:rPr>
        <w:t xml:space="preserve">National Energy Administration, The world's first commercial demonstration project of high-temperature gas-cooled reactor nuclear power plant was officially put into commercial operation in Rongcheng, Shandong, China. </w:t>
      </w:r>
      <w:r>
        <w:rPr>
          <w:rFonts w:hint="eastAsia"/>
          <w:color w:val="auto"/>
          <w:kern w:val="0"/>
          <w:highlight w:val="none"/>
          <w:lang w:val="en-US" w:eastAsia="zh-CN"/>
        </w:rPr>
        <w:fldChar w:fldCharType="begin"/>
      </w:r>
      <w:r>
        <w:rPr>
          <w:rFonts w:hint="eastAsia"/>
          <w:color w:val="auto"/>
          <w:kern w:val="0"/>
          <w:highlight w:val="none"/>
          <w:lang w:val="en-US" w:eastAsia="zh-CN"/>
        </w:rPr>
        <w:instrText xml:space="preserve"> HYPERLINK "https://www.nea.gov.cn/2023-12/06/c_1310753869.htm" </w:instrText>
      </w:r>
      <w:r>
        <w:rPr>
          <w:rFonts w:hint="eastAsia"/>
          <w:color w:val="auto"/>
          <w:kern w:val="0"/>
          <w:highlight w:val="none"/>
          <w:lang w:val="en-US" w:eastAsia="zh-CN"/>
        </w:rPr>
        <w:fldChar w:fldCharType="separate"/>
      </w:r>
      <w:r>
        <w:rPr>
          <w:rStyle w:val="24"/>
          <w:rFonts w:hint="eastAsia"/>
          <w:kern w:val="0"/>
          <w:highlight w:val="none"/>
          <w:lang w:val="en-US" w:eastAsia="zh-CN"/>
        </w:rPr>
        <w:t>https://www.nea.gov.cn/2023-12/06/c_1310753869.htm</w:t>
      </w:r>
      <w:r>
        <w:rPr>
          <w:rFonts w:hint="eastAsia"/>
          <w:color w:val="auto"/>
          <w:kern w:val="0"/>
          <w:highlight w:val="none"/>
          <w:lang w:val="en-US" w:eastAsia="zh-CN"/>
        </w:rPr>
        <w:fldChar w:fldCharType="end"/>
      </w:r>
    </w:p>
    <w:p>
      <w:pPr>
        <w:pStyle w:val="56"/>
        <w:ind w:left="800"/>
        <w:rPr>
          <w:highlight w:val="none"/>
          <w:lang w:val="en-US" w:eastAsia="zh-CN"/>
        </w:rPr>
      </w:pPr>
      <w:r>
        <w:rPr>
          <w:rFonts w:hint="eastAsia" w:ascii="Times New Roman" w:hAnsi="Times New Roman" w:eastAsia="Times New Roman" w:cs="Times New Roman"/>
          <w:sz w:val="18"/>
          <w:szCs w:val="18"/>
          <w:highlight w:val="none"/>
          <w:lang w:val="en-US" w:eastAsia="zh-CN" w:bidi="ar-SA"/>
        </w:rPr>
        <w:t xml:space="preserve">National Nuclear Safety Administration, The world's first core module of "Linglong one"is in place, </w:t>
      </w:r>
      <w:r>
        <w:rPr>
          <w:rFonts w:hint="eastAsia" w:ascii="Times New Roman" w:hAnsi="Times New Roman" w:eastAsia="Times New Roman" w:cs="Times New Roman"/>
          <w:sz w:val="18"/>
          <w:szCs w:val="18"/>
          <w:highlight w:val="none"/>
          <w:lang w:val="en-US" w:eastAsia="zh-CN" w:bidi="ar-SA"/>
        </w:rPr>
        <w:fldChar w:fldCharType="begin"/>
      </w:r>
      <w:r>
        <w:rPr>
          <w:rFonts w:hint="eastAsia" w:ascii="Times New Roman" w:hAnsi="Times New Roman" w:eastAsia="Times New Roman" w:cs="Times New Roman"/>
          <w:sz w:val="18"/>
          <w:szCs w:val="18"/>
          <w:highlight w:val="none"/>
          <w:lang w:val="en-US" w:eastAsia="zh-CN" w:bidi="ar-SA"/>
        </w:rPr>
        <w:instrText xml:space="preserve"> HYPERLINK "https://nnsa.mee.gov.cn/ywdt/hyzx/202308/t20230811_1038401.html" </w:instrText>
      </w:r>
      <w:r>
        <w:rPr>
          <w:rFonts w:hint="eastAsia" w:ascii="Times New Roman" w:hAnsi="Times New Roman" w:eastAsia="Times New Roman" w:cs="Times New Roman"/>
          <w:sz w:val="18"/>
          <w:szCs w:val="18"/>
          <w:highlight w:val="none"/>
          <w:lang w:val="en-US" w:eastAsia="zh-CN" w:bidi="ar-SA"/>
        </w:rPr>
        <w:fldChar w:fldCharType="separate"/>
      </w:r>
      <w:r>
        <w:rPr>
          <w:rStyle w:val="24"/>
          <w:rFonts w:hint="eastAsia" w:ascii="Times New Roman" w:hAnsi="Times New Roman" w:eastAsia="Times New Roman" w:cs="Times New Roman"/>
          <w:sz w:val="18"/>
          <w:szCs w:val="18"/>
          <w:highlight w:val="none"/>
          <w:lang w:val="en-US" w:eastAsia="zh-CN" w:bidi="ar-SA"/>
        </w:rPr>
        <w:t>https://nnsa.mee.gov.cn/ywdt/hyzx/202308/t20230811_1038401.html</w:t>
      </w:r>
      <w:r>
        <w:rPr>
          <w:rFonts w:hint="eastAsia" w:ascii="Times New Roman" w:hAnsi="Times New Roman" w:eastAsia="Times New Roman" w:cs="Times New Roman"/>
          <w:sz w:val="18"/>
          <w:szCs w:val="18"/>
          <w:highlight w:val="none"/>
          <w:lang w:val="en-US" w:eastAsia="zh-CN" w:bidi="ar-SA"/>
        </w:rPr>
        <w:fldChar w:fldCharType="end"/>
      </w:r>
    </w:p>
    <w:p>
      <w:pPr>
        <w:pStyle w:val="56"/>
        <w:ind w:left="800"/>
        <w:rPr>
          <w:highlight w:val="none"/>
          <w:lang w:val="en-US" w:eastAsia="zh-CN"/>
        </w:rPr>
      </w:pPr>
      <w:r>
        <w:rPr>
          <w:rFonts w:hint="eastAsia"/>
          <w:highlight w:val="none"/>
          <w:lang w:val="en-US" w:eastAsia="zh-CN"/>
        </w:rPr>
        <w:t xml:space="preserve">China maintains the world's leading position in the number of 26 nuclear power units under construction, </w:t>
      </w:r>
      <w:r>
        <w:rPr>
          <w:rFonts w:hint="eastAsia"/>
          <w:highlight w:val="none"/>
          <w:lang w:val="en-US" w:eastAsia="zh-CN"/>
        </w:rPr>
        <w:fldChar w:fldCharType="begin"/>
      </w:r>
      <w:r>
        <w:rPr>
          <w:rFonts w:hint="eastAsia"/>
          <w:highlight w:val="none"/>
          <w:lang w:val="en-US" w:eastAsia="zh-CN"/>
        </w:rPr>
        <w:instrText xml:space="preserve"> HYPERLINK "https://www.gov.cn/yaowen/liebiao/202403/content_6940265.htm" </w:instrText>
      </w:r>
      <w:r>
        <w:rPr>
          <w:rFonts w:hint="eastAsia"/>
          <w:highlight w:val="none"/>
          <w:lang w:val="en-US" w:eastAsia="zh-CN"/>
        </w:rPr>
        <w:fldChar w:fldCharType="separate"/>
      </w:r>
      <w:r>
        <w:rPr>
          <w:rStyle w:val="24"/>
          <w:rFonts w:hint="eastAsia"/>
          <w:highlight w:val="none"/>
          <w:lang w:val="en-US" w:eastAsia="zh-CN"/>
        </w:rPr>
        <w:t>https://www.gov.cn/yaowen/liebiao/202403/content_6940265.htm</w:t>
      </w:r>
      <w:r>
        <w:rPr>
          <w:rFonts w:hint="eastAsia"/>
          <w:highlight w:val="none"/>
          <w:lang w:val="en-US" w:eastAsia="zh-CN"/>
        </w:rPr>
        <w:fldChar w:fldCharType="end"/>
      </w:r>
      <w:r>
        <w:rPr>
          <w:rFonts w:hint="eastAsia"/>
          <w:highlight w:val="none"/>
          <w:lang w:val="en-US" w:eastAsia="zh-CN"/>
        </w:rPr>
        <w:t xml:space="preserve"> </w:t>
      </w:r>
    </w:p>
    <w:p>
      <w:pPr>
        <w:pStyle w:val="56"/>
        <w:ind w:left="800"/>
        <w:rPr>
          <w:highlight w:val="none"/>
          <w:lang w:val="en-US" w:eastAsia="zh-CN"/>
        </w:rPr>
      </w:pPr>
      <w:r>
        <w:rPr>
          <w:rFonts w:hint="eastAsia"/>
          <w:highlight w:val="none"/>
          <w:lang w:val="en-US" w:eastAsia="zh-CN"/>
        </w:rPr>
        <w:t xml:space="preserve">The </w:t>
      </w:r>
      <w:r>
        <w:rPr>
          <w:rFonts w:hint="eastAsia" w:cs="Times New Roman"/>
          <w:sz w:val="18"/>
          <w:szCs w:val="18"/>
          <w:highlight w:val="none"/>
          <w:lang w:val="en-US" w:eastAsia="zh-CN"/>
        </w:rPr>
        <w:t xml:space="preserve">Central People's Government of the People's Republic of China, A Creative Super Project - Perspective on the World's First Commercial Operation of "Hualong One", https://www.gov.cn/xinwen/2021-01/30/content_5583826.htm </w:t>
      </w:r>
    </w:p>
    <w:p>
      <w:pPr>
        <w:pStyle w:val="56"/>
        <w:ind w:left="800"/>
        <w:rPr>
          <w:highlight w:val="none"/>
          <w:lang w:val="en-US" w:eastAsia="zh-CN"/>
        </w:rPr>
      </w:pPr>
      <w:r>
        <w:rPr>
          <w:rFonts w:hint="eastAsia" w:cs="Times New Roman"/>
          <w:sz w:val="18"/>
          <w:szCs w:val="18"/>
          <w:highlight w:val="none"/>
          <w:lang w:val="en-US" w:eastAsia="zh-CN"/>
        </w:rPr>
        <w:t xml:space="preserve">Nuclear </w:t>
      </w:r>
      <w:r>
        <w:rPr>
          <w:rFonts w:hint="eastAsia" w:cs="Times New Roman"/>
          <w:b w:val="0"/>
          <w:caps w:val="0"/>
          <w:sz w:val="18"/>
          <w:szCs w:val="18"/>
          <w:highlight w:val="none"/>
          <w:lang w:val="en-US" w:eastAsia="zh-CN" w:bidi="ar-SA"/>
        </w:rPr>
        <w:t xml:space="preserve">Engineering International, </w:t>
      </w:r>
      <w:r>
        <w:rPr>
          <w:rFonts w:hint="default" w:ascii="Times New Roman" w:hAnsi="Times New Roman" w:eastAsia="Times New Roman" w:cs="Times New Roman"/>
          <w:b w:val="0"/>
          <w:caps w:val="0"/>
          <w:sz w:val="18"/>
          <w:szCs w:val="18"/>
          <w:highlight w:val="none"/>
          <w:lang w:val="en-US" w:eastAsia="zh-CN" w:bidi="ar-SA"/>
        </w:rPr>
        <w:t>China completes development of CAP1400</w:t>
      </w:r>
      <w:r>
        <w:rPr>
          <w:rFonts w:hint="eastAsia" w:cs="Times New Roman"/>
          <w:b w:val="0"/>
          <w:caps w:val="0"/>
          <w:sz w:val="18"/>
          <w:szCs w:val="18"/>
          <w:highlight w:val="none"/>
          <w:lang w:val="en-US" w:eastAsia="zh-CN" w:bidi="ar-SA"/>
        </w:rPr>
        <w:t xml:space="preserve">, </w:t>
      </w:r>
      <w:r>
        <w:rPr>
          <w:rFonts w:hint="eastAsia" w:cs="Times New Roman"/>
          <w:b w:val="0"/>
          <w:caps w:val="0"/>
          <w:sz w:val="18"/>
          <w:szCs w:val="18"/>
          <w:highlight w:val="none"/>
          <w:lang w:val="en-US" w:eastAsia="zh-CN" w:bidi="ar-SA"/>
        </w:rPr>
        <w:fldChar w:fldCharType="begin"/>
      </w:r>
      <w:r>
        <w:rPr>
          <w:rFonts w:hint="eastAsia" w:cs="Times New Roman"/>
          <w:b w:val="0"/>
          <w:caps w:val="0"/>
          <w:sz w:val="18"/>
          <w:szCs w:val="18"/>
          <w:highlight w:val="none"/>
          <w:lang w:val="en-US" w:eastAsia="zh-CN" w:bidi="ar-SA"/>
        </w:rPr>
        <w:instrText xml:space="preserve"> HYPERLINK "https://www.neimagazine.com/news/china-completes-development-of-cap1400-8160701/" </w:instrText>
      </w:r>
      <w:r>
        <w:rPr>
          <w:rFonts w:hint="eastAsia" w:cs="Times New Roman"/>
          <w:b w:val="0"/>
          <w:caps w:val="0"/>
          <w:sz w:val="18"/>
          <w:szCs w:val="18"/>
          <w:highlight w:val="none"/>
          <w:lang w:val="en-US" w:eastAsia="zh-CN" w:bidi="ar-SA"/>
        </w:rPr>
        <w:fldChar w:fldCharType="separate"/>
      </w:r>
      <w:r>
        <w:rPr>
          <w:rStyle w:val="24"/>
          <w:rFonts w:hint="eastAsia" w:cs="Times New Roman"/>
          <w:b w:val="0"/>
          <w:caps w:val="0"/>
          <w:sz w:val="18"/>
          <w:szCs w:val="18"/>
          <w:highlight w:val="none"/>
          <w:lang w:val="en-US" w:eastAsia="zh-CN" w:bidi="ar-SA"/>
        </w:rPr>
        <w:t>https://www.neimagazine.com/news/china-completes-development-of-cap1400-8160701/</w:t>
      </w:r>
      <w:r>
        <w:rPr>
          <w:rFonts w:hint="eastAsia" w:cs="Times New Roman"/>
          <w:b w:val="0"/>
          <w:caps w:val="0"/>
          <w:sz w:val="18"/>
          <w:szCs w:val="18"/>
          <w:highlight w:val="none"/>
          <w:lang w:val="en-US" w:eastAsia="zh-CN" w:bidi="ar-SA"/>
        </w:rPr>
        <w:fldChar w:fldCharType="end"/>
      </w:r>
      <w:r>
        <w:rPr>
          <w:rFonts w:hint="eastAsia" w:cs="Times New Roman"/>
          <w:b w:val="0"/>
          <w:caps w:val="0"/>
          <w:sz w:val="18"/>
          <w:szCs w:val="18"/>
          <w:highlight w:val="none"/>
          <w:lang w:val="en-US" w:eastAsia="zh-CN" w:bidi="ar-SA"/>
        </w:rPr>
        <w:t xml:space="preserve"> </w:t>
      </w:r>
    </w:p>
    <w:p>
      <w:pPr>
        <w:pStyle w:val="56"/>
        <w:ind w:left="800"/>
        <w:rPr>
          <w:highlight w:val="none"/>
          <w:lang w:val="en-US" w:eastAsia="zh-CN"/>
        </w:rPr>
      </w:pPr>
      <w:r>
        <w:rPr>
          <w:rFonts w:hint="eastAsia" w:cs="Times New Roman"/>
          <w:b w:val="0"/>
          <w:caps w:val="0"/>
          <w:sz w:val="18"/>
          <w:szCs w:val="18"/>
          <w:highlight w:val="none"/>
          <w:lang w:val="en-US" w:eastAsia="zh-CN" w:bidi="ar-SA"/>
        </w:rPr>
        <w:t xml:space="preserve">The </w:t>
      </w:r>
      <w:r>
        <w:rPr>
          <w:rFonts w:hint="eastAsia" w:cs="Times New Roman"/>
          <w:sz w:val="18"/>
          <w:szCs w:val="18"/>
          <w:highlight w:val="none"/>
          <w:lang w:val="en-US" w:eastAsia="zh-CN"/>
        </w:rPr>
        <w:t>State Council of The People</w:t>
      </w:r>
      <w:r>
        <w:rPr>
          <w:rFonts w:hint="default" w:cs="Times New Roman"/>
          <w:sz w:val="18"/>
          <w:szCs w:val="18"/>
          <w:highlight w:val="none"/>
          <w:lang w:val="en-US" w:eastAsia="zh-CN"/>
        </w:rPr>
        <w:t>’</w:t>
      </w:r>
      <w:r>
        <w:rPr>
          <w:rFonts w:hint="eastAsia" w:cs="Times New Roman"/>
          <w:sz w:val="18"/>
          <w:szCs w:val="18"/>
          <w:highlight w:val="none"/>
          <w:lang w:val="en-US" w:eastAsia="zh-CN"/>
        </w:rPr>
        <w:t xml:space="preserve">s Republic of China, China's Hualong One reactor demonstration project fully operational, </w:t>
      </w:r>
      <w:r>
        <w:rPr>
          <w:rFonts w:hint="eastAsia" w:cs="Times New Roman"/>
          <w:sz w:val="18"/>
          <w:szCs w:val="18"/>
          <w:highlight w:val="none"/>
          <w:lang w:val="en-US" w:eastAsia="zh-CN"/>
        </w:rPr>
        <w:fldChar w:fldCharType="begin"/>
      </w:r>
      <w:r>
        <w:rPr>
          <w:rFonts w:hint="eastAsia" w:cs="Times New Roman"/>
          <w:sz w:val="18"/>
          <w:szCs w:val="18"/>
          <w:highlight w:val="none"/>
          <w:lang w:val="en-US" w:eastAsia="zh-CN"/>
        </w:rPr>
        <w:instrText xml:space="preserve"> HYPERLINK "https://english.www.gov.cn/news/topnews/202203/25/content_WS623dc5f1c6d02e53353284a1.html" </w:instrText>
      </w:r>
      <w:r>
        <w:rPr>
          <w:rFonts w:hint="eastAsia" w:cs="Times New Roman"/>
          <w:sz w:val="18"/>
          <w:szCs w:val="18"/>
          <w:highlight w:val="none"/>
          <w:lang w:val="en-US" w:eastAsia="zh-CN"/>
        </w:rPr>
        <w:fldChar w:fldCharType="separate"/>
      </w:r>
      <w:r>
        <w:rPr>
          <w:rStyle w:val="24"/>
          <w:rFonts w:hint="eastAsia" w:cs="Times New Roman"/>
          <w:sz w:val="18"/>
          <w:szCs w:val="18"/>
          <w:highlight w:val="none"/>
          <w:lang w:val="en-US" w:eastAsia="zh-CN"/>
        </w:rPr>
        <w:t>https://english.www.gov.cn/news/topnews/202203/25/content_WS623dc5f1c6d02e53353284a1.html</w:t>
      </w:r>
      <w:r>
        <w:rPr>
          <w:rFonts w:hint="eastAsia" w:cs="Times New Roman"/>
          <w:sz w:val="18"/>
          <w:szCs w:val="18"/>
          <w:highlight w:val="none"/>
          <w:lang w:val="en-US" w:eastAsia="zh-CN"/>
        </w:rPr>
        <w:fldChar w:fldCharType="end"/>
      </w:r>
      <w:r>
        <w:rPr>
          <w:rFonts w:hint="eastAsia" w:cs="Times New Roman"/>
          <w:sz w:val="18"/>
          <w:szCs w:val="18"/>
          <w:highlight w:val="none"/>
          <w:lang w:val="en-US" w:eastAsia="zh-CN"/>
        </w:rPr>
        <w:t xml:space="preserve"> </w:t>
      </w:r>
    </w:p>
    <w:p>
      <w:pPr>
        <w:pStyle w:val="56"/>
        <w:ind w:left="800"/>
        <w:rPr>
          <w:highlight w:val="none"/>
          <w:lang w:val="en-US" w:eastAsia="zh-CN"/>
        </w:rPr>
      </w:pPr>
      <w:r>
        <w:rPr>
          <w:rFonts w:hint="eastAsia" w:cs="Times New Roman"/>
          <w:sz w:val="18"/>
          <w:szCs w:val="18"/>
          <w:highlight w:val="none"/>
          <w:lang w:val="en-US" w:eastAsia="zh-CN"/>
        </w:rPr>
        <w:t xml:space="preserve">China </w:t>
      </w:r>
      <w:r>
        <w:rPr>
          <w:rFonts w:hint="eastAsia" w:cs="Times New Roman"/>
          <w:b w:val="0"/>
          <w:caps w:val="0"/>
          <w:sz w:val="18"/>
          <w:szCs w:val="18"/>
          <w:highlight w:val="none"/>
          <w:lang w:val="en-US" w:eastAsia="zh-CN" w:bidi="ar-SA"/>
        </w:rPr>
        <w:t>National Nuclear Power Network, P</w:t>
      </w:r>
      <w:r>
        <w:rPr>
          <w:rFonts w:hint="eastAsia" w:ascii="Times New Roman" w:hAnsi="Times New Roman" w:eastAsia="Times New Roman" w:cs="Times New Roman"/>
          <w:b w:val="0"/>
          <w:caps w:val="0"/>
          <w:sz w:val="18"/>
          <w:szCs w:val="18"/>
          <w:highlight w:val="none"/>
          <w:lang w:val="en-US" w:eastAsia="zh-CN" w:bidi="ar-SA"/>
        </w:rPr>
        <w:t>anoramic analysis of the nuclear power industry chain</w:t>
      </w:r>
      <w:r>
        <w:rPr>
          <w:rFonts w:hint="eastAsia" w:cs="Times New Roman"/>
          <w:b w:val="0"/>
          <w:caps w:val="0"/>
          <w:sz w:val="18"/>
          <w:szCs w:val="18"/>
          <w:highlight w:val="none"/>
          <w:lang w:val="en-US" w:eastAsia="zh-CN" w:bidi="ar-SA"/>
        </w:rPr>
        <w:t xml:space="preserve">, https://www.cnnpn.cn/article/25003.html  </w:t>
      </w:r>
    </w:p>
    <w:p>
      <w:pPr>
        <w:pStyle w:val="56"/>
        <w:ind w:left="800"/>
        <w:rPr>
          <w:highlight w:val="none"/>
          <w:lang w:val="en-US" w:eastAsia="zh-CN"/>
        </w:rPr>
      </w:pPr>
      <w:r>
        <w:rPr>
          <w:rFonts w:hint="eastAsia"/>
          <w:highlight w:val="none"/>
          <w:lang w:val="en-US" w:eastAsia="zh-CN"/>
        </w:rPr>
        <w:t>IAEA, Country Nuclear Power Profiles China (Updated 2022), https://www-pub.iaea.org/MTCD/Publications/PDF/cnpp2022/countryprofiles/China/China.htm</w:t>
      </w:r>
    </w:p>
    <w:p>
      <w:pPr>
        <w:pStyle w:val="56"/>
        <w:ind w:left="800"/>
        <w:rPr>
          <w:rFonts w:hint="eastAsia" w:cs="Times New Roman"/>
          <w:sz w:val="18"/>
          <w:szCs w:val="18"/>
          <w:highlight w:val="none"/>
          <w:lang w:val="en-US" w:eastAsia="zh-CN"/>
        </w:rPr>
      </w:pPr>
      <w:r>
        <w:rPr>
          <w:rFonts w:hint="eastAsia" w:cs="Times New Roman"/>
          <w:b w:val="0"/>
          <w:caps w:val="0"/>
          <w:sz w:val="18"/>
          <w:szCs w:val="18"/>
          <w:highlight w:val="none"/>
          <w:lang w:val="en-US" w:eastAsia="zh-CN" w:bidi="ar-SA"/>
        </w:rPr>
        <w:t xml:space="preserve">World Nuclear News, </w:t>
      </w:r>
      <w:r>
        <w:rPr>
          <w:rFonts w:hint="default" w:ascii="Times New Roman" w:hAnsi="Times New Roman" w:eastAsia="Times New Roman" w:cs="Times New Roman"/>
          <w:b w:val="0"/>
          <w:caps w:val="0"/>
          <w:sz w:val="18"/>
          <w:szCs w:val="18"/>
          <w:highlight w:val="none"/>
          <w:lang w:val="en-US" w:eastAsia="zh-CN" w:bidi="ar-SA"/>
        </w:rPr>
        <w:t>Linglong One reactor pit installed at Changjiang</w:t>
      </w:r>
      <w:r>
        <w:rPr>
          <w:rFonts w:hint="eastAsia" w:cs="Times New Roman"/>
          <w:b w:val="0"/>
          <w:caps w:val="0"/>
          <w:sz w:val="18"/>
          <w:szCs w:val="18"/>
          <w:highlight w:val="none"/>
          <w:lang w:val="en-US" w:eastAsia="zh-CN" w:bidi="ar-SA"/>
        </w:rPr>
        <w:t xml:space="preserve">, </w:t>
      </w:r>
      <w:r>
        <w:rPr>
          <w:rFonts w:hint="eastAsia" w:cs="Times New Roman"/>
          <w:b w:val="0"/>
          <w:caps w:val="0"/>
          <w:sz w:val="18"/>
          <w:szCs w:val="18"/>
          <w:highlight w:val="none"/>
          <w:lang w:val="en-US" w:eastAsia="zh-CN" w:bidi="ar-SA"/>
        </w:rPr>
        <w:fldChar w:fldCharType="begin"/>
      </w:r>
      <w:r>
        <w:rPr>
          <w:rFonts w:hint="eastAsia" w:cs="Times New Roman"/>
          <w:b w:val="0"/>
          <w:caps w:val="0"/>
          <w:sz w:val="18"/>
          <w:szCs w:val="18"/>
          <w:highlight w:val="none"/>
          <w:lang w:val="en-US" w:eastAsia="zh-CN" w:bidi="ar-SA"/>
        </w:rPr>
        <w:instrText xml:space="preserve"> HYPERLINK "https://www.world-nuclear-news.org/Articles/Linglong-One-reactor-pit-installed-at-Changjiang" </w:instrText>
      </w:r>
      <w:r>
        <w:rPr>
          <w:rFonts w:hint="eastAsia" w:cs="Times New Roman"/>
          <w:b w:val="0"/>
          <w:caps w:val="0"/>
          <w:sz w:val="18"/>
          <w:szCs w:val="18"/>
          <w:highlight w:val="none"/>
          <w:lang w:val="en-US" w:eastAsia="zh-CN" w:bidi="ar-SA"/>
        </w:rPr>
        <w:fldChar w:fldCharType="separate"/>
      </w:r>
      <w:r>
        <w:rPr>
          <w:rStyle w:val="24"/>
          <w:rFonts w:hint="eastAsia" w:cs="Times New Roman"/>
          <w:b w:val="0"/>
          <w:caps w:val="0"/>
          <w:sz w:val="18"/>
          <w:szCs w:val="18"/>
          <w:highlight w:val="none"/>
          <w:lang w:val="en-US" w:eastAsia="zh-CN" w:bidi="ar-SA"/>
        </w:rPr>
        <w:t>https://www.world-nuclear-news.org/Articles/Linglong-One-reactor-pit-installed-at-Changjiang</w:t>
      </w:r>
      <w:r>
        <w:rPr>
          <w:rFonts w:hint="eastAsia" w:cs="Times New Roman"/>
          <w:b w:val="0"/>
          <w:caps w:val="0"/>
          <w:sz w:val="18"/>
          <w:szCs w:val="18"/>
          <w:highlight w:val="none"/>
          <w:lang w:val="en-US" w:eastAsia="zh-CN" w:bidi="ar-SA"/>
        </w:rPr>
        <w:fldChar w:fldCharType="end"/>
      </w:r>
    </w:p>
    <w:sectPr>
      <w:headerReference r:id="rId5" w:type="first"/>
      <w:footerReference r:id="rId8" w:type="first"/>
      <w:headerReference r:id="rId3" w:type="default"/>
      <w:footerReference r:id="rId6" w:type="default"/>
      <w:headerReference r:id="rId4" w:type="even"/>
      <w:footerReference r:id="rId7" w:type="even"/>
      <w:type w:val="oddPage"/>
      <w:pgSz w:w="11907" w:h="16840"/>
      <w:pgMar w:top="1440" w:right="1440" w:bottom="1440" w:left="1440" w:header="539" w:footer="964" w:gutter="0"/>
      <w:pgBorders>
        <w:top w:val="none" w:sz="0" w:space="0"/>
        <w:left w:val="none" w:sz="0" w:space="0"/>
        <w:bottom w:val="none" w:sz="0" w:space="0"/>
        <w:right w:val="none" w:sz="0" w:space="0"/>
      </w:pgBorders>
      <w:pgNumType w:start="1"/>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imes New Roman Bold">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fldChar w:fldCharType="begin"/>
    </w:r>
    <w:r>
      <w:instrText xml:space="preserve"> DOCPROPERTY "IaeaClassification"  \* MERGEFORMAT </w:instrText>
    </w:r>
    <w:r>
      <w:fldChar w:fldCharType="end"/>
    </w:r>
  </w:p>
  <w:p>
    <w:pPr>
      <w:pStyle w:val="43"/>
      <w:rPr>
        <w:rFonts w:ascii="Times New Roman" w:hAnsi="Times New Roman" w:cs="Times New Roman"/>
        <w:sz w:val="20"/>
      </w:rPr>
    </w:pPr>
    <w:r>
      <w:rPr>
        <w:rFonts w:ascii="Times New Roman" w:hAnsi="Times New Roman" w:cs="Times New Roman"/>
        <w:sz w:val="20"/>
      </w:rPr>
      <w:fldChar w:fldCharType="begin"/>
    </w:r>
    <w:r>
      <w:rPr>
        <w:rFonts w:ascii="Times New Roman" w:hAnsi="Times New Roman" w:cs="Times New Roman"/>
        <w:sz w:val="20"/>
      </w:rPr>
      <w:instrText xml:space="preserve"> PAGE </w:instrText>
    </w:r>
    <w:r>
      <w:rPr>
        <w:rFonts w:ascii="Times New Roman" w:hAnsi="Times New Roman" w:cs="Times New Roman"/>
        <w:sz w:val="20"/>
      </w:rPr>
      <w:fldChar w:fldCharType="separate"/>
    </w:r>
    <w:r>
      <w:rPr>
        <w:rFonts w:ascii="Times New Roman" w:hAnsi="Times New Roman" w:cs="Times New Roman"/>
        <w:sz w:val="20"/>
      </w:rPr>
      <w:t>1</w:t>
    </w:r>
    <w:r>
      <w:rPr>
        <w:rFonts w:ascii="Times New Roman" w:hAnsi="Times New Roman" w:cs="Times New Roman"/>
        <w:sz w:val="20"/>
      </w:rPr>
      <w:fldChar w:fldCharType="end"/>
    </w:r>
    <w:r>
      <w:rPr>
        <w:rFonts w:ascii="Times New Roman" w:hAnsi="Times New Roman" w:cs="Times New Roman"/>
        <w:sz w:val="20"/>
      </w:rPr>
      <w:fldChar w:fldCharType="begin"/>
    </w:r>
    <w:r>
      <w:rPr>
        <w:rFonts w:ascii="Times New Roman" w:hAnsi="Times New Roman" w:cs="Times New Roman"/>
        <w:sz w:val="20"/>
      </w:rPr>
      <w:instrText xml:space="preserve">DOCPROPERTY "IaeaClassification2"  \* MERGEFORMAT</w:instrText>
    </w:r>
    <w:r>
      <w:rPr>
        <w:rFonts w:ascii="Times New Roman" w:hAnsi="Times New Roman" w:cs="Times New Roman"/>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fldChar w:fldCharType="begin"/>
    </w:r>
    <w:r>
      <w:instrText xml:space="preserve"> DOCPROPERTY "IaeaClassification"  \* MERGEFORMAT </w:instrText>
    </w:r>
    <w:r>
      <w:fldChar w:fldCharType="end"/>
    </w:r>
  </w:p>
  <w:p>
    <w:pPr>
      <w:pStyle w:val="43"/>
    </w:pPr>
    <w:r>
      <w:fldChar w:fldCharType="begin"/>
    </w:r>
    <w:r>
      <w:instrText xml:space="preserve">DOCPROPERTY "IaeaClassification2"  \* MERGEFORMAT</w:instrTex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0"/>
      <w:tblpPr w:vertAnchor="page" w:horzAnchor="page" w:tblpX="1390" w:tblpY="15707"/>
      <w:tblOverlap w:val="never"/>
      <w:tblW w:w="10314" w:type="dxa"/>
      <w:tblInd w:w="0" w:type="dxa"/>
      <w:tblLayout w:type="autofit"/>
      <w:tblCellMar>
        <w:top w:w="0" w:type="dxa"/>
        <w:left w:w="108" w:type="dxa"/>
        <w:bottom w:w="0" w:type="dxa"/>
        <w:right w:w="108" w:type="dxa"/>
      </w:tblCellMar>
    </w:tblPr>
    <w:tblGrid>
      <w:gridCol w:w="4644"/>
      <w:gridCol w:w="5670"/>
    </w:tblGrid>
    <w:tr>
      <w:tblPrEx>
        <w:tblCellMar>
          <w:top w:w="0" w:type="dxa"/>
          <w:left w:w="108" w:type="dxa"/>
          <w:bottom w:w="0" w:type="dxa"/>
          <w:right w:w="108" w:type="dxa"/>
        </w:tblCellMar>
      </w:tblPrEx>
      <w:trPr>
        <w:cantSplit/>
      </w:trPr>
      <w:tc>
        <w:tcPr>
          <w:tcW w:w="4644" w:type="dxa"/>
        </w:tcPr>
        <w:p>
          <w:pPr>
            <w:pStyle w:val="34"/>
            <w:framePr w:wrap="auto" w:vAnchor="margin" w:hAnchor="text" w:xAlign="left" w:yAlign="inline"/>
          </w:pPr>
          <w:r>
            <w:fldChar w:fldCharType="begin"/>
          </w:r>
          <w:r>
            <w:instrText xml:space="preserve"> DOCPROPERTY "IaeaDistribution"  \* MERGEFORMAT </w:instrText>
          </w:r>
          <w:r>
            <w:fldChar w:fldCharType="end"/>
          </w:r>
        </w:p>
        <w:p>
          <w:pPr>
            <w:pStyle w:val="39"/>
            <w:framePr w:wrap="auto" w:vAnchor="margin" w:hAnchor="text" w:xAlign="left" w:yAlign="inline"/>
          </w:pPr>
          <w:r>
            <w:fldChar w:fldCharType="begin"/>
          </w:r>
          <w:r>
            <w:instrText xml:space="preserve"> DOCPROPERTY "IaeaSensitivity"  \* MERGEFORMAT </w:instrText>
          </w:r>
          <w:r>
            <w:fldChar w:fldCharType="end"/>
          </w:r>
        </w:p>
      </w:tc>
      <w:tc>
        <w:tcPr>
          <w:tcW w:w="5670" w:type="dxa"/>
          <w:tcMar>
            <w:right w:w="249" w:type="dxa"/>
          </w:tcMar>
        </w:tcPr>
        <w:p>
          <w:pPr>
            <w:pStyle w:val="33"/>
            <w:framePr w:wrap="auto" w:vAnchor="margin" w:hAnchor="text" w:xAlign="left" w:yAlign="inline"/>
          </w:pPr>
          <w:bookmarkStart w:id="1" w:name="DOC_bkmClassification2"/>
          <w:r>
            <w:fldChar w:fldCharType="begin"/>
          </w:r>
          <w:r>
            <w:instrText xml:space="preserve"> DOCPROPERTY "IaeaClassification"  \* MERGEFORMAT </w:instrText>
          </w:r>
          <w:r>
            <w:fldChar w:fldCharType="end"/>
          </w:r>
        </w:p>
        <w:bookmarkEnd w:id="1"/>
        <w:p>
          <w:pPr>
            <w:spacing w:after="20" w:line="220" w:lineRule="exact"/>
            <w:jc w:val="right"/>
            <w:rPr>
              <w:rFonts w:ascii="Arial" w:hAnsi="Arial" w:cs="Arial"/>
              <w:color w:val="FF0000"/>
            </w:rPr>
          </w:pPr>
          <w:r>
            <w:rPr>
              <w:rFonts w:ascii="Arial" w:hAnsi="Arial"/>
              <w:b/>
            </w:rPr>
            <w:fldChar w:fldCharType="begin"/>
          </w:r>
          <w:r>
            <w:rPr>
              <w:rFonts w:ascii="Arial" w:hAnsi="Arial"/>
              <w:b/>
            </w:rPr>
            <w:instrText xml:space="preserve">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 xml:space="preserve">DOCPROPERTY "IaeaClassification2"  \* MERGEFORMAT</w:instrText>
          </w:r>
          <w:r>
            <w:rPr>
              <w:rFonts w:ascii="Arial" w:hAnsi="Arial" w:cs="Arial"/>
              <w:color w:val="FF0000"/>
            </w:rPr>
            <w:fldChar w:fldCharType="end"/>
          </w:r>
        </w:p>
      </w:tc>
    </w:tr>
  </w:tbl>
  <w:p>
    <w:bookmarkStart w:id="2" w:name="DOC_bkmFileName"/>
    <w:r>
      <w:rPr>
        <w:sz w:val="16"/>
      </w:rPr>
      <w:fldChar w:fldCharType="begin"/>
    </w:r>
    <w:r>
      <w:rPr>
        <w:sz w:val="16"/>
      </w:rPr>
      <w:instrText xml:space="preserve"> FILENAME \* MERGEFORMAT </w:instrText>
    </w:r>
    <w:r>
      <w:rPr>
        <w:sz w:val="16"/>
      </w:rPr>
      <w:fldChar w:fldCharType="separate"/>
    </w:r>
    <w:r>
      <w:rPr>
        <w:sz w:val="16"/>
      </w:rPr>
      <w:t>Conference Proceedings_Example paper.docx</w:t>
    </w:r>
    <w:r>
      <w:rPr>
        <w:sz w:val="16"/>
      </w:rPr>
      <w:fldChar w:fldCharType="end"/>
    </w:r>
    <w:bookmarkEnd w:id="2"/>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color w:val="BFBFBF" w:themeColor="background1" w:themeShade="BF"/>
        <w:sz w:val="16"/>
        <w:szCs w:val="16"/>
      </w:rPr>
    </w:pPr>
    <w:r>
      <w:rPr>
        <w:rFonts w:hint="eastAsia" w:eastAsia="宋体"/>
        <w:lang w:val="en-US" w:eastAsia="zh-CN"/>
      </w:rPr>
      <w:t>ZHU SHENG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rPr>
        <w:rFonts w:hint="default" w:eastAsia="宋体"/>
        <w:lang w:val="en-US" w:eastAsia="zh-CN"/>
      </w:rPr>
    </w:pPr>
    <w:r>
      <w:tab/>
    </w:r>
    <w:r>
      <w:t>IAEA-CN-</w:t>
    </w:r>
    <w:r>
      <w:rPr>
        <w:rFonts w:hint="eastAsia" w:eastAsia="宋体"/>
        <w:lang w:val="en-US" w:eastAsia="zh-CN"/>
      </w:rPr>
      <w:t>281</w:t>
    </w:r>
  </w:p>
  <w:p>
    <w:pPr>
      <w:pStyle w:val="42"/>
      <w:tabs>
        <w:tab w:val="left" w:pos="3956"/>
        <w:tab w:val="right" w:pos="9071"/>
      </w:tabs>
      <w:jc w:val="left"/>
    </w:pPr>
    <w:r>
      <w:fldChar w:fldCharType="begin"/>
    </w:r>
    <w:r>
      <w:instrText xml:space="preserve"> DOCPROPERTY "IaeaClassification"  \* MERGEFORMAT </w:instrText>
    </w:r>
    <w:r>
      <w:fldChar w:fldCharType="end"/>
    </w:r>
  </w:p>
  <w:p>
    <w:pPr>
      <w:pStyle w:val="43"/>
    </w:pPr>
    <w:r>
      <w:fldChar w:fldCharType="begin"/>
    </w:r>
    <w:r>
      <w:instrText xml:space="preserve">DOCPROPERTY "IaeaClassification2"  \* MERGEFORMAT</w:instrTex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0"/>
      <w:tblpPr w:vertAnchor="page" w:horzAnchor="page" w:tblpX="1333" w:tblpY="228"/>
      <w:tblOverlap w:val="never"/>
      <w:tblW w:w="10319" w:type="dxa"/>
      <w:tblInd w:w="0" w:type="dxa"/>
      <w:tblLayout w:type="fixed"/>
      <w:tblCellMar>
        <w:top w:w="0" w:type="dxa"/>
        <w:left w:w="108" w:type="dxa"/>
        <w:bottom w:w="0" w:type="dxa"/>
        <w:right w:w="108" w:type="dxa"/>
      </w:tblCellMar>
    </w:tblPr>
    <w:tblGrid>
      <w:gridCol w:w="979"/>
      <w:gridCol w:w="3638"/>
      <w:gridCol w:w="5702"/>
    </w:tblGrid>
    <w:tr>
      <w:tblPrEx>
        <w:tblCellMar>
          <w:top w:w="0" w:type="dxa"/>
          <w:left w:w="108" w:type="dxa"/>
          <w:bottom w:w="0" w:type="dxa"/>
          <w:right w:w="108" w:type="dxa"/>
        </w:tblCellMar>
      </w:tblPrEx>
      <w:trPr>
        <w:cantSplit/>
        <w:trHeight w:val="716" w:hRule="atLeast"/>
      </w:trPr>
      <w:tc>
        <w:tcPr>
          <w:tcW w:w="979" w:type="dxa"/>
          <w:vMerge w:val="restart"/>
        </w:tcPr>
        <w:p>
          <w:pPr>
            <w:spacing w:before="180"/>
            <w:ind w:left="17"/>
          </w:pPr>
        </w:p>
      </w:tc>
      <w:tc>
        <w:tcPr>
          <w:tcW w:w="3638" w:type="dxa"/>
          <w:vAlign w:val="bottom"/>
        </w:tcPr>
        <w:p>
          <w:pPr>
            <w:spacing w:after="20"/>
          </w:pPr>
        </w:p>
      </w:tc>
      <w:tc>
        <w:tcPr>
          <w:tcW w:w="5702" w:type="dxa"/>
          <w:vMerge w:val="restart"/>
          <w:tcMar>
            <w:right w:w="193" w:type="dxa"/>
          </w:tcMar>
        </w:tcPr>
        <w:p>
          <w:pPr>
            <w:pStyle w:val="33"/>
            <w:framePr w:wrap="auto" w:vAnchor="margin" w:hAnchor="text" w:xAlign="left" w:yAlign="inline"/>
          </w:pPr>
          <w:bookmarkStart w:id="0" w:name="DOC_bkmClassification1"/>
          <w:r>
            <w:fldChar w:fldCharType="begin"/>
          </w:r>
          <w:r>
            <w:instrText xml:space="preserve"> DOCPROPERTY "IaeaClassification"  \* MERGEFORMAT </w:instrText>
          </w:r>
          <w:r>
            <w:fldChar w:fldCharType="end"/>
          </w:r>
        </w:p>
        <w:bookmarkEnd w:id="0"/>
        <w:p>
          <w:pPr>
            <w:pStyle w:val="31"/>
          </w:pPr>
          <w:r>
            <w:fldChar w:fldCharType="begin"/>
          </w:r>
          <w:r>
            <w:instrText xml:space="preserve">DOCPROPERTY "IaeaClassification2"  \* MERGEFORMAT</w:instrText>
          </w:r>
          <w:r>
            <w:fldChar w:fldCharType="end"/>
          </w:r>
        </w:p>
      </w:tc>
    </w:tr>
    <w:tr>
      <w:tblPrEx>
        <w:tblCellMar>
          <w:top w:w="0" w:type="dxa"/>
          <w:left w:w="108" w:type="dxa"/>
          <w:bottom w:w="0" w:type="dxa"/>
          <w:right w:w="108" w:type="dxa"/>
        </w:tblCellMar>
      </w:tblPrEx>
      <w:trPr>
        <w:cantSplit/>
        <w:trHeight w:val="167" w:hRule="atLeast"/>
      </w:trPr>
      <w:tc>
        <w:tcPr>
          <w:tcW w:w="979" w:type="dxa"/>
          <w:vMerge w:val="continue"/>
        </w:tcPr>
        <w:p>
          <w:pPr>
            <w:spacing w:before="57"/>
          </w:pPr>
        </w:p>
      </w:tc>
      <w:tc>
        <w:tcPr>
          <w:tcW w:w="3638" w:type="dxa"/>
          <w:vAlign w:val="bottom"/>
        </w:tcPr>
        <w:p>
          <w:pPr>
            <w:pStyle w:val="12"/>
            <w:spacing w:before="0" w:after="10"/>
          </w:pPr>
        </w:p>
      </w:tc>
      <w:tc>
        <w:tcPr>
          <w:tcW w:w="5702" w:type="dxa"/>
          <w:vMerge w:val="continue"/>
          <w:vAlign w:val="bottom"/>
        </w:tcPr>
        <w:p>
          <w:pPr>
            <w:pStyle w:val="12"/>
            <w:spacing w:before="0" w:after="10"/>
          </w:pPr>
        </w:p>
      </w:tc>
    </w:tr>
  </w:tbl>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A43CB0"/>
    <w:multiLevelType w:val="multilevel"/>
    <w:tmpl w:val="82A43CB0"/>
    <w:lvl w:ilvl="0" w:tentative="0">
      <w:start w:val="1"/>
      <w:numFmt w:val="lowerLetter"/>
      <w:pStyle w:val="30"/>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848D5E41"/>
    <w:multiLevelType w:val="multilevel"/>
    <w:tmpl w:val="848D5E41"/>
    <w:lvl w:ilvl="0" w:tentative="0">
      <w:start w:val="5"/>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ascii="Times New Roman" w:hAnsi="Times New Roman" w:eastAsia="宋体" w:cs="Times New Roman"/>
      </w:rPr>
    </w:lvl>
    <w:lvl w:ilvl="2" w:tentative="0">
      <w:start w:val="0"/>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0DA24264"/>
    <w:multiLevelType w:val="multilevel"/>
    <w:tmpl w:val="0DA24264"/>
    <w:lvl w:ilvl="0" w:tentative="0">
      <w:start w:val="1"/>
      <w:numFmt w:val="decimal"/>
      <w:pStyle w:val="41"/>
      <w:lvlText w:val="%1."/>
      <w:lvlJc w:val="left"/>
      <w:pPr>
        <w:tabs>
          <w:tab w:val="left" w:pos="459"/>
        </w:tabs>
        <w:ind w:left="459" w:hanging="459"/>
      </w:pPr>
      <w:rPr>
        <w:rFonts w:hint="default" w:ascii="Times New Roman" w:hAnsi="Times New Roman"/>
        <w:b w:val="0"/>
        <w:i w:val="0"/>
        <w:caps w:val="0"/>
        <w:strike w:val="0"/>
        <w:dstrike w:val="0"/>
        <w:vanish w:val="0"/>
        <w:color w:val="000000"/>
        <w:sz w:val="22"/>
        <w:vertAlign w:val="baseline"/>
        <w14:shadow w14:blurRad="0" w14:dist="0" w14:dir="0" w14:sx="0" w14:sy="0" w14:kx="0" w14:ky="0" w14:algn="none">
          <w14:srgbClr w14:val="000000"/>
        </w14:shadow>
      </w:rPr>
    </w:lvl>
    <w:lvl w:ilvl="1" w:tentative="0">
      <w:start w:val="1"/>
      <w:numFmt w:val="lowerLetter"/>
      <w:lvlText w:val="(%2)"/>
      <w:lvlJc w:val="left"/>
      <w:pPr>
        <w:tabs>
          <w:tab w:val="left" w:pos="919"/>
        </w:tabs>
        <w:ind w:left="919" w:hanging="459"/>
      </w:pPr>
      <w:rPr>
        <w:rFonts w:hint="default" w:ascii="Times New Roman" w:hAnsi="Times New Roman"/>
        <w:b w:val="0"/>
        <w:i w:val="0"/>
        <w:caps w:val="0"/>
        <w:strike w:val="0"/>
        <w:dstrike w:val="0"/>
        <w:vanish w:val="0"/>
        <w:color w:val="000000"/>
        <w:sz w:val="22"/>
        <w:vertAlign w:val="baseline"/>
        <w14:shadow w14:blurRad="0" w14:dist="0" w14:dir="0" w14:sx="0" w14:sy="0" w14:kx="0" w14:ky="0" w14:algn="none">
          <w14:srgbClr w14:val="000000"/>
        </w14:shadow>
      </w:rPr>
    </w:lvl>
    <w:lvl w:ilvl="2" w:tentative="0">
      <w:start w:val="1"/>
      <w:numFmt w:val="bullet"/>
      <w:lvlText w:val="-"/>
      <w:lvlJc w:val="left"/>
      <w:pPr>
        <w:tabs>
          <w:tab w:val="left" w:pos="1378"/>
        </w:tabs>
        <w:ind w:left="1378" w:hanging="459"/>
      </w:pPr>
      <w:rPr>
        <w:rFonts w:hint="default" w:ascii="Times New Roman" w:cs="Times New Roman"/>
        <w:b w:val="0"/>
        <w:i w:val="0"/>
        <w:caps w:val="0"/>
        <w:strike w:val="0"/>
        <w:dstrike w:val="0"/>
        <w:vanish w:val="0"/>
        <w:color w:val="000000"/>
        <w:sz w:val="24"/>
        <w:vertAlign w:val="baseline"/>
        <w14:shadow w14:blurRad="0" w14:dist="0" w14:dir="0" w14:sx="0" w14:sy="0" w14:kx="0" w14:ky="0" w14:algn="none">
          <w14:srgbClr w14:val="000000"/>
        </w14:shadow>
      </w:rPr>
    </w:lvl>
    <w:lvl w:ilvl="3" w:tentative="0">
      <w:start w:val="1"/>
      <w:numFmt w:val="decimal"/>
      <w:lvlText w:val="(%4)"/>
      <w:lvlJc w:val="left"/>
      <w:pPr>
        <w:tabs>
          <w:tab w:val="left" w:pos="811"/>
        </w:tabs>
        <w:ind w:left="811" w:hanging="360"/>
      </w:pPr>
      <w:rPr>
        <w:rFonts w:hint="default"/>
      </w:rPr>
    </w:lvl>
    <w:lvl w:ilvl="4" w:tentative="0">
      <w:start w:val="1"/>
      <w:numFmt w:val="lowerLetter"/>
      <w:lvlText w:val="(%5)"/>
      <w:lvlJc w:val="left"/>
      <w:pPr>
        <w:tabs>
          <w:tab w:val="left" w:pos="1171"/>
        </w:tabs>
        <w:ind w:left="1171" w:hanging="360"/>
      </w:pPr>
      <w:rPr>
        <w:rFonts w:hint="default"/>
      </w:rPr>
    </w:lvl>
    <w:lvl w:ilvl="5" w:tentative="0">
      <w:start w:val="1"/>
      <w:numFmt w:val="lowerRoman"/>
      <w:lvlText w:val="(%6)"/>
      <w:lvlJc w:val="left"/>
      <w:pPr>
        <w:tabs>
          <w:tab w:val="left" w:pos="1531"/>
        </w:tabs>
        <w:ind w:left="1531" w:hanging="360"/>
      </w:pPr>
      <w:rPr>
        <w:rFonts w:hint="default"/>
      </w:rPr>
    </w:lvl>
    <w:lvl w:ilvl="6" w:tentative="0">
      <w:start w:val="1"/>
      <w:numFmt w:val="decimal"/>
      <w:lvlText w:val="%7."/>
      <w:lvlJc w:val="left"/>
      <w:pPr>
        <w:tabs>
          <w:tab w:val="left" w:pos="1891"/>
        </w:tabs>
        <w:ind w:left="1891" w:hanging="360"/>
      </w:pPr>
      <w:rPr>
        <w:rFonts w:hint="default"/>
      </w:rPr>
    </w:lvl>
    <w:lvl w:ilvl="7" w:tentative="0">
      <w:start w:val="1"/>
      <w:numFmt w:val="lowerLetter"/>
      <w:lvlText w:val="%8."/>
      <w:lvlJc w:val="left"/>
      <w:pPr>
        <w:tabs>
          <w:tab w:val="left" w:pos="2251"/>
        </w:tabs>
        <w:ind w:left="2251" w:hanging="360"/>
      </w:pPr>
      <w:rPr>
        <w:rFonts w:hint="default"/>
      </w:rPr>
    </w:lvl>
    <w:lvl w:ilvl="8" w:tentative="0">
      <w:start w:val="1"/>
      <w:numFmt w:val="lowerRoman"/>
      <w:lvlText w:val="%9."/>
      <w:lvlJc w:val="left"/>
      <w:pPr>
        <w:tabs>
          <w:tab w:val="left" w:pos="2611"/>
        </w:tabs>
        <w:ind w:left="2611" w:hanging="360"/>
      </w:pPr>
      <w:rPr>
        <w:rFonts w:hint="default"/>
      </w:rPr>
    </w:lvl>
  </w:abstractNum>
  <w:abstractNum w:abstractNumId="3">
    <w:nsid w:val="179F5671"/>
    <w:multiLevelType w:val="multilevel"/>
    <w:tmpl w:val="179F5671"/>
    <w:lvl w:ilvl="0" w:tentative="0">
      <w:start w:val="1"/>
      <w:numFmt w:val="bullet"/>
      <w:pStyle w:val="29"/>
      <w:lvlText w:val="—"/>
      <w:lvlJc w:val="left"/>
      <w:pPr>
        <w:ind w:left="1287" w:hanging="360"/>
      </w:pPr>
      <w:rPr>
        <w:rFonts w:hint="default" w:ascii="Times New Roman" w:hAnsi="Times New Roman" w:cs="Times New Roman"/>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4">
    <w:nsid w:val="1F583872"/>
    <w:multiLevelType w:val="multilevel"/>
    <w:tmpl w:val="1F583872"/>
    <w:lvl w:ilvl="0" w:tentative="0">
      <w:start w:val="1"/>
      <w:numFmt w:val="bullet"/>
      <w:pStyle w:val="27"/>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5">
    <w:nsid w:val="30C540B8"/>
    <w:multiLevelType w:val="multilevel"/>
    <w:tmpl w:val="30C540B8"/>
    <w:lvl w:ilvl="0" w:tentative="0">
      <w:start w:val="1"/>
      <w:numFmt w:val="bullet"/>
      <w:pStyle w:val="28"/>
      <w:lvlText w:val=""/>
      <w:lvlJc w:val="left"/>
      <w:pPr>
        <w:tabs>
          <w:tab w:val="left" w:pos="1179"/>
        </w:tabs>
        <w:ind w:left="1179" w:hanging="360"/>
      </w:pPr>
      <w:rPr>
        <w:rFonts w:hint="default" w:ascii="Symbol" w:hAnsi="Symbol"/>
      </w:rPr>
    </w:lvl>
    <w:lvl w:ilvl="1" w:tentative="0">
      <w:start w:val="1"/>
      <w:numFmt w:val="bullet"/>
      <w:lvlText w:val="o"/>
      <w:lvlJc w:val="left"/>
      <w:pPr>
        <w:tabs>
          <w:tab w:val="left" w:pos="1899"/>
        </w:tabs>
        <w:ind w:left="1899" w:hanging="360"/>
      </w:pPr>
      <w:rPr>
        <w:rFonts w:hint="default" w:ascii="Courier New" w:hAnsi="Courier New"/>
      </w:rPr>
    </w:lvl>
    <w:lvl w:ilvl="2" w:tentative="0">
      <w:start w:val="1"/>
      <w:numFmt w:val="bullet"/>
      <w:lvlText w:val=""/>
      <w:lvlJc w:val="left"/>
      <w:pPr>
        <w:tabs>
          <w:tab w:val="left" w:pos="2619"/>
        </w:tabs>
        <w:ind w:left="2619" w:hanging="360"/>
      </w:pPr>
      <w:rPr>
        <w:rFonts w:hint="default" w:ascii="Wingdings" w:hAnsi="Wingdings"/>
      </w:rPr>
    </w:lvl>
    <w:lvl w:ilvl="3" w:tentative="0">
      <w:start w:val="1"/>
      <w:numFmt w:val="bullet"/>
      <w:lvlText w:val=""/>
      <w:lvlJc w:val="left"/>
      <w:pPr>
        <w:tabs>
          <w:tab w:val="left" w:pos="3339"/>
        </w:tabs>
        <w:ind w:left="3339" w:hanging="360"/>
      </w:pPr>
      <w:rPr>
        <w:rFonts w:hint="default" w:ascii="Symbol" w:hAnsi="Symbol"/>
      </w:rPr>
    </w:lvl>
    <w:lvl w:ilvl="4" w:tentative="0">
      <w:start w:val="1"/>
      <w:numFmt w:val="bullet"/>
      <w:lvlText w:val="o"/>
      <w:lvlJc w:val="left"/>
      <w:pPr>
        <w:tabs>
          <w:tab w:val="left" w:pos="4059"/>
        </w:tabs>
        <w:ind w:left="4059" w:hanging="360"/>
      </w:pPr>
      <w:rPr>
        <w:rFonts w:hint="default" w:ascii="Courier New" w:hAnsi="Courier New"/>
      </w:rPr>
    </w:lvl>
    <w:lvl w:ilvl="5" w:tentative="0">
      <w:start w:val="1"/>
      <w:numFmt w:val="bullet"/>
      <w:lvlText w:val=""/>
      <w:lvlJc w:val="left"/>
      <w:pPr>
        <w:tabs>
          <w:tab w:val="left" w:pos="4779"/>
        </w:tabs>
        <w:ind w:left="4779" w:hanging="360"/>
      </w:pPr>
      <w:rPr>
        <w:rFonts w:hint="default" w:ascii="Wingdings" w:hAnsi="Wingdings"/>
      </w:rPr>
    </w:lvl>
    <w:lvl w:ilvl="6" w:tentative="0">
      <w:start w:val="1"/>
      <w:numFmt w:val="bullet"/>
      <w:lvlText w:val=""/>
      <w:lvlJc w:val="left"/>
      <w:pPr>
        <w:tabs>
          <w:tab w:val="left" w:pos="5499"/>
        </w:tabs>
        <w:ind w:left="5499" w:hanging="360"/>
      </w:pPr>
      <w:rPr>
        <w:rFonts w:hint="default" w:ascii="Symbol" w:hAnsi="Symbol"/>
      </w:rPr>
    </w:lvl>
    <w:lvl w:ilvl="7" w:tentative="0">
      <w:start w:val="1"/>
      <w:numFmt w:val="bullet"/>
      <w:lvlText w:val="o"/>
      <w:lvlJc w:val="left"/>
      <w:pPr>
        <w:tabs>
          <w:tab w:val="left" w:pos="6219"/>
        </w:tabs>
        <w:ind w:left="6219" w:hanging="360"/>
      </w:pPr>
      <w:rPr>
        <w:rFonts w:hint="default" w:ascii="Courier New" w:hAnsi="Courier New"/>
      </w:rPr>
    </w:lvl>
    <w:lvl w:ilvl="8" w:tentative="0">
      <w:start w:val="1"/>
      <w:numFmt w:val="bullet"/>
      <w:lvlText w:val=""/>
      <w:lvlJc w:val="left"/>
      <w:pPr>
        <w:tabs>
          <w:tab w:val="left" w:pos="6939"/>
        </w:tabs>
        <w:ind w:left="6939" w:hanging="360"/>
      </w:pPr>
      <w:rPr>
        <w:rFonts w:hint="default" w:ascii="Wingdings" w:hAnsi="Wingdings"/>
      </w:rPr>
    </w:lvl>
  </w:abstractNum>
  <w:abstractNum w:abstractNumId="6">
    <w:nsid w:val="3D18048A"/>
    <w:multiLevelType w:val="multilevel"/>
    <w:tmpl w:val="3D18048A"/>
    <w:lvl w:ilvl="0" w:tentative="0">
      <w:start w:val="1"/>
      <w:numFmt w:val="decimal"/>
      <w:pStyle w:val="56"/>
      <w:lvlText w:val="[%1]"/>
      <w:lvlJc w:val="left"/>
      <w:pPr>
        <w:ind w:left="80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3D1DB1AE"/>
    <w:multiLevelType w:val="multilevel"/>
    <w:tmpl w:val="3D1DB1AE"/>
    <w:lvl w:ilvl="0" w:tentative="0">
      <w:start w:val="4"/>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ascii="Times New Roman" w:hAnsi="Times New Roman" w:eastAsia="宋体" w:cs="Times New Roman"/>
      </w:rPr>
    </w:lvl>
    <w:lvl w:ilvl="2" w:tentative="0">
      <w:start w:val="0"/>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8">
    <w:nsid w:val="5117250B"/>
    <w:multiLevelType w:val="multilevel"/>
    <w:tmpl w:val="5117250B"/>
    <w:lvl w:ilvl="0" w:tentative="0">
      <w:start w:val="1"/>
      <w:numFmt w:val="decimal"/>
      <w:pStyle w:val="26"/>
      <w:lvlText w:val="%1."/>
      <w:lvlJc w:val="left"/>
      <w:pPr>
        <w:tabs>
          <w:tab w:val="left" w:pos="459"/>
        </w:tabs>
        <w:ind w:left="0" w:firstLine="0"/>
      </w:pPr>
    </w:lvl>
    <w:lvl w:ilvl="1" w:tentative="0">
      <w:start w:val="1"/>
      <w:numFmt w:val="decimal"/>
      <w:lvlText w:val="%1.%2."/>
      <w:lvlJc w:val="left"/>
      <w:pPr>
        <w:tabs>
          <w:tab w:val="left" w:pos="918"/>
        </w:tabs>
        <w:ind w:left="459" w:firstLine="0"/>
      </w:pPr>
    </w:lvl>
    <w:lvl w:ilvl="2" w:tentative="0">
      <w:start w:val="1"/>
      <w:numFmt w:val="decimal"/>
      <w:lvlText w:val="%1.%2.%3."/>
      <w:lvlJc w:val="left"/>
      <w:pPr>
        <w:tabs>
          <w:tab w:val="left" w:pos="1378"/>
        </w:tabs>
        <w:ind w:left="918" w:firstLine="0"/>
      </w:pPr>
    </w:lvl>
    <w:lvl w:ilvl="3" w:tentative="0">
      <w:start w:val="1"/>
      <w:numFmt w:val="decimal"/>
      <w:lvlText w:val="%1.%2.%3.%4."/>
      <w:lvlJc w:val="left"/>
      <w:pPr>
        <w:tabs>
          <w:tab w:val="left" w:pos="1837"/>
        </w:tabs>
        <w:ind w:left="1378" w:firstLine="0"/>
      </w:pPr>
    </w:lvl>
    <w:lvl w:ilvl="4" w:tentative="0">
      <w:start w:val="1"/>
      <w:numFmt w:val="decimal"/>
      <w:lvlText w:val="%1.%2.%3.%4.%5."/>
      <w:lvlJc w:val="left"/>
      <w:pPr>
        <w:tabs>
          <w:tab w:val="left" w:pos="2517"/>
        </w:tabs>
        <w:ind w:left="2234" w:hanging="794"/>
      </w:pPr>
    </w:lvl>
    <w:lvl w:ilvl="5" w:tentative="0">
      <w:start w:val="1"/>
      <w:numFmt w:val="decimal"/>
      <w:lvlText w:val="%1.%2.%3.%4.%5.%6."/>
      <w:lvlJc w:val="left"/>
      <w:pPr>
        <w:tabs>
          <w:tab w:val="left" w:pos="2880"/>
        </w:tabs>
        <w:ind w:left="2738" w:hanging="941"/>
      </w:pPr>
    </w:lvl>
    <w:lvl w:ilvl="6" w:tentative="0">
      <w:start w:val="1"/>
      <w:numFmt w:val="decimal"/>
      <w:lvlText w:val="%1.%2.%3.%4.%5.%6.%7."/>
      <w:lvlJc w:val="left"/>
      <w:pPr>
        <w:tabs>
          <w:tab w:val="left" w:pos="3600"/>
        </w:tabs>
        <w:ind w:left="3237" w:hanging="1077"/>
      </w:pPr>
    </w:lvl>
    <w:lvl w:ilvl="7" w:tentative="0">
      <w:start w:val="1"/>
      <w:numFmt w:val="decimal"/>
      <w:lvlText w:val="%1.%2.%3.%4.%5.%6.%7.%8."/>
      <w:lvlJc w:val="left"/>
      <w:pPr>
        <w:tabs>
          <w:tab w:val="left" w:pos="3957"/>
        </w:tabs>
        <w:ind w:left="3742" w:hanging="1225"/>
      </w:pPr>
    </w:lvl>
    <w:lvl w:ilvl="8" w:tentative="0">
      <w:start w:val="1"/>
      <w:numFmt w:val="decimal"/>
      <w:lvlText w:val="%1.%2.%3.%4.%5.%6.%7.%8.%9."/>
      <w:lvlJc w:val="left"/>
      <w:pPr>
        <w:tabs>
          <w:tab w:val="left" w:pos="4677"/>
        </w:tabs>
        <w:ind w:left="4320" w:hanging="1440"/>
      </w:pPr>
    </w:lvl>
  </w:abstractNum>
  <w:abstractNum w:abstractNumId="9">
    <w:nsid w:val="6FD51093"/>
    <w:multiLevelType w:val="multilevel"/>
    <w:tmpl w:val="6FD51093"/>
    <w:lvl w:ilvl="0" w:tentative="0">
      <w:start w:val="1"/>
      <w:numFmt w:val="none"/>
      <w:lvlText w:val=""/>
      <w:lvlJc w:val="left"/>
      <w:pPr>
        <w:tabs>
          <w:tab w:val="left" w:pos="459"/>
        </w:tabs>
        <w:ind w:left="0" w:firstLine="0"/>
      </w:pPr>
      <w:rPr>
        <w:rFonts w:hint="default"/>
      </w:rPr>
    </w:lvl>
    <w:lvl w:ilvl="1" w:tentative="0">
      <w:start w:val="1"/>
      <w:numFmt w:val="decimal"/>
      <w:lvlRestart w:val="0"/>
      <w:pStyle w:val="5"/>
      <w:suff w:val="space"/>
      <w:lvlText w:val="%1%2."/>
      <w:lvlJc w:val="left"/>
      <w:pPr>
        <w:ind w:left="0" w:firstLine="0"/>
      </w:pPr>
      <w:rPr>
        <w:rFonts w:hint="default"/>
        <w:color w:val="auto"/>
      </w:rPr>
    </w:lvl>
    <w:lvl w:ilvl="2" w:tentative="0">
      <w:start w:val="1"/>
      <w:numFmt w:val="decimal"/>
      <w:lvlRestart w:val="0"/>
      <w:pStyle w:val="6"/>
      <w:lvlText w:val="%1%2.%3."/>
      <w:lvlJc w:val="left"/>
      <w:pPr>
        <w:ind w:left="0" w:firstLine="0"/>
      </w:pPr>
      <w:rPr>
        <w:rFonts w:hint="default"/>
      </w:rPr>
    </w:lvl>
    <w:lvl w:ilvl="3" w:tentative="0">
      <w:start w:val="1"/>
      <w:numFmt w:val="decimal"/>
      <w:lvlRestart w:val="0"/>
      <w:pStyle w:val="7"/>
      <w:lvlText w:val="%2.%3.%4."/>
      <w:lvlJc w:val="left"/>
      <w:pPr>
        <w:ind w:left="1701" w:firstLine="0"/>
      </w:pPr>
      <w:rPr>
        <w:rFonts w:hint="default"/>
      </w:rPr>
    </w:lvl>
    <w:lvl w:ilvl="4" w:tentative="0">
      <w:start w:val="1"/>
      <w:numFmt w:val="lowerLetter"/>
      <w:lvlRestart w:val="0"/>
      <w:lvlText w:val="%1(%5)"/>
      <w:lvlJc w:val="left"/>
      <w:pPr>
        <w:tabs>
          <w:tab w:val="left" w:pos="3345"/>
        </w:tabs>
        <w:ind w:left="2268" w:firstLine="0"/>
      </w:pPr>
      <w:rPr>
        <w:rFonts w:hint="default"/>
        <w:sz w:val="20"/>
      </w:rPr>
    </w:lvl>
    <w:lvl w:ilvl="5" w:tentative="0">
      <w:start w:val="1"/>
      <w:numFmt w:val="decimal"/>
      <w:lvlText w:val="%1.%2.%3.%4.%5.%6"/>
      <w:lvlJc w:val="left"/>
      <w:pPr>
        <w:tabs>
          <w:tab w:val="left" w:pos="3912"/>
        </w:tabs>
        <w:ind w:left="2835" w:firstLine="0"/>
      </w:pPr>
      <w:rPr>
        <w:rFonts w:hint="default"/>
      </w:rPr>
    </w:lvl>
    <w:lvl w:ilvl="6" w:tentative="0">
      <w:start w:val="1"/>
      <w:numFmt w:val="decimal"/>
      <w:lvlText w:val="%1.%2.%3.%4.%5.%6.%7"/>
      <w:lvlJc w:val="left"/>
      <w:pPr>
        <w:tabs>
          <w:tab w:val="left" w:pos="2432"/>
        </w:tabs>
        <w:ind w:left="2432" w:hanging="1298"/>
      </w:pPr>
      <w:rPr>
        <w:rFonts w:hint="default"/>
      </w:rPr>
    </w:lvl>
    <w:lvl w:ilvl="7" w:tentative="0">
      <w:start w:val="1"/>
      <w:numFmt w:val="decimal"/>
      <w:lvlText w:val="%1.%2.%3.%4.%5.%6.%7.%8"/>
      <w:lvlJc w:val="left"/>
      <w:pPr>
        <w:tabs>
          <w:tab w:val="left" w:pos="2574"/>
        </w:tabs>
        <w:ind w:left="2574" w:hanging="1440"/>
      </w:pPr>
      <w:rPr>
        <w:rFonts w:hint="default"/>
      </w:rPr>
    </w:lvl>
    <w:lvl w:ilvl="8" w:tentative="0">
      <w:start w:val="1"/>
      <w:numFmt w:val="decimal"/>
      <w:lvlText w:val="%1.%2.%3.%4.%5.%6.%7.%8.%9"/>
      <w:lvlJc w:val="left"/>
      <w:pPr>
        <w:tabs>
          <w:tab w:val="left" w:pos="2716"/>
        </w:tabs>
        <w:ind w:left="2716" w:hanging="1582"/>
      </w:pPr>
      <w:rPr>
        <w:rFonts w:hint="default"/>
      </w:rPr>
    </w:lvl>
  </w:abstractNum>
  <w:num w:numId="1">
    <w:abstractNumId w:val="9"/>
  </w:num>
  <w:num w:numId="2">
    <w:abstractNumId w:val="8"/>
  </w:num>
  <w:num w:numId="3">
    <w:abstractNumId w:val="4"/>
  </w:num>
  <w:num w:numId="4">
    <w:abstractNumId w:val="5"/>
  </w:num>
  <w:num w:numId="5">
    <w:abstractNumId w:val="3"/>
  </w:num>
  <w:num w:numId="6">
    <w:abstractNumId w:val="0"/>
  </w:num>
  <w:num w:numId="7">
    <w:abstractNumId w:val="2"/>
  </w:num>
  <w:num w:numId="8">
    <w:abstractNumId w:val="6"/>
  </w:num>
  <w:num w:numId="9">
    <w:abstractNumId w:val="9"/>
    <w:lvlOverride w:ilvl="0">
      <w:lvl w:ilvl="0" w:tentative="1">
        <w:start w:val="1"/>
        <w:numFmt w:val="none"/>
        <w:lvlText w:val=""/>
        <w:lvlJc w:val="left"/>
        <w:pPr>
          <w:tabs>
            <w:tab w:val="left" w:pos="459"/>
          </w:tabs>
          <w:ind w:left="0" w:firstLine="0"/>
        </w:pPr>
        <w:rPr>
          <w:rFonts w:hint="default"/>
        </w:rPr>
      </w:lvl>
    </w:lvlOverride>
    <w:lvlOverride w:ilvl="1">
      <w:lvl w:ilvl="1" w:tentative="1">
        <w:start w:val="1"/>
        <w:numFmt w:val="decimal"/>
        <w:lvlRestart w:val="0"/>
        <w:lvlText w:val="%1%2."/>
        <w:lvlJc w:val="left"/>
        <w:pPr>
          <w:ind w:left="0" w:firstLine="0"/>
        </w:pPr>
        <w:rPr>
          <w:rFonts w:hint="default"/>
          <w:color w:val="auto"/>
        </w:rPr>
      </w:lvl>
    </w:lvlOverride>
    <w:lvlOverride w:ilvl="2">
      <w:lvl w:ilvl="2" w:tentative="1">
        <w:start w:val="1"/>
        <w:numFmt w:val="decimal"/>
        <w:lvlRestart w:val="0"/>
        <w:lvlText w:val="%1%2.%3."/>
        <w:lvlJc w:val="left"/>
        <w:pPr>
          <w:ind w:left="0" w:firstLine="0"/>
        </w:pPr>
        <w:rPr>
          <w:rFonts w:hint="default"/>
        </w:rPr>
      </w:lvl>
    </w:lvlOverride>
    <w:lvlOverride w:ilvl="3">
      <w:lvl w:ilvl="3" w:tentative="1">
        <w:start w:val="1"/>
        <w:numFmt w:val="none"/>
        <w:lvlRestart w:val="0"/>
        <w:lvlText w:val=""/>
        <w:lvlJc w:val="left"/>
        <w:pPr>
          <w:tabs>
            <w:tab w:val="left" w:pos="2058"/>
          </w:tabs>
          <w:ind w:left="1701" w:firstLine="0"/>
        </w:pPr>
        <w:rPr>
          <w:rFonts w:hint="default"/>
        </w:rPr>
      </w:lvl>
    </w:lvlOverride>
    <w:lvlOverride w:ilvl="4">
      <w:lvl w:ilvl="4" w:tentative="1">
        <w:start w:val="1"/>
        <w:numFmt w:val="lowerLetter"/>
        <w:lvlRestart w:val="0"/>
        <w:lvlText w:val="%1(%5)"/>
        <w:lvlJc w:val="left"/>
        <w:pPr>
          <w:tabs>
            <w:tab w:val="left" w:pos="3345"/>
          </w:tabs>
          <w:ind w:left="2268" w:firstLine="0"/>
        </w:pPr>
        <w:rPr>
          <w:rFonts w:hint="default"/>
          <w:sz w:val="20"/>
        </w:rPr>
      </w:lvl>
    </w:lvlOverride>
    <w:lvlOverride w:ilvl="5">
      <w:lvl w:ilvl="5" w:tentative="1">
        <w:start w:val="1"/>
        <w:numFmt w:val="decimal"/>
        <w:lvlText w:val="%1.%2.%3.%4.%5.%6"/>
        <w:lvlJc w:val="left"/>
        <w:pPr>
          <w:tabs>
            <w:tab w:val="left" w:pos="3912"/>
          </w:tabs>
          <w:ind w:left="2835" w:firstLine="0"/>
        </w:pPr>
        <w:rPr>
          <w:rFonts w:hint="default"/>
        </w:rPr>
      </w:lvl>
    </w:lvlOverride>
    <w:lvlOverride w:ilvl="6">
      <w:lvl w:ilvl="6" w:tentative="1">
        <w:start w:val="1"/>
        <w:numFmt w:val="decimal"/>
        <w:lvlText w:val="%1.%2.%3.%4.%5.%6.%7"/>
        <w:lvlJc w:val="left"/>
        <w:pPr>
          <w:tabs>
            <w:tab w:val="left" w:pos="2432"/>
          </w:tabs>
          <w:ind w:left="2432" w:hanging="1298"/>
        </w:pPr>
        <w:rPr>
          <w:rFonts w:hint="default"/>
        </w:rPr>
      </w:lvl>
    </w:lvlOverride>
    <w:lvlOverride w:ilvl="7">
      <w:lvl w:ilvl="7" w:tentative="1">
        <w:start w:val="1"/>
        <w:numFmt w:val="decimal"/>
        <w:lvlText w:val="%1.%2.%3.%4.%5.%6.%7.%8"/>
        <w:lvlJc w:val="left"/>
        <w:pPr>
          <w:tabs>
            <w:tab w:val="left" w:pos="2574"/>
          </w:tabs>
          <w:ind w:left="2574" w:hanging="1440"/>
        </w:pPr>
        <w:rPr>
          <w:rFonts w:hint="default"/>
        </w:rPr>
      </w:lvl>
    </w:lvlOverride>
    <w:lvlOverride w:ilvl="8">
      <w:lvl w:ilvl="8" w:tentative="1">
        <w:start w:val="1"/>
        <w:numFmt w:val="decimal"/>
        <w:lvlText w:val="%1.%2.%3.%4.%5.%6.%7.%8.%9"/>
        <w:lvlJc w:val="left"/>
        <w:pPr>
          <w:tabs>
            <w:tab w:val="left" w:pos="2716"/>
          </w:tabs>
          <w:ind w:left="2716" w:hanging="1582"/>
        </w:pPr>
        <w:rPr>
          <w:rFonts w:hint="default"/>
        </w:rPr>
      </w:lvl>
    </w:lvlOverride>
  </w:num>
  <w:num w:numId="10">
    <w:abstractNumId w:val="7"/>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567"/>
  <w:evenAndOddHeaders w:val="1"/>
  <w:drawingGridHorizontalSpacing w:val="120"/>
  <w:drawingGridVerticalSpacing w:val="120"/>
  <w:displayHorizontalDrawingGridEvery w:val="1"/>
  <w:displayVerticalDrawingGridEvery w:val="1"/>
  <w:doNotUseMarginsForDrawingGridOrigin w:val="1"/>
  <w:drawingGridHorizontalOrigin w:val="1800"/>
  <w:drawingGridVerticalOrigin w:val="1440"/>
  <w:noPunctuationKerning w:val="1"/>
  <w:characterSpacingControl w:val="doNotCompress"/>
  <w:compat>
    <w:spaceForUL/>
    <w:balanceSingleByteDoubleByteWidth/>
    <w:doNotLeaveBackslashAlone/>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229AB"/>
    <w:rsid w:val="0002569A"/>
    <w:rsid w:val="00037321"/>
    <w:rsid w:val="000A0299"/>
    <w:rsid w:val="000C6F25"/>
    <w:rsid w:val="000F7E94"/>
    <w:rsid w:val="001119D6"/>
    <w:rsid w:val="001308F2"/>
    <w:rsid w:val="001313E8"/>
    <w:rsid w:val="001C58F5"/>
    <w:rsid w:val="001D5CEE"/>
    <w:rsid w:val="002071D9"/>
    <w:rsid w:val="00256822"/>
    <w:rsid w:val="0026525A"/>
    <w:rsid w:val="00274790"/>
    <w:rsid w:val="00285755"/>
    <w:rsid w:val="002A1F9C"/>
    <w:rsid w:val="002B29C2"/>
    <w:rsid w:val="002C4208"/>
    <w:rsid w:val="002F52F2"/>
    <w:rsid w:val="00352DE1"/>
    <w:rsid w:val="003728E6"/>
    <w:rsid w:val="003B5E0E"/>
    <w:rsid w:val="003D255A"/>
    <w:rsid w:val="00416949"/>
    <w:rsid w:val="004370D8"/>
    <w:rsid w:val="00472C43"/>
    <w:rsid w:val="00537496"/>
    <w:rsid w:val="00544ED3"/>
    <w:rsid w:val="0058477B"/>
    <w:rsid w:val="0058654F"/>
    <w:rsid w:val="00596ACA"/>
    <w:rsid w:val="005E39BC"/>
    <w:rsid w:val="005F00A0"/>
    <w:rsid w:val="00647F33"/>
    <w:rsid w:val="00662532"/>
    <w:rsid w:val="006B2274"/>
    <w:rsid w:val="00717C6F"/>
    <w:rsid w:val="007445DA"/>
    <w:rsid w:val="00754204"/>
    <w:rsid w:val="007B4FD1"/>
    <w:rsid w:val="00802381"/>
    <w:rsid w:val="00883848"/>
    <w:rsid w:val="00897ED5"/>
    <w:rsid w:val="008B6BB9"/>
    <w:rsid w:val="00911543"/>
    <w:rsid w:val="009519C9"/>
    <w:rsid w:val="009D0B86"/>
    <w:rsid w:val="009E0D5B"/>
    <w:rsid w:val="009E1558"/>
    <w:rsid w:val="00A42898"/>
    <w:rsid w:val="00AB6ACE"/>
    <w:rsid w:val="00AC5A3A"/>
    <w:rsid w:val="00B82FA5"/>
    <w:rsid w:val="00BD1400"/>
    <w:rsid w:val="00BD605C"/>
    <w:rsid w:val="00BE2A76"/>
    <w:rsid w:val="00C65E60"/>
    <w:rsid w:val="00CE5A52"/>
    <w:rsid w:val="00CF7AF3"/>
    <w:rsid w:val="00D26ADA"/>
    <w:rsid w:val="00D35A78"/>
    <w:rsid w:val="00D555A1"/>
    <w:rsid w:val="00D64DC2"/>
    <w:rsid w:val="00DA46CA"/>
    <w:rsid w:val="00DF21EB"/>
    <w:rsid w:val="00E20E70"/>
    <w:rsid w:val="00E25B68"/>
    <w:rsid w:val="00E84003"/>
    <w:rsid w:val="00EC10FC"/>
    <w:rsid w:val="00EE0041"/>
    <w:rsid w:val="00EE29B9"/>
    <w:rsid w:val="00F004EE"/>
    <w:rsid w:val="00F42E23"/>
    <w:rsid w:val="00F45EEE"/>
    <w:rsid w:val="00F51E9C"/>
    <w:rsid w:val="00F523CA"/>
    <w:rsid w:val="00F74A9D"/>
    <w:rsid w:val="00FF386F"/>
    <w:rsid w:val="00FF6F19"/>
    <w:rsid w:val="029D1226"/>
    <w:rsid w:val="03D52ED9"/>
    <w:rsid w:val="03E60E08"/>
    <w:rsid w:val="057A1338"/>
    <w:rsid w:val="05EF17FC"/>
    <w:rsid w:val="06F53DF8"/>
    <w:rsid w:val="06FB2789"/>
    <w:rsid w:val="078834F2"/>
    <w:rsid w:val="07BC71A8"/>
    <w:rsid w:val="080652E1"/>
    <w:rsid w:val="088B1FC0"/>
    <w:rsid w:val="09684106"/>
    <w:rsid w:val="09824B3E"/>
    <w:rsid w:val="0A1A6F23"/>
    <w:rsid w:val="0AA25921"/>
    <w:rsid w:val="0B34421C"/>
    <w:rsid w:val="0BA20E5F"/>
    <w:rsid w:val="0C3371FF"/>
    <w:rsid w:val="0E097BCB"/>
    <w:rsid w:val="0E1D4B35"/>
    <w:rsid w:val="0E220B95"/>
    <w:rsid w:val="0ED57BD6"/>
    <w:rsid w:val="0F262DE9"/>
    <w:rsid w:val="0F3D2A0E"/>
    <w:rsid w:val="0F8E50D5"/>
    <w:rsid w:val="10CF6FA9"/>
    <w:rsid w:val="10ED2498"/>
    <w:rsid w:val="11E301DF"/>
    <w:rsid w:val="124A2691"/>
    <w:rsid w:val="137568FB"/>
    <w:rsid w:val="14B02E00"/>
    <w:rsid w:val="15541CCE"/>
    <w:rsid w:val="15E11D62"/>
    <w:rsid w:val="15EE42C8"/>
    <w:rsid w:val="17BA4A97"/>
    <w:rsid w:val="1879343B"/>
    <w:rsid w:val="1885749B"/>
    <w:rsid w:val="18D90A3F"/>
    <w:rsid w:val="1A4246DA"/>
    <w:rsid w:val="1B8575B5"/>
    <w:rsid w:val="1CB303A9"/>
    <w:rsid w:val="1CCA5E18"/>
    <w:rsid w:val="1E420733"/>
    <w:rsid w:val="1E437BC9"/>
    <w:rsid w:val="1FFA406A"/>
    <w:rsid w:val="205C30E2"/>
    <w:rsid w:val="216C5775"/>
    <w:rsid w:val="228B6D71"/>
    <w:rsid w:val="22EE0D5B"/>
    <w:rsid w:val="23693F28"/>
    <w:rsid w:val="23747613"/>
    <w:rsid w:val="23C97859"/>
    <w:rsid w:val="24087567"/>
    <w:rsid w:val="245C688F"/>
    <w:rsid w:val="24795ACC"/>
    <w:rsid w:val="26FF722D"/>
    <w:rsid w:val="27F3642E"/>
    <w:rsid w:val="28E75687"/>
    <w:rsid w:val="29215D08"/>
    <w:rsid w:val="29CD377E"/>
    <w:rsid w:val="2A0C3A2C"/>
    <w:rsid w:val="2A5C220C"/>
    <w:rsid w:val="2B8509F5"/>
    <w:rsid w:val="2B893597"/>
    <w:rsid w:val="2BEC3597"/>
    <w:rsid w:val="2C016606"/>
    <w:rsid w:val="2C6566E9"/>
    <w:rsid w:val="2C9A6ECF"/>
    <w:rsid w:val="2D776454"/>
    <w:rsid w:val="2DE85069"/>
    <w:rsid w:val="2E3B15C5"/>
    <w:rsid w:val="2E7F4DBE"/>
    <w:rsid w:val="2F3E66E6"/>
    <w:rsid w:val="2F5E1045"/>
    <w:rsid w:val="2F7D4E26"/>
    <w:rsid w:val="309A2215"/>
    <w:rsid w:val="310503CC"/>
    <w:rsid w:val="31404E10"/>
    <w:rsid w:val="315C77DD"/>
    <w:rsid w:val="319711CE"/>
    <w:rsid w:val="31F43B9D"/>
    <w:rsid w:val="327B0B00"/>
    <w:rsid w:val="32B118D1"/>
    <w:rsid w:val="33475BF9"/>
    <w:rsid w:val="33F72303"/>
    <w:rsid w:val="35640B8C"/>
    <w:rsid w:val="36C5227C"/>
    <w:rsid w:val="37265753"/>
    <w:rsid w:val="37AB57E7"/>
    <w:rsid w:val="39870A0E"/>
    <w:rsid w:val="3ACC6874"/>
    <w:rsid w:val="3B227135"/>
    <w:rsid w:val="3B3F0BD5"/>
    <w:rsid w:val="3BD16A31"/>
    <w:rsid w:val="3D531D71"/>
    <w:rsid w:val="3DE05FE2"/>
    <w:rsid w:val="3DFE1D7E"/>
    <w:rsid w:val="3E353D95"/>
    <w:rsid w:val="3ECC69C7"/>
    <w:rsid w:val="3FB9189A"/>
    <w:rsid w:val="41654DD9"/>
    <w:rsid w:val="416B3DC3"/>
    <w:rsid w:val="417F0213"/>
    <w:rsid w:val="425F4FF1"/>
    <w:rsid w:val="43201B6C"/>
    <w:rsid w:val="43F40BD0"/>
    <w:rsid w:val="44623677"/>
    <w:rsid w:val="446802E3"/>
    <w:rsid w:val="4622569C"/>
    <w:rsid w:val="466A7115"/>
    <w:rsid w:val="468766C5"/>
    <w:rsid w:val="46E5656A"/>
    <w:rsid w:val="474B1C86"/>
    <w:rsid w:val="482A0828"/>
    <w:rsid w:val="48430B5D"/>
    <w:rsid w:val="493E6E9B"/>
    <w:rsid w:val="49AD534E"/>
    <w:rsid w:val="4A1F0D5E"/>
    <w:rsid w:val="4A586FEE"/>
    <w:rsid w:val="4A9F1511"/>
    <w:rsid w:val="4AC67EF6"/>
    <w:rsid w:val="4B0A4113"/>
    <w:rsid w:val="4B3C4A47"/>
    <w:rsid w:val="4B9E37E5"/>
    <w:rsid w:val="4BA60E68"/>
    <w:rsid w:val="4BC60241"/>
    <w:rsid w:val="4C4A2028"/>
    <w:rsid w:val="4CA43F36"/>
    <w:rsid w:val="4D446779"/>
    <w:rsid w:val="4D505D63"/>
    <w:rsid w:val="4EB56495"/>
    <w:rsid w:val="4F4C22B1"/>
    <w:rsid w:val="506256F1"/>
    <w:rsid w:val="506D06F3"/>
    <w:rsid w:val="525B00D5"/>
    <w:rsid w:val="526472A4"/>
    <w:rsid w:val="53346A8A"/>
    <w:rsid w:val="535B4EB0"/>
    <w:rsid w:val="53985EEA"/>
    <w:rsid w:val="5583074C"/>
    <w:rsid w:val="562875CC"/>
    <w:rsid w:val="56592EBE"/>
    <w:rsid w:val="56AC4C19"/>
    <w:rsid w:val="56B50C7C"/>
    <w:rsid w:val="570E71FA"/>
    <w:rsid w:val="575971AE"/>
    <w:rsid w:val="57E2536F"/>
    <w:rsid w:val="57F70FE0"/>
    <w:rsid w:val="59681F4F"/>
    <w:rsid w:val="59FF35B4"/>
    <w:rsid w:val="5B0D28EB"/>
    <w:rsid w:val="5BEF40E4"/>
    <w:rsid w:val="5CD3517C"/>
    <w:rsid w:val="5E323065"/>
    <w:rsid w:val="5E4951BD"/>
    <w:rsid w:val="5E7C0822"/>
    <w:rsid w:val="5FAF4DAB"/>
    <w:rsid w:val="5FBF6023"/>
    <w:rsid w:val="5FE274DC"/>
    <w:rsid w:val="603E63DD"/>
    <w:rsid w:val="605602DE"/>
    <w:rsid w:val="61A408CC"/>
    <w:rsid w:val="623D5E73"/>
    <w:rsid w:val="62466C3D"/>
    <w:rsid w:val="625A6AE3"/>
    <w:rsid w:val="62750DDA"/>
    <w:rsid w:val="632437C1"/>
    <w:rsid w:val="635208EB"/>
    <w:rsid w:val="63A04A56"/>
    <w:rsid w:val="647A412F"/>
    <w:rsid w:val="647C15C9"/>
    <w:rsid w:val="64862B57"/>
    <w:rsid w:val="64E1790F"/>
    <w:rsid w:val="65401434"/>
    <w:rsid w:val="65BE7D9B"/>
    <w:rsid w:val="68047BB0"/>
    <w:rsid w:val="689F6CDB"/>
    <w:rsid w:val="68CD2FFC"/>
    <w:rsid w:val="69D00DEB"/>
    <w:rsid w:val="6B2F0DDD"/>
    <w:rsid w:val="6BAC37B5"/>
    <w:rsid w:val="6BDD1FEE"/>
    <w:rsid w:val="6CF17A58"/>
    <w:rsid w:val="6DAB1716"/>
    <w:rsid w:val="6E873A42"/>
    <w:rsid w:val="6EB333C4"/>
    <w:rsid w:val="6F0A5C70"/>
    <w:rsid w:val="70DF6BD6"/>
    <w:rsid w:val="728D78E3"/>
    <w:rsid w:val="73627906"/>
    <w:rsid w:val="753F09EE"/>
    <w:rsid w:val="77875C6D"/>
    <w:rsid w:val="785872B0"/>
    <w:rsid w:val="786847E0"/>
    <w:rsid w:val="79CB7905"/>
    <w:rsid w:val="7C5C251E"/>
    <w:rsid w:val="7CE424F8"/>
    <w:rsid w:val="7D202558"/>
    <w:rsid w:val="7D7832DC"/>
    <w:rsid w:val="7F090B62"/>
    <w:rsid w:val="7F14040A"/>
    <w:rsid w:val="7F5156FF"/>
    <w:rsid w:val="7FC37ED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49" w:semiHidden="0" w:name="Normal"/>
    <w:lsdException w:qFormat="1" w:unhideWhenUsed="0" w:uiPriority="4" w:semiHidden="0" w:name="heading 1"/>
    <w:lsdException w:qFormat="1" w:unhideWhenUsed="0" w:uiPriority="4" w:semiHidden="0" w:name="heading 2"/>
    <w:lsdException w:qFormat="1" w:unhideWhenUsed="0" w:uiPriority="4" w:semiHidden="0" w:name="heading 3"/>
    <w:lsdException w:qFormat="1" w:unhideWhenUsed="0" w:uiPriority="4" w:semiHidden="0" w:name="heading 4"/>
    <w:lsdException w:qFormat="1" w:unhideWhenUsed="0" w:uiPriority="19" w:semiHidden="0" w:name="heading 5" w:locked="1"/>
    <w:lsdException w:qFormat="1" w:unhideWhenUsed="0" w:uiPriority="19" w:semiHidden="0" w:name="heading 6" w:locked="1"/>
    <w:lsdException w:qFormat="1" w:unhideWhenUsed="0" w:uiPriority="19" w:semiHidden="0" w:name="heading 7" w:locked="1"/>
    <w:lsdException w:qFormat="1" w:unhideWhenUsed="0" w:uiPriority="19" w:semiHidden="0" w:name="heading 8" w:locked="1"/>
    <w:lsdException w:qFormat="1" w:unhideWhenUsed="0" w:uiPriority="19" w:semiHidden="0" w:name="heading 9" w:locked="1"/>
    <w:lsdException w:unhideWhenUsed="0" w:uiPriority="49" w:semiHidden="0" w:name="index 1" w:locked="1"/>
    <w:lsdException w:unhideWhenUsed="0" w:uiPriority="49" w:semiHidden="0" w:name="index 2" w:locked="1"/>
    <w:lsdException w:unhideWhenUsed="0" w:uiPriority="49" w:semiHidden="0" w:name="index 3" w:locked="1"/>
    <w:lsdException w:unhideWhenUsed="0" w:uiPriority="49" w:semiHidden="0" w:name="index 4" w:locked="1"/>
    <w:lsdException w:unhideWhenUsed="0" w:uiPriority="49" w:semiHidden="0" w:name="index 5" w:locked="1"/>
    <w:lsdException w:unhideWhenUsed="0" w:uiPriority="49" w:semiHidden="0" w:name="index 6" w:locked="1"/>
    <w:lsdException w:unhideWhenUsed="0" w:uiPriority="49" w:semiHidden="0" w:name="index 7" w:locked="1"/>
    <w:lsdException w:unhideWhenUsed="0" w:uiPriority="49" w:semiHidden="0" w:name="index 8" w:locked="1"/>
    <w:lsdException w:unhideWhenUsed="0" w:uiPriority="49" w:semiHidden="0" w:name="index 9" w:locked="1"/>
    <w:lsdException w:unhideWhenUsed="0" w:uiPriority="49" w:semiHidden="0" w:name="toc 1" w:locked="1"/>
    <w:lsdException w:unhideWhenUsed="0" w:uiPriority="49" w:semiHidden="0" w:name="toc 2" w:locked="1"/>
    <w:lsdException w:unhideWhenUsed="0" w:uiPriority="49" w:semiHidden="0" w:name="toc 3" w:locked="1"/>
    <w:lsdException w:unhideWhenUsed="0" w:uiPriority="49" w:semiHidden="0" w:name="toc 4" w:locked="1"/>
    <w:lsdException w:unhideWhenUsed="0" w:uiPriority="49" w:semiHidden="0" w:name="toc 5" w:locked="1"/>
    <w:lsdException w:unhideWhenUsed="0" w:uiPriority="49" w:semiHidden="0" w:name="toc 6" w:locked="1"/>
    <w:lsdException w:unhideWhenUsed="0" w:uiPriority="49" w:semiHidden="0" w:name="toc 7" w:locked="1"/>
    <w:lsdException w:unhideWhenUsed="0" w:uiPriority="49" w:semiHidden="0" w:name="toc 8" w:locked="1"/>
    <w:lsdException w:unhideWhenUsed="0" w:uiPriority="49" w:semiHidden="0" w:name="toc 9" w:locked="1"/>
    <w:lsdException w:unhideWhenUsed="0" w:uiPriority="49" w:semiHidden="0" w:name="Normal Indent" w:locked="1"/>
    <w:lsdException w:qFormat="1" w:unhideWhenUsed="0" w:uiPriority="0" w:name="footnote text" w:locked="1"/>
    <w:lsdException w:unhideWhenUsed="0" w:uiPriority="49" w:semiHidden="0" w:name="annotation text" w:locked="1"/>
    <w:lsdException w:qFormat="1" w:unhideWhenUsed="0" w:uiPriority="49" w:semiHidden="0" w:name="header" w:locked="1"/>
    <w:lsdException w:qFormat="1" w:unhideWhenUsed="0" w:uiPriority="99" w:semiHidden="0" w:name="footer" w:locked="1"/>
    <w:lsdException w:unhideWhenUsed="0" w:uiPriority="49" w:semiHidden="0" w:name="index heading" w:locked="1"/>
    <w:lsdException w:qFormat="1" w:unhideWhenUsed="0" w:uiPriority="49" w:semiHidden="0" w:name="caption"/>
    <w:lsdException w:unhideWhenUsed="0" w:uiPriority="49" w:semiHidden="0" w:name="table of figures" w:locked="1"/>
    <w:lsdException w:unhideWhenUsed="0" w:uiPriority="49" w:semiHidden="0" w:name="envelope address" w:locked="1"/>
    <w:lsdException w:unhideWhenUsed="0" w:uiPriority="49" w:semiHidden="0" w:name="envelope return" w:locked="1"/>
    <w:lsdException w:qFormat="1" w:unhideWhenUsed="0" w:uiPriority="0" w:name="footnote reference" w:locked="1"/>
    <w:lsdException w:unhideWhenUsed="0" w:uiPriority="49" w:semiHidden="0" w:name="annotation reference" w:locked="1"/>
    <w:lsdException w:unhideWhenUsed="0" w:uiPriority="49" w:semiHidden="0" w:name="line number" w:locked="1"/>
    <w:lsdException w:unhideWhenUsed="0" w:uiPriority="49" w:semiHidden="0" w:name="page number" w:locked="1"/>
    <w:lsdException w:unhideWhenUsed="0" w:uiPriority="49" w:semiHidden="0" w:name="endnote reference" w:locked="1"/>
    <w:lsdException w:unhideWhenUsed="0" w:uiPriority="49" w:semiHidden="0" w:name="endnote text" w:locked="1"/>
    <w:lsdException w:unhideWhenUsed="0" w:uiPriority="49" w:semiHidden="0" w:name="table of authorities" w:locked="1"/>
    <w:lsdException w:unhideWhenUsed="0" w:uiPriority="49" w:semiHidden="0" w:name="macro" w:locked="1"/>
    <w:lsdException w:unhideWhenUsed="0" w:uiPriority="49" w:semiHidden="0" w:name="toa heading" w:locked="1"/>
    <w:lsdException w:unhideWhenUsed="0" w:uiPriority="49" w:semiHidden="0" w:name="List" w:locked="1"/>
    <w:lsdException w:unhideWhenUsed="0" w:uiPriority="49" w:semiHidden="0" w:name="List Bullet"/>
    <w:lsdException w:unhideWhenUsed="0" w:uiPriority="49" w:semiHidden="0" w:name="List Number" w:locked="1"/>
    <w:lsdException w:unhideWhenUsed="0" w:uiPriority="49" w:semiHidden="0" w:name="List 2" w:locked="1"/>
    <w:lsdException w:unhideWhenUsed="0" w:uiPriority="49" w:semiHidden="0" w:name="List 3" w:locked="1"/>
    <w:lsdException w:unhideWhenUsed="0" w:uiPriority="49" w:semiHidden="0" w:name="List 4" w:locked="1"/>
    <w:lsdException w:unhideWhenUsed="0" w:uiPriority="49" w:semiHidden="0" w:name="List 5" w:locked="1"/>
    <w:lsdException w:unhideWhenUsed="0" w:uiPriority="49" w:semiHidden="0" w:name="List Bullet 2" w:locked="1"/>
    <w:lsdException w:unhideWhenUsed="0" w:uiPriority="49" w:semiHidden="0" w:name="List Bullet 3" w:locked="1"/>
    <w:lsdException w:unhideWhenUsed="0" w:uiPriority="49" w:semiHidden="0" w:name="List Bullet 4" w:locked="1"/>
    <w:lsdException w:unhideWhenUsed="0" w:uiPriority="49" w:semiHidden="0" w:name="List Bullet 5" w:locked="1"/>
    <w:lsdException w:unhideWhenUsed="0" w:uiPriority="49" w:semiHidden="0" w:name="List Number 2" w:locked="1"/>
    <w:lsdException w:unhideWhenUsed="0" w:uiPriority="49" w:semiHidden="0" w:name="List Number 3" w:locked="1"/>
    <w:lsdException w:unhideWhenUsed="0" w:uiPriority="49" w:semiHidden="0" w:name="List Number 4" w:locked="1"/>
    <w:lsdException w:unhideWhenUsed="0" w:uiPriority="49" w:semiHidden="0" w:name="List Number 5" w:locked="1"/>
    <w:lsdException w:qFormat="1" w:unhideWhenUsed="0" w:uiPriority="2" w:semiHidden="0" w:name="Title" w:locked="1"/>
    <w:lsdException w:unhideWhenUsed="0" w:uiPriority="49" w:semiHidden="0" w:name="Closing" w:locked="1"/>
    <w:lsdException w:unhideWhenUsed="0" w:uiPriority="49" w:semiHidden="0" w:name="Signature" w:locked="1"/>
    <w:lsdException w:qFormat="1" w:uiPriority="1" w:name="Default Paragraph Font"/>
    <w:lsdException w:qFormat="1" w:unhideWhenUsed="0" w:uiPriority="0" w:semiHidden="0" w:name="Body Text"/>
    <w:lsdException w:qFormat="1" w:unhideWhenUsed="0" w:uiPriority="49" w:semiHidden="0" w:name="Body Text Indent" w:locked="1"/>
    <w:lsdException w:unhideWhenUsed="0" w:uiPriority="49" w:semiHidden="0" w:name="List Continue" w:locked="1"/>
    <w:lsdException w:unhideWhenUsed="0" w:uiPriority="49" w:semiHidden="0" w:name="List Continue 2" w:locked="1"/>
    <w:lsdException w:unhideWhenUsed="0" w:uiPriority="49" w:semiHidden="0" w:name="List Continue 3" w:locked="1"/>
    <w:lsdException w:unhideWhenUsed="0" w:uiPriority="49" w:semiHidden="0" w:name="List Continue 4" w:locked="1"/>
    <w:lsdException w:unhideWhenUsed="0" w:uiPriority="49" w:semiHidden="0" w:name="List Continue 5" w:locked="1"/>
    <w:lsdException w:unhideWhenUsed="0" w:uiPriority="49" w:semiHidden="0" w:name="Message Header" w:locked="1"/>
    <w:lsdException w:qFormat="1" w:unhideWhenUsed="0" w:uiPriority="3" w:semiHidden="0" w:name="Subtitle"/>
    <w:lsdException w:unhideWhenUsed="0" w:uiPriority="49" w:semiHidden="0" w:name="Salutation" w:locked="1"/>
    <w:lsdException w:unhideWhenUsed="0" w:uiPriority="49" w:semiHidden="0" w:name="Date" w:locked="1"/>
    <w:lsdException w:unhideWhenUsed="0" w:uiPriority="49" w:semiHidden="0" w:name="Body Text First Indent" w:locked="1"/>
    <w:lsdException w:unhideWhenUsed="0" w:uiPriority="49" w:semiHidden="0" w:name="Body Text First Indent 2" w:locked="1"/>
    <w:lsdException w:unhideWhenUsed="0" w:uiPriority="49" w:semiHidden="0" w:name="Note Heading" w:locked="1"/>
    <w:lsdException w:unhideWhenUsed="0" w:uiPriority="49" w:semiHidden="0" w:name="Body Text 2" w:locked="1"/>
    <w:lsdException w:unhideWhenUsed="0" w:uiPriority="49" w:semiHidden="0" w:name="Body Text 3" w:locked="1"/>
    <w:lsdException w:unhideWhenUsed="0" w:uiPriority="49" w:semiHidden="0" w:name="Body Text Indent 2" w:locked="1"/>
    <w:lsdException w:unhideWhenUsed="0" w:uiPriority="49" w:semiHidden="0" w:name="Body Text Indent 3" w:locked="1"/>
    <w:lsdException w:unhideWhenUsed="0" w:uiPriority="49" w:semiHidden="0" w:name="Block Text" w:locked="1"/>
    <w:lsdException w:qFormat="1" w:unhideWhenUsed="0" w:uiPriority="49" w:semiHidden="0" w:name="Hyperlink" w:locked="1"/>
    <w:lsdException w:unhideWhenUsed="0" w:uiPriority="49" w:semiHidden="0" w:name="FollowedHyperlink" w:locked="1"/>
    <w:lsdException w:qFormat="1" w:unhideWhenUsed="0" w:uiPriority="49" w:semiHidden="0" w:name="Strong" w:locked="1"/>
    <w:lsdException w:unhideWhenUsed="0" w:uiPriority="49" w:semiHidden="0" w:name="Emphasis" w:locked="1"/>
    <w:lsdException w:unhideWhenUsed="0" w:uiPriority="49" w:semiHidden="0" w:name="Document Map" w:locked="1"/>
    <w:lsdException w:unhideWhenUsed="0" w:uiPriority="49" w:semiHidden="0" w:name="Plain Text" w:locked="1"/>
    <w:lsdException w:unhideWhenUsed="0" w:uiPriority="49" w:semiHidden="0" w:name="E-mail Signature" w:locked="1"/>
    <w:lsdException w:unhideWhenUsed="0" w:uiPriority="49" w:semiHidden="0" w:name="Normal (Web)" w:locked="1"/>
    <w:lsdException w:unhideWhenUsed="0" w:uiPriority="19" w:semiHidden="0" w:name="HTML Acronym" w:locked="1"/>
    <w:lsdException w:unhideWhenUsed="0" w:uiPriority="19" w:semiHidden="0" w:name="HTML Address" w:locked="1"/>
    <w:lsdException w:unhideWhenUsed="0" w:uiPriority="49" w:semiHidden="0" w:name="HTML Cite" w:locked="1"/>
    <w:lsdException w:unhideWhenUsed="0" w:uiPriority="49" w:semiHidden="0" w:name="HTML Code" w:locked="1"/>
    <w:lsdException w:unhideWhenUsed="0" w:uiPriority="49" w:semiHidden="0" w:name="HTML Definition" w:locked="1"/>
    <w:lsdException w:unhideWhenUsed="0" w:uiPriority="49" w:semiHidden="0" w:name="HTML Keyboard" w:locked="1"/>
    <w:lsdException w:unhideWhenUsed="0" w:uiPriority="49" w:semiHidden="0" w:name="HTML Preformatted" w:locked="1"/>
    <w:lsdException w:unhideWhenUsed="0" w:uiPriority="49" w:semiHidden="0" w:name="HTML Sample" w:locked="1"/>
    <w:lsdException w:unhideWhenUsed="0" w:uiPriority="49" w:semiHidden="0" w:name="HTML Typewriter" w:locked="1"/>
    <w:lsdException w:unhideWhenUsed="0" w:uiPriority="49" w:semiHidden="0" w:name="HTML Variable" w:locked="1"/>
    <w:lsdException w:qFormat="1" w:uiPriority="99" w:name="Normal Table"/>
    <w:lsdException w:unhideWhenUsed="0" w:uiPriority="49" w:semiHidden="0" w:name="annotation subject" w:locked="1"/>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49" w:semiHidden="0" w:name="Balloon Text" w:locked="1"/>
    <w:lsdException w:qFormat="1" w:unhideWhenUsed="0" w:uiPriority="0" w:semiHidden="0" w:name="Table Grid" w:locked="1"/>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49"/>
    <w:pPr>
      <w:overflowPunct w:val="0"/>
      <w:autoSpaceDE w:val="0"/>
      <w:autoSpaceDN w:val="0"/>
      <w:adjustRightInd w:val="0"/>
      <w:textAlignment w:val="baseline"/>
    </w:pPr>
    <w:rPr>
      <w:rFonts w:ascii="Times New Roman" w:hAnsi="Times New Roman" w:eastAsia="Times New Roman" w:cs="Times New Roman"/>
      <w:sz w:val="22"/>
      <w:lang w:val="en-GB" w:eastAsia="en-US" w:bidi="ar-SA"/>
    </w:rPr>
  </w:style>
  <w:style w:type="paragraph" w:styleId="2">
    <w:name w:val="heading 1"/>
    <w:next w:val="3"/>
    <w:qFormat/>
    <w:uiPriority w:val="4"/>
    <w:pPr>
      <w:spacing w:line="280" w:lineRule="atLeast"/>
      <w:ind w:left="567" w:right="567"/>
      <w:outlineLvl w:val="0"/>
    </w:pPr>
    <w:rPr>
      <w:rFonts w:ascii="Times New Roman Bold" w:hAnsi="Times New Roman Bold" w:eastAsia="Times New Roman" w:cs="Times New Roman"/>
      <w:b/>
      <w:caps/>
      <w:sz w:val="24"/>
      <w:lang w:val="en-US" w:eastAsia="en-US" w:bidi="ar-SA"/>
    </w:rPr>
  </w:style>
  <w:style w:type="paragraph" w:styleId="5">
    <w:name w:val="heading 2"/>
    <w:next w:val="4"/>
    <w:qFormat/>
    <w:uiPriority w:val="4"/>
    <w:pPr>
      <w:widowControl w:val="0"/>
      <w:numPr>
        <w:ilvl w:val="1"/>
        <w:numId w:val="1"/>
      </w:numPr>
      <w:spacing w:before="100" w:beforeAutospacing="1" w:after="100" w:afterAutospacing="1" w:line="280" w:lineRule="atLeast"/>
      <w:outlineLvl w:val="1"/>
    </w:pPr>
    <w:rPr>
      <w:rFonts w:ascii="Times New Roman" w:hAnsi="Times New Roman" w:eastAsia="Times New Roman" w:cs="Times New Roman"/>
      <w:caps/>
      <w:lang w:val="en-GB" w:eastAsia="en-US" w:bidi="ar-SA"/>
    </w:rPr>
  </w:style>
  <w:style w:type="paragraph" w:styleId="6">
    <w:name w:val="heading 3"/>
    <w:next w:val="4"/>
    <w:qFormat/>
    <w:uiPriority w:val="4"/>
    <w:pPr>
      <w:widowControl w:val="0"/>
      <w:numPr>
        <w:ilvl w:val="2"/>
        <w:numId w:val="1"/>
      </w:numPr>
      <w:spacing w:before="240" w:after="240" w:line="240" w:lineRule="exact"/>
      <w:outlineLvl w:val="2"/>
    </w:pPr>
    <w:rPr>
      <w:rFonts w:ascii="Times New Roman" w:hAnsi="Times New Roman" w:eastAsia="Times New Roman" w:cs="Times New Roman"/>
      <w:b/>
      <w:lang w:val="en-GB" w:eastAsia="en-US" w:bidi="ar-SA"/>
    </w:rPr>
  </w:style>
  <w:style w:type="paragraph" w:styleId="7">
    <w:name w:val="heading 4"/>
    <w:basedOn w:val="1"/>
    <w:next w:val="4"/>
    <w:qFormat/>
    <w:uiPriority w:val="4"/>
    <w:pPr>
      <w:widowControl w:val="0"/>
      <w:numPr>
        <w:ilvl w:val="3"/>
        <w:numId w:val="1"/>
      </w:numPr>
      <w:spacing w:before="100" w:beforeAutospacing="1" w:after="100" w:afterAutospacing="1" w:line="240" w:lineRule="atLeast"/>
      <w:outlineLvl w:val="3"/>
    </w:pPr>
    <w:rPr>
      <w:i/>
      <w:sz w:val="20"/>
      <w:lang w:val="en-US"/>
    </w:rPr>
  </w:style>
  <w:style w:type="paragraph" w:styleId="8">
    <w:name w:val="heading 5"/>
    <w:basedOn w:val="1"/>
    <w:next w:val="1"/>
    <w:qFormat/>
    <w:locked/>
    <w:uiPriority w:val="19"/>
    <w:pPr>
      <w:overflowPunct/>
      <w:autoSpaceDE/>
      <w:autoSpaceDN/>
      <w:adjustRightInd/>
      <w:spacing w:before="240" w:after="60"/>
      <w:textAlignment w:val="auto"/>
      <w:outlineLvl w:val="4"/>
    </w:pPr>
    <w:rPr>
      <w:b/>
      <w:bCs/>
      <w:i/>
      <w:iCs/>
      <w:sz w:val="26"/>
      <w:szCs w:val="26"/>
      <w:lang w:val="en-US"/>
    </w:rPr>
  </w:style>
  <w:style w:type="paragraph" w:styleId="9">
    <w:name w:val="heading 6"/>
    <w:basedOn w:val="1"/>
    <w:next w:val="1"/>
    <w:qFormat/>
    <w:locked/>
    <w:uiPriority w:val="19"/>
    <w:pPr>
      <w:overflowPunct/>
      <w:autoSpaceDE/>
      <w:autoSpaceDN/>
      <w:adjustRightInd/>
      <w:spacing w:before="240" w:after="60"/>
      <w:textAlignment w:val="auto"/>
      <w:outlineLvl w:val="5"/>
    </w:pPr>
    <w:rPr>
      <w:b/>
      <w:bCs/>
      <w:szCs w:val="22"/>
      <w:lang w:val="en-US"/>
    </w:rPr>
  </w:style>
  <w:style w:type="paragraph" w:styleId="10">
    <w:name w:val="heading 7"/>
    <w:basedOn w:val="1"/>
    <w:next w:val="1"/>
    <w:qFormat/>
    <w:locked/>
    <w:uiPriority w:val="19"/>
    <w:pPr>
      <w:overflowPunct/>
      <w:autoSpaceDE/>
      <w:autoSpaceDN/>
      <w:adjustRightInd/>
      <w:spacing w:before="240" w:after="60"/>
      <w:textAlignment w:val="auto"/>
      <w:outlineLvl w:val="6"/>
    </w:pPr>
    <w:rPr>
      <w:szCs w:val="24"/>
      <w:lang w:val="en-US"/>
    </w:rPr>
  </w:style>
  <w:style w:type="paragraph" w:styleId="11">
    <w:name w:val="heading 8"/>
    <w:basedOn w:val="1"/>
    <w:next w:val="1"/>
    <w:qFormat/>
    <w:locked/>
    <w:uiPriority w:val="19"/>
    <w:pPr>
      <w:overflowPunct/>
      <w:autoSpaceDE/>
      <w:autoSpaceDN/>
      <w:adjustRightInd/>
      <w:spacing w:before="240" w:after="60"/>
      <w:textAlignment w:val="auto"/>
      <w:outlineLvl w:val="7"/>
    </w:pPr>
    <w:rPr>
      <w:i/>
      <w:iCs/>
      <w:szCs w:val="24"/>
      <w:lang w:val="en-US"/>
    </w:rPr>
  </w:style>
  <w:style w:type="paragraph" w:styleId="12">
    <w:name w:val="heading 9"/>
    <w:basedOn w:val="1"/>
    <w:next w:val="1"/>
    <w:qFormat/>
    <w:locked/>
    <w:uiPriority w:val="19"/>
    <w:pPr>
      <w:overflowPunct/>
      <w:autoSpaceDE/>
      <w:autoSpaceDN/>
      <w:adjustRightInd/>
      <w:spacing w:before="240" w:after="60"/>
      <w:textAlignment w:val="auto"/>
      <w:outlineLvl w:val="8"/>
    </w:pPr>
    <w:rPr>
      <w:rFonts w:ascii="Arial" w:hAnsi="Arial" w:cs="Arial"/>
      <w:szCs w:val="22"/>
      <w:lang w:val="en-US"/>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3">
    <w:name w:val="Subtitle"/>
    <w:next w:val="4"/>
    <w:qFormat/>
    <w:uiPriority w:val="3"/>
    <w:pPr>
      <w:spacing w:after="100" w:afterAutospacing="1" w:line="280" w:lineRule="atLeast"/>
      <w:ind w:left="567" w:right="567"/>
      <w:contextualSpacing/>
    </w:pPr>
    <w:rPr>
      <w:rFonts w:ascii="Times New Roman" w:hAnsi="Times New Roman" w:eastAsia="Times New Roman" w:cs="Arial"/>
      <w:b/>
      <w:i/>
      <w:sz w:val="24"/>
      <w:szCs w:val="24"/>
      <w:lang w:val="en-US" w:eastAsia="en-US" w:bidi="ar-SA"/>
    </w:rPr>
  </w:style>
  <w:style w:type="paragraph" w:styleId="4">
    <w:name w:val="Body Text"/>
    <w:link w:val="49"/>
    <w:qFormat/>
    <w:uiPriority w:val="0"/>
    <w:pPr>
      <w:spacing w:line="260" w:lineRule="atLeast"/>
      <w:ind w:firstLine="567"/>
      <w:contextualSpacing/>
      <w:jc w:val="both"/>
    </w:pPr>
    <w:rPr>
      <w:rFonts w:ascii="Times New Roman" w:hAnsi="Times New Roman" w:eastAsia="Times New Roman" w:cs="Times New Roman"/>
      <w:lang w:val="en-GB" w:eastAsia="en-US" w:bidi="ar-SA"/>
    </w:rPr>
  </w:style>
  <w:style w:type="paragraph" w:styleId="13">
    <w:name w:val="caption"/>
    <w:next w:val="1"/>
    <w:qFormat/>
    <w:uiPriority w:val="49"/>
    <w:pPr>
      <w:spacing w:after="85"/>
    </w:pPr>
    <w:rPr>
      <w:rFonts w:ascii="Times New Roman" w:hAnsi="Times New Roman" w:eastAsia="Times New Roman" w:cs="Times New Roman"/>
      <w:bCs/>
      <w:sz w:val="18"/>
      <w:lang w:val="en-US" w:eastAsia="en-US" w:bidi="ar-SA"/>
    </w:rPr>
  </w:style>
  <w:style w:type="paragraph" w:styleId="14">
    <w:name w:val="Body Text Indent"/>
    <w:basedOn w:val="1"/>
    <w:qFormat/>
    <w:locked/>
    <w:uiPriority w:val="49"/>
    <w:pPr>
      <w:ind w:left="1134" w:hanging="675"/>
    </w:pPr>
  </w:style>
  <w:style w:type="paragraph" w:styleId="15">
    <w:name w:val="Balloon Text"/>
    <w:basedOn w:val="1"/>
    <w:link w:val="52"/>
    <w:qFormat/>
    <w:locked/>
    <w:uiPriority w:val="49"/>
    <w:rPr>
      <w:rFonts w:ascii="Tahoma" w:hAnsi="Tahoma" w:cs="Tahoma"/>
      <w:sz w:val="16"/>
      <w:szCs w:val="16"/>
    </w:rPr>
  </w:style>
  <w:style w:type="paragraph" w:styleId="16">
    <w:name w:val="footer"/>
    <w:basedOn w:val="1"/>
    <w:next w:val="17"/>
    <w:link w:val="44"/>
    <w:qFormat/>
    <w:locked/>
    <w:uiPriority w:val="99"/>
    <w:pPr>
      <w:overflowPunct/>
      <w:autoSpaceDE/>
      <w:autoSpaceDN/>
      <w:adjustRightInd/>
      <w:textAlignment w:val="auto"/>
    </w:pPr>
    <w:rPr>
      <w:sz w:val="2"/>
      <w:lang w:val="en-US"/>
    </w:rPr>
  </w:style>
  <w:style w:type="paragraph" w:styleId="17">
    <w:name w:val="header"/>
    <w:basedOn w:val="1"/>
    <w:next w:val="16"/>
    <w:qFormat/>
    <w:locked/>
    <w:uiPriority w:val="49"/>
    <w:pPr>
      <w:spacing w:after="85"/>
    </w:pPr>
    <w:rPr>
      <w:rFonts w:ascii="Times New Roman" w:hAnsi="Times New Roman" w:eastAsia="Times New Roman" w:cs="Times New Roman"/>
      <w:sz w:val="18"/>
      <w:lang w:val="en-US" w:eastAsia="en-US" w:bidi="ar-SA"/>
    </w:rPr>
  </w:style>
  <w:style w:type="paragraph" w:styleId="18">
    <w:name w:val="footnote text"/>
    <w:semiHidden/>
    <w:qFormat/>
    <w:locked/>
    <w:uiPriority w:val="0"/>
    <w:pPr>
      <w:tabs>
        <w:tab w:val="left" w:pos="459"/>
      </w:tabs>
      <w:spacing w:before="142"/>
      <w:ind w:left="459"/>
      <w:jc w:val="both"/>
    </w:pPr>
    <w:rPr>
      <w:rFonts w:ascii="Times New Roman" w:hAnsi="Times New Roman" w:eastAsia="Times New Roman" w:cs="Times New Roman"/>
      <w:sz w:val="18"/>
      <w:lang w:val="en-GB" w:eastAsia="en-US" w:bidi="ar-SA"/>
    </w:rPr>
  </w:style>
  <w:style w:type="paragraph" w:styleId="19">
    <w:name w:val="Title"/>
    <w:basedOn w:val="1"/>
    <w:qFormat/>
    <w:locked/>
    <w:uiPriority w:val="2"/>
    <w:pPr>
      <w:widowControl w:val="0"/>
      <w:spacing w:line="440" w:lineRule="exact"/>
      <w:jc w:val="center"/>
      <w:outlineLvl w:val="0"/>
    </w:pPr>
    <w:rPr>
      <w:rFonts w:ascii="Arial" w:hAnsi="Arial" w:eastAsia="Times New Roman" w:cs="Arial"/>
      <w:bCs/>
      <w:sz w:val="42"/>
      <w:szCs w:val="32"/>
      <w:lang w:val="en-GB" w:eastAsia="en-US" w:bidi="ar-SA"/>
    </w:rPr>
  </w:style>
  <w:style w:type="table" w:styleId="21">
    <w:name w:val="Table Grid"/>
    <w:basedOn w:val="20"/>
    <w:qFormat/>
    <w:locked/>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locked/>
    <w:uiPriority w:val="49"/>
    <w:rPr>
      <w:b/>
    </w:rPr>
  </w:style>
  <w:style w:type="character" w:styleId="24">
    <w:name w:val="Hyperlink"/>
    <w:basedOn w:val="22"/>
    <w:qFormat/>
    <w:locked/>
    <w:uiPriority w:val="49"/>
    <w:rPr>
      <w:color w:val="0000FF"/>
      <w:u w:val="single"/>
    </w:rPr>
  </w:style>
  <w:style w:type="character" w:styleId="25">
    <w:name w:val="footnote reference"/>
    <w:basedOn w:val="22"/>
    <w:semiHidden/>
    <w:qFormat/>
    <w:locked/>
    <w:uiPriority w:val="0"/>
    <w:rPr>
      <w:vertAlign w:val="superscript"/>
    </w:rPr>
  </w:style>
  <w:style w:type="paragraph" w:customStyle="1" w:styleId="26">
    <w:name w:val="Body Text Multiline"/>
    <w:basedOn w:val="4"/>
    <w:qFormat/>
    <w:locked/>
    <w:uiPriority w:val="0"/>
    <w:pPr>
      <w:numPr>
        <w:ilvl w:val="0"/>
        <w:numId w:val="2"/>
      </w:numPr>
    </w:pPr>
  </w:style>
  <w:style w:type="paragraph" w:customStyle="1" w:styleId="27">
    <w:name w:val="Body Text Summary"/>
    <w:qFormat/>
    <w:locked/>
    <w:uiPriority w:val="49"/>
    <w:pPr>
      <w:numPr>
        <w:ilvl w:val="0"/>
        <w:numId w:val="3"/>
      </w:numPr>
      <w:tabs>
        <w:tab w:val="clear" w:pos="720"/>
      </w:tabs>
      <w:spacing w:after="170" w:line="280" w:lineRule="atLeast"/>
      <w:ind w:left="572" w:hanging="459"/>
      <w:jc w:val="both"/>
    </w:pPr>
    <w:rPr>
      <w:rFonts w:ascii="Times New Roman" w:hAnsi="Times New Roman" w:eastAsia="Times New Roman" w:cs="Times New Roman"/>
      <w:sz w:val="22"/>
      <w:szCs w:val="22"/>
      <w:lang w:val="en-GB" w:eastAsia="en-US" w:bidi="ar-SA"/>
    </w:rPr>
  </w:style>
  <w:style w:type="paragraph" w:customStyle="1" w:styleId="28">
    <w:name w:val="List Bulleted"/>
    <w:qFormat/>
    <w:locked/>
    <w:uiPriority w:val="7"/>
    <w:pPr>
      <w:numPr>
        <w:ilvl w:val="0"/>
        <w:numId w:val="4"/>
      </w:numPr>
      <w:tabs>
        <w:tab w:val="left" w:pos="919"/>
        <w:tab w:val="clear" w:pos="1179"/>
      </w:tabs>
      <w:ind w:left="918" w:right="1134" w:hanging="459"/>
      <w:jc w:val="both"/>
    </w:pPr>
    <w:rPr>
      <w:rFonts w:ascii="Times New Roman" w:hAnsi="Times New Roman" w:eastAsia="Times New Roman" w:cs="Times New Roman"/>
      <w:sz w:val="22"/>
      <w:lang w:val="en-GB" w:eastAsia="en-US" w:bidi="ar-SA"/>
    </w:rPr>
  </w:style>
  <w:style w:type="paragraph" w:customStyle="1" w:styleId="29">
    <w:name w:val="List Emdash"/>
    <w:basedOn w:val="4"/>
    <w:qFormat/>
    <w:uiPriority w:val="6"/>
    <w:pPr>
      <w:numPr>
        <w:ilvl w:val="0"/>
        <w:numId w:val="5"/>
      </w:numPr>
      <w:ind w:left="709"/>
    </w:pPr>
  </w:style>
  <w:style w:type="paragraph" w:customStyle="1" w:styleId="30">
    <w:name w:val="List Numbered"/>
    <w:basedOn w:val="4"/>
    <w:qFormat/>
    <w:locked/>
    <w:uiPriority w:val="5"/>
    <w:pPr>
      <w:numPr>
        <w:ilvl w:val="0"/>
        <w:numId w:val="6"/>
      </w:numPr>
    </w:pPr>
  </w:style>
  <w:style w:type="paragraph" w:customStyle="1" w:styleId="31">
    <w:name w:val="zyxConfid2Red"/>
    <w:basedOn w:val="1"/>
    <w:qFormat/>
    <w:locked/>
    <w:uiPriority w:val="49"/>
    <w:pPr>
      <w:spacing w:after="20" w:line="220" w:lineRule="exact"/>
      <w:jc w:val="right"/>
    </w:pPr>
    <w:rPr>
      <w:rFonts w:ascii="Arial" w:hAnsi="Arial" w:cs="Arial"/>
      <w:color w:val="FF0000"/>
    </w:rPr>
  </w:style>
  <w:style w:type="paragraph" w:customStyle="1" w:styleId="32">
    <w:name w:val="zyxConfidRed"/>
    <w:qFormat/>
    <w:locked/>
    <w:uiPriority w:val="49"/>
    <w:pPr>
      <w:widowControl w:val="0"/>
      <w:spacing w:before="80"/>
      <w:jc w:val="right"/>
    </w:pPr>
    <w:rPr>
      <w:rFonts w:ascii="Arial" w:hAnsi="Arial" w:eastAsia="Times New Roman" w:cs="Times New Roman"/>
      <w:b/>
      <w:caps/>
      <w:color w:val="FF0000"/>
      <w:sz w:val="40"/>
      <w:lang w:val="en-GB" w:eastAsia="en-US" w:bidi="ar-SA"/>
    </w:rPr>
  </w:style>
  <w:style w:type="paragraph" w:customStyle="1" w:styleId="33">
    <w:name w:val="zyxConfidBlack"/>
    <w:basedOn w:val="32"/>
    <w:qFormat/>
    <w:locked/>
    <w:uiPriority w:val="49"/>
    <w:pPr>
      <w:framePr w:wrap="auto" w:vAnchor="page" w:hAnchor="page" w:x="1333" w:y="228"/>
      <w:suppressOverlap/>
      <w:widowControl/>
      <w:overflowPunct w:val="0"/>
      <w:autoSpaceDE w:val="0"/>
      <w:autoSpaceDN w:val="0"/>
      <w:adjustRightInd w:val="0"/>
      <w:textAlignment w:val="baseline"/>
    </w:pPr>
    <w:rPr>
      <w:rFonts w:cs="Arial"/>
      <w:bCs/>
      <w:color w:val="000000"/>
    </w:rPr>
  </w:style>
  <w:style w:type="paragraph" w:customStyle="1" w:styleId="34">
    <w:name w:val="zyxDistribution"/>
    <w:basedOn w:val="1"/>
    <w:qFormat/>
    <w:locked/>
    <w:uiPriority w:val="49"/>
    <w:pPr>
      <w:framePr w:wrap="around" w:vAnchor="page" w:hAnchor="page" w:x="1390" w:y="15707"/>
      <w:suppressOverlap/>
      <w:widowControl w:val="0"/>
      <w:overflowPunct/>
      <w:autoSpaceDE/>
      <w:autoSpaceDN/>
      <w:adjustRightInd/>
      <w:spacing w:before="240" w:after="20"/>
      <w:ind w:left="142"/>
      <w:textAlignment w:val="auto"/>
    </w:pPr>
    <w:rPr>
      <w:rFonts w:ascii="Arial" w:hAnsi="Arial"/>
      <w:b/>
    </w:rPr>
  </w:style>
  <w:style w:type="paragraph" w:customStyle="1" w:styleId="35">
    <w:name w:val="zyxPrePrint"/>
    <w:qFormat/>
    <w:locked/>
    <w:uiPriority w:val="49"/>
    <w:pPr>
      <w:spacing w:after="60" w:line="280" w:lineRule="exact"/>
      <w:ind w:left="113"/>
    </w:pPr>
    <w:rPr>
      <w:rFonts w:ascii="Times New Roman" w:hAnsi="Times New Roman" w:eastAsia="Times New Roman" w:cs="Times New Roman"/>
      <w:sz w:val="22"/>
      <w:lang w:val="en-GB" w:eastAsia="en-US" w:bidi="ar-SA"/>
    </w:rPr>
  </w:style>
  <w:style w:type="paragraph" w:customStyle="1" w:styleId="36">
    <w:name w:val="zyxFill_In"/>
    <w:basedOn w:val="35"/>
    <w:qFormat/>
    <w:locked/>
    <w:uiPriority w:val="49"/>
    <w:rPr>
      <w:b/>
    </w:rPr>
  </w:style>
  <w:style w:type="paragraph" w:customStyle="1" w:styleId="37">
    <w:name w:val="zyxLogo"/>
    <w:basedOn w:val="1"/>
    <w:qFormat/>
    <w:locked/>
    <w:uiPriority w:val="49"/>
    <w:pPr>
      <w:keepNext/>
      <w:spacing w:after="10"/>
    </w:pPr>
    <w:rPr>
      <w:rFonts w:ascii="Arial" w:hAnsi="Arial"/>
      <w:b/>
      <w:sz w:val="13"/>
    </w:rPr>
  </w:style>
  <w:style w:type="paragraph" w:customStyle="1" w:styleId="38">
    <w:name w:val="zyxP1_Footer"/>
    <w:basedOn w:val="1"/>
    <w:qFormat/>
    <w:locked/>
    <w:uiPriority w:val="49"/>
    <w:pPr>
      <w:widowControl w:val="0"/>
      <w:spacing w:line="160" w:lineRule="exact"/>
      <w:ind w:left="108"/>
    </w:pPr>
    <w:rPr>
      <w:sz w:val="14"/>
    </w:rPr>
  </w:style>
  <w:style w:type="paragraph" w:customStyle="1" w:styleId="39">
    <w:name w:val="zyxSensitivity"/>
    <w:basedOn w:val="1"/>
    <w:qFormat/>
    <w:locked/>
    <w:uiPriority w:val="49"/>
    <w:pPr>
      <w:framePr w:wrap="around" w:vAnchor="page" w:hAnchor="page" w:x="1390" w:y="15707"/>
      <w:suppressOverlap/>
      <w:widowControl w:val="0"/>
      <w:overflowPunct/>
      <w:autoSpaceDE/>
      <w:autoSpaceDN/>
      <w:adjustRightInd/>
      <w:spacing w:line="220" w:lineRule="exact"/>
      <w:ind w:left="142"/>
      <w:textAlignment w:val="auto"/>
    </w:pPr>
    <w:rPr>
      <w:rFonts w:ascii="Arial" w:hAnsi="Arial"/>
      <w:b/>
    </w:rPr>
  </w:style>
  <w:style w:type="paragraph" w:customStyle="1" w:styleId="40">
    <w:name w:val="zyxTitle"/>
    <w:basedOn w:val="1"/>
    <w:qFormat/>
    <w:locked/>
    <w:uiPriority w:val="49"/>
    <w:pPr>
      <w:keepNext/>
      <w:spacing w:line="420" w:lineRule="exact"/>
    </w:pPr>
    <w:rPr>
      <w:rFonts w:ascii="Arial" w:hAnsi="Arial"/>
      <w:sz w:val="40"/>
    </w:rPr>
  </w:style>
  <w:style w:type="paragraph" w:customStyle="1" w:styleId="41">
    <w:name w:val="Agenda List"/>
    <w:qFormat/>
    <w:locked/>
    <w:uiPriority w:val="49"/>
    <w:pPr>
      <w:numPr>
        <w:ilvl w:val="0"/>
        <w:numId w:val="7"/>
      </w:numPr>
      <w:tabs>
        <w:tab w:val="left" w:pos="919"/>
        <w:tab w:val="clear" w:pos="459"/>
      </w:tabs>
      <w:spacing w:after="240" w:line="240" w:lineRule="exact"/>
      <w:ind w:left="918"/>
      <w:jc w:val="both"/>
    </w:pPr>
    <w:rPr>
      <w:rFonts w:ascii="Times New Roman" w:hAnsi="Times New Roman" w:eastAsia="Times New Roman" w:cs="Times New Roman"/>
      <w:sz w:val="22"/>
      <w:lang w:val="en-GB" w:eastAsia="en-US" w:bidi="ar-SA"/>
    </w:rPr>
  </w:style>
  <w:style w:type="paragraph" w:customStyle="1" w:styleId="42">
    <w:name w:val="zyxClassification1"/>
    <w:basedOn w:val="4"/>
    <w:qFormat/>
    <w:locked/>
    <w:uiPriority w:val="49"/>
    <w:pPr>
      <w:spacing w:line="280" w:lineRule="exact"/>
      <w:jc w:val="right"/>
    </w:pPr>
    <w:rPr>
      <w:rFonts w:ascii="Arial" w:hAnsi="Arial" w:cs="Arial"/>
      <w:b/>
      <w:bCs/>
      <w:caps/>
      <w:sz w:val="24"/>
    </w:rPr>
  </w:style>
  <w:style w:type="paragraph" w:customStyle="1" w:styleId="43">
    <w:name w:val="zyxClassification2"/>
    <w:basedOn w:val="16"/>
    <w:qFormat/>
    <w:locked/>
    <w:uiPriority w:val="49"/>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44">
    <w:name w:val="Footer Char"/>
    <w:basedOn w:val="22"/>
    <w:link w:val="16"/>
    <w:qFormat/>
    <w:uiPriority w:val="99"/>
    <w:rPr>
      <w:sz w:val="2"/>
      <w:lang w:val="en-US" w:eastAsia="en-US"/>
    </w:rPr>
  </w:style>
  <w:style w:type="paragraph" w:customStyle="1" w:styleId="45">
    <w:name w:val="Running head"/>
    <w:basedOn w:val="1"/>
    <w:link w:val="47"/>
    <w:qFormat/>
    <w:uiPriority w:val="49"/>
    <w:pPr>
      <w:jc w:val="center"/>
    </w:pPr>
    <w:rPr>
      <w:b/>
      <w:sz w:val="16"/>
      <w:szCs w:val="16"/>
    </w:rPr>
  </w:style>
  <w:style w:type="paragraph" w:customStyle="1" w:styleId="46">
    <w:name w:val="Author name and affiliation"/>
    <w:link w:val="50"/>
    <w:qFormat/>
    <w:uiPriority w:val="49"/>
    <w:pPr>
      <w:ind w:left="567"/>
      <w:contextualSpacing/>
    </w:pPr>
    <w:rPr>
      <w:rFonts w:ascii="Times New Roman" w:hAnsi="Times New Roman" w:eastAsia="Times New Roman" w:cs="Times New Roman"/>
      <w:lang w:val="en-US" w:eastAsia="en-US" w:bidi="ar-SA"/>
    </w:rPr>
  </w:style>
  <w:style w:type="character" w:customStyle="1" w:styleId="47">
    <w:name w:val="Running head Char"/>
    <w:basedOn w:val="22"/>
    <w:link w:val="45"/>
    <w:qFormat/>
    <w:uiPriority w:val="49"/>
    <w:rPr>
      <w:b/>
      <w:sz w:val="16"/>
      <w:szCs w:val="16"/>
      <w:lang w:eastAsia="en-US"/>
    </w:rPr>
  </w:style>
  <w:style w:type="paragraph" w:customStyle="1" w:styleId="48">
    <w:name w:val="Abstract text"/>
    <w:basedOn w:val="46"/>
    <w:link w:val="51"/>
    <w:qFormat/>
    <w:uiPriority w:val="49"/>
    <w:pPr>
      <w:spacing w:line="240" w:lineRule="atLeast"/>
      <w:ind w:left="0" w:firstLine="567"/>
    </w:pPr>
    <w:rPr>
      <w:sz w:val="18"/>
    </w:rPr>
  </w:style>
  <w:style w:type="character" w:customStyle="1" w:styleId="49">
    <w:name w:val="Body Text Char"/>
    <w:basedOn w:val="22"/>
    <w:link w:val="4"/>
    <w:qFormat/>
    <w:uiPriority w:val="0"/>
    <w:rPr>
      <w:lang w:eastAsia="en-US"/>
    </w:rPr>
  </w:style>
  <w:style w:type="character" w:customStyle="1" w:styleId="50">
    <w:name w:val="Author name and affiliation Char"/>
    <w:basedOn w:val="49"/>
    <w:link w:val="46"/>
    <w:qFormat/>
    <w:uiPriority w:val="49"/>
    <w:rPr>
      <w:lang w:val="en-US" w:eastAsia="en-US"/>
    </w:rPr>
  </w:style>
  <w:style w:type="character" w:customStyle="1" w:styleId="51">
    <w:name w:val="Abstract text Char"/>
    <w:basedOn w:val="50"/>
    <w:link w:val="48"/>
    <w:qFormat/>
    <w:uiPriority w:val="49"/>
    <w:rPr>
      <w:sz w:val="18"/>
      <w:lang w:val="en-US" w:eastAsia="en-US"/>
    </w:rPr>
  </w:style>
  <w:style w:type="character" w:customStyle="1" w:styleId="52">
    <w:name w:val="Balloon Text Char"/>
    <w:basedOn w:val="22"/>
    <w:link w:val="15"/>
    <w:qFormat/>
    <w:uiPriority w:val="49"/>
    <w:rPr>
      <w:rFonts w:ascii="Tahoma" w:hAnsi="Tahoma" w:cs="Tahoma"/>
      <w:sz w:val="16"/>
      <w:szCs w:val="16"/>
      <w:lang w:eastAsia="en-US"/>
    </w:rPr>
  </w:style>
  <w:style w:type="paragraph" w:customStyle="1" w:styleId="53">
    <w:name w:val="Figure caption"/>
    <w:basedOn w:val="4"/>
    <w:link w:val="55"/>
    <w:qFormat/>
    <w:locked/>
    <w:uiPriority w:val="49"/>
    <w:pPr>
      <w:jc w:val="center"/>
    </w:pPr>
    <w:rPr>
      <w:i/>
      <w:sz w:val="18"/>
    </w:rPr>
  </w:style>
  <w:style w:type="paragraph" w:customStyle="1" w:styleId="54">
    <w:name w:val="Other unnumbered headings"/>
    <w:next w:val="4"/>
    <w:link w:val="57"/>
    <w:qFormat/>
    <w:locked/>
    <w:uiPriority w:val="49"/>
    <w:pPr>
      <w:spacing w:before="100" w:beforeAutospacing="1" w:after="100" w:afterAutospacing="1" w:line="260" w:lineRule="atLeast"/>
      <w:jc w:val="center"/>
    </w:pPr>
    <w:rPr>
      <w:rFonts w:ascii="Times New Roman Bold" w:hAnsi="Times New Roman Bold" w:eastAsia="Times New Roman" w:cs="Times New Roman"/>
      <w:b/>
      <w:caps/>
      <w:lang w:val="en-GB" w:eastAsia="en-US" w:bidi="ar-SA"/>
    </w:rPr>
  </w:style>
  <w:style w:type="character" w:customStyle="1" w:styleId="55">
    <w:name w:val="Figure caption Char"/>
    <w:basedOn w:val="49"/>
    <w:link w:val="53"/>
    <w:qFormat/>
    <w:uiPriority w:val="49"/>
    <w:rPr>
      <w:i/>
      <w:sz w:val="18"/>
      <w:lang w:eastAsia="en-US"/>
    </w:rPr>
  </w:style>
  <w:style w:type="paragraph" w:customStyle="1" w:styleId="56">
    <w:name w:val="Reference list"/>
    <w:basedOn w:val="4"/>
    <w:link w:val="58"/>
    <w:qFormat/>
    <w:uiPriority w:val="49"/>
    <w:pPr>
      <w:numPr>
        <w:ilvl w:val="0"/>
        <w:numId w:val="8"/>
      </w:numPr>
    </w:pPr>
    <w:rPr>
      <w:sz w:val="18"/>
      <w:szCs w:val="18"/>
    </w:rPr>
  </w:style>
  <w:style w:type="character" w:customStyle="1" w:styleId="57">
    <w:name w:val="Other unnumbered headings Char"/>
    <w:basedOn w:val="49"/>
    <w:link w:val="54"/>
    <w:qFormat/>
    <w:uiPriority w:val="49"/>
    <w:rPr>
      <w:rFonts w:ascii="Times New Roman Bold" w:hAnsi="Times New Roman Bold"/>
      <w:b/>
      <w:caps/>
      <w:lang w:eastAsia="en-US"/>
    </w:rPr>
  </w:style>
  <w:style w:type="character" w:customStyle="1" w:styleId="58">
    <w:name w:val="Reference list Char"/>
    <w:basedOn w:val="49"/>
    <w:link w:val="56"/>
    <w:qFormat/>
    <w:uiPriority w:val="49"/>
    <w:rPr>
      <w:sz w:val="18"/>
      <w:szCs w:val="18"/>
      <w:lang w:eastAsia="en-US"/>
    </w:rPr>
  </w:style>
  <w:style w:type="paragraph" w:customStyle="1" w:styleId="59">
    <w:name w:val="Table text"/>
    <w:basedOn w:val="4"/>
    <w:link w:val="60"/>
    <w:qFormat/>
    <w:uiPriority w:val="49"/>
    <w:pPr>
      <w:ind w:firstLine="0"/>
    </w:pPr>
  </w:style>
  <w:style w:type="character" w:customStyle="1" w:styleId="60">
    <w:name w:val="Table text Char"/>
    <w:basedOn w:val="49"/>
    <w:link w:val="59"/>
    <w:qFormat/>
    <w:uiPriority w:val="49"/>
    <w:rPr>
      <w:lang w:eastAsia="en-US"/>
    </w:rPr>
  </w:style>
  <w:style w:type="paragraph" w:customStyle="1" w:styleId="61">
    <w:name w:val="Nomenclature Clause Title"/>
    <w:basedOn w:val="1"/>
    <w:next w:val="14"/>
    <w:qFormat/>
    <w:uiPriority w:val="0"/>
    <w:pPr>
      <w:keepNext/>
      <w:spacing w:before="240"/>
    </w:pPr>
    <w:rPr>
      <w:rFonts w:ascii="Arial" w:hAnsi="Arial"/>
      <w:b/>
      <w:caps/>
    </w:rPr>
  </w:style>
  <w:style w:type="paragraph" w:customStyle="1" w:styleId="62">
    <w:name w:val="表格标题"/>
    <w:qFormat/>
    <w:uiPriority w:val="0"/>
    <w:pPr>
      <w:spacing w:afterLines="50"/>
      <w:jc w:val="center"/>
      <w:textAlignment w:val="center"/>
    </w:pPr>
    <w:rPr>
      <w:rFonts w:ascii="Times New Roman" w:hAnsi="Times New Roman" w:eastAsia="宋体" w:cs="Times New Roman"/>
      <w:b/>
      <w:kern w:val="0"/>
      <w:sz w:val="24"/>
      <w:szCs w:val="24"/>
      <w:lang w:val="fr-FR" w:eastAsia="fr-FR"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51823C9C-7F25-4F27-9FBC-F8768B34B3CF}">
  <ds:schemaRefs/>
</ds:datastoreItem>
</file>

<file path=docProps/app.xml><?xml version="1.0" encoding="utf-8"?>
<Properties xmlns="http://schemas.openxmlformats.org/officeDocument/2006/extended-properties" xmlns:vt="http://schemas.openxmlformats.org/officeDocument/2006/docPropsVTypes">
  <Template>IAEA Blank (r01).dotx</Template>
  <Company>IAEA</Company>
  <Pages>5</Pages>
  <Words>1562</Words>
  <Characters>8904</Characters>
  <Lines>74</Lines>
  <Paragraphs>20</Paragraphs>
  <TotalTime>48</TotalTime>
  <ScaleCrop>false</ScaleCrop>
  <LinksUpToDate>false</LinksUpToDate>
  <CharactersWithSpaces>10446</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IAEA Document</cp:category>
  <dcterms:created xsi:type="dcterms:W3CDTF">2024-03-19T07:55:00Z</dcterms:created>
  <dc:creator>Gemma Anna Ruffino</dc:creator>
  <cp:lastModifiedBy>Zhu Sheng</cp:lastModifiedBy>
  <cp:lastPrinted>2024-03-19T13:52:00Z</cp:lastPrinted>
  <dcterms:modified xsi:type="dcterms:W3CDTF">2024-09-10T07:50:04Z</dcterms:modified>
  <dc:title>IAEA</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KSOProductBuildVer">
    <vt:lpwstr>2052-11.8.2.12085</vt:lpwstr>
  </property>
  <property fmtid="{D5CDD505-2E9C-101B-9397-08002B2CF9AE}" pid="12" name="ICV">
    <vt:lpwstr>9FCDE278DD0C4057ABF38933D2DB95C3</vt:lpwstr>
  </property>
</Properties>
</file>