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72D97" w14:textId="77777777" w:rsidR="00512F44" w:rsidRPr="00C07EA9" w:rsidRDefault="0009386E" w:rsidP="00537496">
      <w:pPr>
        <w:pStyle w:val="Titre1"/>
        <w:rPr>
          <w:rFonts w:asciiTheme="majorBidi" w:hAnsiTheme="majorBidi" w:cstheme="majorBidi"/>
          <w:bCs/>
          <w:szCs w:val="24"/>
        </w:rPr>
      </w:pPr>
      <w:r w:rsidRPr="00C07EA9">
        <w:rPr>
          <w:rFonts w:asciiTheme="majorBidi" w:hAnsiTheme="majorBidi" w:cstheme="majorBidi"/>
          <w:bCs/>
          <w:szCs w:val="24"/>
        </w:rPr>
        <w:t xml:space="preserve">Neutronic Analysis of </w:t>
      </w:r>
      <w:r w:rsidR="000F02E4" w:rsidRPr="00C07EA9">
        <w:rPr>
          <w:rFonts w:asciiTheme="majorBidi" w:hAnsiTheme="majorBidi" w:cstheme="majorBidi"/>
          <w:bCs/>
          <w:szCs w:val="24"/>
        </w:rPr>
        <w:t>a core design based</w:t>
      </w:r>
    </w:p>
    <w:p w14:paraId="45A501F0" w14:textId="0EE6E5B6" w:rsidR="00E20E70" w:rsidRPr="00512F44" w:rsidRDefault="000F02E4" w:rsidP="00537496">
      <w:pPr>
        <w:pStyle w:val="Titre1"/>
        <w:rPr>
          <w:szCs w:val="24"/>
        </w:rPr>
      </w:pPr>
      <w:r w:rsidRPr="00C07EA9">
        <w:rPr>
          <w:rFonts w:asciiTheme="majorBidi" w:hAnsiTheme="majorBidi" w:cstheme="majorBidi"/>
          <w:bCs/>
          <w:szCs w:val="24"/>
        </w:rPr>
        <w:t xml:space="preserve"> on AP300 model</w:t>
      </w:r>
      <w:r w:rsidR="0009386E" w:rsidRPr="00C07EA9">
        <w:rPr>
          <w:rFonts w:asciiTheme="majorBidi" w:hAnsiTheme="majorBidi" w:cstheme="majorBidi"/>
          <w:bCs/>
          <w:szCs w:val="24"/>
        </w:rPr>
        <w:t xml:space="preserve"> using OpenMC</w:t>
      </w:r>
    </w:p>
    <w:p w14:paraId="4D1B799F" w14:textId="77777777" w:rsidR="00802381" w:rsidRDefault="00802381" w:rsidP="00537496">
      <w:pPr>
        <w:pStyle w:val="Authornameandaffiliation"/>
      </w:pPr>
    </w:p>
    <w:p w14:paraId="19053127" w14:textId="77777777" w:rsidR="0009386E" w:rsidRDefault="0009386E" w:rsidP="0009386E">
      <w:pPr>
        <w:pStyle w:val="Authornameandaffiliation"/>
      </w:pPr>
      <w:r>
        <w:t>W</w:t>
      </w:r>
      <w:r w:rsidRPr="00FF386F">
        <w:t xml:space="preserve">. </w:t>
      </w:r>
      <w:r>
        <w:t>DRIDI</w:t>
      </w:r>
    </w:p>
    <w:p w14:paraId="773B5139" w14:textId="77777777" w:rsidR="0009386E" w:rsidRDefault="0009386E" w:rsidP="0009386E">
      <w:pPr>
        <w:ind w:left="567"/>
        <w:rPr>
          <w:rFonts w:asciiTheme="majorBidi" w:hAnsiTheme="majorBidi" w:cstheme="majorBidi"/>
          <w:sz w:val="20"/>
        </w:rPr>
      </w:pPr>
      <w:r w:rsidRPr="00AB3EED">
        <w:rPr>
          <w:rFonts w:asciiTheme="majorBidi" w:hAnsiTheme="majorBidi" w:cstheme="majorBidi"/>
          <w:sz w:val="20"/>
        </w:rPr>
        <w:t xml:space="preserve">Laboratory of Energy and Matter for Development of Nuclear Science (LR16CNSTN02), </w:t>
      </w:r>
    </w:p>
    <w:p w14:paraId="39A7F06B" w14:textId="77777777" w:rsidR="0009386E" w:rsidRPr="00AB3EED" w:rsidRDefault="0009386E" w:rsidP="0009386E">
      <w:pPr>
        <w:ind w:left="567"/>
        <w:rPr>
          <w:sz w:val="20"/>
        </w:rPr>
      </w:pPr>
      <w:r w:rsidRPr="00AB3EED">
        <w:rPr>
          <w:rFonts w:asciiTheme="majorBidi" w:hAnsiTheme="majorBidi" w:cstheme="majorBidi"/>
          <w:sz w:val="20"/>
        </w:rPr>
        <w:t>National</w:t>
      </w:r>
      <w:r>
        <w:rPr>
          <w:rFonts w:asciiTheme="majorBidi" w:hAnsiTheme="majorBidi" w:cstheme="majorBidi"/>
          <w:sz w:val="20"/>
        </w:rPr>
        <w:t xml:space="preserve"> </w:t>
      </w:r>
      <w:r w:rsidRPr="00AB3EED">
        <w:rPr>
          <w:rFonts w:asciiTheme="majorBidi" w:hAnsiTheme="majorBidi" w:cstheme="majorBidi"/>
          <w:sz w:val="20"/>
        </w:rPr>
        <w:t>Centre of Nuclear Science and Technology</w:t>
      </w:r>
    </w:p>
    <w:p w14:paraId="7ABF0452" w14:textId="77777777" w:rsidR="0009386E" w:rsidRDefault="0009386E" w:rsidP="0009386E">
      <w:pPr>
        <w:pStyle w:val="Authornameandaffiliation"/>
      </w:pPr>
      <w:r>
        <w:t>Sidi-Thabet/Ariana, Tunisia</w:t>
      </w:r>
    </w:p>
    <w:p w14:paraId="5E2BDA1F" w14:textId="0D15BA9F" w:rsidR="00FF386F" w:rsidRDefault="0009386E" w:rsidP="0009386E">
      <w:pPr>
        <w:pStyle w:val="Authornameandaffiliation"/>
        <w:rPr>
          <w:rStyle w:val="Lienhypertexte"/>
          <w:rFonts w:asciiTheme="majorBidi" w:hAnsiTheme="majorBidi" w:cstheme="majorBidi"/>
        </w:rPr>
      </w:pPr>
      <w:r w:rsidRPr="00F62367">
        <w:t xml:space="preserve">Email: </w:t>
      </w:r>
      <w:hyperlink r:id="rId8" w:history="1">
        <w:r w:rsidRPr="00F62367">
          <w:rPr>
            <w:rStyle w:val="Lienhypertexte"/>
            <w:rFonts w:asciiTheme="majorBidi" w:hAnsiTheme="majorBidi" w:cstheme="majorBidi"/>
          </w:rPr>
          <w:t>walid.dridi@cnstn.rnrt.tn</w:t>
        </w:r>
      </w:hyperlink>
    </w:p>
    <w:p w14:paraId="05E0C3C4" w14:textId="77777777" w:rsidR="0009386E" w:rsidRDefault="0009386E" w:rsidP="0009386E">
      <w:pPr>
        <w:pStyle w:val="Authornameandaffiliation"/>
      </w:pPr>
    </w:p>
    <w:p w14:paraId="535BB6CC" w14:textId="5CEF6DEE" w:rsidR="00FF386F" w:rsidRPr="00FF386F" w:rsidRDefault="0009386E" w:rsidP="00537496">
      <w:pPr>
        <w:pStyle w:val="Authornameandaffiliation"/>
      </w:pPr>
      <w:r>
        <w:t>S. MOUMNI</w:t>
      </w:r>
    </w:p>
    <w:p w14:paraId="48C35279" w14:textId="77777777" w:rsidR="0009386E" w:rsidRDefault="0009386E" w:rsidP="0009386E">
      <w:pPr>
        <w:ind w:left="567"/>
        <w:rPr>
          <w:rFonts w:asciiTheme="majorBidi" w:hAnsiTheme="majorBidi" w:cstheme="majorBidi"/>
          <w:sz w:val="20"/>
        </w:rPr>
      </w:pPr>
      <w:r w:rsidRPr="00AB3EED">
        <w:rPr>
          <w:rFonts w:asciiTheme="majorBidi" w:hAnsiTheme="majorBidi" w:cstheme="majorBidi"/>
          <w:sz w:val="20"/>
        </w:rPr>
        <w:t xml:space="preserve">Laboratory of Energy and Matter for Development of Nuclear Science (LR16CNSTN02), </w:t>
      </w:r>
    </w:p>
    <w:p w14:paraId="083FBB29" w14:textId="77777777" w:rsidR="0009386E" w:rsidRPr="00AB3EED" w:rsidRDefault="0009386E" w:rsidP="0009386E">
      <w:pPr>
        <w:ind w:left="567"/>
        <w:rPr>
          <w:sz w:val="20"/>
        </w:rPr>
      </w:pPr>
      <w:r w:rsidRPr="00AB3EED">
        <w:rPr>
          <w:rFonts w:asciiTheme="majorBidi" w:hAnsiTheme="majorBidi" w:cstheme="majorBidi"/>
          <w:sz w:val="20"/>
        </w:rPr>
        <w:t>National</w:t>
      </w:r>
      <w:r>
        <w:rPr>
          <w:rFonts w:asciiTheme="majorBidi" w:hAnsiTheme="majorBidi" w:cstheme="majorBidi"/>
          <w:sz w:val="20"/>
        </w:rPr>
        <w:t xml:space="preserve"> </w:t>
      </w:r>
      <w:r w:rsidRPr="00AB3EED">
        <w:rPr>
          <w:rFonts w:asciiTheme="majorBidi" w:hAnsiTheme="majorBidi" w:cstheme="majorBidi"/>
          <w:sz w:val="20"/>
        </w:rPr>
        <w:t>Centre of Nuclear Science and Technology</w:t>
      </w:r>
    </w:p>
    <w:p w14:paraId="2C7F19CB" w14:textId="0FFBC726" w:rsidR="00FF386F" w:rsidRDefault="0009386E" w:rsidP="0009386E">
      <w:pPr>
        <w:pStyle w:val="Authornameandaffiliation"/>
      </w:pPr>
      <w:r>
        <w:t>Sidi-Thabet/Ariana, Tunisia</w:t>
      </w:r>
    </w:p>
    <w:p w14:paraId="14C2FBCB" w14:textId="77777777" w:rsidR="0009386E" w:rsidRDefault="0009386E" w:rsidP="0009386E">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21EECD1E" w14:textId="78C3E6A7" w:rsidR="00CA2EBE" w:rsidRPr="00CA2EBE" w:rsidRDefault="00CA2EBE" w:rsidP="00CA2EBE">
      <w:pPr>
        <w:pStyle w:val="Abstracttext"/>
        <w:jc w:val="both"/>
      </w:pPr>
      <w:r w:rsidRPr="00CA2EBE">
        <w:t xml:space="preserve">This study presents an analysis of a light water Small Modular Reactor (SMR) design featuring a square-shaped fuel element. The core design is based on the Westinghouse UO₂ SMR, which operates with uranium oxide fuel enriched to less than 5%. To accurately simulate and analyze the reactor's performance, the study employed the open-source Monte Carlo code, </w:t>
      </w:r>
      <w:proofErr w:type="spellStart"/>
      <w:r w:rsidRPr="00CA2EBE">
        <w:t>OpenMC</w:t>
      </w:r>
      <w:proofErr w:type="spellEnd"/>
      <w:r w:rsidRPr="00CA2EBE">
        <w:t>. This code was chosen for its ability to model complex reactor physics with high precision.</w:t>
      </w:r>
    </w:p>
    <w:p w14:paraId="613FACF3" w14:textId="0E747AA6" w:rsidR="00CA2EBE" w:rsidRPr="00CA2EBE" w:rsidRDefault="00CA2EBE" w:rsidP="00CA2EBE">
      <w:pPr>
        <w:pStyle w:val="Abstracttext"/>
        <w:jc w:val="both"/>
      </w:pPr>
      <w:r w:rsidRPr="00CA2EBE">
        <w:t>The primary focus of the study was on performing neutronics analyses of the core containing UO₂ fuel. Key reactor parameters were evaluated, including the effective multiplication factor (</w:t>
      </w:r>
      <w:proofErr w:type="spellStart"/>
      <w:r w:rsidRPr="00CA2EBE">
        <w:t>keff</w:t>
      </w:r>
      <w:proofErr w:type="spellEnd"/>
      <w:r w:rsidRPr="00CA2EBE">
        <w:t>), which provides insight into the reactor's ability to sustain a nuclear chain reaction under various conditions. The radial neutron flux profile was also analyzed to understand the distribution of neutrons across the core and ensure that the reactor operates efficiently and safely.</w:t>
      </w:r>
    </w:p>
    <w:p w14:paraId="62DAC7D5" w14:textId="77777777" w:rsidR="00CA2EBE" w:rsidRPr="00CA2EBE" w:rsidRDefault="00CA2EBE" w:rsidP="00CA2EBE">
      <w:pPr>
        <w:pStyle w:val="Abstracttext"/>
        <w:jc w:val="both"/>
      </w:pPr>
      <w:r w:rsidRPr="00CA2EBE">
        <w:t>Additionally, the study investigated the maximum-to-average flux ratio, a crucial parameter for assessing the thermal performance of the reactor. A high ratio could indicate potential hotspots, which need to be minimized for safe operation. The reactivity coefficients, including temperature and coolant density coefficients, were also characterized to evaluate the reactor's response to changes in operational conditions, such as variations in temperature and coolant flow.</w:t>
      </w:r>
    </w:p>
    <w:p w14:paraId="7E31233F" w14:textId="558CC20E" w:rsidR="00CA2EBE" w:rsidRPr="00CA2EBE" w:rsidRDefault="00CA2EBE" w:rsidP="00CA2EBE">
      <w:pPr>
        <w:pStyle w:val="Abstracttext"/>
        <w:jc w:val="both"/>
      </w:pPr>
      <w:r w:rsidRPr="00CA2EBE">
        <w:t xml:space="preserve">The preliminary simulation results demonstrated strong performance for the SMR design, with values within expected ranges for a well-designed reactor. </w:t>
      </w:r>
      <w:r>
        <w:t>Globally, t</w:t>
      </w:r>
      <w:r w:rsidRPr="00CA2EBE">
        <w:t xml:space="preserve">hese results were further validated by comparing them with calculations obtained from the </w:t>
      </w:r>
      <w:proofErr w:type="gramStart"/>
      <w:r w:rsidRPr="00CA2EBE">
        <w:t>widely-used</w:t>
      </w:r>
      <w:proofErr w:type="gramEnd"/>
      <w:r w:rsidRPr="00CA2EBE">
        <w:t xml:space="preserve"> MCNP code, developed by Missouri S&amp;T. The comparison showed good agreement between the two sets of calculations, reinforcing the reliability of the </w:t>
      </w:r>
      <w:proofErr w:type="spellStart"/>
      <w:r w:rsidRPr="00CA2EBE">
        <w:t>OpenMC</w:t>
      </w:r>
      <w:proofErr w:type="spellEnd"/>
      <w:r w:rsidRPr="00CA2EBE">
        <w:t xml:space="preserve"> simulations.</w:t>
      </w:r>
    </w:p>
    <w:p w14:paraId="3E22252B" w14:textId="77777777" w:rsidR="00CA2EBE" w:rsidRPr="00CA2EBE" w:rsidRDefault="00CA2EBE" w:rsidP="00CA2EBE">
      <w:pPr>
        <w:pStyle w:val="Abstracttext"/>
        <w:jc w:val="both"/>
      </w:pPr>
      <w:r w:rsidRPr="00CA2EBE">
        <w:t xml:space="preserve">Overall, this study contributes valuable insights into the design and analysis of SMRs, showcasing the potential of open-source tools like </w:t>
      </w:r>
      <w:proofErr w:type="spellStart"/>
      <w:r w:rsidRPr="00CA2EBE">
        <w:t>OpenMC</w:t>
      </w:r>
      <w:proofErr w:type="spellEnd"/>
      <w:r w:rsidRPr="00CA2EBE">
        <w:t xml:space="preserve"> for reactor physics simulations. The findings support the continued development of SMR technology, which holds promise for enhancing the safety, efficiency, and scalability of nuclear power generation.</w:t>
      </w:r>
    </w:p>
    <w:p w14:paraId="36FF9270" w14:textId="77777777" w:rsidR="00CA2EBE" w:rsidRDefault="00CA2EBE" w:rsidP="00CA2EBE">
      <w:pPr>
        <w:pStyle w:val="Abstracttext"/>
        <w:jc w:val="both"/>
      </w:pPr>
    </w:p>
    <w:p w14:paraId="5D3442CB" w14:textId="77777777" w:rsidR="001D1437" w:rsidRDefault="001D1437" w:rsidP="00E27E20">
      <w:pPr>
        <w:pStyle w:val="Abstracttext"/>
        <w:jc w:val="both"/>
      </w:pPr>
    </w:p>
    <w:p w14:paraId="03C6D75B" w14:textId="77777777" w:rsidR="00647F33" w:rsidRDefault="00F523CA" w:rsidP="00537496">
      <w:pPr>
        <w:pStyle w:val="Titre2"/>
        <w:numPr>
          <w:ilvl w:val="1"/>
          <w:numId w:val="10"/>
        </w:numPr>
      </w:pPr>
      <w:r>
        <w:t>INTRODUCTION</w:t>
      </w:r>
    </w:p>
    <w:p w14:paraId="5F5A802E" w14:textId="77777777" w:rsidR="000D602B" w:rsidRPr="000D602B" w:rsidRDefault="000D602B" w:rsidP="000D602B">
      <w:pPr>
        <w:pStyle w:val="NormalWeb"/>
        <w:ind w:firstLine="567"/>
        <w:jc w:val="both"/>
        <w:rPr>
          <w:sz w:val="20"/>
          <w:szCs w:val="20"/>
          <w:lang w:val="en-US"/>
        </w:rPr>
      </w:pPr>
      <w:r w:rsidRPr="000D602B">
        <w:rPr>
          <w:sz w:val="20"/>
          <w:szCs w:val="20"/>
          <w:lang w:val="en-US"/>
        </w:rPr>
        <w:t>In this paper, we focus on a basic neutronic analysis of the Westinghouse AP300 Small Modular Reactor (SMR). SMRs are gaining attention as smaller, more adaptable nuclear fission reactors, offering economical, reliable, and clean power solutions for various applications, from industrial operations to remote sites. As research and development continue, SMRs have the potential to significantly reduce greenhouse gas emissions, meet growing energy demands, and support a more sustainable energy future. These reactors can generate low-carbon baseload power, meaning they don't rely entirely on fossil fuels to provide a steady and dependable energy source. Among the emerging SMR concepts, the AP300, which uses light water, is particularly noteworthy.</w:t>
      </w:r>
    </w:p>
    <w:p w14:paraId="2DF45C73" w14:textId="77777777" w:rsidR="000D602B" w:rsidRPr="000D602B" w:rsidRDefault="000D602B" w:rsidP="000D602B">
      <w:pPr>
        <w:pStyle w:val="NormalWeb"/>
        <w:ind w:firstLine="567"/>
        <w:jc w:val="both"/>
        <w:rPr>
          <w:sz w:val="20"/>
          <w:szCs w:val="20"/>
          <w:lang w:val="en-US"/>
        </w:rPr>
      </w:pPr>
      <w:r w:rsidRPr="000D602B">
        <w:rPr>
          <w:sz w:val="20"/>
          <w:szCs w:val="20"/>
          <w:lang w:val="en-US"/>
        </w:rPr>
        <w:t>The primary goal of SMR development is to create innovative, safe, and economically viable small nuclear power plants. The AP300 is an integrated pressurized water reactor (PWR) with a square lattice-shaped core and an indirect steam cycle. Its design prioritizes safety while simplifying the construction process.</w:t>
      </w:r>
    </w:p>
    <w:p w14:paraId="128B654C" w14:textId="77777777" w:rsidR="000D602B" w:rsidRPr="000D602B" w:rsidRDefault="000D602B" w:rsidP="000D602B">
      <w:pPr>
        <w:pStyle w:val="NormalWeb"/>
        <w:ind w:firstLine="567"/>
        <w:jc w:val="both"/>
        <w:rPr>
          <w:sz w:val="20"/>
          <w:szCs w:val="20"/>
          <w:lang w:val="en-US"/>
        </w:rPr>
      </w:pPr>
      <w:r w:rsidRPr="000D602B">
        <w:rPr>
          <w:sz w:val="20"/>
          <w:szCs w:val="20"/>
          <w:lang w:val="en-US"/>
        </w:rPr>
        <w:t xml:space="preserve">This project focused on analyzing light water SMRs with flexible fuel configurations. The core design, based on the Westinghouse UO₂ SMR with less than 5% enrichment, was developed using </w:t>
      </w:r>
      <w:proofErr w:type="spellStart"/>
      <w:r w:rsidRPr="000D602B">
        <w:rPr>
          <w:sz w:val="20"/>
          <w:szCs w:val="20"/>
          <w:lang w:val="en-US"/>
        </w:rPr>
        <w:t>OpenMC</w:t>
      </w:r>
      <w:proofErr w:type="spellEnd"/>
      <w:r w:rsidRPr="000D602B">
        <w:rPr>
          <w:sz w:val="20"/>
          <w:szCs w:val="20"/>
          <w:lang w:val="en-US"/>
        </w:rPr>
        <w:t>, an open-source Monte Carlo-based code written in C++ and Python. Neutronics studies of a reference core with UO</w:t>
      </w:r>
      <w:r w:rsidRPr="00CC2984">
        <w:rPr>
          <w:sz w:val="20"/>
          <w:szCs w:val="20"/>
          <w:lang w:val="en-US"/>
        </w:rPr>
        <w:t>₂</w:t>
      </w:r>
      <w:r w:rsidRPr="000D602B">
        <w:rPr>
          <w:sz w:val="20"/>
          <w:szCs w:val="20"/>
          <w:lang w:val="en-US"/>
        </w:rPr>
        <w:t xml:space="preserve"> fuel were conducted to determine key parameters, such as the radial neutron flux profile, maximum-to-average flux ratio, reactivity coefficient, and the critical boron content at the beginning of the reactor's life.</w:t>
      </w:r>
    </w:p>
    <w:p w14:paraId="74CD1556" w14:textId="28E1EE63" w:rsidR="00E25B68" w:rsidRDefault="002344E7" w:rsidP="0026525A">
      <w:pPr>
        <w:pStyle w:val="Titre2"/>
        <w:numPr>
          <w:ilvl w:val="1"/>
          <w:numId w:val="10"/>
        </w:numPr>
      </w:pPr>
      <w:r>
        <w:lastRenderedPageBreak/>
        <w:t>methods and materials</w:t>
      </w:r>
      <w:r w:rsidR="00023B31">
        <w:t xml:space="preserve"> </w:t>
      </w:r>
    </w:p>
    <w:p w14:paraId="3ABA6DE1" w14:textId="0C8E526B" w:rsidR="00023B31" w:rsidRDefault="002344E7" w:rsidP="00023B31">
      <w:pPr>
        <w:pStyle w:val="Titre3"/>
      </w:pPr>
      <w:r>
        <w:t>Description of AP300</w:t>
      </w:r>
    </w:p>
    <w:p w14:paraId="7F76F01C" w14:textId="6D844294" w:rsidR="002E64C2" w:rsidRPr="000474D2" w:rsidRDefault="002E64C2" w:rsidP="008960D8">
      <w:pPr>
        <w:overflowPunct/>
        <w:autoSpaceDE/>
        <w:autoSpaceDN/>
        <w:adjustRightInd/>
        <w:spacing w:line="260" w:lineRule="atLeast"/>
        <w:ind w:firstLine="567"/>
        <w:jc w:val="both"/>
        <w:textAlignment w:val="auto"/>
        <w:rPr>
          <w:sz w:val="20"/>
          <w:lang w:val="en-US" w:eastAsia="fr-FR"/>
        </w:rPr>
      </w:pPr>
      <w:r w:rsidRPr="002E64C2">
        <w:rPr>
          <w:sz w:val="20"/>
          <w:lang w:eastAsia="fr-FR"/>
        </w:rPr>
        <w:t>The American Small Modular Reactor (SMR) known as the AP300 combines innovative design elements with advanced engineering solutions to create a highly safe and competitive reactor. Developed by Westinghouse and inspired by the AP1000, the AP300 is an integral-type pressurized water reactor (PWR) that operates on an indirect steam cycle. Its unique design features include an integrated primary cooling system with pressurized natural circulation, in-vessel hydraulic control rod drive mechanisms, and passive safety systems.</w:t>
      </w:r>
    </w:p>
    <w:p w14:paraId="4C26C142" w14:textId="53E50CB4" w:rsidR="002344E7" w:rsidRDefault="002344E7" w:rsidP="002344E7">
      <w:pPr>
        <w:pStyle w:val="Titre4"/>
        <w:ind w:left="0"/>
      </w:pPr>
      <w:r>
        <w:t>Geometry</w:t>
      </w:r>
    </w:p>
    <w:p w14:paraId="245B6648" w14:textId="3ECC7F55" w:rsidR="008960D8" w:rsidRPr="008960D8" w:rsidRDefault="008960D8" w:rsidP="008960D8">
      <w:pPr>
        <w:pStyle w:val="Corpsdetexte"/>
        <w:rPr>
          <w:rFonts w:asciiTheme="majorBidi" w:hAnsiTheme="majorBidi" w:cstheme="majorBidi"/>
          <w:color w:val="1C1C1C"/>
          <w:shd w:val="clear" w:color="auto" w:fill="FFFFFF"/>
          <w:lang w:val="en-US"/>
        </w:rPr>
      </w:pPr>
      <w:r w:rsidRPr="008960D8">
        <w:rPr>
          <w:rFonts w:asciiTheme="majorBidi" w:hAnsiTheme="majorBidi" w:cstheme="majorBidi"/>
          <w:color w:val="1C1C1C"/>
          <w:shd w:val="clear" w:color="auto" w:fill="FFFFFF"/>
          <w:lang w:val="en-US"/>
        </w:rPr>
        <w:t>The core analyzed in this study is based on Westinghouse's SMR, an integral pressurized water reactor (PWR) with an active core height of 2.4 meters. The core consists of an 11 x 11 robust fuel assembly (RFA) layout, comprising 89 assemblies</w:t>
      </w:r>
      <w:r>
        <w:rPr>
          <w:rFonts w:asciiTheme="majorBidi" w:hAnsiTheme="majorBidi" w:cstheme="majorBidi"/>
          <w:color w:val="1C1C1C"/>
          <w:shd w:val="clear" w:color="auto" w:fill="FFFFFF"/>
          <w:lang w:val="en-US"/>
        </w:rPr>
        <w:t xml:space="preserve"> - </w:t>
      </w:r>
      <w:r w:rsidRPr="008960D8">
        <w:rPr>
          <w:rFonts w:asciiTheme="majorBidi" w:hAnsiTheme="majorBidi" w:cstheme="majorBidi"/>
          <w:color w:val="1C1C1C"/>
          <w:shd w:val="clear" w:color="auto" w:fill="FFFFFF"/>
          <w:lang w:val="en-US"/>
        </w:rPr>
        <w:t>52 for fuel and 37 for control rod drive mechanisms. These components are housed within a core barrel and the reactor vessel. While the design elements were derived from the AP1000, the dimensions were adjusted for the SMR, resulting in a reactor vessel that is 3.5 meters in diameter and 24.7 meters in height</w:t>
      </w:r>
      <w:r>
        <w:rPr>
          <w:rFonts w:asciiTheme="majorBidi" w:hAnsiTheme="majorBidi" w:cstheme="majorBidi"/>
          <w:color w:val="1C1C1C"/>
          <w:shd w:val="clear" w:color="auto" w:fill="FFFFFF"/>
          <w:lang w:val="en-US"/>
        </w:rPr>
        <w:t xml:space="preserve"> [1]</w:t>
      </w:r>
      <w:r w:rsidRPr="008960D8">
        <w:rPr>
          <w:rFonts w:asciiTheme="majorBidi" w:hAnsiTheme="majorBidi" w:cstheme="majorBidi"/>
          <w:color w:val="1C1C1C"/>
          <w:shd w:val="clear" w:color="auto" w:fill="FFFFFF"/>
          <w:lang w:val="en-US"/>
        </w:rPr>
        <w:t>.</w:t>
      </w:r>
    </w:p>
    <w:p w14:paraId="616F9320" w14:textId="77777777" w:rsidR="008960D8" w:rsidRPr="008960D8" w:rsidRDefault="008960D8" w:rsidP="008960D8">
      <w:pPr>
        <w:pStyle w:val="Corpsdetexte"/>
        <w:rPr>
          <w:rFonts w:asciiTheme="majorBidi" w:hAnsiTheme="majorBidi" w:cstheme="majorBidi"/>
          <w:color w:val="1C1C1C"/>
          <w:shd w:val="clear" w:color="auto" w:fill="FFFFFF"/>
          <w:lang w:val="en-US"/>
        </w:rPr>
      </w:pPr>
      <w:r w:rsidRPr="008960D8">
        <w:rPr>
          <w:rFonts w:asciiTheme="majorBidi" w:hAnsiTheme="majorBidi" w:cstheme="majorBidi"/>
          <w:color w:val="1C1C1C"/>
          <w:shd w:val="clear" w:color="auto" w:fill="FFFFFF"/>
          <w:lang w:val="en-US"/>
        </w:rPr>
        <w:t>The study focused on one type of fuel: uranium-oxide (UOX). The fuel assembly, as shown in Figure 1, follows a standard design with 264 fuel rod locations, 24 guide tube locations, and a central location for instrumentation, all in accordance with Westinghouse's design specifications.</w:t>
      </w:r>
    </w:p>
    <w:p w14:paraId="69C6348C" w14:textId="77777777" w:rsidR="008960D8" w:rsidRPr="008960D8" w:rsidRDefault="008960D8" w:rsidP="002344E7">
      <w:pPr>
        <w:pStyle w:val="Corpsdetexte"/>
        <w:rPr>
          <w:rFonts w:asciiTheme="majorBidi" w:hAnsiTheme="majorBidi" w:cstheme="majorBidi"/>
          <w:color w:val="1C1C1C"/>
          <w:shd w:val="clear" w:color="auto" w:fill="FFFFFF"/>
          <w:lang w:val="en-US"/>
        </w:rPr>
      </w:pPr>
    </w:p>
    <w:p w14:paraId="670818CF" w14:textId="281DC7DA" w:rsidR="006F7A05" w:rsidRDefault="006F7A05" w:rsidP="006F7A05">
      <w:pPr>
        <w:pStyle w:val="Corpsdetexte"/>
        <w:jc w:val="center"/>
        <w:rPr>
          <w:rFonts w:asciiTheme="majorBidi" w:hAnsiTheme="majorBidi" w:cstheme="majorBidi"/>
          <w:lang w:val="en-US"/>
        </w:rPr>
      </w:pPr>
      <w:r>
        <w:rPr>
          <w:noProof/>
        </w:rPr>
        <w:drawing>
          <wp:inline distT="0" distB="0" distL="0" distR="0" wp14:anchorId="1988BFA1" wp14:editId="5FBE6B5C">
            <wp:extent cx="1648972" cy="1590675"/>
            <wp:effectExtent l="0" t="0" r="8890" b="0"/>
            <wp:docPr id="19087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42369" name=""/>
                    <pic:cNvPicPr/>
                  </pic:nvPicPr>
                  <pic:blipFill>
                    <a:blip r:embed="rId9"/>
                    <a:stretch>
                      <a:fillRect/>
                    </a:stretch>
                  </pic:blipFill>
                  <pic:spPr>
                    <a:xfrm>
                      <a:off x="0" y="0"/>
                      <a:ext cx="1650108" cy="1591771"/>
                    </a:xfrm>
                    <a:prstGeom prst="rect">
                      <a:avLst/>
                    </a:prstGeom>
                  </pic:spPr>
                </pic:pic>
              </a:graphicData>
            </a:graphic>
          </wp:inline>
        </w:drawing>
      </w:r>
    </w:p>
    <w:p w14:paraId="1EA3D810" w14:textId="77777777" w:rsidR="006F7A05" w:rsidRDefault="006F7A05" w:rsidP="006F7A05">
      <w:pPr>
        <w:pStyle w:val="Lgende"/>
        <w:jc w:val="center"/>
        <w:rPr>
          <w:i/>
        </w:rPr>
      </w:pPr>
    </w:p>
    <w:p w14:paraId="75570481" w14:textId="204207CC" w:rsidR="006F7A05" w:rsidRPr="006F7A05" w:rsidRDefault="006F7A05" w:rsidP="006F7A05">
      <w:pPr>
        <w:pStyle w:val="Lgende"/>
        <w:jc w:val="center"/>
        <w:rPr>
          <w:i/>
          <w:szCs w:val="18"/>
        </w:rPr>
      </w:pPr>
      <w:r w:rsidRPr="006F7A05">
        <w:rPr>
          <w:i/>
          <w:szCs w:val="18"/>
        </w:rPr>
        <w:t xml:space="preserve">FIG. </w:t>
      </w:r>
      <w:r w:rsidRPr="006F7A05">
        <w:rPr>
          <w:i/>
          <w:szCs w:val="18"/>
        </w:rPr>
        <w:fldChar w:fldCharType="begin"/>
      </w:r>
      <w:r w:rsidRPr="006F7A05">
        <w:rPr>
          <w:i/>
          <w:szCs w:val="18"/>
        </w:rPr>
        <w:instrText xml:space="preserve"> SEQ Figure \* ARABIC </w:instrText>
      </w:r>
      <w:r w:rsidRPr="006F7A05">
        <w:rPr>
          <w:i/>
          <w:szCs w:val="18"/>
        </w:rPr>
        <w:fldChar w:fldCharType="separate"/>
      </w:r>
      <w:r w:rsidRPr="006F7A05">
        <w:rPr>
          <w:i/>
          <w:noProof/>
          <w:szCs w:val="18"/>
        </w:rPr>
        <w:t>1</w:t>
      </w:r>
      <w:r w:rsidRPr="006F7A05">
        <w:rPr>
          <w:i/>
          <w:szCs w:val="18"/>
        </w:rPr>
        <w:fldChar w:fldCharType="end"/>
      </w:r>
      <w:r w:rsidRPr="006F7A05">
        <w:rPr>
          <w:i/>
          <w:szCs w:val="18"/>
        </w:rPr>
        <w:t xml:space="preserve">. Layout of </w:t>
      </w:r>
      <w:proofErr w:type="spellStart"/>
      <w:r w:rsidRPr="006F7A05">
        <w:rPr>
          <w:i/>
          <w:szCs w:val="18"/>
        </w:rPr>
        <w:t>of</w:t>
      </w:r>
      <w:proofErr w:type="spellEnd"/>
      <w:r w:rsidRPr="006F7A05">
        <w:rPr>
          <w:i/>
          <w:szCs w:val="18"/>
        </w:rPr>
        <w:t xml:space="preserve"> 17 x 17 fuel assembly.</w:t>
      </w:r>
    </w:p>
    <w:p w14:paraId="63BA18D1" w14:textId="77777777" w:rsidR="006F7A05" w:rsidRDefault="006F7A05" w:rsidP="006F7A05">
      <w:pPr>
        <w:pStyle w:val="Corpsdetexte"/>
        <w:jc w:val="center"/>
        <w:rPr>
          <w:rFonts w:asciiTheme="majorBidi" w:hAnsiTheme="majorBidi" w:cstheme="majorBidi"/>
          <w:lang w:val="en-US"/>
        </w:rPr>
      </w:pPr>
    </w:p>
    <w:p w14:paraId="1F67C4AC" w14:textId="77777777" w:rsidR="008960D8" w:rsidRPr="008960D8" w:rsidRDefault="008960D8" w:rsidP="008960D8">
      <w:pPr>
        <w:pStyle w:val="Corpsdetexte"/>
        <w:rPr>
          <w:rFonts w:asciiTheme="majorBidi" w:hAnsiTheme="majorBidi" w:cstheme="majorBidi"/>
          <w:color w:val="1C1C1C"/>
          <w:shd w:val="clear" w:color="auto" w:fill="FFFFFF"/>
          <w:lang w:val="en-US"/>
        </w:rPr>
      </w:pPr>
      <w:r w:rsidRPr="008960D8">
        <w:rPr>
          <w:rFonts w:asciiTheme="majorBidi" w:hAnsiTheme="majorBidi" w:cstheme="majorBidi"/>
          <w:color w:val="1C1C1C"/>
          <w:shd w:val="clear" w:color="auto" w:fill="FFFFFF"/>
          <w:lang w:val="en-US"/>
        </w:rPr>
        <w:t>The fuel rod consists of a cylindrical pellet encased in a Zircaloy-clad tube. A small gap exists between the fuel stack and the cladding to accommodate fuel swelling caused by fission products, preventing potential damage to the cladding. This gap is filled with helium gas to improve heat conduction from the fuel to the cladding. The guide tubes within the fuel assembly provide space for the insertion of the Rod Cluster Control Assembly (RCCA), which is a spider-like assembly that holds evenly spaced control rods. These control rods are made of either Silver-Indium-Cadmium or Boron Carbide, depending on the type of fuel used.</w:t>
      </w:r>
    </w:p>
    <w:p w14:paraId="6AF0B4C7" w14:textId="538278F1" w:rsidR="008960D8" w:rsidRPr="008960D8" w:rsidRDefault="008960D8" w:rsidP="008960D8">
      <w:pPr>
        <w:pStyle w:val="Corpsdetexte"/>
        <w:rPr>
          <w:rFonts w:asciiTheme="majorBidi" w:hAnsiTheme="majorBidi" w:cstheme="majorBidi"/>
          <w:color w:val="1C1C1C"/>
          <w:shd w:val="clear" w:color="auto" w:fill="FFFFFF"/>
          <w:lang w:val="en-US"/>
        </w:rPr>
      </w:pPr>
      <w:r w:rsidRPr="008960D8">
        <w:rPr>
          <w:rFonts w:asciiTheme="majorBidi" w:hAnsiTheme="majorBidi" w:cstheme="majorBidi"/>
          <w:color w:val="1C1C1C"/>
          <w:shd w:val="clear" w:color="auto" w:fill="FFFFFF"/>
          <w:lang w:val="en-US"/>
        </w:rPr>
        <w:t xml:space="preserve">The detailed specifications for the fuel rod, cladding, structural components, control rods, and burnable poisons (both discrete and integral) were obtained from the Consortium for Advanced Simulation of Light Water Reactors (CASL) VERA core physics benchmark specifications </w:t>
      </w:r>
      <w:r>
        <w:rPr>
          <w:rFonts w:asciiTheme="majorBidi" w:hAnsiTheme="majorBidi" w:cstheme="majorBidi"/>
          <w:color w:val="1C1C1C"/>
          <w:shd w:val="clear" w:color="auto" w:fill="FFFFFF"/>
          <w:lang w:val="en-US"/>
        </w:rPr>
        <w:t xml:space="preserve">[2] </w:t>
      </w:r>
      <w:r w:rsidRPr="008960D8">
        <w:rPr>
          <w:rFonts w:asciiTheme="majorBidi" w:hAnsiTheme="majorBidi" w:cstheme="majorBidi"/>
          <w:color w:val="1C1C1C"/>
          <w:shd w:val="clear" w:color="auto" w:fill="FFFFFF"/>
          <w:lang w:val="en-US"/>
        </w:rPr>
        <w:t>and are presented in Tables 1, 2, and 3.</w:t>
      </w:r>
    </w:p>
    <w:p w14:paraId="6B28A724" w14:textId="77777777" w:rsidR="00092EE9" w:rsidRDefault="00092EE9" w:rsidP="008960D8">
      <w:pPr>
        <w:pStyle w:val="Corpsdetexte"/>
        <w:ind w:firstLine="0"/>
        <w:rPr>
          <w:rFonts w:asciiTheme="majorBidi" w:hAnsiTheme="majorBidi" w:cstheme="majorBidi"/>
          <w:color w:val="1C1C1C"/>
          <w:sz w:val="18"/>
          <w:szCs w:val="18"/>
          <w:shd w:val="clear" w:color="auto" w:fill="FFFFFF"/>
        </w:rPr>
      </w:pPr>
    </w:p>
    <w:p w14:paraId="418AA317" w14:textId="53CB74DF" w:rsidR="00092EE9" w:rsidRDefault="00092EE9" w:rsidP="00092EE9">
      <w:pPr>
        <w:pStyle w:val="Corpsdetexte"/>
        <w:ind w:firstLine="0"/>
      </w:pPr>
      <w:r>
        <w:t>TABLE 1.</w:t>
      </w:r>
      <w:r>
        <w:tab/>
        <w:t>FUEL ROD GEOMETRY SPECIFICATIONS</w:t>
      </w:r>
    </w:p>
    <w:p w14:paraId="7E9F7B19" w14:textId="77777777" w:rsidR="00092EE9" w:rsidRDefault="00092EE9" w:rsidP="00092EE9">
      <w:pPr>
        <w:pStyle w:val="Corpsdetexte"/>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092EE9" w14:paraId="6E498072" w14:textId="77777777" w:rsidTr="00AD38C8">
        <w:trPr>
          <w:jc w:val="center"/>
        </w:trPr>
        <w:tc>
          <w:tcPr>
            <w:tcW w:w="1741" w:type="dxa"/>
            <w:tcBorders>
              <w:top w:val="single" w:sz="4" w:space="0" w:color="auto"/>
              <w:bottom w:val="single" w:sz="4" w:space="0" w:color="auto"/>
            </w:tcBorders>
          </w:tcPr>
          <w:p w14:paraId="474274CE" w14:textId="32127A33" w:rsidR="00092EE9" w:rsidRDefault="00880DE6" w:rsidP="00AD38C8">
            <w:pPr>
              <w:pStyle w:val="Corpsdetexte"/>
              <w:ind w:firstLine="0"/>
            </w:pPr>
            <w:r>
              <w:t xml:space="preserve">Details </w:t>
            </w:r>
          </w:p>
        </w:tc>
        <w:tc>
          <w:tcPr>
            <w:tcW w:w="1741" w:type="dxa"/>
            <w:tcBorders>
              <w:top w:val="single" w:sz="4" w:space="0" w:color="auto"/>
              <w:bottom w:val="single" w:sz="4" w:space="0" w:color="auto"/>
            </w:tcBorders>
          </w:tcPr>
          <w:p w14:paraId="5B87CD17" w14:textId="295BEB5C" w:rsidR="00092EE9" w:rsidRDefault="00880DE6" w:rsidP="00AD38C8">
            <w:pPr>
              <w:pStyle w:val="Corpsdetexte"/>
              <w:ind w:firstLine="0"/>
              <w:jc w:val="center"/>
            </w:pPr>
            <w:r>
              <w:t>Material</w:t>
            </w:r>
          </w:p>
        </w:tc>
        <w:tc>
          <w:tcPr>
            <w:tcW w:w="1742" w:type="dxa"/>
            <w:tcBorders>
              <w:top w:val="single" w:sz="4" w:space="0" w:color="auto"/>
              <w:bottom w:val="single" w:sz="4" w:space="0" w:color="auto"/>
            </w:tcBorders>
          </w:tcPr>
          <w:p w14:paraId="03D3C56C" w14:textId="51F784A8" w:rsidR="00092EE9" w:rsidRDefault="00880DE6" w:rsidP="00AD38C8">
            <w:pPr>
              <w:pStyle w:val="Corpsdetexte"/>
              <w:ind w:firstLine="0"/>
              <w:jc w:val="center"/>
            </w:pPr>
            <w:r>
              <w:t>Dimensions</w:t>
            </w:r>
          </w:p>
        </w:tc>
      </w:tr>
      <w:tr w:rsidR="00092EE9" w14:paraId="00690504" w14:textId="77777777" w:rsidTr="00AD38C8">
        <w:trPr>
          <w:jc w:val="center"/>
        </w:trPr>
        <w:tc>
          <w:tcPr>
            <w:tcW w:w="1741" w:type="dxa"/>
            <w:tcBorders>
              <w:top w:val="single" w:sz="4" w:space="0" w:color="auto"/>
            </w:tcBorders>
          </w:tcPr>
          <w:p w14:paraId="14D188CE" w14:textId="518C5912" w:rsidR="00092EE9" w:rsidRDefault="00880DE6" w:rsidP="00AD38C8">
            <w:pPr>
              <w:pStyle w:val="Corpsdetexte"/>
              <w:ind w:firstLine="0"/>
            </w:pPr>
            <w:r>
              <w:rPr>
                <w:rStyle w:val="TabletextChar"/>
              </w:rPr>
              <w:t>Pellet Radius</w:t>
            </w:r>
          </w:p>
        </w:tc>
        <w:tc>
          <w:tcPr>
            <w:tcW w:w="1741" w:type="dxa"/>
            <w:tcBorders>
              <w:top w:val="single" w:sz="4" w:space="0" w:color="auto"/>
            </w:tcBorders>
          </w:tcPr>
          <w:p w14:paraId="457A162F" w14:textId="5DE4ABAF" w:rsidR="00092EE9" w:rsidRDefault="00880DE6" w:rsidP="00AD38C8">
            <w:pPr>
              <w:pStyle w:val="Corpsdetexte"/>
              <w:ind w:firstLine="0"/>
              <w:jc w:val="center"/>
            </w:pPr>
            <w:r>
              <w:t>UO</w:t>
            </w:r>
            <w:r w:rsidRPr="00880DE6">
              <w:rPr>
                <w:vertAlign w:val="subscript"/>
              </w:rPr>
              <w:t>2</w:t>
            </w:r>
          </w:p>
        </w:tc>
        <w:tc>
          <w:tcPr>
            <w:tcW w:w="1742" w:type="dxa"/>
            <w:tcBorders>
              <w:top w:val="single" w:sz="4" w:space="0" w:color="auto"/>
            </w:tcBorders>
          </w:tcPr>
          <w:p w14:paraId="77B1F09F" w14:textId="5CF4BFE3" w:rsidR="00092EE9" w:rsidRDefault="00880DE6" w:rsidP="00AD38C8">
            <w:pPr>
              <w:pStyle w:val="Corpsdetexte"/>
              <w:ind w:firstLine="0"/>
              <w:jc w:val="center"/>
            </w:pPr>
            <w:r>
              <w:t>0.4095 cm</w:t>
            </w:r>
          </w:p>
        </w:tc>
      </w:tr>
      <w:tr w:rsidR="00092EE9" w14:paraId="3B48EAE4" w14:textId="77777777" w:rsidTr="00AD38C8">
        <w:trPr>
          <w:jc w:val="center"/>
        </w:trPr>
        <w:tc>
          <w:tcPr>
            <w:tcW w:w="1741" w:type="dxa"/>
          </w:tcPr>
          <w:p w14:paraId="57F22AAA" w14:textId="3D6F1F45" w:rsidR="00092EE9" w:rsidRDefault="00E04E78" w:rsidP="00AD38C8">
            <w:pPr>
              <w:pStyle w:val="Corpsdetexte"/>
              <w:ind w:firstLine="0"/>
            </w:pPr>
            <w:r>
              <w:t>Pitch</w:t>
            </w:r>
          </w:p>
        </w:tc>
        <w:tc>
          <w:tcPr>
            <w:tcW w:w="1741" w:type="dxa"/>
          </w:tcPr>
          <w:p w14:paraId="005BAF27" w14:textId="6B0F6811" w:rsidR="00092EE9" w:rsidRDefault="00092EE9" w:rsidP="00AD38C8">
            <w:pPr>
              <w:pStyle w:val="Corpsdetexte"/>
              <w:ind w:firstLine="0"/>
              <w:jc w:val="center"/>
            </w:pPr>
          </w:p>
        </w:tc>
        <w:tc>
          <w:tcPr>
            <w:tcW w:w="1742" w:type="dxa"/>
          </w:tcPr>
          <w:p w14:paraId="585B228A" w14:textId="1A179219" w:rsidR="00092EE9" w:rsidRDefault="00E04E78" w:rsidP="00AD38C8">
            <w:pPr>
              <w:pStyle w:val="Corpsdetexte"/>
              <w:ind w:firstLine="0"/>
              <w:jc w:val="center"/>
            </w:pPr>
            <w:r>
              <w:t>1.26 cm</w:t>
            </w:r>
          </w:p>
        </w:tc>
      </w:tr>
      <w:tr w:rsidR="00E04E78" w14:paraId="423E1135" w14:textId="77777777" w:rsidTr="00AD38C8">
        <w:trPr>
          <w:jc w:val="center"/>
        </w:trPr>
        <w:tc>
          <w:tcPr>
            <w:tcW w:w="1741" w:type="dxa"/>
          </w:tcPr>
          <w:p w14:paraId="10CB79D8" w14:textId="39E1BE14" w:rsidR="00E04E78" w:rsidRDefault="00E04E78" w:rsidP="00AD38C8">
            <w:pPr>
              <w:pStyle w:val="Corpsdetexte"/>
              <w:ind w:firstLine="0"/>
            </w:pPr>
            <w:r>
              <w:t>Clad Inner radius</w:t>
            </w:r>
          </w:p>
        </w:tc>
        <w:tc>
          <w:tcPr>
            <w:tcW w:w="1741" w:type="dxa"/>
            <w:vMerge w:val="restart"/>
          </w:tcPr>
          <w:p w14:paraId="690E1E05" w14:textId="4AF25443" w:rsidR="00E04E78" w:rsidRDefault="00E04E78" w:rsidP="00AD38C8">
            <w:pPr>
              <w:pStyle w:val="Corpsdetexte"/>
              <w:ind w:firstLine="0"/>
              <w:jc w:val="center"/>
            </w:pPr>
            <w:proofErr w:type="spellStart"/>
            <w:r>
              <w:t>Zirc</w:t>
            </w:r>
            <w:proofErr w:type="spellEnd"/>
            <w:r>
              <w:t>-Alloy</w:t>
            </w:r>
          </w:p>
        </w:tc>
        <w:tc>
          <w:tcPr>
            <w:tcW w:w="1742" w:type="dxa"/>
          </w:tcPr>
          <w:p w14:paraId="5DA29BC1" w14:textId="738ABA64" w:rsidR="00E04E78" w:rsidRDefault="00E04E78" w:rsidP="00AD38C8">
            <w:pPr>
              <w:pStyle w:val="Corpsdetexte"/>
              <w:ind w:firstLine="0"/>
              <w:jc w:val="center"/>
            </w:pPr>
            <w:r>
              <w:t>0.4177 cm</w:t>
            </w:r>
          </w:p>
        </w:tc>
      </w:tr>
      <w:tr w:rsidR="00E04E78" w14:paraId="1E885992" w14:textId="77777777" w:rsidTr="00AD38C8">
        <w:trPr>
          <w:jc w:val="center"/>
        </w:trPr>
        <w:tc>
          <w:tcPr>
            <w:tcW w:w="1741" w:type="dxa"/>
          </w:tcPr>
          <w:p w14:paraId="17DC8121" w14:textId="53B5D92C" w:rsidR="00E04E78" w:rsidRDefault="00E04E78" w:rsidP="00AD38C8">
            <w:pPr>
              <w:pStyle w:val="Corpsdetexte"/>
              <w:ind w:firstLine="0"/>
            </w:pPr>
            <w:r>
              <w:t>Clad Outer radius</w:t>
            </w:r>
          </w:p>
        </w:tc>
        <w:tc>
          <w:tcPr>
            <w:tcW w:w="1741" w:type="dxa"/>
            <w:vMerge/>
          </w:tcPr>
          <w:p w14:paraId="015296D9" w14:textId="77777777" w:rsidR="00E04E78" w:rsidRDefault="00E04E78" w:rsidP="00AD38C8">
            <w:pPr>
              <w:pStyle w:val="Corpsdetexte"/>
              <w:ind w:firstLine="0"/>
              <w:jc w:val="center"/>
            </w:pPr>
          </w:p>
        </w:tc>
        <w:tc>
          <w:tcPr>
            <w:tcW w:w="1742" w:type="dxa"/>
          </w:tcPr>
          <w:p w14:paraId="5871BDB9" w14:textId="01B548A0" w:rsidR="00E04E78" w:rsidRDefault="00E04E78" w:rsidP="00AD38C8">
            <w:pPr>
              <w:pStyle w:val="Corpsdetexte"/>
              <w:ind w:firstLine="0"/>
              <w:jc w:val="center"/>
            </w:pPr>
            <w:r>
              <w:t>0.475 cm</w:t>
            </w:r>
          </w:p>
        </w:tc>
      </w:tr>
      <w:tr w:rsidR="00E04E78" w14:paraId="6D2BC9B9" w14:textId="77777777" w:rsidTr="00AD38C8">
        <w:trPr>
          <w:jc w:val="center"/>
        </w:trPr>
        <w:tc>
          <w:tcPr>
            <w:tcW w:w="1741" w:type="dxa"/>
          </w:tcPr>
          <w:p w14:paraId="315D8EE7" w14:textId="7ACD8890" w:rsidR="00E04E78" w:rsidRDefault="00E04E78" w:rsidP="00AD38C8">
            <w:pPr>
              <w:pStyle w:val="Corpsdetexte"/>
              <w:ind w:firstLine="0"/>
            </w:pPr>
            <w:r>
              <w:t>Fuel stack Height</w:t>
            </w:r>
          </w:p>
        </w:tc>
        <w:tc>
          <w:tcPr>
            <w:tcW w:w="1741" w:type="dxa"/>
          </w:tcPr>
          <w:p w14:paraId="6D400CB5" w14:textId="77777777" w:rsidR="00E04E78" w:rsidRDefault="00E04E78" w:rsidP="00AD38C8">
            <w:pPr>
              <w:pStyle w:val="Corpsdetexte"/>
              <w:ind w:firstLine="0"/>
              <w:jc w:val="center"/>
            </w:pPr>
          </w:p>
        </w:tc>
        <w:tc>
          <w:tcPr>
            <w:tcW w:w="1742" w:type="dxa"/>
          </w:tcPr>
          <w:p w14:paraId="4D345EF5" w14:textId="2338AB9E" w:rsidR="00E04E78" w:rsidRDefault="00E04E78" w:rsidP="00AD38C8">
            <w:pPr>
              <w:pStyle w:val="Corpsdetexte"/>
              <w:ind w:firstLine="0"/>
              <w:jc w:val="center"/>
            </w:pPr>
            <w:r>
              <w:t>244 cm</w:t>
            </w:r>
          </w:p>
        </w:tc>
      </w:tr>
      <w:tr w:rsidR="00E04E78" w14:paraId="442D93A2" w14:textId="77777777" w:rsidTr="00AD38C8">
        <w:trPr>
          <w:jc w:val="center"/>
        </w:trPr>
        <w:tc>
          <w:tcPr>
            <w:tcW w:w="1741" w:type="dxa"/>
          </w:tcPr>
          <w:p w14:paraId="417651CF" w14:textId="68B018B8" w:rsidR="00E04E78" w:rsidRDefault="00E04E78" w:rsidP="00AD38C8">
            <w:pPr>
              <w:pStyle w:val="Corpsdetexte"/>
              <w:ind w:firstLine="0"/>
            </w:pPr>
            <w:r>
              <w:lastRenderedPageBreak/>
              <w:t>Rod Height</w:t>
            </w:r>
          </w:p>
        </w:tc>
        <w:tc>
          <w:tcPr>
            <w:tcW w:w="1741" w:type="dxa"/>
          </w:tcPr>
          <w:p w14:paraId="732D57CD" w14:textId="77777777" w:rsidR="00E04E78" w:rsidRDefault="00E04E78" w:rsidP="00AD38C8">
            <w:pPr>
              <w:pStyle w:val="Corpsdetexte"/>
              <w:ind w:firstLine="0"/>
              <w:jc w:val="center"/>
            </w:pPr>
          </w:p>
        </w:tc>
        <w:tc>
          <w:tcPr>
            <w:tcW w:w="1742" w:type="dxa"/>
          </w:tcPr>
          <w:p w14:paraId="2D8E3900" w14:textId="2FB482B9" w:rsidR="00E04E78" w:rsidRDefault="00E04E78" w:rsidP="00AD38C8">
            <w:pPr>
              <w:pStyle w:val="Corpsdetexte"/>
              <w:ind w:firstLine="0"/>
              <w:jc w:val="center"/>
            </w:pPr>
            <w:r>
              <w:t>305 cm</w:t>
            </w:r>
          </w:p>
        </w:tc>
      </w:tr>
    </w:tbl>
    <w:p w14:paraId="6B8EAB04" w14:textId="77777777" w:rsidR="00831869" w:rsidRDefault="00831869" w:rsidP="00E04E78">
      <w:pPr>
        <w:pStyle w:val="Corpsdetexte"/>
        <w:ind w:firstLine="0"/>
      </w:pPr>
    </w:p>
    <w:p w14:paraId="57715EAC" w14:textId="6DE9D97A" w:rsidR="00E04E78" w:rsidRDefault="00E04E78" w:rsidP="00E04E78">
      <w:pPr>
        <w:pStyle w:val="Corpsdetexte"/>
        <w:ind w:firstLine="0"/>
      </w:pPr>
      <w:r>
        <w:t>TABLE 2.</w:t>
      </w:r>
      <w:r>
        <w:tab/>
        <w:t>RCCA GEOMETRY SPECIFICATIONS</w:t>
      </w:r>
    </w:p>
    <w:p w14:paraId="20233816" w14:textId="77777777" w:rsidR="00831869" w:rsidRDefault="00831869" w:rsidP="00E04E78">
      <w:pPr>
        <w:pStyle w:val="Corpsdetexte"/>
        <w:ind w:firstLine="0"/>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338"/>
        <w:gridCol w:w="2146"/>
      </w:tblGrid>
      <w:tr w:rsidR="00831869" w14:paraId="3FC608D0" w14:textId="74017F52" w:rsidTr="007676CB">
        <w:trPr>
          <w:jc w:val="center"/>
        </w:trPr>
        <w:tc>
          <w:tcPr>
            <w:tcW w:w="1741" w:type="dxa"/>
            <w:tcBorders>
              <w:top w:val="single" w:sz="4" w:space="0" w:color="auto"/>
              <w:bottom w:val="single" w:sz="4" w:space="0" w:color="auto"/>
            </w:tcBorders>
          </w:tcPr>
          <w:p w14:paraId="709D0AD7" w14:textId="77777777" w:rsidR="00831869" w:rsidRDefault="00831869" w:rsidP="00AD38C8">
            <w:pPr>
              <w:pStyle w:val="Corpsdetexte"/>
              <w:ind w:firstLine="0"/>
            </w:pPr>
            <w:r>
              <w:t xml:space="preserve">Details </w:t>
            </w:r>
          </w:p>
        </w:tc>
        <w:tc>
          <w:tcPr>
            <w:tcW w:w="1741" w:type="dxa"/>
            <w:tcBorders>
              <w:top w:val="single" w:sz="4" w:space="0" w:color="auto"/>
              <w:bottom w:val="single" w:sz="4" w:space="0" w:color="auto"/>
            </w:tcBorders>
          </w:tcPr>
          <w:p w14:paraId="53B5D822" w14:textId="77777777" w:rsidR="00831869" w:rsidRDefault="00831869" w:rsidP="00AD38C8">
            <w:pPr>
              <w:pStyle w:val="Corpsdetexte"/>
              <w:ind w:firstLine="0"/>
              <w:jc w:val="center"/>
            </w:pPr>
            <w:r>
              <w:t>Material</w:t>
            </w:r>
          </w:p>
        </w:tc>
        <w:tc>
          <w:tcPr>
            <w:tcW w:w="1338" w:type="dxa"/>
            <w:tcBorders>
              <w:top w:val="single" w:sz="4" w:space="0" w:color="auto"/>
              <w:bottom w:val="single" w:sz="4" w:space="0" w:color="auto"/>
            </w:tcBorders>
          </w:tcPr>
          <w:p w14:paraId="02317E47" w14:textId="77777777" w:rsidR="00831869" w:rsidRDefault="00831869" w:rsidP="00AD38C8">
            <w:pPr>
              <w:pStyle w:val="Corpsdetexte"/>
              <w:ind w:firstLine="0"/>
              <w:jc w:val="center"/>
            </w:pPr>
            <w:r>
              <w:t>Dimensions</w:t>
            </w:r>
          </w:p>
        </w:tc>
        <w:tc>
          <w:tcPr>
            <w:tcW w:w="2146" w:type="dxa"/>
            <w:tcBorders>
              <w:top w:val="single" w:sz="4" w:space="0" w:color="auto"/>
              <w:bottom w:val="single" w:sz="4" w:space="0" w:color="auto"/>
            </w:tcBorders>
          </w:tcPr>
          <w:p w14:paraId="787E6293" w14:textId="2C695C48" w:rsidR="00831869" w:rsidRDefault="00831869" w:rsidP="00AD38C8">
            <w:pPr>
              <w:pStyle w:val="Corpsdetexte"/>
              <w:ind w:firstLine="0"/>
              <w:jc w:val="center"/>
            </w:pPr>
            <w:r>
              <w:t>Remarks</w:t>
            </w:r>
          </w:p>
        </w:tc>
      </w:tr>
      <w:tr w:rsidR="00831869" w14:paraId="56E447BA" w14:textId="23988FEC" w:rsidTr="007676CB">
        <w:trPr>
          <w:jc w:val="center"/>
        </w:trPr>
        <w:tc>
          <w:tcPr>
            <w:tcW w:w="1741" w:type="dxa"/>
            <w:tcBorders>
              <w:top w:val="single" w:sz="4" w:space="0" w:color="auto"/>
            </w:tcBorders>
          </w:tcPr>
          <w:p w14:paraId="2B4CF50C" w14:textId="34E4848A" w:rsidR="00831869" w:rsidRDefault="00831869" w:rsidP="00AD38C8">
            <w:pPr>
              <w:pStyle w:val="Corpsdetexte"/>
              <w:ind w:firstLine="0"/>
            </w:pPr>
            <w:r>
              <w:rPr>
                <w:rStyle w:val="TabletextChar"/>
              </w:rPr>
              <w:t>P</w:t>
            </w:r>
            <w:r w:rsidR="007676CB">
              <w:rPr>
                <w:rStyle w:val="TabletextChar"/>
              </w:rPr>
              <w:t>oison</w:t>
            </w:r>
            <w:r>
              <w:rPr>
                <w:rStyle w:val="TabletextChar"/>
              </w:rPr>
              <w:t xml:space="preserve"> Radius</w:t>
            </w:r>
          </w:p>
        </w:tc>
        <w:tc>
          <w:tcPr>
            <w:tcW w:w="1741" w:type="dxa"/>
            <w:tcBorders>
              <w:top w:val="single" w:sz="4" w:space="0" w:color="auto"/>
            </w:tcBorders>
          </w:tcPr>
          <w:p w14:paraId="4261A3E7" w14:textId="512DC331" w:rsidR="00831869" w:rsidRDefault="00831869" w:rsidP="00AD38C8">
            <w:pPr>
              <w:pStyle w:val="Corpsdetexte"/>
              <w:ind w:firstLine="0"/>
              <w:jc w:val="center"/>
            </w:pPr>
          </w:p>
        </w:tc>
        <w:tc>
          <w:tcPr>
            <w:tcW w:w="1338" w:type="dxa"/>
            <w:tcBorders>
              <w:top w:val="single" w:sz="4" w:space="0" w:color="auto"/>
            </w:tcBorders>
          </w:tcPr>
          <w:p w14:paraId="36D9A6E4" w14:textId="509F51CD" w:rsidR="00831869" w:rsidRDefault="007676CB" w:rsidP="00AD38C8">
            <w:pPr>
              <w:pStyle w:val="Corpsdetexte"/>
              <w:ind w:firstLine="0"/>
              <w:jc w:val="center"/>
            </w:pPr>
            <w:r>
              <w:t>0.525</w:t>
            </w:r>
            <w:r w:rsidR="00831869">
              <w:t xml:space="preserve"> cm</w:t>
            </w:r>
          </w:p>
        </w:tc>
        <w:tc>
          <w:tcPr>
            <w:tcW w:w="2146" w:type="dxa"/>
            <w:tcBorders>
              <w:top w:val="single" w:sz="4" w:space="0" w:color="auto"/>
            </w:tcBorders>
          </w:tcPr>
          <w:p w14:paraId="2ED62794" w14:textId="1021EFB1" w:rsidR="00831869" w:rsidRPr="007676CB" w:rsidRDefault="007676CB" w:rsidP="007676CB">
            <w:pPr>
              <w:pStyle w:val="Default"/>
              <w:jc w:val="center"/>
              <w:rPr>
                <w:sz w:val="18"/>
                <w:szCs w:val="18"/>
                <w:lang w:val="en-US"/>
              </w:rPr>
            </w:pPr>
            <w:r w:rsidRPr="007676CB">
              <w:rPr>
                <w:sz w:val="18"/>
                <w:szCs w:val="18"/>
                <w:lang w:val="en-US"/>
              </w:rPr>
              <w:t xml:space="preserve">For Ag-In Cd Rods: </w:t>
            </w:r>
          </w:p>
        </w:tc>
      </w:tr>
      <w:tr w:rsidR="00831869" w14:paraId="5923C56E" w14:textId="68B9203F" w:rsidTr="007676CB">
        <w:trPr>
          <w:jc w:val="center"/>
        </w:trPr>
        <w:tc>
          <w:tcPr>
            <w:tcW w:w="1741" w:type="dxa"/>
          </w:tcPr>
          <w:p w14:paraId="0EA08EAE" w14:textId="69975E63" w:rsidR="00831869" w:rsidRDefault="00831869" w:rsidP="00AD38C8">
            <w:pPr>
              <w:pStyle w:val="Corpsdetexte"/>
              <w:ind w:firstLine="0"/>
            </w:pPr>
            <w:r>
              <w:t>P</w:t>
            </w:r>
            <w:r w:rsidR="007676CB">
              <w:t>oison heigh</w:t>
            </w:r>
          </w:p>
        </w:tc>
        <w:tc>
          <w:tcPr>
            <w:tcW w:w="1741" w:type="dxa"/>
          </w:tcPr>
          <w:p w14:paraId="408E5019" w14:textId="77777777" w:rsidR="00831869" w:rsidRDefault="00831869" w:rsidP="00AD38C8">
            <w:pPr>
              <w:pStyle w:val="Corpsdetexte"/>
              <w:ind w:firstLine="0"/>
              <w:jc w:val="center"/>
            </w:pPr>
          </w:p>
        </w:tc>
        <w:tc>
          <w:tcPr>
            <w:tcW w:w="1338" w:type="dxa"/>
          </w:tcPr>
          <w:p w14:paraId="2EA3B356" w14:textId="7134C268" w:rsidR="00831869" w:rsidRDefault="007676CB" w:rsidP="00AD38C8">
            <w:pPr>
              <w:pStyle w:val="Corpsdetexte"/>
              <w:ind w:firstLine="0"/>
              <w:jc w:val="center"/>
            </w:pPr>
            <w:r>
              <w:t>290-300</w:t>
            </w:r>
            <w:r w:rsidR="00831869">
              <w:t xml:space="preserve"> cm</w:t>
            </w:r>
          </w:p>
        </w:tc>
        <w:tc>
          <w:tcPr>
            <w:tcW w:w="2146" w:type="dxa"/>
          </w:tcPr>
          <w:p w14:paraId="2116F5AB" w14:textId="176CEAF7" w:rsidR="00831869" w:rsidRPr="007676CB" w:rsidRDefault="007676CB" w:rsidP="007676CB">
            <w:pPr>
              <w:pStyle w:val="Default"/>
              <w:jc w:val="center"/>
              <w:rPr>
                <w:sz w:val="18"/>
                <w:szCs w:val="18"/>
              </w:rPr>
            </w:pPr>
            <w:r w:rsidRPr="007676CB">
              <w:rPr>
                <w:sz w:val="18"/>
                <w:szCs w:val="18"/>
              </w:rPr>
              <w:t xml:space="preserve">80% Ag, 15% In and  </w:t>
            </w:r>
          </w:p>
        </w:tc>
      </w:tr>
      <w:tr w:rsidR="00831869" w14:paraId="46DAFB7C" w14:textId="08DB605D" w:rsidTr="007676CB">
        <w:trPr>
          <w:jc w:val="center"/>
        </w:trPr>
        <w:tc>
          <w:tcPr>
            <w:tcW w:w="1741" w:type="dxa"/>
          </w:tcPr>
          <w:p w14:paraId="4C59E8F9" w14:textId="399FB748" w:rsidR="00831869" w:rsidRDefault="007676CB" w:rsidP="00AD38C8">
            <w:pPr>
              <w:pStyle w:val="Corpsdetexte"/>
              <w:ind w:firstLine="0"/>
            </w:pPr>
            <w:r>
              <w:t>Step size</w:t>
            </w:r>
          </w:p>
        </w:tc>
        <w:tc>
          <w:tcPr>
            <w:tcW w:w="1741" w:type="dxa"/>
            <w:vMerge w:val="restart"/>
          </w:tcPr>
          <w:p w14:paraId="304B7465" w14:textId="652ED853" w:rsidR="00831869" w:rsidRDefault="007676CB" w:rsidP="00AD38C8">
            <w:pPr>
              <w:pStyle w:val="Corpsdetexte"/>
              <w:ind w:firstLine="0"/>
              <w:jc w:val="center"/>
            </w:pPr>
            <w:r>
              <w:t>Ag-In-Cd/B</w:t>
            </w:r>
            <w:r w:rsidRPr="007676CB">
              <w:rPr>
                <w:vertAlign w:val="subscript"/>
              </w:rPr>
              <w:t>4</w:t>
            </w:r>
            <w:r>
              <w:t>C</w:t>
            </w:r>
          </w:p>
        </w:tc>
        <w:tc>
          <w:tcPr>
            <w:tcW w:w="1338" w:type="dxa"/>
          </w:tcPr>
          <w:p w14:paraId="59BD1BA9" w14:textId="1F98E68F" w:rsidR="00831869" w:rsidRDefault="007676CB" w:rsidP="00AD38C8">
            <w:pPr>
              <w:pStyle w:val="Corpsdetexte"/>
              <w:ind w:firstLine="0"/>
              <w:jc w:val="center"/>
            </w:pPr>
            <w:r>
              <w:t>1.5875</w:t>
            </w:r>
            <w:r w:rsidR="00831869">
              <w:t xml:space="preserve"> cm</w:t>
            </w:r>
          </w:p>
        </w:tc>
        <w:tc>
          <w:tcPr>
            <w:tcW w:w="2146" w:type="dxa"/>
          </w:tcPr>
          <w:p w14:paraId="630C8EF3" w14:textId="30247CFA" w:rsidR="00831869" w:rsidRPr="007676CB" w:rsidRDefault="007676CB" w:rsidP="00AD38C8">
            <w:pPr>
              <w:pStyle w:val="Corpsdetexte"/>
              <w:ind w:firstLine="0"/>
              <w:jc w:val="center"/>
              <w:rPr>
                <w:sz w:val="18"/>
                <w:szCs w:val="18"/>
              </w:rPr>
            </w:pPr>
            <w:r w:rsidRPr="007676CB">
              <w:rPr>
                <w:sz w:val="18"/>
                <w:szCs w:val="18"/>
              </w:rPr>
              <w:t>5% Cd</w:t>
            </w:r>
            <w:r>
              <w:rPr>
                <w:sz w:val="18"/>
                <w:szCs w:val="18"/>
              </w:rPr>
              <w:t xml:space="preserve"> and</w:t>
            </w:r>
          </w:p>
        </w:tc>
      </w:tr>
      <w:tr w:rsidR="00831869" w14:paraId="17CFF5FF" w14:textId="73D4DED6" w:rsidTr="007676CB">
        <w:trPr>
          <w:jc w:val="center"/>
        </w:trPr>
        <w:tc>
          <w:tcPr>
            <w:tcW w:w="1741" w:type="dxa"/>
          </w:tcPr>
          <w:p w14:paraId="59EE9CC3" w14:textId="292E4006" w:rsidR="00831869" w:rsidRDefault="007676CB" w:rsidP="00AD38C8">
            <w:pPr>
              <w:pStyle w:val="Corpsdetexte"/>
              <w:ind w:firstLine="0"/>
            </w:pPr>
            <w:r>
              <w:t>Numbers of steps</w:t>
            </w:r>
          </w:p>
        </w:tc>
        <w:tc>
          <w:tcPr>
            <w:tcW w:w="1741" w:type="dxa"/>
            <w:vMerge/>
          </w:tcPr>
          <w:p w14:paraId="3200C114" w14:textId="77777777" w:rsidR="00831869" w:rsidRDefault="00831869" w:rsidP="00AD38C8">
            <w:pPr>
              <w:pStyle w:val="Corpsdetexte"/>
              <w:ind w:firstLine="0"/>
              <w:jc w:val="center"/>
            </w:pPr>
          </w:p>
        </w:tc>
        <w:tc>
          <w:tcPr>
            <w:tcW w:w="1338" w:type="dxa"/>
          </w:tcPr>
          <w:p w14:paraId="61FBE6BE" w14:textId="283E6A81" w:rsidR="00831869" w:rsidRDefault="007676CB" w:rsidP="00AD38C8">
            <w:pPr>
              <w:pStyle w:val="Corpsdetexte"/>
              <w:ind w:firstLine="0"/>
              <w:jc w:val="center"/>
            </w:pPr>
            <w:r>
              <w:t>183 Nos</w:t>
            </w:r>
          </w:p>
        </w:tc>
        <w:tc>
          <w:tcPr>
            <w:tcW w:w="2146" w:type="dxa"/>
          </w:tcPr>
          <w:p w14:paraId="48759A6C" w14:textId="04CDB137" w:rsidR="00831869" w:rsidRPr="007676CB" w:rsidRDefault="007676CB" w:rsidP="007676CB">
            <w:pPr>
              <w:pStyle w:val="Default"/>
              <w:jc w:val="center"/>
              <w:rPr>
                <w:sz w:val="18"/>
                <w:szCs w:val="18"/>
              </w:rPr>
            </w:pPr>
            <w:r w:rsidRPr="007676CB">
              <w:rPr>
                <w:sz w:val="18"/>
                <w:szCs w:val="18"/>
              </w:rPr>
              <w:t>(</w:t>
            </w:r>
            <w:proofErr w:type="gramStart"/>
            <w:r w:rsidRPr="007676CB">
              <w:rPr>
                <w:sz w:val="18"/>
                <w:szCs w:val="18"/>
              </w:rPr>
              <w:t>ρ</w:t>
            </w:r>
            <w:proofErr w:type="gramEnd"/>
            <w:r w:rsidRPr="007676CB">
              <w:rPr>
                <w:sz w:val="18"/>
                <w:szCs w:val="18"/>
              </w:rPr>
              <w:t xml:space="preserve"> = 10.2 g/cc) </w:t>
            </w:r>
          </w:p>
        </w:tc>
      </w:tr>
    </w:tbl>
    <w:p w14:paraId="46DA637C" w14:textId="77777777" w:rsidR="00E04E78" w:rsidRDefault="00E04E78" w:rsidP="007E53F5">
      <w:pPr>
        <w:pStyle w:val="Corpsdetexte"/>
        <w:rPr>
          <w:rFonts w:asciiTheme="majorBidi" w:hAnsiTheme="majorBidi" w:cstheme="majorBidi"/>
          <w:color w:val="1C1C1C"/>
          <w:sz w:val="18"/>
          <w:szCs w:val="18"/>
          <w:shd w:val="clear" w:color="auto" w:fill="FFFFFF"/>
        </w:rPr>
      </w:pPr>
    </w:p>
    <w:p w14:paraId="34AC90B2" w14:textId="1D894E5B" w:rsidR="00A078F3" w:rsidRDefault="00A078F3">
      <w:pPr>
        <w:overflowPunct/>
        <w:autoSpaceDE/>
        <w:autoSpaceDN/>
        <w:adjustRightInd/>
        <w:textAlignment w:val="auto"/>
        <w:rPr>
          <w:sz w:val="20"/>
        </w:rPr>
      </w:pPr>
    </w:p>
    <w:p w14:paraId="214D931D" w14:textId="4B05B2E3" w:rsidR="00E04E78" w:rsidRDefault="00E04E78" w:rsidP="00E04E78">
      <w:pPr>
        <w:pStyle w:val="Corpsdetexte"/>
        <w:ind w:firstLine="0"/>
      </w:pPr>
      <w:r>
        <w:t>TABLE 3.</w:t>
      </w:r>
      <w:r>
        <w:tab/>
        <w:t>PRESSURE VESSEL GEOMETRY SPECIFICATIONS</w:t>
      </w:r>
    </w:p>
    <w:p w14:paraId="34444EBD" w14:textId="77777777" w:rsidR="00046E62" w:rsidRDefault="00046E62" w:rsidP="00E04E78">
      <w:pPr>
        <w:pStyle w:val="Corpsdetexte"/>
        <w:ind w:firstLine="0"/>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497"/>
        <w:gridCol w:w="1742"/>
      </w:tblGrid>
      <w:tr w:rsidR="00046E62" w14:paraId="04DA7D35" w14:textId="77777777" w:rsidTr="007676CB">
        <w:trPr>
          <w:jc w:val="center"/>
        </w:trPr>
        <w:tc>
          <w:tcPr>
            <w:tcW w:w="1985" w:type="dxa"/>
            <w:tcBorders>
              <w:top w:val="single" w:sz="4" w:space="0" w:color="auto"/>
              <w:bottom w:val="single" w:sz="4" w:space="0" w:color="auto"/>
            </w:tcBorders>
          </w:tcPr>
          <w:p w14:paraId="623D7182" w14:textId="77777777" w:rsidR="00046E62" w:rsidRDefault="00046E62" w:rsidP="00AD38C8">
            <w:pPr>
              <w:pStyle w:val="Corpsdetexte"/>
              <w:ind w:firstLine="0"/>
            </w:pPr>
            <w:r>
              <w:t xml:space="preserve">Details </w:t>
            </w:r>
          </w:p>
        </w:tc>
        <w:tc>
          <w:tcPr>
            <w:tcW w:w="1497" w:type="dxa"/>
            <w:tcBorders>
              <w:top w:val="single" w:sz="4" w:space="0" w:color="auto"/>
              <w:bottom w:val="single" w:sz="4" w:space="0" w:color="auto"/>
            </w:tcBorders>
          </w:tcPr>
          <w:p w14:paraId="6A387D7D" w14:textId="77777777" w:rsidR="00046E62" w:rsidRDefault="00046E62" w:rsidP="00AD38C8">
            <w:pPr>
              <w:pStyle w:val="Corpsdetexte"/>
              <w:ind w:firstLine="0"/>
              <w:jc w:val="center"/>
            </w:pPr>
            <w:r>
              <w:t>Material</w:t>
            </w:r>
          </w:p>
        </w:tc>
        <w:tc>
          <w:tcPr>
            <w:tcW w:w="1742" w:type="dxa"/>
            <w:tcBorders>
              <w:top w:val="single" w:sz="4" w:space="0" w:color="auto"/>
              <w:bottom w:val="single" w:sz="4" w:space="0" w:color="auto"/>
            </w:tcBorders>
          </w:tcPr>
          <w:p w14:paraId="14330884" w14:textId="77777777" w:rsidR="00046E62" w:rsidRDefault="00046E62" w:rsidP="00AD38C8">
            <w:pPr>
              <w:pStyle w:val="Corpsdetexte"/>
              <w:ind w:firstLine="0"/>
              <w:jc w:val="center"/>
            </w:pPr>
            <w:r>
              <w:t>Dimensions</w:t>
            </w:r>
          </w:p>
        </w:tc>
      </w:tr>
      <w:tr w:rsidR="00046E62" w14:paraId="51822470" w14:textId="77777777" w:rsidTr="007676CB">
        <w:trPr>
          <w:jc w:val="center"/>
        </w:trPr>
        <w:tc>
          <w:tcPr>
            <w:tcW w:w="1985" w:type="dxa"/>
            <w:tcBorders>
              <w:top w:val="single" w:sz="4" w:space="0" w:color="auto"/>
            </w:tcBorders>
          </w:tcPr>
          <w:p w14:paraId="4D021825" w14:textId="5863F9DD" w:rsidR="00046E62" w:rsidRDefault="00046E62" w:rsidP="00AD38C8">
            <w:pPr>
              <w:pStyle w:val="Corpsdetexte"/>
              <w:ind w:firstLine="0"/>
            </w:pPr>
            <w:r>
              <w:rPr>
                <w:rStyle w:val="TabletextChar"/>
              </w:rPr>
              <w:t>Vessel Inner radius</w:t>
            </w:r>
          </w:p>
        </w:tc>
        <w:tc>
          <w:tcPr>
            <w:tcW w:w="1497" w:type="dxa"/>
            <w:tcBorders>
              <w:top w:val="single" w:sz="4" w:space="0" w:color="auto"/>
            </w:tcBorders>
          </w:tcPr>
          <w:p w14:paraId="64651EA1" w14:textId="4D77035D" w:rsidR="00046E62" w:rsidRDefault="00046E62" w:rsidP="00AD38C8">
            <w:pPr>
              <w:pStyle w:val="Corpsdetexte"/>
              <w:ind w:firstLine="0"/>
              <w:jc w:val="center"/>
            </w:pPr>
            <w:r>
              <w:t>SS316</w:t>
            </w:r>
          </w:p>
        </w:tc>
        <w:tc>
          <w:tcPr>
            <w:tcW w:w="1742" w:type="dxa"/>
            <w:tcBorders>
              <w:top w:val="single" w:sz="4" w:space="0" w:color="auto"/>
            </w:tcBorders>
          </w:tcPr>
          <w:p w14:paraId="1654E281" w14:textId="4810AF05" w:rsidR="00046E62" w:rsidRDefault="00046E62" w:rsidP="00AD38C8">
            <w:pPr>
              <w:pStyle w:val="Corpsdetexte"/>
              <w:ind w:firstLine="0"/>
              <w:jc w:val="center"/>
            </w:pPr>
            <w:r>
              <w:t>142.7 cm</w:t>
            </w:r>
          </w:p>
        </w:tc>
      </w:tr>
      <w:tr w:rsidR="00046E62" w14:paraId="5F5AE70E" w14:textId="77777777" w:rsidTr="007676CB">
        <w:trPr>
          <w:jc w:val="center"/>
        </w:trPr>
        <w:tc>
          <w:tcPr>
            <w:tcW w:w="1985" w:type="dxa"/>
          </w:tcPr>
          <w:p w14:paraId="08BCB1A9" w14:textId="20826B68" w:rsidR="00046E62" w:rsidRDefault="00046E62" w:rsidP="00AD38C8">
            <w:pPr>
              <w:pStyle w:val="Corpsdetexte"/>
              <w:ind w:firstLine="0"/>
            </w:pPr>
            <w:r>
              <w:rPr>
                <w:rStyle w:val="TabletextChar"/>
              </w:rPr>
              <w:t>Vessel Outer radius</w:t>
            </w:r>
          </w:p>
        </w:tc>
        <w:tc>
          <w:tcPr>
            <w:tcW w:w="1497" w:type="dxa"/>
          </w:tcPr>
          <w:p w14:paraId="49F8531F" w14:textId="77777777" w:rsidR="00046E62" w:rsidRDefault="00046E62" w:rsidP="00AD38C8">
            <w:pPr>
              <w:pStyle w:val="Corpsdetexte"/>
              <w:ind w:firstLine="0"/>
              <w:jc w:val="center"/>
            </w:pPr>
          </w:p>
        </w:tc>
        <w:tc>
          <w:tcPr>
            <w:tcW w:w="1742" w:type="dxa"/>
          </w:tcPr>
          <w:p w14:paraId="5699A4FA" w14:textId="79585322" w:rsidR="00046E62" w:rsidRDefault="00046E62" w:rsidP="00AD38C8">
            <w:pPr>
              <w:pStyle w:val="Corpsdetexte"/>
              <w:ind w:firstLine="0"/>
              <w:jc w:val="center"/>
            </w:pPr>
            <w:r>
              <w:t>147.7 cm</w:t>
            </w:r>
          </w:p>
        </w:tc>
      </w:tr>
    </w:tbl>
    <w:p w14:paraId="4595DD0A" w14:textId="77777777" w:rsidR="00E04E78" w:rsidRDefault="00E04E78" w:rsidP="007E53F5">
      <w:pPr>
        <w:pStyle w:val="Corpsdetexte"/>
        <w:rPr>
          <w:rFonts w:asciiTheme="majorBidi" w:hAnsiTheme="majorBidi" w:cstheme="majorBidi"/>
          <w:color w:val="1C1C1C"/>
          <w:sz w:val="18"/>
          <w:szCs w:val="18"/>
          <w:shd w:val="clear" w:color="auto" w:fill="FFFFFF"/>
        </w:rPr>
      </w:pPr>
    </w:p>
    <w:p w14:paraId="0A1368B2" w14:textId="7EB11886" w:rsidR="007E53F5" w:rsidRDefault="007E53F5" w:rsidP="007E53F5">
      <w:pPr>
        <w:pStyle w:val="Titre4"/>
        <w:ind w:left="0"/>
      </w:pPr>
      <w:r>
        <w:t>Uranium-oxide Fuel assembly</w:t>
      </w:r>
    </w:p>
    <w:p w14:paraId="1400455B" w14:textId="77777777" w:rsidR="008960D8" w:rsidRPr="008960D8" w:rsidRDefault="008960D8" w:rsidP="008960D8">
      <w:pPr>
        <w:pStyle w:val="NormalWeb"/>
        <w:spacing w:line="260" w:lineRule="atLeast"/>
        <w:ind w:firstLine="567"/>
        <w:jc w:val="both"/>
        <w:rPr>
          <w:sz w:val="20"/>
          <w:szCs w:val="20"/>
          <w:lang w:val="en-US"/>
        </w:rPr>
      </w:pPr>
      <w:r w:rsidRPr="008960D8">
        <w:rPr>
          <w:sz w:val="20"/>
          <w:szCs w:val="20"/>
          <w:lang w:val="en-US"/>
        </w:rPr>
        <w:t>The uranium oxide (UOX) fuel used in this study was low-enriched uranium (LEU) with an enrichment level of less than 5% and a density of 10.36 g/cm³, equivalent to 95% of the theoretical density. The arrangement of fuel assemblies and burnable poisons within the core followed a radial loading pattern. The core was divided into three regions, each with different fuel enrichment levels: the central and intermediate regions contained fuel enriched to 2.35% and 3.4%, respectively, while the outer peripheral region used fuel enriched to 4.45%. This varying enrichment pattern helped achieve a more uniform radial power distribution, contributing to a favorable overall power profile within the core.</w:t>
      </w:r>
    </w:p>
    <w:p w14:paraId="572467B7" w14:textId="3BDD5CE7" w:rsidR="00665709" w:rsidRPr="008960D8" w:rsidRDefault="008960D8" w:rsidP="008960D8">
      <w:pPr>
        <w:pStyle w:val="NormalWeb"/>
        <w:spacing w:line="260" w:lineRule="atLeast"/>
        <w:ind w:firstLine="567"/>
        <w:jc w:val="both"/>
        <w:rPr>
          <w:sz w:val="20"/>
          <w:szCs w:val="20"/>
          <w:lang w:val="en-US"/>
        </w:rPr>
      </w:pPr>
      <w:r w:rsidRPr="008960D8">
        <w:rPr>
          <w:sz w:val="20"/>
          <w:szCs w:val="20"/>
          <w:lang w:val="en-US"/>
        </w:rPr>
        <w:t>For the analysis, only the U-235 and U-238 isotopes were considered. The composition of these isotopes for each enrichment level was determined and is presented in Table 4.</w:t>
      </w:r>
    </w:p>
    <w:p w14:paraId="06690928" w14:textId="68D22D4E" w:rsidR="00665709" w:rsidRDefault="00665709" w:rsidP="00665709">
      <w:pPr>
        <w:pStyle w:val="Corpsdetexte"/>
        <w:ind w:firstLine="0"/>
      </w:pPr>
      <w:r>
        <w:t>TABLE 4.</w:t>
      </w:r>
      <w:r>
        <w:tab/>
        <w:t xml:space="preserve">COMPOSITION OF URANIUM-OXIDE </w:t>
      </w:r>
    </w:p>
    <w:p w14:paraId="0690E793" w14:textId="77777777" w:rsidR="00665709" w:rsidRDefault="00665709" w:rsidP="00665709">
      <w:pPr>
        <w:pStyle w:val="Corpsdetexte"/>
        <w:ind w:firstLine="0"/>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1418"/>
        <w:gridCol w:w="1275"/>
        <w:gridCol w:w="1276"/>
      </w:tblGrid>
      <w:tr w:rsidR="00665709" w14:paraId="0BE284F5" w14:textId="2BC424EC" w:rsidTr="00665709">
        <w:trPr>
          <w:jc w:val="center"/>
        </w:trPr>
        <w:tc>
          <w:tcPr>
            <w:tcW w:w="1276" w:type="dxa"/>
            <w:tcBorders>
              <w:top w:val="single" w:sz="4" w:space="0" w:color="auto"/>
              <w:bottom w:val="single" w:sz="4" w:space="0" w:color="auto"/>
            </w:tcBorders>
          </w:tcPr>
          <w:p w14:paraId="0010B40B" w14:textId="69E0DB69" w:rsidR="00665709" w:rsidRDefault="00665709" w:rsidP="00AD38C8">
            <w:pPr>
              <w:pStyle w:val="Corpsdetexte"/>
              <w:ind w:firstLine="0"/>
            </w:pPr>
            <w:r>
              <w:t xml:space="preserve">Nuclide </w:t>
            </w:r>
          </w:p>
        </w:tc>
        <w:tc>
          <w:tcPr>
            <w:tcW w:w="1134" w:type="dxa"/>
            <w:tcBorders>
              <w:top w:val="single" w:sz="4" w:space="0" w:color="auto"/>
              <w:bottom w:val="single" w:sz="4" w:space="0" w:color="auto"/>
            </w:tcBorders>
          </w:tcPr>
          <w:p w14:paraId="1BD7C1F8" w14:textId="0293BECA" w:rsidR="00665709" w:rsidRDefault="00665709" w:rsidP="00AD38C8">
            <w:pPr>
              <w:pStyle w:val="Corpsdetexte"/>
              <w:ind w:firstLine="0"/>
              <w:jc w:val="center"/>
            </w:pPr>
            <w:r>
              <w:t>w/o (2.5%)</w:t>
            </w:r>
          </w:p>
        </w:tc>
        <w:tc>
          <w:tcPr>
            <w:tcW w:w="1418" w:type="dxa"/>
            <w:tcBorders>
              <w:top w:val="single" w:sz="4" w:space="0" w:color="auto"/>
              <w:bottom w:val="single" w:sz="4" w:space="0" w:color="auto"/>
            </w:tcBorders>
          </w:tcPr>
          <w:p w14:paraId="3F3914DF" w14:textId="3EBB08ED" w:rsidR="00665709" w:rsidRDefault="00665709" w:rsidP="00AD38C8">
            <w:pPr>
              <w:pStyle w:val="Corpsdetexte"/>
              <w:ind w:firstLine="0"/>
              <w:jc w:val="center"/>
            </w:pPr>
            <w:r>
              <w:t>w/o (3.4%)</w:t>
            </w:r>
          </w:p>
        </w:tc>
        <w:tc>
          <w:tcPr>
            <w:tcW w:w="1275" w:type="dxa"/>
            <w:tcBorders>
              <w:top w:val="single" w:sz="4" w:space="0" w:color="auto"/>
              <w:bottom w:val="single" w:sz="4" w:space="0" w:color="auto"/>
            </w:tcBorders>
          </w:tcPr>
          <w:p w14:paraId="3C4536A0" w14:textId="5D21F9EE" w:rsidR="00665709" w:rsidRDefault="00665709" w:rsidP="00AD38C8">
            <w:pPr>
              <w:pStyle w:val="Corpsdetexte"/>
              <w:ind w:firstLine="0"/>
              <w:jc w:val="center"/>
            </w:pPr>
            <w:r>
              <w:t>w/o (4.5%)</w:t>
            </w:r>
          </w:p>
        </w:tc>
        <w:tc>
          <w:tcPr>
            <w:tcW w:w="1276" w:type="dxa"/>
            <w:tcBorders>
              <w:top w:val="single" w:sz="4" w:space="0" w:color="auto"/>
              <w:bottom w:val="single" w:sz="4" w:space="0" w:color="auto"/>
            </w:tcBorders>
          </w:tcPr>
          <w:p w14:paraId="1EC93E9D" w14:textId="36B5BCFD" w:rsidR="00665709" w:rsidRDefault="00665709" w:rsidP="00AD38C8">
            <w:pPr>
              <w:pStyle w:val="Corpsdetexte"/>
              <w:ind w:firstLine="0"/>
              <w:jc w:val="center"/>
            </w:pPr>
            <w:r>
              <w:t>Remarks</w:t>
            </w:r>
          </w:p>
        </w:tc>
      </w:tr>
      <w:tr w:rsidR="00665709" w14:paraId="18E9FF7D" w14:textId="2973CE73" w:rsidTr="00665709">
        <w:trPr>
          <w:jc w:val="center"/>
        </w:trPr>
        <w:tc>
          <w:tcPr>
            <w:tcW w:w="1276" w:type="dxa"/>
            <w:tcBorders>
              <w:top w:val="single" w:sz="4" w:space="0" w:color="auto"/>
            </w:tcBorders>
          </w:tcPr>
          <w:p w14:paraId="0C136B98" w14:textId="1FC87B49" w:rsidR="00665709" w:rsidRDefault="00665709" w:rsidP="00AD38C8">
            <w:pPr>
              <w:pStyle w:val="Corpsdetexte"/>
              <w:ind w:firstLine="0"/>
            </w:pPr>
            <w:r>
              <w:rPr>
                <w:rStyle w:val="TabletextChar"/>
              </w:rPr>
              <w:t>U</w:t>
            </w:r>
            <w:r w:rsidRPr="00665709">
              <w:rPr>
                <w:rStyle w:val="TabletextChar"/>
                <w:vertAlign w:val="superscript"/>
              </w:rPr>
              <w:t>235</w:t>
            </w:r>
          </w:p>
        </w:tc>
        <w:tc>
          <w:tcPr>
            <w:tcW w:w="1134" w:type="dxa"/>
            <w:tcBorders>
              <w:top w:val="single" w:sz="4" w:space="0" w:color="auto"/>
            </w:tcBorders>
          </w:tcPr>
          <w:p w14:paraId="60136FB9" w14:textId="289AA2AE" w:rsidR="00665709" w:rsidRDefault="00665709" w:rsidP="00AD38C8">
            <w:pPr>
              <w:pStyle w:val="Corpsdetexte"/>
              <w:ind w:firstLine="0"/>
              <w:jc w:val="center"/>
            </w:pPr>
            <w:r>
              <w:t>2.071</w:t>
            </w:r>
          </w:p>
        </w:tc>
        <w:tc>
          <w:tcPr>
            <w:tcW w:w="1418" w:type="dxa"/>
            <w:tcBorders>
              <w:top w:val="single" w:sz="4" w:space="0" w:color="auto"/>
            </w:tcBorders>
          </w:tcPr>
          <w:p w14:paraId="64B1ED50" w14:textId="75B5B342" w:rsidR="00665709" w:rsidRDefault="00665709" w:rsidP="00AD38C8">
            <w:pPr>
              <w:pStyle w:val="Corpsdetexte"/>
              <w:ind w:firstLine="0"/>
              <w:jc w:val="center"/>
            </w:pPr>
            <w:r>
              <w:t>2.997</w:t>
            </w:r>
          </w:p>
        </w:tc>
        <w:tc>
          <w:tcPr>
            <w:tcW w:w="1275" w:type="dxa"/>
            <w:tcBorders>
              <w:top w:val="single" w:sz="4" w:space="0" w:color="auto"/>
            </w:tcBorders>
          </w:tcPr>
          <w:p w14:paraId="231FCDA8" w14:textId="6BAB0CD4" w:rsidR="00665709" w:rsidRDefault="00665709" w:rsidP="00AD38C8">
            <w:pPr>
              <w:pStyle w:val="Corpsdetexte"/>
              <w:ind w:firstLine="0"/>
              <w:jc w:val="center"/>
            </w:pPr>
            <w:r>
              <w:t>3.922</w:t>
            </w:r>
          </w:p>
        </w:tc>
        <w:tc>
          <w:tcPr>
            <w:tcW w:w="1276" w:type="dxa"/>
            <w:tcBorders>
              <w:top w:val="single" w:sz="4" w:space="0" w:color="auto"/>
            </w:tcBorders>
          </w:tcPr>
          <w:p w14:paraId="5AC3DB35" w14:textId="77777777" w:rsidR="00665709" w:rsidRDefault="00665709" w:rsidP="00AD38C8">
            <w:pPr>
              <w:pStyle w:val="Corpsdetexte"/>
              <w:ind w:firstLine="0"/>
              <w:jc w:val="center"/>
            </w:pPr>
          </w:p>
        </w:tc>
      </w:tr>
      <w:tr w:rsidR="00665709" w14:paraId="11E6180B" w14:textId="26BD5A65" w:rsidTr="00665709">
        <w:trPr>
          <w:jc w:val="center"/>
        </w:trPr>
        <w:tc>
          <w:tcPr>
            <w:tcW w:w="1276" w:type="dxa"/>
          </w:tcPr>
          <w:p w14:paraId="63FB27B0" w14:textId="1DE6ECAB" w:rsidR="00665709" w:rsidRDefault="00665709" w:rsidP="00AD38C8">
            <w:pPr>
              <w:pStyle w:val="Corpsdetexte"/>
              <w:ind w:firstLine="0"/>
            </w:pPr>
            <w:r>
              <w:rPr>
                <w:rStyle w:val="TabletextChar"/>
              </w:rPr>
              <w:t>U</w:t>
            </w:r>
            <w:r w:rsidRPr="00665709">
              <w:rPr>
                <w:rStyle w:val="TabletextChar"/>
                <w:vertAlign w:val="superscript"/>
              </w:rPr>
              <w:t>238</w:t>
            </w:r>
          </w:p>
        </w:tc>
        <w:tc>
          <w:tcPr>
            <w:tcW w:w="1134" w:type="dxa"/>
          </w:tcPr>
          <w:p w14:paraId="352E7D81" w14:textId="23C130E2" w:rsidR="00665709" w:rsidRDefault="00665709" w:rsidP="00AD38C8">
            <w:pPr>
              <w:pStyle w:val="Corpsdetexte"/>
              <w:ind w:firstLine="0"/>
              <w:jc w:val="center"/>
            </w:pPr>
            <w:r>
              <w:t>86.076</w:t>
            </w:r>
          </w:p>
        </w:tc>
        <w:tc>
          <w:tcPr>
            <w:tcW w:w="1418" w:type="dxa"/>
          </w:tcPr>
          <w:p w14:paraId="53918D49" w14:textId="5B513611" w:rsidR="00665709" w:rsidRDefault="00665709" w:rsidP="00AD38C8">
            <w:pPr>
              <w:pStyle w:val="Corpsdetexte"/>
              <w:ind w:firstLine="0"/>
              <w:jc w:val="center"/>
            </w:pPr>
            <w:r>
              <w:t>85.150</w:t>
            </w:r>
          </w:p>
        </w:tc>
        <w:tc>
          <w:tcPr>
            <w:tcW w:w="1275" w:type="dxa"/>
          </w:tcPr>
          <w:p w14:paraId="1A5F2BC9" w14:textId="56245C89" w:rsidR="00665709" w:rsidRDefault="00665709" w:rsidP="00AD38C8">
            <w:pPr>
              <w:pStyle w:val="Corpsdetexte"/>
              <w:ind w:firstLine="0"/>
              <w:jc w:val="center"/>
            </w:pPr>
            <w:r>
              <w:t>84.225</w:t>
            </w:r>
          </w:p>
        </w:tc>
        <w:tc>
          <w:tcPr>
            <w:tcW w:w="1276" w:type="dxa"/>
          </w:tcPr>
          <w:p w14:paraId="49419BDF" w14:textId="620C5C34" w:rsidR="00665709" w:rsidRPr="00665709" w:rsidRDefault="00665709" w:rsidP="00665709">
            <w:pPr>
              <w:pStyle w:val="Default"/>
              <w:jc w:val="center"/>
              <w:rPr>
                <w:sz w:val="18"/>
                <w:szCs w:val="18"/>
              </w:rPr>
            </w:pPr>
            <w:proofErr w:type="gramStart"/>
            <w:r w:rsidRPr="00665709">
              <w:rPr>
                <w:sz w:val="18"/>
                <w:szCs w:val="18"/>
              </w:rPr>
              <w:t>ρ</w:t>
            </w:r>
            <w:proofErr w:type="gramEnd"/>
            <w:r w:rsidRPr="00665709">
              <w:rPr>
                <w:sz w:val="18"/>
                <w:szCs w:val="18"/>
              </w:rPr>
              <w:t xml:space="preserve"> = 10.36 g/cc </w:t>
            </w:r>
          </w:p>
        </w:tc>
      </w:tr>
      <w:tr w:rsidR="00665709" w14:paraId="455462A2" w14:textId="77777777" w:rsidTr="00665709">
        <w:trPr>
          <w:jc w:val="center"/>
        </w:trPr>
        <w:tc>
          <w:tcPr>
            <w:tcW w:w="1276" w:type="dxa"/>
          </w:tcPr>
          <w:p w14:paraId="7528B355" w14:textId="2486FE92" w:rsidR="00665709" w:rsidRDefault="00665709" w:rsidP="00AD38C8">
            <w:pPr>
              <w:pStyle w:val="Corpsdetexte"/>
              <w:ind w:firstLine="0"/>
              <w:rPr>
                <w:rStyle w:val="TabletextChar"/>
              </w:rPr>
            </w:pPr>
            <w:r>
              <w:rPr>
                <w:rStyle w:val="TabletextChar"/>
              </w:rPr>
              <w:t>O</w:t>
            </w:r>
            <w:r w:rsidRPr="00665709">
              <w:rPr>
                <w:rStyle w:val="TabletextChar"/>
                <w:vertAlign w:val="superscript"/>
              </w:rPr>
              <w:t>16</w:t>
            </w:r>
          </w:p>
        </w:tc>
        <w:tc>
          <w:tcPr>
            <w:tcW w:w="1134" w:type="dxa"/>
          </w:tcPr>
          <w:p w14:paraId="3574AA02" w14:textId="07E4AC8E" w:rsidR="00665709" w:rsidRDefault="00665709" w:rsidP="00AD38C8">
            <w:pPr>
              <w:pStyle w:val="Corpsdetexte"/>
              <w:ind w:firstLine="0"/>
              <w:jc w:val="center"/>
            </w:pPr>
            <w:r>
              <w:t>11.853</w:t>
            </w:r>
          </w:p>
        </w:tc>
        <w:tc>
          <w:tcPr>
            <w:tcW w:w="1418" w:type="dxa"/>
          </w:tcPr>
          <w:p w14:paraId="57AAD861" w14:textId="609FEE84" w:rsidR="00665709" w:rsidRDefault="00665709" w:rsidP="00AD38C8">
            <w:pPr>
              <w:pStyle w:val="Corpsdetexte"/>
              <w:ind w:firstLine="0"/>
              <w:jc w:val="center"/>
            </w:pPr>
            <w:r>
              <w:t>11.853</w:t>
            </w:r>
          </w:p>
        </w:tc>
        <w:tc>
          <w:tcPr>
            <w:tcW w:w="1275" w:type="dxa"/>
          </w:tcPr>
          <w:p w14:paraId="503BF048" w14:textId="728E3503" w:rsidR="00665709" w:rsidRDefault="00665709" w:rsidP="00AD38C8">
            <w:pPr>
              <w:pStyle w:val="Corpsdetexte"/>
              <w:ind w:firstLine="0"/>
              <w:jc w:val="center"/>
            </w:pPr>
            <w:r>
              <w:t>11.853</w:t>
            </w:r>
          </w:p>
        </w:tc>
        <w:tc>
          <w:tcPr>
            <w:tcW w:w="1276" w:type="dxa"/>
          </w:tcPr>
          <w:p w14:paraId="267DDB57" w14:textId="77777777" w:rsidR="00665709" w:rsidRDefault="00665709" w:rsidP="00AD38C8">
            <w:pPr>
              <w:pStyle w:val="Corpsdetexte"/>
              <w:ind w:firstLine="0"/>
              <w:jc w:val="center"/>
            </w:pPr>
          </w:p>
        </w:tc>
      </w:tr>
    </w:tbl>
    <w:p w14:paraId="067D0D04" w14:textId="77777777" w:rsidR="00665709" w:rsidRPr="00C17AA1" w:rsidRDefault="00665709" w:rsidP="007E53F5">
      <w:pPr>
        <w:pStyle w:val="Corpsdetexte"/>
        <w:rPr>
          <w:rFonts w:asciiTheme="majorBidi" w:hAnsiTheme="majorBidi" w:cstheme="majorBidi"/>
          <w:lang w:val="en-US"/>
        </w:rPr>
      </w:pPr>
    </w:p>
    <w:p w14:paraId="7BD58231" w14:textId="089F36B6" w:rsidR="002344E7" w:rsidRDefault="002344E7" w:rsidP="002344E7">
      <w:pPr>
        <w:pStyle w:val="Titre3"/>
      </w:pPr>
      <w:proofErr w:type="spellStart"/>
      <w:r>
        <w:t>O</w:t>
      </w:r>
      <w:r w:rsidR="009C63DD">
        <w:t>pen</w:t>
      </w:r>
      <w:r>
        <w:t>MC</w:t>
      </w:r>
      <w:proofErr w:type="spellEnd"/>
      <w:r>
        <w:t xml:space="preserve"> </w:t>
      </w:r>
      <w:proofErr w:type="spellStart"/>
      <w:r w:rsidR="002036DB">
        <w:t>modeling</w:t>
      </w:r>
      <w:proofErr w:type="spellEnd"/>
    </w:p>
    <w:p w14:paraId="2C285533" w14:textId="2D5E6721" w:rsidR="008960D8" w:rsidRPr="008960D8" w:rsidRDefault="008960D8" w:rsidP="001240AA">
      <w:pPr>
        <w:pStyle w:val="Corpsdetexte"/>
        <w:rPr>
          <w:rFonts w:asciiTheme="majorBidi" w:hAnsiTheme="majorBidi" w:cstheme="majorBidi"/>
          <w:color w:val="1C1C1C"/>
          <w:shd w:val="clear" w:color="auto" w:fill="FFFFFF"/>
          <w:lang w:val="en-US"/>
        </w:rPr>
      </w:pPr>
      <w:r w:rsidRPr="008960D8">
        <w:rPr>
          <w:rFonts w:asciiTheme="majorBidi" w:hAnsiTheme="majorBidi" w:cstheme="majorBidi"/>
          <w:color w:val="1C1C1C"/>
          <w:shd w:val="clear" w:color="auto" w:fill="FFFFFF"/>
          <w:lang w:val="en-US"/>
        </w:rPr>
        <w:t xml:space="preserve">The development process of </w:t>
      </w:r>
      <w:proofErr w:type="spellStart"/>
      <w:r w:rsidRPr="008960D8">
        <w:rPr>
          <w:rFonts w:asciiTheme="majorBidi" w:hAnsiTheme="majorBidi" w:cstheme="majorBidi"/>
          <w:color w:val="1C1C1C"/>
          <w:shd w:val="clear" w:color="auto" w:fill="FFFFFF"/>
          <w:lang w:val="en-US"/>
        </w:rPr>
        <w:t>OpenMC</w:t>
      </w:r>
      <w:proofErr w:type="spellEnd"/>
      <w:r w:rsidRPr="008960D8">
        <w:rPr>
          <w:rFonts w:asciiTheme="majorBidi" w:hAnsiTheme="majorBidi" w:cstheme="majorBidi"/>
          <w:color w:val="1C1C1C"/>
          <w:shd w:val="clear" w:color="auto" w:fill="FFFFFF"/>
          <w:lang w:val="en-US"/>
        </w:rPr>
        <w:t xml:space="preserve"> emphasizes transparency, as it is an open-source transport code with fully visible source code. This transparency is particularly beneficial for new users, allowing them to better understand and engage with the software. The development branch of </w:t>
      </w:r>
      <w:proofErr w:type="spellStart"/>
      <w:r w:rsidRPr="008960D8">
        <w:rPr>
          <w:rFonts w:asciiTheme="majorBidi" w:hAnsiTheme="majorBidi" w:cstheme="majorBidi"/>
          <w:color w:val="1C1C1C"/>
          <w:shd w:val="clear" w:color="auto" w:fill="FFFFFF"/>
          <w:lang w:val="en-US"/>
        </w:rPr>
        <w:t>OpenMC</w:t>
      </w:r>
      <w:proofErr w:type="spellEnd"/>
      <w:r w:rsidRPr="008960D8">
        <w:rPr>
          <w:rFonts w:asciiTheme="majorBidi" w:hAnsiTheme="majorBidi" w:cstheme="majorBidi"/>
          <w:color w:val="1C1C1C"/>
          <w:shd w:val="clear" w:color="auto" w:fill="FFFFFF"/>
          <w:lang w:val="en-US"/>
        </w:rPr>
        <w:t xml:space="preserve"> is crucial for accessing the latest features, as it incorporates ongoing updates before they are officially released. While static releases of the code are available, some developments needed for this research were implemented using version 0.14.0.</w:t>
      </w:r>
    </w:p>
    <w:p w14:paraId="22594EE2" w14:textId="304DA276" w:rsidR="008960D8" w:rsidRPr="008960D8" w:rsidRDefault="008960D8" w:rsidP="001240AA">
      <w:pPr>
        <w:pStyle w:val="Corpsdetexte"/>
        <w:rPr>
          <w:rFonts w:asciiTheme="majorBidi" w:hAnsiTheme="majorBidi" w:cstheme="majorBidi"/>
          <w:color w:val="1C1C1C"/>
          <w:shd w:val="clear" w:color="auto" w:fill="FFFFFF"/>
          <w:lang w:val="en-US"/>
        </w:rPr>
      </w:pPr>
      <w:r w:rsidRPr="008960D8">
        <w:rPr>
          <w:rFonts w:asciiTheme="majorBidi" w:hAnsiTheme="majorBidi" w:cstheme="majorBidi"/>
          <w:color w:val="1C1C1C"/>
          <w:shd w:val="clear" w:color="auto" w:fill="FFFFFF"/>
          <w:lang w:val="en-US"/>
        </w:rPr>
        <w:t xml:space="preserve">In collaborative projects, maintaining consistency in code versions can be challenging. From a validation perspective, it is essential to ensure that each revision does not affect the underlying physics or create compatibility issues with previously completed simulations. Serpent, another transport code, similarly lacks an official release and is distributed in a manner similar to MCNP, with static versions. Given that </w:t>
      </w:r>
      <w:proofErr w:type="spellStart"/>
      <w:r w:rsidRPr="008960D8">
        <w:rPr>
          <w:rFonts w:asciiTheme="majorBidi" w:hAnsiTheme="majorBidi" w:cstheme="majorBidi"/>
          <w:color w:val="1C1C1C"/>
          <w:shd w:val="clear" w:color="auto" w:fill="FFFFFF"/>
          <w:lang w:val="en-US"/>
        </w:rPr>
        <w:t>OpenMC</w:t>
      </w:r>
      <w:proofErr w:type="spellEnd"/>
      <w:r w:rsidRPr="008960D8">
        <w:rPr>
          <w:rFonts w:asciiTheme="majorBidi" w:hAnsiTheme="majorBidi" w:cstheme="majorBidi"/>
          <w:color w:val="1C1C1C"/>
          <w:shd w:val="clear" w:color="auto" w:fill="FFFFFF"/>
          <w:lang w:val="en-US"/>
        </w:rPr>
        <w:t xml:space="preserve"> is still under active development, these factors should be carefully considered</w:t>
      </w:r>
      <w:r w:rsidRPr="008960D8">
        <w:rPr>
          <w:rFonts w:asciiTheme="majorBidi" w:hAnsiTheme="majorBidi" w:cstheme="majorBidi"/>
          <w:color w:val="1C1C1C"/>
          <w:shd w:val="clear" w:color="auto" w:fill="FFFFFF"/>
          <w:lang w:val="en-US"/>
        </w:rPr>
        <w:t xml:space="preserve"> </w:t>
      </w:r>
      <w:r>
        <w:rPr>
          <w:rFonts w:asciiTheme="majorBidi" w:hAnsiTheme="majorBidi" w:cstheme="majorBidi"/>
          <w:color w:val="1C1C1C"/>
          <w:shd w:val="clear" w:color="auto" w:fill="FFFFFF"/>
          <w:lang w:val="en-US"/>
        </w:rPr>
        <w:t>[3,4]</w:t>
      </w:r>
      <w:r w:rsidRPr="008960D8">
        <w:rPr>
          <w:rFonts w:asciiTheme="majorBidi" w:hAnsiTheme="majorBidi" w:cstheme="majorBidi"/>
          <w:color w:val="1C1C1C"/>
          <w:shd w:val="clear" w:color="auto" w:fill="FFFFFF"/>
          <w:lang w:val="en-US"/>
        </w:rPr>
        <w:t>.</w:t>
      </w:r>
    </w:p>
    <w:p w14:paraId="5835EDE9" w14:textId="57340745" w:rsidR="002344E7" w:rsidRPr="000474D2" w:rsidRDefault="002344E7" w:rsidP="005E078F">
      <w:pPr>
        <w:pStyle w:val="Corpsdetexte"/>
        <w:rPr>
          <w:rFonts w:asciiTheme="majorBidi" w:hAnsiTheme="majorBidi" w:cstheme="majorBidi"/>
        </w:rPr>
      </w:pPr>
    </w:p>
    <w:p w14:paraId="3E91C64C" w14:textId="4133BC01" w:rsidR="002036DB" w:rsidRDefault="002036DB" w:rsidP="00B26D0C">
      <w:pPr>
        <w:pStyle w:val="Titre4"/>
        <w:numPr>
          <w:ilvl w:val="2"/>
          <w:numId w:val="33"/>
        </w:numPr>
      </w:pPr>
      <w:r>
        <w:lastRenderedPageBreak/>
        <w:t>Pencil model</w:t>
      </w:r>
    </w:p>
    <w:p w14:paraId="28F0F272" w14:textId="6D3AA44B" w:rsidR="002036DB" w:rsidRPr="000474D2" w:rsidRDefault="00F338DE" w:rsidP="00F338DE">
      <w:pPr>
        <w:pStyle w:val="Corpsdetexte"/>
        <w:rPr>
          <w:rFonts w:asciiTheme="majorBidi" w:hAnsiTheme="majorBidi" w:cstheme="majorBidi"/>
          <w:color w:val="1C1C1C"/>
          <w:shd w:val="clear" w:color="auto" w:fill="FFFFFF"/>
        </w:rPr>
      </w:pPr>
      <w:r w:rsidRPr="000474D2">
        <w:rPr>
          <w:rFonts w:asciiTheme="majorBidi" w:hAnsiTheme="majorBidi" w:cstheme="majorBidi"/>
          <w:color w:val="1C1C1C"/>
          <w:shd w:val="clear" w:color="auto" w:fill="FFFFFF"/>
        </w:rPr>
        <w:t>The fundamental component of nuclear fuel is the pencil fuel, which consists of small cylindrical pellets enclosed in a longer cylindrical cladding. The active length of the fuel element refers to the effective length of fissile material where fission can occur. In the present case study, the fuel rod model is a long cylindrical pin with a length of 2.4 meters and a diameter of 8.19 mm. This fuel rod contains uranium oxide (UO</w:t>
      </w:r>
      <w:r w:rsidRPr="00D1557D">
        <w:rPr>
          <w:rFonts w:asciiTheme="majorBidi" w:hAnsiTheme="majorBidi" w:cstheme="majorBidi"/>
          <w:color w:val="1C1C1C"/>
          <w:shd w:val="clear" w:color="auto" w:fill="FFFFFF"/>
          <w:vertAlign w:val="subscript"/>
        </w:rPr>
        <w:t>2</w:t>
      </w:r>
      <w:r w:rsidRPr="000474D2">
        <w:rPr>
          <w:rFonts w:asciiTheme="majorBidi" w:hAnsiTheme="majorBidi" w:cstheme="majorBidi"/>
          <w:color w:val="1C1C1C"/>
          <w:shd w:val="clear" w:color="auto" w:fill="FFFFFF"/>
        </w:rPr>
        <w:t>) pellets and is surrounded by zirconium alloy cladding with a gap, either air or helium gas, between the pellets and the cladding. The Python scripts in the following code cells demonstrate how to create the p</w:t>
      </w:r>
      <w:r w:rsidR="005A25E8" w:rsidRPr="000474D2">
        <w:rPr>
          <w:rFonts w:asciiTheme="majorBidi" w:hAnsiTheme="majorBidi" w:cstheme="majorBidi"/>
          <w:color w:val="1C1C1C"/>
          <w:shd w:val="clear" w:color="auto" w:fill="FFFFFF"/>
        </w:rPr>
        <w:t>e</w:t>
      </w:r>
      <w:r w:rsidRPr="000474D2">
        <w:rPr>
          <w:rFonts w:asciiTheme="majorBidi" w:hAnsiTheme="majorBidi" w:cstheme="majorBidi"/>
          <w:color w:val="1C1C1C"/>
          <w:shd w:val="clear" w:color="auto" w:fill="FFFFFF"/>
        </w:rPr>
        <w:t>nc</w:t>
      </w:r>
      <w:r w:rsidR="005A25E8" w:rsidRPr="000474D2">
        <w:rPr>
          <w:rFonts w:asciiTheme="majorBidi" w:hAnsiTheme="majorBidi" w:cstheme="majorBidi"/>
          <w:color w:val="1C1C1C"/>
          <w:shd w:val="clear" w:color="auto" w:fill="FFFFFF"/>
        </w:rPr>
        <w:t>i</w:t>
      </w:r>
      <w:r w:rsidRPr="000474D2">
        <w:rPr>
          <w:rFonts w:asciiTheme="majorBidi" w:hAnsiTheme="majorBidi" w:cstheme="majorBidi"/>
          <w:color w:val="1C1C1C"/>
          <w:shd w:val="clear" w:color="auto" w:fill="FFFFFF"/>
        </w:rPr>
        <w:t>l, accounting for various fuel rod configurations, such as p</w:t>
      </w:r>
      <w:r w:rsidR="005A25E8" w:rsidRPr="000474D2">
        <w:rPr>
          <w:rFonts w:asciiTheme="majorBidi" w:hAnsiTheme="majorBidi" w:cstheme="majorBidi"/>
          <w:color w:val="1C1C1C"/>
          <w:shd w:val="clear" w:color="auto" w:fill="FFFFFF"/>
        </w:rPr>
        <w:t>e</w:t>
      </w:r>
      <w:r w:rsidRPr="000474D2">
        <w:rPr>
          <w:rFonts w:asciiTheme="majorBidi" w:hAnsiTheme="majorBidi" w:cstheme="majorBidi"/>
          <w:color w:val="1C1C1C"/>
          <w:shd w:val="clear" w:color="auto" w:fill="FFFFFF"/>
        </w:rPr>
        <w:t>nc</w:t>
      </w:r>
      <w:r w:rsidR="005A25E8" w:rsidRPr="000474D2">
        <w:rPr>
          <w:rFonts w:asciiTheme="majorBidi" w:hAnsiTheme="majorBidi" w:cstheme="majorBidi"/>
          <w:color w:val="1C1C1C"/>
          <w:shd w:val="clear" w:color="auto" w:fill="FFFFFF"/>
        </w:rPr>
        <w:t>i</w:t>
      </w:r>
      <w:r w:rsidRPr="000474D2">
        <w:rPr>
          <w:rFonts w:asciiTheme="majorBidi" w:hAnsiTheme="majorBidi" w:cstheme="majorBidi"/>
          <w:color w:val="1C1C1C"/>
          <w:shd w:val="clear" w:color="auto" w:fill="FFFFFF"/>
        </w:rPr>
        <w:t>l fuel, gap, cladding, and surrounding water.</w:t>
      </w:r>
    </w:p>
    <w:p w14:paraId="41874314" w14:textId="3EE96C4D" w:rsidR="00D113E2" w:rsidRPr="000474D2" w:rsidRDefault="00D113E2" w:rsidP="00F338DE">
      <w:pPr>
        <w:pStyle w:val="Corpsdetexte"/>
        <w:rPr>
          <w:rFonts w:asciiTheme="majorBidi" w:hAnsiTheme="majorBidi" w:cstheme="majorBidi"/>
          <w:color w:val="1C1C1C"/>
          <w:shd w:val="clear" w:color="auto" w:fill="FFFFFF"/>
        </w:rPr>
      </w:pPr>
      <w:r w:rsidRPr="000474D2">
        <w:rPr>
          <w:rFonts w:asciiTheme="majorBidi" w:hAnsiTheme="majorBidi" w:cstheme="majorBidi"/>
          <w:color w:val="1C1C1C"/>
          <w:shd w:val="clear" w:color="auto" w:fill="FFFFFF"/>
        </w:rPr>
        <w:t xml:space="preserve">At last, we can achieve the illustration depicted in Fig. </w:t>
      </w:r>
      <w:r w:rsidR="00BD08BA" w:rsidRPr="000474D2">
        <w:rPr>
          <w:rFonts w:asciiTheme="majorBidi" w:hAnsiTheme="majorBidi" w:cstheme="majorBidi"/>
          <w:color w:val="1C1C1C"/>
          <w:shd w:val="clear" w:color="auto" w:fill="FFFFFF"/>
        </w:rPr>
        <w:t>2</w:t>
      </w:r>
      <w:r w:rsidRPr="000474D2">
        <w:rPr>
          <w:rFonts w:asciiTheme="majorBidi" w:hAnsiTheme="majorBidi" w:cstheme="majorBidi"/>
          <w:color w:val="1C1C1C"/>
          <w:shd w:val="clear" w:color="auto" w:fill="FFFFFF"/>
        </w:rPr>
        <w:t xml:space="preserve"> below. The red inner disk is a visual representation of the fuel pellet's cross-section, while the light grey ring represents the cylindrical cladding. The white area between the fuel and the cladding signifies the gaseous space, which permits the thermal expansion of the fuel when it heats up during reactor operation.</w:t>
      </w:r>
    </w:p>
    <w:p w14:paraId="24011F1C" w14:textId="20060559" w:rsidR="00BD08BA" w:rsidRDefault="0014645B" w:rsidP="00BD08BA">
      <w:pPr>
        <w:pStyle w:val="Lgende"/>
        <w:jc w:val="center"/>
        <w:rPr>
          <w:i/>
        </w:rPr>
      </w:pPr>
      <w:r>
        <w:rPr>
          <w:noProof/>
        </w:rPr>
        <w:drawing>
          <wp:inline distT="0" distB="0" distL="0" distR="0" wp14:anchorId="2207E3FD" wp14:editId="23C22908">
            <wp:extent cx="3609975" cy="2266950"/>
            <wp:effectExtent l="0" t="0" r="9525" b="0"/>
            <wp:docPr id="779692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92908" name=""/>
                    <pic:cNvPicPr/>
                  </pic:nvPicPr>
                  <pic:blipFill>
                    <a:blip r:embed="rId10"/>
                    <a:stretch>
                      <a:fillRect/>
                    </a:stretch>
                  </pic:blipFill>
                  <pic:spPr>
                    <a:xfrm>
                      <a:off x="0" y="0"/>
                      <a:ext cx="3609975" cy="2266950"/>
                    </a:xfrm>
                    <a:prstGeom prst="rect">
                      <a:avLst/>
                    </a:prstGeom>
                  </pic:spPr>
                </pic:pic>
              </a:graphicData>
            </a:graphic>
          </wp:inline>
        </w:drawing>
      </w:r>
    </w:p>
    <w:p w14:paraId="11CEF57B" w14:textId="5AFC8181" w:rsidR="00BD08BA" w:rsidRPr="00802381" w:rsidRDefault="00BD08BA" w:rsidP="00BD08BA">
      <w:pPr>
        <w:pStyle w:val="Lgende"/>
        <w:jc w:val="center"/>
        <w:rPr>
          <w:i/>
          <w:sz w:val="20"/>
        </w:rPr>
      </w:pPr>
      <w:r w:rsidRPr="00802381">
        <w:rPr>
          <w:i/>
        </w:rPr>
        <w:t xml:space="preserve">FIG. </w:t>
      </w:r>
      <w:r>
        <w:rPr>
          <w:i/>
        </w:rPr>
        <w:t xml:space="preserve">2. Pencil model with cladding using </w:t>
      </w:r>
      <w:proofErr w:type="spellStart"/>
      <w:r>
        <w:rPr>
          <w:i/>
        </w:rPr>
        <w:t>OpenMC</w:t>
      </w:r>
      <w:proofErr w:type="spellEnd"/>
      <w:r>
        <w:rPr>
          <w:i/>
        </w:rPr>
        <w:t>.</w:t>
      </w:r>
    </w:p>
    <w:p w14:paraId="2C3E9AE4" w14:textId="77777777" w:rsidR="00BD08BA" w:rsidRPr="00BD08BA" w:rsidRDefault="00BD08BA" w:rsidP="00F338DE">
      <w:pPr>
        <w:pStyle w:val="Corpsdetexte"/>
        <w:rPr>
          <w:rFonts w:asciiTheme="majorBidi" w:hAnsiTheme="majorBidi" w:cstheme="majorBidi"/>
          <w:color w:val="1C1C1C"/>
          <w:sz w:val="18"/>
          <w:szCs w:val="18"/>
          <w:shd w:val="clear" w:color="auto" w:fill="FFFFFF"/>
          <w:lang w:val="en-US"/>
        </w:rPr>
      </w:pPr>
    </w:p>
    <w:p w14:paraId="4E786924" w14:textId="1542430E" w:rsidR="00BD08BA" w:rsidRPr="000474D2" w:rsidRDefault="00BD08BA" w:rsidP="00F338DE">
      <w:pPr>
        <w:pStyle w:val="Corpsdetexte"/>
        <w:rPr>
          <w:rFonts w:asciiTheme="majorBidi" w:hAnsiTheme="majorBidi" w:cstheme="majorBidi"/>
          <w:color w:val="1C1C1C"/>
          <w:shd w:val="clear" w:color="auto" w:fill="FFFFFF"/>
        </w:rPr>
      </w:pPr>
      <w:r w:rsidRPr="000474D2">
        <w:rPr>
          <w:rFonts w:asciiTheme="majorBidi" w:hAnsiTheme="majorBidi" w:cstheme="majorBidi"/>
          <w:color w:val="1C1C1C"/>
          <w:shd w:val="clear" w:color="auto" w:fill="FFFFFF"/>
        </w:rPr>
        <w:t>The thimble guide and instrumentation tube are both defined similarly, except the thimble guide has a larger inner radius to facilitate the insertion of the control rod, which has nearly the same diameter as fuel rod one. The inner volume of the thimble guide is filled with water instead of fuel, as the control rods are completely withdrawn from the fuel assembly in this scenario.</w:t>
      </w:r>
      <w:r w:rsidR="00B26D0C" w:rsidRPr="000474D2">
        <w:rPr>
          <w:rFonts w:asciiTheme="majorBidi" w:hAnsiTheme="majorBidi" w:cstheme="majorBidi"/>
          <w:color w:val="1C1C1C"/>
          <w:shd w:val="clear" w:color="auto" w:fill="FFFFFF"/>
        </w:rPr>
        <w:t xml:space="preserve"> </w:t>
      </w:r>
    </w:p>
    <w:p w14:paraId="50EE339B" w14:textId="4026D46D" w:rsidR="00B26D0C" w:rsidRPr="00B26D0C" w:rsidRDefault="00B26D0C" w:rsidP="00B26D0C">
      <w:pPr>
        <w:pStyle w:val="Titre4"/>
        <w:numPr>
          <w:ilvl w:val="2"/>
          <w:numId w:val="33"/>
        </w:numPr>
        <w:rPr>
          <w:lang w:val="it-IT"/>
        </w:rPr>
      </w:pPr>
      <w:r w:rsidRPr="00B26D0C">
        <w:rPr>
          <w:lang w:val="it-IT"/>
        </w:rPr>
        <w:t>Square lattice fuel assembly model</w:t>
      </w:r>
    </w:p>
    <w:p w14:paraId="1B95DEDA" w14:textId="647A7F6E" w:rsidR="00B26D0C" w:rsidRPr="000474D2" w:rsidRDefault="00B26D0C" w:rsidP="00F338DE">
      <w:pPr>
        <w:pStyle w:val="Corpsdetexte"/>
        <w:rPr>
          <w:rFonts w:asciiTheme="majorBidi" w:hAnsiTheme="majorBidi" w:cstheme="majorBidi"/>
          <w:color w:val="1C1C1C"/>
          <w:shd w:val="clear" w:color="auto" w:fill="FFFFFF"/>
        </w:rPr>
      </w:pPr>
      <w:r w:rsidRPr="000474D2">
        <w:rPr>
          <w:rFonts w:asciiTheme="majorBidi" w:hAnsiTheme="majorBidi" w:cstheme="majorBidi"/>
          <w:color w:val="1C1C1C"/>
          <w:shd w:val="clear" w:color="auto" w:fill="FFFFFF"/>
        </w:rPr>
        <w:t xml:space="preserve">The fuel assembly (FA) features a group of fuel rods enclosed in cladding and arranged in a square lattice pattern. A moderating substance envelops the fuel rods within each assembly. In the case of the AP300 reactor, light water is utilized to moderate neutrons and as a cooling agent within the primary vessel of the reactor. The Fuel Assembly will also contain control rods and instrumentation thimbles, left empty in this instance (filled with water). Fig. 3 displays </w:t>
      </w:r>
      <w:r w:rsidR="00D513CC" w:rsidRPr="000474D2">
        <w:rPr>
          <w:rFonts w:asciiTheme="majorBidi" w:hAnsiTheme="majorBidi" w:cstheme="majorBidi"/>
          <w:color w:val="1C1C1C"/>
          <w:shd w:val="clear" w:color="auto" w:fill="FFFFFF"/>
        </w:rPr>
        <w:t>a square fuel assembly scheme with 264 square fuel elements, including 24 control rods (</w:t>
      </w:r>
      <w:r w:rsidR="0014645B">
        <w:rPr>
          <w:rFonts w:asciiTheme="majorBidi" w:hAnsiTheme="majorBidi" w:cstheme="majorBidi"/>
          <w:color w:val="1C1C1C"/>
          <w:shd w:val="clear" w:color="auto" w:fill="FFFFFF"/>
        </w:rPr>
        <w:t>green</w:t>
      </w:r>
      <w:r w:rsidR="00D513CC" w:rsidRPr="000474D2">
        <w:rPr>
          <w:rFonts w:asciiTheme="majorBidi" w:hAnsiTheme="majorBidi" w:cstheme="majorBidi"/>
          <w:color w:val="1C1C1C"/>
          <w:shd w:val="clear" w:color="auto" w:fill="FFFFFF"/>
        </w:rPr>
        <w:t>) and one thimble guide for instrumentation (</w:t>
      </w:r>
      <w:r w:rsidR="0014645B">
        <w:rPr>
          <w:rFonts w:asciiTheme="majorBidi" w:hAnsiTheme="majorBidi" w:cstheme="majorBidi"/>
          <w:color w:val="1C1C1C"/>
          <w:shd w:val="clear" w:color="auto" w:fill="FFFFFF"/>
        </w:rPr>
        <w:t>yellow</w:t>
      </w:r>
      <w:r w:rsidR="00D513CC" w:rsidRPr="000474D2">
        <w:rPr>
          <w:rFonts w:asciiTheme="majorBidi" w:hAnsiTheme="majorBidi" w:cstheme="majorBidi"/>
          <w:color w:val="1C1C1C"/>
          <w:shd w:val="clear" w:color="auto" w:fill="FFFFFF"/>
        </w:rPr>
        <w:t>).</w:t>
      </w:r>
    </w:p>
    <w:p w14:paraId="3A0F4CB3" w14:textId="77777777" w:rsidR="00B26D0C" w:rsidRDefault="00B26D0C" w:rsidP="00F338DE">
      <w:pPr>
        <w:pStyle w:val="Corpsdetexte"/>
        <w:rPr>
          <w:rFonts w:asciiTheme="majorBidi" w:hAnsiTheme="majorBidi" w:cstheme="majorBidi"/>
          <w:color w:val="1C1C1C"/>
          <w:sz w:val="18"/>
          <w:szCs w:val="18"/>
          <w:shd w:val="clear" w:color="auto" w:fill="FFFFFF"/>
        </w:rPr>
      </w:pPr>
    </w:p>
    <w:p w14:paraId="6F83923C" w14:textId="69C3C88E" w:rsidR="00B26D0C" w:rsidRDefault="00B04174" w:rsidP="00B04174">
      <w:pPr>
        <w:pStyle w:val="Corpsdetexte"/>
        <w:jc w:val="center"/>
        <w:rPr>
          <w:rFonts w:asciiTheme="majorBidi" w:hAnsiTheme="majorBidi" w:cstheme="majorBidi"/>
          <w:color w:val="1C1C1C"/>
          <w:sz w:val="18"/>
          <w:szCs w:val="18"/>
          <w:shd w:val="clear" w:color="auto" w:fill="FFFFFF"/>
        </w:rPr>
      </w:pPr>
      <w:r>
        <w:rPr>
          <w:noProof/>
        </w:rPr>
        <w:lastRenderedPageBreak/>
        <w:drawing>
          <wp:inline distT="0" distB="0" distL="0" distR="0" wp14:anchorId="16F1D2A5" wp14:editId="7A9C82C2">
            <wp:extent cx="4467225" cy="2992006"/>
            <wp:effectExtent l="0" t="0" r="0" b="0"/>
            <wp:docPr id="1037008003" name="Image 1" descr="Une image contenant capture d’écran, texte, Caractère coloré,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08003" name="Image 1" descr="Une image contenant capture d’écran, texte, Caractère coloré, Police&#10;&#10;Description générée automatiquement"/>
                    <pic:cNvPicPr/>
                  </pic:nvPicPr>
                  <pic:blipFill>
                    <a:blip r:embed="rId11"/>
                    <a:stretch>
                      <a:fillRect/>
                    </a:stretch>
                  </pic:blipFill>
                  <pic:spPr>
                    <a:xfrm>
                      <a:off x="0" y="0"/>
                      <a:ext cx="4473200" cy="2996008"/>
                    </a:xfrm>
                    <a:prstGeom prst="rect">
                      <a:avLst/>
                    </a:prstGeom>
                  </pic:spPr>
                </pic:pic>
              </a:graphicData>
            </a:graphic>
          </wp:inline>
        </w:drawing>
      </w:r>
    </w:p>
    <w:p w14:paraId="5223D8C9" w14:textId="487CCB92" w:rsidR="00B26D0C" w:rsidRDefault="00B26D0C" w:rsidP="00B26D0C">
      <w:pPr>
        <w:pStyle w:val="Corpsdetexte"/>
        <w:jc w:val="center"/>
        <w:rPr>
          <w:i/>
        </w:rPr>
      </w:pPr>
      <w:r w:rsidRPr="00802381">
        <w:rPr>
          <w:i/>
        </w:rPr>
        <w:t xml:space="preserve">FIG. </w:t>
      </w:r>
      <w:r w:rsidR="00843582">
        <w:rPr>
          <w:i/>
        </w:rPr>
        <w:t>3</w:t>
      </w:r>
      <w:r>
        <w:rPr>
          <w:i/>
        </w:rPr>
        <w:t xml:space="preserve">. </w:t>
      </w:r>
      <w:r w:rsidR="00D76A51">
        <w:rPr>
          <w:i/>
        </w:rPr>
        <w:t>Fuel assembly model</w:t>
      </w:r>
      <w:r>
        <w:rPr>
          <w:i/>
        </w:rPr>
        <w:t xml:space="preserve"> using </w:t>
      </w:r>
      <w:proofErr w:type="spellStart"/>
      <w:r>
        <w:rPr>
          <w:i/>
        </w:rPr>
        <w:t>OpenMC</w:t>
      </w:r>
      <w:proofErr w:type="spellEnd"/>
    </w:p>
    <w:p w14:paraId="10F14354" w14:textId="77777777" w:rsidR="009C63DD" w:rsidRDefault="009C63DD" w:rsidP="009C63DD">
      <w:pPr>
        <w:pStyle w:val="Corpsdetexte"/>
        <w:rPr>
          <w:iCs/>
        </w:rPr>
      </w:pPr>
    </w:p>
    <w:p w14:paraId="3A4CCD8C" w14:textId="67B035C9" w:rsidR="00561D2E" w:rsidRPr="00561D2E" w:rsidRDefault="00561D2E" w:rsidP="00561D2E">
      <w:pPr>
        <w:pStyle w:val="Corpsdetexte"/>
        <w:rPr>
          <w:iCs/>
          <w:lang w:val="en-US"/>
        </w:rPr>
      </w:pPr>
      <w:r w:rsidRPr="00561D2E">
        <w:rPr>
          <w:iCs/>
          <w:lang w:val="en-US"/>
        </w:rPr>
        <w:t xml:space="preserve">The core used for the analysis was </w:t>
      </w:r>
      <w:r>
        <w:rPr>
          <w:iCs/>
          <w:lang w:val="en-US"/>
        </w:rPr>
        <w:t xml:space="preserve">based on </w:t>
      </w:r>
      <w:r w:rsidRPr="00561D2E">
        <w:rPr>
          <w:iCs/>
          <w:lang w:val="en-US"/>
        </w:rPr>
        <w:t>a Westinghouse’s SMR, an integral PWR with an active core height of 2.4 meter (~8 feet). Fig</w:t>
      </w:r>
      <w:r>
        <w:rPr>
          <w:iCs/>
          <w:lang w:val="en-US"/>
        </w:rPr>
        <w:t xml:space="preserve"> 4</w:t>
      </w:r>
      <w:r w:rsidRPr="00561D2E">
        <w:rPr>
          <w:iCs/>
          <w:lang w:val="en-US"/>
        </w:rPr>
        <w:t xml:space="preserve"> </w:t>
      </w:r>
      <w:r>
        <w:rPr>
          <w:iCs/>
          <w:lang w:val="en-US"/>
        </w:rPr>
        <w:t>presents</w:t>
      </w:r>
      <w:r w:rsidRPr="00561D2E">
        <w:rPr>
          <w:iCs/>
          <w:lang w:val="en-US"/>
        </w:rPr>
        <w:t xml:space="preserve"> the </w:t>
      </w:r>
      <w:proofErr w:type="gramStart"/>
      <w:r w:rsidRPr="00561D2E">
        <w:rPr>
          <w:iCs/>
          <w:lang w:val="en-US"/>
        </w:rPr>
        <w:t>cross sectional</w:t>
      </w:r>
      <w:proofErr w:type="gramEnd"/>
      <w:r w:rsidRPr="00561D2E">
        <w:rPr>
          <w:iCs/>
          <w:lang w:val="en-US"/>
        </w:rPr>
        <w:t xml:space="preserve"> view of the assembly layout for the SMR core also indicating the location of the control rod drive mechanisms.</w:t>
      </w:r>
    </w:p>
    <w:p w14:paraId="1F89E603" w14:textId="7FCC31DD" w:rsidR="009C63DD" w:rsidRDefault="00B04174" w:rsidP="001D1437">
      <w:pPr>
        <w:pStyle w:val="Corpsdetexte"/>
        <w:jc w:val="center"/>
        <w:rPr>
          <w:iCs/>
        </w:rPr>
      </w:pPr>
      <w:r>
        <w:rPr>
          <w:noProof/>
        </w:rPr>
        <w:drawing>
          <wp:inline distT="0" distB="0" distL="0" distR="0" wp14:anchorId="57A1F3BA" wp14:editId="75F9B76F">
            <wp:extent cx="3995189" cy="2667000"/>
            <wp:effectExtent l="0" t="0" r="5715" b="0"/>
            <wp:docPr id="390771557" name="Image 1" descr="Une image contenant texte, capture d’écran, diagram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71557" name="Image 1" descr="Une image contenant texte, capture d’écran, diagramme, cercle&#10;&#10;Description générée automatiquement"/>
                    <pic:cNvPicPr/>
                  </pic:nvPicPr>
                  <pic:blipFill>
                    <a:blip r:embed="rId12"/>
                    <a:stretch>
                      <a:fillRect/>
                    </a:stretch>
                  </pic:blipFill>
                  <pic:spPr>
                    <a:xfrm>
                      <a:off x="0" y="0"/>
                      <a:ext cx="3999258" cy="2669717"/>
                    </a:xfrm>
                    <a:prstGeom prst="rect">
                      <a:avLst/>
                    </a:prstGeom>
                  </pic:spPr>
                </pic:pic>
              </a:graphicData>
            </a:graphic>
          </wp:inline>
        </w:drawing>
      </w:r>
    </w:p>
    <w:p w14:paraId="345275F4" w14:textId="2B33D593" w:rsidR="00B04174" w:rsidRDefault="00B04174" w:rsidP="00B04174">
      <w:pPr>
        <w:pStyle w:val="Corpsdetexte"/>
        <w:jc w:val="center"/>
        <w:rPr>
          <w:iCs/>
        </w:rPr>
      </w:pPr>
      <w:r w:rsidRPr="00802381">
        <w:rPr>
          <w:i/>
        </w:rPr>
        <w:t xml:space="preserve">FIG. </w:t>
      </w:r>
      <w:r>
        <w:rPr>
          <w:i/>
        </w:rPr>
        <w:t xml:space="preserve">4. </w:t>
      </w:r>
      <w:r w:rsidR="00561D2E">
        <w:rPr>
          <w:i/>
        </w:rPr>
        <w:t xml:space="preserve">SMR Core </w:t>
      </w:r>
      <w:r>
        <w:rPr>
          <w:i/>
        </w:rPr>
        <w:t xml:space="preserve">model using </w:t>
      </w:r>
      <w:proofErr w:type="spellStart"/>
      <w:r>
        <w:rPr>
          <w:i/>
        </w:rPr>
        <w:t>OpenMC</w:t>
      </w:r>
      <w:proofErr w:type="spellEnd"/>
    </w:p>
    <w:p w14:paraId="79C3A7C4" w14:textId="44EF9DC7" w:rsidR="009C63DD" w:rsidRDefault="009C63DD" w:rsidP="009C63DD">
      <w:pPr>
        <w:pStyle w:val="Titre3"/>
      </w:pPr>
      <w:r>
        <w:t xml:space="preserve">Numerical calculation using </w:t>
      </w:r>
      <w:proofErr w:type="spellStart"/>
      <w:r>
        <w:t>OpenMC</w:t>
      </w:r>
      <w:proofErr w:type="spellEnd"/>
    </w:p>
    <w:p w14:paraId="13247C5D" w14:textId="44C2F819" w:rsidR="009C63DD" w:rsidRPr="000474D2" w:rsidRDefault="00321E4C" w:rsidP="009C63DD">
      <w:pPr>
        <w:pStyle w:val="Corpsdetexte"/>
        <w:rPr>
          <w:rFonts w:asciiTheme="majorBidi" w:hAnsiTheme="majorBidi" w:cstheme="majorBidi"/>
          <w:color w:val="1C1C1C"/>
          <w:shd w:val="clear" w:color="auto" w:fill="FFFFFF"/>
        </w:rPr>
      </w:pPr>
      <w:r w:rsidRPr="000203E5">
        <w:rPr>
          <w:rFonts w:asciiTheme="majorBidi" w:hAnsiTheme="majorBidi" w:cstheme="majorBidi"/>
          <w:color w:val="1C1C1C"/>
          <w:sz w:val="18"/>
          <w:szCs w:val="18"/>
          <w:shd w:val="clear" w:color="auto" w:fill="FFFFFF"/>
        </w:rPr>
        <w:t xml:space="preserve">After accurately defining the physical and geometric models, it will be important to configure the simulation's </w:t>
      </w:r>
      <w:r w:rsidRPr="000474D2">
        <w:rPr>
          <w:rFonts w:asciiTheme="majorBidi" w:hAnsiTheme="majorBidi" w:cstheme="majorBidi"/>
          <w:color w:val="1C1C1C"/>
          <w:shd w:val="clear" w:color="auto" w:fill="FFFFFF"/>
        </w:rPr>
        <w:t xml:space="preserve">characteristics. </w:t>
      </w:r>
      <w:proofErr w:type="spellStart"/>
      <w:r w:rsidRPr="000474D2">
        <w:rPr>
          <w:rFonts w:asciiTheme="majorBidi" w:hAnsiTheme="majorBidi" w:cstheme="majorBidi"/>
          <w:color w:val="1C1C1C"/>
          <w:shd w:val="clear" w:color="auto" w:fill="FFFFFF"/>
        </w:rPr>
        <w:t>OpenMC</w:t>
      </w:r>
      <w:proofErr w:type="spellEnd"/>
      <w:r w:rsidRPr="000474D2">
        <w:rPr>
          <w:rFonts w:asciiTheme="majorBidi" w:hAnsiTheme="majorBidi" w:cstheme="majorBidi"/>
          <w:color w:val="1C1C1C"/>
          <w:shd w:val="clear" w:color="auto" w:fill="FFFFFF"/>
        </w:rPr>
        <w:t xml:space="preserve"> defaults to using neutrons as the transported particle and conducting the eigen-source calculation. In this study, we will employ </w:t>
      </w:r>
      <w:proofErr w:type="spellStart"/>
      <w:r w:rsidRPr="000474D2">
        <w:rPr>
          <w:rFonts w:asciiTheme="majorBidi" w:hAnsiTheme="majorBidi" w:cstheme="majorBidi"/>
          <w:color w:val="1C1C1C"/>
          <w:shd w:val="clear" w:color="auto" w:fill="FFFFFF"/>
        </w:rPr>
        <w:t>OpenMC</w:t>
      </w:r>
      <w:proofErr w:type="spellEnd"/>
      <w:r w:rsidRPr="000474D2">
        <w:rPr>
          <w:rFonts w:asciiTheme="majorBidi" w:hAnsiTheme="majorBidi" w:cstheme="majorBidi"/>
          <w:color w:val="1C1C1C"/>
          <w:shd w:val="clear" w:color="auto" w:fill="FFFFFF"/>
        </w:rPr>
        <w:t xml:space="preserve"> for criticality calculations </w:t>
      </w:r>
      <w:proofErr w:type="gramStart"/>
      <w:r w:rsidRPr="000474D2">
        <w:rPr>
          <w:rFonts w:asciiTheme="majorBidi" w:hAnsiTheme="majorBidi" w:cstheme="majorBidi"/>
          <w:color w:val="1C1C1C"/>
          <w:shd w:val="clear" w:color="auto" w:fill="FFFFFF"/>
        </w:rPr>
        <w:t>and also</w:t>
      </w:r>
      <w:proofErr w:type="gramEnd"/>
      <w:r w:rsidRPr="000474D2">
        <w:rPr>
          <w:rFonts w:asciiTheme="majorBidi" w:hAnsiTheme="majorBidi" w:cstheme="majorBidi"/>
          <w:color w:val="1C1C1C"/>
          <w:shd w:val="clear" w:color="auto" w:fill="FFFFFF"/>
        </w:rPr>
        <w:t xml:space="preserve"> score tallies for educational and code utilization purposes </w:t>
      </w:r>
      <w:r w:rsidRPr="00D1557D">
        <w:rPr>
          <w:rFonts w:asciiTheme="majorBidi" w:hAnsiTheme="majorBidi" w:cstheme="majorBidi"/>
          <w:b/>
          <w:bCs/>
          <w:color w:val="1C1C1C"/>
          <w:shd w:val="clear" w:color="auto" w:fill="FFFFFF"/>
        </w:rPr>
        <w:t>[</w:t>
      </w:r>
      <w:r w:rsidR="00B3718E" w:rsidRPr="00D1557D">
        <w:rPr>
          <w:rFonts w:asciiTheme="majorBidi" w:hAnsiTheme="majorBidi" w:cstheme="majorBidi"/>
          <w:b/>
          <w:bCs/>
          <w:color w:val="1C1C1C"/>
          <w:shd w:val="clear" w:color="auto" w:fill="FFFFFF"/>
        </w:rPr>
        <w:t>5</w:t>
      </w:r>
      <w:r w:rsidRPr="00D1557D">
        <w:rPr>
          <w:rFonts w:asciiTheme="majorBidi" w:hAnsiTheme="majorBidi" w:cstheme="majorBidi"/>
          <w:b/>
          <w:bCs/>
          <w:color w:val="1C1C1C"/>
          <w:shd w:val="clear" w:color="auto" w:fill="FFFFFF"/>
        </w:rPr>
        <w:t>-</w:t>
      </w:r>
      <w:r w:rsidR="00B3718E" w:rsidRPr="00D1557D">
        <w:rPr>
          <w:rFonts w:asciiTheme="majorBidi" w:hAnsiTheme="majorBidi" w:cstheme="majorBidi"/>
          <w:b/>
          <w:bCs/>
          <w:color w:val="1C1C1C"/>
          <w:shd w:val="clear" w:color="auto" w:fill="FFFFFF"/>
        </w:rPr>
        <w:t>7</w:t>
      </w:r>
      <w:r w:rsidRPr="00D1557D">
        <w:rPr>
          <w:rFonts w:asciiTheme="majorBidi" w:hAnsiTheme="majorBidi" w:cstheme="majorBidi"/>
          <w:b/>
          <w:bCs/>
          <w:color w:val="1C1C1C"/>
          <w:shd w:val="clear" w:color="auto" w:fill="FFFFFF"/>
        </w:rPr>
        <w:t>]</w:t>
      </w:r>
      <w:r w:rsidRPr="00D1557D">
        <w:rPr>
          <w:rFonts w:asciiTheme="majorBidi" w:hAnsiTheme="majorBidi" w:cstheme="majorBidi"/>
          <w:color w:val="1C1C1C"/>
          <w:shd w:val="clear" w:color="auto" w:fill="FFFFFF"/>
        </w:rPr>
        <w:t>.</w:t>
      </w:r>
      <w:r w:rsidR="000203E5" w:rsidRPr="000474D2">
        <w:rPr>
          <w:rFonts w:asciiTheme="majorBidi" w:hAnsiTheme="majorBidi" w:cstheme="majorBidi"/>
          <w:color w:val="1C1C1C"/>
          <w:shd w:val="clear" w:color="auto" w:fill="FFFFFF"/>
        </w:rPr>
        <w:t xml:space="preserve"> The default calculation in </w:t>
      </w:r>
      <w:proofErr w:type="spellStart"/>
      <w:r w:rsidR="000203E5" w:rsidRPr="000474D2">
        <w:rPr>
          <w:rFonts w:asciiTheme="majorBidi" w:hAnsiTheme="majorBidi" w:cstheme="majorBidi"/>
          <w:color w:val="1C1C1C"/>
          <w:shd w:val="clear" w:color="auto" w:fill="FFFFFF"/>
        </w:rPr>
        <w:t>OpenMC</w:t>
      </w:r>
      <w:proofErr w:type="spellEnd"/>
      <w:r w:rsidR="000203E5" w:rsidRPr="000474D2">
        <w:rPr>
          <w:rFonts w:asciiTheme="majorBidi" w:hAnsiTheme="majorBidi" w:cstheme="majorBidi"/>
          <w:color w:val="1C1C1C"/>
          <w:shd w:val="clear" w:color="auto" w:fill="FFFFFF"/>
        </w:rPr>
        <w:t xml:space="preserve"> is the criticality calculation, which requires defining the source and particle population for generation using the Monte Carlo method.</w:t>
      </w:r>
    </w:p>
    <w:p w14:paraId="7751C287" w14:textId="17AC1297" w:rsidR="00CF1789" w:rsidRPr="000474D2" w:rsidRDefault="004123FC" w:rsidP="000474D2">
      <w:pPr>
        <w:pStyle w:val="Corpsdetexte"/>
        <w:rPr>
          <w:rFonts w:asciiTheme="majorBidi" w:hAnsiTheme="majorBidi" w:cstheme="majorBidi"/>
          <w:color w:val="1C1C1C"/>
          <w:shd w:val="clear" w:color="auto" w:fill="FFFFFF"/>
        </w:rPr>
      </w:pPr>
      <w:r w:rsidRPr="000474D2">
        <w:rPr>
          <w:rFonts w:asciiTheme="majorBidi" w:hAnsiTheme="majorBidi" w:cstheme="majorBidi"/>
          <w:color w:val="1C1C1C"/>
          <w:shd w:val="clear" w:color="auto" w:fill="FFFFFF"/>
        </w:rPr>
        <w:t xml:space="preserve">The </w:t>
      </w:r>
      <w:proofErr w:type="spellStart"/>
      <w:r w:rsidRPr="000474D2">
        <w:rPr>
          <w:rFonts w:asciiTheme="majorBidi" w:hAnsiTheme="majorBidi" w:cstheme="majorBidi"/>
          <w:color w:val="1C1C1C"/>
          <w:shd w:val="clear" w:color="auto" w:fill="FFFFFF"/>
        </w:rPr>
        <w:t>OpenMC</w:t>
      </w:r>
      <w:proofErr w:type="spellEnd"/>
      <w:r w:rsidRPr="000474D2">
        <w:rPr>
          <w:rFonts w:asciiTheme="majorBidi" w:hAnsiTheme="majorBidi" w:cstheme="majorBidi"/>
          <w:color w:val="1C1C1C"/>
          <w:shd w:val="clear" w:color="auto" w:fill="FFFFFF"/>
        </w:rPr>
        <w:t xml:space="preserve"> simulation utilized a neutron population of up to 50000 neutrons per cycle (batch). This necessitated approximately 80 minutes of Time Machine Calculation (TMC) for each simulation conducted on the Google </w:t>
      </w:r>
      <w:proofErr w:type="spellStart"/>
      <w:r w:rsidRPr="000474D2">
        <w:rPr>
          <w:rFonts w:asciiTheme="majorBidi" w:hAnsiTheme="majorBidi" w:cstheme="majorBidi"/>
          <w:color w:val="1C1C1C"/>
          <w:shd w:val="clear" w:color="auto" w:fill="FFFFFF"/>
        </w:rPr>
        <w:t>Colab</w:t>
      </w:r>
      <w:proofErr w:type="spellEnd"/>
      <w:r w:rsidRPr="000474D2">
        <w:rPr>
          <w:rFonts w:asciiTheme="majorBidi" w:hAnsiTheme="majorBidi" w:cstheme="majorBidi"/>
          <w:color w:val="1C1C1C"/>
          <w:shd w:val="clear" w:color="auto" w:fill="FFFFFF"/>
        </w:rPr>
        <w:t xml:space="preserve"> platform.</w:t>
      </w:r>
      <w:r w:rsidR="000474D2">
        <w:rPr>
          <w:rFonts w:asciiTheme="majorBidi" w:hAnsiTheme="majorBidi" w:cstheme="majorBidi"/>
          <w:color w:val="1C1C1C"/>
          <w:shd w:val="clear" w:color="auto" w:fill="FFFFFF"/>
        </w:rPr>
        <w:t xml:space="preserve"> </w:t>
      </w:r>
      <w:r w:rsidR="007A57B7" w:rsidRPr="000474D2">
        <w:t>The cross section for fuel, cladding, moderator and vessel were from ENDF/B-VII libraries at 600K temperature.</w:t>
      </w:r>
    </w:p>
    <w:p w14:paraId="4266A0ED" w14:textId="4CB8F344" w:rsidR="00CF1789" w:rsidRDefault="00CF1789" w:rsidP="00CF1789">
      <w:pPr>
        <w:pStyle w:val="Titre2"/>
        <w:numPr>
          <w:ilvl w:val="1"/>
          <w:numId w:val="10"/>
        </w:numPr>
      </w:pPr>
      <w:r>
        <w:lastRenderedPageBreak/>
        <w:t>PRELIMiNARY RESULTS</w:t>
      </w:r>
    </w:p>
    <w:p w14:paraId="12C130DD" w14:textId="49125F22" w:rsidR="00992B80" w:rsidRDefault="00992B80" w:rsidP="00992B80">
      <w:pPr>
        <w:pStyle w:val="Titre3"/>
        <w:numPr>
          <w:ilvl w:val="1"/>
          <w:numId w:val="34"/>
        </w:numPr>
      </w:pPr>
      <w:r>
        <w:t>Neutronic parameters</w:t>
      </w:r>
    </w:p>
    <w:p w14:paraId="20F1ECFA" w14:textId="526CDB79" w:rsidR="00DE61F0" w:rsidRPr="00843582" w:rsidRDefault="00DE61F0" w:rsidP="004C261D">
      <w:pPr>
        <w:pStyle w:val="Corpsdetexte"/>
        <w:rPr>
          <w:rFonts w:ascii="Arial" w:hAnsi="Arial" w:cs="Arial"/>
          <w:color w:val="1C1C1C"/>
          <w:shd w:val="clear" w:color="auto" w:fill="FFFFFF"/>
        </w:rPr>
      </w:pPr>
      <w:r w:rsidRPr="00843582">
        <w:rPr>
          <w:rFonts w:asciiTheme="majorBidi" w:hAnsiTheme="majorBidi" w:cstheme="majorBidi"/>
          <w:color w:val="1C1C1C"/>
          <w:shd w:val="clear" w:color="auto" w:fill="FFFFFF"/>
        </w:rPr>
        <w:t>In Table 5, the prompt multiplication factor (</w:t>
      </w:r>
      <w:proofErr w:type="spellStart"/>
      <w:r w:rsidRPr="00843582">
        <w:rPr>
          <w:rFonts w:asciiTheme="majorBidi" w:hAnsiTheme="majorBidi" w:cstheme="majorBidi"/>
          <w:color w:val="1C1C1C"/>
          <w:shd w:val="clear" w:color="auto" w:fill="FFFFFF"/>
        </w:rPr>
        <w:t>kp</w:t>
      </w:r>
      <w:proofErr w:type="spellEnd"/>
      <w:r w:rsidRPr="00843582">
        <w:rPr>
          <w:rFonts w:asciiTheme="majorBidi" w:hAnsiTheme="majorBidi" w:cstheme="majorBidi"/>
          <w:color w:val="1C1C1C"/>
          <w:shd w:val="clear" w:color="auto" w:fill="FFFFFF"/>
        </w:rPr>
        <w:t>) was found to be 1.1881 with a margin of error of ±0.00025. The effective delayed neutron fraction (βeff) was determined to be 0.0068. Additionally, the delayed neutron fraction can be utilized to compute the average neutron generation time, indicating the rate at which power can increase during regular reactor operation. The shutdown margin, also known as the control rod worth, represents the negative reactivity needed for the reactor to become subcritical from its current state. The control rod worth for a typical shutdown condition (i.e., at 600K) was established as 0.163.</w:t>
      </w:r>
      <w:r w:rsidR="004C261D">
        <w:rPr>
          <w:rFonts w:asciiTheme="majorBidi" w:hAnsiTheme="majorBidi" w:cstheme="majorBidi"/>
          <w:color w:val="1C1C1C"/>
          <w:shd w:val="clear" w:color="auto" w:fill="FFFFFF"/>
        </w:rPr>
        <w:t xml:space="preserve"> </w:t>
      </w:r>
    </w:p>
    <w:p w14:paraId="0B340A7F" w14:textId="77777777" w:rsidR="004C261D" w:rsidRDefault="00DE61F0" w:rsidP="004C261D">
      <w:pPr>
        <w:pStyle w:val="Default"/>
        <w:spacing w:line="260" w:lineRule="atLeast"/>
        <w:ind w:firstLine="567"/>
        <w:jc w:val="both"/>
        <w:rPr>
          <w:rFonts w:asciiTheme="majorBidi" w:hAnsiTheme="majorBidi" w:cstheme="majorBidi"/>
          <w:color w:val="1C1C1C"/>
          <w:sz w:val="20"/>
          <w:szCs w:val="20"/>
          <w:shd w:val="clear" w:color="auto" w:fill="FFFFFF"/>
          <w:lang w:val="en-US"/>
        </w:rPr>
      </w:pPr>
      <w:r w:rsidRPr="00843582">
        <w:rPr>
          <w:rFonts w:asciiTheme="majorBidi" w:hAnsiTheme="majorBidi" w:cstheme="majorBidi"/>
          <w:color w:val="1C1C1C"/>
          <w:sz w:val="20"/>
          <w:szCs w:val="20"/>
          <w:shd w:val="clear" w:color="auto" w:fill="FFFFFF"/>
          <w:lang w:val="en-US"/>
        </w:rPr>
        <w:t xml:space="preserve">Additionally, from Table 5, the moderator reactivity coefficient is -1.45E-03 </w:t>
      </w:r>
      <w:r w:rsidRPr="00843582">
        <w:rPr>
          <w:rFonts w:asciiTheme="majorBidi" w:hAnsiTheme="majorBidi" w:cstheme="majorBidi"/>
          <w:color w:val="1C1C1C"/>
          <w:sz w:val="20"/>
          <w:szCs w:val="20"/>
          <w:shd w:val="clear" w:color="auto" w:fill="FFFFFF"/>
        </w:rPr>
        <w:t>δ</w:t>
      </w:r>
      <w:r w:rsidRPr="00843582">
        <w:rPr>
          <w:rFonts w:asciiTheme="majorBidi" w:hAnsiTheme="majorBidi" w:cstheme="majorBidi"/>
          <w:color w:val="1C1C1C"/>
          <w:sz w:val="20"/>
          <w:szCs w:val="20"/>
          <w:shd w:val="clear" w:color="auto" w:fill="FFFFFF"/>
          <w:lang w:val="en-US"/>
        </w:rPr>
        <w:t>k/°C. The negative value indicates that the reactor is under-moderated. This coefficient depends on the fuel-to-moderator ratio. It's important for the reactor to have a negative reactivity coefficient as this helps it self-regulate. If there's a positive reactivity, it will raise core temperatures, but the large negative feedback reactivity introduced will help control the power and safely shut down the reactor.</w:t>
      </w:r>
      <w:r w:rsidR="004C261D">
        <w:rPr>
          <w:rFonts w:asciiTheme="majorBidi" w:hAnsiTheme="majorBidi" w:cstheme="majorBidi"/>
          <w:color w:val="1C1C1C"/>
          <w:sz w:val="20"/>
          <w:szCs w:val="20"/>
          <w:shd w:val="clear" w:color="auto" w:fill="FFFFFF"/>
          <w:lang w:val="en-US"/>
        </w:rPr>
        <w:t xml:space="preserve"> </w:t>
      </w:r>
    </w:p>
    <w:p w14:paraId="441D50CE" w14:textId="668369F9" w:rsidR="00C31E56" w:rsidRPr="000D779F" w:rsidRDefault="00C31E56" w:rsidP="004C261D">
      <w:pPr>
        <w:pStyle w:val="Default"/>
        <w:spacing w:line="260" w:lineRule="atLeast"/>
        <w:ind w:firstLine="567"/>
        <w:jc w:val="both"/>
        <w:rPr>
          <w:rFonts w:asciiTheme="majorBidi" w:hAnsiTheme="majorBidi" w:cstheme="majorBidi"/>
          <w:color w:val="1C1C1C"/>
          <w:sz w:val="20"/>
          <w:szCs w:val="20"/>
          <w:shd w:val="clear" w:color="auto" w:fill="FFFFFF"/>
          <w:lang w:val="en-US"/>
        </w:rPr>
      </w:pPr>
      <w:r w:rsidRPr="004C261D">
        <w:rPr>
          <w:rFonts w:asciiTheme="majorBidi" w:hAnsiTheme="majorBidi" w:cstheme="majorBidi"/>
          <w:color w:val="1C1C1C"/>
          <w:sz w:val="20"/>
          <w:szCs w:val="20"/>
          <w:shd w:val="clear" w:color="auto" w:fill="FFFFFF"/>
          <w:lang w:val="en-US"/>
        </w:rPr>
        <w:t xml:space="preserve">Moreover, the reactivity coefficient for fuel was determined to be -2.24E-05 </w:t>
      </w:r>
      <w:r w:rsidRPr="00843582">
        <w:rPr>
          <w:rFonts w:asciiTheme="majorBidi" w:hAnsiTheme="majorBidi" w:cstheme="majorBidi"/>
          <w:color w:val="1C1C1C"/>
          <w:sz w:val="20"/>
          <w:szCs w:val="20"/>
          <w:shd w:val="clear" w:color="auto" w:fill="FFFFFF"/>
        </w:rPr>
        <w:t>δ</w:t>
      </w:r>
      <w:r w:rsidRPr="004C261D">
        <w:rPr>
          <w:rFonts w:asciiTheme="majorBidi" w:hAnsiTheme="majorBidi" w:cstheme="majorBidi"/>
          <w:color w:val="1C1C1C"/>
          <w:sz w:val="20"/>
          <w:szCs w:val="20"/>
          <w:shd w:val="clear" w:color="auto" w:fill="FFFFFF"/>
          <w:lang w:val="en-US"/>
        </w:rPr>
        <w:t xml:space="preserve">k/°C. The negative value indicates that any positive reactivity will cause the fuel temperature to increase rapidly, ultimately providing a negative feedback reactivity that ensures the safety of the reactor. </w:t>
      </w:r>
      <w:r w:rsidRPr="000D779F">
        <w:rPr>
          <w:rFonts w:asciiTheme="majorBidi" w:hAnsiTheme="majorBidi" w:cstheme="majorBidi"/>
          <w:color w:val="1C1C1C"/>
          <w:sz w:val="20"/>
          <w:szCs w:val="20"/>
          <w:shd w:val="clear" w:color="auto" w:fill="FFFFFF"/>
          <w:lang w:val="en-US"/>
        </w:rPr>
        <w:t>A negative fuel reactivity coefficient is preferred over a moderator reactivity coefficient because in the event of a positive reactivity insertion, the fuel's negative feedback response is faster than that of the moderator. Thus, the fuel reactivity coefficient is also known as the prompt reactivity coefficient. Additionally, a greater fuel reactivity coefficient value can result in the Doppler Effect or Doppler Broadening phenomenon, particularly at higher fuel temperatures.</w:t>
      </w:r>
    </w:p>
    <w:p w14:paraId="01D9F2BF" w14:textId="77777777" w:rsidR="004C261D" w:rsidRPr="000D779F" w:rsidRDefault="004C261D" w:rsidP="004C261D">
      <w:pPr>
        <w:pStyle w:val="Default"/>
        <w:spacing w:line="260" w:lineRule="atLeast"/>
        <w:ind w:firstLine="567"/>
        <w:jc w:val="both"/>
        <w:rPr>
          <w:rFonts w:asciiTheme="majorBidi" w:hAnsiTheme="majorBidi" w:cstheme="majorBidi"/>
          <w:sz w:val="18"/>
          <w:szCs w:val="18"/>
          <w:lang w:val="en-US"/>
        </w:rPr>
      </w:pPr>
    </w:p>
    <w:p w14:paraId="47269E36" w14:textId="50B82861" w:rsidR="000D5413" w:rsidRDefault="000D5413" w:rsidP="000D5413">
      <w:pPr>
        <w:pStyle w:val="Corpsdetexte"/>
        <w:ind w:firstLine="0"/>
      </w:pPr>
      <w:r>
        <w:t>TABLE 5.</w:t>
      </w:r>
      <w:r>
        <w:tab/>
        <w:t xml:space="preserve">NEUTRONIC PARAMETERS OF AP300 </w:t>
      </w:r>
    </w:p>
    <w:p w14:paraId="2EFCBC22" w14:textId="77777777" w:rsidR="00CF1789" w:rsidRDefault="00CF1789" w:rsidP="009C63DD">
      <w:pPr>
        <w:pStyle w:val="Corpsdetexte"/>
        <w:rPr>
          <w:rFonts w:asciiTheme="majorBidi" w:hAnsiTheme="majorBidi" w:cstheme="majorBidi"/>
          <w:color w:val="1C1C1C"/>
          <w:sz w:val="18"/>
          <w:szCs w:val="18"/>
          <w:shd w:val="clear" w:color="auto" w:fill="FFFFFF"/>
        </w:rPr>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2268"/>
      </w:tblGrid>
      <w:tr w:rsidR="000D5413" w14:paraId="6E3F90B1" w14:textId="77777777" w:rsidTr="00F275F4">
        <w:trPr>
          <w:jc w:val="center"/>
        </w:trPr>
        <w:tc>
          <w:tcPr>
            <w:tcW w:w="3544" w:type="dxa"/>
            <w:tcBorders>
              <w:top w:val="single" w:sz="4" w:space="0" w:color="auto"/>
              <w:bottom w:val="single" w:sz="4" w:space="0" w:color="auto"/>
            </w:tcBorders>
          </w:tcPr>
          <w:p w14:paraId="06895634" w14:textId="2E9D68D3" w:rsidR="000D5413" w:rsidRDefault="000D5413" w:rsidP="00AD38C8">
            <w:pPr>
              <w:pStyle w:val="Corpsdetexte"/>
              <w:ind w:firstLine="0"/>
            </w:pPr>
            <w:r>
              <w:t xml:space="preserve">Details </w:t>
            </w:r>
          </w:p>
        </w:tc>
        <w:tc>
          <w:tcPr>
            <w:tcW w:w="2410" w:type="dxa"/>
            <w:tcBorders>
              <w:top w:val="single" w:sz="4" w:space="0" w:color="auto"/>
              <w:bottom w:val="single" w:sz="4" w:space="0" w:color="auto"/>
            </w:tcBorders>
          </w:tcPr>
          <w:p w14:paraId="5DBCC8CE" w14:textId="26111C91" w:rsidR="000D5413" w:rsidRDefault="000D5413" w:rsidP="00AD38C8">
            <w:pPr>
              <w:pStyle w:val="Corpsdetexte"/>
              <w:ind w:firstLine="0"/>
              <w:jc w:val="center"/>
            </w:pPr>
            <w:r>
              <w:t>Our study</w:t>
            </w:r>
          </w:p>
        </w:tc>
        <w:tc>
          <w:tcPr>
            <w:tcW w:w="2268" w:type="dxa"/>
            <w:tcBorders>
              <w:top w:val="single" w:sz="4" w:space="0" w:color="auto"/>
              <w:bottom w:val="single" w:sz="4" w:space="0" w:color="auto"/>
            </w:tcBorders>
          </w:tcPr>
          <w:p w14:paraId="2E705E5B" w14:textId="4C62E7E3" w:rsidR="000D5413" w:rsidRPr="00B3718E" w:rsidRDefault="00B3718E" w:rsidP="00AD38C8">
            <w:pPr>
              <w:pStyle w:val="Corpsdetexte"/>
              <w:ind w:firstLine="0"/>
              <w:jc w:val="center"/>
              <w:rPr>
                <w:b/>
                <w:bCs/>
              </w:rPr>
            </w:pPr>
            <w:r w:rsidRPr="000D5413">
              <w:rPr>
                <w:rFonts w:asciiTheme="majorBidi" w:hAnsiTheme="majorBidi" w:cstheme="majorBidi"/>
                <w:lang w:val="en-US" w:eastAsia="en-GB"/>
              </w:rPr>
              <w:t>D</w:t>
            </w:r>
            <w:r>
              <w:rPr>
                <w:rFonts w:asciiTheme="majorBidi" w:hAnsiTheme="majorBidi" w:cstheme="majorBidi"/>
                <w:lang w:val="en-US"/>
              </w:rPr>
              <w:t>SOUZA</w:t>
            </w:r>
            <w:r w:rsidRPr="00D1557D">
              <w:rPr>
                <w:b/>
                <w:bCs/>
              </w:rPr>
              <w:t xml:space="preserve"> </w:t>
            </w:r>
            <w:r w:rsidR="000D5413" w:rsidRPr="00D1557D">
              <w:rPr>
                <w:b/>
                <w:bCs/>
              </w:rPr>
              <w:t>[</w:t>
            </w:r>
            <w:r w:rsidRPr="00D1557D">
              <w:rPr>
                <w:b/>
                <w:bCs/>
              </w:rPr>
              <w:t>8</w:t>
            </w:r>
            <w:r w:rsidR="000D5413" w:rsidRPr="00D1557D">
              <w:rPr>
                <w:b/>
                <w:bCs/>
              </w:rPr>
              <w:t>]</w:t>
            </w:r>
          </w:p>
        </w:tc>
      </w:tr>
      <w:tr w:rsidR="000D5413" w14:paraId="39FC98B0" w14:textId="77777777" w:rsidTr="00F275F4">
        <w:trPr>
          <w:jc w:val="center"/>
        </w:trPr>
        <w:tc>
          <w:tcPr>
            <w:tcW w:w="3544" w:type="dxa"/>
            <w:tcBorders>
              <w:top w:val="single" w:sz="4" w:space="0" w:color="auto"/>
            </w:tcBorders>
          </w:tcPr>
          <w:p w14:paraId="179EC293" w14:textId="174E392F" w:rsidR="000D5413" w:rsidRDefault="00F275F4" w:rsidP="00AD38C8">
            <w:pPr>
              <w:pStyle w:val="Corpsdetexte"/>
              <w:ind w:firstLine="0"/>
            </w:pPr>
            <w:r>
              <w:rPr>
                <w:rStyle w:val="TabletextChar"/>
              </w:rPr>
              <w:t>Effective multiplication factor</w:t>
            </w:r>
          </w:p>
        </w:tc>
        <w:tc>
          <w:tcPr>
            <w:tcW w:w="2410" w:type="dxa"/>
            <w:tcBorders>
              <w:top w:val="single" w:sz="4" w:space="0" w:color="auto"/>
            </w:tcBorders>
          </w:tcPr>
          <w:p w14:paraId="409B4703" w14:textId="1D8EB871" w:rsidR="000D5413" w:rsidRDefault="007A57B7" w:rsidP="00AD38C8">
            <w:pPr>
              <w:pStyle w:val="Corpsdetexte"/>
              <w:ind w:firstLine="0"/>
              <w:jc w:val="center"/>
            </w:pPr>
            <w:r>
              <w:t>1.1881±0.00025</w:t>
            </w:r>
          </w:p>
        </w:tc>
        <w:tc>
          <w:tcPr>
            <w:tcW w:w="2268" w:type="dxa"/>
            <w:tcBorders>
              <w:top w:val="single" w:sz="4" w:space="0" w:color="auto"/>
            </w:tcBorders>
          </w:tcPr>
          <w:p w14:paraId="20000E1E" w14:textId="2B02AAC3" w:rsidR="000D5413" w:rsidRDefault="00F275F4" w:rsidP="00AD38C8">
            <w:pPr>
              <w:pStyle w:val="Corpsdetexte"/>
              <w:ind w:firstLine="0"/>
              <w:jc w:val="center"/>
            </w:pPr>
            <w:r>
              <w:t>1.11</w:t>
            </w:r>
            <w:r w:rsidR="000D5413">
              <w:t>9</w:t>
            </w:r>
            <w:r>
              <w:t xml:space="preserve">45 </w:t>
            </w:r>
            <w:r w:rsidR="007A57B7">
              <w:t>±</w:t>
            </w:r>
            <w:r>
              <w:t>0.00014</w:t>
            </w:r>
          </w:p>
        </w:tc>
      </w:tr>
      <w:tr w:rsidR="000D5413" w14:paraId="7AA2917A" w14:textId="77777777" w:rsidTr="00F275F4">
        <w:trPr>
          <w:jc w:val="center"/>
        </w:trPr>
        <w:tc>
          <w:tcPr>
            <w:tcW w:w="3544" w:type="dxa"/>
          </w:tcPr>
          <w:p w14:paraId="2A7A64AA" w14:textId="7011386E" w:rsidR="000D5413" w:rsidRDefault="00F275F4" w:rsidP="00AD38C8">
            <w:pPr>
              <w:pStyle w:val="Corpsdetexte"/>
              <w:ind w:firstLine="0"/>
            </w:pPr>
            <w:r>
              <w:rPr>
                <w:rStyle w:val="TabletextChar"/>
              </w:rPr>
              <w:t>Maximum to average flux ratio</w:t>
            </w:r>
          </w:p>
        </w:tc>
        <w:tc>
          <w:tcPr>
            <w:tcW w:w="2410" w:type="dxa"/>
          </w:tcPr>
          <w:p w14:paraId="3474A799" w14:textId="205101D7" w:rsidR="000D5413" w:rsidRDefault="007A57B7" w:rsidP="00AD38C8">
            <w:pPr>
              <w:pStyle w:val="Corpsdetexte"/>
              <w:ind w:firstLine="0"/>
              <w:jc w:val="center"/>
            </w:pPr>
            <w:r>
              <w:t>2.672</w:t>
            </w:r>
          </w:p>
        </w:tc>
        <w:tc>
          <w:tcPr>
            <w:tcW w:w="2268" w:type="dxa"/>
          </w:tcPr>
          <w:p w14:paraId="7A4E6A40" w14:textId="6D66E59C" w:rsidR="000D5413" w:rsidRDefault="00F275F4" w:rsidP="00AD38C8">
            <w:pPr>
              <w:pStyle w:val="Corpsdetexte"/>
              <w:ind w:firstLine="0"/>
              <w:jc w:val="center"/>
            </w:pPr>
            <w:r>
              <w:t>2.807</w:t>
            </w:r>
          </w:p>
        </w:tc>
      </w:tr>
      <w:tr w:rsidR="000D5413" w14:paraId="4F1DA7C1" w14:textId="77777777" w:rsidTr="00F275F4">
        <w:trPr>
          <w:jc w:val="center"/>
        </w:trPr>
        <w:tc>
          <w:tcPr>
            <w:tcW w:w="3544" w:type="dxa"/>
          </w:tcPr>
          <w:p w14:paraId="49B3E38A" w14:textId="098E03E7" w:rsidR="000D5413" w:rsidRDefault="00F275F4" w:rsidP="00AD38C8">
            <w:pPr>
              <w:pStyle w:val="Corpsdetexte"/>
              <w:ind w:firstLine="0"/>
              <w:rPr>
                <w:rStyle w:val="TabletextChar"/>
              </w:rPr>
            </w:pPr>
            <w:r>
              <w:rPr>
                <w:rStyle w:val="TabletextChar"/>
              </w:rPr>
              <w:t>Delayed neutron fraction</w:t>
            </w:r>
          </w:p>
        </w:tc>
        <w:tc>
          <w:tcPr>
            <w:tcW w:w="2410" w:type="dxa"/>
          </w:tcPr>
          <w:p w14:paraId="152D0678" w14:textId="6A7273DF" w:rsidR="000D5413" w:rsidRDefault="007A57B7" w:rsidP="00AD38C8">
            <w:pPr>
              <w:pStyle w:val="Corpsdetexte"/>
              <w:ind w:firstLine="0"/>
              <w:jc w:val="center"/>
            </w:pPr>
            <w:r>
              <w:t>0.006</w:t>
            </w:r>
            <w:r w:rsidR="006C08B2">
              <w:t>8</w:t>
            </w:r>
          </w:p>
        </w:tc>
        <w:tc>
          <w:tcPr>
            <w:tcW w:w="2268" w:type="dxa"/>
          </w:tcPr>
          <w:p w14:paraId="7B5DDB31" w14:textId="2E31EB2E" w:rsidR="000D5413" w:rsidRDefault="00F275F4" w:rsidP="00AD38C8">
            <w:pPr>
              <w:pStyle w:val="Corpsdetexte"/>
              <w:ind w:firstLine="0"/>
              <w:jc w:val="center"/>
            </w:pPr>
            <w:r>
              <w:t>0.00671</w:t>
            </w:r>
          </w:p>
        </w:tc>
      </w:tr>
      <w:tr w:rsidR="00F275F4" w14:paraId="3FC21D6B" w14:textId="77777777" w:rsidTr="00F275F4">
        <w:trPr>
          <w:jc w:val="center"/>
        </w:trPr>
        <w:tc>
          <w:tcPr>
            <w:tcW w:w="3544" w:type="dxa"/>
          </w:tcPr>
          <w:p w14:paraId="145856EC" w14:textId="4A67E44B" w:rsidR="00F275F4" w:rsidRDefault="00F275F4" w:rsidP="00AD38C8">
            <w:pPr>
              <w:pStyle w:val="Corpsdetexte"/>
              <w:ind w:firstLine="0"/>
              <w:rPr>
                <w:rStyle w:val="TabletextChar"/>
              </w:rPr>
            </w:pPr>
            <w:r>
              <w:rPr>
                <w:rStyle w:val="TabletextChar"/>
              </w:rPr>
              <w:t>Control rod worth</w:t>
            </w:r>
          </w:p>
        </w:tc>
        <w:tc>
          <w:tcPr>
            <w:tcW w:w="2410" w:type="dxa"/>
          </w:tcPr>
          <w:p w14:paraId="1C0B5548" w14:textId="031020DF" w:rsidR="00F275F4" w:rsidRDefault="007A57B7" w:rsidP="00AD38C8">
            <w:pPr>
              <w:pStyle w:val="Corpsdetexte"/>
              <w:ind w:firstLine="0"/>
              <w:jc w:val="center"/>
            </w:pPr>
            <w:r>
              <w:t>0.1</w:t>
            </w:r>
            <w:r w:rsidR="006C08B2">
              <w:t>630</w:t>
            </w:r>
          </w:p>
        </w:tc>
        <w:tc>
          <w:tcPr>
            <w:tcW w:w="2268" w:type="dxa"/>
          </w:tcPr>
          <w:p w14:paraId="79D371CF" w14:textId="3F0B9F90" w:rsidR="00F275F4" w:rsidRDefault="00F275F4" w:rsidP="00AD38C8">
            <w:pPr>
              <w:pStyle w:val="Corpsdetexte"/>
              <w:ind w:firstLine="0"/>
              <w:jc w:val="center"/>
            </w:pPr>
            <w:r>
              <w:t>0.1715</w:t>
            </w:r>
          </w:p>
        </w:tc>
      </w:tr>
      <w:tr w:rsidR="00F275F4" w14:paraId="596E8E52" w14:textId="77777777" w:rsidTr="00F275F4">
        <w:trPr>
          <w:jc w:val="center"/>
        </w:trPr>
        <w:tc>
          <w:tcPr>
            <w:tcW w:w="3544" w:type="dxa"/>
          </w:tcPr>
          <w:p w14:paraId="75F460D2" w14:textId="217E4E91" w:rsidR="00F275F4" w:rsidRPr="00F275F4" w:rsidRDefault="00F275F4" w:rsidP="00F275F4">
            <w:pPr>
              <w:pStyle w:val="Corpsdetexte"/>
              <w:ind w:firstLine="0"/>
              <w:rPr>
                <w:rStyle w:val="TabletextChar"/>
                <w:sz w:val="18"/>
                <w:szCs w:val="18"/>
                <w:lang w:val="en-US"/>
              </w:rPr>
            </w:pPr>
            <w:r>
              <w:rPr>
                <w:rStyle w:val="TabletextChar"/>
              </w:rPr>
              <w:t>Fuel coefficient of reactivity (</w:t>
            </w:r>
            <w:r w:rsidRPr="00F275F4">
              <w:rPr>
                <w:sz w:val="18"/>
                <w:szCs w:val="18"/>
              </w:rPr>
              <w:t>δ</w:t>
            </w:r>
            <w:r w:rsidRPr="00F275F4">
              <w:rPr>
                <w:sz w:val="18"/>
                <w:szCs w:val="18"/>
                <w:lang w:val="en-US"/>
              </w:rPr>
              <w:t>k/</w:t>
            </w:r>
            <w:r>
              <w:rPr>
                <w:sz w:val="18"/>
                <w:szCs w:val="18"/>
                <w:lang w:val="en-US"/>
              </w:rPr>
              <w:t>°</w:t>
            </w:r>
            <w:r w:rsidRPr="00F275F4">
              <w:rPr>
                <w:sz w:val="18"/>
                <w:szCs w:val="18"/>
                <w:lang w:val="en-US"/>
              </w:rPr>
              <w:t xml:space="preserve">C) </w:t>
            </w:r>
          </w:p>
        </w:tc>
        <w:tc>
          <w:tcPr>
            <w:tcW w:w="2410" w:type="dxa"/>
          </w:tcPr>
          <w:p w14:paraId="3B3344DC" w14:textId="6047C9CE" w:rsidR="00F275F4" w:rsidRDefault="007A57B7" w:rsidP="00AD38C8">
            <w:pPr>
              <w:pStyle w:val="Corpsdetexte"/>
              <w:ind w:firstLine="0"/>
              <w:jc w:val="center"/>
            </w:pPr>
            <w:r>
              <w:t>-2.</w:t>
            </w:r>
            <w:r w:rsidR="006C08B2">
              <w:t>24</w:t>
            </w:r>
            <w:r>
              <w:t>E-05</w:t>
            </w:r>
          </w:p>
        </w:tc>
        <w:tc>
          <w:tcPr>
            <w:tcW w:w="2268" w:type="dxa"/>
          </w:tcPr>
          <w:p w14:paraId="38E58D68" w14:textId="7279CFA9" w:rsidR="00F275F4" w:rsidRDefault="00F275F4" w:rsidP="00AD38C8">
            <w:pPr>
              <w:pStyle w:val="Corpsdetexte"/>
              <w:ind w:firstLine="0"/>
              <w:jc w:val="center"/>
            </w:pPr>
            <w:r>
              <w:t>-2.58E-05</w:t>
            </w:r>
          </w:p>
        </w:tc>
      </w:tr>
      <w:tr w:rsidR="00F275F4" w14:paraId="1F89F4C3" w14:textId="77777777" w:rsidTr="00F275F4">
        <w:trPr>
          <w:jc w:val="center"/>
        </w:trPr>
        <w:tc>
          <w:tcPr>
            <w:tcW w:w="3544" w:type="dxa"/>
          </w:tcPr>
          <w:p w14:paraId="5E5CB29A" w14:textId="524AAB16" w:rsidR="00F275F4" w:rsidRPr="00F275F4" w:rsidRDefault="00F275F4" w:rsidP="00F275F4">
            <w:pPr>
              <w:pStyle w:val="Corpsdetexte"/>
              <w:ind w:firstLine="0"/>
              <w:rPr>
                <w:rStyle w:val="TabletextChar"/>
                <w:sz w:val="18"/>
                <w:szCs w:val="18"/>
              </w:rPr>
            </w:pPr>
            <w:r>
              <w:rPr>
                <w:rStyle w:val="TabletextChar"/>
              </w:rPr>
              <w:t xml:space="preserve">Moderator coefficient of reactivity </w:t>
            </w:r>
            <w:r w:rsidRPr="00F275F4">
              <w:rPr>
                <w:sz w:val="18"/>
                <w:szCs w:val="18"/>
              </w:rPr>
              <w:t>(</w:t>
            </w:r>
            <w:proofErr w:type="spellStart"/>
            <w:r w:rsidRPr="00F275F4">
              <w:rPr>
                <w:sz w:val="18"/>
                <w:szCs w:val="18"/>
              </w:rPr>
              <w:t>δk</w:t>
            </w:r>
            <w:proofErr w:type="spellEnd"/>
            <w:r w:rsidRPr="00F275F4">
              <w:rPr>
                <w:sz w:val="18"/>
                <w:szCs w:val="18"/>
              </w:rPr>
              <w:t>/</w:t>
            </w:r>
            <w:r>
              <w:rPr>
                <w:sz w:val="18"/>
                <w:szCs w:val="18"/>
              </w:rPr>
              <w:t>°</w:t>
            </w:r>
            <w:r w:rsidRPr="00F275F4">
              <w:rPr>
                <w:sz w:val="18"/>
                <w:szCs w:val="18"/>
              </w:rPr>
              <w:t xml:space="preserve">C) </w:t>
            </w:r>
          </w:p>
        </w:tc>
        <w:tc>
          <w:tcPr>
            <w:tcW w:w="2410" w:type="dxa"/>
          </w:tcPr>
          <w:p w14:paraId="253CA413" w14:textId="00DC88CE" w:rsidR="00F275F4" w:rsidRDefault="007A57B7" w:rsidP="00AD38C8">
            <w:pPr>
              <w:pStyle w:val="Corpsdetexte"/>
              <w:ind w:firstLine="0"/>
              <w:jc w:val="center"/>
            </w:pPr>
            <w:r>
              <w:t>-1.</w:t>
            </w:r>
            <w:r w:rsidR="006C08B2">
              <w:t>45</w:t>
            </w:r>
            <w:r>
              <w:t>E-03</w:t>
            </w:r>
          </w:p>
        </w:tc>
        <w:tc>
          <w:tcPr>
            <w:tcW w:w="2268" w:type="dxa"/>
          </w:tcPr>
          <w:p w14:paraId="226F367C" w14:textId="2A40DEDA" w:rsidR="00F275F4" w:rsidRDefault="00F275F4" w:rsidP="00AD38C8">
            <w:pPr>
              <w:pStyle w:val="Corpsdetexte"/>
              <w:ind w:firstLine="0"/>
              <w:jc w:val="center"/>
            </w:pPr>
            <w:r>
              <w:t>-1.57E-03</w:t>
            </w:r>
          </w:p>
        </w:tc>
      </w:tr>
    </w:tbl>
    <w:p w14:paraId="5967937B" w14:textId="77777777" w:rsidR="00CF1789" w:rsidRDefault="00CF1789" w:rsidP="009C63DD">
      <w:pPr>
        <w:pStyle w:val="Corpsdetexte"/>
        <w:rPr>
          <w:rFonts w:asciiTheme="majorBidi" w:hAnsiTheme="majorBidi" w:cstheme="majorBidi"/>
          <w:color w:val="1C1C1C"/>
          <w:sz w:val="18"/>
          <w:szCs w:val="18"/>
          <w:shd w:val="clear" w:color="auto" w:fill="FFFFFF"/>
        </w:rPr>
      </w:pPr>
    </w:p>
    <w:p w14:paraId="618CC7E6" w14:textId="56687944" w:rsidR="00992B80" w:rsidRDefault="00992B80" w:rsidP="00992B80">
      <w:pPr>
        <w:pStyle w:val="Titre3"/>
        <w:numPr>
          <w:ilvl w:val="1"/>
          <w:numId w:val="34"/>
        </w:numPr>
      </w:pPr>
      <w:r>
        <w:t>Normalized radial neutron flux</w:t>
      </w:r>
    </w:p>
    <w:p w14:paraId="1072D769" w14:textId="77777777" w:rsidR="00843582" w:rsidRDefault="00C31E56" w:rsidP="00843582">
      <w:pPr>
        <w:pStyle w:val="Corpsdetexte"/>
        <w:ind w:firstLine="357"/>
        <w:rPr>
          <w:rFonts w:asciiTheme="majorBidi" w:hAnsiTheme="majorBidi" w:cstheme="majorBidi"/>
          <w:color w:val="1C1C1C"/>
          <w:shd w:val="clear" w:color="auto" w:fill="FFFFFF"/>
        </w:rPr>
      </w:pPr>
      <w:r w:rsidRPr="00843582">
        <w:rPr>
          <w:rFonts w:asciiTheme="majorBidi" w:hAnsiTheme="majorBidi" w:cstheme="majorBidi"/>
          <w:color w:val="1C1C1C"/>
          <w:shd w:val="clear" w:color="auto" w:fill="FFFFFF"/>
        </w:rPr>
        <w:t>It is evident from the illustration that the flux profile is evenly distributed throughout the core in both calculations. This uniform distribution results from the consistent loading of the fuel and the burnable absorber, which guarantees predictable core temperatures and consistent fuel depletion during reactor operation. The high source of heat generation is indicated by the maximum neutron flux at the central fuel assembly. Additionally, the surrounding area, especially the 2.35 enriched UO</w:t>
      </w:r>
      <w:r w:rsidRPr="00843582">
        <w:rPr>
          <w:rFonts w:asciiTheme="majorBidi" w:hAnsiTheme="majorBidi" w:cstheme="majorBidi"/>
          <w:color w:val="1C1C1C"/>
          <w:shd w:val="clear" w:color="auto" w:fill="FFFFFF"/>
          <w:vertAlign w:val="subscript"/>
        </w:rPr>
        <w:t>2</w:t>
      </w:r>
      <w:r w:rsidRPr="00843582">
        <w:rPr>
          <w:rFonts w:asciiTheme="majorBidi" w:hAnsiTheme="majorBidi" w:cstheme="majorBidi"/>
          <w:color w:val="1C1C1C"/>
          <w:shd w:val="clear" w:color="auto" w:fill="FFFFFF"/>
        </w:rPr>
        <w:t xml:space="preserve"> fuel assemblies, also displayed higher flux, as shown in the figure.</w:t>
      </w:r>
      <w:r w:rsidR="00843582">
        <w:rPr>
          <w:rFonts w:asciiTheme="majorBidi" w:hAnsiTheme="majorBidi" w:cstheme="majorBidi"/>
          <w:color w:val="1C1C1C"/>
          <w:shd w:val="clear" w:color="auto" w:fill="FFFFFF"/>
        </w:rPr>
        <w:t xml:space="preserve"> </w:t>
      </w:r>
    </w:p>
    <w:p w14:paraId="6AA56D08" w14:textId="599050A6" w:rsidR="00C31E56" w:rsidRPr="00843582" w:rsidRDefault="00C31E56" w:rsidP="00843582">
      <w:pPr>
        <w:pStyle w:val="Corpsdetexte"/>
        <w:ind w:firstLine="357"/>
        <w:rPr>
          <w:lang w:val="en-US" w:eastAsia="fr-FR"/>
        </w:rPr>
      </w:pPr>
      <w:r w:rsidRPr="00843582">
        <w:rPr>
          <w:lang w:val="en-US" w:eastAsia="fr-FR"/>
        </w:rPr>
        <w:t>The flux in the cores was shaped or flattened using a combination of reflector conditions (light water) and zoning (variation in fuel concentration or poison loading). Although zoning had a high impact on neutron economy due to its high neutron absorption cross section, it proved to be the more effective method. Both MCNP simulation and our study showed a maximum to average flux ratio above 1, at 2.807 and 2.537, respectively, indicating that maximum heat generation rate is more significant than the average neutron flux. The UO</w:t>
      </w:r>
      <w:r w:rsidRPr="00843582">
        <w:rPr>
          <w:vertAlign w:val="subscript"/>
          <w:lang w:val="en-US" w:eastAsia="fr-FR"/>
        </w:rPr>
        <w:t>2</w:t>
      </w:r>
      <w:r w:rsidRPr="00843582">
        <w:rPr>
          <w:lang w:val="en-US" w:eastAsia="fr-FR"/>
        </w:rPr>
        <w:t>-fueled core had a greater maximum to average flux ratio than a standard reactor (2.3 value), based on the energy safely carried by the coolant.</w:t>
      </w:r>
    </w:p>
    <w:p w14:paraId="539B3AE6" w14:textId="11C833B7" w:rsidR="00C31E56" w:rsidRPr="00C31E56" w:rsidRDefault="00C31E56" w:rsidP="00C31E56">
      <w:pPr>
        <w:overflowPunct/>
        <w:autoSpaceDE/>
        <w:autoSpaceDN/>
        <w:adjustRightInd/>
        <w:textAlignment w:val="auto"/>
        <w:rPr>
          <w:sz w:val="24"/>
          <w:szCs w:val="24"/>
          <w:lang w:val="fr-FR" w:eastAsia="fr-FR"/>
        </w:rPr>
      </w:pPr>
      <w:r w:rsidRPr="00C31E56">
        <w:rPr>
          <w:noProof/>
          <w:sz w:val="24"/>
          <w:szCs w:val="24"/>
          <w:lang w:val="fr-FR" w:eastAsia="fr-FR"/>
        </w:rPr>
        <mc:AlternateContent>
          <mc:Choice Requires="wps">
            <w:drawing>
              <wp:inline distT="0" distB="0" distL="0" distR="0" wp14:anchorId="47DC5493" wp14:editId="5BC438E9">
                <wp:extent cx="304800" cy="304800"/>
                <wp:effectExtent l="0" t="0" r="0" b="0"/>
                <wp:docPr id="126678311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45FA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97398B" w14:textId="77777777" w:rsidR="00C11F38" w:rsidRDefault="00C11F38" w:rsidP="00E41220">
      <w:pPr>
        <w:pStyle w:val="Corpsdetexte"/>
        <w:ind w:firstLine="0"/>
      </w:pPr>
    </w:p>
    <w:p w14:paraId="5E45459B" w14:textId="166BC284" w:rsidR="0061785D" w:rsidRDefault="00A53C2D" w:rsidP="00A53C2D">
      <w:pPr>
        <w:pStyle w:val="Corpsdetexte"/>
        <w:ind w:firstLine="0"/>
        <w:jc w:val="center"/>
      </w:pPr>
      <w:r>
        <w:rPr>
          <w:noProof/>
        </w:rPr>
        <w:lastRenderedPageBreak/>
        <w:drawing>
          <wp:inline distT="0" distB="0" distL="0" distR="0" wp14:anchorId="3F11F235" wp14:editId="48700BEC">
            <wp:extent cx="3590925" cy="2746797"/>
            <wp:effectExtent l="0" t="0" r="0" b="0"/>
            <wp:docPr id="15605248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24845" name=""/>
                    <pic:cNvPicPr/>
                  </pic:nvPicPr>
                  <pic:blipFill>
                    <a:blip r:embed="rId13"/>
                    <a:stretch>
                      <a:fillRect/>
                    </a:stretch>
                  </pic:blipFill>
                  <pic:spPr>
                    <a:xfrm>
                      <a:off x="0" y="0"/>
                      <a:ext cx="3601737" cy="2755067"/>
                    </a:xfrm>
                    <a:prstGeom prst="rect">
                      <a:avLst/>
                    </a:prstGeom>
                  </pic:spPr>
                </pic:pic>
              </a:graphicData>
            </a:graphic>
          </wp:inline>
        </w:drawing>
      </w:r>
    </w:p>
    <w:p w14:paraId="27C24D0D" w14:textId="21B52238" w:rsidR="0061785D" w:rsidRDefault="0061785D" w:rsidP="0061785D">
      <w:pPr>
        <w:pStyle w:val="Corpsdetexte"/>
        <w:jc w:val="center"/>
        <w:rPr>
          <w:iCs/>
        </w:rPr>
      </w:pPr>
      <w:r w:rsidRPr="00802381">
        <w:rPr>
          <w:i/>
        </w:rPr>
        <w:t xml:space="preserve">FIG. </w:t>
      </w:r>
      <w:r w:rsidR="00843582">
        <w:rPr>
          <w:i/>
        </w:rPr>
        <w:t>4</w:t>
      </w:r>
      <w:r>
        <w:rPr>
          <w:i/>
        </w:rPr>
        <w:t>. Normalized radial neutron flux</w:t>
      </w:r>
    </w:p>
    <w:p w14:paraId="4C57C66F" w14:textId="3F1B4D1B" w:rsidR="00065AAB" w:rsidRDefault="00065AAB" w:rsidP="00065AAB">
      <w:pPr>
        <w:pStyle w:val="Titre2"/>
        <w:numPr>
          <w:ilvl w:val="1"/>
          <w:numId w:val="10"/>
        </w:numPr>
      </w:pPr>
      <w:r>
        <w:t xml:space="preserve">conclusion </w:t>
      </w:r>
    </w:p>
    <w:p w14:paraId="3C837E78" w14:textId="77777777" w:rsidR="00065AAB" w:rsidRPr="00065AAB" w:rsidRDefault="00065AAB" w:rsidP="00065AAB">
      <w:pPr>
        <w:pStyle w:val="Corpsdetexte"/>
        <w:rPr>
          <w:iCs/>
        </w:rPr>
      </w:pPr>
    </w:p>
    <w:p w14:paraId="6F07B744" w14:textId="1318C645" w:rsidR="00966A49" w:rsidRPr="005709BD" w:rsidRDefault="00966A49" w:rsidP="005709BD">
      <w:pPr>
        <w:overflowPunct/>
        <w:jc w:val="both"/>
        <w:textAlignment w:val="auto"/>
        <w:rPr>
          <w:rFonts w:asciiTheme="majorBidi" w:hAnsiTheme="majorBidi" w:cstheme="majorBidi"/>
          <w:sz w:val="20"/>
          <w:lang w:val="en-US"/>
        </w:rPr>
      </w:pPr>
      <w:r w:rsidRPr="005709BD">
        <w:rPr>
          <w:rFonts w:asciiTheme="majorBidi" w:hAnsiTheme="majorBidi" w:cstheme="majorBidi"/>
          <w:sz w:val="20"/>
          <w:lang w:val="en-US"/>
        </w:rPr>
        <w:t xml:space="preserve">In this research, the study is focused on the conceptual design and the neutronic characteristics of </w:t>
      </w:r>
      <w:r w:rsidRPr="005709BD">
        <w:rPr>
          <w:rFonts w:asciiTheme="majorBidi" w:hAnsiTheme="majorBidi" w:cstheme="majorBidi"/>
          <w:sz w:val="20"/>
          <w:lang w:val="en-US"/>
        </w:rPr>
        <w:t>SMR model based on AP300</w:t>
      </w:r>
      <w:r w:rsidRPr="005709BD">
        <w:rPr>
          <w:rFonts w:asciiTheme="majorBidi" w:hAnsiTheme="majorBidi" w:cstheme="majorBidi"/>
          <w:sz w:val="20"/>
          <w:lang w:val="en-US"/>
        </w:rPr>
        <w:t xml:space="preserve"> fuel</w:t>
      </w:r>
      <w:r w:rsidRPr="005709BD">
        <w:rPr>
          <w:rFonts w:asciiTheme="majorBidi" w:hAnsiTheme="majorBidi" w:cstheme="majorBidi"/>
          <w:sz w:val="20"/>
          <w:lang w:val="en-US"/>
        </w:rPr>
        <w:t xml:space="preserve"> design</w:t>
      </w:r>
      <w:r w:rsidRPr="005709BD">
        <w:rPr>
          <w:rFonts w:asciiTheme="majorBidi" w:hAnsiTheme="majorBidi" w:cstheme="majorBidi"/>
          <w:sz w:val="20"/>
          <w:lang w:val="en-US"/>
        </w:rPr>
        <w:t>. The 3-D model was carried out using</w:t>
      </w:r>
      <w:r w:rsidRPr="005709BD">
        <w:rPr>
          <w:rFonts w:asciiTheme="majorBidi" w:hAnsiTheme="majorBidi" w:cstheme="majorBidi"/>
          <w:sz w:val="20"/>
          <w:lang w:val="en-US"/>
        </w:rPr>
        <w:t xml:space="preserve"> </w:t>
      </w:r>
      <w:proofErr w:type="spellStart"/>
      <w:r w:rsidRPr="005709BD">
        <w:rPr>
          <w:rFonts w:asciiTheme="majorBidi" w:hAnsiTheme="majorBidi" w:cstheme="majorBidi"/>
          <w:sz w:val="20"/>
          <w:lang w:val="en-US"/>
        </w:rPr>
        <w:t>OpenMC</w:t>
      </w:r>
      <w:proofErr w:type="spellEnd"/>
      <w:r w:rsidRPr="005709BD">
        <w:rPr>
          <w:rFonts w:asciiTheme="majorBidi" w:hAnsiTheme="majorBidi" w:cstheme="majorBidi"/>
          <w:sz w:val="20"/>
          <w:lang w:val="en-US"/>
        </w:rPr>
        <w:t xml:space="preserve"> code owing to assess </w:t>
      </w:r>
      <w:proofErr w:type="spellStart"/>
      <w:r w:rsidRPr="005709BD">
        <w:rPr>
          <w:rFonts w:asciiTheme="majorBidi" w:hAnsiTheme="majorBidi" w:cstheme="majorBidi"/>
          <w:sz w:val="20"/>
          <w:lang w:val="en-US"/>
        </w:rPr>
        <w:t>keff</w:t>
      </w:r>
      <w:proofErr w:type="spellEnd"/>
      <w:r w:rsidRPr="005709BD">
        <w:rPr>
          <w:rFonts w:asciiTheme="majorBidi" w:hAnsiTheme="majorBidi" w:cstheme="majorBidi"/>
          <w:sz w:val="20"/>
          <w:lang w:val="en-US"/>
        </w:rPr>
        <w:t xml:space="preserve">, neutron energy spectra and spatial neutron flux distributions. The main conclusions conducted by these calculations are. </w:t>
      </w:r>
    </w:p>
    <w:p w14:paraId="5FA594C5" w14:textId="1A2562AD" w:rsidR="000D5413" w:rsidRPr="005709BD" w:rsidRDefault="00966A49" w:rsidP="005709BD">
      <w:pPr>
        <w:pStyle w:val="Corpsdetexte"/>
        <w:ind w:firstLine="0"/>
        <w:rPr>
          <w:rFonts w:asciiTheme="majorBidi" w:hAnsiTheme="majorBidi" w:cstheme="majorBidi"/>
          <w:lang w:val="en-US"/>
        </w:rPr>
      </w:pPr>
      <w:r w:rsidRPr="005709BD">
        <w:rPr>
          <w:rFonts w:asciiTheme="majorBidi" w:hAnsiTheme="majorBidi" w:cstheme="majorBidi"/>
          <w:lang w:val="en-US"/>
        </w:rPr>
        <w:t xml:space="preserve">(1) ENDF-B/VII, the newer cross section data library, overestimates the </w:t>
      </w:r>
      <w:proofErr w:type="spellStart"/>
      <w:r w:rsidRPr="005709BD">
        <w:rPr>
          <w:rFonts w:asciiTheme="majorBidi" w:hAnsiTheme="majorBidi" w:cstheme="majorBidi"/>
          <w:lang w:val="en-US"/>
        </w:rPr>
        <w:t>keff</w:t>
      </w:r>
      <w:proofErr w:type="spellEnd"/>
      <w:r w:rsidRPr="005709BD">
        <w:rPr>
          <w:rFonts w:asciiTheme="majorBidi" w:hAnsiTheme="majorBidi" w:cstheme="majorBidi"/>
          <w:lang w:val="en-US"/>
        </w:rPr>
        <w:t xml:space="preserve"> in comparison to use </w:t>
      </w:r>
      <w:r w:rsidR="00324F7A" w:rsidRPr="005709BD">
        <w:rPr>
          <w:rFonts w:asciiTheme="majorBidi" w:hAnsiTheme="majorBidi" w:cstheme="majorBidi"/>
          <w:lang w:val="en-US" w:eastAsia="en-GB"/>
        </w:rPr>
        <w:t>D</w:t>
      </w:r>
      <w:r w:rsidR="00324F7A" w:rsidRPr="005709BD">
        <w:rPr>
          <w:rFonts w:asciiTheme="majorBidi" w:hAnsiTheme="majorBidi" w:cstheme="majorBidi"/>
          <w:lang w:val="en-US"/>
        </w:rPr>
        <w:t>SOUZA</w:t>
      </w:r>
      <w:r w:rsidR="00324F7A" w:rsidRPr="005709BD">
        <w:rPr>
          <w:rFonts w:asciiTheme="majorBidi" w:hAnsiTheme="majorBidi" w:cstheme="majorBidi"/>
          <w:lang w:val="en-US"/>
        </w:rPr>
        <w:t xml:space="preserve"> results </w:t>
      </w:r>
      <w:r w:rsidRPr="005709BD">
        <w:rPr>
          <w:rFonts w:asciiTheme="majorBidi" w:hAnsiTheme="majorBidi" w:cstheme="majorBidi"/>
          <w:lang w:val="en-US"/>
        </w:rPr>
        <w:t xml:space="preserve">about </w:t>
      </w:r>
      <w:r w:rsidRPr="005709BD">
        <w:t>1.1881±0.00025</w:t>
      </w:r>
      <w:r w:rsidRPr="005709BD">
        <w:rPr>
          <w:rFonts w:asciiTheme="majorBidi" w:hAnsiTheme="majorBidi" w:cstheme="majorBidi"/>
          <w:lang w:val="en-US"/>
        </w:rPr>
        <w:t xml:space="preserve">. (2) </w:t>
      </w:r>
      <w:r w:rsidR="00324F7A" w:rsidRPr="005709BD">
        <w:rPr>
          <w:rStyle w:val="TabletextChar"/>
        </w:rPr>
        <w:t>Maximum to average flux ratio</w:t>
      </w:r>
      <w:r w:rsidR="00324F7A" w:rsidRPr="005709BD">
        <w:rPr>
          <w:rStyle w:val="TabletextChar"/>
        </w:rPr>
        <w:t xml:space="preserve"> </w:t>
      </w:r>
      <w:r w:rsidR="00324F7A" w:rsidRPr="005709BD">
        <w:t>2.672</w:t>
      </w:r>
      <w:r w:rsidR="00324F7A" w:rsidRPr="005709BD">
        <w:t xml:space="preserve">, </w:t>
      </w:r>
      <w:r w:rsidR="00324F7A" w:rsidRPr="005709BD">
        <w:rPr>
          <w:rStyle w:val="TabletextChar"/>
        </w:rPr>
        <w:t>Delayed neutron fraction</w:t>
      </w:r>
      <w:r w:rsidR="00324F7A" w:rsidRPr="005709BD">
        <w:rPr>
          <w:rStyle w:val="TabletextChar"/>
        </w:rPr>
        <w:t xml:space="preserve"> </w:t>
      </w:r>
      <w:r w:rsidR="00324F7A" w:rsidRPr="005709BD">
        <w:t>0.0068</w:t>
      </w:r>
      <w:r w:rsidR="005709BD" w:rsidRPr="005709BD">
        <w:t xml:space="preserve">, </w:t>
      </w:r>
      <w:r w:rsidR="00324F7A" w:rsidRPr="005709BD">
        <w:rPr>
          <w:rStyle w:val="TabletextChar"/>
        </w:rPr>
        <w:t>Control rod worth</w:t>
      </w:r>
      <w:r w:rsidR="00324F7A" w:rsidRPr="005709BD">
        <w:rPr>
          <w:rStyle w:val="TabletextChar"/>
        </w:rPr>
        <w:t xml:space="preserve"> </w:t>
      </w:r>
      <w:r w:rsidR="00324F7A" w:rsidRPr="005709BD">
        <w:t>0.1630</w:t>
      </w:r>
      <w:r w:rsidR="00324F7A" w:rsidRPr="005709BD">
        <w:t xml:space="preserve">, </w:t>
      </w:r>
      <w:r w:rsidR="00324F7A" w:rsidRPr="005709BD">
        <w:rPr>
          <w:rStyle w:val="TabletextChar"/>
        </w:rPr>
        <w:t xml:space="preserve">Fuel coefficient of reactivity </w:t>
      </w:r>
      <w:r w:rsidR="00324F7A" w:rsidRPr="005709BD">
        <w:t>-2.24E-05</w:t>
      </w:r>
      <w:r w:rsidR="00324F7A" w:rsidRPr="005709BD">
        <w:rPr>
          <w:rStyle w:val="TabletextChar"/>
        </w:rPr>
        <w:t xml:space="preserve"> </w:t>
      </w:r>
      <w:r w:rsidR="00324F7A" w:rsidRPr="005709BD">
        <w:t>δ</w:t>
      </w:r>
      <w:r w:rsidR="00324F7A" w:rsidRPr="005709BD">
        <w:rPr>
          <w:lang w:val="en-US"/>
        </w:rPr>
        <w:t>k/°C)</w:t>
      </w:r>
      <w:r w:rsidR="00324F7A" w:rsidRPr="005709BD">
        <w:rPr>
          <w:lang w:val="en-US"/>
        </w:rPr>
        <w:t xml:space="preserve">, </w:t>
      </w:r>
      <w:r w:rsidR="00324F7A" w:rsidRPr="005709BD">
        <w:rPr>
          <w:rStyle w:val="TabletextChar"/>
        </w:rPr>
        <w:t xml:space="preserve">Moderator coefficient of reactivity </w:t>
      </w:r>
      <w:r w:rsidR="00324F7A" w:rsidRPr="005709BD">
        <w:t>-1.45E-03</w:t>
      </w:r>
      <w:r w:rsidR="00324F7A" w:rsidRPr="005709BD">
        <w:t xml:space="preserve"> </w:t>
      </w:r>
      <w:proofErr w:type="spellStart"/>
      <w:r w:rsidR="00324F7A" w:rsidRPr="005709BD">
        <w:t>δk</w:t>
      </w:r>
      <w:proofErr w:type="spellEnd"/>
      <w:r w:rsidR="00324F7A" w:rsidRPr="005709BD">
        <w:t>/°C</w:t>
      </w:r>
      <w:r w:rsidR="00324F7A" w:rsidRPr="005709BD">
        <w:t>.</w:t>
      </w:r>
      <w:r w:rsidR="00324F7A" w:rsidRPr="005709BD">
        <w:rPr>
          <w:rFonts w:asciiTheme="majorBidi" w:hAnsiTheme="majorBidi" w:cstheme="majorBidi"/>
          <w:lang w:val="en-US"/>
        </w:rPr>
        <w:t xml:space="preserve"> </w:t>
      </w:r>
      <w:r w:rsidRPr="005709BD">
        <w:rPr>
          <w:rFonts w:asciiTheme="majorBidi" w:hAnsiTheme="majorBidi" w:cstheme="majorBidi"/>
          <w:lang w:val="en-US"/>
        </w:rPr>
        <w:t>(</w:t>
      </w:r>
      <w:r w:rsidR="00324F7A" w:rsidRPr="005709BD">
        <w:rPr>
          <w:rFonts w:asciiTheme="majorBidi" w:hAnsiTheme="majorBidi" w:cstheme="majorBidi"/>
          <w:lang w:val="en-US"/>
        </w:rPr>
        <w:t>3</w:t>
      </w:r>
      <w:r w:rsidRPr="005709BD">
        <w:rPr>
          <w:rFonts w:asciiTheme="majorBidi" w:hAnsiTheme="majorBidi" w:cstheme="majorBidi"/>
          <w:lang w:val="en-US"/>
        </w:rPr>
        <w:t xml:space="preserve">) As long of the radial distance and at different levels, the neutron flux keeps symmetrical shapes. </w:t>
      </w:r>
      <w:r w:rsidR="005709BD" w:rsidRPr="005709BD">
        <w:rPr>
          <w:rFonts w:asciiTheme="majorBidi" w:hAnsiTheme="majorBidi" w:cstheme="majorBidi"/>
          <w:lang w:val="en-US"/>
        </w:rPr>
        <w:t>This study presents a preliminary result that should be improved and compared with other benchmarks</w:t>
      </w:r>
      <w:r w:rsidR="005709BD">
        <w:rPr>
          <w:rFonts w:asciiTheme="majorBidi" w:hAnsiTheme="majorBidi" w:cstheme="majorBidi"/>
          <w:lang w:val="en-US"/>
        </w:rPr>
        <w:t>.</w:t>
      </w:r>
    </w:p>
    <w:p w14:paraId="32B76F9D" w14:textId="77777777" w:rsidR="00D26ADA" w:rsidRPr="00285755" w:rsidRDefault="00D26ADA" w:rsidP="00537496">
      <w:pPr>
        <w:pStyle w:val="Otherunnumberedheadings"/>
      </w:pPr>
      <w:r>
        <w:t>References</w:t>
      </w:r>
    </w:p>
    <w:p w14:paraId="2B3D3927" w14:textId="77777777" w:rsidR="00D1391F" w:rsidRDefault="00D1391F" w:rsidP="00D1391F">
      <w:pPr>
        <w:pStyle w:val="Referencelist"/>
      </w:pPr>
      <w:r w:rsidRPr="00A2187F">
        <w:rPr>
          <w:rFonts w:asciiTheme="majorBidi" w:hAnsiTheme="majorBidi" w:cstheme="majorBidi"/>
          <w:lang w:val="en-US" w:eastAsia="en-GB"/>
        </w:rPr>
        <w:t xml:space="preserve">MIT </w:t>
      </w:r>
      <w:r w:rsidRPr="00A2187F">
        <w:rPr>
          <w:rFonts w:asciiTheme="majorBidi" w:hAnsiTheme="majorBidi" w:cstheme="majorBidi"/>
          <w:b/>
          <w:bCs/>
          <w:lang w:val="en-US" w:eastAsia="en-GB"/>
        </w:rPr>
        <w:t>C</w:t>
      </w:r>
      <w:r w:rsidRPr="00A2187F">
        <w:rPr>
          <w:rFonts w:asciiTheme="majorBidi" w:hAnsiTheme="majorBidi" w:cstheme="majorBidi"/>
          <w:lang w:val="en-US" w:eastAsia="en-GB"/>
        </w:rPr>
        <w:t xml:space="preserve">omputational </w:t>
      </w:r>
      <w:r w:rsidRPr="00A2187F">
        <w:rPr>
          <w:rFonts w:asciiTheme="majorBidi" w:hAnsiTheme="majorBidi" w:cstheme="majorBidi"/>
          <w:b/>
          <w:bCs/>
          <w:lang w:val="en-US" w:eastAsia="en-GB"/>
        </w:rPr>
        <w:t>R</w:t>
      </w:r>
      <w:r w:rsidRPr="00A2187F">
        <w:rPr>
          <w:rFonts w:asciiTheme="majorBidi" w:hAnsiTheme="majorBidi" w:cstheme="majorBidi"/>
          <w:lang w:val="en-US" w:eastAsia="en-GB"/>
        </w:rPr>
        <w:t xml:space="preserve">eactor </w:t>
      </w:r>
      <w:r w:rsidRPr="00A2187F">
        <w:rPr>
          <w:rFonts w:asciiTheme="majorBidi" w:hAnsiTheme="majorBidi" w:cstheme="majorBidi"/>
          <w:b/>
          <w:bCs/>
          <w:lang w:val="en-US" w:eastAsia="en-GB"/>
        </w:rPr>
        <w:t>P</w:t>
      </w:r>
      <w:r w:rsidRPr="00A2187F">
        <w:rPr>
          <w:rFonts w:asciiTheme="majorBidi" w:hAnsiTheme="majorBidi" w:cstheme="majorBidi"/>
          <w:lang w:val="en-US" w:eastAsia="en-GB"/>
        </w:rPr>
        <w:t xml:space="preserve">hysics </w:t>
      </w:r>
      <w:r w:rsidRPr="00A2187F">
        <w:rPr>
          <w:rFonts w:asciiTheme="majorBidi" w:hAnsiTheme="majorBidi" w:cstheme="majorBidi"/>
          <w:b/>
          <w:bCs/>
          <w:lang w:val="en-US" w:eastAsia="en-GB"/>
        </w:rPr>
        <w:t>G</w:t>
      </w:r>
      <w:r w:rsidRPr="00A2187F">
        <w:rPr>
          <w:rFonts w:asciiTheme="majorBidi" w:hAnsiTheme="majorBidi" w:cstheme="majorBidi"/>
          <w:lang w:val="en-US" w:eastAsia="en-GB"/>
        </w:rPr>
        <w:t xml:space="preserve">roup, </w:t>
      </w:r>
      <w:r w:rsidRPr="00A2187F">
        <w:rPr>
          <w:rFonts w:asciiTheme="majorBidi" w:hAnsiTheme="majorBidi" w:cstheme="majorBidi"/>
          <w:lang w:eastAsia="en-GB"/>
        </w:rPr>
        <w:t xml:space="preserve">The BEAVRS benchmark (Benchmark for Evaluation </w:t>
      </w:r>
      <w:proofErr w:type="gramStart"/>
      <w:r w:rsidRPr="00A2187F">
        <w:rPr>
          <w:rFonts w:asciiTheme="majorBidi" w:hAnsiTheme="majorBidi" w:cstheme="majorBidi"/>
          <w:lang w:eastAsia="en-GB"/>
        </w:rPr>
        <w:t>And</w:t>
      </w:r>
      <w:proofErr w:type="gramEnd"/>
      <w:r w:rsidRPr="00A2187F">
        <w:rPr>
          <w:rFonts w:asciiTheme="majorBidi" w:hAnsiTheme="majorBidi" w:cstheme="majorBidi"/>
          <w:lang w:eastAsia="en-GB"/>
        </w:rPr>
        <w:t xml:space="preserve"> Validation of Reactor Simulations)</w:t>
      </w:r>
      <w:r w:rsidRPr="00A2187F">
        <w:rPr>
          <w:rFonts w:asciiTheme="majorBidi" w:hAnsiTheme="majorBidi" w:cstheme="majorBidi"/>
          <w:i/>
          <w:iCs/>
          <w:lang w:eastAsia="en-GB"/>
        </w:rPr>
        <w:t xml:space="preserve"> </w:t>
      </w:r>
      <w:r w:rsidRPr="00A2187F">
        <w:rPr>
          <w:rFonts w:asciiTheme="majorBidi" w:hAnsiTheme="majorBidi" w:cstheme="majorBidi"/>
          <w:lang w:val="en-US" w:eastAsia="en-GB"/>
        </w:rPr>
        <w:t xml:space="preserve">MIT Release rev.2.0.2, 2018. </w:t>
      </w:r>
      <w:hyperlink r:id="rId14" w:history="1">
        <w:r w:rsidRPr="00643CB2">
          <w:rPr>
            <w:rStyle w:val="Lienhypertexte"/>
          </w:rPr>
          <w:t>https://crpg.mit.edu/wp-content/uploads/2017/01/BEAVRS_2.0.2_spec.pdf</w:t>
        </w:r>
      </w:hyperlink>
    </w:p>
    <w:p w14:paraId="66C6692E" w14:textId="060E42CC" w:rsidR="00D1391F" w:rsidRDefault="00D1391F" w:rsidP="00D1391F">
      <w:pPr>
        <w:pStyle w:val="Referencelist"/>
      </w:pPr>
      <w:r>
        <w:rPr>
          <w:rFonts w:asciiTheme="majorBidi" w:hAnsiTheme="majorBidi" w:cstheme="majorBidi"/>
          <w:color w:val="1C1C1C"/>
          <w:shd w:val="clear" w:color="auto" w:fill="FFFFFF"/>
        </w:rPr>
        <w:t xml:space="preserve">GODFREY, A.T., </w:t>
      </w:r>
      <w:r w:rsidRPr="000D58CD">
        <w:rPr>
          <w:rFonts w:asciiTheme="majorBidi" w:hAnsiTheme="majorBidi" w:cstheme="majorBidi"/>
          <w:color w:val="1C1C1C"/>
          <w:shd w:val="clear" w:color="auto" w:fill="FFFFFF"/>
        </w:rPr>
        <w:t>VERA Core Physics Benchmark Progression Problem Specifications</w:t>
      </w:r>
      <w:r>
        <w:rPr>
          <w:rFonts w:asciiTheme="majorBidi" w:hAnsiTheme="majorBidi" w:cstheme="majorBidi"/>
          <w:color w:val="1C1C1C"/>
          <w:shd w:val="clear" w:color="auto" w:fill="FFFFFF"/>
        </w:rPr>
        <w:t xml:space="preserve">, </w:t>
      </w:r>
      <w:r w:rsidRPr="007E53F5">
        <w:rPr>
          <w:rFonts w:asciiTheme="majorBidi" w:hAnsiTheme="majorBidi" w:cstheme="majorBidi"/>
          <w:color w:val="1C1C1C"/>
          <w:shd w:val="clear" w:color="auto" w:fill="FFFFFF"/>
        </w:rPr>
        <w:t>CASL (Consortium for Advanced Simulation of LWRs)</w:t>
      </w:r>
      <w:r>
        <w:rPr>
          <w:rFonts w:asciiTheme="majorBidi" w:hAnsiTheme="majorBidi" w:cstheme="majorBidi"/>
          <w:color w:val="1C1C1C"/>
          <w:shd w:val="clear" w:color="auto" w:fill="FFFFFF"/>
        </w:rPr>
        <w:t xml:space="preserve">, revision 4, 2014, </w:t>
      </w:r>
      <w:r w:rsidRPr="000D58CD">
        <w:rPr>
          <w:rFonts w:asciiTheme="majorBidi" w:hAnsiTheme="majorBidi" w:cstheme="majorBidi"/>
          <w:color w:val="1C1C1C"/>
          <w:shd w:val="clear" w:color="auto" w:fill="FFFFFF"/>
        </w:rPr>
        <w:t>https://corephysics.com/docs/CASL-U-2012-0131-004.pdf</w:t>
      </w:r>
    </w:p>
    <w:p w14:paraId="6D9E6A0B" w14:textId="4BD55492" w:rsidR="009E0D5B" w:rsidRPr="009E0D5B" w:rsidRDefault="00000FAE" w:rsidP="00537496">
      <w:pPr>
        <w:pStyle w:val="Referencelist"/>
      </w:pPr>
      <w:r w:rsidRPr="00000FAE">
        <w:rPr>
          <w:rFonts w:asciiTheme="majorBidi" w:hAnsiTheme="majorBidi" w:cstheme="majorBidi"/>
          <w:lang w:val="en-US"/>
        </w:rPr>
        <w:t>C</w:t>
      </w:r>
      <w:r>
        <w:rPr>
          <w:rFonts w:asciiTheme="majorBidi" w:hAnsiTheme="majorBidi" w:cstheme="majorBidi"/>
          <w:lang w:val="en-US"/>
        </w:rPr>
        <w:t>HAUDRI</w:t>
      </w:r>
      <w:r w:rsidRPr="00000FAE">
        <w:rPr>
          <w:rFonts w:asciiTheme="majorBidi" w:hAnsiTheme="majorBidi" w:cstheme="majorBidi"/>
          <w:lang w:val="en-US"/>
        </w:rPr>
        <w:t>, K.S., MIRZA</w:t>
      </w:r>
      <w:r w:rsidRPr="00000FAE">
        <w:rPr>
          <w:rFonts w:asciiTheme="majorBidi" w:hAnsiTheme="majorBidi" w:cstheme="majorBidi"/>
        </w:rPr>
        <w:t xml:space="preserve">, S.M., Burnup dependent Monte Carlo neutron physics calculations of </w:t>
      </w:r>
      <w:proofErr w:type="spellStart"/>
      <w:r w:rsidRPr="00000FAE">
        <w:rPr>
          <w:rFonts w:asciiTheme="majorBidi" w:hAnsiTheme="majorBidi" w:cstheme="majorBidi"/>
        </w:rPr>
        <w:t>iaea</w:t>
      </w:r>
      <w:proofErr w:type="spellEnd"/>
      <w:r w:rsidRPr="00000FAE">
        <w:rPr>
          <w:rFonts w:asciiTheme="majorBidi" w:hAnsiTheme="majorBidi" w:cstheme="majorBidi"/>
        </w:rPr>
        <w:t xml:space="preserve"> MTR benchmark, Prog. </w:t>
      </w:r>
      <w:proofErr w:type="spellStart"/>
      <w:r w:rsidRPr="00000FAE">
        <w:rPr>
          <w:rFonts w:asciiTheme="majorBidi" w:hAnsiTheme="majorBidi" w:cstheme="majorBidi"/>
        </w:rPr>
        <w:t>Nucl</w:t>
      </w:r>
      <w:proofErr w:type="spellEnd"/>
      <w:r w:rsidRPr="00000FAE">
        <w:rPr>
          <w:rFonts w:asciiTheme="majorBidi" w:hAnsiTheme="majorBidi" w:cstheme="majorBidi"/>
        </w:rPr>
        <w:t>. Energy 81 (2015) 43–52, https:// doi.org/10.1016/j.pnucene.2014.12.018</w:t>
      </w:r>
    </w:p>
    <w:p w14:paraId="715727BF" w14:textId="7BDE41F7" w:rsidR="009E0D5B" w:rsidRDefault="00000FAE" w:rsidP="00537496">
      <w:pPr>
        <w:pStyle w:val="Referencelist"/>
      </w:pPr>
      <w:r w:rsidRPr="00000FAE">
        <w:rPr>
          <w:rFonts w:asciiTheme="majorBidi" w:hAnsiTheme="majorBidi" w:cstheme="majorBidi"/>
        </w:rPr>
        <w:t>R</w:t>
      </w:r>
      <w:r>
        <w:rPr>
          <w:rFonts w:asciiTheme="majorBidi" w:hAnsiTheme="majorBidi" w:cstheme="majorBidi"/>
        </w:rPr>
        <w:t>OMANO</w:t>
      </w:r>
      <w:r w:rsidRPr="00000FAE">
        <w:rPr>
          <w:rFonts w:asciiTheme="majorBidi" w:hAnsiTheme="majorBidi" w:cstheme="majorBidi"/>
        </w:rPr>
        <w:t>, P.K., H</w:t>
      </w:r>
      <w:r>
        <w:rPr>
          <w:rFonts w:asciiTheme="majorBidi" w:hAnsiTheme="majorBidi" w:cstheme="majorBidi"/>
        </w:rPr>
        <w:t>ORELIK</w:t>
      </w:r>
      <w:r w:rsidRPr="00000FAE">
        <w:rPr>
          <w:rFonts w:asciiTheme="majorBidi" w:hAnsiTheme="majorBidi" w:cstheme="majorBidi"/>
        </w:rPr>
        <w:t>, N.E., H</w:t>
      </w:r>
      <w:r>
        <w:rPr>
          <w:rFonts w:asciiTheme="majorBidi" w:hAnsiTheme="majorBidi" w:cstheme="majorBidi"/>
        </w:rPr>
        <w:t>ERMAN</w:t>
      </w:r>
      <w:r w:rsidRPr="00000FAE">
        <w:rPr>
          <w:rFonts w:asciiTheme="majorBidi" w:hAnsiTheme="majorBidi" w:cstheme="majorBidi"/>
        </w:rPr>
        <w:t>, B.R., N</w:t>
      </w:r>
      <w:r>
        <w:rPr>
          <w:rFonts w:asciiTheme="majorBidi" w:hAnsiTheme="majorBidi" w:cstheme="majorBidi"/>
        </w:rPr>
        <w:t>ELSON</w:t>
      </w:r>
      <w:r w:rsidRPr="00000FAE">
        <w:rPr>
          <w:rFonts w:asciiTheme="majorBidi" w:hAnsiTheme="majorBidi" w:cstheme="majorBidi"/>
        </w:rPr>
        <w:t>, A.G., F</w:t>
      </w:r>
      <w:r>
        <w:rPr>
          <w:rFonts w:asciiTheme="majorBidi" w:hAnsiTheme="majorBidi" w:cstheme="majorBidi"/>
        </w:rPr>
        <w:t>ORGET</w:t>
      </w:r>
      <w:r w:rsidRPr="00000FAE">
        <w:rPr>
          <w:rFonts w:asciiTheme="majorBidi" w:hAnsiTheme="majorBidi" w:cstheme="majorBidi"/>
        </w:rPr>
        <w:t>, B., S</w:t>
      </w:r>
      <w:r>
        <w:rPr>
          <w:rFonts w:asciiTheme="majorBidi" w:hAnsiTheme="majorBidi" w:cstheme="majorBidi"/>
        </w:rPr>
        <w:t>MITH</w:t>
      </w:r>
      <w:r w:rsidRPr="00000FAE">
        <w:rPr>
          <w:rFonts w:asciiTheme="majorBidi" w:hAnsiTheme="majorBidi" w:cstheme="majorBidi"/>
        </w:rPr>
        <w:t xml:space="preserve">, K., </w:t>
      </w:r>
      <w:proofErr w:type="spellStart"/>
      <w:r w:rsidRPr="00000FAE">
        <w:rPr>
          <w:rFonts w:asciiTheme="majorBidi" w:hAnsiTheme="majorBidi" w:cstheme="majorBidi"/>
        </w:rPr>
        <w:t>OpenMC</w:t>
      </w:r>
      <w:proofErr w:type="spellEnd"/>
      <w:r w:rsidRPr="00000FAE">
        <w:rPr>
          <w:rFonts w:asciiTheme="majorBidi" w:hAnsiTheme="majorBidi" w:cstheme="majorBidi"/>
        </w:rPr>
        <w:t xml:space="preserve">: a state-of-the-art Monte Carlo code for research and development, Ann. </w:t>
      </w:r>
      <w:proofErr w:type="spellStart"/>
      <w:r w:rsidRPr="00000FAE">
        <w:rPr>
          <w:rFonts w:asciiTheme="majorBidi" w:hAnsiTheme="majorBidi" w:cstheme="majorBidi"/>
        </w:rPr>
        <w:t>Nucl</w:t>
      </w:r>
      <w:proofErr w:type="spellEnd"/>
      <w:r w:rsidRPr="00000FAE">
        <w:rPr>
          <w:rFonts w:asciiTheme="majorBidi" w:hAnsiTheme="majorBidi" w:cstheme="majorBidi"/>
        </w:rPr>
        <w:t xml:space="preserve">. Energy 82 (2015) 90–97, https://doi.org/10.1016/j.anucene.2014.07.048. Joint International Conference on Supercomputing in Nuclear Applications and Monte Carlo 2013, SNA + MC 2013. Pluri- and Trans-disciplinarity, Towards New </w:t>
      </w:r>
      <w:proofErr w:type="spellStart"/>
      <w:r w:rsidRPr="00000FAE">
        <w:rPr>
          <w:rFonts w:asciiTheme="majorBidi" w:hAnsiTheme="majorBidi" w:cstheme="majorBidi"/>
        </w:rPr>
        <w:t>Modeling</w:t>
      </w:r>
      <w:proofErr w:type="spellEnd"/>
      <w:r w:rsidRPr="00000FAE">
        <w:rPr>
          <w:rFonts w:asciiTheme="majorBidi" w:hAnsiTheme="majorBidi" w:cstheme="majorBidi"/>
        </w:rPr>
        <w:t xml:space="preserve"> and Numerical Simulation Paradigms, https://www.sciencedirect.com/ science/article/</w:t>
      </w:r>
      <w:proofErr w:type="spellStart"/>
      <w:r w:rsidRPr="00000FAE">
        <w:rPr>
          <w:rFonts w:asciiTheme="majorBidi" w:hAnsiTheme="majorBidi" w:cstheme="majorBidi"/>
        </w:rPr>
        <w:t>pii</w:t>
      </w:r>
      <w:proofErr w:type="spellEnd"/>
      <w:r w:rsidRPr="00000FAE">
        <w:rPr>
          <w:rFonts w:asciiTheme="majorBidi" w:hAnsiTheme="majorBidi" w:cstheme="majorBidi"/>
        </w:rPr>
        <w:t>/S030645491400379X</w:t>
      </w:r>
      <w:r w:rsidR="009E0D5B">
        <w:t>.</w:t>
      </w:r>
    </w:p>
    <w:p w14:paraId="379CBF0D" w14:textId="4AB9BCAC" w:rsidR="009E0D5B" w:rsidRDefault="00000FAE" w:rsidP="00537496">
      <w:pPr>
        <w:pStyle w:val="Referencelist"/>
      </w:pPr>
      <w:r w:rsidRPr="00000FAE">
        <w:rPr>
          <w:lang w:val="en-US" w:eastAsia="en-GB"/>
        </w:rPr>
        <w:t xml:space="preserve">https://docs.openmc.org/en/stable/index.html. Official website and documentation of </w:t>
      </w:r>
      <w:proofErr w:type="spellStart"/>
      <w:r w:rsidRPr="00000FAE">
        <w:rPr>
          <w:lang w:val="en-US" w:eastAsia="en-GB"/>
        </w:rPr>
        <w:t>OpenMC</w:t>
      </w:r>
      <w:proofErr w:type="spellEnd"/>
      <w:r w:rsidRPr="00000FAE">
        <w:rPr>
          <w:lang w:val="en-US" w:eastAsia="en-GB"/>
        </w:rPr>
        <w:t xml:space="preserve"> code</w:t>
      </w:r>
      <w:r w:rsidR="009E0D5B">
        <w:t>.</w:t>
      </w:r>
    </w:p>
    <w:p w14:paraId="135A2885" w14:textId="57D50928" w:rsidR="009E0D5B" w:rsidRDefault="00000FAE" w:rsidP="00537496">
      <w:pPr>
        <w:pStyle w:val="Referencelist"/>
      </w:pPr>
      <w:r w:rsidRPr="00000FAE">
        <w:rPr>
          <w:rFonts w:asciiTheme="majorBidi" w:hAnsiTheme="majorBidi" w:cstheme="majorBidi"/>
        </w:rPr>
        <w:t>R</w:t>
      </w:r>
      <w:r>
        <w:rPr>
          <w:rFonts w:asciiTheme="majorBidi" w:hAnsiTheme="majorBidi" w:cstheme="majorBidi"/>
        </w:rPr>
        <w:t>OMANO</w:t>
      </w:r>
      <w:r w:rsidRPr="00000FAE">
        <w:rPr>
          <w:rFonts w:asciiTheme="majorBidi" w:hAnsiTheme="majorBidi" w:cstheme="majorBidi"/>
          <w:lang w:val="en-US"/>
        </w:rPr>
        <w:t xml:space="preserve">, P.K., </w:t>
      </w:r>
      <w:r w:rsidRPr="00000FAE">
        <w:rPr>
          <w:lang w:val="en-US" w:eastAsia="en-GB"/>
        </w:rPr>
        <w:t>&amp; al. “</w:t>
      </w:r>
      <w:proofErr w:type="spellStart"/>
      <w:r w:rsidRPr="00000FAE">
        <w:rPr>
          <w:lang w:val="en-US" w:eastAsia="en-GB"/>
        </w:rPr>
        <w:t>OpenMC</w:t>
      </w:r>
      <w:proofErr w:type="spellEnd"/>
      <w:r w:rsidRPr="00000FAE">
        <w:rPr>
          <w:lang w:val="en-US" w:eastAsia="en-GB"/>
        </w:rPr>
        <w:t>: A state-of-the-art Monte Carlo code for research</w:t>
      </w:r>
      <w:r w:rsidR="006844B4">
        <w:rPr>
          <w:lang w:val="en-US" w:eastAsia="en-GB"/>
        </w:rPr>
        <w:t xml:space="preserve"> </w:t>
      </w:r>
      <w:r w:rsidRPr="00000FAE">
        <w:rPr>
          <w:lang w:val="en-US" w:eastAsia="en-GB"/>
        </w:rPr>
        <w:t>and development”, Annals of Nuclear Energy, 82 (2015)</w:t>
      </w:r>
      <w:r>
        <w:rPr>
          <w:lang w:val="en-US" w:eastAsia="en-GB"/>
        </w:rPr>
        <w:t xml:space="preserve"> </w:t>
      </w:r>
      <w:r w:rsidRPr="00000FAE">
        <w:rPr>
          <w:lang w:val="en-US" w:eastAsia="en-GB"/>
        </w:rPr>
        <w:t>90-97.</w:t>
      </w:r>
    </w:p>
    <w:p w14:paraId="04D14525" w14:textId="16E91027" w:rsidR="009E0D5B" w:rsidRDefault="00000FAE" w:rsidP="00537496">
      <w:pPr>
        <w:pStyle w:val="Referencelist"/>
      </w:pPr>
      <w:r w:rsidRPr="00000FAE">
        <w:rPr>
          <w:rFonts w:asciiTheme="majorBidi" w:hAnsiTheme="majorBidi" w:cstheme="majorBidi"/>
        </w:rPr>
        <w:t>R</w:t>
      </w:r>
      <w:r>
        <w:rPr>
          <w:rFonts w:asciiTheme="majorBidi" w:hAnsiTheme="majorBidi" w:cstheme="majorBidi"/>
        </w:rPr>
        <w:t>OMANO</w:t>
      </w:r>
      <w:r w:rsidRPr="00000FAE">
        <w:rPr>
          <w:rFonts w:asciiTheme="majorBidi" w:hAnsiTheme="majorBidi" w:cstheme="majorBidi"/>
        </w:rPr>
        <w:t xml:space="preserve">, P.K., </w:t>
      </w:r>
      <w:r w:rsidRPr="00000FAE">
        <w:rPr>
          <w:lang w:val="en-US" w:eastAsia="en-GB"/>
        </w:rPr>
        <w:t xml:space="preserve">&amp; al. “The </w:t>
      </w:r>
      <w:proofErr w:type="spellStart"/>
      <w:r w:rsidRPr="00000FAE">
        <w:rPr>
          <w:lang w:val="en-US" w:eastAsia="en-GB"/>
        </w:rPr>
        <w:t>OpenMC</w:t>
      </w:r>
      <w:proofErr w:type="spellEnd"/>
      <w:r w:rsidRPr="00000FAE">
        <w:rPr>
          <w:lang w:val="en-US" w:eastAsia="en-GB"/>
        </w:rPr>
        <w:t xml:space="preserve"> Monte Carlo particle transport code”, Annals of Nuclear Energy, 51 (2013) 274-281.</w:t>
      </w:r>
    </w:p>
    <w:p w14:paraId="6B565336" w14:textId="59476012" w:rsidR="00911543" w:rsidRDefault="00000FAE" w:rsidP="00537496">
      <w:pPr>
        <w:pStyle w:val="Referencelist"/>
      </w:pPr>
      <w:r w:rsidRPr="000D5413">
        <w:rPr>
          <w:rFonts w:asciiTheme="majorBidi" w:hAnsiTheme="majorBidi" w:cstheme="majorBidi"/>
          <w:lang w:val="en-US" w:eastAsia="en-GB"/>
        </w:rPr>
        <w:t>D</w:t>
      </w:r>
      <w:r>
        <w:rPr>
          <w:rFonts w:asciiTheme="majorBidi" w:hAnsiTheme="majorBidi" w:cstheme="majorBidi"/>
          <w:lang w:val="en-US"/>
        </w:rPr>
        <w:t>SOUZA</w:t>
      </w:r>
      <w:r w:rsidRPr="00000FAE">
        <w:rPr>
          <w:rFonts w:asciiTheme="majorBidi" w:hAnsiTheme="majorBidi" w:cstheme="majorBidi"/>
          <w:lang w:val="en-US"/>
        </w:rPr>
        <w:t>, B.</w:t>
      </w:r>
      <w:r w:rsidRPr="00000FAE">
        <w:rPr>
          <w:rFonts w:asciiTheme="majorBidi" w:hAnsiTheme="majorBidi" w:cstheme="majorBidi"/>
          <w:lang w:val="en-US" w:eastAsia="en-GB"/>
        </w:rPr>
        <w:t xml:space="preserve">, </w:t>
      </w:r>
      <w:r w:rsidRPr="00000FAE">
        <w:rPr>
          <w:rFonts w:asciiTheme="majorBidi" w:hAnsiTheme="majorBidi" w:cstheme="majorBidi"/>
          <w:lang w:val="en-US"/>
        </w:rPr>
        <w:t>Neutronic analysis of light water Small Modular Reactor with flexible fuel configurations</w:t>
      </w:r>
      <w:r>
        <w:rPr>
          <w:rFonts w:asciiTheme="majorBidi" w:hAnsiTheme="majorBidi" w:cstheme="majorBidi"/>
          <w:lang w:val="en-US"/>
        </w:rPr>
        <w:t xml:space="preserve">. </w:t>
      </w:r>
      <w:r w:rsidRPr="00000FAE">
        <w:rPr>
          <w:rFonts w:asciiTheme="majorBidi" w:hAnsiTheme="majorBidi" w:cstheme="majorBidi"/>
          <w:lang w:val="en-US" w:eastAsia="en-GB"/>
        </w:rPr>
        <w:t xml:space="preserve">Master’s Thesis. 7393. </w:t>
      </w:r>
      <w:r w:rsidRPr="00000FAE">
        <w:rPr>
          <w:rFonts w:asciiTheme="majorBidi" w:hAnsiTheme="majorBidi" w:cstheme="majorBidi"/>
        </w:rPr>
        <w:t>Missouri University of Science and Technology</w:t>
      </w:r>
      <w:r>
        <w:rPr>
          <w:rFonts w:asciiTheme="majorBidi" w:hAnsiTheme="majorBidi" w:cstheme="majorBidi"/>
        </w:rPr>
        <w:t xml:space="preserve">, </w:t>
      </w:r>
      <w:r w:rsidRPr="00000FAE">
        <w:rPr>
          <w:rFonts w:asciiTheme="majorBidi" w:hAnsiTheme="majorBidi" w:cstheme="majorBidi"/>
          <w:lang w:val="en-US" w:eastAsia="en-GB"/>
        </w:rPr>
        <w:t>(2015).</w:t>
      </w:r>
    </w:p>
    <w:p w14:paraId="69C3365A" w14:textId="77777777" w:rsidR="00911543" w:rsidRDefault="00911543" w:rsidP="00537496">
      <w:pPr>
        <w:pStyle w:val="Referencelist"/>
        <w:numPr>
          <w:ilvl w:val="0"/>
          <w:numId w:val="0"/>
        </w:numPr>
        <w:ind w:left="720"/>
      </w:pPr>
      <w:r>
        <w:t>www.webpage.com/exact-subpage-being-cited</w:t>
      </w:r>
    </w:p>
    <w:p w14:paraId="4C585CBF" w14:textId="77777777" w:rsidR="00000FAE" w:rsidRDefault="00000FAE" w:rsidP="00913F8C">
      <w:pPr>
        <w:rPr>
          <w:rFonts w:asciiTheme="majorBidi" w:hAnsiTheme="majorBidi" w:cstheme="majorBidi"/>
          <w:b/>
          <w:bCs/>
          <w:sz w:val="20"/>
          <w:lang w:val="en-US"/>
        </w:rPr>
      </w:pPr>
    </w:p>
    <w:p w14:paraId="737127D7" w14:textId="77777777" w:rsidR="00000FAE" w:rsidRDefault="00000FAE" w:rsidP="00913F8C">
      <w:pPr>
        <w:rPr>
          <w:rFonts w:asciiTheme="majorBidi" w:hAnsiTheme="majorBidi" w:cstheme="majorBidi"/>
          <w:b/>
          <w:bCs/>
          <w:sz w:val="20"/>
          <w:lang w:val="en-US"/>
        </w:rPr>
      </w:pPr>
    </w:p>
    <w:p w14:paraId="21D2546B" w14:textId="74EAEC1E" w:rsidR="00913F8C" w:rsidRPr="00B42143" w:rsidRDefault="00913F8C" w:rsidP="00913F8C">
      <w:pPr>
        <w:rPr>
          <w:rFonts w:asciiTheme="majorBidi" w:hAnsiTheme="majorBidi" w:cstheme="majorBidi"/>
          <w:b/>
          <w:bCs/>
          <w:sz w:val="20"/>
          <w:lang w:val="en-US"/>
        </w:rPr>
      </w:pPr>
      <w:r w:rsidRPr="00B42143">
        <w:rPr>
          <w:rFonts w:asciiTheme="majorBidi" w:hAnsiTheme="majorBidi" w:cstheme="majorBidi"/>
          <w:b/>
          <w:bCs/>
          <w:sz w:val="20"/>
          <w:lang w:val="en-US"/>
        </w:rPr>
        <w:t>Dr. DRIDI WALID</w:t>
      </w:r>
    </w:p>
    <w:p w14:paraId="1CFD5F72" w14:textId="77777777" w:rsidR="00913F8C" w:rsidRPr="00C95C4A" w:rsidRDefault="00913F8C" w:rsidP="00913F8C">
      <w:pPr>
        <w:jc w:val="both"/>
        <w:rPr>
          <w:rFonts w:asciiTheme="majorBidi" w:hAnsiTheme="majorBidi" w:cstheme="majorBidi"/>
          <w:sz w:val="20"/>
          <w:lang w:val="en-US"/>
        </w:rPr>
      </w:pPr>
      <w:r w:rsidRPr="00C95C4A">
        <w:rPr>
          <w:rFonts w:asciiTheme="majorBidi" w:hAnsiTheme="majorBidi" w:cstheme="majorBidi"/>
          <w:sz w:val="20"/>
          <w:lang w:val="en-US"/>
        </w:rPr>
        <w:t xml:space="preserve">He obtained in 2006 him PhD in Nuclear Engineering at EVRY VAL D’ESSONNE University </w:t>
      </w:r>
      <w:r>
        <w:rPr>
          <w:rFonts w:asciiTheme="majorBidi" w:hAnsiTheme="majorBidi" w:cstheme="majorBidi"/>
          <w:sz w:val="20"/>
          <w:lang w:val="en-US"/>
        </w:rPr>
        <w:t>(as part of University of Paris-</w:t>
      </w:r>
      <w:proofErr w:type="spellStart"/>
      <w:r>
        <w:rPr>
          <w:rFonts w:asciiTheme="majorBidi" w:hAnsiTheme="majorBidi" w:cstheme="majorBidi"/>
          <w:sz w:val="20"/>
          <w:lang w:val="en-US"/>
        </w:rPr>
        <w:t>Saclay</w:t>
      </w:r>
      <w:proofErr w:type="spellEnd"/>
      <w:r>
        <w:rPr>
          <w:rFonts w:asciiTheme="majorBidi" w:hAnsiTheme="majorBidi" w:cstheme="majorBidi"/>
          <w:sz w:val="20"/>
          <w:lang w:val="en-US"/>
        </w:rPr>
        <w:t xml:space="preserve">) </w:t>
      </w:r>
      <w:r w:rsidRPr="00C95C4A">
        <w:rPr>
          <w:rFonts w:asciiTheme="majorBidi" w:hAnsiTheme="majorBidi" w:cstheme="majorBidi"/>
          <w:sz w:val="20"/>
          <w:lang w:val="en-US"/>
        </w:rPr>
        <w:t>and occurred at CEA/</w:t>
      </w:r>
      <w:proofErr w:type="spellStart"/>
      <w:r w:rsidRPr="00C95C4A">
        <w:rPr>
          <w:rFonts w:asciiTheme="majorBidi" w:hAnsiTheme="majorBidi" w:cstheme="majorBidi"/>
          <w:sz w:val="20"/>
          <w:lang w:val="en-US"/>
        </w:rPr>
        <w:t>Saclay</w:t>
      </w:r>
      <w:proofErr w:type="spellEnd"/>
      <w:r w:rsidRPr="00C95C4A">
        <w:rPr>
          <w:rFonts w:asciiTheme="majorBidi" w:hAnsiTheme="majorBidi" w:cstheme="majorBidi"/>
          <w:sz w:val="20"/>
          <w:lang w:val="en-US"/>
        </w:rPr>
        <w:t xml:space="preserve"> in France. after that a post-doctoral in criticality safety assessment at IRSN-Fontenay aux Roses.</w:t>
      </w:r>
    </w:p>
    <w:p w14:paraId="3F435256" w14:textId="77777777" w:rsidR="00913F8C" w:rsidRPr="00C95C4A" w:rsidRDefault="00913F8C" w:rsidP="00913F8C">
      <w:pPr>
        <w:jc w:val="both"/>
        <w:rPr>
          <w:rFonts w:asciiTheme="majorBidi" w:hAnsiTheme="majorBidi" w:cstheme="majorBidi"/>
          <w:sz w:val="20"/>
          <w:lang w:val="en-US"/>
        </w:rPr>
      </w:pPr>
      <w:r w:rsidRPr="00C95C4A">
        <w:rPr>
          <w:rFonts w:asciiTheme="majorBidi" w:hAnsiTheme="majorBidi" w:cstheme="majorBidi"/>
          <w:sz w:val="20"/>
          <w:lang w:val="en-US"/>
        </w:rPr>
        <w:t xml:space="preserve">He has more than 10 years of experience in neutron code validation and verification, reactor core design and </w:t>
      </w:r>
      <w:r>
        <w:rPr>
          <w:rFonts w:asciiTheme="majorBidi" w:hAnsiTheme="majorBidi" w:cstheme="majorBidi"/>
          <w:sz w:val="20"/>
          <w:lang w:val="en-US"/>
        </w:rPr>
        <w:t>reactor analysis.</w:t>
      </w:r>
    </w:p>
    <w:p w14:paraId="14BA7062" w14:textId="77777777" w:rsidR="00913F8C" w:rsidRPr="00C95C4A" w:rsidRDefault="00913F8C" w:rsidP="00913F8C">
      <w:pPr>
        <w:jc w:val="both"/>
        <w:rPr>
          <w:rFonts w:asciiTheme="majorBidi" w:hAnsiTheme="majorBidi" w:cstheme="majorBidi"/>
          <w:sz w:val="20"/>
          <w:lang w:val="en-US"/>
        </w:rPr>
      </w:pPr>
      <w:r w:rsidRPr="00C95C4A">
        <w:rPr>
          <w:rFonts w:asciiTheme="majorBidi" w:hAnsiTheme="majorBidi" w:cstheme="majorBidi"/>
          <w:sz w:val="20"/>
          <w:lang w:val="en-US"/>
        </w:rPr>
        <w:t>Her present position is Assistant Professor in nuclear reactor Physics at the Tunisian Center for Nuclear science and Technology and project member of the future Tunisian research reactor.</w:t>
      </w:r>
    </w:p>
    <w:p w14:paraId="4F76097C" w14:textId="77777777" w:rsidR="00913F8C" w:rsidRPr="00C95C4A" w:rsidRDefault="00913F8C" w:rsidP="00913F8C">
      <w:pPr>
        <w:jc w:val="both"/>
        <w:rPr>
          <w:rFonts w:asciiTheme="majorBidi" w:hAnsiTheme="majorBidi" w:cstheme="majorBidi"/>
          <w:bCs/>
          <w:sz w:val="20"/>
        </w:rPr>
      </w:pPr>
      <w:r w:rsidRPr="00C95C4A">
        <w:rPr>
          <w:rFonts w:asciiTheme="majorBidi" w:hAnsiTheme="majorBidi" w:cstheme="majorBidi"/>
          <w:bCs/>
          <w:sz w:val="20"/>
        </w:rPr>
        <w:t>Currently He participates in CRP: Economic Appraisal of Small Modular Reactor (SMR) Projects: Methodologies and Applications, Project title: Economic and financial case study on HIGH TEMPERATURE GAS COOLED SMR in Tunisia.</w:t>
      </w:r>
    </w:p>
    <w:p w14:paraId="7E56C87D" w14:textId="77777777" w:rsidR="00913F8C" w:rsidRPr="00C95C4A" w:rsidRDefault="00913F8C" w:rsidP="00913F8C">
      <w:pPr>
        <w:jc w:val="both"/>
        <w:rPr>
          <w:rFonts w:asciiTheme="majorBidi" w:hAnsiTheme="majorBidi" w:cstheme="majorBidi"/>
          <w:sz w:val="20"/>
        </w:rPr>
      </w:pPr>
      <w:r w:rsidRPr="00C95C4A">
        <w:rPr>
          <w:rFonts w:asciiTheme="majorBidi" w:hAnsiTheme="majorBidi" w:cstheme="majorBidi"/>
          <w:sz w:val="20"/>
        </w:rPr>
        <w:t>Also, He is involved in the research area of performance analysis and reliability by applying Markov approach to dynamic reliability modelling of</w:t>
      </w:r>
      <w:r>
        <w:rPr>
          <w:rFonts w:asciiTheme="majorBidi" w:hAnsiTheme="majorBidi" w:cstheme="majorBidi"/>
          <w:sz w:val="20"/>
        </w:rPr>
        <w:t xml:space="preserve"> Safety Critical Systems (SCS) and</w:t>
      </w:r>
      <w:r w:rsidRPr="00C95C4A">
        <w:rPr>
          <w:rFonts w:asciiTheme="majorBidi" w:hAnsiTheme="majorBidi" w:cstheme="majorBidi"/>
          <w:sz w:val="20"/>
        </w:rPr>
        <w:t xml:space="preserve"> digital instrumentation and control systems for NPP/SMR assessments.</w:t>
      </w:r>
    </w:p>
    <w:p w14:paraId="62565992" w14:textId="77777777" w:rsidR="00913F8C" w:rsidRPr="00C95C4A" w:rsidRDefault="00913F8C" w:rsidP="00913F8C">
      <w:pPr>
        <w:jc w:val="both"/>
        <w:rPr>
          <w:rFonts w:asciiTheme="majorBidi" w:hAnsiTheme="majorBidi" w:cstheme="majorBidi"/>
          <w:sz w:val="20"/>
        </w:rPr>
      </w:pPr>
    </w:p>
    <w:p w14:paraId="3693817D" w14:textId="77777777" w:rsidR="00913F8C" w:rsidRPr="00913F8C" w:rsidRDefault="00913F8C" w:rsidP="00913F8C">
      <w:pPr>
        <w:pStyle w:val="Corpsdetexte"/>
      </w:pPr>
    </w:p>
    <w:sectPr w:rsidR="00913F8C" w:rsidRPr="00913F8C"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59A5" w14:textId="77777777" w:rsidR="002D3889" w:rsidRDefault="002D3889">
      <w:r>
        <w:separator/>
      </w:r>
    </w:p>
  </w:endnote>
  <w:endnote w:type="continuationSeparator" w:id="0">
    <w:p w14:paraId="5CA3E282" w14:textId="77777777" w:rsidR="002D3889" w:rsidRDefault="002D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0810D" w14:textId="77777777" w:rsidR="002D3889" w:rsidRDefault="002D3889">
      <w:r>
        <w:t>___________________________________________________________________________</w:t>
      </w:r>
    </w:p>
  </w:footnote>
  <w:footnote w:type="continuationSeparator" w:id="0">
    <w:p w14:paraId="4A3A58D7" w14:textId="77777777" w:rsidR="002D3889" w:rsidRDefault="002D3889">
      <w:r>
        <w:t>___________________________________________________________________________</w:t>
      </w:r>
    </w:p>
  </w:footnote>
  <w:footnote w:type="continuationNotice" w:id="1">
    <w:p w14:paraId="2BE37159" w14:textId="77777777" w:rsidR="002D3889" w:rsidRDefault="002D3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268CFCA1" w:rsidR="00CF7AF3" w:rsidRDefault="00CF7AF3" w:rsidP="00CF7AF3">
    <w:pPr>
      <w:pStyle w:val="Runninghead"/>
    </w:pPr>
    <w:r>
      <w:tab/>
      <w:t>IAEA-CN-123/</w:t>
    </w:r>
    <w:r w:rsidR="00023B31">
      <w:t>162</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3DCC56A1" w:rsidR="00E20E70" w:rsidRDefault="0009386E" w:rsidP="00B82FA5">
    <w:pPr>
      <w:pStyle w:val="Runninghead"/>
    </w:pPr>
    <w:r>
      <w:t>DRIDI</w:t>
    </w:r>
    <w:r w:rsidR="00AC5A3A">
      <w:t xml:space="preserve"> and </w:t>
    </w:r>
    <w:r>
      <w:t>MOUMNI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C36A4"/>
    <w:multiLevelType w:val="multilevel"/>
    <w:tmpl w:val="F274DD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F14082A"/>
    <w:multiLevelType w:val="multilevel"/>
    <w:tmpl w:val="CD68940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85078158">
    <w:abstractNumId w:val="8"/>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6"/>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7"/>
  </w:num>
  <w:num w:numId="31" w16cid:durableId="1695614948">
    <w:abstractNumId w:val="7"/>
  </w:num>
  <w:num w:numId="32" w16cid:durableId="195823161">
    <w:abstractNumId w:val="11"/>
  </w:num>
  <w:num w:numId="33" w16cid:durableId="155197005">
    <w:abstractNumId w:val="13"/>
  </w:num>
  <w:num w:numId="34" w16cid:durableId="339896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FAE"/>
    <w:rsid w:val="000203E5"/>
    <w:rsid w:val="000229AB"/>
    <w:rsid w:val="00023A56"/>
    <w:rsid w:val="00023B31"/>
    <w:rsid w:val="0002569A"/>
    <w:rsid w:val="00037321"/>
    <w:rsid w:val="00046E62"/>
    <w:rsid w:val="000474D2"/>
    <w:rsid w:val="00065AAB"/>
    <w:rsid w:val="00092EE9"/>
    <w:rsid w:val="0009386E"/>
    <w:rsid w:val="000A0299"/>
    <w:rsid w:val="000C6F25"/>
    <w:rsid w:val="000D5413"/>
    <w:rsid w:val="000D602B"/>
    <w:rsid w:val="000D779F"/>
    <w:rsid w:val="000F02E4"/>
    <w:rsid w:val="000F7E94"/>
    <w:rsid w:val="001119D6"/>
    <w:rsid w:val="001240AA"/>
    <w:rsid w:val="001308F2"/>
    <w:rsid w:val="001313E8"/>
    <w:rsid w:val="00132D99"/>
    <w:rsid w:val="0014645B"/>
    <w:rsid w:val="001740B3"/>
    <w:rsid w:val="001C58F5"/>
    <w:rsid w:val="001D1437"/>
    <w:rsid w:val="001D5CEE"/>
    <w:rsid w:val="002036DB"/>
    <w:rsid w:val="002071D9"/>
    <w:rsid w:val="002344E7"/>
    <w:rsid w:val="00256822"/>
    <w:rsid w:val="002611AC"/>
    <w:rsid w:val="0026525A"/>
    <w:rsid w:val="00274790"/>
    <w:rsid w:val="0028373D"/>
    <w:rsid w:val="00285755"/>
    <w:rsid w:val="00293ADC"/>
    <w:rsid w:val="002A1F9C"/>
    <w:rsid w:val="002B29C2"/>
    <w:rsid w:val="002C4208"/>
    <w:rsid w:val="002D3889"/>
    <w:rsid w:val="002E64C2"/>
    <w:rsid w:val="003067C6"/>
    <w:rsid w:val="00321E4C"/>
    <w:rsid w:val="00323922"/>
    <w:rsid w:val="00324F7A"/>
    <w:rsid w:val="00352DE1"/>
    <w:rsid w:val="003728E6"/>
    <w:rsid w:val="003B5E0E"/>
    <w:rsid w:val="003D255A"/>
    <w:rsid w:val="004123FC"/>
    <w:rsid w:val="00416949"/>
    <w:rsid w:val="0042211E"/>
    <w:rsid w:val="004316C7"/>
    <w:rsid w:val="00434582"/>
    <w:rsid w:val="004370D8"/>
    <w:rsid w:val="00472C43"/>
    <w:rsid w:val="004B799B"/>
    <w:rsid w:val="004C261D"/>
    <w:rsid w:val="004C3424"/>
    <w:rsid w:val="00512F44"/>
    <w:rsid w:val="00521B00"/>
    <w:rsid w:val="00537496"/>
    <w:rsid w:val="00544ED3"/>
    <w:rsid w:val="00561D2E"/>
    <w:rsid w:val="005709BD"/>
    <w:rsid w:val="0058477B"/>
    <w:rsid w:val="0058654F"/>
    <w:rsid w:val="00596ACA"/>
    <w:rsid w:val="005A25E8"/>
    <w:rsid w:val="005D1C2B"/>
    <w:rsid w:val="005E078F"/>
    <w:rsid w:val="005E39BC"/>
    <w:rsid w:val="005F00A0"/>
    <w:rsid w:val="0061785D"/>
    <w:rsid w:val="00647F33"/>
    <w:rsid w:val="00662532"/>
    <w:rsid w:val="00665709"/>
    <w:rsid w:val="006844B4"/>
    <w:rsid w:val="006B2274"/>
    <w:rsid w:val="006C08B2"/>
    <w:rsid w:val="006F7A05"/>
    <w:rsid w:val="00717C6F"/>
    <w:rsid w:val="007306B4"/>
    <w:rsid w:val="00737200"/>
    <w:rsid w:val="007445DA"/>
    <w:rsid w:val="00754204"/>
    <w:rsid w:val="007676CB"/>
    <w:rsid w:val="007A5148"/>
    <w:rsid w:val="007A57B7"/>
    <w:rsid w:val="007B4FD1"/>
    <w:rsid w:val="007E53F5"/>
    <w:rsid w:val="00802381"/>
    <w:rsid w:val="00831869"/>
    <w:rsid w:val="00843582"/>
    <w:rsid w:val="00880DE6"/>
    <w:rsid w:val="00883848"/>
    <w:rsid w:val="008960D8"/>
    <w:rsid w:val="00897ED5"/>
    <w:rsid w:val="008A0CD2"/>
    <w:rsid w:val="008B49B8"/>
    <w:rsid w:val="008B5051"/>
    <w:rsid w:val="008B6BB9"/>
    <w:rsid w:val="008D531F"/>
    <w:rsid w:val="00911543"/>
    <w:rsid w:val="00913F8C"/>
    <w:rsid w:val="00924C10"/>
    <w:rsid w:val="009519C9"/>
    <w:rsid w:val="009552EF"/>
    <w:rsid w:val="00966A49"/>
    <w:rsid w:val="00992B80"/>
    <w:rsid w:val="009B44A8"/>
    <w:rsid w:val="009C63DD"/>
    <w:rsid w:val="009D0B86"/>
    <w:rsid w:val="009D5C75"/>
    <w:rsid w:val="009E0D5B"/>
    <w:rsid w:val="009E1558"/>
    <w:rsid w:val="00A01A32"/>
    <w:rsid w:val="00A078F3"/>
    <w:rsid w:val="00A42898"/>
    <w:rsid w:val="00A53C2D"/>
    <w:rsid w:val="00AB6ACE"/>
    <w:rsid w:val="00AC5A3A"/>
    <w:rsid w:val="00AD0962"/>
    <w:rsid w:val="00AD3667"/>
    <w:rsid w:val="00AF0CC7"/>
    <w:rsid w:val="00B04174"/>
    <w:rsid w:val="00B26D0C"/>
    <w:rsid w:val="00B3718E"/>
    <w:rsid w:val="00B803F4"/>
    <w:rsid w:val="00B82FA5"/>
    <w:rsid w:val="00BD08BA"/>
    <w:rsid w:val="00BD1400"/>
    <w:rsid w:val="00BD605C"/>
    <w:rsid w:val="00BE2A76"/>
    <w:rsid w:val="00C07EA9"/>
    <w:rsid w:val="00C11F38"/>
    <w:rsid w:val="00C17AA1"/>
    <w:rsid w:val="00C23E88"/>
    <w:rsid w:val="00C31E56"/>
    <w:rsid w:val="00C5574D"/>
    <w:rsid w:val="00C65E60"/>
    <w:rsid w:val="00CA2EBE"/>
    <w:rsid w:val="00CB1853"/>
    <w:rsid w:val="00CB6A02"/>
    <w:rsid w:val="00CC2984"/>
    <w:rsid w:val="00CE5A52"/>
    <w:rsid w:val="00CF1789"/>
    <w:rsid w:val="00CF421D"/>
    <w:rsid w:val="00CF7AF3"/>
    <w:rsid w:val="00D00289"/>
    <w:rsid w:val="00D113E2"/>
    <w:rsid w:val="00D1391F"/>
    <w:rsid w:val="00D1557D"/>
    <w:rsid w:val="00D26ADA"/>
    <w:rsid w:val="00D35A78"/>
    <w:rsid w:val="00D40EC5"/>
    <w:rsid w:val="00D513CC"/>
    <w:rsid w:val="00D555A1"/>
    <w:rsid w:val="00D64DC2"/>
    <w:rsid w:val="00D7203A"/>
    <w:rsid w:val="00D76A51"/>
    <w:rsid w:val="00DA46CA"/>
    <w:rsid w:val="00DE61F0"/>
    <w:rsid w:val="00DF21EB"/>
    <w:rsid w:val="00E04E78"/>
    <w:rsid w:val="00E20E70"/>
    <w:rsid w:val="00E25B68"/>
    <w:rsid w:val="00E27E20"/>
    <w:rsid w:val="00E41220"/>
    <w:rsid w:val="00E84003"/>
    <w:rsid w:val="00EC10FC"/>
    <w:rsid w:val="00ED74D3"/>
    <w:rsid w:val="00EE0041"/>
    <w:rsid w:val="00EE29B9"/>
    <w:rsid w:val="00F004EE"/>
    <w:rsid w:val="00F275F4"/>
    <w:rsid w:val="00F338DE"/>
    <w:rsid w:val="00F41E4F"/>
    <w:rsid w:val="00F42E23"/>
    <w:rsid w:val="00F45EEE"/>
    <w:rsid w:val="00F51E9C"/>
    <w:rsid w:val="00F523CA"/>
    <w:rsid w:val="00F74A9D"/>
    <w:rsid w:val="00FF1D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styleId="Lienhypertexte">
    <w:name w:val="Hyperlink"/>
    <w:basedOn w:val="Policepardfaut"/>
    <w:uiPriority w:val="99"/>
    <w:unhideWhenUsed/>
    <w:locked/>
    <w:rsid w:val="0009386E"/>
    <w:rPr>
      <w:color w:val="0000FF" w:themeColor="hyperlink"/>
      <w:u w:val="single"/>
    </w:rPr>
  </w:style>
  <w:style w:type="paragraph" w:customStyle="1" w:styleId="Default">
    <w:name w:val="Default"/>
    <w:rsid w:val="007676CB"/>
    <w:pPr>
      <w:autoSpaceDE w:val="0"/>
      <w:autoSpaceDN w:val="0"/>
      <w:adjustRightInd w:val="0"/>
    </w:pPr>
    <w:rPr>
      <w:color w:val="000000"/>
      <w:sz w:val="24"/>
      <w:szCs w:val="24"/>
      <w:lang w:val="fr-FR"/>
    </w:rPr>
  </w:style>
  <w:style w:type="character" w:styleId="Mentionnonrsolue">
    <w:name w:val="Unresolved Mention"/>
    <w:basedOn w:val="Policepardfaut"/>
    <w:uiPriority w:val="99"/>
    <w:semiHidden/>
    <w:unhideWhenUsed/>
    <w:rsid w:val="00C5574D"/>
    <w:rPr>
      <w:color w:val="605E5C"/>
      <w:shd w:val="clear" w:color="auto" w:fill="E1DFDD"/>
    </w:rPr>
  </w:style>
  <w:style w:type="paragraph" w:styleId="Paragraphedeliste">
    <w:name w:val="List Paragraph"/>
    <w:basedOn w:val="Normal"/>
    <w:uiPriority w:val="49"/>
    <w:locked/>
    <w:rsid w:val="00324F7A"/>
    <w:pPr>
      <w:ind w:left="720"/>
      <w:contextualSpacing/>
    </w:pPr>
  </w:style>
  <w:style w:type="paragraph" w:styleId="NormalWeb">
    <w:name w:val="Normal (Web)"/>
    <w:basedOn w:val="Normal"/>
    <w:uiPriority w:val="99"/>
    <w:unhideWhenUsed/>
    <w:locked/>
    <w:rsid w:val="000D602B"/>
    <w:pPr>
      <w:overflowPunct/>
      <w:autoSpaceDE/>
      <w:autoSpaceDN/>
      <w:adjustRightInd/>
      <w:spacing w:before="100" w:beforeAutospacing="1" w:after="100" w:afterAutospacing="1"/>
      <w:textAlignment w:val="auto"/>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192">
      <w:bodyDiv w:val="1"/>
      <w:marLeft w:val="0"/>
      <w:marRight w:val="0"/>
      <w:marTop w:val="0"/>
      <w:marBottom w:val="0"/>
      <w:divBdr>
        <w:top w:val="none" w:sz="0" w:space="0" w:color="auto"/>
        <w:left w:val="none" w:sz="0" w:space="0" w:color="auto"/>
        <w:bottom w:val="none" w:sz="0" w:space="0" w:color="auto"/>
        <w:right w:val="none" w:sz="0" w:space="0" w:color="auto"/>
      </w:divBdr>
    </w:div>
    <w:div w:id="127019627">
      <w:bodyDiv w:val="1"/>
      <w:marLeft w:val="0"/>
      <w:marRight w:val="0"/>
      <w:marTop w:val="0"/>
      <w:marBottom w:val="0"/>
      <w:divBdr>
        <w:top w:val="none" w:sz="0" w:space="0" w:color="auto"/>
        <w:left w:val="none" w:sz="0" w:space="0" w:color="auto"/>
        <w:bottom w:val="none" w:sz="0" w:space="0" w:color="auto"/>
        <w:right w:val="none" w:sz="0" w:space="0" w:color="auto"/>
      </w:divBdr>
    </w:div>
    <w:div w:id="459343407">
      <w:bodyDiv w:val="1"/>
      <w:marLeft w:val="0"/>
      <w:marRight w:val="0"/>
      <w:marTop w:val="0"/>
      <w:marBottom w:val="0"/>
      <w:divBdr>
        <w:top w:val="none" w:sz="0" w:space="0" w:color="auto"/>
        <w:left w:val="none" w:sz="0" w:space="0" w:color="auto"/>
        <w:bottom w:val="none" w:sz="0" w:space="0" w:color="auto"/>
        <w:right w:val="none" w:sz="0" w:space="0" w:color="auto"/>
      </w:divBdr>
      <w:divsChild>
        <w:div w:id="476384911">
          <w:marLeft w:val="0"/>
          <w:marRight w:val="0"/>
          <w:marTop w:val="0"/>
          <w:marBottom w:val="0"/>
          <w:divBdr>
            <w:top w:val="none" w:sz="0" w:space="0" w:color="auto"/>
            <w:left w:val="none" w:sz="0" w:space="0" w:color="auto"/>
            <w:bottom w:val="none" w:sz="0" w:space="0" w:color="auto"/>
            <w:right w:val="none" w:sz="0" w:space="0" w:color="auto"/>
          </w:divBdr>
          <w:divsChild>
            <w:div w:id="347948294">
              <w:marLeft w:val="0"/>
              <w:marRight w:val="0"/>
              <w:marTop w:val="0"/>
              <w:marBottom w:val="0"/>
              <w:divBdr>
                <w:top w:val="none" w:sz="0" w:space="0" w:color="auto"/>
                <w:left w:val="none" w:sz="0" w:space="0" w:color="auto"/>
                <w:bottom w:val="none" w:sz="0" w:space="0" w:color="auto"/>
                <w:right w:val="none" w:sz="0" w:space="0" w:color="auto"/>
              </w:divBdr>
              <w:divsChild>
                <w:div w:id="220294381">
                  <w:marLeft w:val="0"/>
                  <w:marRight w:val="0"/>
                  <w:marTop w:val="0"/>
                  <w:marBottom w:val="0"/>
                  <w:divBdr>
                    <w:top w:val="none" w:sz="0" w:space="0" w:color="auto"/>
                    <w:left w:val="none" w:sz="0" w:space="0" w:color="auto"/>
                    <w:bottom w:val="none" w:sz="0" w:space="0" w:color="auto"/>
                    <w:right w:val="none" w:sz="0" w:space="0" w:color="auto"/>
                  </w:divBdr>
                </w:div>
                <w:div w:id="1029449688">
                  <w:marLeft w:val="0"/>
                  <w:marRight w:val="0"/>
                  <w:marTop w:val="0"/>
                  <w:marBottom w:val="0"/>
                  <w:divBdr>
                    <w:top w:val="none" w:sz="0" w:space="0" w:color="auto"/>
                    <w:left w:val="none" w:sz="0" w:space="0" w:color="auto"/>
                    <w:bottom w:val="none" w:sz="0" w:space="0" w:color="auto"/>
                    <w:right w:val="none" w:sz="0" w:space="0" w:color="auto"/>
                  </w:divBdr>
                  <w:divsChild>
                    <w:div w:id="1137260449">
                      <w:marLeft w:val="0"/>
                      <w:marRight w:val="0"/>
                      <w:marTop w:val="0"/>
                      <w:marBottom w:val="0"/>
                      <w:divBdr>
                        <w:top w:val="none" w:sz="0" w:space="0" w:color="auto"/>
                        <w:left w:val="none" w:sz="0" w:space="0" w:color="auto"/>
                        <w:bottom w:val="none" w:sz="0" w:space="0" w:color="auto"/>
                        <w:right w:val="none" w:sz="0" w:space="0" w:color="auto"/>
                      </w:divBdr>
                      <w:divsChild>
                        <w:div w:id="1324548194">
                          <w:marLeft w:val="0"/>
                          <w:marRight w:val="0"/>
                          <w:marTop w:val="0"/>
                          <w:marBottom w:val="0"/>
                          <w:divBdr>
                            <w:top w:val="none" w:sz="0" w:space="0" w:color="auto"/>
                            <w:left w:val="none" w:sz="0" w:space="0" w:color="auto"/>
                            <w:bottom w:val="none" w:sz="0" w:space="0" w:color="auto"/>
                            <w:right w:val="none" w:sz="0" w:space="0" w:color="auto"/>
                          </w:divBdr>
                          <w:divsChild>
                            <w:div w:id="20620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6850">
          <w:marLeft w:val="0"/>
          <w:marRight w:val="0"/>
          <w:marTop w:val="0"/>
          <w:marBottom w:val="0"/>
          <w:divBdr>
            <w:top w:val="none" w:sz="0" w:space="0" w:color="auto"/>
            <w:left w:val="none" w:sz="0" w:space="0" w:color="auto"/>
            <w:bottom w:val="none" w:sz="0" w:space="0" w:color="auto"/>
            <w:right w:val="none" w:sz="0" w:space="0" w:color="auto"/>
          </w:divBdr>
          <w:divsChild>
            <w:div w:id="2071879739">
              <w:marLeft w:val="0"/>
              <w:marRight w:val="0"/>
              <w:marTop w:val="0"/>
              <w:marBottom w:val="0"/>
              <w:divBdr>
                <w:top w:val="none" w:sz="0" w:space="0" w:color="auto"/>
                <w:left w:val="none" w:sz="0" w:space="0" w:color="auto"/>
                <w:bottom w:val="none" w:sz="0" w:space="0" w:color="auto"/>
                <w:right w:val="none" w:sz="0" w:space="0" w:color="auto"/>
              </w:divBdr>
              <w:divsChild>
                <w:div w:id="2131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4426">
      <w:bodyDiv w:val="1"/>
      <w:marLeft w:val="0"/>
      <w:marRight w:val="0"/>
      <w:marTop w:val="0"/>
      <w:marBottom w:val="0"/>
      <w:divBdr>
        <w:top w:val="none" w:sz="0" w:space="0" w:color="auto"/>
        <w:left w:val="none" w:sz="0" w:space="0" w:color="auto"/>
        <w:bottom w:val="none" w:sz="0" w:space="0" w:color="auto"/>
        <w:right w:val="none" w:sz="0" w:space="0" w:color="auto"/>
      </w:divBdr>
    </w:div>
    <w:div w:id="634215346">
      <w:bodyDiv w:val="1"/>
      <w:marLeft w:val="0"/>
      <w:marRight w:val="0"/>
      <w:marTop w:val="0"/>
      <w:marBottom w:val="0"/>
      <w:divBdr>
        <w:top w:val="none" w:sz="0" w:space="0" w:color="auto"/>
        <w:left w:val="none" w:sz="0" w:space="0" w:color="auto"/>
        <w:bottom w:val="none" w:sz="0" w:space="0" w:color="auto"/>
        <w:right w:val="none" w:sz="0" w:space="0" w:color="auto"/>
      </w:divBdr>
    </w:div>
    <w:div w:id="651982662">
      <w:bodyDiv w:val="1"/>
      <w:marLeft w:val="0"/>
      <w:marRight w:val="0"/>
      <w:marTop w:val="0"/>
      <w:marBottom w:val="0"/>
      <w:divBdr>
        <w:top w:val="none" w:sz="0" w:space="0" w:color="auto"/>
        <w:left w:val="none" w:sz="0" w:space="0" w:color="auto"/>
        <w:bottom w:val="none" w:sz="0" w:space="0" w:color="auto"/>
        <w:right w:val="none" w:sz="0" w:space="0" w:color="auto"/>
      </w:divBdr>
    </w:div>
    <w:div w:id="698163575">
      <w:bodyDiv w:val="1"/>
      <w:marLeft w:val="0"/>
      <w:marRight w:val="0"/>
      <w:marTop w:val="0"/>
      <w:marBottom w:val="0"/>
      <w:divBdr>
        <w:top w:val="none" w:sz="0" w:space="0" w:color="auto"/>
        <w:left w:val="none" w:sz="0" w:space="0" w:color="auto"/>
        <w:bottom w:val="none" w:sz="0" w:space="0" w:color="auto"/>
        <w:right w:val="none" w:sz="0" w:space="0" w:color="auto"/>
      </w:divBdr>
    </w:div>
    <w:div w:id="722557395">
      <w:bodyDiv w:val="1"/>
      <w:marLeft w:val="0"/>
      <w:marRight w:val="0"/>
      <w:marTop w:val="0"/>
      <w:marBottom w:val="0"/>
      <w:divBdr>
        <w:top w:val="none" w:sz="0" w:space="0" w:color="auto"/>
        <w:left w:val="none" w:sz="0" w:space="0" w:color="auto"/>
        <w:bottom w:val="none" w:sz="0" w:space="0" w:color="auto"/>
        <w:right w:val="none" w:sz="0" w:space="0" w:color="auto"/>
      </w:divBdr>
    </w:div>
    <w:div w:id="883366441">
      <w:bodyDiv w:val="1"/>
      <w:marLeft w:val="0"/>
      <w:marRight w:val="0"/>
      <w:marTop w:val="0"/>
      <w:marBottom w:val="0"/>
      <w:divBdr>
        <w:top w:val="none" w:sz="0" w:space="0" w:color="auto"/>
        <w:left w:val="none" w:sz="0" w:space="0" w:color="auto"/>
        <w:bottom w:val="none" w:sz="0" w:space="0" w:color="auto"/>
        <w:right w:val="none" w:sz="0" w:space="0" w:color="auto"/>
      </w:divBdr>
    </w:div>
    <w:div w:id="958947397">
      <w:bodyDiv w:val="1"/>
      <w:marLeft w:val="0"/>
      <w:marRight w:val="0"/>
      <w:marTop w:val="0"/>
      <w:marBottom w:val="0"/>
      <w:divBdr>
        <w:top w:val="none" w:sz="0" w:space="0" w:color="auto"/>
        <w:left w:val="none" w:sz="0" w:space="0" w:color="auto"/>
        <w:bottom w:val="none" w:sz="0" w:space="0" w:color="auto"/>
        <w:right w:val="none" w:sz="0" w:space="0" w:color="auto"/>
      </w:divBdr>
    </w:div>
    <w:div w:id="1299191217">
      <w:bodyDiv w:val="1"/>
      <w:marLeft w:val="0"/>
      <w:marRight w:val="0"/>
      <w:marTop w:val="0"/>
      <w:marBottom w:val="0"/>
      <w:divBdr>
        <w:top w:val="none" w:sz="0" w:space="0" w:color="auto"/>
        <w:left w:val="none" w:sz="0" w:space="0" w:color="auto"/>
        <w:bottom w:val="none" w:sz="0" w:space="0" w:color="auto"/>
        <w:right w:val="none" w:sz="0" w:space="0" w:color="auto"/>
      </w:divBdr>
    </w:div>
    <w:div w:id="1333796008">
      <w:bodyDiv w:val="1"/>
      <w:marLeft w:val="0"/>
      <w:marRight w:val="0"/>
      <w:marTop w:val="0"/>
      <w:marBottom w:val="0"/>
      <w:divBdr>
        <w:top w:val="none" w:sz="0" w:space="0" w:color="auto"/>
        <w:left w:val="none" w:sz="0" w:space="0" w:color="auto"/>
        <w:bottom w:val="none" w:sz="0" w:space="0" w:color="auto"/>
        <w:right w:val="none" w:sz="0" w:space="0" w:color="auto"/>
      </w:divBdr>
    </w:div>
    <w:div w:id="1537619204">
      <w:bodyDiv w:val="1"/>
      <w:marLeft w:val="0"/>
      <w:marRight w:val="0"/>
      <w:marTop w:val="0"/>
      <w:marBottom w:val="0"/>
      <w:divBdr>
        <w:top w:val="none" w:sz="0" w:space="0" w:color="auto"/>
        <w:left w:val="none" w:sz="0" w:space="0" w:color="auto"/>
        <w:bottom w:val="none" w:sz="0" w:space="0" w:color="auto"/>
        <w:right w:val="none" w:sz="0" w:space="0" w:color="auto"/>
      </w:divBdr>
    </w:div>
    <w:div w:id="1742554999">
      <w:bodyDiv w:val="1"/>
      <w:marLeft w:val="0"/>
      <w:marRight w:val="0"/>
      <w:marTop w:val="0"/>
      <w:marBottom w:val="0"/>
      <w:divBdr>
        <w:top w:val="none" w:sz="0" w:space="0" w:color="auto"/>
        <w:left w:val="none" w:sz="0" w:space="0" w:color="auto"/>
        <w:bottom w:val="none" w:sz="0" w:space="0" w:color="auto"/>
        <w:right w:val="none" w:sz="0" w:space="0" w:color="auto"/>
      </w:divBdr>
    </w:div>
    <w:div w:id="1759135281">
      <w:bodyDiv w:val="1"/>
      <w:marLeft w:val="0"/>
      <w:marRight w:val="0"/>
      <w:marTop w:val="0"/>
      <w:marBottom w:val="0"/>
      <w:divBdr>
        <w:top w:val="none" w:sz="0" w:space="0" w:color="auto"/>
        <w:left w:val="none" w:sz="0" w:space="0" w:color="auto"/>
        <w:bottom w:val="none" w:sz="0" w:space="0" w:color="auto"/>
        <w:right w:val="none" w:sz="0" w:space="0" w:color="auto"/>
      </w:divBdr>
    </w:div>
    <w:div w:id="1984309214">
      <w:bodyDiv w:val="1"/>
      <w:marLeft w:val="0"/>
      <w:marRight w:val="0"/>
      <w:marTop w:val="0"/>
      <w:marBottom w:val="0"/>
      <w:divBdr>
        <w:top w:val="none" w:sz="0" w:space="0" w:color="auto"/>
        <w:left w:val="none" w:sz="0" w:space="0" w:color="auto"/>
        <w:bottom w:val="none" w:sz="0" w:space="0" w:color="auto"/>
        <w:right w:val="none" w:sz="0" w:space="0" w:color="auto"/>
      </w:divBdr>
    </w:div>
    <w:div w:id="213682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id.dridi@cnstn.rnrt.tn"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rpg.mit.edu/wp-content/uploads/2017/01/BEAVRS_2.0.2_spec.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590</TotalTime>
  <Pages>8</Pages>
  <Words>3149</Words>
  <Characters>17325</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Walid DRIDI</cp:lastModifiedBy>
  <cp:revision>88</cp:revision>
  <cp:lastPrinted>2024-03-19T13:52:00Z</cp:lastPrinted>
  <dcterms:created xsi:type="dcterms:W3CDTF">2024-03-19T07:55:00Z</dcterms:created>
  <dcterms:modified xsi:type="dcterms:W3CDTF">2024-09-06T20:23:00Z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