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2CC5" w14:textId="77777777" w:rsidR="00AC0A5D" w:rsidRDefault="00AC0A5D" w:rsidP="00537496">
      <w:pPr>
        <w:pStyle w:val="Subtitle"/>
        <w:rPr>
          <w:rFonts w:ascii="Times New Roman Bold" w:hAnsi="Times New Roman Bold" w:cs="Times New Roman"/>
          <w:i w:val="0"/>
          <w:caps/>
          <w:szCs w:val="20"/>
        </w:rPr>
      </w:pPr>
      <w:r w:rsidRPr="00AC0A5D">
        <w:rPr>
          <w:rFonts w:ascii="Times New Roman Bold" w:hAnsi="Times New Roman Bold" w:cs="Times New Roman"/>
          <w:i w:val="0"/>
          <w:caps/>
          <w:szCs w:val="20"/>
        </w:rPr>
        <w:t>Parametric survey on critical core of RFBB-SS</w:t>
      </w:r>
    </w:p>
    <w:p w14:paraId="32159D0F" w14:textId="28DFC09F" w:rsidR="003B5E0E" w:rsidRDefault="00AC0A5D" w:rsidP="00537496">
      <w:pPr>
        <w:pStyle w:val="Authornameandaffiliation"/>
      </w:pPr>
      <w:r>
        <w:t>S</w:t>
      </w:r>
      <w:r w:rsidR="00537496">
        <w:t>.</w:t>
      </w:r>
      <w:r w:rsidR="00FF386F" w:rsidRPr="00FF386F">
        <w:t xml:space="preserve"> </w:t>
      </w:r>
      <w:r>
        <w:t>ODMAA</w:t>
      </w:r>
    </w:p>
    <w:p w14:paraId="47E7C3CB" w14:textId="60805E00" w:rsidR="00AC0A5D" w:rsidRDefault="00AC0A5D" w:rsidP="00537496">
      <w:pPr>
        <w:pStyle w:val="Authornameandaffiliation"/>
        <w:rPr>
          <w:iCs/>
        </w:rPr>
      </w:pPr>
      <w:r w:rsidRPr="00AC0A5D">
        <w:rPr>
          <w:iCs/>
        </w:rPr>
        <w:t>School of Engineering and Technology</w:t>
      </w:r>
      <w:r>
        <w:rPr>
          <w:iCs/>
        </w:rPr>
        <w:t xml:space="preserve">, </w:t>
      </w:r>
      <w:r w:rsidRPr="00AC0A5D">
        <w:rPr>
          <w:iCs/>
        </w:rPr>
        <w:t>Nuclear Research Center</w:t>
      </w:r>
      <w:r>
        <w:rPr>
          <w:iCs/>
        </w:rPr>
        <w:t xml:space="preserve">, </w:t>
      </w:r>
      <w:r w:rsidRPr="00AC0A5D">
        <w:rPr>
          <w:iCs/>
        </w:rPr>
        <w:t>National University of Mongolia</w:t>
      </w:r>
    </w:p>
    <w:p w14:paraId="06BCC8A5" w14:textId="7710BC92" w:rsidR="00AC0A5D" w:rsidRPr="00AC0A5D" w:rsidRDefault="00AC0A5D" w:rsidP="00537496">
      <w:pPr>
        <w:pStyle w:val="Authornameandaffiliation"/>
        <w:rPr>
          <w:iCs/>
          <w:sz w:val="16"/>
          <w:szCs w:val="16"/>
        </w:rPr>
      </w:pPr>
      <w:r>
        <w:rPr>
          <w:iCs/>
        </w:rPr>
        <w:t xml:space="preserve">Ulaanbaatar, </w:t>
      </w:r>
      <w:r w:rsidRPr="00AC0A5D">
        <w:rPr>
          <w:iCs/>
        </w:rPr>
        <w:t>Mongolia</w:t>
      </w:r>
    </w:p>
    <w:p w14:paraId="0080899C" w14:textId="5901D602" w:rsidR="00FF386F" w:rsidRDefault="00FF386F" w:rsidP="00537496">
      <w:pPr>
        <w:pStyle w:val="Authornameandaffiliation"/>
      </w:pPr>
      <w:r>
        <w:t xml:space="preserve">Email: </w:t>
      </w:r>
      <w:r w:rsidR="00AC0A5D" w:rsidRPr="00AC0A5D">
        <w:t>sodmaa1@num.edu.mn, sodmaa1@gmail.com</w:t>
      </w:r>
    </w:p>
    <w:p w14:paraId="5E2BDA1F" w14:textId="77777777" w:rsidR="00FF386F" w:rsidRDefault="00FF386F" w:rsidP="00537496">
      <w:pPr>
        <w:pStyle w:val="Authornameandaffiliation"/>
      </w:pPr>
    </w:p>
    <w:p w14:paraId="535BB6CC" w14:textId="0CB4C4FC" w:rsidR="00FF386F" w:rsidRPr="00FF386F" w:rsidRDefault="00AC0A5D" w:rsidP="00537496">
      <w:pPr>
        <w:pStyle w:val="Authornameandaffiliation"/>
      </w:pPr>
      <w:proofErr w:type="gramStart"/>
      <w:r>
        <w:t>A.TSENDSUREN</w:t>
      </w:r>
      <w:proofErr w:type="gramEnd"/>
    </w:p>
    <w:p w14:paraId="0C606E57" w14:textId="35ECCD8C" w:rsidR="00AC0A5D" w:rsidRPr="00AC0A5D" w:rsidRDefault="00AC0A5D" w:rsidP="00537496">
      <w:pPr>
        <w:pStyle w:val="Authornameandaffiliation"/>
        <w:rPr>
          <w:iCs/>
          <w:sz w:val="16"/>
          <w:szCs w:val="16"/>
        </w:rPr>
      </w:pPr>
      <w:r w:rsidRPr="00AC0A5D">
        <w:rPr>
          <w:iCs/>
        </w:rPr>
        <w:t xml:space="preserve">Nuclear Research Center, National University of Mongolia </w:t>
      </w:r>
    </w:p>
    <w:p w14:paraId="2C7F19CB" w14:textId="403F8806" w:rsidR="00FF386F" w:rsidRDefault="00AC0A5D" w:rsidP="00537496">
      <w:pPr>
        <w:pStyle w:val="Authornameandaffiliation"/>
        <w:rPr>
          <w:iCs/>
        </w:rPr>
      </w:pPr>
      <w:r>
        <w:rPr>
          <w:iCs/>
        </w:rPr>
        <w:t xml:space="preserve">Ulaanbaatar, </w:t>
      </w:r>
      <w:r w:rsidRPr="00AC0A5D">
        <w:rPr>
          <w:iCs/>
        </w:rPr>
        <w:t>Mongolia</w:t>
      </w:r>
    </w:p>
    <w:p w14:paraId="157CEE69" w14:textId="77777777" w:rsidR="00AC0A5D" w:rsidRDefault="00AC0A5D" w:rsidP="00537496">
      <w:pPr>
        <w:pStyle w:val="Authornameandaffiliation"/>
      </w:pPr>
    </w:p>
    <w:p w14:paraId="248C5868" w14:textId="40E3B244" w:rsidR="00AC0A5D" w:rsidRDefault="00AC0A5D" w:rsidP="00537496">
      <w:pPr>
        <w:pStyle w:val="Authornameandaffiliation"/>
      </w:pPr>
      <w:r>
        <w:t>V.</w:t>
      </w:r>
      <w:proofErr w:type="gramStart"/>
      <w:r>
        <w:t>KH.HOANG</w:t>
      </w:r>
      <w:proofErr w:type="gramEnd"/>
    </w:p>
    <w:p w14:paraId="58596DC7" w14:textId="77777777" w:rsidR="00AC0A5D" w:rsidRDefault="00AC0A5D" w:rsidP="00AC0A5D">
      <w:pPr>
        <w:pStyle w:val="ListParagraph"/>
        <w:ind w:left="420" w:firstLine="147"/>
        <w:jc w:val="left"/>
        <w:rPr>
          <w:rFonts w:ascii="Times New Roman" w:hAnsi="Times New Roman" w:cs="Times New Roman"/>
          <w:iCs/>
          <w:color w:val="1D1C1D"/>
          <w:sz w:val="20"/>
          <w:szCs w:val="20"/>
          <w:shd w:val="clear" w:color="auto" w:fill="FFFFFF"/>
        </w:rPr>
      </w:pPr>
      <w:r w:rsidRPr="00AC0A5D">
        <w:rPr>
          <w:rFonts w:ascii="Times New Roman" w:hAnsi="Times New Roman" w:cs="Times New Roman"/>
          <w:iCs/>
          <w:color w:val="1D1C1D"/>
          <w:sz w:val="20"/>
          <w:szCs w:val="20"/>
          <w:shd w:val="clear" w:color="auto" w:fill="F8F8F8"/>
        </w:rPr>
        <w:t>Faculty of Fundamental Sciences</w:t>
      </w:r>
      <w:r w:rsidRPr="00AC0A5D">
        <w:rPr>
          <w:rFonts w:ascii="Times New Roman" w:hAnsi="Times New Roman" w:cs="Times New Roman"/>
          <w:iCs/>
          <w:sz w:val="20"/>
          <w:szCs w:val="20"/>
        </w:rPr>
        <w:t xml:space="preserve">, </w:t>
      </w:r>
      <w:proofErr w:type="spellStart"/>
      <w:r w:rsidRPr="00AC0A5D">
        <w:rPr>
          <w:rFonts w:ascii="Times New Roman" w:hAnsi="Times New Roman" w:cs="Times New Roman"/>
          <w:iCs/>
          <w:color w:val="1D1C1D"/>
          <w:sz w:val="20"/>
          <w:szCs w:val="20"/>
          <w:shd w:val="clear" w:color="auto" w:fill="FFFFFF"/>
        </w:rPr>
        <w:t>Phenikaa</w:t>
      </w:r>
      <w:proofErr w:type="spellEnd"/>
      <w:r w:rsidRPr="00AC0A5D">
        <w:rPr>
          <w:rFonts w:ascii="Times New Roman" w:hAnsi="Times New Roman" w:cs="Times New Roman"/>
          <w:iCs/>
          <w:color w:val="1D1C1D"/>
          <w:sz w:val="20"/>
          <w:szCs w:val="20"/>
          <w:shd w:val="clear" w:color="auto" w:fill="FFFFFF"/>
        </w:rPr>
        <w:t xml:space="preserve"> University</w:t>
      </w:r>
    </w:p>
    <w:p w14:paraId="7E4C8BE6" w14:textId="47E05770" w:rsidR="00AC0A5D" w:rsidRPr="00AC0A5D" w:rsidRDefault="00AC0A5D" w:rsidP="00AC0A5D">
      <w:pPr>
        <w:pStyle w:val="ListParagraph"/>
        <w:ind w:left="420" w:firstLine="147"/>
        <w:jc w:val="left"/>
        <w:rPr>
          <w:rFonts w:ascii="Times New Roman" w:hAnsi="Times New Roman" w:cs="Times New Roman"/>
          <w:iCs/>
          <w:sz w:val="20"/>
          <w:szCs w:val="20"/>
        </w:rPr>
      </w:pPr>
      <w:r>
        <w:rPr>
          <w:rFonts w:ascii="Times New Roman" w:hAnsi="Times New Roman" w:cs="Times New Roman"/>
          <w:iCs/>
          <w:sz w:val="20"/>
          <w:szCs w:val="20"/>
        </w:rPr>
        <w:t xml:space="preserve">Hanoi, </w:t>
      </w:r>
      <w:r w:rsidRPr="00AC0A5D">
        <w:rPr>
          <w:rFonts w:ascii="Times New Roman" w:hAnsi="Times New Roman" w:cs="Times New Roman"/>
          <w:iCs/>
          <w:sz w:val="20"/>
          <w:szCs w:val="20"/>
        </w:rPr>
        <w:t>Vietnam</w:t>
      </w:r>
    </w:p>
    <w:p w14:paraId="3B2CB326" w14:textId="77777777" w:rsidR="00AC0A5D" w:rsidRDefault="00AC0A5D" w:rsidP="00537496">
      <w:pPr>
        <w:pStyle w:val="Authornameandaffiliation"/>
      </w:pPr>
    </w:p>
    <w:p w14:paraId="34001E69" w14:textId="7AE5E608" w:rsidR="00AC0A5D" w:rsidRDefault="00AC0A5D" w:rsidP="00537496">
      <w:pPr>
        <w:pStyle w:val="Authornameandaffiliation"/>
      </w:pPr>
      <w:proofErr w:type="gramStart"/>
      <w:r>
        <w:t>T.OBARA</w:t>
      </w:r>
      <w:proofErr w:type="gramEnd"/>
    </w:p>
    <w:p w14:paraId="1ED4249C" w14:textId="77777777" w:rsidR="00AC0A5D" w:rsidRDefault="00AC0A5D" w:rsidP="00537496">
      <w:pPr>
        <w:pStyle w:val="Authornameandaffiliation"/>
        <w:rPr>
          <w:iCs/>
        </w:rPr>
      </w:pPr>
      <w:r w:rsidRPr="00AC0A5D">
        <w:rPr>
          <w:iCs/>
        </w:rPr>
        <w:t>Laboratory for Zero-Carbon Energy, Institute of Innovative Research, Tokyo Institute of Technology</w:t>
      </w:r>
    </w:p>
    <w:p w14:paraId="5DB6855E" w14:textId="2884E5E5" w:rsidR="00AC0A5D" w:rsidRPr="00AC0A5D" w:rsidRDefault="00AC0A5D" w:rsidP="00537496">
      <w:pPr>
        <w:pStyle w:val="Authornameandaffiliation"/>
        <w:rPr>
          <w:iCs/>
          <w:sz w:val="16"/>
          <w:szCs w:val="16"/>
        </w:rPr>
      </w:pPr>
      <w:r>
        <w:rPr>
          <w:iCs/>
        </w:rPr>
        <w:t xml:space="preserve">Tokyo, </w:t>
      </w:r>
      <w:r w:rsidRPr="00AC0A5D">
        <w:rPr>
          <w:iCs/>
        </w:rPr>
        <w:t>Japan</w:t>
      </w:r>
    </w:p>
    <w:p w14:paraId="40CB154F" w14:textId="77777777" w:rsidR="00AC0A5D" w:rsidRDefault="00AC0A5D" w:rsidP="00537496">
      <w:pPr>
        <w:pStyle w:val="Authornameandaffiliation"/>
        <w:rPr>
          <w:b/>
        </w:rPr>
      </w:pPr>
    </w:p>
    <w:p w14:paraId="230D4575" w14:textId="0D7446C1"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C819EB7" w14:textId="77777777" w:rsidR="006777CC" w:rsidRDefault="006777CC" w:rsidP="006777CC">
      <w:pPr>
        <w:pStyle w:val="Abstracttext"/>
      </w:pPr>
      <w:r>
        <w:t>Breed-and-burn (B&amp;B) reactors maximize uranium utilization by using depleted or natural uranium and breeding fissile fuels while burning them. For this design, the neutron economy must be high during core operation to achieve critical core. This can be accomplished by locating fuels with large neutron multiplication factors in the high-neutron flux region via appropriate shuffling schemes.</w:t>
      </w:r>
    </w:p>
    <w:p w14:paraId="43B2C9EB" w14:textId="77777777" w:rsidR="006777CC" w:rsidRDefault="006777CC" w:rsidP="006777CC">
      <w:pPr>
        <w:pStyle w:val="Abstracttext"/>
      </w:pPr>
      <w:r>
        <w:t>Our previous analysis showed that a small power (750 MWe) rotational fuel-shuffling B&amp;B reactor with silicide fuel and sodium coolant (RFBB-SS) core could maintain critical condition and sustain the B&amp;B operating mode; however, we did not consider the fuel assembly (FA) duct and control rod assemblies (CRAs).</w:t>
      </w:r>
    </w:p>
    <w:p w14:paraId="418AC57B" w14:textId="382F85D0" w:rsidR="00647F33" w:rsidRPr="00BD605C" w:rsidRDefault="006777CC" w:rsidP="006777CC">
      <w:pPr>
        <w:pStyle w:val="Abstracttext"/>
      </w:pPr>
      <w:r>
        <w:t>The objective of the present study is to clarify the impact of several parameters on burnup performance in a practical RFBB-SS core, including FA duct and CRAs, by conducting burnup analysis using the Monte Carlo SERPENT code. This analysis thus clarifies the impact of the parameters on core criticality in the equilibrium state. We found that a small practical RFBB-SS core loaded with 85 TD fuel, 180-cm high, with 55 FAs per one-sixth core, and a shuffling interval of 700 days could operate in critical condition.</w:t>
      </w:r>
    </w:p>
    <w:p w14:paraId="03C6D75B" w14:textId="77777777" w:rsidR="00647F33" w:rsidRDefault="00F523CA" w:rsidP="00537496">
      <w:pPr>
        <w:pStyle w:val="Heading2"/>
        <w:numPr>
          <w:ilvl w:val="1"/>
          <w:numId w:val="10"/>
        </w:numPr>
      </w:pPr>
      <w:r>
        <w:t>INTRODUCTION</w:t>
      </w:r>
    </w:p>
    <w:p w14:paraId="30F99429" w14:textId="77777777" w:rsidR="006777CC" w:rsidRDefault="006777CC" w:rsidP="006777CC">
      <w:pPr>
        <w:pStyle w:val="BodyText"/>
      </w:pPr>
      <w:r>
        <w:t>Nuclear energy is one reliable, sustainable, and clean way to satisfy the increasing global energy demand due to population growth. Most current nuclear reactors are LWRs that cannot utilize uranium resources effectively. However, fast reactors such as breed-and burn (B&amp;B) reactors maximize uranium utilization by using depleted or natural uranium and breeding fissile fuels while burning them [1]. Other advantages of B&amp;B fast reactors include the reduction of spent nuclear fuel, and elimination of the need for fuel reprocessing plants.</w:t>
      </w:r>
    </w:p>
    <w:p w14:paraId="71B5C67A" w14:textId="77777777" w:rsidR="006777CC" w:rsidRDefault="006777CC" w:rsidP="006777CC">
      <w:pPr>
        <w:pStyle w:val="BodyText"/>
      </w:pPr>
      <w:r>
        <w:t xml:space="preserve">To achieve critical core without enriched fuel, high-reactivity fuel must always be located in the high-neutron flux region by operating using an appropriate shuffling scheme. In pursuit of this goal, the concept of the rotational fuel-shuffling B&amp;B fast reactor (RFBB) concept was developed [2]. Several RFBBs have been studied [2,3]. Our previous work focused on the feasibility of an RFBB with nitride </w:t>
      </w:r>
      <w:proofErr w:type="spellStart"/>
      <w:r>
        <w:t>fueled</w:t>
      </w:r>
      <w:proofErr w:type="spellEnd"/>
      <w:r>
        <w:t xml:space="preserve"> LFR to sustain the B&amp;B operating condition [3]. In a subsequent study, a </w:t>
      </w:r>
      <w:proofErr w:type="spellStart"/>
      <w:r>
        <w:t>triuranium</w:t>
      </w:r>
      <w:proofErr w:type="spellEnd"/>
      <w:r>
        <w:t xml:space="preserve"> </w:t>
      </w:r>
      <w:proofErr w:type="spellStart"/>
      <w:r>
        <w:t>disilicide</w:t>
      </w:r>
      <w:proofErr w:type="spellEnd"/>
      <w:r>
        <w:t xml:space="preserve"> (U</w:t>
      </w:r>
      <w:r w:rsidRPr="006777CC">
        <w:rPr>
          <w:vertAlign w:val="subscript"/>
        </w:rPr>
        <w:t>3</w:t>
      </w:r>
      <w:r>
        <w:t>Si</w:t>
      </w:r>
      <w:r w:rsidRPr="006777CC">
        <w:rPr>
          <w:vertAlign w:val="subscript"/>
        </w:rPr>
        <w:t>2</w:t>
      </w:r>
      <w:r>
        <w:t>)-fuel was utilized for a B&amp;B SFR core, and its feasibility was demonstrated [4]. U</w:t>
      </w:r>
      <w:r w:rsidRPr="006777CC">
        <w:rPr>
          <w:vertAlign w:val="subscript"/>
        </w:rPr>
        <w:t>3</w:t>
      </w:r>
      <w:r>
        <w:t>Si</w:t>
      </w:r>
      <w:r w:rsidRPr="006777CC">
        <w:rPr>
          <w:vertAlign w:val="subscript"/>
        </w:rPr>
        <w:t>2</w:t>
      </w:r>
      <w:r>
        <w:t xml:space="preserve"> fuel is usually used as a fuel for research and test reactors due to its high uranium density. It has a lower melting temperature than uranium carbide or uranium dioxide fuel. There is no need for enrichment of N-15 compared to uranium nitride fuel. Therefore, it is currently under development as an accident tolerance fuel and has the expected feature of proliferation resistance. It is therefore possible to achieve high burnup without using nitride fuel in an RFBB. </w:t>
      </w:r>
    </w:p>
    <w:p w14:paraId="068D4642" w14:textId="658C3180" w:rsidR="00EE0041" w:rsidRDefault="006777CC" w:rsidP="006777CC">
      <w:pPr>
        <w:pStyle w:val="BodyText"/>
      </w:pPr>
      <w:r>
        <w:t xml:space="preserve">Our previous design study for an RFBB-SS did not consider fuel assembly (FA) duct or control rod assemblies (CRAs) [4]. The objective of the current study is to clarify the impact of several parameters on burnup performance in a practical RFBB-SS core, including FA duct and CRAs, by conducting burnup analysis. First, we carried out a core analysis using 96.7% of theoretical density (TD) fuel and considering FA duct and CRAs. Then, the core was redesigned by adding more fuel assemblies in the radial direction, and the shuffling interval was </w:t>
      </w:r>
      <w:r>
        <w:lastRenderedPageBreak/>
        <w:t>changed to achieve critical condition. Due to high fuel swelling in fast reactors, the fuel smear density had to be reduced to 85%TD for example in the present study. The practical core analysis using this smear density was performed by adding more fuel assemblies in the radial direction, changing the shuffling interval, and increasing the core height to achieve critical core</w:t>
      </w:r>
      <w:r w:rsidR="008B6BB9">
        <w:t>.</w:t>
      </w:r>
    </w:p>
    <w:p w14:paraId="74CD1556" w14:textId="55FDA2ED" w:rsidR="00E25B68" w:rsidRDefault="006777CC" w:rsidP="006777CC">
      <w:pPr>
        <w:pStyle w:val="Heading2"/>
        <w:numPr>
          <w:ilvl w:val="1"/>
          <w:numId w:val="10"/>
        </w:numPr>
      </w:pPr>
      <w:r w:rsidRPr="006777CC">
        <w:t>Reference core analysis with high density fuel</w:t>
      </w:r>
    </w:p>
    <w:p w14:paraId="75D1E554" w14:textId="77777777" w:rsidR="006777CC" w:rsidRDefault="006777CC" w:rsidP="006777CC">
      <w:pPr>
        <w:pStyle w:val="BodyText"/>
      </w:pPr>
      <w:r>
        <w:t>In our previous study, we investigated the feasibility of a small RFBB reactor using U3Si2 fuel of natural uranium and sodium coolant (RFBB-SS). The core achieved the B&amp;B condition, but FA duct and CRAs were not considered. Core specifications were 140-cm height, 133 cm in equivalent radius, and 750 MW of power. There was a total of 168 FAs in a core (e.g., 28 FAs per one-sixth core). To sustain B&amp;B operating mode, a 540-day shuffling interval was considered optimal for this design [4].</w:t>
      </w:r>
    </w:p>
    <w:p w14:paraId="744521AA" w14:textId="017C6C93" w:rsidR="0026525A" w:rsidRDefault="006777CC" w:rsidP="006777CC">
      <w:pPr>
        <w:pStyle w:val="BodyText"/>
      </w:pPr>
      <w:r>
        <w:t xml:space="preserve">For a more realistic reactor, both FA duct and CRAs must be considered in the core design. When only the FA duct is considered in the core design, obviously the core becomes subcritical due to the inclusion of a metallic duct. To achieve critical core, FAs in the radial direction were increased to 45, making the core equivalent radius 200 cm. Then, CRA was considered; one location in the 45 FAs per one-sixth core was intended for one CRA. Fuel burnup analyses were then performed for cores with 45 FAs without CRA, and 44 FAs with one CRA per one-sixth core. The main specifications of the core are listed in </w:t>
      </w:r>
      <w:r w:rsidRPr="00126787">
        <w:rPr>
          <w:color w:val="FF0000"/>
        </w:rPr>
        <w:t xml:space="preserve">Table </w:t>
      </w:r>
      <w:r w:rsidR="00126787" w:rsidRPr="00126787">
        <w:rPr>
          <w:color w:val="FF0000"/>
        </w:rPr>
        <w:t>1</w:t>
      </w:r>
      <w:r w:rsidRPr="00126787">
        <w:rPr>
          <w:color w:val="FF0000"/>
        </w:rPr>
        <w:t>. Fig</w:t>
      </w:r>
      <w:r w:rsidR="00126787" w:rsidRPr="00126787">
        <w:rPr>
          <w:color w:val="FF0000"/>
        </w:rPr>
        <w:t>.</w:t>
      </w:r>
      <w:r w:rsidRPr="00126787">
        <w:rPr>
          <w:color w:val="FF0000"/>
        </w:rPr>
        <w:t xml:space="preserve"> 1 </w:t>
      </w:r>
      <w:r>
        <w:t>shows the FA locations and shuffling scheme of both one-sixth core designs. The CRA location would be utilized as a coolant channel when CRAs are withdrawn from the core in Fig. 1b.</w:t>
      </w:r>
    </w:p>
    <w:p w14:paraId="0787CBED" w14:textId="77777777" w:rsidR="006777CC" w:rsidRDefault="006777CC" w:rsidP="006777CC">
      <w:pPr>
        <w:pStyle w:val="BodyText"/>
      </w:pPr>
    </w:p>
    <w:p w14:paraId="7910F2DB" w14:textId="77777777" w:rsidR="006777CC" w:rsidRDefault="006777CC" w:rsidP="006777CC">
      <w:pPr>
        <w:pStyle w:val="BodyText"/>
        <w:keepNext/>
      </w:pPr>
      <w:r>
        <w:rPr>
          <w:noProof/>
        </w:rPr>
        <w:drawing>
          <wp:inline distT="0" distB="0" distL="0" distR="0" wp14:anchorId="5C16284F" wp14:editId="3930521A">
            <wp:extent cx="2516979" cy="2550160"/>
            <wp:effectExtent l="0" t="0" r="0" b="2540"/>
            <wp:docPr id="4791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69698" name="Picture 4791696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2195" cy="2555445"/>
                    </a:xfrm>
                    <a:prstGeom prst="rect">
                      <a:avLst/>
                    </a:prstGeom>
                  </pic:spPr>
                </pic:pic>
              </a:graphicData>
            </a:graphic>
          </wp:inline>
        </w:drawing>
      </w:r>
      <w:r>
        <w:rPr>
          <w:noProof/>
        </w:rPr>
        <w:drawing>
          <wp:inline distT="0" distB="0" distL="0" distR="0" wp14:anchorId="028ACC42" wp14:editId="319195E5">
            <wp:extent cx="2522399" cy="2539164"/>
            <wp:effectExtent l="0" t="0" r="0" b="0"/>
            <wp:docPr id="1947178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78698" name="Picture 1947178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632" cy="2553491"/>
                    </a:xfrm>
                    <a:prstGeom prst="rect">
                      <a:avLst/>
                    </a:prstGeom>
                  </pic:spPr>
                </pic:pic>
              </a:graphicData>
            </a:graphic>
          </wp:inline>
        </w:drawing>
      </w:r>
    </w:p>
    <w:p w14:paraId="54725762" w14:textId="13F2F9ED" w:rsidR="006777CC" w:rsidRPr="00126787" w:rsidRDefault="006777CC" w:rsidP="007560C1">
      <w:pPr>
        <w:pStyle w:val="Caption"/>
        <w:jc w:val="center"/>
        <w:rPr>
          <w:i/>
          <w:iCs/>
          <w:color w:val="FF0000"/>
        </w:rPr>
      </w:pPr>
      <w:r w:rsidRPr="00126787">
        <w:rPr>
          <w:i/>
          <w:iCs/>
          <w:color w:val="FF0000"/>
        </w:rPr>
        <w:t xml:space="preserve">FIG. </w:t>
      </w:r>
      <w:r w:rsidRPr="00126787">
        <w:rPr>
          <w:i/>
          <w:iCs/>
          <w:color w:val="FF0000"/>
        </w:rPr>
        <w:fldChar w:fldCharType="begin"/>
      </w:r>
      <w:r w:rsidRPr="00126787">
        <w:rPr>
          <w:i/>
          <w:iCs/>
          <w:color w:val="FF0000"/>
        </w:rPr>
        <w:instrText xml:space="preserve"> SEQ Figure \* ARABIC </w:instrText>
      </w:r>
      <w:r w:rsidRPr="00126787">
        <w:rPr>
          <w:i/>
          <w:iCs/>
          <w:color w:val="FF0000"/>
        </w:rPr>
        <w:fldChar w:fldCharType="separate"/>
      </w:r>
      <w:r w:rsidR="001C169B" w:rsidRPr="00126787">
        <w:rPr>
          <w:i/>
          <w:iCs/>
          <w:noProof/>
          <w:color w:val="FF0000"/>
        </w:rPr>
        <w:t>1</w:t>
      </w:r>
      <w:r w:rsidRPr="00126787">
        <w:rPr>
          <w:i/>
          <w:iCs/>
          <w:color w:val="FF0000"/>
        </w:rPr>
        <w:fldChar w:fldCharType="end"/>
      </w:r>
      <w:r w:rsidRPr="00126787">
        <w:rPr>
          <w:i/>
          <w:iCs/>
          <w:color w:val="FF0000"/>
        </w:rPr>
        <w:t>. FA position ID and shuffling scheme of one-sixth of the core:</w:t>
      </w:r>
      <w:r w:rsidRPr="00126787">
        <w:rPr>
          <w:color w:val="FF0000"/>
        </w:rPr>
        <w:t xml:space="preserve"> </w:t>
      </w:r>
      <w:r w:rsidRPr="00126787">
        <w:rPr>
          <w:color w:val="FF0000"/>
        </w:rPr>
        <w:br/>
      </w:r>
      <w:r w:rsidRPr="00126787">
        <w:rPr>
          <w:i/>
          <w:iCs/>
          <w:color w:val="FF0000"/>
        </w:rPr>
        <w:t>(a) without CRA; (b) with CRA, which is withdrawn from the core.</w:t>
      </w:r>
    </w:p>
    <w:p w14:paraId="5C7811B7" w14:textId="77777777" w:rsidR="00AE4CD2" w:rsidRDefault="00AE4CD2" w:rsidP="006777CC">
      <w:pPr>
        <w:pStyle w:val="ListParagraph"/>
        <w:ind w:left="0"/>
        <w:contextualSpacing w:val="0"/>
        <w:jc w:val="left"/>
        <w:rPr>
          <w:rFonts w:ascii="Times New Roman" w:hAnsi="Times New Roman" w:cs="Times New Roman"/>
          <w:sz w:val="24"/>
          <w:szCs w:val="24"/>
        </w:rPr>
      </w:pPr>
    </w:p>
    <w:p w14:paraId="642EBDEA" w14:textId="77777777" w:rsidR="00E71BE8" w:rsidRDefault="00E71BE8">
      <w:pPr>
        <w:overflowPunct/>
        <w:autoSpaceDE/>
        <w:autoSpaceDN/>
        <w:adjustRightInd/>
        <w:textAlignment w:val="auto"/>
        <w:rPr>
          <w:rFonts w:eastAsiaTheme="minorEastAsia"/>
          <w:kern w:val="2"/>
          <w:sz w:val="24"/>
          <w:szCs w:val="24"/>
          <w:lang w:val="en-US" w:eastAsia="ja-JP"/>
        </w:rPr>
      </w:pPr>
      <w:r>
        <w:rPr>
          <w:sz w:val="24"/>
          <w:szCs w:val="24"/>
        </w:rPr>
        <w:br w:type="page"/>
      </w:r>
    </w:p>
    <w:p w14:paraId="095F4534" w14:textId="24CD9D54" w:rsidR="006777CC" w:rsidRPr="00126787" w:rsidRDefault="006777CC" w:rsidP="006777CC">
      <w:pPr>
        <w:pStyle w:val="ListParagraph"/>
        <w:ind w:left="0"/>
        <w:contextualSpacing w:val="0"/>
        <w:jc w:val="left"/>
        <w:rPr>
          <w:rFonts w:ascii="Times New Roman" w:hAnsi="Times New Roman" w:cs="Times New Roman"/>
          <w:caps/>
          <w:color w:val="FF0000"/>
          <w:sz w:val="20"/>
          <w:szCs w:val="20"/>
        </w:rPr>
      </w:pPr>
      <w:r w:rsidRPr="00126787">
        <w:rPr>
          <w:rFonts w:ascii="Times New Roman" w:hAnsi="Times New Roman" w:cs="Times New Roman"/>
          <w:color w:val="FF0000"/>
          <w:sz w:val="20"/>
          <w:szCs w:val="20"/>
        </w:rPr>
        <w:lastRenderedPageBreak/>
        <w:t xml:space="preserve">TABLE </w:t>
      </w:r>
      <w:r w:rsidR="00126787" w:rsidRPr="00126787">
        <w:rPr>
          <w:rFonts w:ascii="Times New Roman" w:hAnsi="Times New Roman" w:cs="Times New Roman"/>
          <w:color w:val="FF0000"/>
          <w:sz w:val="20"/>
          <w:szCs w:val="20"/>
        </w:rPr>
        <w:t>1</w:t>
      </w:r>
      <w:r w:rsidRPr="00126787">
        <w:rPr>
          <w:rFonts w:ascii="Times New Roman" w:hAnsi="Times New Roman" w:cs="Times New Roman"/>
          <w:color w:val="FF0000"/>
          <w:sz w:val="20"/>
          <w:szCs w:val="20"/>
        </w:rPr>
        <w:t xml:space="preserve">. </w:t>
      </w:r>
      <w:r w:rsidRPr="00126787">
        <w:rPr>
          <w:rFonts w:ascii="Times New Roman" w:hAnsi="Times New Roman" w:cs="Times New Roman"/>
          <w:caps/>
          <w:color w:val="FF0000"/>
          <w:sz w:val="20"/>
          <w:szCs w:val="20"/>
        </w:rPr>
        <w:t>Main core characteristics</w:t>
      </w:r>
    </w:p>
    <w:p w14:paraId="04F4D80E" w14:textId="77777777" w:rsidR="006777CC" w:rsidRPr="00F71347" w:rsidRDefault="006777CC" w:rsidP="006777CC">
      <w:pPr>
        <w:pStyle w:val="ListParagraph"/>
        <w:ind w:left="0"/>
        <w:contextualSpacing w:val="0"/>
        <w:jc w:val="left"/>
        <w:rPr>
          <w:rFonts w:ascii="Times New Roman" w:hAnsi="Times New Roman" w:cs="Times New Roman"/>
          <w:sz w:val="24"/>
          <w:szCs w:val="24"/>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1016"/>
        <w:gridCol w:w="259"/>
        <w:gridCol w:w="2933"/>
        <w:gridCol w:w="1000"/>
      </w:tblGrid>
      <w:tr w:rsidR="006777CC" w:rsidRPr="007560C1" w14:paraId="36FE25AA" w14:textId="77777777" w:rsidTr="006777CC">
        <w:trPr>
          <w:jc w:val="center"/>
        </w:trPr>
        <w:tc>
          <w:tcPr>
            <w:tcW w:w="3250" w:type="dxa"/>
            <w:tcBorders>
              <w:top w:val="single" w:sz="4" w:space="0" w:color="auto"/>
              <w:bottom w:val="single" w:sz="4" w:space="0" w:color="auto"/>
            </w:tcBorders>
            <w:vAlign w:val="center"/>
          </w:tcPr>
          <w:p w14:paraId="26EE8EEB" w14:textId="77777777" w:rsidR="006777CC" w:rsidRPr="007560C1" w:rsidRDefault="006777CC" w:rsidP="000925EA">
            <w:pPr>
              <w:jc w:val="center"/>
              <w:rPr>
                <w:sz w:val="20"/>
              </w:rPr>
            </w:pPr>
            <w:r w:rsidRPr="007560C1">
              <w:rPr>
                <w:sz w:val="20"/>
              </w:rPr>
              <w:t>Parameter</w:t>
            </w:r>
          </w:p>
        </w:tc>
        <w:tc>
          <w:tcPr>
            <w:tcW w:w="1016" w:type="dxa"/>
            <w:tcBorders>
              <w:top w:val="single" w:sz="4" w:space="0" w:color="auto"/>
              <w:bottom w:val="single" w:sz="4" w:space="0" w:color="auto"/>
            </w:tcBorders>
            <w:vAlign w:val="center"/>
          </w:tcPr>
          <w:p w14:paraId="28ED9B99" w14:textId="77777777" w:rsidR="006777CC" w:rsidRPr="007560C1" w:rsidRDefault="006777CC" w:rsidP="000925EA">
            <w:pPr>
              <w:jc w:val="center"/>
              <w:rPr>
                <w:sz w:val="20"/>
              </w:rPr>
            </w:pPr>
            <w:r w:rsidRPr="007560C1">
              <w:rPr>
                <w:sz w:val="20"/>
              </w:rPr>
              <w:t>Value</w:t>
            </w:r>
          </w:p>
        </w:tc>
        <w:tc>
          <w:tcPr>
            <w:tcW w:w="259" w:type="dxa"/>
            <w:tcBorders>
              <w:top w:val="single" w:sz="4" w:space="0" w:color="auto"/>
              <w:bottom w:val="single" w:sz="4" w:space="0" w:color="auto"/>
            </w:tcBorders>
            <w:vAlign w:val="center"/>
          </w:tcPr>
          <w:p w14:paraId="3E770856" w14:textId="77777777" w:rsidR="006777CC" w:rsidRPr="007560C1" w:rsidRDefault="006777CC" w:rsidP="000925EA">
            <w:pPr>
              <w:jc w:val="center"/>
              <w:rPr>
                <w:sz w:val="20"/>
              </w:rPr>
            </w:pPr>
          </w:p>
        </w:tc>
        <w:tc>
          <w:tcPr>
            <w:tcW w:w="2933" w:type="dxa"/>
            <w:tcBorders>
              <w:top w:val="single" w:sz="4" w:space="0" w:color="auto"/>
              <w:bottom w:val="single" w:sz="4" w:space="0" w:color="auto"/>
            </w:tcBorders>
            <w:vAlign w:val="center"/>
          </w:tcPr>
          <w:p w14:paraId="77879737" w14:textId="77777777" w:rsidR="006777CC" w:rsidRPr="007560C1" w:rsidRDefault="006777CC" w:rsidP="000925EA">
            <w:pPr>
              <w:jc w:val="center"/>
              <w:rPr>
                <w:sz w:val="20"/>
              </w:rPr>
            </w:pPr>
            <w:r w:rsidRPr="007560C1">
              <w:rPr>
                <w:sz w:val="20"/>
              </w:rPr>
              <w:t>Parameter</w:t>
            </w:r>
          </w:p>
        </w:tc>
        <w:tc>
          <w:tcPr>
            <w:tcW w:w="0" w:type="auto"/>
            <w:tcBorders>
              <w:top w:val="single" w:sz="4" w:space="0" w:color="auto"/>
              <w:bottom w:val="single" w:sz="4" w:space="0" w:color="auto"/>
            </w:tcBorders>
            <w:vAlign w:val="center"/>
          </w:tcPr>
          <w:p w14:paraId="27C1203A" w14:textId="77777777" w:rsidR="006777CC" w:rsidRPr="007560C1" w:rsidRDefault="006777CC" w:rsidP="000925EA">
            <w:pPr>
              <w:jc w:val="center"/>
              <w:rPr>
                <w:sz w:val="20"/>
              </w:rPr>
            </w:pPr>
            <w:r w:rsidRPr="007560C1">
              <w:rPr>
                <w:sz w:val="20"/>
              </w:rPr>
              <w:t>Value</w:t>
            </w:r>
          </w:p>
        </w:tc>
      </w:tr>
      <w:tr w:rsidR="006777CC" w:rsidRPr="007560C1" w14:paraId="5CE2FE30" w14:textId="77777777" w:rsidTr="006777CC">
        <w:trPr>
          <w:jc w:val="center"/>
        </w:trPr>
        <w:tc>
          <w:tcPr>
            <w:tcW w:w="3250" w:type="dxa"/>
            <w:tcBorders>
              <w:top w:val="single" w:sz="4" w:space="0" w:color="auto"/>
            </w:tcBorders>
            <w:vAlign w:val="center"/>
          </w:tcPr>
          <w:p w14:paraId="4EF7C75E" w14:textId="77777777" w:rsidR="006777CC" w:rsidRPr="007560C1" w:rsidRDefault="006777CC" w:rsidP="000925EA">
            <w:pPr>
              <w:rPr>
                <w:sz w:val="20"/>
              </w:rPr>
            </w:pPr>
            <w:r w:rsidRPr="007560C1">
              <w:rPr>
                <w:sz w:val="20"/>
              </w:rPr>
              <w:t>Thermal power (MW)</w:t>
            </w:r>
          </w:p>
        </w:tc>
        <w:tc>
          <w:tcPr>
            <w:tcW w:w="1016" w:type="dxa"/>
            <w:tcBorders>
              <w:top w:val="single" w:sz="4" w:space="0" w:color="auto"/>
            </w:tcBorders>
            <w:vAlign w:val="center"/>
          </w:tcPr>
          <w:p w14:paraId="12A84E79" w14:textId="77777777" w:rsidR="006777CC" w:rsidRPr="007560C1" w:rsidRDefault="006777CC" w:rsidP="000925EA">
            <w:pPr>
              <w:jc w:val="center"/>
              <w:rPr>
                <w:sz w:val="20"/>
              </w:rPr>
            </w:pPr>
            <w:r w:rsidRPr="007560C1">
              <w:rPr>
                <w:sz w:val="20"/>
              </w:rPr>
              <w:t>750</w:t>
            </w:r>
          </w:p>
        </w:tc>
        <w:tc>
          <w:tcPr>
            <w:tcW w:w="259" w:type="dxa"/>
            <w:tcBorders>
              <w:top w:val="single" w:sz="4" w:space="0" w:color="auto"/>
            </w:tcBorders>
            <w:vAlign w:val="center"/>
          </w:tcPr>
          <w:p w14:paraId="5DD72BF5" w14:textId="77777777" w:rsidR="006777CC" w:rsidRPr="007560C1" w:rsidRDefault="006777CC" w:rsidP="000925EA">
            <w:pPr>
              <w:jc w:val="center"/>
              <w:rPr>
                <w:sz w:val="20"/>
              </w:rPr>
            </w:pPr>
          </w:p>
        </w:tc>
        <w:tc>
          <w:tcPr>
            <w:tcW w:w="2933" w:type="dxa"/>
            <w:tcBorders>
              <w:top w:val="single" w:sz="4" w:space="0" w:color="auto"/>
            </w:tcBorders>
            <w:vAlign w:val="center"/>
          </w:tcPr>
          <w:p w14:paraId="22BE3218" w14:textId="77777777" w:rsidR="006777CC" w:rsidRPr="007560C1" w:rsidRDefault="006777CC" w:rsidP="000925EA">
            <w:pPr>
              <w:rPr>
                <w:sz w:val="20"/>
              </w:rPr>
            </w:pPr>
            <w:r w:rsidRPr="007560C1">
              <w:rPr>
                <w:sz w:val="20"/>
              </w:rPr>
              <w:t>Cladding outer radius (cm)</w:t>
            </w:r>
          </w:p>
        </w:tc>
        <w:tc>
          <w:tcPr>
            <w:tcW w:w="0" w:type="auto"/>
            <w:tcBorders>
              <w:top w:val="single" w:sz="4" w:space="0" w:color="auto"/>
            </w:tcBorders>
            <w:vAlign w:val="center"/>
          </w:tcPr>
          <w:p w14:paraId="75947F42" w14:textId="77777777" w:rsidR="006777CC" w:rsidRPr="007560C1" w:rsidRDefault="006777CC" w:rsidP="000925EA">
            <w:pPr>
              <w:jc w:val="center"/>
              <w:rPr>
                <w:sz w:val="20"/>
              </w:rPr>
            </w:pPr>
            <w:r w:rsidRPr="007560C1">
              <w:rPr>
                <w:sz w:val="20"/>
              </w:rPr>
              <w:t>0.51</w:t>
            </w:r>
          </w:p>
        </w:tc>
      </w:tr>
      <w:tr w:rsidR="006777CC" w:rsidRPr="007560C1" w14:paraId="1BAF95E0" w14:textId="77777777" w:rsidTr="006777CC">
        <w:trPr>
          <w:jc w:val="center"/>
        </w:trPr>
        <w:tc>
          <w:tcPr>
            <w:tcW w:w="3250" w:type="dxa"/>
            <w:vAlign w:val="center"/>
          </w:tcPr>
          <w:p w14:paraId="0B3E50FB" w14:textId="77777777" w:rsidR="006777CC" w:rsidRPr="007560C1" w:rsidRDefault="006777CC" w:rsidP="000925EA">
            <w:pPr>
              <w:rPr>
                <w:sz w:val="20"/>
              </w:rPr>
            </w:pPr>
            <w:r w:rsidRPr="007560C1">
              <w:rPr>
                <w:sz w:val="20"/>
              </w:rPr>
              <w:t>Active core height (cm)</w:t>
            </w:r>
          </w:p>
        </w:tc>
        <w:tc>
          <w:tcPr>
            <w:tcW w:w="1016" w:type="dxa"/>
            <w:vAlign w:val="center"/>
          </w:tcPr>
          <w:p w14:paraId="70B562FB" w14:textId="77777777" w:rsidR="006777CC" w:rsidRPr="007560C1" w:rsidRDefault="006777CC" w:rsidP="000925EA">
            <w:pPr>
              <w:jc w:val="center"/>
              <w:rPr>
                <w:sz w:val="20"/>
              </w:rPr>
            </w:pPr>
            <w:r w:rsidRPr="007560C1">
              <w:rPr>
                <w:sz w:val="20"/>
              </w:rPr>
              <w:t>140</w:t>
            </w:r>
          </w:p>
        </w:tc>
        <w:tc>
          <w:tcPr>
            <w:tcW w:w="259" w:type="dxa"/>
            <w:vAlign w:val="center"/>
          </w:tcPr>
          <w:p w14:paraId="79A3210E" w14:textId="77777777" w:rsidR="006777CC" w:rsidRPr="007560C1" w:rsidRDefault="006777CC" w:rsidP="000925EA">
            <w:pPr>
              <w:jc w:val="center"/>
              <w:rPr>
                <w:sz w:val="20"/>
              </w:rPr>
            </w:pPr>
          </w:p>
        </w:tc>
        <w:tc>
          <w:tcPr>
            <w:tcW w:w="2933" w:type="dxa"/>
            <w:vAlign w:val="center"/>
          </w:tcPr>
          <w:p w14:paraId="02380941" w14:textId="77777777" w:rsidR="006777CC" w:rsidRPr="007560C1" w:rsidRDefault="006777CC" w:rsidP="000925EA">
            <w:pPr>
              <w:rPr>
                <w:sz w:val="20"/>
              </w:rPr>
            </w:pPr>
            <w:r w:rsidRPr="007560C1">
              <w:rPr>
                <w:sz w:val="20"/>
              </w:rPr>
              <w:t>Fuel pin pitch (cm)</w:t>
            </w:r>
          </w:p>
        </w:tc>
        <w:tc>
          <w:tcPr>
            <w:tcW w:w="0" w:type="auto"/>
            <w:vAlign w:val="center"/>
          </w:tcPr>
          <w:p w14:paraId="3AC7BD22" w14:textId="77777777" w:rsidR="006777CC" w:rsidRPr="007560C1" w:rsidRDefault="006777CC" w:rsidP="000925EA">
            <w:pPr>
              <w:jc w:val="center"/>
              <w:rPr>
                <w:sz w:val="20"/>
              </w:rPr>
            </w:pPr>
            <w:r w:rsidRPr="007560C1">
              <w:rPr>
                <w:sz w:val="20"/>
              </w:rPr>
              <w:t>1.034</w:t>
            </w:r>
          </w:p>
        </w:tc>
      </w:tr>
      <w:tr w:rsidR="006777CC" w:rsidRPr="007560C1" w14:paraId="6A66F157" w14:textId="77777777" w:rsidTr="006777CC">
        <w:trPr>
          <w:jc w:val="center"/>
        </w:trPr>
        <w:tc>
          <w:tcPr>
            <w:tcW w:w="3250" w:type="dxa"/>
            <w:vAlign w:val="center"/>
          </w:tcPr>
          <w:p w14:paraId="3A1578A9" w14:textId="77777777" w:rsidR="006777CC" w:rsidRPr="007560C1" w:rsidRDefault="006777CC" w:rsidP="000925EA">
            <w:pPr>
              <w:rPr>
                <w:sz w:val="20"/>
              </w:rPr>
            </w:pPr>
            <w:r w:rsidRPr="007560C1">
              <w:rPr>
                <w:sz w:val="20"/>
              </w:rPr>
              <w:t>Equivalent radius of core (cm)</w:t>
            </w:r>
          </w:p>
        </w:tc>
        <w:tc>
          <w:tcPr>
            <w:tcW w:w="1016" w:type="dxa"/>
            <w:vAlign w:val="center"/>
          </w:tcPr>
          <w:p w14:paraId="64C2AD68" w14:textId="5966AB8F" w:rsidR="006777CC" w:rsidRPr="007560C1" w:rsidRDefault="00126787" w:rsidP="000925EA">
            <w:pPr>
              <w:jc w:val="center"/>
              <w:rPr>
                <w:sz w:val="20"/>
              </w:rPr>
            </w:pPr>
            <w:r w:rsidRPr="00126787">
              <w:rPr>
                <w:color w:val="FF0000"/>
                <w:sz w:val="20"/>
              </w:rPr>
              <w:t>133</w:t>
            </w:r>
          </w:p>
        </w:tc>
        <w:tc>
          <w:tcPr>
            <w:tcW w:w="259" w:type="dxa"/>
            <w:vAlign w:val="center"/>
          </w:tcPr>
          <w:p w14:paraId="1B834999" w14:textId="77777777" w:rsidR="006777CC" w:rsidRPr="007560C1" w:rsidRDefault="006777CC" w:rsidP="000925EA">
            <w:pPr>
              <w:jc w:val="center"/>
              <w:rPr>
                <w:sz w:val="20"/>
              </w:rPr>
            </w:pPr>
          </w:p>
        </w:tc>
        <w:tc>
          <w:tcPr>
            <w:tcW w:w="2933" w:type="dxa"/>
            <w:vAlign w:val="center"/>
          </w:tcPr>
          <w:p w14:paraId="16AB2BC1" w14:textId="77777777" w:rsidR="006777CC" w:rsidRPr="007560C1" w:rsidRDefault="006777CC" w:rsidP="000925EA">
            <w:pPr>
              <w:rPr>
                <w:sz w:val="20"/>
              </w:rPr>
            </w:pPr>
            <w:r w:rsidRPr="007560C1">
              <w:rPr>
                <w:sz w:val="20"/>
              </w:rPr>
              <w:t>Duct thickness (cm)</w:t>
            </w:r>
          </w:p>
        </w:tc>
        <w:tc>
          <w:tcPr>
            <w:tcW w:w="0" w:type="auto"/>
            <w:vAlign w:val="center"/>
          </w:tcPr>
          <w:p w14:paraId="3FBA554B" w14:textId="77777777" w:rsidR="006777CC" w:rsidRPr="007560C1" w:rsidRDefault="006777CC" w:rsidP="000925EA">
            <w:pPr>
              <w:jc w:val="center"/>
              <w:rPr>
                <w:sz w:val="20"/>
              </w:rPr>
            </w:pPr>
            <w:r w:rsidRPr="007560C1">
              <w:rPr>
                <w:sz w:val="20"/>
              </w:rPr>
              <w:t>0.2</w:t>
            </w:r>
          </w:p>
        </w:tc>
      </w:tr>
      <w:tr w:rsidR="006777CC" w:rsidRPr="007560C1" w14:paraId="5F95947E" w14:textId="77777777" w:rsidTr="006777CC">
        <w:trPr>
          <w:jc w:val="center"/>
        </w:trPr>
        <w:tc>
          <w:tcPr>
            <w:tcW w:w="3250" w:type="dxa"/>
            <w:vAlign w:val="center"/>
          </w:tcPr>
          <w:p w14:paraId="0A45814F" w14:textId="77777777" w:rsidR="006777CC" w:rsidRPr="007560C1" w:rsidRDefault="006777CC" w:rsidP="000925EA">
            <w:pPr>
              <w:rPr>
                <w:sz w:val="20"/>
              </w:rPr>
            </w:pPr>
            <w:r w:rsidRPr="007560C1">
              <w:rPr>
                <w:sz w:val="20"/>
              </w:rPr>
              <w:t>Total number of fuel assemblies</w:t>
            </w:r>
          </w:p>
        </w:tc>
        <w:tc>
          <w:tcPr>
            <w:tcW w:w="1016" w:type="dxa"/>
            <w:shd w:val="clear" w:color="auto" w:fill="auto"/>
            <w:vAlign w:val="center"/>
          </w:tcPr>
          <w:p w14:paraId="277E59FD" w14:textId="77777777" w:rsidR="006777CC" w:rsidRPr="007560C1" w:rsidRDefault="006777CC" w:rsidP="000925EA">
            <w:pPr>
              <w:jc w:val="center"/>
              <w:rPr>
                <w:sz w:val="20"/>
              </w:rPr>
            </w:pPr>
            <w:r w:rsidRPr="007560C1">
              <w:rPr>
                <w:sz w:val="20"/>
              </w:rPr>
              <w:t>270/264</w:t>
            </w:r>
          </w:p>
        </w:tc>
        <w:tc>
          <w:tcPr>
            <w:tcW w:w="259" w:type="dxa"/>
            <w:vAlign w:val="center"/>
          </w:tcPr>
          <w:p w14:paraId="354F11C8" w14:textId="77777777" w:rsidR="006777CC" w:rsidRPr="007560C1" w:rsidRDefault="006777CC" w:rsidP="000925EA">
            <w:pPr>
              <w:jc w:val="center"/>
              <w:rPr>
                <w:sz w:val="20"/>
              </w:rPr>
            </w:pPr>
          </w:p>
        </w:tc>
        <w:tc>
          <w:tcPr>
            <w:tcW w:w="2933" w:type="dxa"/>
            <w:vAlign w:val="center"/>
          </w:tcPr>
          <w:p w14:paraId="3569FB73" w14:textId="77777777" w:rsidR="006777CC" w:rsidRPr="007560C1" w:rsidRDefault="006777CC" w:rsidP="000925EA">
            <w:pPr>
              <w:rPr>
                <w:sz w:val="20"/>
              </w:rPr>
            </w:pPr>
            <w:r w:rsidRPr="007560C1">
              <w:rPr>
                <w:sz w:val="20"/>
              </w:rPr>
              <w:t>Distance between fuel assemblies (cm)</w:t>
            </w:r>
          </w:p>
        </w:tc>
        <w:tc>
          <w:tcPr>
            <w:tcW w:w="0" w:type="auto"/>
            <w:vAlign w:val="center"/>
          </w:tcPr>
          <w:p w14:paraId="3DE043CB" w14:textId="77777777" w:rsidR="006777CC" w:rsidRPr="007560C1" w:rsidRDefault="006777CC" w:rsidP="000925EA">
            <w:pPr>
              <w:jc w:val="center"/>
              <w:rPr>
                <w:sz w:val="20"/>
              </w:rPr>
            </w:pPr>
            <w:r w:rsidRPr="007560C1">
              <w:rPr>
                <w:sz w:val="20"/>
              </w:rPr>
              <w:t>0.2</w:t>
            </w:r>
          </w:p>
        </w:tc>
      </w:tr>
      <w:tr w:rsidR="006777CC" w:rsidRPr="007560C1" w14:paraId="05D6225E" w14:textId="77777777" w:rsidTr="006777CC">
        <w:trPr>
          <w:jc w:val="center"/>
        </w:trPr>
        <w:tc>
          <w:tcPr>
            <w:tcW w:w="3250" w:type="dxa"/>
            <w:vAlign w:val="center"/>
          </w:tcPr>
          <w:p w14:paraId="086E8623" w14:textId="77777777" w:rsidR="006777CC" w:rsidRPr="007560C1" w:rsidRDefault="006777CC" w:rsidP="000925EA">
            <w:pPr>
              <w:rPr>
                <w:sz w:val="20"/>
              </w:rPr>
            </w:pPr>
            <w:r w:rsidRPr="007560C1">
              <w:rPr>
                <w:sz w:val="20"/>
              </w:rPr>
              <w:t>Number of coolant channel assemblies</w:t>
            </w:r>
          </w:p>
        </w:tc>
        <w:tc>
          <w:tcPr>
            <w:tcW w:w="1016" w:type="dxa"/>
            <w:vAlign w:val="center"/>
          </w:tcPr>
          <w:p w14:paraId="131C9075" w14:textId="77777777" w:rsidR="006777CC" w:rsidRPr="007560C1" w:rsidRDefault="006777CC" w:rsidP="000925EA">
            <w:pPr>
              <w:jc w:val="center"/>
              <w:rPr>
                <w:sz w:val="20"/>
              </w:rPr>
            </w:pPr>
            <w:r w:rsidRPr="007560C1">
              <w:rPr>
                <w:sz w:val="20"/>
              </w:rPr>
              <w:t>1/7</w:t>
            </w:r>
          </w:p>
        </w:tc>
        <w:tc>
          <w:tcPr>
            <w:tcW w:w="259" w:type="dxa"/>
            <w:vAlign w:val="center"/>
          </w:tcPr>
          <w:p w14:paraId="49DEA4A1" w14:textId="77777777" w:rsidR="006777CC" w:rsidRPr="007560C1" w:rsidRDefault="006777CC" w:rsidP="000925EA">
            <w:pPr>
              <w:jc w:val="center"/>
              <w:rPr>
                <w:sz w:val="20"/>
              </w:rPr>
            </w:pPr>
          </w:p>
        </w:tc>
        <w:tc>
          <w:tcPr>
            <w:tcW w:w="2933" w:type="dxa"/>
            <w:vAlign w:val="center"/>
          </w:tcPr>
          <w:p w14:paraId="7D5EA34E" w14:textId="77777777" w:rsidR="006777CC" w:rsidRPr="007560C1" w:rsidRDefault="006777CC" w:rsidP="000925EA">
            <w:pPr>
              <w:rPr>
                <w:sz w:val="20"/>
              </w:rPr>
            </w:pPr>
            <w:r w:rsidRPr="007560C1">
              <w:rPr>
                <w:sz w:val="20"/>
              </w:rPr>
              <w:t>Duct material</w:t>
            </w:r>
          </w:p>
        </w:tc>
        <w:tc>
          <w:tcPr>
            <w:tcW w:w="0" w:type="auto"/>
            <w:vAlign w:val="center"/>
          </w:tcPr>
          <w:p w14:paraId="32ABD9FA" w14:textId="77777777" w:rsidR="006777CC" w:rsidRPr="007560C1" w:rsidRDefault="006777CC" w:rsidP="000925EA">
            <w:pPr>
              <w:jc w:val="center"/>
              <w:rPr>
                <w:sz w:val="20"/>
              </w:rPr>
            </w:pPr>
            <w:r w:rsidRPr="007560C1">
              <w:rPr>
                <w:sz w:val="20"/>
              </w:rPr>
              <w:t>HT9 steel</w:t>
            </w:r>
          </w:p>
        </w:tc>
      </w:tr>
      <w:tr w:rsidR="006777CC" w:rsidRPr="007560C1" w14:paraId="7E496546" w14:textId="77777777" w:rsidTr="006777CC">
        <w:trPr>
          <w:jc w:val="center"/>
        </w:trPr>
        <w:tc>
          <w:tcPr>
            <w:tcW w:w="3250" w:type="dxa"/>
            <w:vAlign w:val="center"/>
          </w:tcPr>
          <w:p w14:paraId="02F11BC3" w14:textId="77777777" w:rsidR="006777CC" w:rsidRPr="007560C1" w:rsidRDefault="006777CC" w:rsidP="000925EA">
            <w:pPr>
              <w:rPr>
                <w:sz w:val="20"/>
              </w:rPr>
            </w:pPr>
            <w:r w:rsidRPr="007560C1">
              <w:rPr>
                <w:sz w:val="20"/>
              </w:rPr>
              <w:t>Number of fuel pins in an assembly</w:t>
            </w:r>
          </w:p>
        </w:tc>
        <w:tc>
          <w:tcPr>
            <w:tcW w:w="1016" w:type="dxa"/>
            <w:vAlign w:val="center"/>
          </w:tcPr>
          <w:p w14:paraId="76C2B05F" w14:textId="77777777" w:rsidR="006777CC" w:rsidRPr="007560C1" w:rsidRDefault="006777CC" w:rsidP="000925EA">
            <w:pPr>
              <w:jc w:val="center"/>
              <w:rPr>
                <w:sz w:val="20"/>
              </w:rPr>
            </w:pPr>
            <w:r w:rsidRPr="007560C1">
              <w:rPr>
                <w:sz w:val="20"/>
              </w:rPr>
              <w:t>331</w:t>
            </w:r>
          </w:p>
        </w:tc>
        <w:tc>
          <w:tcPr>
            <w:tcW w:w="259" w:type="dxa"/>
            <w:vAlign w:val="center"/>
          </w:tcPr>
          <w:p w14:paraId="25F536FC" w14:textId="77777777" w:rsidR="006777CC" w:rsidRPr="007560C1" w:rsidRDefault="006777CC" w:rsidP="000925EA">
            <w:pPr>
              <w:jc w:val="center"/>
              <w:rPr>
                <w:sz w:val="20"/>
              </w:rPr>
            </w:pPr>
          </w:p>
        </w:tc>
        <w:tc>
          <w:tcPr>
            <w:tcW w:w="2933" w:type="dxa"/>
            <w:vAlign w:val="center"/>
          </w:tcPr>
          <w:p w14:paraId="4B4B1F83" w14:textId="77777777" w:rsidR="006777CC" w:rsidRPr="007560C1" w:rsidRDefault="006777CC" w:rsidP="000925EA">
            <w:pPr>
              <w:rPr>
                <w:sz w:val="20"/>
              </w:rPr>
            </w:pPr>
            <w:r w:rsidRPr="007560C1">
              <w:rPr>
                <w:sz w:val="20"/>
              </w:rPr>
              <w:t>Smear density of fuel</w:t>
            </w:r>
          </w:p>
        </w:tc>
        <w:tc>
          <w:tcPr>
            <w:tcW w:w="0" w:type="auto"/>
            <w:vAlign w:val="center"/>
          </w:tcPr>
          <w:p w14:paraId="1C04C6C0" w14:textId="77777777" w:rsidR="006777CC" w:rsidRPr="007560C1" w:rsidRDefault="006777CC" w:rsidP="000925EA">
            <w:pPr>
              <w:jc w:val="center"/>
              <w:rPr>
                <w:sz w:val="20"/>
              </w:rPr>
            </w:pPr>
            <w:r w:rsidRPr="007560C1">
              <w:rPr>
                <w:sz w:val="20"/>
              </w:rPr>
              <w:t>97.6%TD</w:t>
            </w:r>
          </w:p>
        </w:tc>
      </w:tr>
      <w:tr w:rsidR="006777CC" w:rsidRPr="007560C1" w14:paraId="7DE3B8E4" w14:textId="77777777" w:rsidTr="006777CC">
        <w:trPr>
          <w:jc w:val="center"/>
        </w:trPr>
        <w:tc>
          <w:tcPr>
            <w:tcW w:w="3250" w:type="dxa"/>
            <w:vAlign w:val="center"/>
          </w:tcPr>
          <w:p w14:paraId="60BF311A" w14:textId="77777777" w:rsidR="006777CC" w:rsidRPr="007560C1" w:rsidRDefault="006777CC" w:rsidP="000925EA">
            <w:pPr>
              <w:rPr>
                <w:sz w:val="20"/>
              </w:rPr>
            </w:pPr>
            <w:r w:rsidRPr="007560C1">
              <w:rPr>
                <w:sz w:val="20"/>
              </w:rPr>
              <w:t>Fuel assembly pitch (cm)</w:t>
            </w:r>
          </w:p>
        </w:tc>
        <w:tc>
          <w:tcPr>
            <w:tcW w:w="1016" w:type="dxa"/>
            <w:vAlign w:val="center"/>
          </w:tcPr>
          <w:p w14:paraId="21CBAA42" w14:textId="77777777" w:rsidR="006777CC" w:rsidRPr="007560C1" w:rsidRDefault="006777CC" w:rsidP="000925EA">
            <w:pPr>
              <w:jc w:val="center"/>
              <w:rPr>
                <w:sz w:val="20"/>
              </w:rPr>
            </w:pPr>
            <w:r w:rsidRPr="007560C1">
              <w:rPr>
                <w:sz w:val="20"/>
              </w:rPr>
              <w:t>20.09</w:t>
            </w:r>
          </w:p>
        </w:tc>
        <w:tc>
          <w:tcPr>
            <w:tcW w:w="259" w:type="dxa"/>
            <w:vAlign w:val="center"/>
          </w:tcPr>
          <w:p w14:paraId="1D4F6A77" w14:textId="77777777" w:rsidR="006777CC" w:rsidRPr="007560C1" w:rsidRDefault="006777CC" w:rsidP="000925EA">
            <w:pPr>
              <w:jc w:val="center"/>
              <w:rPr>
                <w:sz w:val="20"/>
              </w:rPr>
            </w:pPr>
          </w:p>
        </w:tc>
        <w:tc>
          <w:tcPr>
            <w:tcW w:w="2933" w:type="dxa"/>
            <w:vAlign w:val="center"/>
          </w:tcPr>
          <w:p w14:paraId="0AB40B76" w14:textId="77777777" w:rsidR="006777CC" w:rsidRPr="007560C1" w:rsidRDefault="006777CC" w:rsidP="000925EA">
            <w:pPr>
              <w:rPr>
                <w:sz w:val="20"/>
              </w:rPr>
            </w:pPr>
            <w:r w:rsidRPr="007560C1">
              <w:rPr>
                <w:sz w:val="20"/>
              </w:rPr>
              <w:t>Average fuel temperature (K)</w:t>
            </w:r>
          </w:p>
        </w:tc>
        <w:tc>
          <w:tcPr>
            <w:tcW w:w="0" w:type="auto"/>
            <w:vAlign w:val="center"/>
          </w:tcPr>
          <w:p w14:paraId="38285222" w14:textId="77777777" w:rsidR="006777CC" w:rsidRPr="007560C1" w:rsidRDefault="006777CC" w:rsidP="000925EA">
            <w:pPr>
              <w:jc w:val="center"/>
              <w:rPr>
                <w:sz w:val="20"/>
              </w:rPr>
            </w:pPr>
            <w:r w:rsidRPr="007560C1">
              <w:rPr>
                <w:sz w:val="20"/>
              </w:rPr>
              <w:t>800</w:t>
            </w:r>
          </w:p>
        </w:tc>
      </w:tr>
      <w:tr w:rsidR="006777CC" w:rsidRPr="007560C1" w14:paraId="371DE0F9" w14:textId="77777777" w:rsidTr="006777CC">
        <w:trPr>
          <w:jc w:val="center"/>
        </w:trPr>
        <w:tc>
          <w:tcPr>
            <w:tcW w:w="3250" w:type="dxa"/>
            <w:vAlign w:val="center"/>
          </w:tcPr>
          <w:p w14:paraId="2438FB2A" w14:textId="77777777" w:rsidR="006777CC" w:rsidRPr="007560C1" w:rsidRDefault="006777CC" w:rsidP="000925EA">
            <w:pPr>
              <w:rPr>
                <w:sz w:val="20"/>
              </w:rPr>
            </w:pPr>
            <w:r w:rsidRPr="007560C1">
              <w:rPr>
                <w:sz w:val="20"/>
              </w:rPr>
              <w:t>Fuel material</w:t>
            </w:r>
          </w:p>
        </w:tc>
        <w:tc>
          <w:tcPr>
            <w:tcW w:w="1016" w:type="dxa"/>
            <w:vAlign w:val="center"/>
          </w:tcPr>
          <w:p w14:paraId="3908494F" w14:textId="77777777" w:rsidR="006777CC" w:rsidRPr="007560C1" w:rsidRDefault="006777CC" w:rsidP="000925EA">
            <w:pPr>
              <w:jc w:val="center"/>
              <w:rPr>
                <w:sz w:val="20"/>
              </w:rPr>
            </w:pPr>
            <w:r w:rsidRPr="007560C1">
              <w:rPr>
                <w:sz w:val="20"/>
              </w:rPr>
              <w:t>U</w:t>
            </w:r>
            <w:r w:rsidRPr="007560C1">
              <w:rPr>
                <w:sz w:val="20"/>
                <w:vertAlign w:val="subscript"/>
              </w:rPr>
              <w:t>3</w:t>
            </w:r>
            <w:r w:rsidRPr="007560C1">
              <w:rPr>
                <w:sz w:val="20"/>
              </w:rPr>
              <w:t>Si</w:t>
            </w:r>
            <w:r w:rsidRPr="007560C1">
              <w:rPr>
                <w:sz w:val="20"/>
                <w:vertAlign w:val="subscript"/>
              </w:rPr>
              <w:t>2</w:t>
            </w:r>
          </w:p>
        </w:tc>
        <w:tc>
          <w:tcPr>
            <w:tcW w:w="259" w:type="dxa"/>
            <w:vAlign w:val="center"/>
          </w:tcPr>
          <w:p w14:paraId="0DF12761" w14:textId="77777777" w:rsidR="006777CC" w:rsidRPr="007560C1" w:rsidRDefault="006777CC" w:rsidP="000925EA">
            <w:pPr>
              <w:jc w:val="center"/>
              <w:rPr>
                <w:sz w:val="20"/>
              </w:rPr>
            </w:pPr>
          </w:p>
        </w:tc>
        <w:tc>
          <w:tcPr>
            <w:tcW w:w="2933" w:type="dxa"/>
            <w:vAlign w:val="center"/>
          </w:tcPr>
          <w:p w14:paraId="7780793F" w14:textId="77777777" w:rsidR="006777CC" w:rsidRPr="007560C1" w:rsidRDefault="006777CC" w:rsidP="000925EA">
            <w:pPr>
              <w:rPr>
                <w:sz w:val="20"/>
              </w:rPr>
            </w:pPr>
            <w:r w:rsidRPr="007560C1">
              <w:rPr>
                <w:sz w:val="20"/>
              </w:rPr>
              <w:t>Average cladding temperature (K)</w:t>
            </w:r>
          </w:p>
        </w:tc>
        <w:tc>
          <w:tcPr>
            <w:tcW w:w="0" w:type="auto"/>
            <w:vAlign w:val="center"/>
          </w:tcPr>
          <w:p w14:paraId="16B84AE5" w14:textId="77777777" w:rsidR="006777CC" w:rsidRPr="007560C1" w:rsidRDefault="006777CC" w:rsidP="000925EA">
            <w:pPr>
              <w:jc w:val="center"/>
              <w:rPr>
                <w:sz w:val="20"/>
              </w:rPr>
            </w:pPr>
            <w:r w:rsidRPr="007560C1">
              <w:rPr>
                <w:sz w:val="20"/>
              </w:rPr>
              <w:t>700</w:t>
            </w:r>
          </w:p>
        </w:tc>
      </w:tr>
      <w:tr w:rsidR="006777CC" w:rsidRPr="007560C1" w14:paraId="69DA5313" w14:textId="77777777" w:rsidTr="006777CC">
        <w:trPr>
          <w:jc w:val="center"/>
        </w:trPr>
        <w:tc>
          <w:tcPr>
            <w:tcW w:w="3250" w:type="dxa"/>
            <w:vAlign w:val="center"/>
          </w:tcPr>
          <w:p w14:paraId="104C89A0" w14:textId="77777777" w:rsidR="006777CC" w:rsidRPr="007560C1" w:rsidRDefault="006777CC" w:rsidP="000925EA">
            <w:pPr>
              <w:rPr>
                <w:sz w:val="20"/>
              </w:rPr>
            </w:pPr>
            <w:r w:rsidRPr="007560C1">
              <w:rPr>
                <w:sz w:val="20"/>
              </w:rPr>
              <w:t>Fuel enrichment</w:t>
            </w:r>
          </w:p>
        </w:tc>
        <w:tc>
          <w:tcPr>
            <w:tcW w:w="1016" w:type="dxa"/>
            <w:vAlign w:val="center"/>
          </w:tcPr>
          <w:p w14:paraId="63487871" w14:textId="77777777" w:rsidR="006777CC" w:rsidRPr="007560C1" w:rsidRDefault="006777CC" w:rsidP="000925EA">
            <w:pPr>
              <w:jc w:val="center"/>
              <w:rPr>
                <w:sz w:val="20"/>
              </w:rPr>
            </w:pPr>
            <w:r w:rsidRPr="007560C1">
              <w:rPr>
                <w:sz w:val="20"/>
              </w:rPr>
              <w:t>Natural uranium</w:t>
            </w:r>
          </w:p>
        </w:tc>
        <w:tc>
          <w:tcPr>
            <w:tcW w:w="259" w:type="dxa"/>
            <w:vAlign w:val="center"/>
          </w:tcPr>
          <w:p w14:paraId="6E418587" w14:textId="77777777" w:rsidR="006777CC" w:rsidRPr="007560C1" w:rsidRDefault="006777CC" w:rsidP="000925EA">
            <w:pPr>
              <w:jc w:val="center"/>
              <w:rPr>
                <w:sz w:val="20"/>
              </w:rPr>
            </w:pPr>
          </w:p>
        </w:tc>
        <w:tc>
          <w:tcPr>
            <w:tcW w:w="2933" w:type="dxa"/>
            <w:vAlign w:val="center"/>
          </w:tcPr>
          <w:p w14:paraId="62AC7D42" w14:textId="77777777" w:rsidR="006777CC" w:rsidRPr="007560C1" w:rsidRDefault="006777CC" w:rsidP="000925EA">
            <w:pPr>
              <w:rPr>
                <w:sz w:val="20"/>
              </w:rPr>
            </w:pPr>
            <w:r w:rsidRPr="007560C1">
              <w:rPr>
                <w:sz w:val="20"/>
              </w:rPr>
              <w:t>Average coolant temperature (K)</w:t>
            </w:r>
          </w:p>
        </w:tc>
        <w:tc>
          <w:tcPr>
            <w:tcW w:w="0" w:type="auto"/>
            <w:vAlign w:val="center"/>
          </w:tcPr>
          <w:p w14:paraId="0E4E3881" w14:textId="77777777" w:rsidR="006777CC" w:rsidRPr="007560C1" w:rsidRDefault="006777CC" w:rsidP="000925EA">
            <w:pPr>
              <w:jc w:val="center"/>
              <w:rPr>
                <w:sz w:val="20"/>
              </w:rPr>
            </w:pPr>
            <w:r w:rsidRPr="007560C1">
              <w:rPr>
                <w:sz w:val="20"/>
              </w:rPr>
              <w:t>700</w:t>
            </w:r>
          </w:p>
        </w:tc>
      </w:tr>
      <w:tr w:rsidR="006777CC" w:rsidRPr="007560C1" w14:paraId="39FF119E" w14:textId="77777777" w:rsidTr="006777CC">
        <w:trPr>
          <w:jc w:val="center"/>
        </w:trPr>
        <w:tc>
          <w:tcPr>
            <w:tcW w:w="3250" w:type="dxa"/>
            <w:vAlign w:val="center"/>
          </w:tcPr>
          <w:p w14:paraId="77B1F22A" w14:textId="77777777" w:rsidR="006777CC" w:rsidRPr="007560C1" w:rsidRDefault="006777CC" w:rsidP="000925EA">
            <w:pPr>
              <w:rPr>
                <w:sz w:val="20"/>
              </w:rPr>
            </w:pPr>
            <w:r w:rsidRPr="007560C1">
              <w:rPr>
                <w:sz w:val="20"/>
              </w:rPr>
              <w:t>Coolant material</w:t>
            </w:r>
          </w:p>
        </w:tc>
        <w:tc>
          <w:tcPr>
            <w:tcW w:w="1016" w:type="dxa"/>
            <w:vAlign w:val="center"/>
          </w:tcPr>
          <w:p w14:paraId="00A4358A" w14:textId="77777777" w:rsidR="006777CC" w:rsidRPr="007560C1" w:rsidRDefault="006777CC" w:rsidP="000925EA">
            <w:pPr>
              <w:jc w:val="center"/>
              <w:rPr>
                <w:sz w:val="20"/>
              </w:rPr>
            </w:pPr>
            <w:r w:rsidRPr="007560C1">
              <w:rPr>
                <w:sz w:val="20"/>
              </w:rPr>
              <w:t>Sodium</w:t>
            </w:r>
          </w:p>
        </w:tc>
        <w:tc>
          <w:tcPr>
            <w:tcW w:w="259" w:type="dxa"/>
            <w:vAlign w:val="center"/>
          </w:tcPr>
          <w:p w14:paraId="36A6A169" w14:textId="77777777" w:rsidR="006777CC" w:rsidRPr="007560C1" w:rsidRDefault="006777CC" w:rsidP="000925EA">
            <w:pPr>
              <w:jc w:val="center"/>
              <w:rPr>
                <w:sz w:val="20"/>
              </w:rPr>
            </w:pPr>
          </w:p>
        </w:tc>
        <w:tc>
          <w:tcPr>
            <w:tcW w:w="2933" w:type="dxa"/>
            <w:vAlign w:val="center"/>
          </w:tcPr>
          <w:p w14:paraId="318B0E6A" w14:textId="77777777" w:rsidR="006777CC" w:rsidRPr="007560C1" w:rsidRDefault="006777CC" w:rsidP="000925EA">
            <w:pPr>
              <w:rPr>
                <w:sz w:val="20"/>
              </w:rPr>
            </w:pPr>
            <w:r w:rsidRPr="007560C1">
              <w:rPr>
                <w:sz w:val="20"/>
              </w:rPr>
              <w:t>Top and bottom reflector thickness (m)</w:t>
            </w:r>
          </w:p>
        </w:tc>
        <w:tc>
          <w:tcPr>
            <w:tcW w:w="0" w:type="auto"/>
            <w:vAlign w:val="center"/>
          </w:tcPr>
          <w:p w14:paraId="3EB4D292" w14:textId="77777777" w:rsidR="006777CC" w:rsidRPr="007560C1" w:rsidRDefault="006777CC" w:rsidP="000925EA">
            <w:pPr>
              <w:jc w:val="center"/>
              <w:rPr>
                <w:sz w:val="20"/>
              </w:rPr>
            </w:pPr>
            <w:r w:rsidRPr="007560C1">
              <w:rPr>
                <w:sz w:val="20"/>
              </w:rPr>
              <w:t>1</w:t>
            </w:r>
          </w:p>
        </w:tc>
      </w:tr>
      <w:tr w:rsidR="006777CC" w:rsidRPr="007560C1" w14:paraId="1A60CC59" w14:textId="77777777" w:rsidTr="006777CC">
        <w:trPr>
          <w:jc w:val="center"/>
        </w:trPr>
        <w:tc>
          <w:tcPr>
            <w:tcW w:w="3250" w:type="dxa"/>
            <w:vAlign w:val="center"/>
          </w:tcPr>
          <w:p w14:paraId="0953A76E" w14:textId="77777777" w:rsidR="006777CC" w:rsidRPr="007560C1" w:rsidRDefault="006777CC" w:rsidP="000925EA">
            <w:pPr>
              <w:rPr>
                <w:sz w:val="20"/>
              </w:rPr>
            </w:pPr>
            <w:r w:rsidRPr="007560C1">
              <w:rPr>
                <w:sz w:val="20"/>
              </w:rPr>
              <w:t>Cladding material</w:t>
            </w:r>
          </w:p>
        </w:tc>
        <w:tc>
          <w:tcPr>
            <w:tcW w:w="1016" w:type="dxa"/>
            <w:vAlign w:val="center"/>
          </w:tcPr>
          <w:p w14:paraId="694ACFF2" w14:textId="77777777" w:rsidR="006777CC" w:rsidRPr="007560C1" w:rsidRDefault="006777CC" w:rsidP="000925EA">
            <w:pPr>
              <w:jc w:val="center"/>
              <w:rPr>
                <w:sz w:val="20"/>
              </w:rPr>
            </w:pPr>
            <w:r w:rsidRPr="007560C1">
              <w:rPr>
                <w:sz w:val="20"/>
              </w:rPr>
              <w:t>HT9 steel</w:t>
            </w:r>
          </w:p>
        </w:tc>
        <w:tc>
          <w:tcPr>
            <w:tcW w:w="259" w:type="dxa"/>
            <w:vAlign w:val="center"/>
          </w:tcPr>
          <w:p w14:paraId="76185E76" w14:textId="77777777" w:rsidR="006777CC" w:rsidRPr="007560C1" w:rsidRDefault="006777CC" w:rsidP="000925EA">
            <w:pPr>
              <w:jc w:val="center"/>
              <w:rPr>
                <w:sz w:val="20"/>
              </w:rPr>
            </w:pPr>
          </w:p>
        </w:tc>
        <w:tc>
          <w:tcPr>
            <w:tcW w:w="2933" w:type="dxa"/>
            <w:vAlign w:val="center"/>
          </w:tcPr>
          <w:p w14:paraId="1FECD61F" w14:textId="77777777" w:rsidR="006777CC" w:rsidRPr="007560C1" w:rsidRDefault="006777CC" w:rsidP="000925EA">
            <w:pPr>
              <w:rPr>
                <w:sz w:val="20"/>
              </w:rPr>
            </w:pPr>
            <w:r w:rsidRPr="007560C1">
              <w:rPr>
                <w:sz w:val="20"/>
              </w:rPr>
              <w:t>Radial reflector thickness (m)</w:t>
            </w:r>
          </w:p>
        </w:tc>
        <w:tc>
          <w:tcPr>
            <w:tcW w:w="0" w:type="auto"/>
            <w:vAlign w:val="center"/>
          </w:tcPr>
          <w:p w14:paraId="5BDF2379" w14:textId="77777777" w:rsidR="006777CC" w:rsidRPr="007560C1" w:rsidRDefault="006777CC" w:rsidP="000925EA">
            <w:pPr>
              <w:jc w:val="center"/>
              <w:rPr>
                <w:sz w:val="20"/>
              </w:rPr>
            </w:pPr>
            <w:r w:rsidRPr="007560C1">
              <w:rPr>
                <w:sz w:val="20"/>
              </w:rPr>
              <w:t>1.5</w:t>
            </w:r>
          </w:p>
        </w:tc>
      </w:tr>
      <w:tr w:rsidR="006777CC" w:rsidRPr="007560C1" w14:paraId="372A32D7" w14:textId="77777777" w:rsidTr="006777CC">
        <w:trPr>
          <w:jc w:val="center"/>
        </w:trPr>
        <w:tc>
          <w:tcPr>
            <w:tcW w:w="3250" w:type="dxa"/>
            <w:vAlign w:val="center"/>
          </w:tcPr>
          <w:p w14:paraId="0E8C41AF" w14:textId="77777777" w:rsidR="006777CC" w:rsidRPr="007560C1" w:rsidRDefault="006777CC" w:rsidP="000925EA">
            <w:pPr>
              <w:rPr>
                <w:sz w:val="20"/>
              </w:rPr>
            </w:pPr>
            <w:r w:rsidRPr="007560C1">
              <w:rPr>
                <w:sz w:val="20"/>
              </w:rPr>
              <w:t>Fuel rod radius (cm)</w:t>
            </w:r>
          </w:p>
        </w:tc>
        <w:tc>
          <w:tcPr>
            <w:tcW w:w="1016" w:type="dxa"/>
            <w:vAlign w:val="center"/>
          </w:tcPr>
          <w:p w14:paraId="35C097C3" w14:textId="77777777" w:rsidR="006777CC" w:rsidRPr="007560C1" w:rsidRDefault="006777CC" w:rsidP="000925EA">
            <w:pPr>
              <w:jc w:val="center"/>
              <w:rPr>
                <w:sz w:val="20"/>
              </w:rPr>
            </w:pPr>
            <w:r w:rsidRPr="007560C1">
              <w:rPr>
                <w:sz w:val="20"/>
              </w:rPr>
              <w:t>0.45</w:t>
            </w:r>
          </w:p>
        </w:tc>
        <w:tc>
          <w:tcPr>
            <w:tcW w:w="259" w:type="dxa"/>
            <w:vAlign w:val="center"/>
          </w:tcPr>
          <w:p w14:paraId="388AEEBB" w14:textId="77777777" w:rsidR="006777CC" w:rsidRPr="007560C1" w:rsidRDefault="006777CC" w:rsidP="000925EA">
            <w:pPr>
              <w:jc w:val="center"/>
              <w:rPr>
                <w:sz w:val="20"/>
              </w:rPr>
            </w:pPr>
          </w:p>
        </w:tc>
        <w:tc>
          <w:tcPr>
            <w:tcW w:w="2933" w:type="dxa"/>
            <w:vAlign w:val="center"/>
          </w:tcPr>
          <w:p w14:paraId="44F53C12" w14:textId="77777777" w:rsidR="006777CC" w:rsidRPr="007560C1" w:rsidRDefault="006777CC" w:rsidP="000925EA">
            <w:pPr>
              <w:rPr>
                <w:sz w:val="20"/>
              </w:rPr>
            </w:pPr>
            <w:r w:rsidRPr="007560C1">
              <w:rPr>
                <w:sz w:val="20"/>
              </w:rPr>
              <w:t>Reflector material</w:t>
            </w:r>
          </w:p>
        </w:tc>
        <w:tc>
          <w:tcPr>
            <w:tcW w:w="0" w:type="auto"/>
            <w:vAlign w:val="center"/>
          </w:tcPr>
          <w:p w14:paraId="0F0E6AF7" w14:textId="77777777" w:rsidR="006777CC" w:rsidRPr="007560C1" w:rsidRDefault="006777CC" w:rsidP="000925EA">
            <w:pPr>
              <w:jc w:val="center"/>
              <w:rPr>
                <w:sz w:val="20"/>
              </w:rPr>
            </w:pPr>
            <w:r w:rsidRPr="007560C1">
              <w:rPr>
                <w:sz w:val="20"/>
              </w:rPr>
              <w:t>Sodium</w:t>
            </w:r>
          </w:p>
        </w:tc>
      </w:tr>
    </w:tbl>
    <w:p w14:paraId="114B1B34" w14:textId="77777777" w:rsidR="006777CC" w:rsidRPr="006777CC" w:rsidRDefault="006777CC" w:rsidP="006777CC">
      <w:pPr>
        <w:rPr>
          <w:lang w:val="en-US"/>
        </w:rPr>
      </w:pPr>
    </w:p>
    <w:p w14:paraId="546D2535" w14:textId="77777777" w:rsidR="006777CC" w:rsidRDefault="006777CC" w:rsidP="006777CC">
      <w:pPr>
        <w:pStyle w:val="BodyText"/>
      </w:pPr>
      <w:r>
        <w:t xml:space="preserve">For neutron transport and burnup analyses of the proposed core, the continuous-energy Monte Carlo code SERPENT 2.1 [5] was used with the ENDF-B/VII.0 nuclear data library [6]. Each FA was equally divided into 7 burnup axial regions, each 20-cm high. As for the neutronic calculation conditions, the number of neutron histories per batch and total active batches were set at 50000 and 200, respectively. The first 50 active batches were kept as inactive batches for statistical treatment. These conditions were maintained for all burnup analyses calculations. </w:t>
      </w:r>
    </w:p>
    <w:p w14:paraId="7A3933EC" w14:textId="00976723" w:rsidR="006777CC" w:rsidRDefault="006777CC" w:rsidP="006777CC">
      <w:pPr>
        <w:pStyle w:val="BodyText"/>
      </w:pPr>
      <w:r>
        <w:t>The lateral shuffling pattern was called a lateral big omega (</w:t>
      </w:r>
      <m:oMath>
        <m:r>
          <m:rPr>
            <m:sty m:val="p"/>
          </m:rPr>
          <w:rPr>
            <w:rFonts w:ascii="Cambria Math" w:hAnsi="Cambria Math"/>
            <w:color w:val="FF0000"/>
          </w:rPr>
          <m:t>Ω</m:t>
        </m:r>
      </m:oMath>
      <w:r>
        <w:t xml:space="preserve">) scheme in our previous paper [4]. In the present work, there were 9 radial zones, 2 more than previously. Since the number of radial zones was increased, we renamed this similar shuffling pattern the lateral Christmas-tree shuffling scheme. A detailed explanation of the shuffling scheme is available in our previous work. Briefly, at the 1st shuffling step, all FAs were fresh; from the next step on, fresh fuel was loaded in position ID-1 with every shuffle, as shown in Fig. 1. The FA in the ID-1 location in the 1st shuffling step shifted to the ID-2 location in the 2nd step, while FA 2 transferred to 3 and so forth. After 9 shuffling steps, the initial fresh FA was transferred from the 9th radial zone to the 8th, and after another 8 steps, it moved to the ID-18 location. Moving along the lateral Christmas-tree path, after the 44th or 45th shuffling step, the first freshly loaded FA was discharged from ID-44 or ID-45. </w:t>
      </w:r>
    </w:p>
    <w:p w14:paraId="2191A402" w14:textId="69FEF35E" w:rsidR="00EE0041" w:rsidRDefault="006777CC" w:rsidP="006777CC">
      <w:pPr>
        <w:pStyle w:val="BodyText"/>
      </w:pPr>
      <w:r>
        <w:t xml:space="preserve">The burnup analysis of the proposed core for two cycles of the RF scheme was carried out with a shuffling interval of 800 days. The objective was for the core to reach a critical state and sustain the B&amp;B operating mode. </w:t>
      </w:r>
      <w:r w:rsidRPr="00126787">
        <w:rPr>
          <w:color w:val="FF0000"/>
        </w:rPr>
        <w:t>Fig</w:t>
      </w:r>
      <w:r w:rsidR="00126787" w:rsidRPr="00126787">
        <w:rPr>
          <w:color w:val="FF0000"/>
        </w:rPr>
        <w:t>.</w:t>
      </w:r>
      <w:r w:rsidRPr="00126787">
        <w:rPr>
          <w:color w:val="FF0000"/>
        </w:rPr>
        <w:t xml:space="preserve"> 2 </w:t>
      </w:r>
      <w:r>
        <w:t>shows the changes in the effective multiplication factor (</w:t>
      </w:r>
      <w:proofErr w:type="spellStart"/>
      <w:r>
        <w:t>keff</w:t>
      </w:r>
      <w:proofErr w:type="spellEnd"/>
      <w:r>
        <w:t>) of the core during the shuffling step. The core was able to operate at critical condition.</w:t>
      </w:r>
    </w:p>
    <w:p w14:paraId="26F0CDBF" w14:textId="77777777" w:rsidR="001C169B" w:rsidRDefault="001C169B" w:rsidP="006777CC">
      <w:pPr>
        <w:pStyle w:val="BodyText"/>
      </w:pPr>
    </w:p>
    <w:p w14:paraId="6860AB9F" w14:textId="77777777" w:rsidR="001C169B" w:rsidRDefault="001C169B" w:rsidP="001C169B">
      <w:pPr>
        <w:pStyle w:val="BodyText"/>
        <w:keepNext/>
        <w:ind w:firstLine="0"/>
      </w:pPr>
      <w:r>
        <w:rPr>
          <w:noProof/>
        </w:rPr>
        <w:lastRenderedPageBreak/>
        <w:drawing>
          <wp:inline distT="0" distB="0" distL="0" distR="0" wp14:anchorId="43458E7E" wp14:editId="5F005163">
            <wp:extent cx="5732145" cy="3016250"/>
            <wp:effectExtent l="0" t="0" r="1905" b="0"/>
            <wp:docPr id="215568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68953" name="Picture 2155689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3016250"/>
                    </a:xfrm>
                    <a:prstGeom prst="rect">
                      <a:avLst/>
                    </a:prstGeom>
                  </pic:spPr>
                </pic:pic>
              </a:graphicData>
            </a:graphic>
          </wp:inline>
        </w:drawing>
      </w:r>
    </w:p>
    <w:p w14:paraId="5B099CD5" w14:textId="5BF0B954" w:rsidR="006777CC" w:rsidRPr="001C169B" w:rsidRDefault="001C169B" w:rsidP="001C169B">
      <w:pPr>
        <w:pStyle w:val="Caption"/>
        <w:jc w:val="center"/>
        <w:rPr>
          <w:i/>
          <w:iCs/>
        </w:rPr>
      </w:pPr>
      <w:r w:rsidRPr="001C169B">
        <w:rPr>
          <w:i/>
          <w:iCs/>
        </w:rPr>
        <w:t>FIG</w:t>
      </w:r>
      <w:r>
        <w:rPr>
          <w:i/>
          <w:iCs/>
        </w:rPr>
        <w:t>.</w:t>
      </w:r>
      <w:r w:rsidRPr="001C169B">
        <w:rPr>
          <w:i/>
          <w:iCs/>
        </w:rPr>
        <w:t xml:space="preserve"> </w:t>
      </w:r>
      <w:r w:rsidRPr="001C169B">
        <w:rPr>
          <w:i/>
          <w:iCs/>
        </w:rPr>
        <w:fldChar w:fldCharType="begin"/>
      </w:r>
      <w:r w:rsidRPr="001C169B">
        <w:rPr>
          <w:i/>
          <w:iCs/>
        </w:rPr>
        <w:instrText xml:space="preserve"> SEQ Figure \* ARABIC </w:instrText>
      </w:r>
      <w:r w:rsidRPr="001C169B">
        <w:rPr>
          <w:i/>
          <w:iCs/>
        </w:rPr>
        <w:fldChar w:fldCharType="separate"/>
      </w:r>
      <w:r>
        <w:rPr>
          <w:i/>
          <w:iCs/>
          <w:noProof/>
        </w:rPr>
        <w:t>2</w:t>
      </w:r>
      <w:r w:rsidRPr="001C169B">
        <w:rPr>
          <w:i/>
          <w:iCs/>
        </w:rPr>
        <w:fldChar w:fldCharType="end"/>
      </w:r>
      <w:r w:rsidRPr="001C169B">
        <w:rPr>
          <w:i/>
          <w:iCs/>
        </w:rPr>
        <w:t>. Changes in k-eff in a core with 45 and 44 FAs in one-sixth core.</w:t>
      </w:r>
    </w:p>
    <w:p w14:paraId="5DDF4B40" w14:textId="34A069A7" w:rsidR="001C169B" w:rsidRPr="001C169B" w:rsidRDefault="001C169B" w:rsidP="001C169B">
      <w:pPr>
        <w:pStyle w:val="Heading2"/>
      </w:pPr>
      <w:r w:rsidRPr="001C169B">
        <w:t>Practical core analysis using reduced fuel smear density</w:t>
      </w:r>
    </w:p>
    <w:p w14:paraId="0BDB9FA4" w14:textId="28010CBB" w:rsidR="001308F2" w:rsidRDefault="001C169B" w:rsidP="00537496">
      <w:pPr>
        <w:pStyle w:val="BodyText"/>
      </w:pPr>
      <w:r w:rsidRPr="001C169B">
        <w:t xml:space="preserve">The neutron flux is high in fast reactors, so that fuel swelling might be larger than in an LWR. To avoid fuel-cladding mechanical interaction, fuel smear density was reduced to 85%TD. We performed several burnup calculations, changing design parameters to achieve critical core; the fuel smear density was 85%TD in all cases. Details of cases are listed in </w:t>
      </w:r>
      <w:r w:rsidRPr="00126787">
        <w:rPr>
          <w:color w:val="FF0000"/>
        </w:rPr>
        <w:t xml:space="preserve">Table </w:t>
      </w:r>
      <w:r w:rsidR="00126787" w:rsidRPr="00126787">
        <w:rPr>
          <w:color w:val="FF0000"/>
        </w:rPr>
        <w:t>2</w:t>
      </w:r>
      <w:r w:rsidRPr="001C169B">
        <w:t xml:space="preserve">. Case-1 in </w:t>
      </w:r>
      <w:r w:rsidRPr="00126787">
        <w:rPr>
          <w:color w:val="FF0000"/>
        </w:rPr>
        <w:t>Table</w:t>
      </w:r>
      <w:r w:rsidR="00126787">
        <w:rPr>
          <w:color w:val="FF0000"/>
        </w:rPr>
        <w:t xml:space="preserve"> </w:t>
      </w:r>
      <w:r w:rsidR="00126787" w:rsidRPr="00126787">
        <w:rPr>
          <w:color w:val="FF0000"/>
        </w:rPr>
        <w:t>2</w:t>
      </w:r>
      <w:r w:rsidRPr="001C169B">
        <w:t xml:space="preserve"> differed from that in Section II in that both fuel smear density and shuffling interval were reduced. Since fuel density was reduced, it was necessary to redesign the core by increasing the fuel assemblies in the radial direction to 55 FAs per one-sixth core and increasing the shuffling interval as in Case-2 in </w:t>
      </w:r>
      <w:r w:rsidRPr="00126787">
        <w:rPr>
          <w:color w:val="FF0000"/>
        </w:rPr>
        <w:t>Table</w:t>
      </w:r>
      <w:r w:rsidR="00126787">
        <w:rPr>
          <w:color w:val="FF0000"/>
        </w:rPr>
        <w:t xml:space="preserve"> </w:t>
      </w:r>
      <w:r w:rsidR="00126787" w:rsidRPr="00126787">
        <w:rPr>
          <w:color w:val="FF0000"/>
        </w:rPr>
        <w:t>2</w:t>
      </w:r>
      <w:r w:rsidRPr="001C169B">
        <w:t xml:space="preserve">. However, it was difficult to achieve critical core by changing the shuffling interval for the first two cores. Thus, the core height was increased from 140 to 180 cm by adding one more block to the top and bottom of the reference core, as Case-3 in </w:t>
      </w:r>
      <w:r w:rsidRPr="00126787">
        <w:rPr>
          <w:color w:val="FF0000"/>
        </w:rPr>
        <w:t xml:space="preserve">Table </w:t>
      </w:r>
      <w:r w:rsidR="00126787" w:rsidRPr="00126787">
        <w:rPr>
          <w:color w:val="FF0000"/>
        </w:rPr>
        <w:t>2</w:t>
      </w:r>
      <w:r w:rsidRPr="001C169B">
        <w:t xml:space="preserve">. Finally, CRA was included in larger core, leaving a configuration of 54 FAs and 1 CRA block as in Case-4 in </w:t>
      </w:r>
      <w:r w:rsidRPr="00126787">
        <w:rPr>
          <w:color w:val="FF0000"/>
        </w:rPr>
        <w:t>Table-</w:t>
      </w:r>
      <w:r w:rsidR="00126787" w:rsidRPr="00126787">
        <w:rPr>
          <w:color w:val="FF0000"/>
        </w:rPr>
        <w:t>2</w:t>
      </w:r>
      <w:r w:rsidRPr="001C169B">
        <w:t xml:space="preserve">. For the last two cases, the shuffling interval was changed to achieve critical core. </w:t>
      </w:r>
      <w:r w:rsidRPr="00126787">
        <w:rPr>
          <w:color w:val="FF0000"/>
        </w:rPr>
        <w:t>Fig</w:t>
      </w:r>
      <w:r w:rsidR="00126787" w:rsidRPr="00126787">
        <w:rPr>
          <w:color w:val="FF0000"/>
        </w:rPr>
        <w:t>.</w:t>
      </w:r>
      <w:r w:rsidRPr="00126787">
        <w:rPr>
          <w:color w:val="FF0000"/>
        </w:rPr>
        <w:t xml:space="preserve"> 3 </w:t>
      </w:r>
      <w:r w:rsidRPr="001C169B">
        <w:t xml:space="preserve">represents the horizontal cross section of the larger core with and without CRA. </w:t>
      </w:r>
      <w:r w:rsidRPr="00126787">
        <w:rPr>
          <w:color w:val="FF0000"/>
        </w:rPr>
        <w:t>Fig</w:t>
      </w:r>
      <w:r w:rsidR="00126787" w:rsidRPr="00126787">
        <w:rPr>
          <w:color w:val="FF0000"/>
        </w:rPr>
        <w:t>.</w:t>
      </w:r>
      <w:r w:rsidRPr="00126787">
        <w:rPr>
          <w:color w:val="FF0000"/>
        </w:rPr>
        <w:t xml:space="preserve"> 4 </w:t>
      </w:r>
      <w:r w:rsidRPr="001C169B">
        <w:t xml:space="preserve">shows the change in the effective multiplication factor of various cores with the parameters listed in </w:t>
      </w:r>
      <w:r w:rsidRPr="00126787">
        <w:rPr>
          <w:color w:val="FF0000"/>
        </w:rPr>
        <w:t xml:space="preserve">Table </w:t>
      </w:r>
      <w:r w:rsidR="00126787" w:rsidRPr="00126787">
        <w:rPr>
          <w:color w:val="FF0000"/>
        </w:rPr>
        <w:t>2</w:t>
      </w:r>
      <w:r w:rsidRPr="001C169B">
        <w:t xml:space="preserve"> during a shuffling step. As may be seen in the </w:t>
      </w:r>
      <w:r w:rsidR="00126787" w:rsidRPr="00126787">
        <w:rPr>
          <w:color w:val="FF0000"/>
        </w:rPr>
        <w:t>F</w:t>
      </w:r>
      <w:r w:rsidRPr="00126787">
        <w:rPr>
          <w:color w:val="FF0000"/>
        </w:rPr>
        <w:t>ig</w:t>
      </w:r>
      <w:r w:rsidR="00126787" w:rsidRPr="00126787">
        <w:rPr>
          <w:color w:val="FF0000"/>
        </w:rPr>
        <w:t>. 4</w:t>
      </w:r>
      <w:r w:rsidRPr="001C169B">
        <w:t>, the 180-cm high core with 85%TD of smear fuel density and a 700-day shuffling interval could achieve critical condition</w:t>
      </w:r>
      <w:r w:rsidR="00F004EE">
        <w:t>.</w:t>
      </w:r>
      <w:r w:rsidR="00F74A9D">
        <w:t xml:space="preserve"> </w:t>
      </w:r>
    </w:p>
    <w:p w14:paraId="792F98D4" w14:textId="77777777" w:rsidR="001C169B" w:rsidRDefault="001C169B" w:rsidP="00537496">
      <w:pPr>
        <w:pStyle w:val="BodyText"/>
      </w:pPr>
    </w:p>
    <w:p w14:paraId="6BA6F3AA" w14:textId="77777777" w:rsidR="001C169B" w:rsidRDefault="001C169B" w:rsidP="001C169B">
      <w:pPr>
        <w:pStyle w:val="BodyText"/>
        <w:keepNext/>
        <w:ind w:firstLine="0"/>
      </w:pPr>
      <w:r>
        <w:rPr>
          <w:noProof/>
        </w:rPr>
        <w:lastRenderedPageBreak/>
        <w:drawing>
          <wp:inline distT="0" distB="0" distL="0" distR="0" wp14:anchorId="572F6527" wp14:editId="3CB3F665">
            <wp:extent cx="2812211" cy="2946481"/>
            <wp:effectExtent l="0" t="0" r="7620" b="6350"/>
            <wp:docPr id="1929006042" name="Picture 6" descr="A diagram of a diagram of a new loa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06042" name="Picture 6" descr="A diagram of a diagram of a new loa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061" cy="2958897"/>
                    </a:xfrm>
                    <a:prstGeom prst="rect">
                      <a:avLst/>
                    </a:prstGeom>
                  </pic:spPr>
                </pic:pic>
              </a:graphicData>
            </a:graphic>
          </wp:inline>
        </w:drawing>
      </w:r>
      <w:r>
        <w:rPr>
          <w:noProof/>
        </w:rPr>
        <w:drawing>
          <wp:inline distT="0" distB="0" distL="0" distR="0" wp14:anchorId="51F34121" wp14:editId="5241ADC3">
            <wp:extent cx="2799759" cy="2917928"/>
            <wp:effectExtent l="0" t="0" r="635" b="0"/>
            <wp:docPr id="2065468434" name="Picture 7" descr="A diagram of a diagram of a load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68434" name="Picture 7" descr="A diagram of a diagram of a loading proces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2769" cy="2921065"/>
                    </a:xfrm>
                    <a:prstGeom prst="rect">
                      <a:avLst/>
                    </a:prstGeom>
                  </pic:spPr>
                </pic:pic>
              </a:graphicData>
            </a:graphic>
          </wp:inline>
        </w:drawing>
      </w:r>
    </w:p>
    <w:p w14:paraId="0C1B2E4C" w14:textId="5A64210D" w:rsidR="001C169B" w:rsidRDefault="001C169B" w:rsidP="001C169B">
      <w:pPr>
        <w:pStyle w:val="Caption"/>
        <w:jc w:val="center"/>
        <w:rPr>
          <w:i/>
          <w:iCs/>
        </w:rPr>
      </w:pPr>
      <w:r w:rsidRPr="001C169B">
        <w:rPr>
          <w:i/>
          <w:iCs/>
        </w:rPr>
        <w:t xml:space="preserve">FIG. </w:t>
      </w:r>
      <w:r w:rsidRPr="001C169B">
        <w:rPr>
          <w:i/>
          <w:iCs/>
        </w:rPr>
        <w:fldChar w:fldCharType="begin"/>
      </w:r>
      <w:r w:rsidRPr="001C169B">
        <w:rPr>
          <w:i/>
          <w:iCs/>
        </w:rPr>
        <w:instrText xml:space="preserve"> SEQ Figure \* ARABIC </w:instrText>
      </w:r>
      <w:r w:rsidRPr="001C169B">
        <w:rPr>
          <w:i/>
          <w:iCs/>
        </w:rPr>
        <w:fldChar w:fldCharType="separate"/>
      </w:r>
      <w:r>
        <w:rPr>
          <w:i/>
          <w:iCs/>
          <w:noProof/>
        </w:rPr>
        <w:t>3</w:t>
      </w:r>
      <w:r w:rsidRPr="001C169B">
        <w:rPr>
          <w:i/>
          <w:iCs/>
        </w:rPr>
        <w:fldChar w:fldCharType="end"/>
      </w:r>
      <w:r w:rsidRPr="001C169B">
        <w:rPr>
          <w:i/>
          <w:iCs/>
        </w:rPr>
        <w:t xml:space="preserve">. (a) All 55-FA position IDs and rotational shuffling scheme of one-sixth of the core without CRA; </w:t>
      </w:r>
    </w:p>
    <w:p w14:paraId="4FC5CF55" w14:textId="07EF8DAF" w:rsidR="001C169B" w:rsidRDefault="001C169B" w:rsidP="001C169B">
      <w:pPr>
        <w:pStyle w:val="Caption"/>
        <w:jc w:val="center"/>
        <w:rPr>
          <w:i/>
          <w:iCs/>
        </w:rPr>
      </w:pPr>
      <w:r w:rsidRPr="001C169B">
        <w:rPr>
          <w:i/>
          <w:iCs/>
        </w:rPr>
        <w:t>(b) 54-FA position IDs and shuffling scheme with the same one-sixth core</w:t>
      </w:r>
    </w:p>
    <w:p w14:paraId="3916AEA3" w14:textId="77777777" w:rsidR="001C169B" w:rsidRDefault="001C169B" w:rsidP="001C169B">
      <w:pPr>
        <w:pStyle w:val="ListParagraph"/>
        <w:contextualSpacing w:val="0"/>
        <w:jc w:val="center"/>
        <w:rPr>
          <w:rFonts w:ascii="Times New Roman" w:hAnsi="Times New Roman" w:cs="Times New Roman"/>
          <w:sz w:val="24"/>
          <w:szCs w:val="24"/>
        </w:rPr>
      </w:pPr>
    </w:p>
    <w:p w14:paraId="1CB79334" w14:textId="14652B9D" w:rsidR="001C169B" w:rsidRDefault="001C169B" w:rsidP="001C169B">
      <w:pPr>
        <w:pStyle w:val="ListParagraph"/>
        <w:contextualSpacing w:val="0"/>
        <w:jc w:val="left"/>
        <w:rPr>
          <w:rFonts w:ascii="Times New Roman" w:hAnsi="Times New Roman" w:cs="Times New Roman"/>
          <w:caps/>
          <w:sz w:val="20"/>
          <w:szCs w:val="20"/>
        </w:rPr>
      </w:pPr>
      <w:r w:rsidRPr="001C169B">
        <w:rPr>
          <w:rFonts w:ascii="Times New Roman" w:hAnsi="Times New Roman" w:cs="Times New Roman"/>
          <w:caps/>
          <w:sz w:val="20"/>
          <w:szCs w:val="20"/>
        </w:rPr>
        <w:t xml:space="preserve">Table </w:t>
      </w:r>
      <w:r w:rsidR="00126787">
        <w:rPr>
          <w:rFonts w:ascii="Times New Roman" w:hAnsi="Times New Roman" w:cs="Times New Roman"/>
          <w:caps/>
          <w:sz w:val="20"/>
          <w:szCs w:val="20"/>
        </w:rPr>
        <w:t>2</w:t>
      </w:r>
      <w:r w:rsidRPr="001C169B">
        <w:rPr>
          <w:rFonts w:ascii="Times New Roman" w:hAnsi="Times New Roman" w:cs="Times New Roman"/>
          <w:caps/>
          <w:sz w:val="20"/>
          <w:szCs w:val="20"/>
        </w:rPr>
        <w:t>. Parameters for burnup analyses to achieve critical core</w:t>
      </w:r>
    </w:p>
    <w:p w14:paraId="5B50D071" w14:textId="77777777" w:rsidR="001C169B" w:rsidRPr="001C169B" w:rsidRDefault="001C169B" w:rsidP="001C169B">
      <w:pPr>
        <w:pStyle w:val="ListParagraph"/>
        <w:contextualSpacing w:val="0"/>
        <w:jc w:val="left"/>
        <w:rPr>
          <w:rFonts w:ascii="Times New Roman" w:hAnsi="Times New Roman" w:cs="Times New Roman"/>
          <w:caps/>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550"/>
        <w:gridCol w:w="1679"/>
        <w:gridCol w:w="1217"/>
        <w:gridCol w:w="1396"/>
      </w:tblGrid>
      <w:tr w:rsidR="001C169B" w:rsidRPr="001C169B" w14:paraId="2A9A8E20" w14:textId="77777777" w:rsidTr="001C169B">
        <w:tc>
          <w:tcPr>
            <w:tcW w:w="1392" w:type="dxa"/>
            <w:tcBorders>
              <w:top w:val="single" w:sz="4" w:space="0" w:color="auto"/>
              <w:bottom w:val="single" w:sz="4" w:space="0" w:color="auto"/>
            </w:tcBorders>
          </w:tcPr>
          <w:p w14:paraId="4997006A"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Case</w:t>
            </w:r>
          </w:p>
        </w:tc>
        <w:tc>
          <w:tcPr>
            <w:tcW w:w="1550" w:type="dxa"/>
            <w:tcBorders>
              <w:top w:val="single" w:sz="4" w:space="0" w:color="auto"/>
              <w:bottom w:val="single" w:sz="4" w:space="0" w:color="auto"/>
            </w:tcBorders>
          </w:tcPr>
          <w:p w14:paraId="40F7CA22"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Fuel smear density, %TD</w:t>
            </w:r>
          </w:p>
        </w:tc>
        <w:tc>
          <w:tcPr>
            <w:tcW w:w="1679" w:type="dxa"/>
            <w:tcBorders>
              <w:top w:val="single" w:sz="4" w:space="0" w:color="auto"/>
              <w:bottom w:val="single" w:sz="4" w:space="0" w:color="auto"/>
            </w:tcBorders>
          </w:tcPr>
          <w:p w14:paraId="7D125C34"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The number of FA in 1/6 core</w:t>
            </w:r>
          </w:p>
        </w:tc>
        <w:tc>
          <w:tcPr>
            <w:tcW w:w="1217" w:type="dxa"/>
            <w:tcBorders>
              <w:top w:val="single" w:sz="4" w:space="0" w:color="auto"/>
              <w:bottom w:val="single" w:sz="4" w:space="0" w:color="auto"/>
            </w:tcBorders>
          </w:tcPr>
          <w:p w14:paraId="44683FA3"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Core height, cm</w:t>
            </w:r>
          </w:p>
        </w:tc>
        <w:tc>
          <w:tcPr>
            <w:tcW w:w="1396" w:type="dxa"/>
            <w:tcBorders>
              <w:top w:val="single" w:sz="4" w:space="0" w:color="auto"/>
              <w:bottom w:val="single" w:sz="4" w:space="0" w:color="auto"/>
            </w:tcBorders>
          </w:tcPr>
          <w:p w14:paraId="6E5E16B8"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Shuffling interval, days</w:t>
            </w:r>
          </w:p>
        </w:tc>
      </w:tr>
      <w:tr w:rsidR="001C169B" w:rsidRPr="001C169B" w14:paraId="15D7AC66" w14:textId="77777777" w:rsidTr="001C169B">
        <w:tc>
          <w:tcPr>
            <w:tcW w:w="1392" w:type="dxa"/>
            <w:tcBorders>
              <w:top w:val="single" w:sz="4" w:space="0" w:color="auto"/>
            </w:tcBorders>
          </w:tcPr>
          <w:p w14:paraId="064B3014"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Case-1</w:t>
            </w:r>
          </w:p>
        </w:tc>
        <w:tc>
          <w:tcPr>
            <w:tcW w:w="1550" w:type="dxa"/>
            <w:tcBorders>
              <w:top w:val="single" w:sz="4" w:space="0" w:color="auto"/>
            </w:tcBorders>
          </w:tcPr>
          <w:p w14:paraId="0D802990"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85</w:t>
            </w:r>
          </w:p>
        </w:tc>
        <w:tc>
          <w:tcPr>
            <w:tcW w:w="1679" w:type="dxa"/>
            <w:tcBorders>
              <w:top w:val="single" w:sz="4" w:space="0" w:color="auto"/>
            </w:tcBorders>
          </w:tcPr>
          <w:p w14:paraId="08C738EE"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45</w:t>
            </w:r>
          </w:p>
        </w:tc>
        <w:tc>
          <w:tcPr>
            <w:tcW w:w="1217" w:type="dxa"/>
            <w:tcBorders>
              <w:top w:val="single" w:sz="4" w:space="0" w:color="auto"/>
            </w:tcBorders>
          </w:tcPr>
          <w:p w14:paraId="5DDFBE1A"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140</w:t>
            </w:r>
          </w:p>
        </w:tc>
        <w:tc>
          <w:tcPr>
            <w:tcW w:w="1396" w:type="dxa"/>
            <w:tcBorders>
              <w:top w:val="single" w:sz="4" w:space="0" w:color="auto"/>
            </w:tcBorders>
          </w:tcPr>
          <w:p w14:paraId="6B8CDBC3"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600</w:t>
            </w:r>
          </w:p>
        </w:tc>
      </w:tr>
      <w:tr w:rsidR="001C169B" w:rsidRPr="001C169B" w14:paraId="7A090E23" w14:textId="77777777" w:rsidTr="001C169B">
        <w:tc>
          <w:tcPr>
            <w:tcW w:w="1392" w:type="dxa"/>
          </w:tcPr>
          <w:p w14:paraId="0DFD6F8B"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Case-2</w:t>
            </w:r>
          </w:p>
        </w:tc>
        <w:tc>
          <w:tcPr>
            <w:tcW w:w="1550" w:type="dxa"/>
          </w:tcPr>
          <w:p w14:paraId="4EACDA99"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85</w:t>
            </w:r>
          </w:p>
        </w:tc>
        <w:tc>
          <w:tcPr>
            <w:tcW w:w="1679" w:type="dxa"/>
          </w:tcPr>
          <w:p w14:paraId="584AF4C6"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55</w:t>
            </w:r>
          </w:p>
        </w:tc>
        <w:tc>
          <w:tcPr>
            <w:tcW w:w="1217" w:type="dxa"/>
          </w:tcPr>
          <w:p w14:paraId="4E9D3DED"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140</w:t>
            </w:r>
          </w:p>
        </w:tc>
        <w:tc>
          <w:tcPr>
            <w:tcW w:w="1396" w:type="dxa"/>
          </w:tcPr>
          <w:p w14:paraId="015D7974"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1000</w:t>
            </w:r>
          </w:p>
        </w:tc>
      </w:tr>
      <w:tr w:rsidR="001C169B" w:rsidRPr="001C169B" w14:paraId="779D1F20" w14:textId="77777777" w:rsidTr="001C169B">
        <w:tc>
          <w:tcPr>
            <w:tcW w:w="1392" w:type="dxa"/>
          </w:tcPr>
          <w:p w14:paraId="48703AFE"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Case-3</w:t>
            </w:r>
          </w:p>
        </w:tc>
        <w:tc>
          <w:tcPr>
            <w:tcW w:w="1550" w:type="dxa"/>
          </w:tcPr>
          <w:p w14:paraId="14940568"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85</w:t>
            </w:r>
          </w:p>
        </w:tc>
        <w:tc>
          <w:tcPr>
            <w:tcW w:w="1679" w:type="dxa"/>
          </w:tcPr>
          <w:p w14:paraId="0DA0262D"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55</w:t>
            </w:r>
          </w:p>
        </w:tc>
        <w:tc>
          <w:tcPr>
            <w:tcW w:w="1217" w:type="dxa"/>
          </w:tcPr>
          <w:p w14:paraId="53E53316"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180</w:t>
            </w:r>
          </w:p>
        </w:tc>
        <w:tc>
          <w:tcPr>
            <w:tcW w:w="1396" w:type="dxa"/>
          </w:tcPr>
          <w:p w14:paraId="1AE5A950"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700</w:t>
            </w:r>
          </w:p>
        </w:tc>
      </w:tr>
      <w:tr w:rsidR="001C169B" w:rsidRPr="001C169B" w14:paraId="3BFE053B" w14:textId="77777777" w:rsidTr="001C169B">
        <w:tc>
          <w:tcPr>
            <w:tcW w:w="1392" w:type="dxa"/>
            <w:tcBorders>
              <w:bottom w:val="single" w:sz="4" w:space="0" w:color="auto"/>
            </w:tcBorders>
          </w:tcPr>
          <w:p w14:paraId="61C01040"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Case-4</w:t>
            </w:r>
          </w:p>
        </w:tc>
        <w:tc>
          <w:tcPr>
            <w:tcW w:w="1550" w:type="dxa"/>
            <w:tcBorders>
              <w:bottom w:val="single" w:sz="4" w:space="0" w:color="auto"/>
            </w:tcBorders>
          </w:tcPr>
          <w:p w14:paraId="203C4A62"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85</w:t>
            </w:r>
          </w:p>
        </w:tc>
        <w:tc>
          <w:tcPr>
            <w:tcW w:w="1679" w:type="dxa"/>
            <w:tcBorders>
              <w:bottom w:val="single" w:sz="4" w:space="0" w:color="auto"/>
            </w:tcBorders>
          </w:tcPr>
          <w:p w14:paraId="43FE50FE"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54+1CRAout</w:t>
            </w:r>
          </w:p>
        </w:tc>
        <w:tc>
          <w:tcPr>
            <w:tcW w:w="1217" w:type="dxa"/>
            <w:tcBorders>
              <w:bottom w:val="single" w:sz="4" w:space="0" w:color="auto"/>
            </w:tcBorders>
          </w:tcPr>
          <w:p w14:paraId="0E75ED61"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180</w:t>
            </w:r>
          </w:p>
        </w:tc>
        <w:tc>
          <w:tcPr>
            <w:tcW w:w="1396" w:type="dxa"/>
            <w:tcBorders>
              <w:bottom w:val="single" w:sz="4" w:space="0" w:color="auto"/>
            </w:tcBorders>
          </w:tcPr>
          <w:p w14:paraId="5D205231" w14:textId="77777777" w:rsidR="001C169B" w:rsidRPr="001C169B" w:rsidRDefault="001C169B" w:rsidP="000925EA">
            <w:pPr>
              <w:pStyle w:val="ListParagraph"/>
              <w:ind w:left="0"/>
              <w:contextualSpacing w:val="0"/>
              <w:jc w:val="center"/>
              <w:rPr>
                <w:rFonts w:ascii="Times New Roman" w:hAnsi="Times New Roman" w:cs="Times New Roman"/>
                <w:sz w:val="20"/>
                <w:szCs w:val="20"/>
              </w:rPr>
            </w:pPr>
            <w:r w:rsidRPr="001C169B">
              <w:rPr>
                <w:rFonts w:ascii="Times New Roman" w:hAnsi="Times New Roman" w:cs="Times New Roman"/>
                <w:sz w:val="20"/>
                <w:szCs w:val="20"/>
              </w:rPr>
              <w:t>700</w:t>
            </w:r>
          </w:p>
        </w:tc>
      </w:tr>
    </w:tbl>
    <w:p w14:paraId="474427CC" w14:textId="77777777" w:rsidR="001C169B" w:rsidRDefault="001C169B" w:rsidP="001C169B">
      <w:pPr>
        <w:rPr>
          <w:lang w:val="en-US"/>
        </w:rPr>
      </w:pPr>
    </w:p>
    <w:p w14:paraId="59E7DAF2" w14:textId="77777777" w:rsidR="001C169B" w:rsidRDefault="001C169B" w:rsidP="001C169B">
      <w:pPr>
        <w:keepNext/>
      </w:pPr>
      <w:r>
        <w:rPr>
          <w:noProof/>
          <w:lang w:val="en-US"/>
        </w:rPr>
        <w:lastRenderedPageBreak/>
        <w:drawing>
          <wp:inline distT="0" distB="0" distL="0" distR="0" wp14:anchorId="0BAF2586" wp14:editId="5436B81A">
            <wp:extent cx="5732145" cy="3081655"/>
            <wp:effectExtent l="0" t="0" r="1905" b="4445"/>
            <wp:docPr id="346812002" name="Picture 8" descr="A graph showing a number of ste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12002" name="Picture 8" descr="A graph showing a number of step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2145" cy="3081655"/>
                    </a:xfrm>
                    <a:prstGeom prst="rect">
                      <a:avLst/>
                    </a:prstGeom>
                  </pic:spPr>
                </pic:pic>
              </a:graphicData>
            </a:graphic>
          </wp:inline>
        </w:drawing>
      </w:r>
      <w:r>
        <w:rPr>
          <w:noProof/>
          <w:lang w:val="en-US"/>
        </w:rPr>
        <w:drawing>
          <wp:inline distT="0" distB="0" distL="0" distR="0" wp14:anchorId="3B5E62A1" wp14:editId="7A1479CC">
            <wp:extent cx="5732145" cy="2993390"/>
            <wp:effectExtent l="0" t="0" r="1905" b="0"/>
            <wp:docPr id="1317486764" name="Picture 9"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86764" name="Picture 9" descr="A diagram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732145" cy="2993390"/>
                    </a:xfrm>
                    <a:prstGeom prst="rect">
                      <a:avLst/>
                    </a:prstGeom>
                  </pic:spPr>
                </pic:pic>
              </a:graphicData>
            </a:graphic>
          </wp:inline>
        </w:drawing>
      </w:r>
    </w:p>
    <w:p w14:paraId="615A01BA" w14:textId="52BAFB64" w:rsidR="001C169B" w:rsidRDefault="001C169B" w:rsidP="001C169B">
      <w:pPr>
        <w:pStyle w:val="Caption"/>
        <w:jc w:val="center"/>
        <w:rPr>
          <w:i/>
          <w:iCs/>
        </w:rPr>
      </w:pPr>
      <w:r w:rsidRPr="001C169B">
        <w:rPr>
          <w:i/>
          <w:iCs/>
        </w:rPr>
        <w:t xml:space="preserve">FIG. </w:t>
      </w:r>
      <w:r w:rsidRPr="001C169B">
        <w:rPr>
          <w:i/>
          <w:iCs/>
        </w:rPr>
        <w:fldChar w:fldCharType="begin"/>
      </w:r>
      <w:r w:rsidRPr="001C169B">
        <w:rPr>
          <w:i/>
          <w:iCs/>
        </w:rPr>
        <w:instrText xml:space="preserve"> SEQ Figure \* ARABIC </w:instrText>
      </w:r>
      <w:r w:rsidRPr="001C169B">
        <w:rPr>
          <w:i/>
          <w:iCs/>
        </w:rPr>
        <w:fldChar w:fldCharType="separate"/>
      </w:r>
      <w:r w:rsidRPr="001C169B">
        <w:rPr>
          <w:i/>
          <w:iCs/>
          <w:noProof/>
        </w:rPr>
        <w:t>4</w:t>
      </w:r>
      <w:r w:rsidRPr="001C169B">
        <w:rPr>
          <w:i/>
          <w:iCs/>
        </w:rPr>
        <w:fldChar w:fldCharType="end"/>
      </w:r>
      <w:r w:rsidRPr="001C169B">
        <w:rPr>
          <w:i/>
          <w:iCs/>
        </w:rPr>
        <w:t xml:space="preserve">. Change in effective multiplication factor of various cores listed in </w:t>
      </w:r>
      <w:r w:rsidRPr="00126787">
        <w:rPr>
          <w:i/>
          <w:iCs/>
          <w:color w:val="FF0000"/>
        </w:rPr>
        <w:t xml:space="preserve">Table </w:t>
      </w:r>
      <w:r w:rsidR="00126787" w:rsidRPr="00126787">
        <w:rPr>
          <w:i/>
          <w:iCs/>
          <w:color w:val="FF0000"/>
        </w:rPr>
        <w:t>2</w:t>
      </w:r>
      <w:r w:rsidRPr="001C169B">
        <w:rPr>
          <w:i/>
          <w:iCs/>
        </w:rPr>
        <w:t xml:space="preserve"> </w:t>
      </w:r>
    </w:p>
    <w:p w14:paraId="7FFAAF44" w14:textId="4828D401" w:rsidR="001C169B" w:rsidRPr="001C169B" w:rsidRDefault="001C169B" w:rsidP="001C169B">
      <w:pPr>
        <w:pStyle w:val="Caption"/>
        <w:jc w:val="center"/>
        <w:rPr>
          <w:i/>
          <w:iCs/>
        </w:rPr>
      </w:pPr>
      <w:r w:rsidRPr="001C169B">
        <w:rPr>
          <w:i/>
          <w:iCs/>
        </w:rPr>
        <w:t>during a) all shuffling steps, b) last several shuffling steps.</w:t>
      </w:r>
    </w:p>
    <w:p w14:paraId="2A549750" w14:textId="6C13975A" w:rsidR="001C169B" w:rsidRDefault="001C169B" w:rsidP="00537496">
      <w:pPr>
        <w:pStyle w:val="Heading2"/>
      </w:pPr>
      <w:r>
        <w:t>CONCLUSIONS</w:t>
      </w:r>
    </w:p>
    <w:p w14:paraId="5BDC7244" w14:textId="60D62877" w:rsidR="001C169B" w:rsidRPr="001C169B" w:rsidRDefault="001C169B" w:rsidP="001C169B">
      <w:pPr>
        <w:pStyle w:val="BodyText"/>
      </w:pPr>
      <w:r w:rsidRPr="001C169B">
        <w:t>In this paper, we studied the feasibility of a small RFBB-SS by carrying out neutronic analyses. Our analysis clarified the impact of the parameters on the criticality of the core in the equilibrium state. We found that a small practical RFBB-SS core loaded with fuel of 85 TD, 180 cm in height, with 55 FAs (or 54 FAs and one CRA) per one-sixth core, and a shuffling interval of 700 days could operate in critical condition The sustainability of a high-neutron-economy B&amp;B mode using a lateral Christmas-tree‒RF scheme was thus confirmed.</w:t>
      </w:r>
    </w:p>
    <w:p w14:paraId="15F4F300" w14:textId="77777777" w:rsidR="00285755" w:rsidRDefault="00285755" w:rsidP="00537496">
      <w:pPr>
        <w:pStyle w:val="Otherunnumberedheadings"/>
      </w:pPr>
      <w:r w:rsidRPr="00285755">
        <w:t>ACKNOWLEDGEMENTS</w:t>
      </w:r>
    </w:p>
    <w:p w14:paraId="711AF860" w14:textId="67D68DF9" w:rsidR="00D26ADA" w:rsidRDefault="00AE4CD2" w:rsidP="00537496">
      <w:pPr>
        <w:pStyle w:val="BodyText"/>
      </w:pPr>
      <w:r w:rsidRPr="00AE4CD2">
        <w:t>This work was supported by the National University of Mongolia under grant number P2023- 4611</w:t>
      </w:r>
      <w:r w:rsidR="00D26ADA">
        <w:t>.</w:t>
      </w:r>
    </w:p>
    <w:p w14:paraId="30901DF0" w14:textId="77777777" w:rsidR="00E71BE8" w:rsidRDefault="00E71BE8">
      <w:pPr>
        <w:overflowPunct/>
        <w:autoSpaceDE/>
        <w:autoSpaceDN/>
        <w:adjustRightInd/>
        <w:textAlignment w:val="auto"/>
        <w:rPr>
          <w:rFonts w:ascii="Times New Roman Bold" w:hAnsi="Times New Roman Bold"/>
          <w:b/>
          <w:caps/>
          <w:sz w:val="20"/>
        </w:rPr>
      </w:pPr>
      <w:r>
        <w:br w:type="page"/>
      </w:r>
    </w:p>
    <w:p w14:paraId="32B76F9D" w14:textId="007556D0" w:rsidR="00D26ADA" w:rsidRPr="00285755" w:rsidRDefault="00D26ADA" w:rsidP="00537496">
      <w:pPr>
        <w:pStyle w:val="Otherunnumberedheadings"/>
      </w:pPr>
      <w:r>
        <w:lastRenderedPageBreak/>
        <w:t>References</w:t>
      </w:r>
    </w:p>
    <w:p w14:paraId="3A16236B" w14:textId="07F764AD" w:rsidR="00AE4CD2" w:rsidRDefault="00AE4CD2" w:rsidP="00AE4CD2">
      <w:pPr>
        <w:pStyle w:val="Referencelist"/>
      </w:pPr>
      <w:r w:rsidRPr="00473E04">
        <w:rPr>
          <w:lang w:val="pt-BR"/>
        </w:rPr>
        <w:t>R</w:t>
      </w:r>
      <w:r>
        <w:rPr>
          <w:lang w:val="pt-BR"/>
        </w:rPr>
        <w:t>OBERTO</w:t>
      </w:r>
      <w:r w:rsidRPr="00473E04">
        <w:rPr>
          <w:lang w:val="pt-BR"/>
        </w:rPr>
        <w:t xml:space="preserve"> L</w:t>
      </w:r>
      <w:r>
        <w:rPr>
          <w:lang w:val="pt-BR"/>
        </w:rPr>
        <w:t>.</w:t>
      </w:r>
      <w:r w:rsidRPr="00473E04">
        <w:rPr>
          <w:lang w:val="pt-BR"/>
        </w:rPr>
        <w:t>S</w:t>
      </w:r>
      <w:r>
        <w:rPr>
          <w:lang w:val="pt-BR"/>
        </w:rPr>
        <w:t xml:space="preserve">, </w:t>
      </w:r>
      <w:r w:rsidRPr="00473E04">
        <w:rPr>
          <w:lang w:val="pt-BR"/>
        </w:rPr>
        <w:t>L</w:t>
      </w:r>
      <w:r>
        <w:rPr>
          <w:lang w:val="pt-BR"/>
        </w:rPr>
        <w:t xml:space="preserve">UIS </w:t>
      </w:r>
      <w:r w:rsidRPr="009A7329">
        <w:rPr>
          <w:lang w:val="pt-BR"/>
        </w:rPr>
        <w:t>F</w:t>
      </w:r>
      <w:r>
        <w:rPr>
          <w:lang w:val="pt-BR"/>
        </w:rPr>
        <w:t>.</w:t>
      </w:r>
      <w:r w:rsidRPr="009A7329">
        <w:rPr>
          <w:lang w:val="pt-BR"/>
        </w:rPr>
        <w:t>J</w:t>
      </w:r>
      <w:r w:rsidRPr="00473E04">
        <w:rPr>
          <w:lang w:val="pt-BR"/>
        </w:rPr>
        <w:t>.</w:t>
      </w:r>
      <w:r>
        <w:rPr>
          <w:lang w:val="pt-BR"/>
        </w:rPr>
        <w:t>,</w:t>
      </w:r>
      <w:r w:rsidRPr="00473E04">
        <w:rPr>
          <w:lang w:val="pt-BR"/>
        </w:rPr>
        <w:t xml:space="preserve"> </w:t>
      </w:r>
      <w:r w:rsidRPr="006E0A69">
        <w:t>The breed and burn nuclear reactor: A chronological, conceptual, and technological review, Int. J. Energy Res., (2017)</w:t>
      </w:r>
      <w:r>
        <w:t xml:space="preserve"> </w:t>
      </w:r>
      <w:r w:rsidRPr="006E0A69">
        <w:t>1-13.</w:t>
      </w:r>
    </w:p>
    <w:p w14:paraId="7E5999DB" w14:textId="1DAC924D" w:rsidR="00AE4CD2" w:rsidRPr="006E0A69" w:rsidRDefault="00AE4CD2" w:rsidP="00AE4CD2">
      <w:pPr>
        <w:pStyle w:val="Referencelist"/>
      </w:pPr>
      <w:r w:rsidRPr="00473E04">
        <w:t>O</w:t>
      </w:r>
      <w:r>
        <w:t>BARA</w:t>
      </w:r>
      <w:r w:rsidRPr="00473E04">
        <w:t xml:space="preserve"> T, K</w:t>
      </w:r>
      <w:r>
        <w:t>UWAGAKI</w:t>
      </w:r>
      <w:r w:rsidRPr="00473E04">
        <w:t xml:space="preserve"> K, N</w:t>
      </w:r>
      <w:r>
        <w:t>ISHIYAMA</w:t>
      </w:r>
      <w:r w:rsidRPr="00473E04">
        <w:t xml:space="preserve"> J.</w:t>
      </w:r>
      <w:r>
        <w:t>,</w:t>
      </w:r>
      <w:r w:rsidRPr="00473E04">
        <w:t xml:space="preserve"> </w:t>
      </w:r>
      <w:r w:rsidR="00E71BE8">
        <w:t>“</w:t>
      </w:r>
      <w:r w:rsidRPr="009954CA">
        <w:t>Feasibility of burning wave fast reactor concept with rotational fuel shuffling</w:t>
      </w:r>
      <w:r w:rsidR="00E71BE8">
        <w:t>”,</w:t>
      </w:r>
      <w:r>
        <w:t xml:space="preserve"> </w:t>
      </w:r>
      <w:r w:rsidRPr="009954CA">
        <w:t>Int</w:t>
      </w:r>
      <w:r w:rsidR="00E71BE8">
        <w:t xml:space="preserve">ernational </w:t>
      </w:r>
      <w:r w:rsidRPr="009954CA">
        <w:t>Conf</w:t>
      </w:r>
      <w:r w:rsidR="00E71BE8">
        <w:t>erence</w:t>
      </w:r>
      <w:r w:rsidRPr="009954CA">
        <w:t xml:space="preserve"> of Fast Reactors and Related Fuel Cycles: Next Generation Nuclear Systems for Sustainable Development (FR17). IAEA-CN245-051,</w:t>
      </w:r>
      <w:r>
        <w:t xml:space="preserve"> </w:t>
      </w:r>
      <w:r w:rsidRPr="009954CA">
        <w:t>Yekaterinburg, Russia</w:t>
      </w:r>
      <w:r w:rsidRPr="00AE4CD2">
        <w:t xml:space="preserve"> </w:t>
      </w:r>
      <w:r>
        <w:t>(</w:t>
      </w:r>
      <w:r w:rsidRPr="009A7329">
        <w:t>2017</w:t>
      </w:r>
      <w:r>
        <w:t>).</w:t>
      </w:r>
    </w:p>
    <w:p w14:paraId="4E706C88" w14:textId="30CEB5C6" w:rsidR="00AE4CD2" w:rsidRDefault="00AE4CD2" w:rsidP="00AE4CD2">
      <w:pPr>
        <w:pStyle w:val="Referencelist"/>
      </w:pPr>
      <w:r w:rsidRPr="006E0A69">
        <w:t>S</w:t>
      </w:r>
      <w:r>
        <w:t>AMBUU</w:t>
      </w:r>
      <w:r w:rsidRPr="00736A84">
        <w:t xml:space="preserve"> </w:t>
      </w:r>
      <w:r w:rsidRPr="006E0A69">
        <w:t>O, et al.</w:t>
      </w:r>
      <w:r>
        <w:t>,</w:t>
      </w:r>
      <w:r w:rsidRPr="006E0A69">
        <w:t xml:space="preserve"> Feasibility of breed-and-burn reactor core design with nitride fuel and lead coolant, Ann. </w:t>
      </w:r>
      <w:proofErr w:type="spellStart"/>
      <w:r w:rsidRPr="006E0A69">
        <w:t>Nucl</w:t>
      </w:r>
      <w:proofErr w:type="spellEnd"/>
      <w:r w:rsidRPr="006E0A69">
        <w:t>. Energy., 182 (2023) 109583;</w:t>
      </w:r>
      <w:r w:rsidRPr="00AE4CD2">
        <w:rPr>
          <w:sz w:val="20"/>
          <w:szCs w:val="20"/>
        </w:rPr>
        <w:t xml:space="preserve"> </w:t>
      </w:r>
      <w:hyperlink r:id="rId15" w:history="1">
        <w:r w:rsidRPr="00AE4CD2">
          <w:rPr>
            <w:rStyle w:val="Hyperlink"/>
            <w:sz w:val="20"/>
            <w:szCs w:val="20"/>
          </w:rPr>
          <w:t>https://doi.org/10.1016/j.anucene.2022.109583</w:t>
        </w:r>
      </w:hyperlink>
      <w:r w:rsidRPr="00900E71">
        <w:t>.</w:t>
      </w:r>
    </w:p>
    <w:p w14:paraId="6D83102E" w14:textId="64FF4CE9" w:rsidR="00AE4CD2" w:rsidRDefault="00AE4CD2" w:rsidP="00AE4CD2">
      <w:pPr>
        <w:pStyle w:val="Referencelist"/>
      </w:pPr>
      <w:r w:rsidRPr="00900E71">
        <w:t>S</w:t>
      </w:r>
      <w:r>
        <w:t>AMBUU</w:t>
      </w:r>
      <w:r w:rsidRPr="00900E71">
        <w:t xml:space="preserve"> O, et al.</w:t>
      </w:r>
      <w:r>
        <w:t>,</w:t>
      </w:r>
      <w:r w:rsidRPr="00900E71">
        <w:t xml:space="preserve"> Feasibility of RFBBs with Silicide Fuel and Sodium Coolant, Transactions of the American Nuclear Society</w:t>
      </w:r>
      <w:r>
        <w:t>.</w:t>
      </w:r>
      <w:r w:rsidRPr="00900E71">
        <w:t xml:space="preserve">, Washington. D.C., November 12-15, </w:t>
      </w:r>
      <w:r>
        <w:t>(</w:t>
      </w:r>
      <w:r w:rsidRPr="00900E71">
        <w:t>2023</w:t>
      </w:r>
      <w:r>
        <w:t>)</w:t>
      </w:r>
      <w:r w:rsidR="00E71BE8">
        <w:t xml:space="preserve"> 896-899</w:t>
      </w:r>
      <w:r w:rsidRPr="00900E71">
        <w:t>.</w:t>
      </w:r>
      <w:r>
        <w:t xml:space="preserve"> doi.org/10.13182/T129-42602</w:t>
      </w:r>
    </w:p>
    <w:p w14:paraId="0D9E0C90" w14:textId="4BCC0906" w:rsidR="00AE4CD2" w:rsidRPr="006E0A69" w:rsidRDefault="00AE4CD2" w:rsidP="00AE4CD2">
      <w:pPr>
        <w:pStyle w:val="Referencelist"/>
      </w:pPr>
      <w:r w:rsidRPr="006E0A69">
        <w:t>L</w:t>
      </w:r>
      <w:r w:rsidRPr="00AE4CD2">
        <w:rPr>
          <w:caps/>
        </w:rPr>
        <w:t>eppänen</w:t>
      </w:r>
      <w:r w:rsidRPr="00736A84">
        <w:t xml:space="preserve"> </w:t>
      </w:r>
      <w:r w:rsidRPr="006E0A69">
        <w:t>J</w:t>
      </w:r>
      <w:r>
        <w:t>.</w:t>
      </w:r>
      <w:r w:rsidRPr="006E0A69">
        <w:t xml:space="preserve"> Serpent</w:t>
      </w:r>
      <w:r>
        <w:t>—</w:t>
      </w:r>
      <w:r w:rsidRPr="006E0A69">
        <w:t xml:space="preserve">a Continuous-energy Monte Carlo Reactor Physics Burnup Calculation Code, VTT Technical Research Centre of Finland (2015). </w:t>
      </w:r>
    </w:p>
    <w:p w14:paraId="1EABA643" w14:textId="0354B507" w:rsidR="00AE4CD2" w:rsidRDefault="00AE4CD2" w:rsidP="00AE4CD2">
      <w:pPr>
        <w:pStyle w:val="Referencelist"/>
      </w:pPr>
      <w:r w:rsidRPr="006E0A69">
        <w:t>C</w:t>
      </w:r>
      <w:r w:rsidRPr="00AE4CD2">
        <w:rPr>
          <w:caps/>
        </w:rPr>
        <w:t>hadwick</w:t>
      </w:r>
      <w:r w:rsidRPr="00736A84">
        <w:t xml:space="preserve"> </w:t>
      </w:r>
      <w:r w:rsidRPr="006E0A69">
        <w:t>MB, et al. ENDF/B-VII.0: Next Generation Evaluated Nuclear Data Library for Nuclear Science and Technology, Nuclear data sheets, 107, 12, 2931 (2006).</w:t>
      </w:r>
    </w:p>
    <w:p w14:paraId="38B2034B" w14:textId="77777777" w:rsidR="00AE4CD2" w:rsidRDefault="00AE4CD2" w:rsidP="00AE4CD2">
      <w:pPr>
        <w:pStyle w:val="Referencelist"/>
        <w:numPr>
          <w:ilvl w:val="0"/>
          <w:numId w:val="0"/>
        </w:numPr>
        <w:ind w:left="720"/>
      </w:pPr>
    </w:p>
    <w:p w14:paraId="7ABA0F24" w14:textId="77777777" w:rsidR="00662532" w:rsidRPr="00D26ADA" w:rsidRDefault="00662532" w:rsidP="00537496">
      <w:pPr>
        <w:pStyle w:val="BodyText"/>
        <w:ind w:firstLine="0"/>
      </w:pPr>
    </w:p>
    <w:sectPr w:rsidR="00662532" w:rsidRPr="00D26ADA"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F74D" w14:textId="77777777" w:rsidR="00DB5901" w:rsidRDefault="00DB5901">
      <w:r>
        <w:separator/>
      </w:r>
    </w:p>
  </w:endnote>
  <w:endnote w:type="continuationSeparator" w:id="0">
    <w:p w14:paraId="50360694" w14:textId="77777777" w:rsidR="00DB5901" w:rsidRDefault="00DB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FD11" w14:textId="77777777" w:rsidR="00DB5901" w:rsidRDefault="00DB5901">
      <w:r>
        <w:t>___________________________________________________________________________</w:t>
      </w:r>
    </w:p>
  </w:footnote>
  <w:footnote w:type="continuationSeparator" w:id="0">
    <w:p w14:paraId="1ED13C30" w14:textId="77777777" w:rsidR="00DB5901" w:rsidRDefault="00DB5901">
      <w:r>
        <w:t>___________________________________________________________________________</w:t>
      </w:r>
    </w:p>
  </w:footnote>
  <w:footnote w:type="continuationNotice" w:id="1">
    <w:p w14:paraId="570099B8" w14:textId="77777777" w:rsidR="00DB5901" w:rsidRDefault="00DB5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407AB86E" w:rsidR="00CF7AF3" w:rsidRDefault="00CF7AF3" w:rsidP="00CF7AF3">
    <w:pPr>
      <w:pStyle w:val="Runninghead"/>
    </w:pPr>
    <w:r>
      <w:tab/>
      <w:t>IAEA-CN-1</w:t>
    </w:r>
    <w:r w:rsidR="00AC0A5D">
      <w:t>30</w:t>
    </w:r>
    <w:r>
      <w:t>/</w:t>
    </w:r>
    <w:r w:rsidR="00AC0A5D">
      <w:t>4</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19EA5BE5" w:rsidR="00E20E70" w:rsidRDefault="00AC0A5D" w:rsidP="00B82FA5">
    <w:pPr>
      <w:pStyle w:val="Runninghead"/>
    </w:pPr>
    <w:proofErr w:type="gramStart"/>
    <w:r>
      <w:t>S.ODMAA</w:t>
    </w:r>
    <w:proofErr w:type="gramEnd"/>
    <w:r>
      <w:t xml:space="preserve">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6CB35D0"/>
    <w:multiLevelType w:val="hybridMultilevel"/>
    <w:tmpl w:val="6FD81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11"/>
  </w:num>
  <w:num w:numId="5">
    <w:abstractNumId w:val="11"/>
  </w:num>
  <w:num w:numId="6">
    <w:abstractNumId w:val="5"/>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D5537"/>
    <w:rsid w:val="000F7E94"/>
    <w:rsid w:val="001119D6"/>
    <w:rsid w:val="00126787"/>
    <w:rsid w:val="001308F2"/>
    <w:rsid w:val="001313E8"/>
    <w:rsid w:val="001C169B"/>
    <w:rsid w:val="001C58F5"/>
    <w:rsid w:val="001D5CEE"/>
    <w:rsid w:val="002071D9"/>
    <w:rsid w:val="00256822"/>
    <w:rsid w:val="0026525A"/>
    <w:rsid w:val="00274790"/>
    <w:rsid w:val="00285755"/>
    <w:rsid w:val="002A1F9C"/>
    <w:rsid w:val="002B29C2"/>
    <w:rsid w:val="002C4208"/>
    <w:rsid w:val="00352DE1"/>
    <w:rsid w:val="003728E6"/>
    <w:rsid w:val="003B5E0E"/>
    <w:rsid w:val="003D255A"/>
    <w:rsid w:val="003E7B3B"/>
    <w:rsid w:val="00416949"/>
    <w:rsid w:val="004370D8"/>
    <w:rsid w:val="00472C43"/>
    <w:rsid w:val="00537496"/>
    <w:rsid w:val="00544ED3"/>
    <w:rsid w:val="0058477B"/>
    <w:rsid w:val="0058654F"/>
    <w:rsid w:val="00596ACA"/>
    <w:rsid w:val="005E39BC"/>
    <w:rsid w:val="005F00A0"/>
    <w:rsid w:val="00647F33"/>
    <w:rsid w:val="00662532"/>
    <w:rsid w:val="006777CC"/>
    <w:rsid w:val="00694E85"/>
    <w:rsid w:val="006B2274"/>
    <w:rsid w:val="00717C6F"/>
    <w:rsid w:val="007445DA"/>
    <w:rsid w:val="00754204"/>
    <w:rsid w:val="007560C1"/>
    <w:rsid w:val="007B4FD1"/>
    <w:rsid w:val="00802381"/>
    <w:rsid w:val="00883848"/>
    <w:rsid w:val="00897ED5"/>
    <w:rsid w:val="008B6BB9"/>
    <w:rsid w:val="00911543"/>
    <w:rsid w:val="009519C9"/>
    <w:rsid w:val="009D0B86"/>
    <w:rsid w:val="009E0D5B"/>
    <w:rsid w:val="009E1558"/>
    <w:rsid w:val="00A42898"/>
    <w:rsid w:val="00AB6ACE"/>
    <w:rsid w:val="00AC0A5D"/>
    <w:rsid w:val="00AC5A3A"/>
    <w:rsid w:val="00AE4CD2"/>
    <w:rsid w:val="00AE7AAE"/>
    <w:rsid w:val="00B367CC"/>
    <w:rsid w:val="00B617DD"/>
    <w:rsid w:val="00B82FA5"/>
    <w:rsid w:val="00BD1400"/>
    <w:rsid w:val="00BD605C"/>
    <w:rsid w:val="00BE2A76"/>
    <w:rsid w:val="00C65E60"/>
    <w:rsid w:val="00CE5A52"/>
    <w:rsid w:val="00CF7AF3"/>
    <w:rsid w:val="00D26ADA"/>
    <w:rsid w:val="00D35A78"/>
    <w:rsid w:val="00D555A1"/>
    <w:rsid w:val="00D64DC2"/>
    <w:rsid w:val="00DA46CA"/>
    <w:rsid w:val="00DB5901"/>
    <w:rsid w:val="00DC382B"/>
    <w:rsid w:val="00DF21EB"/>
    <w:rsid w:val="00E20E70"/>
    <w:rsid w:val="00E25B68"/>
    <w:rsid w:val="00E71BE8"/>
    <w:rsid w:val="00E84003"/>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34"/>
    <w:qFormat/>
    <w:locked/>
    <w:rsid w:val="00AC0A5D"/>
    <w:pPr>
      <w:widowControl w:val="0"/>
      <w:overflowPunct/>
      <w:autoSpaceDE/>
      <w:autoSpaceDN/>
      <w:adjustRightInd/>
      <w:ind w:left="720"/>
      <w:contextualSpacing/>
      <w:jc w:val="both"/>
      <w:textAlignment w:val="auto"/>
    </w:pPr>
    <w:rPr>
      <w:rFonts w:asciiTheme="minorHAnsi" w:eastAsiaTheme="minorEastAsia" w:hAnsiTheme="minorHAnsi" w:cstheme="minorBidi"/>
      <w:kern w:val="2"/>
      <w:sz w:val="21"/>
      <w:szCs w:val="22"/>
      <w:lang w:val="en-US" w:eastAsia="ja-JP"/>
    </w:rPr>
  </w:style>
  <w:style w:type="character" w:styleId="Hyperlink">
    <w:name w:val="Hyperlink"/>
    <w:basedOn w:val="DefaultParagraphFont"/>
    <w:uiPriority w:val="99"/>
    <w:unhideWhenUsed/>
    <w:locked/>
    <w:rsid w:val="00AE4CD2"/>
    <w:rPr>
      <w:color w:val="0000FF" w:themeColor="hyperlink"/>
      <w:u w:val="single"/>
    </w:rPr>
  </w:style>
  <w:style w:type="character" w:styleId="PlaceholderText">
    <w:name w:val="Placeholder Text"/>
    <w:basedOn w:val="DefaultParagraphFont"/>
    <w:uiPriority w:val="99"/>
    <w:semiHidden/>
    <w:locked/>
    <w:rsid w:val="00126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1016/j.anucene.2022.109583"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69</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NewTech</cp:lastModifiedBy>
  <cp:revision>7</cp:revision>
  <cp:lastPrinted>2024-03-19T13:52:00Z</cp:lastPrinted>
  <dcterms:created xsi:type="dcterms:W3CDTF">2024-03-19T07:55:00Z</dcterms:created>
  <dcterms:modified xsi:type="dcterms:W3CDTF">2024-08-08T12:53:00Z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