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82493" w14:textId="77777777" w:rsidR="00F90832" w:rsidRPr="00DE1239" w:rsidRDefault="00F90832" w:rsidP="00537496">
      <w:pPr>
        <w:pStyle w:val="Heading1"/>
        <w:rPr>
          <w:rFonts w:hint="eastAsia"/>
          <w:lang w:val="en-GB"/>
        </w:rPr>
      </w:pPr>
      <w:r w:rsidRPr="00DE1239">
        <w:rPr>
          <w:rFonts w:hint="eastAsia"/>
          <w:lang w:val="en-GB"/>
        </w:rPr>
        <w:t xml:space="preserve">ANALYSIS SUPPORT FOR ENHANCED NUCLEAR </w:t>
      </w:r>
    </w:p>
    <w:p w14:paraId="7C5E9180" w14:textId="77777777" w:rsidR="00F90832" w:rsidRPr="00DE1239" w:rsidRDefault="00F90832" w:rsidP="00537496">
      <w:pPr>
        <w:pStyle w:val="Heading1"/>
        <w:rPr>
          <w:rFonts w:hint="eastAsia"/>
          <w:lang w:val="en-GB"/>
        </w:rPr>
      </w:pPr>
      <w:r w:rsidRPr="00DE1239">
        <w:rPr>
          <w:rFonts w:hint="eastAsia"/>
          <w:lang w:val="en-GB"/>
        </w:rPr>
        <w:t xml:space="preserve">ENERGY SUSTAINABILITY: AN INPRO SERVICE </w:t>
      </w:r>
    </w:p>
    <w:p w14:paraId="45A501F0" w14:textId="703A1E50" w:rsidR="00E20E70" w:rsidRPr="00DE1239" w:rsidRDefault="00F90832" w:rsidP="00F90832">
      <w:pPr>
        <w:pStyle w:val="Heading1"/>
        <w:rPr>
          <w:rFonts w:hint="eastAsia"/>
          <w:lang w:val="en-GB"/>
        </w:rPr>
      </w:pPr>
      <w:r w:rsidRPr="00DE1239">
        <w:rPr>
          <w:rFonts w:hint="eastAsia"/>
          <w:lang w:val="en-GB"/>
        </w:rPr>
        <w:t>TO MEMBER STATES</w:t>
      </w:r>
    </w:p>
    <w:p w14:paraId="4D1B799F" w14:textId="77777777" w:rsidR="00802381" w:rsidRPr="00DE1239" w:rsidRDefault="00802381" w:rsidP="00537496">
      <w:pPr>
        <w:pStyle w:val="Authornameandaffiliation"/>
        <w:rPr>
          <w:lang w:val="en-GB"/>
        </w:rPr>
      </w:pPr>
    </w:p>
    <w:p w14:paraId="32159D0F" w14:textId="3C5B14E2" w:rsidR="003B5E0E" w:rsidRPr="00DE1239" w:rsidRDefault="00F90832" w:rsidP="00537496">
      <w:pPr>
        <w:pStyle w:val="Authornameandaffiliation"/>
        <w:rPr>
          <w:lang w:val="en-GB"/>
        </w:rPr>
      </w:pPr>
      <w:r w:rsidRPr="00DE1239">
        <w:rPr>
          <w:lang w:val="en-GB"/>
        </w:rPr>
        <w:t>J.M.C. JOHARI</w:t>
      </w:r>
    </w:p>
    <w:p w14:paraId="02370931" w14:textId="2968A31B" w:rsidR="00FF386F" w:rsidRPr="00DE1239" w:rsidRDefault="00F90832" w:rsidP="00537496">
      <w:pPr>
        <w:pStyle w:val="Authornameandaffiliation"/>
        <w:rPr>
          <w:lang w:val="en-GB"/>
        </w:rPr>
      </w:pPr>
      <w:r w:rsidRPr="00DE1239">
        <w:rPr>
          <w:lang w:val="en-GB"/>
        </w:rPr>
        <w:t>International Atomic Energy Agency</w:t>
      </w:r>
    </w:p>
    <w:p w14:paraId="14684DE2" w14:textId="5C1C2114" w:rsidR="00FF386F" w:rsidRPr="00DE1239" w:rsidRDefault="00F90832" w:rsidP="00537496">
      <w:pPr>
        <w:pStyle w:val="Authornameandaffiliation"/>
        <w:rPr>
          <w:lang w:val="en-GB"/>
        </w:rPr>
      </w:pPr>
      <w:r w:rsidRPr="00DE1239">
        <w:rPr>
          <w:lang w:val="en-GB"/>
        </w:rPr>
        <w:t>Vienna</w:t>
      </w:r>
      <w:r w:rsidR="00FF386F" w:rsidRPr="00DE1239">
        <w:rPr>
          <w:lang w:val="en-GB"/>
        </w:rPr>
        <w:t xml:space="preserve">, </w:t>
      </w:r>
      <w:r w:rsidRPr="00DE1239">
        <w:rPr>
          <w:lang w:val="en-GB"/>
        </w:rPr>
        <w:t>Austria</w:t>
      </w:r>
    </w:p>
    <w:p w14:paraId="0080899C" w14:textId="4DD19FFE" w:rsidR="00FF386F" w:rsidRPr="00DE1239" w:rsidRDefault="00FF386F" w:rsidP="00537496">
      <w:pPr>
        <w:pStyle w:val="Authornameandaffiliation"/>
        <w:rPr>
          <w:lang w:val="en-GB"/>
        </w:rPr>
      </w:pPr>
      <w:r w:rsidRPr="00DE1239">
        <w:rPr>
          <w:lang w:val="en-GB"/>
        </w:rPr>
        <w:t xml:space="preserve">Email: </w:t>
      </w:r>
      <w:r w:rsidR="00F90832" w:rsidRPr="00DE1239">
        <w:rPr>
          <w:lang w:val="en-GB"/>
        </w:rPr>
        <w:t>J.M.C.Johari@iaea.org</w:t>
      </w:r>
    </w:p>
    <w:p w14:paraId="5E2BDA1F" w14:textId="77777777" w:rsidR="00FF386F" w:rsidRPr="00DE1239" w:rsidRDefault="00FF386F" w:rsidP="00537496">
      <w:pPr>
        <w:pStyle w:val="Authornameandaffiliation"/>
        <w:rPr>
          <w:lang w:val="en-GB"/>
        </w:rPr>
      </w:pPr>
    </w:p>
    <w:p w14:paraId="535BB6CC" w14:textId="4A5AE14C" w:rsidR="00FF386F" w:rsidRPr="00DE1239" w:rsidRDefault="00F90832" w:rsidP="00537496">
      <w:pPr>
        <w:pStyle w:val="Authornameandaffiliation"/>
        <w:rPr>
          <w:lang w:val="en-GB"/>
        </w:rPr>
      </w:pPr>
      <w:r w:rsidRPr="00DE1239">
        <w:rPr>
          <w:rStyle w:val="normaltextrun"/>
          <w:color w:val="000000"/>
          <w:bdr w:val="none" w:sz="0" w:space="0" w:color="auto" w:frame="1"/>
          <w:lang w:val="en-GB"/>
        </w:rPr>
        <w:t>V. KUZNETSOV</w:t>
      </w:r>
      <w:r w:rsidR="00985BC8" w:rsidRPr="00DE1239">
        <w:rPr>
          <w:rStyle w:val="normaltextrun"/>
          <w:color w:val="000000"/>
          <w:bdr w:val="none" w:sz="0" w:space="0" w:color="auto" w:frame="1"/>
          <w:lang w:val="en-GB"/>
        </w:rPr>
        <w:t>, G. FESENKO, A. BYCHKOV</w:t>
      </w:r>
    </w:p>
    <w:p w14:paraId="5D980831" w14:textId="21F1D33F" w:rsidR="00FF386F" w:rsidRPr="00DE1239" w:rsidRDefault="000D052F" w:rsidP="00537496">
      <w:pPr>
        <w:pStyle w:val="Authornameandaffiliation"/>
        <w:rPr>
          <w:lang w:val="en-GB"/>
        </w:rPr>
      </w:pPr>
      <w:r w:rsidRPr="00DE1239">
        <w:rPr>
          <w:lang w:val="en-GB"/>
        </w:rPr>
        <w:t>Vienna, Austria</w:t>
      </w:r>
    </w:p>
    <w:p w14:paraId="7FEED957" w14:textId="77777777" w:rsidR="00F90832" w:rsidRPr="00DE1239" w:rsidRDefault="00F90832" w:rsidP="00537496">
      <w:pPr>
        <w:pStyle w:val="Authornameandaffiliation"/>
        <w:rPr>
          <w:lang w:val="en-GB"/>
        </w:rPr>
      </w:pPr>
    </w:p>
    <w:p w14:paraId="1F5A7F12" w14:textId="07240C26" w:rsidR="00F90832" w:rsidRPr="00DE1239" w:rsidRDefault="00F90832" w:rsidP="00F90832">
      <w:pPr>
        <w:pStyle w:val="Authornameandaffiliation"/>
        <w:rPr>
          <w:lang w:val="en-GB"/>
        </w:rPr>
      </w:pPr>
      <w:r w:rsidRPr="00DE1239">
        <w:rPr>
          <w:rStyle w:val="normaltextrun"/>
          <w:color w:val="000000"/>
          <w:bdr w:val="none" w:sz="0" w:space="0" w:color="auto" w:frame="1"/>
          <w:lang w:val="en-GB"/>
        </w:rPr>
        <w:t>S. JEON</w:t>
      </w:r>
    </w:p>
    <w:p w14:paraId="70A71019" w14:textId="77777777" w:rsidR="000D052F" w:rsidRPr="00DE1239" w:rsidRDefault="000D052F" w:rsidP="000D052F">
      <w:pPr>
        <w:pStyle w:val="Authornameandaffiliation"/>
        <w:rPr>
          <w:lang w:val="en-GB"/>
        </w:rPr>
      </w:pPr>
      <w:r w:rsidRPr="00DE1239">
        <w:rPr>
          <w:lang w:val="en-GB"/>
        </w:rPr>
        <w:t>International Atomic Energy Agency</w:t>
      </w:r>
    </w:p>
    <w:p w14:paraId="084D7A53" w14:textId="54218CA9" w:rsidR="00F90832" w:rsidRPr="00DE1239" w:rsidRDefault="000D052F" w:rsidP="000D052F">
      <w:pPr>
        <w:pStyle w:val="Authornameandaffiliation"/>
        <w:rPr>
          <w:lang w:val="en-GB"/>
        </w:rPr>
      </w:pPr>
      <w:r w:rsidRPr="00DE1239">
        <w:rPr>
          <w:lang w:val="en-GB"/>
        </w:rPr>
        <w:t>Vienna, Austria</w:t>
      </w:r>
    </w:p>
    <w:p w14:paraId="2C7F19CB" w14:textId="77777777" w:rsidR="00FF386F" w:rsidRPr="00DE1239" w:rsidRDefault="00FF386F" w:rsidP="00537496">
      <w:pPr>
        <w:pStyle w:val="Authornameandaffiliation"/>
        <w:rPr>
          <w:lang w:val="en-GB"/>
        </w:rPr>
      </w:pPr>
    </w:p>
    <w:p w14:paraId="230D4575" w14:textId="77777777" w:rsidR="00647F33" w:rsidRPr="00DE1239" w:rsidRDefault="00647F33" w:rsidP="00537496">
      <w:pPr>
        <w:pStyle w:val="Authornameandaffiliation"/>
        <w:rPr>
          <w:b/>
          <w:lang w:val="en-GB"/>
        </w:rPr>
      </w:pPr>
      <w:r w:rsidRPr="00DE1239">
        <w:rPr>
          <w:b/>
          <w:lang w:val="en-GB"/>
        </w:rPr>
        <w:t>Abstract</w:t>
      </w:r>
    </w:p>
    <w:p w14:paraId="4F2E62A2" w14:textId="77777777" w:rsidR="00647F33" w:rsidRPr="00DE1239" w:rsidRDefault="00647F33" w:rsidP="00537496">
      <w:pPr>
        <w:pStyle w:val="Authornameandaffiliation"/>
        <w:rPr>
          <w:lang w:val="en-GB"/>
        </w:rPr>
      </w:pPr>
    </w:p>
    <w:p w14:paraId="49E0FF8F" w14:textId="2EF65EB4" w:rsidR="002857D1" w:rsidRPr="00DE1239" w:rsidRDefault="002857D1" w:rsidP="00715240">
      <w:pPr>
        <w:pStyle w:val="Abstracttext"/>
        <w:jc w:val="both"/>
        <w:rPr>
          <w:lang w:val="en-GB"/>
        </w:rPr>
      </w:pPr>
      <w:r w:rsidRPr="00DE1239">
        <w:rPr>
          <w:lang w:val="en-GB"/>
        </w:rPr>
        <w:t xml:space="preserve">The IAEA’s International Project on Innovative Nuclear Reactors and Fuel Cycles (INPRO) supports Member States in their long-term strategic planning for deploying sustainable nuclear energy. Over the past decade, INPRO developed methods and scientific-technical analysis tools to support modelling and analysis of nuclear energy systems, including global and regional scenarios. These analysis tools are available to Member States and come in a service package called the “Analysis Support for Enhanced Nuclear Energy Sustainability” (ASENES). </w:t>
      </w:r>
      <w:r w:rsidR="007641C0">
        <w:rPr>
          <w:lang w:val="en-GB"/>
        </w:rPr>
        <w:t xml:space="preserve">INPRO </w:t>
      </w:r>
      <w:r w:rsidRPr="00DE1239">
        <w:rPr>
          <w:lang w:val="en-GB"/>
        </w:rPr>
        <w:t>uses ASENES analyses to develop a global vision of sustainable nuclear energy in the current century and beyond. An ongoing collaborative project called ASENES-SMR, addresses sustainable deployment scenarios for small modular reactors (SMRs). This project has 14 national and regional case studies, and the support of twelve Member States. The project identified some preliminary factors for successful deployment of SMRs: improving cost competitiveness and attractiveness for investment; introducing innovations in technology; and implementing institutional arrangements. For favourable economics, there needs to be a transition from economy of scale to the economy of mass production</w:t>
      </w:r>
      <w:r w:rsidR="007F349E" w:rsidRPr="00DE1239">
        <w:rPr>
          <w:lang w:val="en-GB"/>
        </w:rPr>
        <w:t xml:space="preserve"> of reactors modules</w:t>
      </w:r>
      <w:r w:rsidRPr="00DE1239">
        <w:rPr>
          <w:lang w:val="en-GB"/>
        </w:rPr>
        <w:t>. The</w:t>
      </w:r>
      <w:r w:rsidR="001227BA" w:rsidRPr="00DE1239">
        <w:rPr>
          <w:lang w:val="en-GB"/>
        </w:rPr>
        <w:t xml:space="preserve"> studies</w:t>
      </w:r>
      <w:r w:rsidR="00D54B80">
        <w:rPr>
          <w:lang w:val="en-GB"/>
        </w:rPr>
        <w:t xml:space="preserve"> may</w:t>
      </w:r>
      <w:r w:rsidR="001227BA" w:rsidRPr="00DE1239">
        <w:rPr>
          <w:lang w:val="en-GB"/>
        </w:rPr>
        <w:t xml:space="preserve"> assist Member States </w:t>
      </w:r>
      <w:r w:rsidRPr="00DE1239">
        <w:rPr>
          <w:lang w:val="en-GB"/>
        </w:rPr>
        <w:t>in the future planning and deployment of SMRs in strategic</w:t>
      </w:r>
      <w:r w:rsidR="00BE503E" w:rsidRPr="00DE1239">
        <w:rPr>
          <w:lang w:val="en-GB"/>
        </w:rPr>
        <w:t>ally</w:t>
      </w:r>
      <w:r w:rsidRPr="00DE1239">
        <w:rPr>
          <w:lang w:val="en-GB"/>
        </w:rPr>
        <w:t xml:space="preserve"> sustainable nuclear energy systems. </w:t>
      </w:r>
    </w:p>
    <w:p w14:paraId="03C6D75B" w14:textId="77777777" w:rsidR="00647F33" w:rsidRPr="00A410D6" w:rsidRDefault="00F523CA" w:rsidP="000D3526">
      <w:pPr>
        <w:pStyle w:val="Heading2"/>
        <w:numPr>
          <w:ilvl w:val="1"/>
          <w:numId w:val="5"/>
        </w:numPr>
      </w:pPr>
      <w:r w:rsidRPr="00A410D6">
        <w:t>INTRODUCTION</w:t>
      </w:r>
    </w:p>
    <w:p w14:paraId="4487355A" w14:textId="43D81F15" w:rsidR="0071437A" w:rsidRPr="00A410D6" w:rsidRDefault="003F0984" w:rsidP="00D159FD">
      <w:pPr>
        <w:pStyle w:val="BodyText"/>
      </w:pPr>
      <w:r w:rsidRPr="00A410D6">
        <w:t xml:space="preserve">The International Atomic Energy Agency’s (IAEA’s) International Project on Innovative Nuclear Reactors and Fuel Cycles (INPRO) supports Member States in their long-term strategic planning for deploying sustainable nuclear energy. The INPRO definition of sustainable nuclear energy system builds upon the definition of sustainable development from the Brundtland Commission Report “Our Common Future” [1]: "Sustainable development is the capacity to meet the needs of the present without compromising the ability of future generations to meet their own needs". INPRO developed a methodology for </w:t>
      </w:r>
      <w:r w:rsidR="00130A0C">
        <w:t xml:space="preserve">performing a </w:t>
      </w:r>
      <w:r w:rsidRPr="00A410D6">
        <w:t>sustainability assessment of a nuclear energy system</w:t>
      </w:r>
      <w:r w:rsidR="006A4FA0">
        <w:t xml:space="preserve"> (NES)</w:t>
      </w:r>
      <w:r w:rsidRPr="00A410D6">
        <w:t xml:space="preserve"> based on a comprehensive set of internationally agreed </w:t>
      </w:r>
      <w:r w:rsidR="009A4D28">
        <w:t xml:space="preserve">upon </w:t>
      </w:r>
      <w:r w:rsidRPr="00A410D6">
        <w:t xml:space="preserve">basic principles, </w:t>
      </w:r>
      <w:proofErr w:type="gramStart"/>
      <w:r w:rsidRPr="00A410D6">
        <w:t>requirements</w:t>
      </w:r>
      <w:proofErr w:type="gramEnd"/>
      <w:r w:rsidRPr="00A410D6">
        <w:t xml:space="preserve"> and criteria in subject areas important for nuclear energy [2]. </w:t>
      </w:r>
    </w:p>
    <w:p w14:paraId="5E176F63" w14:textId="6CBC38F4" w:rsidR="00D159FD" w:rsidRPr="00A410D6" w:rsidRDefault="003F0984" w:rsidP="00B91915">
      <w:pPr>
        <w:pStyle w:val="BodyText"/>
      </w:pPr>
      <w:r w:rsidRPr="00A410D6">
        <w:t xml:space="preserve">In </w:t>
      </w:r>
      <w:r w:rsidR="00955C6D" w:rsidRPr="00A410D6">
        <w:t xml:space="preserve">the framework of </w:t>
      </w:r>
      <w:r w:rsidRPr="00A410D6">
        <w:t>INPRO</w:t>
      </w:r>
      <w:r w:rsidR="00955C6D" w:rsidRPr="00A410D6">
        <w:t xml:space="preserve"> activities, </w:t>
      </w:r>
      <w:r w:rsidRPr="00A410D6">
        <w:t>global and regional nuclear energy evolution scenarios are being developed and analy</w:t>
      </w:r>
      <w:r w:rsidR="00726ABC">
        <w:t>s</w:t>
      </w:r>
      <w:r w:rsidRPr="00A410D6">
        <w:t>ed, using developed scientific-technical analysis tools</w:t>
      </w:r>
      <w:r w:rsidR="006F1CBB">
        <w:t xml:space="preserve">. </w:t>
      </w:r>
      <w:r w:rsidR="00902EFD">
        <w:t xml:space="preserve">The </w:t>
      </w:r>
      <w:r w:rsidR="00DA1E3B">
        <w:t xml:space="preserve">efforts </w:t>
      </w:r>
      <w:r w:rsidRPr="00A410D6">
        <w:t xml:space="preserve">altogether </w:t>
      </w:r>
      <w:r w:rsidR="00902EFD">
        <w:t xml:space="preserve">are </w:t>
      </w:r>
      <w:r w:rsidR="0031216A">
        <w:t xml:space="preserve">envisaged </w:t>
      </w:r>
      <w:r w:rsidR="00902EFD">
        <w:t xml:space="preserve">to </w:t>
      </w:r>
      <w:r w:rsidRPr="00A410D6">
        <w:t xml:space="preserve">lead to a global vision of sustainable nuclear energy development in the current century and beyond. Over the past decade </w:t>
      </w:r>
      <w:r w:rsidR="004F11F4">
        <w:t>INPRO</w:t>
      </w:r>
      <w:r w:rsidRPr="00A410D6">
        <w:t xml:space="preserve"> successfully implemented </w:t>
      </w:r>
      <w:proofErr w:type="gramStart"/>
      <w:r w:rsidRPr="00A410D6">
        <w:t>a number of</w:t>
      </w:r>
      <w:proofErr w:type="gramEnd"/>
      <w:r w:rsidRPr="00A410D6">
        <w:t xml:space="preserve"> collaborative </w:t>
      </w:r>
      <w:r w:rsidR="00955C6D" w:rsidRPr="00A410D6">
        <w:t>studies</w:t>
      </w:r>
      <w:r w:rsidRPr="00A410D6">
        <w:t xml:space="preserve"> with broad participation of </w:t>
      </w:r>
      <w:r w:rsidR="00D56485" w:rsidRPr="00A410D6">
        <w:t xml:space="preserve">INPRO </w:t>
      </w:r>
      <w:r w:rsidRPr="00A410D6">
        <w:t>Member States</w:t>
      </w:r>
      <w:r w:rsidR="00C82822">
        <w:t xml:space="preserve"> [3-7]</w:t>
      </w:r>
      <w:r w:rsidRPr="00A410D6">
        <w:t xml:space="preserve">. Some important outputs of the projects are </w:t>
      </w:r>
      <w:r w:rsidR="00C16EFD">
        <w:t xml:space="preserve">the development of </w:t>
      </w:r>
      <w:r w:rsidRPr="00A410D6">
        <w:t xml:space="preserve">methods and software tools to achieve the project goals, </w:t>
      </w:r>
      <w:r w:rsidR="007F37BA">
        <w:t xml:space="preserve">including </w:t>
      </w:r>
      <w:r w:rsidRPr="00A410D6">
        <w:t>recommendations on their use and examples of their application in case studies</w:t>
      </w:r>
      <w:r w:rsidR="00B91915">
        <w:t xml:space="preserve">. </w:t>
      </w:r>
      <w:r w:rsidR="00F21DCB" w:rsidRPr="00DE1239">
        <w:t xml:space="preserve">These analysis </w:t>
      </w:r>
      <w:r w:rsidR="00546E73">
        <w:t xml:space="preserve">methods and </w:t>
      </w:r>
      <w:r w:rsidR="00F21DCB" w:rsidRPr="00DE1239">
        <w:t>tools are available to Member States and come in a service package called the “Analysis Support for Enhanced Nuclear Energy Sustainability” (ASENES)</w:t>
      </w:r>
      <w:r w:rsidR="00F7504B">
        <w:t xml:space="preserve"> [8]</w:t>
      </w:r>
      <w:r w:rsidR="00F50D7F">
        <w:t>;</w:t>
      </w:r>
      <w:r w:rsidR="001D0EAD">
        <w:t xml:space="preserve"> </w:t>
      </w:r>
      <w:r w:rsidR="00F50D7F">
        <w:t xml:space="preserve">when new tools become </w:t>
      </w:r>
      <w:r w:rsidR="00F04D50">
        <w:t>available,</w:t>
      </w:r>
      <w:r w:rsidR="00F50D7F">
        <w:t xml:space="preserve"> they are added </w:t>
      </w:r>
      <w:r w:rsidR="004120D1">
        <w:t xml:space="preserve">to the </w:t>
      </w:r>
      <w:r w:rsidR="00F50D7F">
        <w:t xml:space="preserve">ASENES service </w:t>
      </w:r>
      <w:r w:rsidR="004120D1">
        <w:t xml:space="preserve">package </w:t>
      </w:r>
      <w:r w:rsidR="00B91915">
        <w:t>[9]</w:t>
      </w:r>
      <w:r w:rsidR="001D0EAD">
        <w:t>.</w:t>
      </w:r>
    </w:p>
    <w:p w14:paraId="652A0BD4" w14:textId="37200D37" w:rsidR="00717345" w:rsidRPr="00A410D6" w:rsidRDefault="000B0D3F" w:rsidP="00717345">
      <w:pPr>
        <w:pStyle w:val="BodyText"/>
      </w:pPr>
      <w:r w:rsidRPr="00A410D6">
        <w:t xml:space="preserve">In 2021 INPRO launched the ASENES pilot study on sustainable deployment scenarios for small modular reactors (ASENES SMR) as a collaborative project. </w:t>
      </w:r>
      <w:r w:rsidR="00F3070C">
        <w:t>The</w:t>
      </w:r>
      <w:r w:rsidR="00BB39E6">
        <w:t xml:space="preserve"> project</w:t>
      </w:r>
      <w:r w:rsidR="00F3070C">
        <w:t xml:space="preserve"> currently</w:t>
      </w:r>
      <w:r w:rsidR="00BB39E6">
        <w:t xml:space="preserve"> has</w:t>
      </w:r>
      <w:r w:rsidRPr="00A410D6">
        <w:t xml:space="preserve"> 12 Member States </w:t>
      </w:r>
      <w:r w:rsidR="00DA729A">
        <w:t>performing</w:t>
      </w:r>
      <w:r w:rsidR="00BB39E6">
        <w:t xml:space="preserve"> </w:t>
      </w:r>
      <w:r w:rsidRPr="00A410D6">
        <w:t>14 national and regional case studies.</w:t>
      </w:r>
      <w:r w:rsidRPr="00A410D6">
        <w:rPr>
          <w:rFonts w:eastAsia="Calibri"/>
        </w:rPr>
        <w:t xml:space="preserve"> </w:t>
      </w:r>
      <w:r w:rsidR="00DA729A">
        <w:rPr>
          <w:rFonts w:eastAsia="Calibri"/>
        </w:rPr>
        <w:t>In 2024 work is on</w:t>
      </w:r>
      <w:r w:rsidR="00DA729A" w:rsidRPr="00A410D6">
        <w:rPr>
          <w:rFonts w:eastAsia="Calibri"/>
        </w:rPr>
        <w:t xml:space="preserve"> </w:t>
      </w:r>
      <w:r w:rsidRPr="00A410D6">
        <w:t>draft</w:t>
      </w:r>
      <w:r w:rsidR="00383DFD">
        <w:t>ing the</w:t>
      </w:r>
      <w:r w:rsidRPr="00A410D6">
        <w:t xml:space="preserve"> final report.</w:t>
      </w:r>
    </w:p>
    <w:p w14:paraId="74CD1556" w14:textId="54DFE46D" w:rsidR="00E25B68" w:rsidRDefault="00F73D98" w:rsidP="00DE1239">
      <w:pPr>
        <w:pStyle w:val="Heading2"/>
        <w:keepNext/>
        <w:numPr>
          <w:ilvl w:val="1"/>
          <w:numId w:val="5"/>
        </w:numPr>
      </w:pPr>
      <w:r w:rsidRPr="00A410D6">
        <w:lastRenderedPageBreak/>
        <w:t>Elements of ASENES Service</w:t>
      </w:r>
      <w:r w:rsidR="00030363">
        <w:t xml:space="preserve"> Package</w:t>
      </w:r>
    </w:p>
    <w:p w14:paraId="56F9D4B2" w14:textId="44947B68" w:rsidR="00513924" w:rsidRPr="00513924" w:rsidRDefault="00030363" w:rsidP="00DE1239">
      <w:pPr>
        <w:pStyle w:val="BodyText"/>
      </w:pPr>
      <w:r w:rsidRPr="00A410D6">
        <w:t>The ASENES service package</w:t>
      </w:r>
      <w:r w:rsidR="00771043">
        <w:t xml:space="preserve"> </w:t>
      </w:r>
      <w:r w:rsidR="008B7383" w:rsidRPr="00A410D6">
        <w:t>[8]</w:t>
      </w:r>
      <w:r w:rsidR="003F006C">
        <w:t xml:space="preserve"> </w:t>
      </w:r>
      <w:r w:rsidR="008B7383" w:rsidRPr="00A410D6">
        <w:t>facilitate</w:t>
      </w:r>
      <w:r w:rsidR="005640AD">
        <w:t>s</w:t>
      </w:r>
      <w:r w:rsidR="008B7383" w:rsidRPr="00A410D6">
        <w:t xml:space="preserve"> capacity building in Member States</w:t>
      </w:r>
      <w:r w:rsidR="005640AD">
        <w:t>. The package supports</w:t>
      </w:r>
      <w:r w:rsidR="008B7383" w:rsidRPr="00A410D6">
        <w:t xml:space="preserve"> strengthening the competence and skills of national experts to </w:t>
      </w:r>
      <w:r w:rsidR="00AE4769">
        <w:t>analyse</w:t>
      </w:r>
      <w:r w:rsidR="008B7383" w:rsidRPr="00A410D6">
        <w:t xml:space="preserve"> alternative nuclear energy evolution scenarios and collaborative arrangements, and to develop strategic plans </w:t>
      </w:r>
      <w:r w:rsidR="002E1CE6">
        <w:t>for</w:t>
      </w:r>
      <w:r w:rsidR="008B7383" w:rsidRPr="00A410D6">
        <w:t xml:space="preserve"> deployment of sustainable nuclear energy. </w:t>
      </w:r>
      <w:r w:rsidR="00F50D7F">
        <w:t>The</w:t>
      </w:r>
      <w:r w:rsidR="008B7383" w:rsidRPr="00A410D6">
        <w:t xml:space="preserve"> ASENES </w:t>
      </w:r>
      <w:r w:rsidR="003D0E50">
        <w:t xml:space="preserve">package </w:t>
      </w:r>
      <w:r w:rsidR="008B7383" w:rsidRPr="00A410D6">
        <w:t xml:space="preserve">is a vehicle for implementation of INPRO collaborative studies, such as </w:t>
      </w:r>
      <w:r w:rsidR="008B7383">
        <w:t xml:space="preserve">those </w:t>
      </w:r>
      <w:r w:rsidR="008B7383" w:rsidRPr="00A410D6">
        <w:t xml:space="preserve">related to deployment scenarios and analysis for sustainability, and comparison of different energy systems. ASENES could effectively complement or be complemented </w:t>
      </w:r>
      <w:r w:rsidR="00F77A1D">
        <w:t>by</w:t>
      </w:r>
      <w:r w:rsidR="008B7383" w:rsidRPr="00A410D6">
        <w:t xml:space="preserve"> other methods and tools.</w:t>
      </w:r>
      <w:r w:rsidR="00982274">
        <w:t xml:space="preserve"> </w:t>
      </w:r>
      <w:r w:rsidR="00513924">
        <w:t>There are several</w:t>
      </w:r>
      <w:r w:rsidR="00760ECB">
        <w:t xml:space="preserve"> elements in the ASENES service package</w:t>
      </w:r>
      <w:r w:rsidR="00F77A1D">
        <w:t xml:space="preserve"> </w:t>
      </w:r>
      <w:r w:rsidR="00760ECB">
        <w:t>highlight</w:t>
      </w:r>
      <w:r w:rsidR="00F50D7F">
        <w:t>ed</w:t>
      </w:r>
      <w:r w:rsidR="00760ECB">
        <w:t xml:space="preserve"> </w:t>
      </w:r>
      <w:r w:rsidR="00F77A1D">
        <w:t>below</w:t>
      </w:r>
      <w:r w:rsidR="00760ECB">
        <w:t xml:space="preserve">. </w:t>
      </w:r>
    </w:p>
    <w:p w14:paraId="4D3B5A89" w14:textId="38F6434A" w:rsidR="00F73D98" w:rsidRPr="00A410D6" w:rsidRDefault="003B07C7" w:rsidP="00F73D98">
      <w:pPr>
        <w:pStyle w:val="Heading3"/>
      </w:pPr>
      <w:r>
        <w:t xml:space="preserve">Modelling </w:t>
      </w:r>
      <w:r w:rsidR="0098753A">
        <w:t xml:space="preserve">Nuclear Energy System </w:t>
      </w:r>
      <w:r w:rsidR="00BA20A6">
        <w:t xml:space="preserve">(NES) </w:t>
      </w:r>
      <w:r w:rsidR="0098753A">
        <w:t xml:space="preserve">with </w:t>
      </w:r>
      <w:r w:rsidR="005531EF" w:rsidRPr="00A410D6">
        <w:t xml:space="preserve">Model of Energy Supply Strategy Alternatives and their General Environmental Impacts </w:t>
      </w:r>
      <w:r w:rsidR="0027036C">
        <w:t>(</w:t>
      </w:r>
      <w:r w:rsidR="00F73D98" w:rsidRPr="00A410D6">
        <w:t>MESSAGE</w:t>
      </w:r>
      <w:r w:rsidR="0027036C">
        <w:t>)</w:t>
      </w:r>
      <w:r w:rsidR="008644E0">
        <w:t xml:space="preserve"> (MESSAGE-NES)</w:t>
      </w:r>
    </w:p>
    <w:p w14:paraId="22963FAE" w14:textId="7D0F3AC1" w:rsidR="00513FBE" w:rsidRPr="00A410D6" w:rsidRDefault="00513FBE" w:rsidP="00513FBE">
      <w:pPr>
        <w:pStyle w:val="BodyText"/>
      </w:pPr>
      <w:r w:rsidRPr="00A410D6">
        <w:t xml:space="preserve">The IAEA </w:t>
      </w:r>
      <w:r w:rsidR="003E2237" w:rsidRPr="00A410D6">
        <w:t xml:space="preserve">Nuclear Energy (NE) Department </w:t>
      </w:r>
      <w:r w:rsidRPr="00A410D6">
        <w:t>adapted the MESSAGE model and software tool [</w:t>
      </w:r>
      <w:r w:rsidR="004E060C" w:rsidRPr="00A410D6">
        <w:t>10</w:t>
      </w:r>
      <w:r w:rsidRPr="00A410D6">
        <w:t>] for modelling material flows in the evolution scenarios of complex NESs considering their specific technical features [</w:t>
      </w:r>
      <w:r w:rsidR="004E060C" w:rsidRPr="00A410D6">
        <w:t>11</w:t>
      </w:r>
      <w:r w:rsidRPr="00A410D6">
        <w:t>].</w:t>
      </w:r>
      <w:r w:rsidR="00BD12F7" w:rsidRPr="00A410D6">
        <w:t xml:space="preserve"> </w:t>
      </w:r>
      <w:r w:rsidRPr="00A410D6">
        <w:t xml:space="preserve">The MESSAGE </w:t>
      </w:r>
      <w:r w:rsidR="0012736A">
        <w:t>tool i</w:t>
      </w:r>
      <w:r w:rsidR="0027036C">
        <w:t>s</w:t>
      </w:r>
      <w:r w:rsidRPr="00A410D6">
        <w:t xml:space="preserve"> a system engineering optimization model for medium- and long-term energy system planning, energy policy and scenario development.</w:t>
      </w:r>
      <w:r w:rsidR="00BD12F7" w:rsidRPr="00A410D6">
        <w:t xml:space="preserve"> </w:t>
      </w:r>
      <w:r w:rsidR="00426103">
        <w:t>It</w:t>
      </w:r>
      <w:r w:rsidR="00426103" w:rsidRPr="00A410D6">
        <w:t xml:space="preserve"> </w:t>
      </w:r>
      <w:r w:rsidRPr="00A410D6">
        <w:t xml:space="preserve">can act as a convenient platform for modelling material flows in complex systems involving multiple NESs of countries with different </w:t>
      </w:r>
      <w:r w:rsidR="00F50D7F" w:rsidRPr="00A410D6">
        <w:t xml:space="preserve">nuclear fuel cycle </w:t>
      </w:r>
      <w:r w:rsidRPr="00A410D6">
        <w:t xml:space="preserve">policies and can </w:t>
      </w:r>
      <w:r w:rsidR="00590D67">
        <w:t>account for</w:t>
      </w:r>
      <w:r w:rsidRPr="00A410D6">
        <w:t xml:space="preserve"> collaboration (nuclear trade) among countries in any fuel cycle stage or stages. Extension of the MESSAGE capabilities for such modelling was documented in </w:t>
      </w:r>
      <w:r w:rsidR="00AE320D">
        <w:t xml:space="preserve">the publication </w:t>
      </w:r>
      <w:r w:rsidR="00AE320D" w:rsidRPr="00A410D6">
        <w:t xml:space="preserve">Modelling Nuclear Energy Systems with MESSAGE: A Users’ Guide </w:t>
      </w:r>
      <w:r w:rsidRPr="00A410D6">
        <w:t>[</w:t>
      </w:r>
      <w:r w:rsidR="004E060C" w:rsidRPr="00A410D6">
        <w:t>11</w:t>
      </w:r>
      <w:r w:rsidRPr="00A410D6">
        <w:t>]</w:t>
      </w:r>
      <w:r w:rsidR="0092123A">
        <w:t xml:space="preserve">; </w:t>
      </w:r>
      <w:r w:rsidR="003728BA">
        <w:t>with</w:t>
      </w:r>
      <w:r w:rsidRPr="00A410D6">
        <w:t xml:space="preserve"> the corresponding model name MESSAGE-NES. The MESSAGE-NES </w:t>
      </w:r>
      <w:r w:rsidR="000354BC" w:rsidRPr="00A410D6">
        <w:t xml:space="preserve">capability </w:t>
      </w:r>
      <w:r w:rsidRPr="00A410D6">
        <w:t>appears unique as most of the material flow analysis codes available worldwide can model only a single NES, be it national, regional</w:t>
      </w:r>
      <w:r w:rsidR="008D61BB">
        <w:t>,</w:t>
      </w:r>
      <w:r w:rsidRPr="00A410D6">
        <w:t xml:space="preserve"> or global.</w:t>
      </w:r>
    </w:p>
    <w:p w14:paraId="2E7201BE" w14:textId="4C4DE943" w:rsidR="0058635D" w:rsidRPr="00A410D6" w:rsidRDefault="00513FBE" w:rsidP="00047C1A">
      <w:pPr>
        <w:pStyle w:val="BodyText"/>
      </w:pPr>
      <w:r w:rsidRPr="00A410D6">
        <w:t xml:space="preserve">The MESSAGE-NES </w:t>
      </w:r>
      <w:r w:rsidR="003728BA">
        <w:t>u</w:t>
      </w:r>
      <w:r w:rsidRPr="00A410D6">
        <w:t xml:space="preserve">ser’s </w:t>
      </w:r>
      <w:r w:rsidR="003728BA">
        <w:t>g</w:t>
      </w:r>
      <w:r w:rsidRPr="00A410D6">
        <w:t>uide [</w:t>
      </w:r>
      <w:r w:rsidR="004E060C" w:rsidRPr="00A410D6">
        <w:t>11</w:t>
      </w:r>
      <w:r w:rsidRPr="00A410D6">
        <w:t xml:space="preserve">] includes guidance on building mathematical models for dynamic mass flow calculations, preparing input data for </w:t>
      </w:r>
      <w:r w:rsidR="00FD3A5B">
        <w:t>a</w:t>
      </w:r>
      <w:r w:rsidR="00FD3A5B" w:rsidRPr="00A410D6">
        <w:t xml:space="preserve"> </w:t>
      </w:r>
      <w:r w:rsidRPr="00A410D6">
        <w:t>variety of facilities, and addressing the specifics of NES modelling with MESSAGE</w:t>
      </w:r>
      <w:r w:rsidR="00620D9E" w:rsidRPr="00A410D6">
        <w:t xml:space="preserve"> as well as </w:t>
      </w:r>
      <w:r w:rsidR="00D9533E">
        <w:t xml:space="preserve">an </w:t>
      </w:r>
      <w:r w:rsidR="00620D9E" w:rsidRPr="00A410D6">
        <w:t xml:space="preserve">explanation of </w:t>
      </w:r>
      <w:r w:rsidRPr="00A410D6">
        <w:t>outputs.</w:t>
      </w:r>
      <w:r w:rsidR="00463A84" w:rsidRPr="00A410D6">
        <w:t xml:space="preserve"> </w:t>
      </w:r>
      <w:r w:rsidRPr="00A410D6">
        <w:t xml:space="preserve">Users can modify the </w:t>
      </w:r>
      <w:r w:rsidR="00AB1883">
        <w:t xml:space="preserve">NES </w:t>
      </w:r>
      <w:r w:rsidRPr="00A410D6">
        <w:t xml:space="preserve">models described in </w:t>
      </w:r>
      <w:r w:rsidR="00AB1883">
        <w:t xml:space="preserve">the guide </w:t>
      </w:r>
      <w:r w:rsidRPr="00A410D6">
        <w:t>[</w:t>
      </w:r>
      <w:r w:rsidR="004E060C" w:rsidRPr="00A410D6">
        <w:t>11</w:t>
      </w:r>
      <w:r w:rsidRPr="00A410D6">
        <w:t xml:space="preserve">] by adopting a different nuclear fuel cycle modelling approach. </w:t>
      </w:r>
      <w:r w:rsidR="004E03D2">
        <w:t xml:space="preserve">Users </w:t>
      </w:r>
      <w:r w:rsidR="00F50D7F">
        <w:t xml:space="preserve">can </w:t>
      </w:r>
      <w:r w:rsidR="000C4C29">
        <w:t>create</w:t>
      </w:r>
      <w:r w:rsidR="004E03D2">
        <w:t xml:space="preserve"> a</w:t>
      </w:r>
      <w:r w:rsidRPr="00A410D6">
        <w:t xml:space="preserve"> heterogeneous world model with several country groups pursuing different polic</w:t>
      </w:r>
      <w:r w:rsidR="00005DC9">
        <w:t>ies</w:t>
      </w:r>
      <w:r w:rsidRPr="00A410D6">
        <w:t xml:space="preserve"> in fuel cycle back-end [</w:t>
      </w:r>
      <w:r w:rsidR="00FE0F01" w:rsidRPr="00A410D6">
        <w:t>3</w:t>
      </w:r>
      <w:r w:rsidRPr="00A410D6">
        <w:t>].</w:t>
      </w:r>
      <w:r w:rsidR="004D3BF3">
        <w:t xml:space="preserve"> </w:t>
      </w:r>
      <w:r w:rsidR="00CB1B0C">
        <w:t>T</w:t>
      </w:r>
      <w:r w:rsidR="00AD40EB">
        <w:t xml:space="preserve">here are many examples of the application </w:t>
      </w:r>
      <w:r w:rsidR="001D5FAA">
        <w:t xml:space="preserve">of MESSAGE-NES </w:t>
      </w:r>
      <w:r w:rsidR="001D5FAA" w:rsidRPr="00A410D6">
        <w:t>[12]</w:t>
      </w:r>
      <w:r w:rsidR="001D5FAA">
        <w:t xml:space="preserve"> and</w:t>
      </w:r>
      <w:r w:rsidR="001D5FAA" w:rsidRPr="001D5FAA">
        <w:t xml:space="preserve"> </w:t>
      </w:r>
      <w:r w:rsidR="001D5FAA" w:rsidRPr="00A410D6">
        <w:t>results of cross-verification with several material flow analysis codes available worldwide</w:t>
      </w:r>
      <w:r w:rsidR="001D5FAA">
        <w:t xml:space="preserve"> </w:t>
      </w:r>
      <w:r w:rsidR="001D5FAA" w:rsidRPr="00A410D6">
        <w:t>[3]</w:t>
      </w:r>
      <w:r w:rsidR="001D5FAA">
        <w:t>.</w:t>
      </w:r>
      <w:r w:rsidR="007246C1">
        <w:t xml:space="preserve"> </w:t>
      </w:r>
    </w:p>
    <w:p w14:paraId="15C257E3" w14:textId="6F88B779" w:rsidR="00513FBE" w:rsidRPr="00A410D6" w:rsidRDefault="001D5FAA" w:rsidP="00513FBE">
      <w:pPr>
        <w:pStyle w:val="Heading3"/>
      </w:pPr>
      <w:r w:rsidRPr="00A410D6">
        <w:t xml:space="preserve">Key Indicators for Innovative Nuclear Energy Systems </w:t>
      </w:r>
      <w:r w:rsidR="001D4CF9">
        <w:t>(</w:t>
      </w:r>
      <w:r w:rsidR="00513FBE" w:rsidRPr="00A410D6">
        <w:t>KIND-ET</w:t>
      </w:r>
      <w:r w:rsidR="001D4CF9">
        <w:t>)</w:t>
      </w:r>
    </w:p>
    <w:p w14:paraId="50202450" w14:textId="073BE283" w:rsidR="00513FBE" w:rsidRPr="00A410D6" w:rsidRDefault="00513FBE" w:rsidP="00513FBE">
      <w:pPr>
        <w:pStyle w:val="BodyText"/>
      </w:pPr>
      <w:r w:rsidRPr="00A410D6">
        <w:t xml:space="preserve">INPRO adapted and elaborated the </w:t>
      </w:r>
      <w:r w:rsidR="00A578E0" w:rsidRPr="00A410D6">
        <w:t>multi criteria decision analysis (</w:t>
      </w:r>
      <w:r w:rsidRPr="00A410D6">
        <w:t>MCDA</w:t>
      </w:r>
      <w:r w:rsidR="00A578E0" w:rsidRPr="00A410D6">
        <w:t>)</w:t>
      </w:r>
      <w:r w:rsidRPr="00A410D6">
        <w:t xml:space="preserve"> methods of judgment aggregation and uncertainty analysis to enable effective comparative evaluation of NES or nuclear energy evolution scenario</w:t>
      </w:r>
      <w:r w:rsidR="002D3B0D">
        <w:t xml:space="preserve"> option</w:t>
      </w:r>
      <w:r w:rsidRPr="00A410D6">
        <w:t>s.</w:t>
      </w:r>
      <w:r w:rsidR="001A3C98">
        <w:t xml:space="preserve"> The effort</w:t>
      </w:r>
      <w:r w:rsidR="000B446E">
        <w:t>s</w:t>
      </w:r>
      <w:r w:rsidR="001A3C98">
        <w:t xml:space="preserve"> </w:t>
      </w:r>
      <w:proofErr w:type="gramStart"/>
      <w:r w:rsidR="001A3C98">
        <w:t>took into account</w:t>
      </w:r>
      <w:proofErr w:type="gramEnd"/>
      <w:r w:rsidR="001A3C98">
        <w:t xml:space="preserve"> best practices in multi criteria decision making application and the most significant recent findings in decision support making.</w:t>
      </w:r>
    </w:p>
    <w:p w14:paraId="7C1E002E" w14:textId="55E72A2F" w:rsidR="00513FBE" w:rsidRPr="00A410D6" w:rsidRDefault="00513FBE" w:rsidP="00513FBE">
      <w:pPr>
        <w:pStyle w:val="BodyText"/>
      </w:pPr>
      <w:r w:rsidRPr="00A410D6">
        <w:t>The theoretical basis and mathematical foundation for comparative evaluation of NES</w:t>
      </w:r>
      <w:r w:rsidR="00A04C77">
        <w:t xml:space="preserve"> </w:t>
      </w:r>
      <w:r w:rsidRPr="00A410D6">
        <w:t xml:space="preserve">evolution scenarios was developed within the INPRO </w:t>
      </w:r>
      <w:r w:rsidR="00E50A30" w:rsidRPr="00A410D6">
        <w:t>activity</w:t>
      </w:r>
      <w:r w:rsidRPr="00A410D6">
        <w:t xml:space="preserve"> KIND [</w:t>
      </w:r>
      <w:r w:rsidR="00012884" w:rsidRPr="00A410D6">
        <w:t>5</w:t>
      </w:r>
      <w:r w:rsidRPr="00A410D6">
        <w:t xml:space="preserve">, </w:t>
      </w:r>
      <w:r w:rsidR="00012884" w:rsidRPr="00A410D6">
        <w:t>6</w:t>
      </w:r>
      <w:r w:rsidRPr="00A410D6">
        <w:t>]. The state</w:t>
      </w:r>
      <w:r w:rsidR="001D4CF9">
        <w:t xml:space="preserve"> </w:t>
      </w:r>
      <w:r w:rsidRPr="00A410D6">
        <w:t>of</w:t>
      </w:r>
      <w:r w:rsidR="001D4CF9">
        <w:t xml:space="preserve"> </w:t>
      </w:r>
      <w:r w:rsidRPr="00A410D6">
        <w:t xml:space="preserve">art methods of expert judgement aggregation and uncertainty analysis </w:t>
      </w:r>
      <w:r w:rsidR="00257A71">
        <w:t>were</w:t>
      </w:r>
      <w:r w:rsidRPr="00A410D6">
        <w:t xml:space="preserve"> carefully analy</w:t>
      </w:r>
      <w:r w:rsidR="00257A71">
        <w:t>s</w:t>
      </w:r>
      <w:r w:rsidRPr="00A410D6">
        <w:t>ed, cross-verified and adapted to enable effective comparative evaluation of options</w:t>
      </w:r>
      <w:r w:rsidR="00E24F42">
        <w:t xml:space="preserve"> or </w:t>
      </w:r>
      <w:r w:rsidRPr="00A410D6">
        <w:t>scenarios. Among</w:t>
      </w:r>
      <w:r w:rsidR="00677478">
        <w:t>st</w:t>
      </w:r>
      <w:r w:rsidRPr="00A410D6">
        <w:t xml:space="preserve"> MCDA methods</w:t>
      </w:r>
      <w:r w:rsidR="00895CCC">
        <w:t>,</w:t>
      </w:r>
      <w:r w:rsidRPr="00A410D6">
        <w:t xml:space="preserve"> </w:t>
      </w:r>
      <w:r w:rsidR="00677478" w:rsidRPr="00A410D6">
        <w:t xml:space="preserve">INPRO </w:t>
      </w:r>
      <w:r w:rsidR="00677478">
        <w:t xml:space="preserve">selected </w:t>
      </w:r>
      <w:r w:rsidRPr="00A410D6">
        <w:t xml:space="preserve">the multi-attribute value theory (MAVT) </w:t>
      </w:r>
      <w:r w:rsidR="00677478">
        <w:t>for its</w:t>
      </w:r>
      <w:r w:rsidRPr="00A410D6">
        <w:t xml:space="preserve"> application to a wide range of decision-making problems </w:t>
      </w:r>
      <w:proofErr w:type="gramStart"/>
      <w:r w:rsidRPr="00A410D6">
        <w:t>in the area of</w:t>
      </w:r>
      <w:proofErr w:type="gramEnd"/>
      <w:r w:rsidRPr="00A410D6">
        <w:t xml:space="preserve"> multi-criteria comparative evaluation of nuclear reactors, related fuel cycles and NESs.</w:t>
      </w:r>
    </w:p>
    <w:p w14:paraId="25F9CCDD" w14:textId="4F28C7EB" w:rsidR="00513FBE" w:rsidRPr="00A410D6" w:rsidRDefault="00513FBE" w:rsidP="00513FBE">
      <w:pPr>
        <w:pStyle w:val="BodyText"/>
      </w:pPr>
      <w:r w:rsidRPr="00A410D6">
        <w:t xml:space="preserve">The approach developed by INPRO (hereafter, the KIND approach) provides a means of analysis for the hierarchy objective tree with </w:t>
      </w:r>
      <w:r w:rsidR="00F327A1">
        <w:t xml:space="preserve">a </w:t>
      </w:r>
      <w:r w:rsidRPr="00A410D6">
        <w:t>defined set of alternatives [</w:t>
      </w:r>
      <w:r w:rsidR="00FC1F2F" w:rsidRPr="00A410D6">
        <w:t>5</w:t>
      </w:r>
      <w:r w:rsidRPr="00A410D6">
        <w:t>]</w:t>
      </w:r>
      <w:r w:rsidR="003B00C1" w:rsidRPr="00A410D6">
        <w:t xml:space="preserve"> (</w:t>
      </w:r>
      <w:r w:rsidRPr="00A410D6">
        <w:t xml:space="preserve">Fig. </w:t>
      </w:r>
      <w:r w:rsidR="005663D4" w:rsidRPr="00A410D6">
        <w:t>2</w:t>
      </w:r>
      <w:r w:rsidR="003B00C1" w:rsidRPr="00A410D6">
        <w:t>)</w:t>
      </w:r>
      <w:r w:rsidRPr="00A410D6">
        <w:t>. The objective tree structure facilitates aggregation in multi-level modelling of the evaluation process</w:t>
      </w:r>
      <w:r w:rsidR="00857C1E">
        <w:t>;</w:t>
      </w:r>
      <w:r w:rsidR="00405FCC">
        <w:t xml:space="preserve"> </w:t>
      </w:r>
      <w:r w:rsidR="001630D7">
        <w:t xml:space="preserve">the structure </w:t>
      </w:r>
      <w:r w:rsidRPr="00A410D6">
        <w:t xml:space="preserve">is elaborated before </w:t>
      </w:r>
      <w:r w:rsidR="00857C1E">
        <w:t xml:space="preserve">doing the </w:t>
      </w:r>
      <w:r w:rsidRPr="00A410D6">
        <w:t xml:space="preserve">multi-criteria comparative evaluation. </w:t>
      </w:r>
      <w:r w:rsidR="00E9535F">
        <w:t>E</w:t>
      </w:r>
      <w:r w:rsidR="00E9535F" w:rsidRPr="00A410D6">
        <w:t xml:space="preserve">xperts </w:t>
      </w:r>
      <w:r w:rsidR="00E9535F">
        <w:t>perform t</w:t>
      </w:r>
      <w:r w:rsidRPr="00A410D6">
        <w:t xml:space="preserve">he aggregation of tree components (from right to left in Fig. </w:t>
      </w:r>
      <w:r w:rsidR="005663D4" w:rsidRPr="00A410D6">
        <w:t>2</w:t>
      </w:r>
      <w:r w:rsidRPr="00A410D6">
        <w:t xml:space="preserve">) </w:t>
      </w:r>
      <w:r w:rsidR="006B5A0C">
        <w:t>and define</w:t>
      </w:r>
      <w:r w:rsidRPr="00A410D6">
        <w:t xml:space="preserve"> weights at the key indicator level</w:t>
      </w:r>
      <w:r w:rsidR="00053BB2">
        <w:t>.</w:t>
      </w:r>
      <w:r w:rsidRPr="00A410D6">
        <w:t xml:space="preserve"> </w:t>
      </w:r>
      <w:r w:rsidR="008D73FF">
        <w:t>W</w:t>
      </w:r>
      <w:r w:rsidRPr="00A410D6">
        <w:t>hile</w:t>
      </w:r>
      <w:r w:rsidR="008D73FF">
        <w:t xml:space="preserve"> decision makers are </w:t>
      </w:r>
      <w:r w:rsidR="00565D1B">
        <w:t>involved</w:t>
      </w:r>
      <w:r w:rsidRPr="00A410D6">
        <w:t xml:space="preserve"> at the </w:t>
      </w:r>
      <w:r w:rsidR="00353EA5">
        <w:t xml:space="preserve">higher </w:t>
      </w:r>
      <w:r w:rsidRPr="00A410D6">
        <w:t>levels</w:t>
      </w:r>
      <w:r w:rsidR="00254646">
        <w:t>, i.e.</w:t>
      </w:r>
      <w:r w:rsidR="00857C1E">
        <w:t>,</w:t>
      </w:r>
      <w:r w:rsidRPr="00A410D6">
        <w:t xml:space="preserve"> ‘Evaluation areas’ and ‘High-level objectives. Thus, the KIND approach serves the objective of establishing a productive dialogue between energy-option proponents and decision makers regarding preferences for sustainable energy options.</w:t>
      </w:r>
    </w:p>
    <w:p w14:paraId="30AC1DDD" w14:textId="16183ED1" w:rsidR="00222173" w:rsidRDefault="00857C1E" w:rsidP="00A072DC">
      <w:pPr>
        <w:pStyle w:val="BodyText"/>
        <w:spacing w:after="240"/>
        <w:contextualSpacing w:val="0"/>
      </w:pPr>
      <w:r>
        <w:t>INPRO published a g</w:t>
      </w:r>
      <w:r w:rsidR="00513FBE" w:rsidRPr="00A410D6">
        <w:t>eneric guidance on a problem</w:t>
      </w:r>
      <w:r w:rsidR="00960F01" w:rsidRPr="00A410D6">
        <w:t>-</w:t>
      </w:r>
      <w:r w:rsidR="00513FBE" w:rsidRPr="00A410D6">
        <w:t>tailored set of key and secondary indicators to make best possible use of the MCDA theory potential for comparative evaluation of NES/scenario options [</w:t>
      </w:r>
      <w:r w:rsidR="00FC1F2F" w:rsidRPr="00A410D6">
        <w:t>5</w:t>
      </w:r>
      <w:r w:rsidR="00513FBE" w:rsidRPr="00A410D6">
        <w:t xml:space="preserve">]. </w:t>
      </w:r>
      <w:r>
        <w:t>Further developments led to a</w:t>
      </w:r>
      <w:r w:rsidR="00513FBE" w:rsidRPr="00A410D6">
        <w:t xml:space="preserve"> decision support software tool named KIND-Evaluation Tool (KIND-ET) </w:t>
      </w:r>
      <w:r>
        <w:t>that</w:t>
      </w:r>
      <w:r w:rsidR="00513FBE" w:rsidRPr="00A410D6">
        <w:t xml:space="preserve"> support</w:t>
      </w:r>
      <w:r>
        <w:t>s</w:t>
      </w:r>
      <w:r w:rsidR="00513FBE" w:rsidRPr="00A410D6">
        <w:t xml:space="preserve"> </w:t>
      </w:r>
      <w:r w:rsidR="00513FBE" w:rsidRPr="00A410D6">
        <w:lastRenderedPageBreak/>
        <w:t>applications of KIND in comparative evaluation problems [</w:t>
      </w:r>
      <w:r w:rsidR="00FC1F2F" w:rsidRPr="00A410D6">
        <w:t>5</w:t>
      </w:r>
      <w:r w:rsidR="00513FBE" w:rsidRPr="00A410D6">
        <w:t>,</w:t>
      </w:r>
      <w:r w:rsidR="00FC1F2F" w:rsidRPr="00A410D6">
        <w:t>6</w:t>
      </w:r>
      <w:r w:rsidR="00513FBE" w:rsidRPr="00A410D6">
        <w:t>,</w:t>
      </w:r>
      <w:r w:rsidR="001833C3" w:rsidRPr="00A410D6">
        <w:t>8</w:t>
      </w:r>
      <w:r w:rsidR="00513FBE" w:rsidRPr="00A410D6">
        <w:t xml:space="preserve">]. KIND-ET architecture and functional capabilities, </w:t>
      </w:r>
      <w:r>
        <w:t xml:space="preserve">based as an </w:t>
      </w:r>
      <w:r w:rsidRPr="00A410D6">
        <w:t>Excel template</w:t>
      </w:r>
      <w:r>
        <w:t xml:space="preserve">, </w:t>
      </w:r>
      <w:r w:rsidR="00513FBE" w:rsidRPr="00A410D6">
        <w:t>may be easily modified by users.</w:t>
      </w:r>
      <w:r w:rsidR="007E3797" w:rsidRPr="00A410D6">
        <w:t xml:space="preserve"> </w:t>
      </w:r>
      <w:r w:rsidR="00222173" w:rsidRPr="00A410D6">
        <w:t>The KIND-ET was verified with numerical examples by means of comparison with the calculations based on commercial decision-making software [</w:t>
      </w:r>
      <w:r w:rsidR="001833C3" w:rsidRPr="00A410D6">
        <w:t>5</w:t>
      </w:r>
      <w:r w:rsidR="00222173" w:rsidRPr="00A410D6">
        <w:t>]. Report</w:t>
      </w:r>
      <w:r w:rsidR="006A6D25" w:rsidRPr="00A410D6">
        <w:t>s</w:t>
      </w:r>
      <w:r w:rsidR="00222173" w:rsidRPr="00A410D6">
        <w:t xml:space="preserve"> [</w:t>
      </w:r>
      <w:r w:rsidR="001833C3" w:rsidRPr="00A410D6">
        <w:t>5</w:t>
      </w:r>
      <w:r w:rsidR="006A6D25" w:rsidRPr="00A410D6">
        <w:t>,</w:t>
      </w:r>
      <w:r w:rsidR="001833C3" w:rsidRPr="00A410D6">
        <w:t>6</w:t>
      </w:r>
      <w:r w:rsidR="00222173" w:rsidRPr="00A410D6">
        <w:t xml:space="preserve">] contain </w:t>
      </w:r>
      <w:r w:rsidR="006A6D25" w:rsidRPr="00A410D6">
        <w:t>multiple</w:t>
      </w:r>
      <w:r w:rsidR="00222173" w:rsidRPr="00A410D6">
        <w:t xml:space="preserve"> examples of KIND-ET application to comparative evaluation problems for NESs and scenarios. </w:t>
      </w:r>
      <w:r>
        <w:t xml:space="preserve">Figure 3 shows the </w:t>
      </w:r>
      <w:r w:rsidRPr="00A410D6">
        <w:t xml:space="preserve">output for 5 hypothetical </w:t>
      </w:r>
      <w:proofErr w:type="gramStart"/>
      <w:r w:rsidRPr="00A410D6">
        <w:t>NESs</w:t>
      </w:r>
      <w:proofErr w:type="gramEnd"/>
      <w:r w:rsidRPr="00A410D6" w:rsidDel="00857C1E">
        <w:t xml:space="preserve"> </w:t>
      </w:r>
      <w:r>
        <w:t>from</w:t>
      </w:r>
      <w:r w:rsidR="007E3797" w:rsidRPr="00A410D6">
        <w:t xml:space="preserve"> KIND-ET.</w:t>
      </w:r>
    </w:p>
    <w:tbl>
      <w:tblPr>
        <w:tblStyle w:val="TableGrid"/>
        <w:tblW w:w="0" w:type="auto"/>
        <w:tblLook w:val="04A0" w:firstRow="1" w:lastRow="0" w:firstColumn="1" w:lastColumn="0" w:noHBand="0" w:noVBand="1"/>
      </w:tblPr>
      <w:tblGrid>
        <w:gridCol w:w="4350"/>
        <w:gridCol w:w="4677"/>
      </w:tblGrid>
      <w:tr w:rsidR="008F3D72" w:rsidRPr="00A410D6" w14:paraId="7F987F37" w14:textId="77777777" w:rsidTr="00F26031">
        <w:tc>
          <w:tcPr>
            <w:tcW w:w="4508" w:type="dxa"/>
            <w:tcBorders>
              <w:top w:val="nil"/>
              <w:left w:val="nil"/>
              <w:bottom w:val="nil"/>
              <w:right w:val="nil"/>
            </w:tcBorders>
          </w:tcPr>
          <w:p w14:paraId="0AA14D24" w14:textId="77777777" w:rsidR="008F3D72" w:rsidRPr="00A410D6" w:rsidRDefault="008F3D72" w:rsidP="00F26031">
            <w:pPr>
              <w:pStyle w:val="BodyText"/>
              <w:ind w:firstLine="0"/>
              <w:jc w:val="center"/>
              <w:rPr>
                <w:sz w:val="22"/>
                <w:szCs w:val="22"/>
              </w:rPr>
            </w:pPr>
            <w:r w:rsidRPr="008C7708">
              <w:rPr>
                <w:noProof/>
                <w:sz w:val="22"/>
                <w:szCs w:val="22"/>
              </w:rPr>
              <w:drawing>
                <wp:inline distT="0" distB="0" distL="0" distR="0" wp14:anchorId="79E10C85" wp14:editId="49AA414D">
                  <wp:extent cx="2639612" cy="278361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75" r="-1"/>
                          <a:stretch/>
                        </pic:blipFill>
                        <pic:spPr bwMode="auto">
                          <a:xfrm>
                            <a:off x="0" y="0"/>
                            <a:ext cx="2639612" cy="278361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9" w:type="dxa"/>
            <w:tcBorders>
              <w:top w:val="nil"/>
              <w:left w:val="nil"/>
              <w:bottom w:val="nil"/>
              <w:right w:val="nil"/>
            </w:tcBorders>
            <w:vAlign w:val="center"/>
          </w:tcPr>
          <w:p w14:paraId="69190317" w14:textId="77777777" w:rsidR="008F3D72" w:rsidRPr="00A410D6" w:rsidRDefault="008F3D72" w:rsidP="00F26031">
            <w:pPr>
              <w:pStyle w:val="BodyText"/>
              <w:ind w:firstLine="0"/>
              <w:jc w:val="center"/>
              <w:rPr>
                <w:sz w:val="22"/>
                <w:szCs w:val="22"/>
              </w:rPr>
            </w:pPr>
            <w:r w:rsidRPr="008C7708">
              <w:rPr>
                <w:noProof/>
                <w:sz w:val="22"/>
                <w:szCs w:val="22"/>
              </w:rPr>
              <w:drawing>
                <wp:inline distT="0" distB="0" distL="0" distR="0" wp14:anchorId="239811E6" wp14:editId="1BF35FC0">
                  <wp:extent cx="2851872" cy="1844427"/>
                  <wp:effectExtent l="0" t="0" r="571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1872" cy="1844427"/>
                          </a:xfrm>
                          <a:prstGeom prst="rect">
                            <a:avLst/>
                          </a:prstGeom>
                          <a:noFill/>
                        </pic:spPr>
                      </pic:pic>
                    </a:graphicData>
                  </a:graphic>
                </wp:inline>
              </w:drawing>
            </w:r>
          </w:p>
        </w:tc>
      </w:tr>
      <w:tr w:rsidR="008F3D72" w:rsidRPr="00A410D6" w14:paraId="4D596769" w14:textId="77777777" w:rsidTr="00F26031">
        <w:tc>
          <w:tcPr>
            <w:tcW w:w="4508" w:type="dxa"/>
            <w:tcBorders>
              <w:top w:val="nil"/>
              <w:left w:val="nil"/>
              <w:bottom w:val="nil"/>
              <w:right w:val="nil"/>
            </w:tcBorders>
          </w:tcPr>
          <w:p w14:paraId="18555679" w14:textId="04535D38" w:rsidR="008F3D72" w:rsidRPr="00A410D6" w:rsidRDefault="008F3D72" w:rsidP="00F26031">
            <w:pPr>
              <w:pStyle w:val="BodyText"/>
              <w:ind w:firstLine="0"/>
              <w:jc w:val="left"/>
              <w:rPr>
                <w:sz w:val="22"/>
                <w:szCs w:val="22"/>
              </w:rPr>
            </w:pPr>
            <w:r w:rsidRPr="00A410D6">
              <w:rPr>
                <w:i/>
                <w:iCs/>
                <w:sz w:val="18"/>
                <w:szCs w:val="18"/>
              </w:rPr>
              <w:t>F</w:t>
            </w:r>
            <w:r w:rsidR="00AC14C6">
              <w:rPr>
                <w:i/>
                <w:iCs/>
                <w:sz w:val="18"/>
                <w:szCs w:val="18"/>
              </w:rPr>
              <w:t>IG</w:t>
            </w:r>
            <w:r w:rsidRPr="00A410D6">
              <w:rPr>
                <w:i/>
                <w:iCs/>
                <w:sz w:val="18"/>
                <w:szCs w:val="18"/>
              </w:rPr>
              <w:t>. 2. Possible schematics of the objective tree [</w:t>
            </w:r>
            <w:r w:rsidR="001833C3" w:rsidRPr="00A410D6">
              <w:rPr>
                <w:i/>
                <w:iCs/>
                <w:sz w:val="18"/>
                <w:szCs w:val="18"/>
              </w:rPr>
              <w:t>5</w:t>
            </w:r>
            <w:r w:rsidRPr="00A410D6">
              <w:rPr>
                <w:i/>
                <w:iCs/>
                <w:sz w:val="18"/>
                <w:szCs w:val="18"/>
              </w:rPr>
              <w:t>].</w:t>
            </w:r>
          </w:p>
        </w:tc>
        <w:tc>
          <w:tcPr>
            <w:tcW w:w="4509" w:type="dxa"/>
            <w:tcBorders>
              <w:top w:val="nil"/>
              <w:left w:val="nil"/>
              <w:bottom w:val="nil"/>
              <w:right w:val="nil"/>
            </w:tcBorders>
          </w:tcPr>
          <w:p w14:paraId="1CE30C3E" w14:textId="0D2BE88A" w:rsidR="008F3D72" w:rsidRPr="00A410D6" w:rsidRDefault="008F3D72" w:rsidP="00F26031">
            <w:pPr>
              <w:pStyle w:val="BodyText"/>
              <w:ind w:firstLine="0"/>
              <w:rPr>
                <w:sz w:val="22"/>
                <w:szCs w:val="22"/>
              </w:rPr>
            </w:pPr>
            <w:r w:rsidRPr="00A410D6">
              <w:rPr>
                <w:i/>
                <w:iCs/>
                <w:sz w:val="18"/>
                <w:szCs w:val="18"/>
              </w:rPr>
              <w:t>F</w:t>
            </w:r>
            <w:r w:rsidR="00245123">
              <w:rPr>
                <w:i/>
                <w:iCs/>
                <w:sz w:val="18"/>
                <w:szCs w:val="18"/>
              </w:rPr>
              <w:t>IG</w:t>
            </w:r>
            <w:r w:rsidRPr="00A410D6">
              <w:rPr>
                <w:i/>
                <w:iCs/>
                <w:sz w:val="18"/>
                <w:szCs w:val="18"/>
              </w:rPr>
              <w:t>. 3. Presentation of outputs in KIND-ET (example) [</w:t>
            </w:r>
            <w:r w:rsidR="001833C3" w:rsidRPr="00A410D6">
              <w:rPr>
                <w:i/>
                <w:iCs/>
                <w:sz w:val="18"/>
                <w:szCs w:val="18"/>
              </w:rPr>
              <w:t>5</w:t>
            </w:r>
            <w:r w:rsidRPr="00A410D6">
              <w:rPr>
                <w:i/>
                <w:iCs/>
                <w:sz w:val="18"/>
                <w:szCs w:val="18"/>
              </w:rPr>
              <w:t>].</w:t>
            </w:r>
          </w:p>
        </w:tc>
      </w:tr>
    </w:tbl>
    <w:p w14:paraId="79F1BED9" w14:textId="21E750E6" w:rsidR="00513FBE" w:rsidRPr="00A410D6" w:rsidRDefault="00513FBE" w:rsidP="00513FBE">
      <w:pPr>
        <w:pStyle w:val="Heading3"/>
      </w:pPr>
      <w:r w:rsidRPr="00A410D6">
        <w:t>NESA economics support tool (NEST)</w:t>
      </w:r>
    </w:p>
    <w:p w14:paraId="0B6B847E" w14:textId="71A0A5C3" w:rsidR="00513FBE" w:rsidRPr="00A410D6" w:rsidRDefault="00AE0526" w:rsidP="00A072DC">
      <w:pPr>
        <w:pStyle w:val="BodyText"/>
        <w:spacing w:after="120"/>
        <w:contextualSpacing w:val="0"/>
      </w:pPr>
      <w:r>
        <w:t xml:space="preserve">INPRO </w:t>
      </w:r>
      <w:r w:rsidRPr="00A410D6">
        <w:t xml:space="preserve">originally developed </w:t>
      </w:r>
      <w:r>
        <w:t xml:space="preserve">the </w:t>
      </w:r>
      <w:r w:rsidR="00464067">
        <w:t>Nuclear Energy System Assessment (</w:t>
      </w:r>
      <w:r>
        <w:t>NESA</w:t>
      </w:r>
      <w:r w:rsidR="00464067">
        <w:t>)</w:t>
      </w:r>
      <w:r w:rsidR="00513FBE" w:rsidRPr="00A410D6">
        <w:t xml:space="preserve"> Economics Support Tool (NEST) to support </w:t>
      </w:r>
      <w:r w:rsidR="00C80C4A">
        <w:t xml:space="preserve">the economics </w:t>
      </w:r>
      <w:r w:rsidR="00513FBE" w:rsidRPr="00A410D6">
        <w:t>sustainability assessment [2</w:t>
      </w:r>
      <w:r w:rsidR="00337B67">
        <w:t>,13</w:t>
      </w:r>
      <w:r w:rsidR="00513FBE" w:rsidRPr="00A410D6">
        <w:t>]. Based on a set of economic and technical inputs for a reactor and the associated fuel cycle, NEST calculate</w:t>
      </w:r>
      <w:r w:rsidR="00E7491B">
        <w:t>s</w:t>
      </w:r>
      <w:r w:rsidR="00513FBE" w:rsidRPr="00A410D6">
        <w:t xml:space="preserve"> the economic functionals</w:t>
      </w:r>
      <w:r w:rsidR="008B6AA9">
        <w:t xml:space="preserve"> </w:t>
      </w:r>
      <w:r w:rsidR="008B6AA9" w:rsidRPr="00A410D6">
        <w:t>[13]</w:t>
      </w:r>
      <w:r w:rsidR="00513FBE" w:rsidRPr="00A410D6">
        <w:t xml:space="preserve"> including LUEC (levelized unit energy cost), IRR (internal rate of return), ROI (return on investment), NPV (net present value) and total investment. At the time of NEST development</w:t>
      </w:r>
      <w:r w:rsidR="00DD2BDB">
        <w:t xml:space="preserve"> there were</w:t>
      </w:r>
      <w:r w:rsidR="00513FBE" w:rsidRPr="00A410D6">
        <w:t xml:space="preserve"> collaboration</w:t>
      </w:r>
      <w:r w:rsidR="00DD2BDB">
        <w:t>s</w:t>
      </w:r>
      <w:r w:rsidR="00513FBE" w:rsidRPr="00A410D6">
        <w:t xml:space="preserve"> between IAEA INPRO </w:t>
      </w:r>
      <w:r w:rsidR="00513FBE" w:rsidRPr="00277BCF">
        <w:t xml:space="preserve">and the </w:t>
      </w:r>
      <w:r w:rsidR="00277BCF" w:rsidRPr="00A072DC">
        <w:rPr>
          <w:color w:val="4D5156"/>
          <w:shd w:val="clear" w:color="auto" w:fill="FFFFFF"/>
        </w:rPr>
        <w:t>Generation IV International Forum (</w:t>
      </w:r>
      <w:r w:rsidR="00513FBE" w:rsidRPr="00277BCF">
        <w:t>GIF</w:t>
      </w:r>
      <w:r w:rsidR="00277BCF">
        <w:t>)</w:t>
      </w:r>
      <w:r w:rsidR="00513FBE" w:rsidRPr="00277BCF">
        <w:t xml:space="preserve"> Economic Methodology Working Group (EMWG), which included the benchmark</w:t>
      </w:r>
      <w:r w:rsidR="0004072D">
        <w:t>ing</w:t>
      </w:r>
      <w:r w:rsidR="00513FBE" w:rsidRPr="00277BCF">
        <w:t xml:space="preserve"> between the G4-ECONS (the GIF economics model) and NEST. </w:t>
      </w:r>
      <w:r w:rsidR="004433AD">
        <w:t>There was e</w:t>
      </w:r>
      <w:r w:rsidR="00513FBE" w:rsidRPr="00277BCF">
        <w:t xml:space="preserve">xcellent agreement between the codes </w:t>
      </w:r>
      <w:r w:rsidR="0004072D">
        <w:t xml:space="preserve">when </w:t>
      </w:r>
      <w:r w:rsidR="00513FBE" w:rsidRPr="00277BCF">
        <w:t>perform</w:t>
      </w:r>
      <w:r w:rsidR="0004072D">
        <w:t>ing</w:t>
      </w:r>
      <w:r w:rsidR="00513FBE" w:rsidRPr="00277BCF">
        <w:t xml:space="preserve"> the same types of calculations</w:t>
      </w:r>
      <w:r w:rsidR="00513FBE" w:rsidRPr="00A410D6">
        <w:t xml:space="preserve"> [14].</w:t>
      </w:r>
      <w:r w:rsidR="00143563" w:rsidRPr="00A410D6">
        <w:t xml:space="preserve"> </w:t>
      </w:r>
      <w:r w:rsidR="0038118B">
        <w:t xml:space="preserve">Later, </w:t>
      </w:r>
      <w:r w:rsidR="0004072D">
        <w:t xml:space="preserve">expanded </w:t>
      </w:r>
      <w:r w:rsidR="00513FBE" w:rsidRPr="00A410D6">
        <w:t xml:space="preserve">NEST </w:t>
      </w:r>
      <w:r w:rsidR="005708B3">
        <w:t xml:space="preserve">capabilities </w:t>
      </w:r>
      <w:r w:rsidR="00513FBE" w:rsidRPr="00A410D6">
        <w:t>ma</w:t>
      </w:r>
      <w:r w:rsidR="0004072D">
        <w:t>de</w:t>
      </w:r>
      <w:r w:rsidR="00513FBE" w:rsidRPr="00A410D6">
        <w:t xml:space="preserve"> it possible to compare economic functionals and their components for different nuclear technologies and NESs</w:t>
      </w:r>
      <w:r w:rsidR="00E67622" w:rsidRPr="00A410D6">
        <w:t xml:space="preserve"> (Fig. 4)</w:t>
      </w:r>
      <w:r w:rsidR="00513FBE" w:rsidRPr="00A410D6">
        <w:t xml:space="preserve">. </w:t>
      </w:r>
    </w:p>
    <w:p w14:paraId="17A92227" w14:textId="77777777" w:rsidR="0058035A" w:rsidRPr="00A410D6" w:rsidRDefault="0058035A" w:rsidP="00D22F72">
      <w:pPr>
        <w:pStyle w:val="BodyText"/>
        <w:ind w:firstLine="0"/>
        <w:jc w:val="center"/>
        <w:rPr>
          <w:sz w:val="22"/>
          <w:szCs w:val="22"/>
        </w:rPr>
      </w:pPr>
      <w:r w:rsidRPr="008C7708">
        <w:rPr>
          <w:noProof/>
          <w:sz w:val="22"/>
          <w:szCs w:val="22"/>
        </w:rPr>
        <w:drawing>
          <wp:inline distT="0" distB="0" distL="0" distR="0" wp14:anchorId="036C4578" wp14:editId="6094565B">
            <wp:extent cx="3230812" cy="2012472"/>
            <wp:effectExtent l="0" t="0" r="8255"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t="1940" b="4542"/>
                    <a:stretch/>
                  </pic:blipFill>
                  <pic:spPr bwMode="auto">
                    <a:xfrm>
                      <a:off x="0" y="0"/>
                      <a:ext cx="3230880" cy="2012514"/>
                    </a:xfrm>
                    <a:prstGeom prst="rect">
                      <a:avLst/>
                    </a:prstGeom>
                    <a:noFill/>
                    <a:ln>
                      <a:noFill/>
                    </a:ln>
                    <a:extLst>
                      <a:ext uri="{53640926-AAD7-44D8-BBD7-CCE9431645EC}">
                        <a14:shadowObscured xmlns:a14="http://schemas.microsoft.com/office/drawing/2010/main"/>
                      </a:ext>
                    </a:extLst>
                  </pic:spPr>
                </pic:pic>
              </a:graphicData>
            </a:graphic>
          </wp:inline>
        </w:drawing>
      </w:r>
    </w:p>
    <w:p w14:paraId="71BADFB0" w14:textId="637D8691" w:rsidR="0058035A" w:rsidRDefault="0058035A" w:rsidP="00D22F72">
      <w:pPr>
        <w:pStyle w:val="BodyText"/>
        <w:ind w:firstLine="0"/>
        <w:rPr>
          <w:sz w:val="18"/>
          <w:szCs w:val="18"/>
        </w:rPr>
      </w:pPr>
      <w:r w:rsidRPr="00A410D6">
        <w:rPr>
          <w:i/>
          <w:iCs/>
          <w:sz w:val="18"/>
          <w:szCs w:val="18"/>
        </w:rPr>
        <w:t>F</w:t>
      </w:r>
      <w:r w:rsidR="00245123">
        <w:rPr>
          <w:i/>
          <w:iCs/>
          <w:sz w:val="18"/>
          <w:szCs w:val="18"/>
        </w:rPr>
        <w:t>IG</w:t>
      </w:r>
      <w:r w:rsidRPr="00A410D6">
        <w:rPr>
          <w:i/>
          <w:iCs/>
          <w:sz w:val="18"/>
          <w:szCs w:val="18"/>
        </w:rPr>
        <w:t>. 4. Economic optimization of uranium enrichment tails assay for a PWR (example of NEST application for analysis) [</w:t>
      </w:r>
      <w:r w:rsidR="005A32AA" w:rsidRPr="00A410D6">
        <w:rPr>
          <w:i/>
          <w:iCs/>
          <w:sz w:val="18"/>
          <w:szCs w:val="18"/>
        </w:rPr>
        <w:t>15</w:t>
      </w:r>
      <w:r w:rsidRPr="00A410D6">
        <w:rPr>
          <w:i/>
          <w:iCs/>
          <w:sz w:val="18"/>
          <w:szCs w:val="18"/>
        </w:rPr>
        <w:t>]</w:t>
      </w:r>
      <w:r w:rsidRPr="00A410D6">
        <w:rPr>
          <w:sz w:val="18"/>
          <w:szCs w:val="18"/>
        </w:rPr>
        <w:t>.</w:t>
      </w:r>
    </w:p>
    <w:p w14:paraId="154E145C" w14:textId="77777777" w:rsidR="00AD0038" w:rsidRDefault="00AD0038" w:rsidP="00A072DC">
      <w:pPr>
        <w:pStyle w:val="BodyText"/>
      </w:pPr>
    </w:p>
    <w:p w14:paraId="6ACB481A" w14:textId="3C3ACBD6" w:rsidR="008D53AB" w:rsidRPr="00A410D6" w:rsidRDefault="008D53AB" w:rsidP="00A072DC">
      <w:pPr>
        <w:pStyle w:val="BodyText"/>
      </w:pPr>
      <w:r>
        <w:t>A</w:t>
      </w:r>
      <w:r w:rsidR="0004072D">
        <w:t xml:space="preserve"> later</w:t>
      </w:r>
      <w:r>
        <w:t xml:space="preserve"> </w:t>
      </w:r>
      <w:r w:rsidR="00E74096" w:rsidRPr="00A410D6">
        <w:t xml:space="preserve">IAEA </w:t>
      </w:r>
      <w:r>
        <w:t>publication</w:t>
      </w:r>
      <w:r w:rsidRPr="00A410D6">
        <w:t xml:space="preserve"> highlights essential aspects of </w:t>
      </w:r>
      <w:r w:rsidR="0004072D">
        <w:t xml:space="preserve">conducting </w:t>
      </w:r>
      <w:r>
        <w:t>e</w:t>
      </w:r>
      <w:r w:rsidRPr="00A410D6">
        <w:t>conomic</w:t>
      </w:r>
      <w:r>
        <w:t xml:space="preserve"> analysis</w:t>
      </w:r>
      <w:r w:rsidR="0004072D">
        <w:t xml:space="preserve"> in alternative NES</w:t>
      </w:r>
      <w:r w:rsidRPr="00A410D6">
        <w:t>, such as system effects, environmental and external costs, and macroeconomic impacts</w:t>
      </w:r>
      <w:r>
        <w:t>.</w:t>
      </w:r>
      <w:r w:rsidRPr="00A410D6">
        <w:t xml:space="preserve"> The </w:t>
      </w:r>
      <w:r>
        <w:t>publication</w:t>
      </w:r>
      <w:r w:rsidRPr="00A410D6">
        <w:t xml:space="preserve"> also </w:t>
      </w:r>
      <w:r w:rsidRPr="00A410D6">
        <w:lastRenderedPageBreak/>
        <w:t xml:space="preserve">explains the limits in applying economic evaluation approaches: “The projects implemented at different timesteps and aimed to serve the specific needs of a </w:t>
      </w:r>
      <w:r w:rsidR="00CB5BC3">
        <w:t>NES</w:t>
      </w:r>
      <w:r w:rsidRPr="00A410D6">
        <w:t xml:space="preserve"> (for example, fast breeder reactors) are not to be directly compared with other projects within the same NES based on just economic indicators and criteria. However, an economic evaluation of the complete proposed NES can be performed” [15]</w:t>
      </w:r>
      <w:r w:rsidR="0004072D">
        <w:t>; meaning all economic aspects should be include when comparing NES and potential alternatives</w:t>
      </w:r>
      <w:r w:rsidR="00D7168A">
        <w:t>.</w:t>
      </w:r>
    </w:p>
    <w:p w14:paraId="411638EB" w14:textId="39A3A621" w:rsidR="00513FBE" w:rsidRPr="00A410D6" w:rsidRDefault="00923AA6" w:rsidP="00D00281">
      <w:pPr>
        <w:pStyle w:val="Heading3"/>
        <w:jc w:val="both"/>
      </w:pPr>
      <w:r w:rsidRPr="00A410D6">
        <w:t>Roadmaps for a Transition to Globally Sustainable Nuclear Energy Systems</w:t>
      </w:r>
      <w:r w:rsidR="00176DB2">
        <w:t xml:space="preserve"> (</w:t>
      </w:r>
      <w:r w:rsidR="00513FBE" w:rsidRPr="00A410D6">
        <w:t>ROADMAPS</w:t>
      </w:r>
      <w:r w:rsidR="00176DB2">
        <w:t>)</w:t>
      </w:r>
    </w:p>
    <w:p w14:paraId="32D4B225" w14:textId="0CC07890" w:rsidR="00513FBE" w:rsidRPr="00A410D6" w:rsidRDefault="00513FBE" w:rsidP="00513FBE">
      <w:pPr>
        <w:pStyle w:val="BodyText"/>
      </w:pPr>
      <w:r w:rsidRPr="00A410D6">
        <w:t xml:space="preserve">INPRO integrated the findings of the INPRO methodology for NES sustainability assessment [2] and in the INPRO </w:t>
      </w:r>
      <w:r w:rsidR="00E50A30" w:rsidRPr="00A410D6">
        <w:t>activitie</w:t>
      </w:r>
      <w:r w:rsidRPr="00A410D6">
        <w:t>s [</w:t>
      </w:r>
      <w:r w:rsidR="005A32AA" w:rsidRPr="00A410D6">
        <w:t>3-6</w:t>
      </w:r>
      <w:r w:rsidRPr="00A410D6">
        <w:t xml:space="preserve">] to develop </w:t>
      </w:r>
      <w:r w:rsidR="0004072D">
        <w:t xml:space="preserve">the </w:t>
      </w:r>
      <w:r w:rsidR="00F21ED8">
        <w:t>ROADMAPS tool</w:t>
      </w:r>
      <w:r w:rsidR="005C7F07" w:rsidRPr="00A410D6">
        <w:t xml:space="preserve">. The </w:t>
      </w:r>
      <w:r w:rsidR="00D93C52">
        <w:t>ROADMAP</w:t>
      </w:r>
      <w:r w:rsidR="007105A5">
        <w:t xml:space="preserve"> </w:t>
      </w:r>
      <w:r w:rsidR="005C7F07" w:rsidRPr="00A410D6">
        <w:t>template</w:t>
      </w:r>
      <w:r w:rsidRPr="00A410D6">
        <w:t xml:space="preserve"> represents a structured approach for achieving globally sustainable nuclear energy, providing models for international cooperation and framework</w:t>
      </w:r>
      <w:r w:rsidR="00B77B2C">
        <w:t>s</w:t>
      </w:r>
      <w:r w:rsidRPr="00A410D6">
        <w:t xml:space="preserve"> for documenting actions, scope of work, and timeframes for specific collaborative efforts by stakeholders [</w:t>
      </w:r>
      <w:r w:rsidR="00E661F9" w:rsidRPr="00A410D6">
        <w:t>7</w:t>
      </w:r>
      <w:r w:rsidRPr="00A410D6">
        <w:t xml:space="preserve">]. The template is intended for country-level roadmaps, which </w:t>
      </w:r>
      <w:r w:rsidR="000F028D">
        <w:t xml:space="preserve">one could </w:t>
      </w:r>
      <w:r w:rsidR="00003AF0">
        <w:t>later</w:t>
      </w:r>
      <w:r w:rsidRPr="00A410D6">
        <w:t xml:space="preserve"> combine. </w:t>
      </w:r>
      <w:r w:rsidR="000F028D">
        <w:t>The tool</w:t>
      </w:r>
      <w:r w:rsidR="000F028D" w:rsidRPr="00A410D6">
        <w:t xml:space="preserve"> </w:t>
      </w:r>
      <w:r w:rsidRPr="00A410D6">
        <w:t>allows consider</w:t>
      </w:r>
      <w:r w:rsidR="000F028D">
        <w:t>ation of</w:t>
      </w:r>
      <w:r w:rsidRPr="00A410D6">
        <w:t xml:space="preserve"> all factors important </w:t>
      </w:r>
      <w:r w:rsidR="00296EF3">
        <w:t>to</w:t>
      </w:r>
      <w:r w:rsidR="00296EF3" w:rsidRPr="00A410D6">
        <w:t xml:space="preserve"> </w:t>
      </w:r>
      <w:r w:rsidRPr="00A410D6">
        <w:t xml:space="preserve">enhancing nuclear energy sustainability related to both, innovations in technology with changes in policy, and increased collaboration (nuclear trade) among countries. In other words, the </w:t>
      </w:r>
      <w:r w:rsidR="00296EF3">
        <w:t xml:space="preserve">design of the </w:t>
      </w:r>
      <w:r w:rsidRPr="00A410D6">
        <w:t>template support</w:t>
      </w:r>
      <w:r w:rsidR="00504A49">
        <w:t>s</w:t>
      </w:r>
      <w:r w:rsidRPr="00A410D6">
        <w:t xml:space="preserve"> long term </w:t>
      </w:r>
      <w:r w:rsidR="004B3721" w:rsidRPr="00A410D6">
        <w:t xml:space="preserve">sustainable </w:t>
      </w:r>
      <w:r w:rsidRPr="00A410D6">
        <w:t>nuclear energy planning.</w:t>
      </w:r>
    </w:p>
    <w:p w14:paraId="24C30EC2" w14:textId="2EEDD06E" w:rsidR="00513FBE" w:rsidRPr="00A410D6" w:rsidRDefault="00513FBE" w:rsidP="00513FBE">
      <w:pPr>
        <w:pStyle w:val="BodyText"/>
      </w:pPr>
      <w:r w:rsidRPr="00A410D6">
        <w:t xml:space="preserve">The </w:t>
      </w:r>
      <w:r w:rsidR="004B6E87" w:rsidRPr="00A410D6">
        <w:t xml:space="preserve">ROADMAP </w:t>
      </w:r>
      <w:r w:rsidRPr="00A410D6">
        <w:t>template includes several structural elements, interrelated by a common logic</w:t>
      </w:r>
      <w:r w:rsidR="004B6E87">
        <w:t>,</w:t>
      </w:r>
      <w:r w:rsidRPr="00A410D6">
        <w:t xml:space="preserve"> and allow</w:t>
      </w:r>
      <w:r w:rsidR="004B6E87">
        <w:t>s</w:t>
      </w:r>
      <w:r w:rsidRPr="00A410D6">
        <w:t xml:space="preserve"> characterizing </w:t>
      </w:r>
      <w:r w:rsidR="004B6E87">
        <w:t xml:space="preserve">of </w:t>
      </w:r>
      <w:r w:rsidRPr="00A410D6">
        <w:t xml:space="preserve">the current situation in </w:t>
      </w:r>
      <w:r w:rsidR="000F2F4C">
        <w:t xml:space="preserve">the </w:t>
      </w:r>
      <w:r w:rsidRPr="00A410D6">
        <w:t xml:space="preserve">nuclear energy sector, as well as plans and projections for nuclear energy development in the time perspective under consideration. These </w:t>
      </w:r>
      <w:r w:rsidR="004B6E87">
        <w:t xml:space="preserve">structural </w:t>
      </w:r>
      <w:r w:rsidRPr="00A410D6">
        <w:t xml:space="preserve">elements </w:t>
      </w:r>
      <w:r w:rsidR="004B6E87">
        <w:t>include</w:t>
      </w:r>
      <w:r w:rsidRPr="00A410D6">
        <w:t xml:space="preserve">: </w:t>
      </w:r>
    </w:p>
    <w:p w14:paraId="6A19EFBB" w14:textId="4A7A7BA4" w:rsidR="00513FBE" w:rsidRPr="00A410D6" w:rsidRDefault="00513FBE" w:rsidP="00A072DC">
      <w:pPr>
        <w:pStyle w:val="ListEmdash"/>
        <w:spacing w:before="240"/>
        <w:ind w:left="709" w:hanging="357"/>
        <w:contextualSpacing w:val="0"/>
      </w:pPr>
      <w:r w:rsidRPr="00A410D6">
        <w:t xml:space="preserve">General country </w:t>
      </w:r>
      <w:proofErr w:type="gramStart"/>
      <w:r w:rsidRPr="00A410D6">
        <w:t>information;</w:t>
      </w:r>
      <w:proofErr w:type="gramEnd"/>
    </w:p>
    <w:p w14:paraId="000ECF2D" w14:textId="2FC93E78" w:rsidR="00513FBE" w:rsidRPr="00A410D6" w:rsidRDefault="00513FBE" w:rsidP="007E597A">
      <w:pPr>
        <w:pStyle w:val="ListEmdash"/>
        <w:ind w:left="709"/>
      </w:pPr>
      <w:r w:rsidRPr="00A410D6">
        <w:t xml:space="preserve">National plans and projections on nuclear energy </w:t>
      </w:r>
      <w:proofErr w:type="gramStart"/>
      <w:r w:rsidRPr="00A410D6">
        <w:t>development;</w:t>
      </w:r>
      <w:proofErr w:type="gramEnd"/>
    </w:p>
    <w:p w14:paraId="532E9696" w14:textId="61EA6C2D" w:rsidR="00513FBE" w:rsidRPr="00A410D6" w:rsidRDefault="00513FBE" w:rsidP="007E597A">
      <w:pPr>
        <w:pStyle w:val="ListEmdash"/>
        <w:ind w:left="709"/>
      </w:pPr>
      <w:r w:rsidRPr="00A410D6">
        <w:t xml:space="preserve">Metrics on nuclear energy status and </w:t>
      </w:r>
      <w:proofErr w:type="gramStart"/>
      <w:r w:rsidRPr="00A410D6">
        <w:t>prospects;</w:t>
      </w:r>
      <w:proofErr w:type="gramEnd"/>
    </w:p>
    <w:p w14:paraId="3D53DCE6" w14:textId="64167E5F" w:rsidR="00513FBE" w:rsidRPr="00A410D6" w:rsidRDefault="00513FBE" w:rsidP="007E597A">
      <w:pPr>
        <w:pStyle w:val="ListEmdash"/>
        <w:ind w:left="709"/>
      </w:pPr>
      <w:r w:rsidRPr="00A410D6">
        <w:t xml:space="preserve">Key tasks and </w:t>
      </w:r>
      <w:proofErr w:type="gramStart"/>
      <w:r w:rsidRPr="00A410D6">
        <w:t>developments;</w:t>
      </w:r>
      <w:proofErr w:type="gramEnd"/>
    </w:p>
    <w:p w14:paraId="554E33F4" w14:textId="2CC47048" w:rsidR="00513FBE" w:rsidRPr="00A410D6" w:rsidRDefault="00513FBE" w:rsidP="007E597A">
      <w:pPr>
        <w:pStyle w:val="ListEmdash"/>
        <w:ind w:left="709"/>
      </w:pPr>
      <w:r w:rsidRPr="00A410D6">
        <w:t xml:space="preserve">Evolution of reactor fleet and nuclear fuel </w:t>
      </w:r>
      <w:proofErr w:type="gramStart"/>
      <w:r w:rsidRPr="00A410D6">
        <w:t>cycles;</w:t>
      </w:r>
      <w:proofErr w:type="gramEnd"/>
    </w:p>
    <w:p w14:paraId="342BEDA9" w14:textId="2FA8492D" w:rsidR="00513FBE" w:rsidRPr="00A410D6" w:rsidRDefault="00513FBE" w:rsidP="007E597A">
      <w:pPr>
        <w:pStyle w:val="ListEmdash"/>
        <w:ind w:left="709"/>
      </w:pPr>
      <w:r w:rsidRPr="00A410D6">
        <w:t>Integration and cross cutting analysis (when two or more countries perform road mapping together</w:t>
      </w:r>
      <w:proofErr w:type="gramStart"/>
      <w:r w:rsidRPr="00A410D6">
        <w:t>);</w:t>
      </w:r>
      <w:proofErr w:type="gramEnd"/>
    </w:p>
    <w:p w14:paraId="144933F4" w14:textId="76C06F06" w:rsidR="00513FBE" w:rsidRPr="00A410D6" w:rsidRDefault="00513FBE" w:rsidP="007E597A">
      <w:pPr>
        <w:pStyle w:val="ListEmdash"/>
        <w:ind w:left="709"/>
      </w:pPr>
      <w:r w:rsidRPr="00A410D6">
        <w:t xml:space="preserve">Progress </w:t>
      </w:r>
      <w:proofErr w:type="gramStart"/>
      <w:r w:rsidRPr="00A410D6">
        <w:t>monitoring;</w:t>
      </w:r>
      <w:proofErr w:type="gramEnd"/>
    </w:p>
    <w:p w14:paraId="575ADD06" w14:textId="1F4AB6DE" w:rsidR="00513FBE" w:rsidRPr="00A410D6" w:rsidRDefault="00513FBE" w:rsidP="007E597A">
      <w:pPr>
        <w:pStyle w:val="ListEmdash"/>
        <w:ind w:left="709"/>
      </w:pPr>
      <w:r w:rsidRPr="00A410D6">
        <w:t xml:space="preserve">Database and informational </w:t>
      </w:r>
      <w:proofErr w:type="gramStart"/>
      <w:r w:rsidRPr="00A410D6">
        <w:t>sources;</w:t>
      </w:r>
      <w:proofErr w:type="gramEnd"/>
    </w:p>
    <w:p w14:paraId="0932094D" w14:textId="420BAF6B" w:rsidR="00513FBE" w:rsidRPr="00A410D6" w:rsidRDefault="00513FBE" w:rsidP="00A072DC">
      <w:pPr>
        <w:pStyle w:val="ListEmdash"/>
        <w:spacing w:after="240"/>
        <w:ind w:left="709" w:hanging="357"/>
        <w:contextualSpacing w:val="0"/>
      </w:pPr>
      <w:r w:rsidRPr="00A410D6">
        <w:t>Nuclear energy planning and scenario analysis tools</w:t>
      </w:r>
      <w:r w:rsidR="000F2F4C">
        <w:t xml:space="preserve"> </w:t>
      </w:r>
      <w:r w:rsidR="000F2F4C" w:rsidRPr="00A410D6">
        <w:t>[7]</w:t>
      </w:r>
      <w:r w:rsidRPr="00A410D6">
        <w:t>.</w:t>
      </w:r>
    </w:p>
    <w:p w14:paraId="5F9B83A5" w14:textId="22849225" w:rsidR="00513FBE" w:rsidRPr="00A410D6" w:rsidRDefault="00513FBE" w:rsidP="00513FBE">
      <w:pPr>
        <w:pStyle w:val="BodyText"/>
      </w:pPr>
      <w:r w:rsidRPr="00A410D6">
        <w:t>The ROADMAPS Excel</w:t>
      </w:r>
      <w:r w:rsidR="00F73141">
        <w:t>-based</w:t>
      </w:r>
      <w:r w:rsidRPr="00A410D6">
        <w:t xml:space="preserve"> Tool (ROADMAPS-ET) is a spreadsheet realization of the </w:t>
      </w:r>
      <w:r w:rsidR="004B6E87">
        <w:t>ROADMAP</w:t>
      </w:r>
      <w:r w:rsidR="004B6E87" w:rsidRPr="00A410D6">
        <w:t xml:space="preserve"> </w:t>
      </w:r>
      <w:r w:rsidRPr="00A410D6">
        <w:t>template</w:t>
      </w:r>
      <w:r w:rsidR="00D873D2">
        <w:t xml:space="preserve"> </w:t>
      </w:r>
      <w:r w:rsidR="00D873D2" w:rsidRPr="00A410D6">
        <w:t>[7]</w:t>
      </w:r>
      <w:r w:rsidRPr="00A410D6">
        <w:t xml:space="preserve">. It is not a computational code but an analytical decision support tool for structuring and unifying data on issues related to making a transition to sustainable NESs. The tool makes use of Gantt charts, which are very popular in project management applications to illustrate project schedules and can also </w:t>
      </w:r>
      <w:r w:rsidR="004B6E87">
        <w:t>support</w:t>
      </w:r>
      <w:r w:rsidRPr="00A410D6">
        <w:t xml:space="preserve"> planning, </w:t>
      </w:r>
      <w:r w:rsidR="004945DF">
        <w:t>(</w:t>
      </w:r>
      <w:r w:rsidRPr="00A410D6">
        <w:t xml:space="preserve">Fig. </w:t>
      </w:r>
      <w:r w:rsidR="00115276" w:rsidRPr="00A410D6">
        <w:t>5</w:t>
      </w:r>
      <w:r w:rsidR="004945DF">
        <w:t>)</w:t>
      </w:r>
      <w:r w:rsidRPr="00A410D6">
        <w:t>. The inclu</w:t>
      </w:r>
      <w:r w:rsidR="00103487">
        <w:t>sion of</w:t>
      </w:r>
      <w:r w:rsidRPr="00A410D6">
        <w:t xml:space="preserve"> nuclear fuel cycle material flow information for existing and future reactors makes it possible to employ material flow analysis models (e.g., MESSAGE-NES) to derive the evolution of fuel cycle requirements over time for a considered strategy of evolutionary and innovative NPP deployment [</w:t>
      </w:r>
      <w:r w:rsidR="00EF01A0" w:rsidRPr="00A410D6">
        <w:t>7</w:t>
      </w:r>
      <w:r w:rsidRPr="00A410D6">
        <w:t>].</w:t>
      </w:r>
    </w:p>
    <w:p w14:paraId="7EE36993" w14:textId="202CECFA" w:rsidR="00407B26" w:rsidRDefault="00513FBE" w:rsidP="00E416D3">
      <w:pPr>
        <w:pStyle w:val="BodyText"/>
      </w:pPr>
      <w:r w:rsidRPr="00A410D6">
        <w:t>ROADMAPS-ET could be used to develop very detailed complex roadmaps</w:t>
      </w:r>
      <w:r w:rsidR="004B6E87">
        <w:t>, including a</w:t>
      </w:r>
      <w:r w:rsidRPr="00A410D6">
        <w:t xml:space="preserve"> progress monitoring element. </w:t>
      </w:r>
      <w:r w:rsidR="004B6E87">
        <w:t xml:space="preserve">ROADMAPS-ET can also </w:t>
      </w:r>
      <w:r w:rsidRPr="00A410D6">
        <w:t xml:space="preserve">produce condensed single-page roadmaps with better appeal to decision makers and </w:t>
      </w:r>
      <w:r w:rsidR="00A9575F">
        <w:t xml:space="preserve">the </w:t>
      </w:r>
      <w:proofErr w:type="gramStart"/>
      <w:r w:rsidR="00A9575F">
        <w:t xml:space="preserve">general </w:t>
      </w:r>
      <w:r w:rsidRPr="00A410D6">
        <w:t>public</w:t>
      </w:r>
      <w:proofErr w:type="gramEnd"/>
      <w:r w:rsidRPr="00A410D6">
        <w:t xml:space="preserve"> [</w:t>
      </w:r>
      <w:r w:rsidR="00EF01A0" w:rsidRPr="00A410D6">
        <w:t>7</w:t>
      </w:r>
      <w:r w:rsidRPr="00A410D6">
        <w:t>].</w:t>
      </w:r>
    </w:p>
    <w:p w14:paraId="3446F41C" w14:textId="77777777" w:rsidR="00DC1D2E" w:rsidRPr="00A410D6" w:rsidRDefault="00DC1D2E" w:rsidP="00DC1D2E">
      <w:pPr>
        <w:pStyle w:val="Heading3"/>
      </w:pPr>
      <w:r w:rsidRPr="00A410D6">
        <w:t>NES Simulators</w:t>
      </w:r>
    </w:p>
    <w:p w14:paraId="210F93FD" w14:textId="4C07F524" w:rsidR="00DC1D2E" w:rsidRPr="00A410D6" w:rsidRDefault="00DC1D2E" w:rsidP="00DC1D2E">
      <w:pPr>
        <w:pStyle w:val="BodyText"/>
      </w:pPr>
      <w:r w:rsidRPr="00A410D6">
        <w:t>NES simulators</w:t>
      </w:r>
      <w:r>
        <w:t>,</w:t>
      </w:r>
      <w:r w:rsidRPr="00A410D6">
        <w:t xml:space="preserve"> initially developed for training purpose</w:t>
      </w:r>
      <w:r>
        <w:t>s,</w:t>
      </w:r>
      <w:r w:rsidRPr="00A410D6">
        <w:t xml:space="preserve"> provide</w:t>
      </w:r>
      <w:r w:rsidR="004B6E87">
        <w:t>s</w:t>
      </w:r>
      <w:r w:rsidRPr="00A410D6">
        <w:t xml:space="preserve"> simplified estimates for mass flows and economic indicators of various options for nuclear energy development [9]. Benchmarking with NEST, MESSAGE and NFCCS (Nuclear Fuel Cycle Simulation System) tools under similar assumptions confirmed the applicability of these simulators for simplified NES scenario analysis and modelling [9].</w:t>
      </w:r>
      <w:r>
        <w:t xml:space="preserve"> </w:t>
      </w:r>
      <w:r w:rsidRPr="00A410D6">
        <w:t>A total of six NES simulators are now available</w:t>
      </w:r>
      <w:r w:rsidR="009644DF">
        <w:t>, covering once-through and closed (partially or completely) nuclear fuel cycles with reactors of different types (LWR, heavy water reactors and fast reactors)</w:t>
      </w:r>
      <w:r w:rsidR="004B6E87">
        <w:t>,</w:t>
      </w:r>
      <w:r w:rsidR="009644DF">
        <w:t xml:space="preserve"> </w:t>
      </w:r>
      <w:r w:rsidR="004B6E87">
        <w:t xml:space="preserve">which also </w:t>
      </w:r>
      <w:r w:rsidR="009644DF">
        <w:t>address</w:t>
      </w:r>
      <w:r w:rsidR="004B6E87">
        <w:t>es</w:t>
      </w:r>
      <w:r w:rsidR="009644DF">
        <w:t xml:space="preserve"> material flow analysis (including fuel depletion) and economics.</w:t>
      </w:r>
      <w:r w:rsidR="009644DF" w:rsidRPr="00323C5B">
        <w:t xml:space="preserve"> </w:t>
      </w:r>
      <w:r w:rsidRPr="00A410D6">
        <w:t xml:space="preserve"> </w:t>
      </w:r>
    </w:p>
    <w:p w14:paraId="4262C472" w14:textId="77777777" w:rsidR="00407B26" w:rsidRPr="00A410D6" w:rsidRDefault="00407B26" w:rsidP="00407B26">
      <w:pPr>
        <w:pStyle w:val="BodyText"/>
        <w:ind w:firstLine="0"/>
        <w:jc w:val="center"/>
        <w:rPr>
          <w:sz w:val="22"/>
          <w:szCs w:val="22"/>
        </w:rPr>
      </w:pPr>
      <w:r w:rsidRPr="008C7708">
        <w:rPr>
          <w:noProof/>
          <w:sz w:val="22"/>
          <w:szCs w:val="22"/>
        </w:rPr>
        <w:lastRenderedPageBreak/>
        <w:drawing>
          <wp:inline distT="0" distB="0" distL="0" distR="0" wp14:anchorId="2A716027" wp14:editId="5A827DC6">
            <wp:extent cx="5680261" cy="25549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2" cy="2576280"/>
                    </a:xfrm>
                    <a:prstGeom prst="rect">
                      <a:avLst/>
                    </a:prstGeom>
                    <a:noFill/>
                  </pic:spPr>
                </pic:pic>
              </a:graphicData>
            </a:graphic>
          </wp:inline>
        </w:drawing>
      </w:r>
    </w:p>
    <w:p w14:paraId="43D89D60" w14:textId="39A3DCE9" w:rsidR="00407B26" w:rsidRPr="00A072DC" w:rsidRDefault="00407B26" w:rsidP="00A072DC">
      <w:pPr>
        <w:pStyle w:val="BodyText"/>
        <w:spacing w:after="85" w:line="240" w:lineRule="auto"/>
        <w:ind w:firstLine="0"/>
        <w:contextualSpacing w:val="0"/>
        <w:jc w:val="left"/>
        <w:rPr>
          <w:rFonts w:eastAsia="Times New Roman"/>
          <w:bCs/>
          <w:i/>
          <w:sz w:val="18"/>
          <w:lang w:val="en-US"/>
        </w:rPr>
      </w:pPr>
      <w:r w:rsidRPr="00A072DC">
        <w:rPr>
          <w:rFonts w:eastAsia="Times New Roman"/>
          <w:bCs/>
          <w:i/>
          <w:sz w:val="18"/>
          <w:lang w:val="en-US"/>
        </w:rPr>
        <w:t>F</w:t>
      </w:r>
      <w:r w:rsidR="005350B5">
        <w:rPr>
          <w:rFonts w:eastAsia="Times New Roman"/>
          <w:bCs/>
          <w:i/>
          <w:sz w:val="18"/>
          <w:lang w:val="en-US"/>
        </w:rPr>
        <w:t>IG</w:t>
      </w:r>
      <w:r w:rsidRPr="00E07865">
        <w:rPr>
          <w:rFonts w:eastAsia="Times New Roman"/>
          <w:bCs/>
          <w:i/>
          <w:sz w:val="18"/>
          <w:lang w:val="en-US"/>
        </w:rPr>
        <w:t xml:space="preserve"> 5. Example of a condensed roadmap developed with the use of ROADMAPS-ET [</w:t>
      </w:r>
      <w:r w:rsidR="0079328F" w:rsidRPr="00E07865">
        <w:rPr>
          <w:rFonts w:eastAsia="Times New Roman"/>
          <w:bCs/>
          <w:i/>
          <w:sz w:val="18"/>
          <w:lang w:val="en-US"/>
        </w:rPr>
        <w:t>7</w:t>
      </w:r>
      <w:r w:rsidRPr="00E07865">
        <w:rPr>
          <w:rFonts w:eastAsia="Times New Roman"/>
          <w:bCs/>
          <w:i/>
          <w:sz w:val="18"/>
          <w:lang w:val="en-US"/>
        </w:rPr>
        <w:t>]. Legend: GAINS – INPRO collaborative project</w:t>
      </w:r>
      <w:r w:rsidRPr="00A072DC">
        <w:rPr>
          <w:rFonts w:eastAsia="Times New Roman"/>
          <w:bCs/>
          <w:i/>
          <w:sz w:val="18"/>
          <w:lang w:val="en-US"/>
        </w:rPr>
        <w:t xml:space="preserve"> “Global Architectures of Innovative </w:t>
      </w:r>
      <w:r w:rsidR="00C77323" w:rsidRPr="00A072DC">
        <w:rPr>
          <w:rFonts w:eastAsia="Times New Roman"/>
          <w:bCs/>
          <w:i/>
          <w:sz w:val="18"/>
          <w:lang w:val="en-US"/>
        </w:rPr>
        <w:t>NES</w:t>
      </w:r>
      <w:r w:rsidRPr="00A072DC">
        <w:rPr>
          <w:rFonts w:eastAsia="Times New Roman"/>
          <w:bCs/>
          <w:i/>
          <w:sz w:val="18"/>
          <w:lang w:val="en-US"/>
        </w:rPr>
        <w:t>s with Thermal and Fast Reactors and a Closed Nuclear Fuel Cycle” [6]; BAU – business as usual (once-through fuel cycle with thermal neutron spectrum reactors); FR – fast reactors; SNF – spent nuclear fuel; HLW – high level waste, NFC – nuclear fuel cycle; decision node marker green means a national decision not conditioned by decisions of other countries.</w:t>
      </w:r>
    </w:p>
    <w:p w14:paraId="1B24A969" w14:textId="6600DEB0" w:rsidR="00762573" w:rsidRPr="00A410D6" w:rsidRDefault="00C15016" w:rsidP="000D3526">
      <w:pPr>
        <w:pStyle w:val="Heading2"/>
        <w:numPr>
          <w:ilvl w:val="1"/>
          <w:numId w:val="5"/>
        </w:numPr>
      </w:pPr>
      <w:r w:rsidRPr="00A410D6">
        <w:t xml:space="preserve">DELIVERY AND APPLICATION OF </w:t>
      </w:r>
      <w:r w:rsidR="00047C1A" w:rsidRPr="00A410D6">
        <w:t xml:space="preserve">ASENES </w:t>
      </w:r>
      <w:r w:rsidR="00513FBE" w:rsidRPr="00A410D6">
        <w:t>S</w:t>
      </w:r>
      <w:r w:rsidR="00047C1A" w:rsidRPr="00A410D6">
        <w:t>ervice</w:t>
      </w:r>
      <w:r w:rsidR="00513FBE" w:rsidRPr="00A410D6">
        <w:t xml:space="preserve"> </w:t>
      </w:r>
    </w:p>
    <w:p w14:paraId="182EE89C" w14:textId="1F885FD2" w:rsidR="00C15016" w:rsidRPr="00A410D6" w:rsidRDefault="00C15016" w:rsidP="00C15016">
      <w:pPr>
        <w:pStyle w:val="BodyText"/>
      </w:pPr>
      <w:r w:rsidRPr="00A410D6">
        <w:t>The ASENES service brings together five primary INPRO tools (MESSAGE-NES, KIND-ET, NEST, ROADMAPS-</w:t>
      </w:r>
      <w:proofErr w:type="gramStart"/>
      <w:r w:rsidRPr="00A410D6">
        <w:t>ET</w:t>
      </w:r>
      <w:proofErr w:type="gramEnd"/>
      <w:r w:rsidRPr="00A410D6">
        <w:t xml:space="preserve"> and NES Simulators) for use by interested IAEA Member States</w:t>
      </w:r>
      <w:r w:rsidR="000A56C1">
        <w:t>. T</w:t>
      </w:r>
      <w:r w:rsidRPr="00A410D6">
        <w:t xml:space="preserve">he following </w:t>
      </w:r>
      <w:r w:rsidR="00DB0F15">
        <w:t>are some uses</w:t>
      </w:r>
      <w:r w:rsidRPr="00A410D6">
        <w:t xml:space="preserve">: </w:t>
      </w:r>
    </w:p>
    <w:p w14:paraId="07B235F2" w14:textId="01508248" w:rsidR="00C15016" w:rsidRPr="00A410D6" w:rsidRDefault="00C15016" w:rsidP="00A072DC">
      <w:pPr>
        <w:pStyle w:val="ListEmdash"/>
        <w:spacing w:before="240"/>
        <w:ind w:left="709" w:hanging="357"/>
        <w:contextualSpacing w:val="0"/>
      </w:pPr>
      <w:r w:rsidRPr="00A410D6">
        <w:t>Self-education using the ASENES e-learning course (available in English, Russian and Spanish) and INPRO methods and tools (available in English) in the IAEA Learning Management System (LMS)</w:t>
      </w:r>
      <w:r w:rsidR="002B055C">
        <w:rPr>
          <w:rStyle w:val="FootnoteReference"/>
        </w:rPr>
        <w:footnoteReference w:id="2"/>
      </w:r>
      <w:r w:rsidRPr="00A410D6">
        <w:t xml:space="preserve">; </w:t>
      </w:r>
    </w:p>
    <w:p w14:paraId="5ACC462D" w14:textId="03065187" w:rsidR="00C15016" w:rsidRPr="00A410D6" w:rsidRDefault="00C15016" w:rsidP="00C15016">
      <w:pPr>
        <w:pStyle w:val="ListEmdash"/>
        <w:ind w:left="709"/>
      </w:pPr>
      <w:r w:rsidRPr="00A410D6">
        <w:t xml:space="preserve">Instructor assisted distant training; </w:t>
      </w:r>
      <w:r w:rsidR="000A56C1">
        <w:t>and</w:t>
      </w:r>
    </w:p>
    <w:p w14:paraId="0B7C9256" w14:textId="087F1E04" w:rsidR="00077C54" w:rsidRPr="00A410D6" w:rsidRDefault="00C15016" w:rsidP="00A072DC">
      <w:pPr>
        <w:pStyle w:val="ListEmdash"/>
        <w:spacing w:after="240"/>
        <w:ind w:left="709" w:hanging="357"/>
        <w:contextualSpacing w:val="0"/>
        <w:rPr>
          <w:i/>
          <w:iCs/>
        </w:rPr>
      </w:pPr>
      <w:r w:rsidRPr="00A410D6">
        <w:t xml:space="preserve">Face-to-face user training, including at INPRO schools. </w:t>
      </w:r>
    </w:p>
    <w:p w14:paraId="7B1813E1" w14:textId="60BC3569" w:rsidR="00030331" w:rsidRPr="00A410D6" w:rsidRDefault="00CB3E76" w:rsidP="00077C54">
      <w:pPr>
        <w:pStyle w:val="BodyText"/>
      </w:pPr>
      <w:r>
        <w:t>S</w:t>
      </w:r>
      <w:r w:rsidR="00030331" w:rsidRPr="00A410D6">
        <w:t xml:space="preserve">upplementary materials for </w:t>
      </w:r>
      <w:r w:rsidR="00306C72">
        <w:t xml:space="preserve">the </w:t>
      </w:r>
      <w:r w:rsidR="00030331" w:rsidRPr="00A410D6">
        <w:t xml:space="preserve">ASENES service are </w:t>
      </w:r>
      <w:r w:rsidR="00B625FC" w:rsidRPr="00A410D6">
        <w:t>demo cases, t</w:t>
      </w:r>
      <w:r w:rsidR="00030331" w:rsidRPr="00A410D6">
        <w:t>hematic collection of external reports and publications</w:t>
      </w:r>
      <w:r w:rsidR="002823D6" w:rsidRPr="00A410D6">
        <w:t xml:space="preserve">, including </w:t>
      </w:r>
      <w:r w:rsidR="00030331" w:rsidRPr="00A410D6">
        <w:t>ASENES related papers</w:t>
      </w:r>
      <w:r w:rsidR="00872950" w:rsidRPr="00A410D6">
        <w:t xml:space="preserve">, </w:t>
      </w:r>
      <w:r w:rsidR="00B625FC" w:rsidRPr="00A410D6">
        <w:t>and</w:t>
      </w:r>
      <w:r w:rsidR="00030331" w:rsidRPr="00A410D6">
        <w:t xml:space="preserve"> glossary</w:t>
      </w:r>
      <w:r w:rsidR="00250402">
        <w:t>,</w:t>
      </w:r>
      <w:r w:rsidR="00030331" w:rsidRPr="00A410D6">
        <w:t xml:space="preserve"> </w:t>
      </w:r>
      <w:r w:rsidR="004B6E87">
        <w:t xml:space="preserve">which are </w:t>
      </w:r>
      <w:r w:rsidR="006976F4" w:rsidRPr="00A410D6">
        <w:t>available in the IAEA LMS</w:t>
      </w:r>
      <w:r w:rsidR="00250402">
        <w:t>.</w:t>
      </w:r>
    </w:p>
    <w:p w14:paraId="06CD2417" w14:textId="59FA3C48" w:rsidR="00051E48" w:rsidRPr="00A410D6" w:rsidRDefault="00051E48" w:rsidP="00051E48">
      <w:pPr>
        <w:pStyle w:val="BodyText"/>
      </w:pPr>
      <w:r w:rsidRPr="00A410D6">
        <w:t>Anticipated users of the ASENES service are national technical experts working in planning of a national nuclear power programme, innovative technology development for nuclear power</w:t>
      </w:r>
      <w:r w:rsidR="00994DEB">
        <w:t>,</w:t>
      </w:r>
      <w:r w:rsidRPr="00A410D6">
        <w:t xml:space="preserve"> </w:t>
      </w:r>
      <w:r w:rsidR="00C77323">
        <w:t>NES</w:t>
      </w:r>
      <w:r w:rsidRPr="00A410D6">
        <w:t xml:space="preserve"> analysis and assessment, and officers of ministries responsible for nuclear energy development programmes and international cooperation.</w:t>
      </w:r>
      <w:r w:rsidR="00D40A9C">
        <w:t xml:space="preserve"> </w:t>
      </w:r>
      <w:r w:rsidRPr="00A410D6">
        <w:t>The ASENES service support</w:t>
      </w:r>
      <w:r w:rsidR="0087135C">
        <w:t>s</w:t>
      </w:r>
      <w:r w:rsidRPr="00A410D6">
        <w:t xml:space="preserve"> dialogue between nuclear energy option proponents and decision makers regarding preferences for sustainable energy options. </w:t>
      </w:r>
      <w:r w:rsidR="0087135C">
        <w:t>T</w:t>
      </w:r>
      <w:r w:rsidRPr="00A410D6">
        <w:t xml:space="preserve">o obtain meaningful results, a user needs to possess: </w:t>
      </w:r>
    </w:p>
    <w:p w14:paraId="7A9B0427" w14:textId="77777777" w:rsidR="00051E48" w:rsidRPr="00A410D6" w:rsidRDefault="00051E48" w:rsidP="00A072DC">
      <w:pPr>
        <w:pStyle w:val="ListEmdash"/>
        <w:spacing w:before="240"/>
        <w:ind w:left="709" w:hanging="357"/>
        <w:contextualSpacing w:val="0"/>
      </w:pPr>
      <w:r w:rsidRPr="00A410D6">
        <w:t xml:space="preserve">Access to information and data on the status, plans and prospects of nuclear energy in her (his) country including that on the status, plans and prospects of cooperation (nuclear trade) with other </w:t>
      </w:r>
      <w:proofErr w:type="gramStart"/>
      <w:r w:rsidRPr="00A410D6">
        <w:t>countries;</w:t>
      </w:r>
      <w:proofErr w:type="gramEnd"/>
      <w:r w:rsidRPr="00A410D6">
        <w:t xml:space="preserve"> </w:t>
      </w:r>
    </w:p>
    <w:p w14:paraId="27FB4D6C" w14:textId="20C1D469" w:rsidR="00051E48" w:rsidRPr="00A410D6" w:rsidRDefault="00051E48" w:rsidP="00051E48">
      <w:pPr>
        <w:pStyle w:val="ListEmdash"/>
        <w:ind w:left="709"/>
      </w:pPr>
      <w:r w:rsidRPr="00A410D6">
        <w:t>In-depth knowledge of the discussion points regarding NES development in her (his) country</w:t>
      </w:r>
      <w:r w:rsidR="006B0405" w:rsidRPr="00A410D6">
        <w:t>.</w:t>
      </w:r>
      <w:r w:rsidRPr="00A410D6">
        <w:t xml:space="preserve"> </w:t>
      </w:r>
    </w:p>
    <w:p w14:paraId="1E65D096" w14:textId="59D1768D" w:rsidR="00EE0041" w:rsidRPr="00A410D6" w:rsidRDefault="00762573" w:rsidP="000D3526">
      <w:pPr>
        <w:pStyle w:val="Heading2"/>
        <w:numPr>
          <w:ilvl w:val="1"/>
          <w:numId w:val="5"/>
        </w:numPr>
      </w:pPr>
      <w:r w:rsidRPr="00A410D6">
        <w:t>A</w:t>
      </w:r>
      <w:r w:rsidR="006B0405" w:rsidRPr="00A410D6">
        <w:t>PPLICATION OF A</w:t>
      </w:r>
      <w:r w:rsidRPr="00A410D6">
        <w:t xml:space="preserve">SENES </w:t>
      </w:r>
      <w:r w:rsidR="006B0405" w:rsidRPr="00A410D6">
        <w:t xml:space="preserve">SERVICE FOR </w:t>
      </w:r>
      <w:r w:rsidRPr="00A410D6">
        <w:t xml:space="preserve">SMR </w:t>
      </w:r>
    </w:p>
    <w:p w14:paraId="29CF7629" w14:textId="03CAAB6B" w:rsidR="007E597A" w:rsidRPr="00A410D6" w:rsidRDefault="00754D05" w:rsidP="007E597A">
      <w:pPr>
        <w:pStyle w:val="BodyText"/>
      </w:pPr>
      <w:r w:rsidRPr="00A410D6">
        <w:t xml:space="preserve">The </w:t>
      </w:r>
      <w:r w:rsidR="006B1544" w:rsidRPr="00A410D6">
        <w:t xml:space="preserve">current </w:t>
      </w:r>
      <w:r w:rsidR="00093D52" w:rsidRPr="00A410D6">
        <w:t xml:space="preserve">objective </w:t>
      </w:r>
      <w:r w:rsidR="00735731">
        <w:t xml:space="preserve">of the </w:t>
      </w:r>
      <w:r w:rsidR="006B0405" w:rsidRPr="00A410D6">
        <w:t>collaborative study</w:t>
      </w:r>
      <w:r w:rsidR="00093D52">
        <w:t>,</w:t>
      </w:r>
      <w:r w:rsidR="006B0405" w:rsidRPr="00A410D6">
        <w:t xml:space="preserve"> </w:t>
      </w:r>
      <w:r w:rsidR="007E597A" w:rsidRPr="00A410D6">
        <w:t>ASENES SMR</w:t>
      </w:r>
      <w:r w:rsidR="00093D52">
        <w:t>,</w:t>
      </w:r>
      <w:r w:rsidR="007E597A" w:rsidRPr="00A410D6">
        <w:t xml:space="preserve"> </w:t>
      </w:r>
      <w:r w:rsidR="00093D52">
        <w:t>is</w:t>
      </w:r>
      <w:r w:rsidR="007E597A" w:rsidRPr="00A410D6">
        <w:t xml:space="preserve"> the formulation and evaluation of promising scenarios and success factors for the deployment of sustainable NESs with SMRs, including the prospective models of cooperation. Th</w:t>
      </w:r>
      <w:r w:rsidR="008950C5" w:rsidRPr="00A410D6">
        <w:t>e</w:t>
      </w:r>
      <w:r w:rsidR="007E597A" w:rsidRPr="00A410D6">
        <w:t xml:space="preserve"> </w:t>
      </w:r>
      <w:r w:rsidR="00C7591E" w:rsidRPr="00A410D6">
        <w:t>achieve</w:t>
      </w:r>
      <w:r w:rsidR="00C7591E">
        <w:t>ment of the</w:t>
      </w:r>
      <w:r w:rsidR="00C7591E" w:rsidRPr="00A410D6">
        <w:t xml:space="preserve"> </w:t>
      </w:r>
      <w:r w:rsidR="007E597A" w:rsidRPr="00A410D6">
        <w:t xml:space="preserve">objective is through a series of national or joint case studies building upon the vision and experience of project participants. The studies </w:t>
      </w:r>
      <w:r w:rsidR="0087135C">
        <w:t>use</w:t>
      </w:r>
      <w:r w:rsidRPr="00A410D6">
        <w:t xml:space="preserve"> the</w:t>
      </w:r>
      <w:r w:rsidR="007E597A" w:rsidRPr="00A410D6">
        <w:t xml:space="preserve"> ASENES </w:t>
      </w:r>
      <w:r w:rsidRPr="00A410D6">
        <w:t xml:space="preserve">service </w:t>
      </w:r>
      <w:r w:rsidR="00C05DFB" w:rsidRPr="00A410D6">
        <w:t xml:space="preserve">package </w:t>
      </w:r>
      <w:r w:rsidR="007E597A" w:rsidRPr="00A410D6">
        <w:t xml:space="preserve">but also involve the application of </w:t>
      </w:r>
      <w:r w:rsidR="0087135C">
        <w:t xml:space="preserve">relevant </w:t>
      </w:r>
      <w:r w:rsidR="007E597A" w:rsidRPr="00A410D6">
        <w:t xml:space="preserve">national approaches and tools. </w:t>
      </w:r>
    </w:p>
    <w:p w14:paraId="16F4D445" w14:textId="58F9EF1F" w:rsidR="007E597A" w:rsidRPr="00A410D6" w:rsidRDefault="0087135C" w:rsidP="007E597A">
      <w:pPr>
        <w:pStyle w:val="BodyText"/>
      </w:pPr>
      <w:r>
        <w:lastRenderedPageBreak/>
        <w:t>T</w:t>
      </w:r>
      <w:r w:rsidR="007E597A" w:rsidRPr="00A410D6">
        <w:t xml:space="preserve">o overcome negative </w:t>
      </w:r>
      <w:r>
        <w:t xml:space="preserve">economic </w:t>
      </w:r>
      <w:r w:rsidR="007E597A" w:rsidRPr="00A410D6">
        <w:t xml:space="preserve">impacts of </w:t>
      </w:r>
      <w:r>
        <w:t>from</w:t>
      </w:r>
      <w:r w:rsidRPr="00A410D6">
        <w:t xml:space="preserve"> </w:t>
      </w:r>
      <w:r w:rsidR="007E597A" w:rsidRPr="00A410D6">
        <w:t>SMRs</w:t>
      </w:r>
      <w:r>
        <w:t>,</w:t>
      </w:r>
      <w:r w:rsidR="007E597A" w:rsidRPr="00A410D6">
        <w:t xml:space="preserve"> it </w:t>
      </w:r>
      <w:r>
        <w:t>is</w:t>
      </w:r>
      <w:r w:rsidR="007E597A" w:rsidRPr="00A410D6">
        <w:t xml:space="preserve"> important to transition from the economy of scale to the economy of mass production of standard reactor modules. Such a transition require</w:t>
      </w:r>
      <w:r>
        <w:t>s</w:t>
      </w:r>
      <w:r w:rsidR="007E597A" w:rsidRPr="00A410D6">
        <w:t xml:space="preserve"> keeping a balance of offer and demand over time. </w:t>
      </w:r>
    </w:p>
    <w:p w14:paraId="1E732ADD" w14:textId="088DB86D" w:rsidR="00693DBD" w:rsidRPr="00A410D6" w:rsidRDefault="00735731" w:rsidP="00693DBD">
      <w:pPr>
        <w:pStyle w:val="BodyText"/>
      </w:pPr>
      <w:r>
        <w:t xml:space="preserve">The </w:t>
      </w:r>
      <w:r w:rsidR="007E597A" w:rsidRPr="00A410D6">
        <w:t xml:space="preserve">ASENES SMR </w:t>
      </w:r>
      <w:r>
        <w:t xml:space="preserve">project </w:t>
      </w:r>
      <w:r w:rsidR="007E597A" w:rsidRPr="00A410D6">
        <w:t xml:space="preserve">has </w:t>
      </w:r>
      <w:r w:rsidR="0087135C" w:rsidRPr="00A410D6">
        <w:t>14 national and regional case studies</w:t>
      </w:r>
      <w:r w:rsidR="0087135C">
        <w:t xml:space="preserve"> with </w:t>
      </w:r>
      <w:r w:rsidR="0099379F">
        <w:t>experts</w:t>
      </w:r>
      <w:r w:rsidR="00845E03" w:rsidRPr="00A410D6">
        <w:t xml:space="preserve"> </w:t>
      </w:r>
      <w:r w:rsidR="007E597A" w:rsidRPr="00A410D6">
        <w:t>from Armenia, Bangladesh, Belarus, China, Indonesia, Jordan, Mexico, Pakistan, Romania, Russian Federation, Thailand</w:t>
      </w:r>
      <w:r w:rsidR="00536809">
        <w:t>,</w:t>
      </w:r>
      <w:r w:rsidR="007E597A" w:rsidRPr="00A410D6">
        <w:t xml:space="preserve"> and Ukraine</w:t>
      </w:r>
      <w:r w:rsidR="00C05DFB" w:rsidRPr="00A410D6">
        <w:t xml:space="preserve"> performing case studies</w:t>
      </w:r>
      <w:r w:rsidR="0099379F">
        <w:t>. Also, there are</w:t>
      </w:r>
      <w:r w:rsidR="007E597A" w:rsidRPr="00A410D6">
        <w:t xml:space="preserve"> </w:t>
      </w:r>
      <w:r w:rsidR="0087135C">
        <w:t>project observers</w:t>
      </w:r>
      <w:r w:rsidR="0087135C" w:rsidRPr="00A410D6">
        <w:t xml:space="preserve"> </w:t>
      </w:r>
      <w:r w:rsidR="007E597A" w:rsidRPr="00A410D6">
        <w:t>from Bulgaria, Chile, Ghana, Malaysia, Morocco, USA</w:t>
      </w:r>
      <w:r w:rsidR="00536809">
        <w:t>,</w:t>
      </w:r>
      <w:r w:rsidR="007E597A" w:rsidRPr="00A410D6">
        <w:t xml:space="preserve"> and Viet Nam </w:t>
      </w:r>
    </w:p>
    <w:p w14:paraId="50D08AD1" w14:textId="5EB89195" w:rsidR="0033703F" w:rsidRPr="00A410D6" w:rsidRDefault="0087135C" w:rsidP="00D742A4">
      <w:pPr>
        <w:pStyle w:val="BodyText"/>
      </w:pPr>
      <w:r>
        <w:t>C</w:t>
      </w:r>
      <w:r w:rsidR="00693DBD" w:rsidRPr="00A410D6">
        <w:t>ase stud</w:t>
      </w:r>
      <w:r>
        <w:t>y topics</w:t>
      </w:r>
      <w:r w:rsidR="00693DBD" w:rsidRPr="00A410D6">
        <w:t xml:space="preserve"> are shown in Fig. </w:t>
      </w:r>
      <w:r w:rsidR="00D251B3">
        <w:t>6</w:t>
      </w:r>
      <w:r w:rsidR="0024066D">
        <w:t xml:space="preserve"> </w:t>
      </w:r>
      <w:r w:rsidR="000D70AE">
        <w:t xml:space="preserve">with </w:t>
      </w:r>
      <w:r w:rsidR="0024066D">
        <w:t xml:space="preserve">several SMR deployment scenarios in Fig. 7. </w:t>
      </w:r>
      <w:r w:rsidR="0033703F" w:rsidRPr="00A410D6">
        <w:t>The project identified some preliminary factors for successful deployment of SMRs: improving cost competitiveness and attractiveness for investment; introducing innovations in technology; and implementing institutional arrangements. For favourable economics, there needs to be a transition from economy of scale</w:t>
      </w:r>
      <w:r w:rsidR="000D70AE">
        <w:t xml:space="preserve"> (large NPPs)</w:t>
      </w:r>
      <w:r w:rsidR="0033703F" w:rsidRPr="00A410D6">
        <w:t xml:space="preserve"> to the economy of mass production</w:t>
      </w:r>
      <w:r w:rsidR="009952C0" w:rsidRPr="00A410D6">
        <w:t xml:space="preserve"> of </w:t>
      </w:r>
      <w:r w:rsidR="000D70AE">
        <w:t xml:space="preserve">many </w:t>
      </w:r>
      <w:proofErr w:type="gramStart"/>
      <w:r w:rsidR="009952C0" w:rsidRPr="00A410D6">
        <w:t>reactors</w:t>
      </w:r>
      <w:proofErr w:type="gramEnd"/>
      <w:r w:rsidR="009952C0" w:rsidRPr="00A410D6">
        <w:t xml:space="preserve"> modules</w:t>
      </w:r>
      <w:r w:rsidR="0033703F" w:rsidRPr="00A410D6">
        <w:t xml:space="preserve">. </w:t>
      </w:r>
    </w:p>
    <w:p w14:paraId="743489CA" w14:textId="4148DFF2" w:rsidR="00C751E1" w:rsidRPr="00A410D6" w:rsidRDefault="00EA2B49" w:rsidP="00F66C9D">
      <w:pPr>
        <w:pStyle w:val="ListEmdash"/>
        <w:numPr>
          <w:ilvl w:val="0"/>
          <w:numId w:val="0"/>
        </w:numPr>
        <w:jc w:val="center"/>
        <w:rPr>
          <w:i/>
          <w:iCs/>
          <w:sz w:val="18"/>
          <w:szCs w:val="18"/>
        </w:rPr>
      </w:pPr>
      <w:r w:rsidRPr="00A072DC">
        <w:t xml:space="preserve"> </w:t>
      </w:r>
      <w:r w:rsidR="00575E28" w:rsidRPr="00575E28">
        <w:rPr>
          <w:noProof/>
        </w:rPr>
        <w:t xml:space="preserve"> </w:t>
      </w:r>
      <w:r w:rsidR="00575E28" w:rsidRPr="00575E28">
        <w:rPr>
          <w:noProof/>
        </w:rPr>
        <w:drawing>
          <wp:inline distT="0" distB="0" distL="0" distR="0" wp14:anchorId="6D5DC672" wp14:editId="229B0E69">
            <wp:extent cx="5732145" cy="141668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2145" cy="1416685"/>
                    </a:xfrm>
                    <a:prstGeom prst="rect">
                      <a:avLst/>
                    </a:prstGeom>
                  </pic:spPr>
                </pic:pic>
              </a:graphicData>
            </a:graphic>
          </wp:inline>
        </w:drawing>
      </w:r>
      <w:r w:rsidR="00C751E1" w:rsidRPr="00A410D6">
        <w:rPr>
          <w:i/>
          <w:iCs/>
          <w:sz w:val="18"/>
          <w:szCs w:val="18"/>
        </w:rPr>
        <w:t>F</w:t>
      </w:r>
      <w:r w:rsidR="00AD0038">
        <w:rPr>
          <w:i/>
          <w:iCs/>
          <w:sz w:val="18"/>
          <w:szCs w:val="18"/>
        </w:rPr>
        <w:t>IG</w:t>
      </w:r>
      <w:r w:rsidR="00C751E1" w:rsidRPr="00A410D6">
        <w:rPr>
          <w:i/>
          <w:iCs/>
          <w:sz w:val="18"/>
          <w:szCs w:val="18"/>
        </w:rPr>
        <w:t xml:space="preserve">. </w:t>
      </w:r>
      <w:r w:rsidR="00D251B3">
        <w:rPr>
          <w:i/>
          <w:iCs/>
          <w:sz w:val="18"/>
          <w:szCs w:val="18"/>
        </w:rPr>
        <w:t>6</w:t>
      </w:r>
      <w:r w:rsidR="00C751E1" w:rsidRPr="00A410D6">
        <w:rPr>
          <w:i/>
          <w:iCs/>
          <w:sz w:val="18"/>
          <w:szCs w:val="18"/>
        </w:rPr>
        <w:t>. Topics of case studies as performed by Member States.</w:t>
      </w:r>
    </w:p>
    <w:p w14:paraId="379EC3D1" w14:textId="77777777" w:rsidR="0024066D" w:rsidRDefault="0024066D" w:rsidP="00005D01">
      <w:pPr>
        <w:pStyle w:val="ListEmdash"/>
        <w:numPr>
          <w:ilvl w:val="0"/>
          <w:numId w:val="0"/>
        </w:num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64"/>
      </w:tblGrid>
      <w:tr w:rsidR="008B6AC3" w14:paraId="67859C23" w14:textId="77777777" w:rsidTr="000B44C3">
        <w:tc>
          <w:tcPr>
            <w:tcW w:w="4253" w:type="dxa"/>
            <w:vAlign w:val="center"/>
          </w:tcPr>
          <w:p w14:paraId="60397CCB" w14:textId="61F147D8" w:rsidR="001B7C6E" w:rsidRDefault="008C302B" w:rsidP="000B44C3">
            <w:pPr>
              <w:pStyle w:val="ListEmdash"/>
              <w:numPr>
                <w:ilvl w:val="0"/>
                <w:numId w:val="0"/>
              </w:numPr>
              <w:jc w:val="center"/>
            </w:pPr>
            <w:r w:rsidRPr="008C302B">
              <w:rPr>
                <w:noProof/>
              </w:rPr>
              <w:drawing>
                <wp:inline distT="0" distB="0" distL="0" distR="0" wp14:anchorId="332ACBF6" wp14:editId="09C71235">
                  <wp:extent cx="2547422" cy="1250830"/>
                  <wp:effectExtent l="0" t="0" r="571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68165" cy="1261015"/>
                          </a:xfrm>
                          <a:prstGeom prst="rect">
                            <a:avLst/>
                          </a:prstGeom>
                        </pic:spPr>
                      </pic:pic>
                    </a:graphicData>
                  </a:graphic>
                </wp:inline>
              </w:drawing>
            </w:r>
          </w:p>
        </w:tc>
        <w:tc>
          <w:tcPr>
            <w:tcW w:w="4764" w:type="dxa"/>
          </w:tcPr>
          <w:p w14:paraId="18754FDD" w14:textId="7BBCE0A1" w:rsidR="00820998" w:rsidRDefault="008B6AC3" w:rsidP="00005D01">
            <w:pPr>
              <w:pStyle w:val="ListEmdash"/>
              <w:numPr>
                <w:ilvl w:val="0"/>
                <w:numId w:val="0"/>
              </w:numPr>
            </w:pPr>
            <w:r w:rsidRPr="008B6AC3">
              <w:rPr>
                <w:noProof/>
              </w:rPr>
              <w:drawing>
                <wp:inline distT="0" distB="0" distL="0" distR="0" wp14:anchorId="18027CF2" wp14:editId="164C13D8">
                  <wp:extent cx="2872596" cy="1631216"/>
                  <wp:effectExtent l="0" t="0" r="444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19491" cy="1657846"/>
                          </a:xfrm>
                          <a:prstGeom prst="rect">
                            <a:avLst/>
                          </a:prstGeom>
                        </pic:spPr>
                      </pic:pic>
                    </a:graphicData>
                  </a:graphic>
                </wp:inline>
              </w:drawing>
            </w:r>
          </w:p>
        </w:tc>
      </w:tr>
      <w:tr w:rsidR="008B6AC3" w14:paraId="413BEAAC" w14:textId="77777777" w:rsidTr="000B44C3">
        <w:tc>
          <w:tcPr>
            <w:tcW w:w="4253" w:type="dxa"/>
          </w:tcPr>
          <w:p w14:paraId="0BC3D62A" w14:textId="338B31C6" w:rsidR="00820998" w:rsidRPr="000B44C3" w:rsidRDefault="005C6BB2" w:rsidP="008857F0">
            <w:pPr>
              <w:pStyle w:val="ListEmdash"/>
              <w:numPr>
                <w:ilvl w:val="0"/>
                <w:numId w:val="0"/>
              </w:numPr>
              <w:spacing w:line="240" w:lineRule="auto"/>
              <w:ind w:left="33"/>
              <w:rPr>
                <w:sz w:val="18"/>
                <w:szCs w:val="18"/>
              </w:rPr>
            </w:pPr>
            <w:r w:rsidRPr="000B44C3">
              <w:rPr>
                <w:sz w:val="18"/>
                <w:szCs w:val="18"/>
                <w:lang w:val="en-US"/>
              </w:rPr>
              <w:t>(a) Multi criteria analysis of SMR technologies</w:t>
            </w:r>
            <w:r w:rsidR="00200D42">
              <w:rPr>
                <w:sz w:val="18"/>
                <w:szCs w:val="18"/>
                <w:lang w:val="en-US"/>
              </w:rPr>
              <w:t xml:space="preserve"> using KIND-ET</w:t>
            </w:r>
          </w:p>
        </w:tc>
        <w:tc>
          <w:tcPr>
            <w:tcW w:w="4764" w:type="dxa"/>
          </w:tcPr>
          <w:p w14:paraId="72FBCEDD" w14:textId="7CB9AA5A" w:rsidR="00820998" w:rsidRPr="000B44C3" w:rsidRDefault="005C6BB2" w:rsidP="008857F0">
            <w:pPr>
              <w:pStyle w:val="ListEmdash"/>
              <w:numPr>
                <w:ilvl w:val="0"/>
                <w:numId w:val="0"/>
              </w:numPr>
              <w:spacing w:line="240" w:lineRule="auto"/>
              <w:ind w:left="58"/>
              <w:rPr>
                <w:sz w:val="18"/>
                <w:szCs w:val="18"/>
              </w:rPr>
            </w:pPr>
            <w:r w:rsidRPr="000B44C3">
              <w:rPr>
                <w:sz w:val="18"/>
                <w:szCs w:val="18"/>
                <w:lang w:val="en-US"/>
              </w:rPr>
              <w:t>(b) Multi criteria analysis of SMR and coal technologies, evaluated using KIND-ET and NEST</w:t>
            </w:r>
          </w:p>
        </w:tc>
      </w:tr>
    </w:tbl>
    <w:p w14:paraId="6D438D72" w14:textId="77777777" w:rsidR="00A37B99" w:rsidRDefault="00A37B99" w:rsidP="00005D01">
      <w:pPr>
        <w:pStyle w:val="ListEmdash"/>
        <w:numPr>
          <w:ilvl w:val="0"/>
          <w:numId w:val="0"/>
        </w:numPr>
      </w:pPr>
    </w:p>
    <w:p w14:paraId="59534E91" w14:textId="08E0EF32" w:rsidR="00D251B3" w:rsidRPr="00A410D6" w:rsidRDefault="00D251B3" w:rsidP="0024066D">
      <w:pPr>
        <w:pStyle w:val="ListEmdash"/>
        <w:numPr>
          <w:ilvl w:val="0"/>
          <w:numId w:val="0"/>
        </w:numPr>
        <w:jc w:val="left"/>
        <w:rPr>
          <w:i/>
          <w:iCs/>
          <w:sz w:val="18"/>
          <w:szCs w:val="18"/>
        </w:rPr>
      </w:pPr>
      <w:r w:rsidRPr="000B44C3">
        <w:rPr>
          <w:i/>
          <w:iCs/>
          <w:sz w:val="18"/>
          <w:szCs w:val="18"/>
        </w:rPr>
        <w:t>FIG. 7. Example of scenarios for SMR deployment developed by Member States using ASENES service package and other relevant tools.</w:t>
      </w:r>
    </w:p>
    <w:p w14:paraId="7B29C0F0" w14:textId="7D38FEAC" w:rsidR="00F004EE" w:rsidRPr="00A410D6" w:rsidRDefault="00762573" w:rsidP="000D3526">
      <w:pPr>
        <w:pStyle w:val="Heading2"/>
        <w:numPr>
          <w:ilvl w:val="1"/>
          <w:numId w:val="5"/>
        </w:numPr>
      </w:pPr>
      <w:r w:rsidRPr="00A410D6">
        <w:t>Conclusion</w:t>
      </w:r>
    </w:p>
    <w:p w14:paraId="050370F9" w14:textId="04982A3D" w:rsidR="00B05848" w:rsidRPr="00A410D6" w:rsidRDefault="006B0405" w:rsidP="002A1BE1">
      <w:pPr>
        <w:pStyle w:val="BodyText"/>
      </w:pPr>
      <w:r w:rsidRPr="00A410D6">
        <w:t xml:space="preserve">The IAEA </w:t>
      </w:r>
      <w:r w:rsidR="007E597A" w:rsidRPr="00A410D6">
        <w:t xml:space="preserve">INPRO developed a service </w:t>
      </w:r>
      <w:r w:rsidR="006E5286">
        <w:t>for</w:t>
      </w:r>
      <w:r w:rsidR="006E5286" w:rsidRPr="00A410D6">
        <w:t xml:space="preserve"> </w:t>
      </w:r>
      <w:r w:rsidR="007E597A" w:rsidRPr="00A410D6">
        <w:t>Member States</w:t>
      </w:r>
      <w:r w:rsidR="006E5286">
        <w:t>,</w:t>
      </w:r>
      <w:r w:rsidR="007E597A" w:rsidRPr="00A410D6">
        <w:t xml:space="preserve"> “Analysis Support for Enhanced Nuclear Energy Sustainability” (ASENES)</w:t>
      </w:r>
      <w:r w:rsidR="00447295">
        <w:t>. This service</w:t>
      </w:r>
      <w:r w:rsidR="00A03C30" w:rsidRPr="00A410D6">
        <w:t xml:space="preserve"> assist</w:t>
      </w:r>
      <w:r w:rsidR="00447295">
        <w:t>s</w:t>
      </w:r>
      <w:r w:rsidR="00A03C30" w:rsidRPr="00A410D6">
        <w:t xml:space="preserve"> Member States in formulating national strategies for enhancing nuclear energy sustainability</w:t>
      </w:r>
      <w:r w:rsidR="007E597A" w:rsidRPr="00A410D6">
        <w:t xml:space="preserve">. The service </w:t>
      </w:r>
      <w:r w:rsidR="00447295">
        <w:t>contains</w:t>
      </w:r>
      <w:r w:rsidR="007E597A" w:rsidRPr="00A410D6">
        <w:t xml:space="preserve"> </w:t>
      </w:r>
      <w:r w:rsidR="00832202" w:rsidRPr="00A410D6">
        <w:t>5</w:t>
      </w:r>
      <w:r w:rsidR="007E597A" w:rsidRPr="00A410D6">
        <w:t xml:space="preserve"> INPRO</w:t>
      </w:r>
      <w:r w:rsidR="00B50D4C" w:rsidRPr="00A410D6">
        <w:t xml:space="preserve"> methods and</w:t>
      </w:r>
      <w:r w:rsidR="007E597A" w:rsidRPr="00A410D6">
        <w:t xml:space="preserve"> tools</w:t>
      </w:r>
      <w:r w:rsidR="00CB0F61" w:rsidRPr="00A410D6">
        <w:t>:</w:t>
      </w:r>
      <w:r w:rsidR="007E597A" w:rsidRPr="00A410D6">
        <w:t xml:space="preserve"> MESSAGE-NES</w:t>
      </w:r>
      <w:r w:rsidR="007413F3" w:rsidRPr="00A410D6">
        <w:t xml:space="preserve">, </w:t>
      </w:r>
      <w:r w:rsidR="007E597A" w:rsidRPr="00A410D6">
        <w:t>KIND-ET</w:t>
      </w:r>
      <w:r w:rsidR="007413F3" w:rsidRPr="00A410D6">
        <w:t xml:space="preserve">, </w:t>
      </w:r>
      <w:r w:rsidR="007E597A" w:rsidRPr="00A410D6">
        <w:t>NEST (block “Analysis”)</w:t>
      </w:r>
      <w:r w:rsidR="007413F3" w:rsidRPr="00A410D6">
        <w:t xml:space="preserve">, </w:t>
      </w:r>
      <w:r w:rsidR="007E597A" w:rsidRPr="00A410D6">
        <w:t>ROADMAPS-ET</w:t>
      </w:r>
      <w:r w:rsidR="00E73764" w:rsidRPr="00A410D6">
        <w:t>, and NES Simulators</w:t>
      </w:r>
      <w:r w:rsidR="007E597A" w:rsidRPr="00A410D6">
        <w:t xml:space="preserve">. The </w:t>
      </w:r>
      <w:r w:rsidR="000D70AE">
        <w:t xml:space="preserve">ASENES </w:t>
      </w:r>
      <w:r w:rsidR="007E597A" w:rsidRPr="00A410D6">
        <w:t xml:space="preserve">service is </w:t>
      </w:r>
      <w:r w:rsidR="00ED7E6A" w:rsidRPr="00A410D6">
        <w:t>part of INPRO</w:t>
      </w:r>
      <w:r w:rsidR="000D70AE">
        <w:t>’s</w:t>
      </w:r>
      <w:r w:rsidR="00ED7E6A" w:rsidRPr="00A410D6">
        <w:t xml:space="preserve"> advisory service</w:t>
      </w:r>
      <w:r w:rsidR="008B45E3">
        <w:t>, and available</w:t>
      </w:r>
      <w:r w:rsidR="007E597A" w:rsidRPr="00A410D6">
        <w:t xml:space="preserve"> upon request </w:t>
      </w:r>
      <w:r w:rsidR="008B45E3">
        <w:t>by</w:t>
      </w:r>
      <w:r w:rsidR="008B45E3" w:rsidRPr="00A410D6">
        <w:t xml:space="preserve"> </w:t>
      </w:r>
      <w:r w:rsidR="007E597A" w:rsidRPr="00A410D6">
        <w:t>Member States</w:t>
      </w:r>
      <w:r w:rsidR="00047551">
        <w:t>. The ASENES service is</w:t>
      </w:r>
      <w:r w:rsidR="00785CB7" w:rsidRPr="00A410D6">
        <w:t xml:space="preserve"> </w:t>
      </w:r>
      <w:r w:rsidR="00A91D77" w:rsidRPr="00A410D6">
        <w:t xml:space="preserve">also </w:t>
      </w:r>
      <w:r w:rsidR="007E597A" w:rsidRPr="00A410D6">
        <w:t xml:space="preserve">a driver for new INPRO </w:t>
      </w:r>
      <w:r w:rsidRPr="00A410D6">
        <w:t>activities</w:t>
      </w:r>
      <w:r w:rsidR="007E597A" w:rsidRPr="00A410D6">
        <w:t xml:space="preserve"> related to analysis of</w:t>
      </w:r>
      <w:r w:rsidR="00406918" w:rsidRPr="00A410D6">
        <w:t xml:space="preserve"> </w:t>
      </w:r>
      <w:r w:rsidR="00C77323">
        <w:t>NES</w:t>
      </w:r>
      <w:r w:rsidR="00406918" w:rsidRPr="00A410D6">
        <w:t xml:space="preserve"> and </w:t>
      </w:r>
      <w:r w:rsidR="007E597A" w:rsidRPr="00A410D6">
        <w:t>evolution scenario options.</w:t>
      </w:r>
    </w:p>
    <w:p w14:paraId="0BDB9FA4" w14:textId="0C01C1E7" w:rsidR="001308F2" w:rsidRPr="00A410D6" w:rsidRDefault="007E597A" w:rsidP="007E597A">
      <w:pPr>
        <w:pStyle w:val="BodyText"/>
      </w:pPr>
      <w:r w:rsidRPr="00A410D6">
        <w:t xml:space="preserve">The ASENES service is overall configured to support establishing a productive dialogue between nuclear energy option proponents and decision makers regarding preferences for sustainable energy options. Developing ASENES is an open-ended activity. </w:t>
      </w:r>
      <w:r w:rsidR="00933566">
        <w:t xml:space="preserve">INPRO addresses </w:t>
      </w:r>
      <w:r w:rsidRPr="00A410D6">
        <w:t xml:space="preserve">new analysis related topics, and </w:t>
      </w:r>
      <w:r w:rsidR="004F4039">
        <w:t>develops</w:t>
      </w:r>
      <w:r w:rsidR="004F4039" w:rsidRPr="00A410D6">
        <w:t xml:space="preserve"> </w:t>
      </w:r>
      <w:r w:rsidRPr="00A410D6">
        <w:t>new methods and software tools</w:t>
      </w:r>
      <w:r w:rsidR="00C11EA9">
        <w:t>, which</w:t>
      </w:r>
      <w:r w:rsidRPr="00A410D6">
        <w:t xml:space="preserve"> support</w:t>
      </w:r>
      <w:r w:rsidR="00C11EA9">
        <w:t>s</w:t>
      </w:r>
      <w:r w:rsidRPr="00A410D6">
        <w:t xml:space="preserve"> finding solutions of relevance</w:t>
      </w:r>
      <w:r w:rsidR="00DB254B">
        <w:t xml:space="preserve"> to sustainable nuclear energy</w:t>
      </w:r>
      <w:r w:rsidR="009930FD">
        <w:t>; these activities will expand</w:t>
      </w:r>
      <w:r w:rsidRPr="00A410D6">
        <w:t xml:space="preserve"> the scope and content of ASENES.</w:t>
      </w:r>
    </w:p>
    <w:p w14:paraId="15F4F300" w14:textId="77777777" w:rsidR="00285755" w:rsidRPr="00A410D6" w:rsidRDefault="00285755" w:rsidP="00537496">
      <w:pPr>
        <w:pStyle w:val="Otherunnumberedheadings"/>
        <w:rPr>
          <w:rFonts w:hint="eastAsia"/>
        </w:rPr>
      </w:pPr>
      <w:r w:rsidRPr="00A410D6">
        <w:lastRenderedPageBreak/>
        <w:t>ACKNOWLEDGEMENTS</w:t>
      </w:r>
    </w:p>
    <w:p w14:paraId="711AF860" w14:textId="0633CB81" w:rsidR="00D26ADA" w:rsidRPr="00A410D6" w:rsidRDefault="00BB50D7" w:rsidP="00BB50D7">
      <w:pPr>
        <w:pStyle w:val="BodyText"/>
      </w:pPr>
      <w:r w:rsidRPr="00A410D6">
        <w:t>The authors would like to express sincere gratitude to V. Sargsyan (Armenia), P. Grudev (Bulgaria), A. Schwenk-Ferrero (Germany), A.I. Jalal (Pakistan), C.A. Margeanu (Romania), A. Andrianov (Russian Federation), A. Korinny and O. Godun (Ukraine), and B. Dixon (USA) for their invaluable contributions to the development of ASENES</w:t>
      </w:r>
      <w:r w:rsidR="00450572" w:rsidRPr="00A410D6">
        <w:t xml:space="preserve"> service</w:t>
      </w:r>
      <w:r w:rsidRPr="00A410D6">
        <w:t xml:space="preserve">. The development of ASENES </w:t>
      </w:r>
      <w:r w:rsidR="002A4CA0">
        <w:t>was</w:t>
      </w:r>
      <w:r w:rsidR="00FB3622">
        <w:t xml:space="preserve"> </w:t>
      </w:r>
      <w:r w:rsidR="004307EF">
        <w:t>by</w:t>
      </w:r>
      <w:r w:rsidRPr="00A410D6">
        <w:t xml:space="preserve"> experts from Argentina, Bangladesh, Belarus, Brazil, Bulgaria, Canada, China, Croatia, Egypt, France, Germany, Indonesia, Kenya, Malaysia, Mexico, Morocco, Mongolia, Pakistan, Romania, Russian Federation, Thailand, Tunisia, USA, </w:t>
      </w:r>
      <w:proofErr w:type="gramStart"/>
      <w:r w:rsidRPr="00A410D6">
        <w:t>Ukraine</w:t>
      </w:r>
      <w:proofErr w:type="gramEnd"/>
      <w:r w:rsidRPr="00A410D6">
        <w:t xml:space="preserve"> and Viet Nam who participated in technical meetings, performed verification and validation of tools and took part in pilot trainings. </w:t>
      </w:r>
      <w:r w:rsidR="0044458B">
        <w:t>The authors would also like to thank Carolynn Scherer from INPRO for reviewing the paper.</w:t>
      </w:r>
    </w:p>
    <w:p w14:paraId="32B76F9D" w14:textId="77777777" w:rsidR="00D26ADA" w:rsidRPr="00A410D6" w:rsidRDefault="00D26ADA" w:rsidP="00537496">
      <w:pPr>
        <w:pStyle w:val="Otherunnumberedheadings"/>
        <w:rPr>
          <w:rFonts w:hint="eastAsia"/>
        </w:rPr>
      </w:pPr>
      <w:r w:rsidRPr="00A410D6">
        <w:t>References</w:t>
      </w:r>
    </w:p>
    <w:p w14:paraId="0998E150" w14:textId="1672EE00" w:rsidR="00BB50D7" w:rsidRPr="00A410D6" w:rsidRDefault="00BB50D7" w:rsidP="00BB50D7">
      <w:pPr>
        <w:pStyle w:val="Referencelist"/>
      </w:pPr>
      <w:r w:rsidRPr="00A410D6">
        <w:t>BRUNDTLAND COMMISSION, World Commission on Environment and Development, “Our Common Future”, Oxford University Press, Oxford (1987).</w:t>
      </w:r>
    </w:p>
    <w:p w14:paraId="49086E70" w14:textId="3CE12A45" w:rsidR="00BB50D7" w:rsidRPr="00A410D6" w:rsidRDefault="00BB50D7" w:rsidP="00BB50D7">
      <w:pPr>
        <w:pStyle w:val="Referencelist"/>
      </w:pPr>
      <w:r w:rsidRPr="00A410D6">
        <w:t>INTERNATIONAL ATOMIC ENERGY AGENCY, Guidance for the Application of an Assessment Methodology for Innovative Nuclear Energy Systems: INPRO Manual – Overview of the Methodology, I</w:t>
      </w:r>
      <w:r w:rsidR="00EA3BFC" w:rsidRPr="00A410D6">
        <w:t>A</w:t>
      </w:r>
      <w:r w:rsidRPr="00A410D6">
        <w:t>EA-TECDOC-1575, IAEA, Vienna (2008).</w:t>
      </w:r>
    </w:p>
    <w:p w14:paraId="32075A94" w14:textId="77777777" w:rsidR="008862B9" w:rsidRPr="00A410D6" w:rsidRDefault="008862B9" w:rsidP="008862B9">
      <w:pPr>
        <w:pStyle w:val="Referencelist"/>
      </w:pPr>
      <w:r w:rsidRPr="00A410D6">
        <w:t>INTERNATIONAL ATOMIC ENERGY AGENCY, Framework for Assessing Dynamic Nuclear Energy Systems for Sustainability, Final Report of the INPRO Collaborative Project on Global Architectures of Innovative Nuclear Energy Systems with Thermal and Fast Reactors and a Closed Nuclear Fuel Cycle (GAINS), IAEA Nuclear Energy Series NP-T-1.14, IAEA, Vienna (2013).</w:t>
      </w:r>
    </w:p>
    <w:p w14:paraId="5F2AB6E8" w14:textId="77777777" w:rsidR="008862B9" w:rsidRPr="00A410D6" w:rsidRDefault="008862B9" w:rsidP="008862B9">
      <w:pPr>
        <w:pStyle w:val="Referencelist"/>
      </w:pPr>
      <w:r w:rsidRPr="00A410D6">
        <w:t>INTERNATIONAL ATOMIC ENERGY AGENCY, Enhancing Benefits of Nuclear Energy Technology Innovation through Cooperation among Countries, Final Report of the INPRO Collaborative Project on Synergistic nuclear energy regional group interactions evaluated for sustainability (SYNERGIES), IAEA Nuclear Energy Series NP-T-4, IAEA, Vienna (2018).</w:t>
      </w:r>
    </w:p>
    <w:p w14:paraId="04B7C5A4" w14:textId="77777777" w:rsidR="008862B9" w:rsidRPr="00A410D6" w:rsidRDefault="008862B9" w:rsidP="008862B9">
      <w:pPr>
        <w:pStyle w:val="Referencelist"/>
      </w:pPr>
      <w:r w:rsidRPr="00A410D6">
        <w:t>INTERNATIONAL ATOMIC ENERGY AGENCY, Application of Multi-criteria Decision Analysis Methods to Comparative Evaluation of Nuclear Energy System Options: Final Report of the INPRO Collaborative Project KIND, IAEA Nuclear Energy Series No. NG-T-3.20, IAEA, Vienna (2019).</w:t>
      </w:r>
    </w:p>
    <w:p w14:paraId="1925D283" w14:textId="77777777" w:rsidR="008862B9" w:rsidRPr="00A410D6" w:rsidRDefault="008862B9" w:rsidP="008862B9">
      <w:pPr>
        <w:pStyle w:val="Referencelist"/>
      </w:pPr>
      <w:r w:rsidRPr="00A410D6">
        <w:t>INTERNATIONAL ATOMIC ENERGY AGENCY, Comparative Evaluation of Nuclear Energy System Options; Country case studies, Final Report of the INPRO Collaborative Project CENESO, IAEA-TECDOC-2027, IAEA, Vienna (2023).</w:t>
      </w:r>
    </w:p>
    <w:p w14:paraId="205DC02F" w14:textId="77777777" w:rsidR="008862B9" w:rsidRPr="00A410D6" w:rsidRDefault="008862B9" w:rsidP="008862B9">
      <w:pPr>
        <w:pStyle w:val="Referencelist"/>
      </w:pPr>
      <w:r w:rsidRPr="00A410D6">
        <w:t>INTERNATIONAL ATOMIC ENERGY AGENCY, Developing Roadmaps to Enhance Nuclear Energy Sustainability: Final Report of the INPRO Collaborative Project ROADMAPS, IAEA Nuclear Energy Series No. NG-T-3.22, IAEA, Vienna (2021).</w:t>
      </w:r>
    </w:p>
    <w:p w14:paraId="1CAD0899" w14:textId="77777777" w:rsidR="00F76D43" w:rsidRPr="00A410D6" w:rsidRDefault="00F76D43" w:rsidP="00F76D43">
      <w:pPr>
        <w:pStyle w:val="Referencelist"/>
      </w:pPr>
      <w:r w:rsidRPr="00A410D6">
        <w:t>INTERNATIONAL ATOMIC ENERGY AGENCY, Planning Enhanced Nuclear Energy Sustainability: An INPRO Service to Member States, Analysis Support for Enhanced Nuclear Energy Sustainability (ASENES), IAEA Nuclear Energy Series No. NG-T-3.19, IAEA, Vienna (2021).</w:t>
      </w:r>
    </w:p>
    <w:p w14:paraId="2F91F8F4" w14:textId="77777777" w:rsidR="00B63E1E" w:rsidRPr="00A410D6" w:rsidRDefault="00B63E1E" w:rsidP="00B63E1E">
      <w:pPr>
        <w:pStyle w:val="Referencelist"/>
      </w:pPr>
      <w:r w:rsidRPr="00A410D6">
        <w:t>INTERNATIONAL ATOMIC ENERGY AGENCY, Simulators for Scenario Analysis of Nuclear Energy Systems, Training Course Series, IAEA, Vienna (in preparation).</w:t>
      </w:r>
    </w:p>
    <w:p w14:paraId="63819740" w14:textId="17520062" w:rsidR="00BB50D7" w:rsidRPr="00A410D6" w:rsidRDefault="00BB50D7" w:rsidP="00BB50D7">
      <w:pPr>
        <w:pStyle w:val="Referencelist"/>
      </w:pPr>
      <w:r w:rsidRPr="00A410D6">
        <w:t xml:space="preserve">INTERNATIONAL INSTITUTE FOR APPLIED SYSTEMS ANALYSIS, Energy </w:t>
      </w:r>
      <w:proofErr w:type="spellStart"/>
      <w:r w:rsidRPr="00A410D6">
        <w:t>Modeling</w:t>
      </w:r>
      <w:proofErr w:type="spellEnd"/>
      <w:r w:rsidRPr="00A410D6">
        <w:t xml:space="preserve"> Framework: Model for Energy Supply Strategy Alternatives and their General Environmental Impact (MESSAGE), IIASA, </w:t>
      </w:r>
      <w:proofErr w:type="spellStart"/>
      <w:r w:rsidRPr="00A410D6">
        <w:t>Laxenburg</w:t>
      </w:r>
      <w:proofErr w:type="spellEnd"/>
      <w:r w:rsidRPr="00A410D6">
        <w:t xml:space="preserve"> (2009).</w:t>
      </w:r>
    </w:p>
    <w:p w14:paraId="7D9466E9" w14:textId="2BAF06F9" w:rsidR="00BB50D7" w:rsidRPr="00A410D6" w:rsidRDefault="00BB50D7" w:rsidP="00BB50D7">
      <w:pPr>
        <w:pStyle w:val="Referencelist"/>
      </w:pPr>
      <w:r w:rsidRPr="00A410D6">
        <w:t>INTERNATIONAL ATOMIC ENERGY AGENCY, Modelling Nuclear Energy Systems with MESSAGE: A Users’ Guide, IAEA Nuclear Energy Series No. NG - T - 5.2, IAEA, Vienna (2016).</w:t>
      </w:r>
    </w:p>
    <w:p w14:paraId="413CF1BB" w14:textId="15C7B183" w:rsidR="00BB50D7" w:rsidRPr="00A410D6" w:rsidRDefault="00BB50D7" w:rsidP="00BB50D7">
      <w:pPr>
        <w:pStyle w:val="Referencelist"/>
      </w:pPr>
      <w:r w:rsidRPr="00A410D6">
        <w:t>INTERNATIONAL ATOMIC ENERGY AGENCY, Experience in Modelling Nuclear Energy Systems with MESSAGE: Country Case Studies, IAEA-TECDOC-1837, IAEA, Vienna (2018).</w:t>
      </w:r>
    </w:p>
    <w:p w14:paraId="6818DDC9" w14:textId="3D05E90F" w:rsidR="00BB50D7" w:rsidRPr="00A410D6" w:rsidRDefault="00BB50D7" w:rsidP="00BB50D7">
      <w:pPr>
        <w:pStyle w:val="Referencelist"/>
      </w:pPr>
      <w:r w:rsidRPr="00A410D6">
        <w:t>INTERNATIONAL ATOMIC ENERGY AGENCY, INPRO Methodology for Sustainability Assessment of Nuclear Energy Systems: Economics, IAEA Nuclear Energy Series No., NG-T-4.4, IAEA, Vienna (2014).</w:t>
      </w:r>
    </w:p>
    <w:p w14:paraId="47E6A4AF" w14:textId="77777777" w:rsidR="00125830" w:rsidRPr="00A410D6" w:rsidRDefault="00125830" w:rsidP="00125830">
      <w:pPr>
        <w:pStyle w:val="Referencelist"/>
      </w:pPr>
      <w:r w:rsidRPr="00A410D6">
        <w:t>MOORE, M., KORINNY, A., SHROPSHIRE, D., SADHANKAR, R., Benchmarking of Nuclear Economics Tools, Annals of Nuclear Energy, 103, Elsevier (2017).</w:t>
      </w:r>
    </w:p>
    <w:p w14:paraId="1D0156C4" w14:textId="1C42DC0E" w:rsidR="00BB50D7" w:rsidRPr="00A410D6" w:rsidRDefault="00BB50D7" w:rsidP="00BB50D7">
      <w:pPr>
        <w:pStyle w:val="Referencelist"/>
      </w:pPr>
      <w:r w:rsidRPr="00A410D6">
        <w:t>INTERNATIONAL ATOMIC ENERGY AGENCY, Economic Evaluation of Alternative Nuclear Energy Systems: A Supplement for the INPRO ASENES Service, IAEA-TECDOC-2014, IAEA, Vienna (2022).</w:t>
      </w:r>
    </w:p>
    <w:p w14:paraId="3BA56E06" w14:textId="41829222" w:rsidR="00F45EEE" w:rsidRPr="00A410D6" w:rsidRDefault="00F45EEE" w:rsidP="000B44C3">
      <w:pPr>
        <w:pStyle w:val="Referencelist"/>
        <w:numPr>
          <w:ilvl w:val="0"/>
          <w:numId w:val="0"/>
        </w:numPr>
        <w:ind w:left="720" w:hanging="360"/>
      </w:pPr>
    </w:p>
    <w:sectPr w:rsidR="00F45EEE" w:rsidRPr="00A410D6" w:rsidSect="0026525A">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637F5" w14:textId="77777777" w:rsidR="00D9619C" w:rsidRDefault="00D9619C">
      <w:r>
        <w:separator/>
      </w:r>
    </w:p>
  </w:endnote>
  <w:endnote w:type="continuationSeparator" w:id="0">
    <w:p w14:paraId="42CFF8A8" w14:textId="77777777" w:rsidR="00D9619C" w:rsidRDefault="00D9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F961" w14:textId="749D5118" w:rsidR="00E20E70" w:rsidRDefault="00E20E70">
    <w:pPr>
      <w:pStyle w:val="zyxClassification1"/>
    </w:pPr>
    <w:r>
      <w:fldChar w:fldCharType="begin"/>
    </w:r>
    <w:r>
      <w:instrText xml:space="preserve"> DOCPROPERTY "IaeaClassification"  \* MERGEFORMAT </w:instrText>
    </w:r>
    <w:r>
      <w:fldChar w:fldCharType="end"/>
    </w:r>
  </w:p>
  <w:p w14:paraId="1FDEB1B7" w14:textId="08C2EFCD" w:rsidR="00E20E70" w:rsidRDefault="00E20E70">
    <w:pPr>
      <w:pStyle w:val="zyxClassification2"/>
    </w:pPr>
    <w:r>
      <w:fldChar w:fldCharType="begin"/>
    </w:r>
    <w:r>
      <w:instrText>DOCPROPERTY "IaeaClassification2"  \* MERGEFORMAT</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308E" w14:textId="07097116" w:rsidR="00E20E70" w:rsidRDefault="00E20E70">
    <w:pPr>
      <w:pStyle w:val="zyxClassification1"/>
    </w:pPr>
    <w:r>
      <w:fldChar w:fldCharType="begin"/>
    </w:r>
    <w:r>
      <w:instrText xml:space="preserve"> DOCPROPERTY "IaeaClassification"  \* MERGEFORMAT </w:instrText>
    </w:r>
    <w:r>
      <w:fldChar w:fldCharType="end"/>
    </w:r>
  </w:p>
  <w:p w14:paraId="7E32AC2C" w14:textId="1B12A6A0" w:rsidR="00E20E70" w:rsidRPr="00037321" w:rsidRDefault="00037321">
    <w:pPr>
      <w:pStyle w:val="zyxClassification2"/>
      <w:rPr>
        <w:rFonts w:ascii="Times New Roman" w:hAnsi="Times New Roman" w:cs="Times New Roman"/>
        <w:sz w:val="20"/>
      </w:rPr>
    </w:pPr>
    <w:r w:rsidRPr="00037321">
      <w:rPr>
        <w:rFonts w:ascii="Times New Roman" w:hAnsi="Times New Roman" w:cs="Times New Roman"/>
        <w:sz w:val="20"/>
      </w:rPr>
      <w:fldChar w:fldCharType="begin"/>
    </w:r>
    <w:r w:rsidRPr="00037321">
      <w:rPr>
        <w:rFonts w:ascii="Times New Roman" w:hAnsi="Times New Roman" w:cs="Times New Roman"/>
        <w:sz w:val="20"/>
      </w:rPr>
      <w:instrText xml:space="preserve"> PAGE </w:instrText>
    </w:r>
    <w:r w:rsidRPr="00037321">
      <w:rPr>
        <w:rFonts w:ascii="Times New Roman" w:hAnsi="Times New Roman" w:cs="Times New Roman"/>
        <w:sz w:val="20"/>
      </w:rPr>
      <w:fldChar w:fldCharType="separate"/>
    </w:r>
    <w:r w:rsidR="0026525A">
      <w:rPr>
        <w:rFonts w:ascii="Times New Roman" w:hAnsi="Times New Roman" w:cs="Times New Roman"/>
        <w:noProof/>
        <w:sz w:val="20"/>
      </w:rPr>
      <w:t>1</w:t>
    </w:r>
    <w:r w:rsidRPr="00037321">
      <w:rPr>
        <w:rFonts w:ascii="Times New Roman" w:hAnsi="Times New Roman" w:cs="Times New Roman"/>
        <w:sz w:val="20"/>
      </w:rPr>
      <w:fldChar w:fldCharType="end"/>
    </w:r>
    <w:r w:rsidR="00E20E70" w:rsidRPr="00037321">
      <w:rPr>
        <w:rFonts w:ascii="Times New Roman" w:hAnsi="Times New Roman" w:cs="Times New Roman"/>
        <w:sz w:val="20"/>
      </w:rPr>
      <w:fldChar w:fldCharType="begin"/>
    </w:r>
    <w:r w:rsidR="00E20E70" w:rsidRPr="00037321">
      <w:rPr>
        <w:rFonts w:ascii="Times New Roman" w:hAnsi="Times New Roman" w:cs="Times New Roman"/>
        <w:sz w:val="20"/>
      </w:rPr>
      <w:instrText>DOCPROPERTY "IaeaClassification2"  \* MERGEFORMAT</w:instrText>
    </w:r>
    <w:r w:rsidR="00E20E70" w:rsidRPr="00037321">
      <w:rPr>
        <w:rFonts w:ascii="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390" w:tblpY="15707"/>
      <w:tblOverlap w:val="never"/>
      <w:tblW w:w="10314" w:type="dxa"/>
      <w:tblLook w:val="0000" w:firstRow="0" w:lastRow="0" w:firstColumn="0" w:lastColumn="0" w:noHBand="0" w:noVBand="0"/>
    </w:tblPr>
    <w:tblGrid>
      <w:gridCol w:w="4644"/>
      <w:gridCol w:w="5670"/>
    </w:tblGrid>
    <w:tr w:rsidR="00E20E70" w14:paraId="2AC0DA17" w14:textId="77777777">
      <w:trPr>
        <w:cantSplit/>
      </w:trPr>
      <w:tc>
        <w:tcPr>
          <w:tcW w:w="4644" w:type="dxa"/>
        </w:tcPr>
        <w:p w14:paraId="6CFF9F49" w14:textId="13BB3B08" w:rsidR="00E20E70" w:rsidRDefault="00E20E70">
          <w:pPr>
            <w:pStyle w:val="zyxDistribution"/>
            <w:framePr w:wrap="auto" w:vAnchor="margin" w:hAnchor="text" w:xAlign="left" w:yAlign="inline"/>
            <w:suppressOverlap w:val="0"/>
          </w:pPr>
          <w:r>
            <w:fldChar w:fldCharType="begin"/>
          </w:r>
          <w:r>
            <w:instrText xml:space="preserve"> DOCPROPERTY "IaeaDistribution"  \* MERGEFORMAT </w:instrText>
          </w:r>
          <w:r>
            <w:fldChar w:fldCharType="end"/>
          </w:r>
        </w:p>
        <w:p w14:paraId="258EA1F7" w14:textId="40EFD354" w:rsidR="00E20E70" w:rsidRDefault="00E20E70">
          <w:pPr>
            <w:pStyle w:val="zyxSensitivity"/>
            <w:framePr w:wrap="auto" w:vAnchor="margin" w:hAnchor="text" w:xAlign="left" w:yAlign="inline"/>
            <w:suppressOverlap w:val="0"/>
          </w:pPr>
          <w:r>
            <w:fldChar w:fldCharType="begin"/>
          </w:r>
          <w:r>
            <w:instrText xml:space="preserve"> DOCPROPERTY "IaeaSensitivity"  \* MERGEFORMAT </w:instrText>
          </w:r>
          <w:r>
            <w:fldChar w:fldCharType="end"/>
          </w:r>
        </w:p>
      </w:tc>
      <w:bookmarkStart w:id="1" w:name="DOC_bkmClassification2"/>
      <w:tc>
        <w:tcPr>
          <w:tcW w:w="5670" w:type="dxa"/>
          <w:tcMar>
            <w:right w:w="249" w:type="dxa"/>
          </w:tcMar>
        </w:tcPr>
        <w:p w14:paraId="6BE850AD" w14:textId="3203301F"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1"/>
        <w:p w14:paraId="4A6BF5C8" w14:textId="57DF261A" w:rsidR="00E20E70" w:rsidRDefault="00E20E70">
          <w:pPr>
            <w:spacing w:after="20" w:line="220" w:lineRule="exact"/>
            <w:jc w:val="right"/>
            <w:rPr>
              <w:rFonts w:ascii="Arial" w:hAnsi="Arial" w:cs="Arial"/>
              <w:color w:val="FF0000"/>
            </w:rPr>
          </w:pPr>
          <w:r>
            <w:rPr>
              <w:rFonts w:ascii="Arial" w:hAnsi="Arial"/>
              <w:b/>
            </w:rPr>
            <w:fldChar w:fldCharType="begin"/>
          </w:r>
          <w:r>
            <w:rPr>
              <w:rFonts w:ascii="Arial" w:hAnsi="Arial"/>
              <w:b/>
            </w:rPr>
            <w:instrText>DOCPROPERTY "IaeaConfidentialAttachments"  \* MERGEFORMAT</w:instrText>
          </w:r>
          <w:r>
            <w:rPr>
              <w:rFonts w:ascii="Arial" w:hAnsi="Arial"/>
              <w:b/>
            </w:rPr>
            <w:fldChar w:fldCharType="end"/>
          </w:r>
          <w:r>
            <w:rPr>
              <w:rFonts w:ascii="Arial" w:hAnsi="Arial" w:cs="Arial"/>
              <w:color w:val="FF0000"/>
            </w:rPr>
            <w:fldChar w:fldCharType="begin"/>
          </w:r>
          <w:r>
            <w:rPr>
              <w:rFonts w:ascii="Arial" w:hAnsi="Arial" w:cs="Arial"/>
              <w:color w:val="FF0000"/>
            </w:rPr>
            <w:instrText>DOCPROPERTY "IaeaClassification2"  \* MERGEFORMAT</w:instrText>
          </w:r>
          <w:r>
            <w:rPr>
              <w:rFonts w:ascii="Arial" w:hAnsi="Arial" w:cs="Arial"/>
              <w:color w:val="FF0000"/>
            </w:rPr>
            <w:fldChar w:fldCharType="end"/>
          </w:r>
        </w:p>
      </w:tc>
    </w:tr>
  </w:tbl>
  <w:bookmarkStart w:id="2" w:name="DOC_bkmFileName"/>
  <w:p w14:paraId="437B756E" w14:textId="7D8C6EB1" w:rsidR="00E20E70" w:rsidRDefault="00E20E70">
    <w:r>
      <w:rPr>
        <w:sz w:val="16"/>
      </w:rPr>
      <w:fldChar w:fldCharType="begin"/>
    </w:r>
    <w:r>
      <w:rPr>
        <w:sz w:val="16"/>
      </w:rPr>
      <w:instrText xml:space="preserve"> FILENAME \* MERGEFORMAT </w:instrText>
    </w:r>
    <w:r>
      <w:rPr>
        <w:sz w:val="16"/>
      </w:rPr>
      <w:fldChar w:fldCharType="separate"/>
    </w:r>
    <w:r w:rsidR="008C7708">
      <w:rPr>
        <w:noProof/>
        <w:sz w:val="16"/>
      </w:rPr>
      <w:t>REV4 Paper on ASENES INPRO Service to MS cps.docx</w:t>
    </w:r>
    <w:r>
      <w:rPr>
        <w:sz w:val="16"/>
      </w:rP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E13B5" w14:textId="77777777" w:rsidR="00D9619C" w:rsidRDefault="00D9619C">
      <w:r>
        <w:t>___________________________________________________________________________</w:t>
      </w:r>
    </w:p>
  </w:footnote>
  <w:footnote w:type="continuationSeparator" w:id="0">
    <w:p w14:paraId="5EBCA610" w14:textId="77777777" w:rsidR="00D9619C" w:rsidRDefault="00D9619C">
      <w:r>
        <w:t>___________________________________________________________________________</w:t>
      </w:r>
    </w:p>
  </w:footnote>
  <w:footnote w:type="continuationNotice" w:id="1">
    <w:p w14:paraId="3A257E42" w14:textId="77777777" w:rsidR="00D9619C" w:rsidRDefault="00D9619C"/>
  </w:footnote>
  <w:footnote w:id="2">
    <w:p w14:paraId="6D42A1DA" w14:textId="2042C407" w:rsidR="002B055C" w:rsidRPr="008C4596" w:rsidRDefault="002B055C">
      <w:pPr>
        <w:pStyle w:val="FootnoteText"/>
        <w:rPr>
          <w:lang w:val="en-US"/>
        </w:rPr>
      </w:pPr>
      <w:r>
        <w:rPr>
          <w:rStyle w:val="FootnoteReference"/>
        </w:rPr>
        <w:footnoteRef/>
      </w:r>
      <w:r>
        <w:t xml:space="preserve"> </w:t>
      </w:r>
      <w:r w:rsidR="003D5CBF">
        <w:t>T</w:t>
      </w:r>
      <w:r w:rsidR="006C2C35">
        <w:t xml:space="preserve">he </w:t>
      </w:r>
      <w:r w:rsidR="007A1EFF">
        <w:t>IAEA Learning Management System</w:t>
      </w:r>
      <w:r w:rsidR="006A1A2F">
        <w:t xml:space="preserve"> </w:t>
      </w:r>
      <w:r w:rsidR="00643FE0">
        <w:t>provides learning materials as a part of the Cyber Learning Platform for Network (CLP4NET)</w:t>
      </w:r>
      <w:r w:rsidR="001D60FD">
        <w:t xml:space="preserve">: </w:t>
      </w:r>
      <w:hyperlink r:id="rId1" w:history="1">
        <w:r w:rsidR="001D60FD" w:rsidRPr="00F85BAA">
          <w:rPr>
            <w:rStyle w:val="Hyperlink"/>
          </w:rPr>
          <w:t>https://elearning.iaea.org/m2/</w:t>
        </w:r>
      </w:hyperlink>
      <w:r w:rsidR="001D60F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92CEF" w14:textId="4C932F91" w:rsidR="00E20E70" w:rsidRDefault="00CF7AF3" w:rsidP="00EA33A3">
    <w:pPr>
      <w:pStyle w:val="Runninghead"/>
    </w:pPr>
    <w:r>
      <w:tab/>
      <w:t>IAEA-CN-</w:t>
    </w:r>
    <w:r w:rsidR="00EA33A3">
      <w:t>327</w:t>
    </w:r>
    <w:r>
      <w:t>/</w:t>
    </w:r>
    <w:r w:rsidR="00EA33A3">
      <w:t>335</w:t>
    </w:r>
    <w:r w:rsidR="00E20E70">
      <w:fldChar w:fldCharType="begin"/>
    </w:r>
    <w:r w:rsidR="00E20E70">
      <w:instrText xml:space="preserve"> DOCPROPERTY "IaeaClassification"  \* MERGEFORMAT </w:instrText>
    </w:r>
    <w:r w:rsidR="00E20E70">
      <w:fldChar w:fldCharType="end"/>
    </w:r>
    <w:r w:rsidR="00E20E70">
      <w:fldChar w:fldCharType="begin"/>
    </w:r>
    <w:r w:rsidR="00E20E70">
      <w:instrText>DOCPROPERTY "IaeaClassification2"  \* MERGEFORMAT</w:instrText>
    </w:r>
    <w:r w:rsidR="00E20E7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2EF17" w14:textId="649E26EE" w:rsidR="00037321" w:rsidRPr="00EA33A3" w:rsidRDefault="007E597A" w:rsidP="00EA33A3">
    <w:pPr>
      <w:pStyle w:val="Runninghead"/>
    </w:pPr>
    <w:r>
      <w:t xml:space="preserve">J.M.C. JOHARI </w:t>
    </w:r>
    <w:r w:rsidR="00EA33A3">
      <w:t>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333" w:tblpY="228"/>
      <w:tblOverlap w:val="never"/>
      <w:tblW w:w="10319" w:type="dxa"/>
      <w:tblLayout w:type="fixed"/>
      <w:tblLook w:val="0000" w:firstRow="0" w:lastRow="0" w:firstColumn="0" w:lastColumn="0" w:noHBand="0" w:noVBand="0"/>
    </w:tblPr>
    <w:tblGrid>
      <w:gridCol w:w="979"/>
      <w:gridCol w:w="3638"/>
      <w:gridCol w:w="5702"/>
    </w:tblGrid>
    <w:tr w:rsidR="00E20E70" w14:paraId="2C69EA9B" w14:textId="77777777">
      <w:trPr>
        <w:cantSplit/>
        <w:trHeight w:val="716"/>
      </w:trPr>
      <w:tc>
        <w:tcPr>
          <w:tcW w:w="979" w:type="dxa"/>
          <w:vMerge w:val="restart"/>
        </w:tcPr>
        <w:p w14:paraId="2A6ADF80" w14:textId="77777777" w:rsidR="00E20E70" w:rsidRDefault="00E20E70">
          <w:pPr>
            <w:spacing w:before="180"/>
            <w:ind w:left="17"/>
          </w:pPr>
        </w:p>
      </w:tc>
      <w:tc>
        <w:tcPr>
          <w:tcW w:w="3638" w:type="dxa"/>
          <w:vAlign w:val="bottom"/>
        </w:tcPr>
        <w:p w14:paraId="610CF310" w14:textId="77777777" w:rsidR="00E20E70" w:rsidRDefault="00E20E70">
          <w:pPr>
            <w:spacing w:after="20"/>
          </w:pPr>
        </w:p>
      </w:tc>
      <w:bookmarkStart w:id="0" w:name="DOC_bkmClassification1"/>
      <w:tc>
        <w:tcPr>
          <w:tcW w:w="5702" w:type="dxa"/>
          <w:vMerge w:val="restart"/>
          <w:tcMar>
            <w:right w:w="193" w:type="dxa"/>
          </w:tcMar>
        </w:tcPr>
        <w:p w14:paraId="48D5842E" w14:textId="4B7C1BEA"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0"/>
        <w:p w14:paraId="423CAA9C" w14:textId="44FA81AD" w:rsidR="00E20E70" w:rsidRDefault="00E20E70">
          <w:pPr>
            <w:pStyle w:val="zyxConfid2Red"/>
          </w:pPr>
          <w:r>
            <w:fldChar w:fldCharType="begin"/>
          </w:r>
          <w:r>
            <w:instrText>DOCPROPERTY "IaeaClassification2"  \* MERGEFORMAT</w:instrText>
          </w:r>
          <w:r>
            <w:fldChar w:fldCharType="end"/>
          </w:r>
        </w:p>
      </w:tc>
    </w:tr>
    <w:tr w:rsidR="00E20E70" w14:paraId="7130D945" w14:textId="77777777">
      <w:trPr>
        <w:cantSplit/>
        <w:trHeight w:val="167"/>
      </w:trPr>
      <w:tc>
        <w:tcPr>
          <w:tcW w:w="979" w:type="dxa"/>
          <w:vMerge/>
        </w:tcPr>
        <w:p w14:paraId="7659FE2B" w14:textId="77777777" w:rsidR="00E20E70" w:rsidRDefault="00E20E70">
          <w:pPr>
            <w:spacing w:before="57"/>
          </w:pPr>
        </w:p>
      </w:tc>
      <w:tc>
        <w:tcPr>
          <w:tcW w:w="3638" w:type="dxa"/>
          <w:vAlign w:val="bottom"/>
        </w:tcPr>
        <w:p w14:paraId="7578AADC" w14:textId="77777777" w:rsidR="00E20E70" w:rsidRDefault="00E20E70">
          <w:pPr>
            <w:pStyle w:val="Heading9"/>
            <w:spacing w:before="0" w:after="10"/>
          </w:pPr>
        </w:p>
      </w:tc>
      <w:tc>
        <w:tcPr>
          <w:tcW w:w="5702" w:type="dxa"/>
          <w:vMerge/>
          <w:vAlign w:val="bottom"/>
        </w:tcPr>
        <w:p w14:paraId="313FA1D9" w14:textId="77777777" w:rsidR="00E20E70" w:rsidRDefault="00E20E70">
          <w:pPr>
            <w:pStyle w:val="Heading9"/>
            <w:spacing w:before="0" w:after="10"/>
          </w:pPr>
        </w:p>
      </w:tc>
    </w:tr>
  </w:tbl>
  <w:p w14:paraId="7A0C2B4B" w14:textId="77777777" w:rsidR="00E20E70" w:rsidRDefault="00E20E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1" w15:restartNumberingAfterBreak="0">
    <w:nsid w:val="12FD2B00"/>
    <w:multiLevelType w:val="hybridMultilevel"/>
    <w:tmpl w:val="9E6E888A"/>
    <w:lvl w:ilvl="0" w:tplc="77A46C60">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1933D8"/>
    <w:multiLevelType w:val="hybridMultilevel"/>
    <w:tmpl w:val="4D7871D8"/>
    <w:lvl w:ilvl="0" w:tplc="77A46C60">
      <w:start w:val="1"/>
      <w:numFmt w:val="bullet"/>
      <w:lvlText w:val="—"/>
      <w:lvlJc w:val="left"/>
      <w:pPr>
        <w:ind w:left="360" w:hanging="360"/>
      </w:pPr>
      <w:rPr>
        <w:rFonts w:ascii="Times New Roman" w:hAnsi="Times New Roman" w:cs="Times New Roman" w:hint="default"/>
      </w:rPr>
    </w:lvl>
    <w:lvl w:ilvl="1" w:tplc="FFFFFFFF">
      <w:numFmt w:val="bullet"/>
      <w:lvlText w:val="•"/>
      <w:lvlJc w:val="left"/>
      <w:pPr>
        <w:ind w:left="1290" w:hanging="57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7"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0109A4"/>
    <w:multiLevelType w:val="hybridMultilevel"/>
    <w:tmpl w:val="A32E9720"/>
    <w:lvl w:ilvl="0" w:tplc="ED2675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0" w15:restartNumberingAfterBreak="0">
    <w:nsid w:val="52F53C04"/>
    <w:multiLevelType w:val="hybridMultilevel"/>
    <w:tmpl w:val="60BA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D51093"/>
    <w:multiLevelType w:val="multilevel"/>
    <w:tmpl w:val="D8FA943C"/>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Heading2"/>
      <w:suff w:val="space"/>
      <w:lvlText w:val="%1%2."/>
      <w:lvlJc w:val="left"/>
      <w:pPr>
        <w:ind w:left="0" w:firstLine="0"/>
      </w:pPr>
      <w:rPr>
        <w:rFonts w:hint="default"/>
        <w:color w:val="auto"/>
      </w:rPr>
    </w:lvl>
    <w:lvl w:ilvl="2">
      <w:start w:val="1"/>
      <w:numFmt w:val="decimal"/>
      <w:lvlRestart w:val="0"/>
      <w:pStyle w:val="Heading3"/>
      <w:lvlText w:val="%1%2.%3."/>
      <w:lvlJc w:val="left"/>
      <w:pPr>
        <w:ind w:left="0" w:firstLine="0"/>
      </w:pPr>
      <w:rPr>
        <w:rFonts w:hint="default"/>
      </w:rPr>
    </w:lvl>
    <w:lvl w:ilvl="3">
      <w:start w:val="1"/>
      <w:numFmt w:val="decimal"/>
      <w:lvlRestart w:val="0"/>
      <w:pStyle w:val="Heading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2" w15:restartNumberingAfterBreak="0">
    <w:nsid w:val="717E4627"/>
    <w:multiLevelType w:val="hybridMultilevel"/>
    <w:tmpl w:val="33524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6447EB"/>
    <w:multiLevelType w:val="hybridMultilevel"/>
    <w:tmpl w:val="99444768"/>
    <w:lvl w:ilvl="0" w:tplc="77A46C60">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485078158">
    <w:abstractNumId w:val="9"/>
  </w:num>
  <w:num w:numId="2" w16cid:durableId="59716700">
    <w:abstractNumId w:val="4"/>
  </w:num>
  <w:num w:numId="3" w16cid:durableId="528497540">
    <w:abstractNumId w:val="6"/>
  </w:num>
  <w:num w:numId="4" w16cid:durableId="1007632637">
    <w:abstractNumId w:val="0"/>
  </w:num>
  <w:num w:numId="5" w16cid:durableId="422917246">
    <w:abstractNumId w:val="11"/>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lvlText w:val="%1%2."/>
        <w:lvlJc w:val="left"/>
        <w:pPr>
          <w:ind w:left="0" w:firstLine="0"/>
        </w:pPr>
        <w:rPr>
          <w:rFonts w:hint="default"/>
          <w:color w:val="auto"/>
        </w:rPr>
      </w:lvl>
    </w:lvlOverride>
    <w:lvlOverride w:ilvl="2">
      <w:lvl w:ilvl="2">
        <w:start w:val="1"/>
        <w:numFmt w:val="decimal"/>
        <w:lvlRestart w:val="0"/>
        <w:pStyle w:val="Heading3"/>
        <w:lvlText w:val="%1%2.%3."/>
        <w:lvlJc w:val="left"/>
        <w:pPr>
          <w:ind w:left="0" w:firstLine="0"/>
        </w:pPr>
        <w:rPr>
          <w:rFonts w:hint="default"/>
        </w:rPr>
      </w:lvl>
    </w:lvlOverride>
    <w:lvlOverride w:ilvl="3">
      <w:lvl w:ilvl="3">
        <w:start w:val="1"/>
        <w:numFmt w:val="none"/>
        <w:lvlRestart w:val="0"/>
        <w:pStyle w:val="Heading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6" w16cid:durableId="468400009">
    <w:abstractNumId w:val="11"/>
  </w:num>
  <w:num w:numId="7" w16cid:durableId="2113888906">
    <w:abstractNumId w:val="2"/>
  </w:num>
  <w:num w:numId="8" w16cid:durableId="1720975952">
    <w:abstractNumId w:val="3"/>
  </w:num>
  <w:num w:numId="9" w16cid:durableId="320278723">
    <w:abstractNumId w:val="7"/>
  </w:num>
  <w:num w:numId="10" w16cid:durableId="1357267493">
    <w:abstractNumId w:val="11"/>
    <w:lvlOverride w:ilvl="0">
      <w:startOverride w:val="1"/>
      <w:lvl w:ilvl="0">
        <w:start w:val="1"/>
        <w:numFmt w:val="none"/>
        <w:lvlRestart w:val="0"/>
        <w:lvlText w:val=""/>
        <w:lvlJc w:val="left"/>
        <w:pPr>
          <w:tabs>
            <w:tab w:val="num" w:pos="459"/>
          </w:tabs>
          <w:ind w:left="0" w:firstLine="0"/>
        </w:pPr>
        <w:rPr>
          <w:rFonts w:hint="default"/>
        </w:rPr>
      </w:lvl>
    </w:lvlOverride>
    <w:lvlOverride w:ilvl="1">
      <w:startOverride w:val="1"/>
      <w:lvl w:ilvl="1">
        <w:start w:val="1"/>
        <w:numFmt w:val="decimal"/>
        <w:lvlRestart w:val="0"/>
        <w:pStyle w:val="Heading2"/>
        <w:lvlText w:val="%1%2."/>
        <w:lvlJc w:val="left"/>
        <w:pPr>
          <w:ind w:left="0" w:firstLine="0"/>
        </w:pPr>
        <w:rPr>
          <w:rFonts w:hint="default"/>
          <w:color w:val="auto"/>
        </w:rPr>
      </w:lvl>
    </w:lvlOverride>
    <w:lvlOverride w:ilvl="2">
      <w:startOverride w:val="1"/>
      <w:lvl w:ilvl="2">
        <w:start w:val="1"/>
        <w:numFmt w:val="decimal"/>
        <w:lvlRestart w:val="0"/>
        <w:pStyle w:val="Heading3"/>
        <w:lvlText w:val="%1%2.%3."/>
        <w:lvlJc w:val="left"/>
        <w:pPr>
          <w:ind w:left="0" w:firstLine="0"/>
        </w:pPr>
        <w:rPr>
          <w:rFonts w:hint="default"/>
        </w:rPr>
      </w:lvl>
    </w:lvlOverride>
    <w:lvlOverride w:ilvl="3">
      <w:startOverride w:val="1"/>
      <w:lvl w:ilvl="3">
        <w:start w:val="1"/>
        <w:numFmt w:val="none"/>
        <w:lvlRestart w:val="0"/>
        <w:pStyle w:val="Heading4"/>
        <w:lvlText w:val=""/>
        <w:lvlJc w:val="left"/>
        <w:pPr>
          <w:tabs>
            <w:tab w:val="num" w:pos="2058"/>
          </w:tabs>
          <w:ind w:left="1701" w:firstLine="0"/>
        </w:pPr>
        <w:rPr>
          <w:rFonts w:hint="default"/>
        </w:rPr>
      </w:lvl>
    </w:lvlOverride>
    <w:lvlOverride w:ilvl="4">
      <w:startOverride w:val="1"/>
      <w:lvl w:ilvl="4">
        <w:start w:val="1"/>
        <w:numFmt w:val="lowerLetter"/>
        <w:lvlRestart w:val="0"/>
        <w:lvlText w:val="%1(%5)"/>
        <w:lvlJc w:val="left"/>
        <w:pPr>
          <w:tabs>
            <w:tab w:val="num" w:pos="3345"/>
          </w:tabs>
          <w:ind w:left="2268" w:firstLine="0"/>
        </w:pPr>
        <w:rPr>
          <w:rFonts w:hint="default"/>
          <w:sz w:val="20"/>
        </w:rPr>
      </w:lvl>
    </w:lvlOverride>
    <w:lvlOverride w:ilvl="5">
      <w:startOverride w:val="1"/>
      <w:lvl w:ilvl="5">
        <w:start w:val="1"/>
        <w:numFmt w:val="decimal"/>
        <w:lvlText w:val="%1.%2.%3.%4.%5.%6"/>
        <w:lvlJc w:val="left"/>
        <w:pPr>
          <w:tabs>
            <w:tab w:val="num" w:pos="3912"/>
          </w:tabs>
          <w:ind w:left="2835" w:firstLine="0"/>
        </w:pPr>
        <w:rPr>
          <w:rFonts w:hint="default"/>
        </w:rPr>
      </w:lvl>
    </w:lvlOverride>
    <w:lvlOverride w:ilvl="6">
      <w:startOverride w:val="1"/>
      <w:lvl w:ilvl="6">
        <w:start w:val="1"/>
        <w:numFmt w:val="decimal"/>
        <w:lvlText w:val="%1.%2.%3.%4.%5.%6.%7"/>
        <w:lvlJc w:val="left"/>
        <w:pPr>
          <w:tabs>
            <w:tab w:val="num" w:pos="2432"/>
          </w:tabs>
          <w:ind w:left="2432" w:hanging="1298"/>
        </w:pPr>
        <w:rPr>
          <w:rFonts w:hint="default"/>
        </w:rPr>
      </w:lvl>
    </w:lvlOverride>
    <w:lvlOverride w:ilvl="7">
      <w:startOverride w:val="1"/>
      <w:lvl w:ilvl="7">
        <w:start w:val="1"/>
        <w:numFmt w:val="decimal"/>
        <w:lvlText w:val="%1.%2.%3.%4.%5.%6.%7.%8"/>
        <w:lvlJc w:val="left"/>
        <w:pPr>
          <w:tabs>
            <w:tab w:val="num" w:pos="2574"/>
          </w:tabs>
          <w:ind w:left="2574" w:hanging="1440"/>
        </w:pPr>
        <w:rPr>
          <w:rFonts w:hint="default"/>
        </w:rPr>
      </w:lvl>
    </w:lvlOverride>
    <w:lvlOverride w:ilvl="8">
      <w:startOverride w:val="1"/>
      <w:lvl w:ilvl="8">
        <w:start w:val="1"/>
        <w:numFmt w:val="decimal"/>
        <w:lvlText w:val="%1.%2.%3.%4.%5.%6.%7.%8.%9"/>
        <w:lvlJc w:val="left"/>
        <w:pPr>
          <w:tabs>
            <w:tab w:val="num" w:pos="2716"/>
          </w:tabs>
          <w:ind w:left="2716" w:hanging="1582"/>
        </w:pPr>
        <w:rPr>
          <w:rFonts w:hint="default"/>
        </w:rPr>
      </w:lvl>
    </w:lvlOverride>
  </w:num>
  <w:num w:numId="11" w16cid:durableId="1501118636">
    <w:abstractNumId w:val="10"/>
  </w:num>
  <w:num w:numId="12" w16cid:durableId="822819276">
    <w:abstractNumId w:val="13"/>
  </w:num>
  <w:num w:numId="13" w16cid:durableId="982201089">
    <w:abstractNumId w:val="12"/>
  </w:num>
  <w:num w:numId="14" w16cid:durableId="531459122">
    <w:abstractNumId w:val="5"/>
  </w:num>
  <w:num w:numId="15" w16cid:durableId="1069771513">
    <w:abstractNumId w:val="1"/>
  </w:num>
  <w:num w:numId="16" w16cid:durableId="588658462">
    <w:abstractNumId w:val="8"/>
  </w:num>
  <w:num w:numId="17" w16cid:durableId="1524053234">
    <w:abstractNumId w:val="2"/>
  </w:num>
  <w:num w:numId="18" w16cid:durableId="205280685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03AF0"/>
    <w:rsid w:val="00005D01"/>
    <w:rsid w:val="00005DC9"/>
    <w:rsid w:val="00010AB8"/>
    <w:rsid w:val="00012884"/>
    <w:rsid w:val="00020E56"/>
    <w:rsid w:val="000229AB"/>
    <w:rsid w:val="000240FF"/>
    <w:rsid w:val="00025013"/>
    <w:rsid w:val="0002569A"/>
    <w:rsid w:val="00030331"/>
    <w:rsid w:val="00030363"/>
    <w:rsid w:val="00032E3E"/>
    <w:rsid w:val="000354BC"/>
    <w:rsid w:val="00037321"/>
    <w:rsid w:val="0004072D"/>
    <w:rsid w:val="00047551"/>
    <w:rsid w:val="00047C1A"/>
    <w:rsid w:val="00051E48"/>
    <w:rsid w:val="000524B4"/>
    <w:rsid w:val="00053BB2"/>
    <w:rsid w:val="000608A3"/>
    <w:rsid w:val="00063C3D"/>
    <w:rsid w:val="00073745"/>
    <w:rsid w:val="00074D16"/>
    <w:rsid w:val="00077461"/>
    <w:rsid w:val="00077C54"/>
    <w:rsid w:val="00080B20"/>
    <w:rsid w:val="00085D0C"/>
    <w:rsid w:val="00090B9A"/>
    <w:rsid w:val="00093D52"/>
    <w:rsid w:val="00094DA9"/>
    <w:rsid w:val="00096B94"/>
    <w:rsid w:val="00097C2D"/>
    <w:rsid w:val="000A0299"/>
    <w:rsid w:val="000A137B"/>
    <w:rsid w:val="000A320B"/>
    <w:rsid w:val="000A56C1"/>
    <w:rsid w:val="000B0D3F"/>
    <w:rsid w:val="000B446E"/>
    <w:rsid w:val="000B44C3"/>
    <w:rsid w:val="000B5C45"/>
    <w:rsid w:val="000C0B28"/>
    <w:rsid w:val="000C10C1"/>
    <w:rsid w:val="000C4C04"/>
    <w:rsid w:val="000C4C29"/>
    <w:rsid w:val="000C6F25"/>
    <w:rsid w:val="000D052F"/>
    <w:rsid w:val="000D2BED"/>
    <w:rsid w:val="000D3526"/>
    <w:rsid w:val="000D47E8"/>
    <w:rsid w:val="000D56F1"/>
    <w:rsid w:val="000D70AE"/>
    <w:rsid w:val="000E58B6"/>
    <w:rsid w:val="000F028D"/>
    <w:rsid w:val="000F2F4C"/>
    <w:rsid w:val="000F7E94"/>
    <w:rsid w:val="00100116"/>
    <w:rsid w:val="00103487"/>
    <w:rsid w:val="001119D6"/>
    <w:rsid w:val="00112938"/>
    <w:rsid w:val="00115276"/>
    <w:rsid w:val="001227BA"/>
    <w:rsid w:val="00125830"/>
    <w:rsid w:val="0012736A"/>
    <w:rsid w:val="001308F2"/>
    <w:rsid w:val="00130A0C"/>
    <w:rsid w:val="001313E8"/>
    <w:rsid w:val="00131CBB"/>
    <w:rsid w:val="001433A2"/>
    <w:rsid w:val="00143563"/>
    <w:rsid w:val="00144CB4"/>
    <w:rsid w:val="00152917"/>
    <w:rsid w:val="00160AEE"/>
    <w:rsid w:val="001630D7"/>
    <w:rsid w:val="00163B05"/>
    <w:rsid w:val="00176DB2"/>
    <w:rsid w:val="001833C3"/>
    <w:rsid w:val="001852FC"/>
    <w:rsid w:val="001960BA"/>
    <w:rsid w:val="00196E42"/>
    <w:rsid w:val="001A3C98"/>
    <w:rsid w:val="001A75FA"/>
    <w:rsid w:val="001A7CA0"/>
    <w:rsid w:val="001B0F2F"/>
    <w:rsid w:val="001B169B"/>
    <w:rsid w:val="001B1B4F"/>
    <w:rsid w:val="001B7C6E"/>
    <w:rsid w:val="001C2105"/>
    <w:rsid w:val="001C58F5"/>
    <w:rsid w:val="001D0EAD"/>
    <w:rsid w:val="001D4CF9"/>
    <w:rsid w:val="001D5CEE"/>
    <w:rsid w:val="001D5FAA"/>
    <w:rsid w:val="001D60FD"/>
    <w:rsid w:val="001D7B2B"/>
    <w:rsid w:val="00200D42"/>
    <w:rsid w:val="002071D9"/>
    <w:rsid w:val="002076E1"/>
    <w:rsid w:val="002176B6"/>
    <w:rsid w:val="00220732"/>
    <w:rsid w:val="00220D20"/>
    <w:rsid w:val="00222173"/>
    <w:rsid w:val="00226883"/>
    <w:rsid w:val="00226BED"/>
    <w:rsid w:val="0023422C"/>
    <w:rsid w:val="00234976"/>
    <w:rsid w:val="0024066D"/>
    <w:rsid w:val="00245123"/>
    <w:rsid w:val="00245BFA"/>
    <w:rsid w:val="00250402"/>
    <w:rsid w:val="00254646"/>
    <w:rsid w:val="00256822"/>
    <w:rsid w:val="00257A71"/>
    <w:rsid w:val="0026525A"/>
    <w:rsid w:val="002700CC"/>
    <w:rsid w:val="0027036C"/>
    <w:rsid w:val="00274790"/>
    <w:rsid w:val="00274DA3"/>
    <w:rsid w:val="0027612E"/>
    <w:rsid w:val="00277BCF"/>
    <w:rsid w:val="00280166"/>
    <w:rsid w:val="00280545"/>
    <w:rsid w:val="0028116B"/>
    <w:rsid w:val="002823D6"/>
    <w:rsid w:val="002825A5"/>
    <w:rsid w:val="00285755"/>
    <w:rsid w:val="002857D1"/>
    <w:rsid w:val="00287375"/>
    <w:rsid w:val="00290097"/>
    <w:rsid w:val="002913DB"/>
    <w:rsid w:val="00296EF3"/>
    <w:rsid w:val="00297E34"/>
    <w:rsid w:val="002A1BE1"/>
    <w:rsid w:val="002A1F9C"/>
    <w:rsid w:val="002A49AB"/>
    <w:rsid w:val="002A4CA0"/>
    <w:rsid w:val="002B055C"/>
    <w:rsid w:val="002B29C2"/>
    <w:rsid w:val="002B4709"/>
    <w:rsid w:val="002C18AF"/>
    <w:rsid w:val="002C4208"/>
    <w:rsid w:val="002D3B0D"/>
    <w:rsid w:val="002E1451"/>
    <w:rsid w:val="002E1CE6"/>
    <w:rsid w:val="002E26B2"/>
    <w:rsid w:val="002F31E3"/>
    <w:rsid w:val="003026F7"/>
    <w:rsid w:val="00305A13"/>
    <w:rsid w:val="00306C72"/>
    <w:rsid w:val="003117CA"/>
    <w:rsid w:val="0031216A"/>
    <w:rsid w:val="00323C5B"/>
    <w:rsid w:val="0033703F"/>
    <w:rsid w:val="00337B67"/>
    <w:rsid w:val="003407A9"/>
    <w:rsid w:val="00352DE1"/>
    <w:rsid w:val="00353EA5"/>
    <w:rsid w:val="00365800"/>
    <w:rsid w:val="0037002D"/>
    <w:rsid w:val="003728BA"/>
    <w:rsid w:val="003728E6"/>
    <w:rsid w:val="00373EDF"/>
    <w:rsid w:val="00377A90"/>
    <w:rsid w:val="0038118B"/>
    <w:rsid w:val="00383DFD"/>
    <w:rsid w:val="00384EC9"/>
    <w:rsid w:val="00393E27"/>
    <w:rsid w:val="00394CEB"/>
    <w:rsid w:val="0039724C"/>
    <w:rsid w:val="003A51DD"/>
    <w:rsid w:val="003B00C1"/>
    <w:rsid w:val="003B07C7"/>
    <w:rsid w:val="003B0BF6"/>
    <w:rsid w:val="003B2AB6"/>
    <w:rsid w:val="003B313E"/>
    <w:rsid w:val="003B3C51"/>
    <w:rsid w:val="003B5E0E"/>
    <w:rsid w:val="003B6182"/>
    <w:rsid w:val="003C30A4"/>
    <w:rsid w:val="003D0E50"/>
    <w:rsid w:val="003D255A"/>
    <w:rsid w:val="003D5CBF"/>
    <w:rsid w:val="003E2237"/>
    <w:rsid w:val="003F006C"/>
    <w:rsid w:val="003F0984"/>
    <w:rsid w:val="003F35CE"/>
    <w:rsid w:val="003F6305"/>
    <w:rsid w:val="00401107"/>
    <w:rsid w:val="00401A85"/>
    <w:rsid w:val="004021B3"/>
    <w:rsid w:val="00402E3C"/>
    <w:rsid w:val="00405FCC"/>
    <w:rsid w:val="00406918"/>
    <w:rsid w:val="00407B26"/>
    <w:rsid w:val="004120D1"/>
    <w:rsid w:val="004165F5"/>
    <w:rsid w:val="00416949"/>
    <w:rsid w:val="00423644"/>
    <w:rsid w:val="00426103"/>
    <w:rsid w:val="004307EF"/>
    <w:rsid w:val="00434460"/>
    <w:rsid w:val="004370D8"/>
    <w:rsid w:val="004370DB"/>
    <w:rsid w:val="004433AD"/>
    <w:rsid w:val="00443596"/>
    <w:rsid w:val="0044458B"/>
    <w:rsid w:val="00447295"/>
    <w:rsid w:val="00450572"/>
    <w:rsid w:val="0045557C"/>
    <w:rsid w:val="00463A84"/>
    <w:rsid w:val="00464067"/>
    <w:rsid w:val="00465125"/>
    <w:rsid w:val="00472C43"/>
    <w:rsid w:val="0048066B"/>
    <w:rsid w:val="00480F36"/>
    <w:rsid w:val="00486BC2"/>
    <w:rsid w:val="00493882"/>
    <w:rsid w:val="004945DF"/>
    <w:rsid w:val="004A018B"/>
    <w:rsid w:val="004B0A07"/>
    <w:rsid w:val="004B2DA8"/>
    <w:rsid w:val="004B3721"/>
    <w:rsid w:val="004B6A0B"/>
    <w:rsid w:val="004B6E87"/>
    <w:rsid w:val="004C11ED"/>
    <w:rsid w:val="004D3BF3"/>
    <w:rsid w:val="004D42C5"/>
    <w:rsid w:val="004E03D2"/>
    <w:rsid w:val="004E060C"/>
    <w:rsid w:val="004E5336"/>
    <w:rsid w:val="004E6E4A"/>
    <w:rsid w:val="004F11F4"/>
    <w:rsid w:val="004F33F0"/>
    <w:rsid w:val="004F4039"/>
    <w:rsid w:val="00504A49"/>
    <w:rsid w:val="00510847"/>
    <w:rsid w:val="00513924"/>
    <w:rsid w:val="00513FBE"/>
    <w:rsid w:val="00516998"/>
    <w:rsid w:val="00524332"/>
    <w:rsid w:val="00530B12"/>
    <w:rsid w:val="00532A5C"/>
    <w:rsid w:val="005350B5"/>
    <w:rsid w:val="00536809"/>
    <w:rsid w:val="00537496"/>
    <w:rsid w:val="00544ED3"/>
    <w:rsid w:val="00546E73"/>
    <w:rsid w:val="00552CB0"/>
    <w:rsid w:val="005531EF"/>
    <w:rsid w:val="00557556"/>
    <w:rsid w:val="00560F14"/>
    <w:rsid w:val="00561DDD"/>
    <w:rsid w:val="00563372"/>
    <w:rsid w:val="005640AD"/>
    <w:rsid w:val="00565D1B"/>
    <w:rsid w:val="005663D4"/>
    <w:rsid w:val="005708B3"/>
    <w:rsid w:val="00570EF9"/>
    <w:rsid w:val="00571D3B"/>
    <w:rsid w:val="00575E28"/>
    <w:rsid w:val="00577E09"/>
    <w:rsid w:val="0058035A"/>
    <w:rsid w:val="00581A6A"/>
    <w:rsid w:val="005828C8"/>
    <w:rsid w:val="0058477B"/>
    <w:rsid w:val="00584987"/>
    <w:rsid w:val="0058635D"/>
    <w:rsid w:val="0058654F"/>
    <w:rsid w:val="005878A3"/>
    <w:rsid w:val="00590D67"/>
    <w:rsid w:val="00590EB2"/>
    <w:rsid w:val="00596ACA"/>
    <w:rsid w:val="0059780C"/>
    <w:rsid w:val="005A224C"/>
    <w:rsid w:val="005A32AA"/>
    <w:rsid w:val="005B552A"/>
    <w:rsid w:val="005C6BB2"/>
    <w:rsid w:val="005C7F07"/>
    <w:rsid w:val="005D1923"/>
    <w:rsid w:val="005D75BE"/>
    <w:rsid w:val="005D7881"/>
    <w:rsid w:val="005E39BC"/>
    <w:rsid w:val="005E4AE6"/>
    <w:rsid w:val="005F00A0"/>
    <w:rsid w:val="005F4CE6"/>
    <w:rsid w:val="005F7EF8"/>
    <w:rsid w:val="0060447E"/>
    <w:rsid w:val="006147E1"/>
    <w:rsid w:val="00615266"/>
    <w:rsid w:val="00615DCC"/>
    <w:rsid w:val="00616B1E"/>
    <w:rsid w:val="00620D9E"/>
    <w:rsid w:val="00624F7A"/>
    <w:rsid w:val="00632119"/>
    <w:rsid w:val="00637BA1"/>
    <w:rsid w:val="00643FE0"/>
    <w:rsid w:val="006474CB"/>
    <w:rsid w:val="00647F33"/>
    <w:rsid w:val="00662532"/>
    <w:rsid w:val="00666DF1"/>
    <w:rsid w:val="00667301"/>
    <w:rsid w:val="00676EC5"/>
    <w:rsid w:val="00677478"/>
    <w:rsid w:val="00677845"/>
    <w:rsid w:val="0068026B"/>
    <w:rsid w:val="00693DBD"/>
    <w:rsid w:val="006967F4"/>
    <w:rsid w:val="006976F4"/>
    <w:rsid w:val="006A1A2F"/>
    <w:rsid w:val="006A382B"/>
    <w:rsid w:val="006A4FA0"/>
    <w:rsid w:val="006A6D25"/>
    <w:rsid w:val="006B0405"/>
    <w:rsid w:val="006B1544"/>
    <w:rsid w:val="006B2274"/>
    <w:rsid w:val="006B5A0C"/>
    <w:rsid w:val="006C28A7"/>
    <w:rsid w:val="006C2C35"/>
    <w:rsid w:val="006D50FF"/>
    <w:rsid w:val="006E2FEC"/>
    <w:rsid w:val="006E4AD0"/>
    <w:rsid w:val="006E5286"/>
    <w:rsid w:val="006E6F83"/>
    <w:rsid w:val="006F1CBB"/>
    <w:rsid w:val="006F4D3C"/>
    <w:rsid w:val="007105A5"/>
    <w:rsid w:val="007133A5"/>
    <w:rsid w:val="0071437A"/>
    <w:rsid w:val="00715240"/>
    <w:rsid w:val="00717345"/>
    <w:rsid w:val="00717C6F"/>
    <w:rsid w:val="00722551"/>
    <w:rsid w:val="007246C1"/>
    <w:rsid w:val="00726ABC"/>
    <w:rsid w:val="007301C7"/>
    <w:rsid w:val="00735731"/>
    <w:rsid w:val="0073642E"/>
    <w:rsid w:val="00737073"/>
    <w:rsid w:val="007413F3"/>
    <w:rsid w:val="00743FBC"/>
    <w:rsid w:val="007445DA"/>
    <w:rsid w:val="0074726F"/>
    <w:rsid w:val="00754204"/>
    <w:rsid w:val="00754D05"/>
    <w:rsid w:val="00760B1C"/>
    <w:rsid w:val="00760ECB"/>
    <w:rsid w:val="00762573"/>
    <w:rsid w:val="00762EE3"/>
    <w:rsid w:val="007641C0"/>
    <w:rsid w:val="00767833"/>
    <w:rsid w:val="00771043"/>
    <w:rsid w:val="00785CB7"/>
    <w:rsid w:val="00786B93"/>
    <w:rsid w:val="0079328F"/>
    <w:rsid w:val="00796BE8"/>
    <w:rsid w:val="00797310"/>
    <w:rsid w:val="007A1EFF"/>
    <w:rsid w:val="007A2026"/>
    <w:rsid w:val="007A2D8B"/>
    <w:rsid w:val="007B493C"/>
    <w:rsid w:val="007B4FD1"/>
    <w:rsid w:val="007D4752"/>
    <w:rsid w:val="007E15ED"/>
    <w:rsid w:val="007E1C18"/>
    <w:rsid w:val="007E3797"/>
    <w:rsid w:val="007E597A"/>
    <w:rsid w:val="007E66D3"/>
    <w:rsid w:val="007F167D"/>
    <w:rsid w:val="007F1980"/>
    <w:rsid w:val="007F349E"/>
    <w:rsid w:val="007F37BA"/>
    <w:rsid w:val="00802381"/>
    <w:rsid w:val="008037D3"/>
    <w:rsid w:val="00813283"/>
    <w:rsid w:val="008142B1"/>
    <w:rsid w:val="00820998"/>
    <w:rsid w:val="00823874"/>
    <w:rsid w:val="00832202"/>
    <w:rsid w:val="00836F60"/>
    <w:rsid w:val="00841E82"/>
    <w:rsid w:val="00844A7B"/>
    <w:rsid w:val="00845E03"/>
    <w:rsid w:val="00847C74"/>
    <w:rsid w:val="00851026"/>
    <w:rsid w:val="0085272D"/>
    <w:rsid w:val="008542BB"/>
    <w:rsid w:val="00857C1E"/>
    <w:rsid w:val="0086124E"/>
    <w:rsid w:val="008644E0"/>
    <w:rsid w:val="00867F8C"/>
    <w:rsid w:val="0087135C"/>
    <w:rsid w:val="00872950"/>
    <w:rsid w:val="00875612"/>
    <w:rsid w:val="00877744"/>
    <w:rsid w:val="008827FB"/>
    <w:rsid w:val="008834DC"/>
    <w:rsid w:val="00883848"/>
    <w:rsid w:val="00883C11"/>
    <w:rsid w:val="00883F84"/>
    <w:rsid w:val="008857F0"/>
    <w:rsid w:val="008862B9"/>
    <w:rsid w:val="008862C4"/>
    <w:rsid w:val="008935A7"/>
    <w:rsid w:val="008950C5"/>
    <w:rsid w:val="00895CCC"/>
    <w:rsid w:val="0089742F"/>
    <w:rsid w:val="00897ED5"/>
    <w:rsid w:val="008A166A"/>
    <w:rsid w:val="008A7D5A"/>
    <w:rsid w:val="008B45E3"/>
    <w:rsid w:val="008B6AA9"/>
    <w:rsid w:val="008B6AC3"/>
    <w:rsid w:val="008B6BB9"/>
    <w:rsid w:val="008B7116"/>
    <w:rsid w:val="008B7383"/>
    <w:rsid w:val="008C08D5"/>
    <w:rsid w:val="008C302B"/>
    <w:rsid w:val="008C4596"/>
    <w:rsid w:val="008C5379"/>
    <w:rsid w:val="008C7708"/>
    <w:rsid w:val="008D081A"/>
    <w:rsid w:val="008D237D"/>
    <w:rsid w:val="008D53AB"/>
    <w:rsid w:val="008D61BB"/>
    <w:rsid w:val="008D73FF"/>
    <w:rsid w:val="008E3679"/>
    <w:rsid w:val="008E4311"/>
    <w:rsid w:val="008E73C0"/>
    <w:rsid w:val="008F094B"/>
    <w:rsid w:val="008F3D72"/>
    <w:rsid w:val="00902243"/>
    <w:rsid w:val="00902EFD"/>
    <w:rsid w:val="009058EA"/>
    <w:rsid w:val="00911543"/>
    <w:rsid w:val="0092025F"/>
    <w:rsid w:val="0092123A"/>
    <w:rsid w:val="009236B0"/>
    <w:rsid w:val="00923AA6"/>
    <w:rsid w:val="00924C92"/>
    <w:rsid w:val="00927A7F"/>
    <w:rsid w:val="00933566"/>
    <w:rsid w:val="009519C9"/>
    <w:rsid w:val="009520D5"/>
    <w:rsid w:val="00955C6D"/>
    <w:rsid w:val="00956EB2"/>
    <w:rsid w:val="00960F01"/>
    <w:rsid w:val="00962D24"/>
    <w:rsid w:val="009644DF"/>
    <w:rsid w:val="009652D4"/>
    <w:rsid w:val="009805B4"/>
    <w:rsid w:val="00981FE6"/>
    <w:rsid w:val="00982274"/>
    <w:rsid w:val="00985BC8"/>
    <w:rsid w:val="0098753A"/>
    <w:rsid w:val="009930FD"/>
    <w:rsid w:val="0099379F"/>
    <w:rsid w:val="00994DEB"/>
    <w:rsid w:val="009952C0"/>
    <w:rsid w:val="009A019E"/>
    <w:rsid w:val="009A0DE7"/>
    <w:rsid w:val="009A41F2"/>
    <w:rsid w:val="009A4D28"/>
    <w:rsid w:val="009A613B"/>
    <w:rsid w:val="009B000A"/>
    <w:rsid w:val="009B6F3E"/>
    <w:rsid w:val="009D009A"/>
    <w:rsid w:val="009D016F"/>
    <w:rsid w:val="009D0B86"/>
    <w:rsid w:val="009D2EEF"/>
    <w:rsid w:val="009D5BBC"/>
    <w:rsid w:val="009D788F"/>
    <w:rsid w:val="009E0CF5"/>
    <w:rsid w:val="009E0D5B"/>
    <w:rsid w:val="009E1558"/>
    <w:rsid w:val="009E25BE"/>
    <w:rsid w:val="009F0366"/>
    <w:rsid w:val="00A00189"/>
    <w:rsid w:val="00A03C30"/>
    <w:rsid w:val="00A04C77"/>
    <w:rsid w:val="00A05F8F"/>
    <w:rsid w:val="00A072DC"/>
    <w:rsid w:val="00A17CFF"/>
    <w:rsid w:val="00A2106C"/>
    <w:rsid w:val="00A22ECF"/>
    <w:rsid w:val="00A31786"/>
    <w:rsid w:val="00A37B99"/>
    <w:rsid w:val="00A40B0B"/>
    <w:rsid w:val="00A410D6"/>
    <w:rsid w:val="00A42898"/>
    <w:rsid w:val="00A43D3E"/>
    <w:rsid w:val="00A53AC7"/>
    <w:rsid w:val="00A578E0"/>
    <w:rsid w:val="00A61AD8"/>
    <w:rsid w:val="00A71077"/>
    <w:rsid w:val="00A75F4C"/>
    <w:rsid w:val="00A819F4"/>
    <w:rsid w:val="00A91D77"/>
    <w:rsid w:val="00A9284C"/>
    <w:rsid w:val="00A9575F"/>
    <w:rsid w:val="00A97978"/>
    <w:rsid w:val="00A97E64"/>
    <w:rsid w:val="00AA1EC2"/>
    <w:rsid w:val="00AA3432"/>
    <w:rsid w:val="00AA53D4"/>
    <w:rsid w:val="00AA610D"/>
    <w:rsid w:val="00AA7C13"/>
    <w:rsid w:val="00AB1883"/>
    <w:rsid w:val="00AB4CAB"/>
    <w:rsid w:val="00AB538B"/>
    <w:rsid w:val="00AB6ACE"/>
    <w:rsid w:val="00AC14C6"/>
    <w:rsid w:val="00AC3E8D"/>
    <w:rsid w:val="00AC485B"/>
    <w:rsid w:val="00AC5A3A"/>
    <w:rsid w:val="00AC75F3"/>
    <w:rsid w:val="00AD0038"/>
    <w:rsid w:val="00AD40EB"/>
    <w:rsid w:val="00AD4AA4"/>
    <w:rsid w:val="00AD7D64"/>
    <w:rsid w:val="00AE0526"/>
    <w:rsid w:val="00AE320D"/>
    <w:rsid w:val="00AE32A2"/>
    <w:rsid w:val="00AE3E13"/>
    <w:rsid w:val="00AE4769"/>
    <w:rsid w:val="00AF7A3B"/>
    <w:rsid w:val="00B046EA"/>
    <w:rsid w:val="00B05848"/>
    <w:rsid w:val="00B066AA"/>
    <w:rsid w:val="00B071C6"/>
    <w:rsid w:val="00B14F93"/>
    <w:rsid w:val="00B450D0"/>
    <w:rsid w:val="00B50D4C"/>
    <w:rsid w:val="00B538FA"/>
    <w:rsid w:val="00B61D99"/>
    <w:rsid w:val="00B625FC"/>
    <w:rsid w:val="00B63E1E"/>
    <w:rsid w:val="00B65C41"/>
    <w:rsid w:val="00B664A4"/>
    <w:rsid w:val="00B712E3"/>
    <w:rsid w:val="00B76A8E"/>
    <w:rsid w:val="00B77B2C"/>
    <w:rsid w:val="00B82FA5"/>
    <w:rsid w:val="00B87BAD"/>
    <w:rsid w:val="00B90324"/>
    <w:rsid w:val="00B91915"/>
    <w:rsid w:val="00BA133C"/>
    <w:rsid w:val="00BA20A6"/>
    <w:rsid w:val="00BB089D"/>
    <w:rsid w:val="00BB39E6"/>
    <w:rsid w:val="00BB4C71"/>
    <w:rsid w:val="00BB50D7"/>
    <w:rsid w:val="00BB7B12"/>
    <w:rsid w:val="00BC0230"/>
    <w:rsid w:val="00BC7711"/>
    <w:rsid w:val="00BD12F7"/>
    <w:rsid w:val="00BD1400"/>
    <w:rsid w:val="00BD49C8"/>
    <w:rsid w:val="00BD605C"/>
    <w:rsid w:val="00BE2A76"/>
    <w:rsid w:val="00BE3D46"/>
    <w:rsid w:val="00BE503E"/>
    <w:rsid w:val="00C02A36"/>
    <w:rsid w:val="00C05DFB"/>
    <w:rsid w:val="00C11EA9"/>
    <w:rsid w:val="00C12051"/>
    <w:rsid w:val="00C14733"/>
    <w:rsid w:val="00C15016"/>
    <w:rsid w:val="00C16EFD"/>
    <w:rsid w:val="00C20415"/>
    <w:rsid w:val="00C22A4B"/>
    <w:rsid w:val="00C354D6"/>
    <w:rsid w:val="00C4286B"/>
    <w:rsid w:val="00C45672"/>
    <w:rsid w:val="00C6147E"/>
    <w:rsid w:val="00C65E60"/>
    <w:rsid w:val="00C72641"/>
    <w:rsid w:val="00C751E1"/>
    <w:rsid w:val="00C7591E"/>
    <w:rsid w:val="00C763A2"/>
    <w:rsid w:val="00C77323"/>
    <w:rsid w:val="00C774AD"/>
    <w:rsid w:val="00C80C4A"/>
    <w:rsid w:val="00C82822"/>
    <w:rsid w:val="00C95254"/>
    <w:rsid w:val="00CB07D1"/>
    <w:rsid w:val="00CB0F61"/>
    <w:rsid w:val="00CB1B0C"/>
    <w:rsid w:val="00CB3E76"/>
    <w:rsid w:val="00CB5BC3"/>
    <w:rsid w:val="00CB628C"/>
    <w:rsid w:val="00CD6FE3"/>
    <w:rsid w:val="00CE4A06"/>
    <w:rsid w:val="00CE5221"/>
    <w:rsid w:val="00CE5A52"/>
    <w:rsid w:val="00CF31DC"/>
    <w:rsid w:val="00CF443D"/>
    <w:rsid w:val="00CF7AF3"/>
    <w:rsid w:val="00D00281"/>
    <w:rsid w:val="00D05D21"/>
    <w:rsid w:val="00D11847"/>
    <w:rsid w:val="00D1466C"/>
    <w:rsid w:val="00D159FD"/>
    <w:rsid w:val="00D22F72"/>
    <w:rsid w:val="00D23D1F"/>
    <w:rsid w:val="00D245DB"/>
    <w:rsid w:val="00D24A82"/>
    <w:rsid w:val="00D251B3"/>
    <w:rsid w:val="00D26ADA"/>
    <w:rsid w:val="00D35A78"/>
    <w:rsid w:val="00D40A9C"/>
    <w:rsid w:val="00D54B80"/>
    <w:rsid w:val="00D555A1"/>
    <w:rsid w:val="00D56485"/>
    <w:rsid w:val="00D61ADD"/>
    <w:rsid w:val="00D64DC2"/>
    <w:rsid w:val="00D67906"/>
    <w:rsid w:val="00D7168A"/>
    <w:rsid w:val="00D742A4"/>
    <w:rsid w:val="00D75C85"/>
    <w:rsid w:val="00D760A9"/>
    <w:rsid w:val="00D873D2"/>
    <w:rsid w:val="00D902B7"/>
    <w:rsid w:val="00D93C52"/>
    <w:rsid w:val="00D9533E"/>
    <w:rsid w:val="00D9619C"/>
    <w:rsid w:val="00DA1E3B"/>
    <w:rsid w:val="00DA30F3"/>
    <w:rsid w:val="00DA44E2"/>
    <w:rsid w:val="00DA46CA"/>
    <w:rsid w:val="00DA729A"/>
    <w:rsid w:val="00DB0F15"/>
    <w:rsid w:val="00DB254B"/>
    <w:rsid w:val="00DB4DB2"/>
    <w:rsid w:val="00DB5126"/>
    <w:rsid w:val="00DB5190"/>
    <w:rsid w:val="00DB563F"/>
    <w:rsid w:val="00DC198F"/>
    <w:rsid w:val="00DC1D2E"/>
    <w:rsid w:val="00DD1601"/>
    <w:rsid w:val="00DD170A"/>
    <w:rsid w:val="00DD2BB5"/>
    <w:rsid w:val="00DD2BDB"/>
    <w:rsid w:val="00DD37E8"/>
    <w:rsid w:val="00DE1239"/>
    <w:rsid w:val="00DE1680"/>
    <w:rsid w:val="00DE2DFD"/>
    <w:rsid w:val="00DE36BE"/>
    <w:rsid w:val="00DE45FA"/>
    <w:rsid w:val="00DE6F3C"/>
    <w:rsid w:val="00DF21EB"/>
    <w:rsid w:val="00DF70BF"/>
    <w:rsid w:val="00E07865"/>
    <w:rsid w:val="00E17066"/>
    <w:rsid w:val="00E20E70"/>
    <w:rsid w:val="00E2386B"/>
    <w:rsid w:val="00E24F42"/>
    <w:rsid w:val="00E25B68"/>
    <w:rsid w:val="00E3716C"/>
    <w:rsid w:val="00E413E1"/>
    <w:rsid w:val="00E416D3"/>
    <w:rsid w:val="00E42EB2"/>
    <w:rsid w:val="00E5059B"/>
    <w:rsid w:val="00E50A30"/>
    <w:rsid w:val="00E56066"/>
    <w:rsid w:val="00E56470"/>
    <w:rsid w:val="00E576C4"/>
    <w:rsid w:val="00E6324C"/>
    <w:rsid w:val="00E661F9"/>
    <w:rsid w:val="00E67622"/>
    <w:rsid w:val="00E73764"/>
    <w:rsid w:val="00E74096"/>
    <w:rsid w:val="00E7491B"/>
    <w:rsid w:val="00E7772B"/>
    <w:rsid w:val="00E824E8"/>
    <w:rsid w:val="00E82C3B"/>
    <w:rsid w:val="00E84003"/>
    <w:rsid w:val="00E9535F"/>
    <w:rsid w:val="00EA2B49"/>
    <w:rsid w:val="00EA33A3"/>
    <w:rsid w:val="00EA3BFC"/>
    <w:rsid w:val="00EA47AD"/>
    <w:rsid w:val="00EC10FC"/>
    <w:rsid w:val="00ED0C5B"/>
    <w:rsid w:val="00ED7E6A"/>
    <w:rsid w:val="00EE0041"/>
    <w:rsid w:val="00EE0346"/>
    <w:rsid w:val="00EE2563"/>
    <w:rsid w:val="00EE29B9"/>
    <w:rsid w:val="00EE2DE2"/>
    <w:rsid w:val="00EE31D3"/>
    <w:rsid w:val="00EF01A0"/>
    <w:rsid w:val="00EF4F3D"/>
    <w:rsid w:val="00EF7683"/>
    <w:rsid w:val="00EF778F"/>
    <w:rsid w:val="00F004EE"/>
    <w:rsid w:val="00F021BC"/>
    <w:rsid w:val="00F0428B"/>
    <w:rsid w:val="00F04D50"/>
    <w:rsid w:val="00F0744A"/>
    <w:rsid w:val="00F074CA"/>
    <w:rsid w:val="00F112E7"/>
    <w:rsid w:val="00F116BC"/>
    <w:rsid w:val="00F170A0"/>
    <w:rsid w:val="00F2091D"/>
    <w:rsid w:val="00F212BD"/>
    <w:rsid w:val="00F21418"/>
    <w:rsid w:val="00F21DCB"/>
    <w:rsid w:val="00F21ED8"/>
    <w:rsid w:val="00F2700E"/>
    <w:rsid w:val="00F3070C"/>
    <w:rsid w:val="00F30C1E"/>
    <w:rsid w:val="00F327A1"/>
    <w:rsid w:val="00F3347D"/>
    <w:rsid w:val="00F42E23"/>
    <w:rsid w:val="00F45EEE"/>
    <w:rsid w:val="00F50D7F"/>
    <w:rsid w:val="00F51023"/>
    <w:rsid w:val="00F51E9C"/>
    <w:rsid w:val="00F523CA"/>
    <w:rsid w:val="00F5612D"/>
    <w:rsid w:val="00F5615D"/>
    <w:rsid w:val="00F66C9D"/>
    <w:rsid w:val="00F73141"/>
    <w:rsid w:val="00F73D98"/>
    <w:rsid w:val="00F74A9D"/>
    <w:rsid w:val="00F7504B"/>
    <w:rsid w:val="00F76D43"/>
    <w:rsid w:val="00F77A1D"/>
    <w:rsid w:val="00F77EC3"/>
    <w:rsid w:val="00F850A6"/>
    <w:rsid w:val="00F85313"/>
    <w:rsid w:val="00F90832"/>
    <w:rsid w:val="00FA7424"/>
    <w:rsid w:val="00FB1786"/>
    <w:rsid w:val="00FB194E"/>
    <w:rsid w:val="00FB3517"/>
    <w:rsid w:val="00FB3622"/>
    <w:rsid w:val="00FB5353"/>
    <w:rsid w:val="00FC1F2F"/>
    <w:rsid w:val="00FC7E04"/>
    <w:rsid w:val="00FD2C09"/>
    <w:rsid w:val="00FD3A5B"/>
    <w:rsid w:val="00FD4D28"/>
    <w:rsid w:val="00FE0F01"/>
    <w:rsid w:val="00FF386F"/>
    <w:rsid w:val="00FF4A40"/>
    <w:rsid w:val="00FF6F1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EFFAC"/>
  <w15:docId w15:val="{C79CF843-6D39-4B45-A59C-37FFC2E0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1" w:defUIPriority="49" w:defSemiHidden="0" w:defUnhideWhenUsed="0" w:defQFormat="0" w:count="376">
    <w:lsdException w:name="Normal" w:locked="0"/>
    <w:lsdException w:name="heading 1" w:locked="0" w:uiPriority="0" w:qFormat="1"/>
    <w:lsdException w:name="heading 2" w:locked="0" w:uiPriority="4" w:qFormat="1"/>
    <w:lsdException w:name="heading 3" w:locked="0" w:uiPriority="4" w:qFormat="1"/>
    <w:lsdException w:name="heading 4" w:locked="0" w:uiPriority="0" w:qFormat="1"/>
    <w:lsdException w:name="heading 5" w:locked="0" w:uiPriority="0"/>
    <w:lsdException w:name="heading 6" w:locked="0" w:uiPriority="0"/>
    <w:lsdException w:name="heading 7" w:locked="0" w:uiPriority="0"/>
    <w:lsdException w:name="heading 8" w:locked="0" w:uiPriority="0"/>
    <w:lsdException w:name="heading 9" w:locked="0" w:uiPriority="0"/>
    <w:lsdException w:name="footnote text" w:locked="0" w:uiPriority="0"/>
    <w:lsdException w:name="header" w:locked="0" w:uiPriority="0"/>
    <w:lsdException w:name="footer" w:locked="0" w:uiPriority="99"/>
    <w:lsdException w:name="caption" w:locked="0" w:uiPriority="0"/>
    <w:lsdException w:name="footnote reference" w:locked="0" w:uiPriority="0"/>
    <w:lsdException w:name="List Bullet" w:locked="0"/>
    <w:lsdException w:name="Title" w:locked="0" w:uiPriority="0"/>
    <w:lsdException w:name="Default Paragraph Font" w:locked="0" w:uiPriority="0"/>
    <w:lsdException w:name="Body Text" w:locked="0" w:uiPriority="0" w:qFormat="1"/>
    <w:lsdException w:name="Body Text Indent" w:locked="0" w:uiPriority="0"/>
    <w:lsdException w:name="Subtitle" w:locked="0" w:uiPriority="0" w:qFormat="1"/>
    <w:lsdException w:name="Hyperlink" w:uiPriority="99"/>
    <w:lsdException w:name="HTML Top of Form" w:locked="0" w:uiPriority="0"/>
    <w:lsdException w:name="HTML Bottom of Form" w:locked="0" w:uiPriority="0"/>
    <w:lsdException w:name="HTML Acronym" w:uiPriority="19"/>
    <w:lsdException w:name="HTML Address" w:uiPriority="19"/>
    <w:lsdException w:name="Normal Table" w:locked="0" w:semiHidden="1" w:uiPriority="0" w:unhideWhenUsed="1"/>
    <w:lsdException w:name="No List" w:locked="0"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lsdException w:name="Table Grid" w:locked="0"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rsid w:val="00CF7AF3"/>
    <w:pPr>
      <w:overflowPunct w:val="0"/>
      <w:autoSpaceDE w:val="0"/>
      <w:autoSpaceDN w:val="0"/>
      <w:adjustRightInd w:val="0"/>
      <w:textAlignment w:val="baseline"/>
    </w:pPr>
    <w:rPr>
      <w:sz w:val="22"/>
      <w:lang w:eastAsia="en-US"/>
    </w:rPr>
  </w:style>
  <w:style w:type="paragraph" w:styleId="Heading1">
    <w:name w:val="heading 1"/>
    <w:aliases w:val="Paper title"/>
    <w:next w:val="Subtitle"/>
    <w:uiPriority w:val="4"/>
    <w:qFormat/>
    <w:rsid w:val="00EE29B9"/>
    <w:pPr>
      <w:spacing w:line="280" w:lineRule="atLeast"/>
      <w:ind w:left="567" w:right="567"/>
      <w:outlineLvl w:val="0"/>
    </w:pPr>
    <w:rPr>
      <w:rFonts w:ascii="Times New Roman Bold" w:hAnsi="Times New Roman Bold"/>
      <w:b/>
      <w:caps/>
      <w:sz w:val="24"/>
      <w:lang w:val="en-US" w:eastAsia="en-US"/>
    </w:rPr>
  </w:style>
  <w:style w:type="paragraph" w:styleId="Heading2">
    <w:name w:val="heading 2"/>
    <w:aliases w:val="1st level paper heading"/>
    <w:next w:val="BodyText"/>
    <w:uiPriority w:val="4"/>
    <w:qFormat/>
    <w:rsid w:val="00EE0041"/>
    <w:pPr>
      <w:widowControl w:val="0"/>
      <w:numPr>
        <w:ilvl w:val="1"/>
        <w:numId w:val="6"/>
      </w:numPr>
      <w:spacing w:before="100" w:beforeAutospacing="1" w:after="100" w:afterAutospacing="1" w:line="280" w:lineRule="atLeast"/>
      <w:outlineLvl w:val="1"/>
    </w:pPr>
    <w:rPr>
      <w:caps/>
      <w:lang w:eastAsia="en-US"/>
    </w:rPr>
  </w:style>
  <w:style w:type="paragraph" w:styleId="Heading3">
    <w:name w:val="heading 3"/>
    <w:aliases w:val="2nd level paper heading"/>
    <w:next w:val="BodyText"/>
    <w:uiPriority w:val="4"/>
    <w:qFormat/>
    <w:rsid w:val="00897ED5"/>
    <w:pPr>
      <w:widowControl w:val="0"/>
      <w:numPr>
        <w:ilvl w:val="2"/>
        <w:numId w:val="6"/>
      </w:numPr>
      <w:spacing w:before="240" w:after="240" w:line="240" w:lineRule="exact"/>
      <w:outlineLvl w:val="2"/>
    </w:pPr>
    <w:rPr>
      <w:b/>
      <w:lang w:eastAsia="en-US"/>
    </w:rPr>
  </w:style>
  <w:style w:type="paragraph" w:styleId="Heading4">
    <w:name w:val="heading 4"/>
    <w:aliases w:val="3rd level paper heading"/>
    <w:basedOn w:val="Normal"/>
    <w:next w:val="BodyText"/>
    <w:uiPriority w:val="4"/>
    <w:qFormat/>
    <w:rsid w:val="00897ED5"/>
    <w:pPr>
      <w:widowControl w:val="0"/>
      <w:numPr>
        <w:ilvl w:val="3"/>
        <w:numId w:val="6"/>
      </w:numPr>
      <w:spacing w:before="100" w:beforeAutospacing="1" w:after="100" w:afterAutospacing="1" w:line="240" w:lineRule="atLeast"/>
      <w:outlineLvl w:val="3"/>
    </w:pPr>
    <w:rPr>
      <w:i/>
      <w:sz w:val="20"/>
      <w:lang w:val="en-US"/>
    </w:rPr>
  </w:style>
  <w:style w:type="paragraph" w:styleId="Heading5">
    <w:name w:val="heading 5"/>
    <w:basedOn w:val="Normal"/>
    <w:next w:val="Normal"/>
    <w:uiPriority w:val="19"/>
    <w:locked/>
    <w:pPr>
      <w:overflowPunct/>
      <w:autoSpaceDE/>
      <w:autoSpaceDN/>
      <w:adjustRightInd/>
      <w:spacing w:before="240" w:after="60"/>
      <w:textAlignment w:val="auto"/>
      <w:outlineLvl w:val="4"/>
    </w:pPr>
    <w:rPr>
      <w:b/>
      <w:bCs/>
      <w:i/>
      <w:iCs/>
      <w:sz w:val="26"/>
      <w:szCs w:val="26"/>
      <w:lang w:val="en-US"/>
    </w:rPr>
  </w:style>
  <w:style w:type="paragraph" w:styleId="Heading6">
    <w:name w:val="heading 6"/>
    <w:basedOn w:val="Normal"/>
    <w:next w:val="Normal"/>
    <w:uiPriority w:val="19"/>
    <w:locked/>
    <w:pPr>
      <w:overflowPunct/>
      <w:autoSpaceDE/>
      <w:autoSpaceDN/>
      <w:adjustRightInd/>
      <w:spacing w:before="240" w:after="60"/>
      <w:textAlignment w:val="auto"/>
      <w:outlineLvl w:val="5"/>
    </w:pPr>
    <w:rPr>
      <w:b/>
      <w:bCs/>
      <w:szCs w:val="22"/>
      <w:lang w:val="en-US"/>
    </w:rPr>
  </w:style>
  <w:style w:type="paragraph" w:styleId="Heading7">
    <w:name w:val="heading 7"/>
    <w:basedOn w:val="Normal"/>
    <w:next w:val="Normal"/>
    <w:uiPriority w:val="19"/>
    <w:locked/>
    <w:pPr>
      <w:overflowPunct/>
      <w:autoSpaceDE/>
      <w:autoSpaceDN/>
      <w:adjustRightInd/>
      <w:spacing w:before="240" w:after="60"/>
      <w:textAlignment w:val="auto"/>
      <w:outlineLvl w:val="6"/>
    </w:pPr>
    <w:rPr>
      <w:szCs w:val="24"/>
      <w:lang w:val="en-US"/>
    </w:rPr>
  </w:style>
  <w:style w:type="paragraph" w:styleId="Heading8">
    <w:name w:val="heading 8"/>
    <w:basedOn w:val="Normal"/>
    <w:next w:val="Normal"/>
    <w:uiPriority w:val="19"/>
    <w:locked/>
    <w:pPr>
      <w:overflowPunct/>
      <w:autoSpaceDE/>
      <w:autoSpaceDN/>
      <w:adjustRightInd/>
      <w:spacing w:before="240" w:after="60"/>
      <w:textAlignment w:val="auto"/>
      <w:outlineLvl w:val="7"/>
    </w:pPr>
    <w:rPr>
      <w:i/>
      <w:iCs/>
      <w:szCs w:val="24"/>
      <w:lang w:val="en-US"/>
    </w:rPr>
  </w:style>
  <w:style w:type="paragraph" w:styleId="Heading9">
    <w:name w:val="heading 9"/>
    <w:basedOn w:val="Normal"/>
    <w:next w:val="Normal"/>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47F33"/>
    <w:pPr>
      <w:spacing w:line="260" w:lineRule="atLeast"/>
      <w:ind w:firstLine="567"/>
      <w:contextualSpacing/>
      <w:jc w:val="both"/>
    </w:pPr>
    <w:rPr>
      <w:lang w:eastAsia="en-US"/>
    </w:rPr>
  </w:style>
  <w:style w:type="paragraph" w:styleId="BodyTextIndent">
    <w:name w:val="Body Text Indent"/>
    <w:basedOn w:val="BodyText"/>
    <w:uiPriority w:val="49"/>
    <w:locked/>
    <w:pPr>
      <w:ind w:left="1134" w:hanging="675"/>
    </w:pPr>
  </w:style>
  <w:style w:type="paragraph" w:customStyle="1" w:styleId="BodyTextMultiline">
    <w:name w:val="Body Text Multiline"/>
    <w:basedOn w:val="BodyText"/>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uiPriority w:val="49"/>
    <w:pPr>
      <w:spacing w:after="85"/>
    </w:pPr>
    <w:rPr>
      <w:bCs/>
      <w:sz w:val="18"/>
      <w:lang w:val="en-US" w:eastAsia="en-US"/>
    </w:rPr>
  </w:style>
  <w:style w:type="paragraph" w:styleId="Footer">
    <w:name w:val="footer"/>
    <w:basedOn w:val="Normal"/>
    <w:link w:val="FooterChar"/>
    <w:uiPriority w:val="99"/>
    <w:locked/>
    <w:pPr>
      <w:overflowPunct/>
      <w:autoSpaceDE/>
      <w:autoSpaceDN/>
      <w:adjustRightInd/>
      <w:textAlignment w:val="auto"/>
    </w:pPr>
    <w:rPr>
      <w:sz w:val="2"/>
      <w:lang w:val="en-US"/>
    </w:rPr>
  </w:style>
  <w:style w:type="paragraph" w:styleId="FootnoteText">
    <w:name w:val="footnote text"/>
    <w:semiHidden/>
    <w:locked/>
    <w:pPr>
      <w:tabs>
        <w:tab w:val="left" w:pos="459"/>
      </w:tabs>
      <w:spacing w:before="142"/>
      <w:ind w:left="459"/>
      <w:jc w:val="both"/>
    </w:pPr>
    <w:rPr>
      <w:sz w:val="18"/>
      <w:lang w:eastAsia="en-US"/>
    </w:rPr>
  </w:style>
  <w:style w:type="paragraph" w:styleId="Header">
    <w:name w:val="header"/>
    <w:next w:val="BodyText"/>
    <w:uiPriority w:val="49"/>
    <w:locked/>
    <w:pPr>
      <w:spacing w:after="85"/>
    </w:pPr>
    <w:rPr>
      <w:sz w:val="18"/>
      <w:lang w:val="en-US" w:eastAsia="en-US"/>
    </w:rPr>
  </w:style>
  <w:style w:type="paragraph" w:customStyle="1" w:styleId="ListBulleted">
    <w:name w:val="List Bulleted"/>
    <w:uiPriority w:val="7"/>
    <w:qFormat/>
    <w:locked/>
    <w:pPr>
      <w:numPr>
        <w:numId w:val="3"/>
      </w:numPr>
      <w:tabs>
        <w:tab w:val="clear" w:pos="1179"/>
        <w:tab w:val="left" w:pos="919"/>
      </w:tabs>
      <w:ind w:left="918" w:right="1134" w:hanging="459"/>
      <w:jc w:val="both"/>
    </w:pPr>
    <w:rPr>
      <w:sz w:val="22"/>
      <w:lang w:eastAsia="en-US"/>
    </w:rPr>
  </w:style>
  <w:style w:type="paragraph" w:customStyle="1" w:styleId="ListEmdash">
    <w:name w:val="List Emdash"/>
    <w:basedOn w:val="BodyText"/>
    <w:qFormat/>
    <w:rsid w:val="00717C6F"/>
    <w:pPr>
      <w:numPr>
        <w:numId w:val="7"/>
      </w:numPr>
    </w:pPr>
  </w:style>
  <w:style w:type="paragraph" w:customStyle="1" w:styleId="ListNumbered">
    <w:name w:val="List Numbered"/>
    <w:basedOn w:val="BodyText"/>
    <w:uiPriority w:val="5"/>
    <w:qFormat/>
    <w:locked/>
    <w:rsid w:val="00717C6F"/>
    <w:pPr>
      <w:numPr>
        <w:numId w:val="8"/>
      </w:numPr>
    </w:pPr>
  </w:style>
  <w:style w:type="paragraph" w:styleId="Title">
    <w:name w:val="Title"/>
    <w:uiPriority w:val="2"/>
    <w:locked/>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Normal"/>
    <w:uiPriority w:val="49"/>
    <w:locked/>
    <w:pPr>
      <w:keepNext/>
      <w:spacing w:after="10"/>
    </w:pPr>
    <w:rPr>
      <w:rFonts w:ascii="Arial" w:hAnsi="Arial"/>
      <w:b/>
      <w:sz w:val="13"/>
    </w:rPr>
  </w:style>
  <w:style w:type="paragraph" w:customStyle="1" w:styleId="zyxP1Footer">
    <w:name w:val="zyxP1_Footer"/>
    <w:basedOn w:val="Normal"/>
    <w:uiPriority w:val="49"/>
    <w:locked/>
    <w:pPr>
      <w:widowControl w:val="0"/>
      <w:spacing w:line="160" w:lineRule="exact"/>
      <w:ind w:left="108"/>
    </w:pPr>
    <w:rPr>
      <w:sz w:val="14"/>
    </w:rPr>
  </w:style>
  <w:style w:type="paragraph" w:customStyle="1" w:styleId="zyxSensitivity">
    <w:name w:val="zyxSensitivity"/>
    <w:basedOn w:val="Normal"/>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uiPriority w:val="49"/>
    <w:locked/>
    <w:pPr>
      <w:keepNext/>
      <w:spacing w:line="420" w:lineRule="exact"/>
    </w:pPr>
    <w:rPr>
      <w:rFonts w:ascii="Arial" w:hAnsi="Arial"/>
      <w:sz w:val="40"/>
    </w:rPr>
  </w:style>
  <w:style w:type="character" w:styleId="FootnoteReference">
    <w:name w:val="footnote reference"/>
    <w:basedOn w:val="DefaultParagraphFont"/>
    <w:semiHidden/>
    <w:locked/>
    <w:rPr>
      <w:vertAlign w:val="superscript"/>
    </w:rPr>
  </w:style>
  <w:style w:type="paragraph" w:styleId="Subtitle">
    <w:name w:val="Subtitle"/>
    <w:next w:val="BodyText"/>
    <w:uiPriority w:val="3"/>
    <w:qFormat/>
    <w:rsid w:val="00B82FA5"/>
    <w:pPr>
      <w:spacing w:after="100" w:afterAutospacing="1" w:line="280" w:lineRule="atLeast"/>
      <w:ind w:left="567" w:right="567"/>
      <w:contextualSpacing/>
    </w:pPr>
    <w:rPr>
      <w:rFonts w:cs="Arial"/>
      <w:b/>
      <w:i/>
      <w:sz w:val="24"/>
      <w:szCs w:val="24"/>
      <w:lang w:val="en-US" w:eastAsia="en-US"/>
    </w:rPr>
  </w:style>
  <w:style w:type="paragraph" w:customStyle="1" w:styleId="AgendaList">
    <w:name w:val="Agenda List"/>
    <w:uiPriority w:val="49"/>
    <w:locked/>
    <w:pPr>
      <w:numPr>
        <w:numId w:val="4"/>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BodyText"/>
    <w:uiPriority w:val="49"/>
    <w:locked/>
    <w:pPr>
      <w:spacing w:line="280" w:lineRule="exact"/>
      <w:jc w:val="right"/>
    </w:pPr>
    <w:rPr>
      <w:rFonts w:ascii="Arial" w:hAnsi="Arial" w:cs="Arial"/>
      <w:b/>
      <w:bCs/>
      <w:caps/>
      <w:sz w:val="24"/>
    </w:rPr>
  </w:style>
  <w:style w:type="paragraph" w:customStyle="1" w:styleId="zyxClassification2">
    <w:name w:val="zyxClassification2"/>
    <w:basedOn w:val="Footer"/>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FooterChar">
    <w:name w:val="Footer Char"/>
    <w:basedOn w:val="DefaultParagraphFont"/>
    <w:link w:val="Footer"/>
    <w:uiPriority w:val="99"/>
    <w:rsid w:val="00037321"/>
    <w:rPr>
      <w:sz w:val="2"/>
      <w:lang w:val="en-US" w:eastAsia="en-US"/>
    </w:rPr>
  </w:style>
  <w:style w:type="paragraph" w:customStyle="1" w:styleId="Runninghead">
    <w:name w:val="Running head"/>
    <w:basedOn w:val="Normal"/>
    <w:link w:val="RunningheadChar"/>
    <w:uiPriority w:val="49"/>
    <w:qFormat/>
    <w:rsid w:val="00B82FA5"/>
    <w:pPr>
      <w:jc w:val="center"/>
    </w:pPr>
    <w:rPr>
      <w:b/>
      <w:sz w:val="16"/>
      <w:szCs w:val="16"/>
    </w:rPr>
  </w:style>
  <w:style w:type="paragraph" w:customStyle="1" w:styleId="Authornameandaffiliation">
    <w:name w:val="Author name and affiliation"/>
    <w:link w:val="AuthornameandaffiliationChar"/>
    <w:uiPriority w:val="49"/>
    <w:qFormat/>
    <w:rsid w:val="00647F33"/>
    <w:pPr>
      <w:ind w:left="567"/>
      <w:contextualSpacing/>
    </w:pPr>
    <w:rPr>
      <w:lang w:val="en-US" w:eastAsia="en-US"/>
    </w:rPr>
  </w:style>
  <w:style w:type="character" w:customStyle="1" w:styleId="RunningheadChar">
    <w:name w:val="Running head Char"/>
    <w:basedOn w:val="DefaultParagraphFont"/>
    <w:link w:val="Runninghead"/>
    <w:uiPriority w:val="49"/>
    <w:rsid w:val="00B82FA5"/>
    <w:rPr>
      <w:b/>
      <w:sz w:val="16"/>
      <w:szCs w:val="16"/>
      <w:lang w:eastAsia="en-US"/>
    </w:rPr>
  </w:style>
  <w:style w:type="paragraph" w:customStyle="1" w:styleId="Abstracttext">
    <w:name w:val="Abstract text"/>
    <w:basedOn w:val="Authornameandaffiliation"/>
    <w:link w:val="AbstracttextChar"/>
    <w:uiPriority w:val="49"/>
    <w:qFormat/>
    <w:rsid w:val="00BD605C"/>
    <w:pPr>
      <w:spacing w:line="240" w:lineRule="atLeast"/>
      <w:ind w:left="0" w:firstLine="567"/>
    </w:pPr>
    <w:rPr>
      <w:sz w:val="18"/>
    </w:rPr>
  </w:style>
  <w:style w:type="character" w:customStyle="1" w:styleId="BodyTextChar">
    <w:name w:val="Body Text Char"/>
    <w:basedOn w:val="DefaultParagraphFont"/>
    <w:link w:val="BodyText"/>
    <w:rsid w:val="00647F33"/>
    <w:rPr>
      <w:lang w:eastAsia="en-US"/>
    </w:rPr>
  </w:style>
  <w:style w:type="character" w:customStyle="1" w:styleId="AuthornameandaffiliationChar">
    <w:name w:val="Author name and affiliation Char"/>
    <w:basedOn w:val="BodyTextChar"/>
    <w:link w:val="Authornameandaffiliation"/>
    <w:uiPriority w:val="49"/>
    <w:rsid w:val="00647F33"/>
    <w:rPr>
      <w:lang w:val="en-US" w:eastAsia="en-US"/>
    </w:rPr>
  </w:style>
  <w:style w:type="table" w:styleId="TableGrid">
    <w:name w:val="Table Grid"/>
    <w:basedOn w:val="TableNormal"/>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BD605C"/>
    <w:rPr>
      <w:sz w:val="18"/>
      <w:lang w:val="en-US" w:eastAsia="en-US"/>
    </w:rPr>
  </w:style>
  <w:style w:type="paragraph" w:styleId="BalloonText">
    <w:name w:val="Balloon Text"/>
    <w:basedOn w:val="Normal"/>
    <w:link w:val="BalloonTextChar"/>
    <w:uiPriority w:val="49"/>
    <w:locked/>
    <w:rsid w:val="005F00A0"/>
    <w:rPr>
      <w:rFonts w:ascii="Tahoma" w:hAnsi="Tahoma" w:cs="Tahoma"/>
      <w:sz w:val="16"/>
      <w:szCs w:val="16"/>
    </w:rPr>
  </w:style>
  <w:style w:type="character" w:customStyle="1" w:styleId="BalloonTextChar">
    <w:name w:val="Balloon Text Char"/>
    <w:basedOn w:val="DefaultParagraphFont"/>
    <w:link w:val="BalloonText"/>
    <w:uiPriority w:val="49"/>
    <w:rsid w:val="005F00A0"/>
    <w:rPr>
      <w:rFonts w:ascii="Tahoma" w:hAnsi="Tahoma" w:cs="Tahoma"/>
      <w:sz w:val="16"/>
      <w:szCs w:val="16"/>
      <w:lang w:eastAsia="en-US"/>
    </w:rPr>
  </w:style>
  <w:style w:type="paragraph" w:customStyle="1" w:styleId="Figurecaption">
    <w:name w:val="Figure caption"/>
    <w:basedOn w:val="BodyText"/>
    <w:link w:val="FigurecaptionChar"/>
    <w:uiPriority w:val="49"/>
    <w:qFormat/>
    <w:locked/>
    <w:rsid w:val="00717C6F"/>
    <w:pPr>
      <w:jc w:val="center"/>
    </w:pPr>
    <w:rPr>
      <w:i/>
      <w:sz w:val="18"/>
    </w:rPr>
  </w:style>
  <w:style w:type="paragraph" w:customStyle="1" w:styleId="Otherunnumberedheadings">
    <w:name w:val="Other unnumbered headings"/>
    <w:next w:val="BodyText"/>
    <w:link w:val="OtherunnumberedheadingsChar"/>
    <w:uiPriority w:val="49"/>
    <w:qFormat/>
    <w:locked/>
    <w:rsid w:val="00D26ADA"/>
    <w:pPr>
      <w:spacing w:before="100" w:beforeAutospacing="1" w:after="100" w:afterAutospacing="1" w:line="260" w:lineRule="atLeast"/>
      <w:jc w:val="center"/>
    </w:pPr>
    <w:rPr>
      <w:rFonts w:ascii="Times New Roman Bold" w:hAnsi="Times New Roman Bold"/>
      <w:b/>
      <w:caps/>
      <w:lang w:eastAsia="en-US"/>
    </w:rPr>
  </w:style>
  <w:style w:type="character" w:customStyle="1" w:styleId="FigurecaptionChar">
    <w:name w:val="Figure caption Char"/>
    <w:basedOn w:val="BodyTextChar"/>
    <w:link w:val="Figurecaption"/>
    <w:uiPriority w:val="49"/>
    <w:rsid w:val="00717C6F"/>
    <w:rPr>
      <w:i/>
      <w:sz w:val="18"/>
      <w:lang w:eastAsia="en-US"/>
    </w:rPr>
  </w:style>
  <w:style w:type="paragraph" w:customStyle="1" w:styleId="Referencelist">
    <w:name w:val="Reference list"/>
    <w:basedOn w:val="BodyText"/>
    <w:link w:val="ReferencelistChar"/>
    <w:uiPriority w:val="49"/>
    <w:qFormat/>
    <w:rsid w:val="009E0D5B"/>
    <w:pPr>
      <w:numPr>
        <w:numId w:val="9"/>
      </w:numPr>
    </w:pPr>
    <w:rPr>
      <w:sz w:val="18"/>
      <w:szCs w:val="18"/>
    </w:rPr>
  </w:style>
  <w:style w:type="character" w:customStyle="1" w:styleId="OtherunnumberedheadingsChar">
    <w:name w:val="Other unnumbered headings Char"/>
    <w:basedOn w:val="BodyTextChar"/>
    <w:link w:val="Otherunnumberedheadings"/>
    <w:uiPriority w:val="49"/>
    <w:rsid w:val="00D26ADA"/>
    <w:rPr>
      <w:rFonts w:ascii="Times New Roman Bold" w:hAnsi="Times New Roman Bold"/>
      <w:b/>
      <w:caps/>
      <w:lang w:eastAsia="en-US"/>
    </w:rPr>
  </w:style>
  <w:style w:type="character" w:customStyle="1" w:styleId="ReferencelistChar">
    <w:name w:val="Reference list Char"/>
    <w:basedOn w:val="BodyTextChar"/>
    <w:link w:val="Referencelist"/>
    <w:uiPriority w:val="49"/>
    <w:rsid w:val="009E0D5B"/>
    <w:rPr>
      <w:sz w:val="18"/>
      <w:szCs w:val="18"/>
      <w:lang w:eastAsia="en-US"/>
    </w:rPr>
  </w:style>
  <w:style w:type="paragraph" w:customStyle="1" w:styleId="Tabletext">
    <w:name w:val="Table text"/>
    <w:basedOn w:val="BodyText"/>
    <w:link w:val="TabletextChar"/>
    <w:uiPriority w:val="49"/>
    <w:qFormat/>
    <w:rsid w:val="00883848"/>
    <w:pPr>
      <w:ind w:firstLine="0"/>
    </w:pPr>
  </w:style>
  <w:style w:type="character" w:customStyle="1" w:styleId="TabletextChar">
    <w:name w:val="Table text Char"/>
    <w:basedOn w:val="BodyTextChar"/>
    <w:link w:val="Tabletext"/>
    <w:uiPriority w:val="49"/>
    <w:rsid w:val="00883848"/>
    <w:rPr>
      <w:lang w:eastAsia="en-US"/>
    </w:rPr>
  </w:style>
  <w:style w:type="character" w:customStyle="1" w:styleId="normaltextrun">
    <w:name w:val="normaltextrun"/>
    <w:basedOn w:val="DefaultParagraphFont"/>
    <w:rsid w:val="00F90832"/>
  </w:style>
  <w:style w:type="paragraph" w:styleId="Revision">
    <w:name w:val="Revision"/>
    <w:hidden/>
    <w:uiPriority w:val="99"/>
    <w:semiHidden/>
    <w:rsid w:val="00E2386B"/>
    <w:rPr>
      <w:sz w:val="22"/>
      <w:lang w:eastAsia="en-US"/>
    </w:rPr>
  </w:style>
  <w:style w:type="paragraph" w:styleId="ListParagraph">
    <w:name w:val="List Paragraph"/>
    <w:basedOn w:val="Normal"/>
    <w:link w:val="ListParagraphChar"/>
    <w:uiPriority w:val="34"/>
    <w:qFormat/>
    <w:locked/>
    <w:rsid w:val="003F0984"/>
    <w:pPr>
      <w:overflowPunct/>
      <w:autoSpaceDE/>
      <w:autoSpaceDN/>
      <w:adjustRightInd/>
      <w:ind w:left="720"/>
      <w:contextualSpacing/>
      <w:textAlignment w:val="auto"/>
    </w:pPr>
    <w:rPr>
      <w:rFonts w:eastAsia="Times New Roman"/>
      <w:sz w:val="24"/>
      <w:szCs w:val="24"/>
      <w:lang w:val="en-US" w:eastAsia="ru-RU"/>
    </w:rPr>
  </w:style>
  <w:style w:type="character" w:customStyle="1" w:styleId="ListParagraphChar">
    <w:name w:val="List Paragraph Char"/>
    <w:link w:val="ListParagraph"/>
    <w:uiPriority w:val="34"/>
    <w:rsid w:val="003F0984"/>
    <w:rPr>
      <w:rFonts w:eastAsia="Times New Roman"/>
      <w:sz w:val="24"/>
      <w:szCs w:val="24"/>
      <w:lang w:val="en-US" w:eastAsia="ru-RU"/>
    </w:rPr>
  </w:style>
  <w:style w:type="paragraph" w:customStyle="1" w:styleId="MAIN">
    <w:name w:val="MAIN"/>
    <w:basedOn w:val="Normal"/>
    <w:link w:val="MAIN0"/>
    <w:qFormat/>
    <w:rsid w:val="00323C5B"/>
    <w:pPr>
      <w:spacing w:before="120"/>
      <w:jc w:val="both"/>
    </w:pPr>
    <w:rPr>
      <w:rFonts w:eastAsia="Times New Roman"/>
      <w:sz w:val="24"/>
    </w:rPr>
  </w:style>
  <w:style w:type="character" w:customStyle="1" w:styleId="MAIN0">
    <w:name w:val="MAIN Знак"/>
    <w:basedOn w:val="DefaultParagraphFont"/>
    <w:link w:val="MAIN"/>
    <w:rsid w:val="00323C5B"/>
    <w:rPr>
      <w:rFonts w:eastAsia="Times New Roman"/>
      <w:sz w:val="24"/>
      <w:lang w:eastAsia="en-US"/>
    </w:rPr>
  </w:style>
  <w:style w:type="character" w:styleId="Hyperlink">
    <w:name w:val="Hyperlink"/>
    <w:basedOn w:val="DefaultParagraphFont"/>
    <w:uiPriority w:val="99"/>
    <w:locked/>
    <w:rsid w:val="000B0D3F"/>
    <w:rPr>
      <w:rFonts w:cs="Times New Roman"/>
      <w:color w:val="0000FF"/>
      <w:u w:val="single"/>
    </w:rPr>
  </w:style>
  <w:style w:type="character" w:styleId="CommentReference">
    <w:name w:val="annotation reference"/>
    <w:basedOn w:val="DefaultParagraphFont"/>
    <w:uiPriority w:val="49"/>
    <w:locked/>
    <w:rsid w:val="00AA610D"/>
    <w:rPr>
      <w:sz w:val="16"/>
      <w:szCs w:val="16"/>
    </w:rPr>
  </w:style>
  <w:style w:type="paragraph" w:styleId="CommentText">
    <w:name w:val="annotation text"/>
    <w:basedOn w:val="Normal"/>
    <w:link w:val="CommentTextChar"/>
    <w:uiPriority w:val="49"/>
    <w:locked/>
    <w:rsid w:val="00AA610D"/>
    <w:rPr>
      <w:sz w:val="20"/>
    </w:rPr>
  </w:style>
  <w:style w:type="character" w:customStyle="1" w:styleId="CommentTextChar">
    <w:name w:val="Comment Text Char"/>
    <w:basedOn w:val="DefaultParagraphFont"/>
    <w:link w:val="CommentText"/>
    <w:uiPriority w:val="49"/>
    <w:rsid w:val="00AA610D"/>
    <w:rPr>
      <w:lang w:eastAsia="en-US"/>
    </w:rPr>
  </w:style>
  <w:style w:type="paragraph" w:styleId="CommentSubject">
    <w:name w:val="annotation subject"/>
    <w:basedOn w:val="CommentText"/>
    <w:next w:val="CommentText"/>
    <w:link w:val="CommentSubjectChar"/>
    <w:uiPriority w:val="49"/>
    <w:locked/>
    <w:rsid w:val="00AA610D"/>
    <w:rPr>
      <w:b/>
      <w:bCs/>
    </w:rPr>
  </w:style>
  <w:style w:type="character" w:customStyle="1" w:styleId="CommentSubjectChar">
    <w:name w:val="Comment Subject Char"/>
    <w:basedOn w:val="CommentTextChar"/>
    <w:link w:val="CommentSubject"/>
    <w:uiPriority w:val="49"/>
    <w:rsid w:val="00AA610D"/>
    <w:rPr>
      <w:b/>
      <w:bCs/>
      <w:lang w:eastAsia="en-US"/>
    </w:rPr>
  </w:style>
  <w:style w:type="character" w:styleId="UnresolvedMention">
    <w:name w:val="Unresolved Mention"/>
    <w:basedOn w:val="DefaultParagraphFont"/>
    <w:uiPriority w:val="99"/>
    <w:semiHidden/>
    <w:unhideWhenUsed/>
    <w:rsid w:val="007A1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941770">
      <w:bodyDiv w:val="1"/>
      <w:marLeft w:val="0"/>
      <w:marRight w:val="0"/>
      <w:marTop w:val="0"/>
      <w:marBottom w:val="0"/>
      <w:divBdr>
        <w:top w:val="none" w:sz="0" w:space="0" w:color="auto"/>
        <w:left w:val="none" w:sz="0" w:space="0" w:color="auto"/>
        <w:bottom w:val="none" w:sz="0" w:space="0" w:color="auto"/>
        <w:right w:val="none" w:sz="0" w:space="0" w:color="auto"/>
      </w:divBdr>
      <w:divsChild>
        <w:div w:id="1074350318">
          <w:marLeft w:val="0"/>
          <w:marRight w:val="0"/>
          <w:marTop w:val="0"/>
          <w:marBottom w:val="0"/>
          <w:divBdr>
            <w:top w:val="none" w:sz="0" w:space="0" w:color="auto"/>
            <w:left w:val="none" w:sz="0" w:space="0" w:color="auto"/>
            <w:bottom w:val="none" w:sz="0" w:space="0" w:color="auto"/>
            <w:right w:val="none" w:sz="0" w:space="0" w:color="auto"/>
          </w:divBdr>
        </w:div>
        <w:div w:id="1843426717">
          <w:marLeft w:val="0"/>
          <w:marRight w:val="0"/>
          <w:marTop w:val="0"/>
          <w:marBottom w:val="0"/>
          <w:divBdr>
            <w:top w:val="none" w:sz="0" w:space="0" w:color="auto"/>
            <w:left w:val="none" w:sz="0" w:space="0" w:color="auto"/>
            <w:bottom w:val="none" w:sz="0" w:space="0" w:color="auto"/>
            <w:right w:val="none" w:sz="0" w:space="0" w:color="auto"/>
          </w:divBdr>
        </w:div>
        <w:div w:id="980578273">
          <w:marLeft w:val="0"/>
          <w:marRight w:val="0"/>
          <w:marTop w:val="0"/>
          <w:marBottom w:val="0"/>
          <w:divBdr>
            <w:top w:val="none" w:sz="0" w:space="0" w:color="auto"/>
            <w:left w:val="none" w:sz="0" w:space="0" w:color="auto"/>
            <w:bottom w:val="none" w:sz="0" w:space="0" w:color="auto"/>
            <w:right w:val="none" w:sz="0" w:space="0" w:color="auto"/>
          </w:divBdr>
        </w:div>
        <w:div w:id="1765492287">
          <w:marLeft w:val="0"/>
          <w:marRight w:val="0"/>
          <w:marTop w:val="0"/>
          <w:marBottom w:val="0"/>
          <w:divBdr>
            <w:top w:val="none" w:sz="0" w:space="0" w:color="auto"/>
            <w:left w:val="none" w:sz="0" w:space="0" w:color="auto"/>
            <w:bottom w:val="none" w:sz="0" w:space="0" w:color="auto"/>
            <w:right w:val="none" w:sz="0" w:space="0" w:color="auto"/>
          </w:divBdr>
        </w:div>
        <w:div w:id="1915507853">
          <w:marLeft w:val="0"/>
          <w:marRight w:val="0"/>
          <w:marTop w:val="0"/>
          <w:marBottom w:val="0"/>
          <w:divBdr>
            <w:top w:val="none" w:sz="0" w:space="0" w:color="auto"/>
            <w:left w:val="none" w:sz="0" w:space="0" w:color="auto"/>
            <w:bottom w:val="none" w:sz="0" w:space="0" w:color="auto"/>
            <w:right w:val="none" w:sz="0" w:space="0" w:color="auto"/>
          </w:divBdr>
        </w:div>
        <w:div w:id="1009988829">
          <w:marLeft w:val="0"/>
          <w:marRight w:val="0"/>
          <w:marTop w:val="0"/>
          <w:marBottom w:val="0"/>
          <w:divBdr>
            <w:top w:val="none" w:sz="0" w:space="0" w:color="auto"/>
            <w:left w:val="none" w:sz="0" w:space="0" w:color="auto"/>
            <w:bottom w:val="none" w:sz="0" w:space="0" w:color="auto"/>
            <w:right w:val="none" w:sz="0" w:space="0" w:color="auto"/>
          </w:divBdr>
        </w:div>
      </w:divsChild>
    </w:div>
    <w:div w:id="688025604">
      <w:bodyDiv w:val="1"/>
      <w:marLeft w:val="0"/>
      <w:marRight w:val="0"/>
      <w:marTop w:val="0"/>
      <w:marBottom w:val="0"/>
      <w:divBdr>
        <w:top w:val="none" w:sz="0" w:space="0" w:color="auto"/>
        <w:left w:val="none" w:sz="0" w:space="0" w:color="auto"/>
        <w:bottom w:val="none" w:sz="0" w:space="0" w:color="auto"/>
        <w:right w:val="none" w:sz="0" w:space="0" w:color="auto"/>
      </w:divBdr>
    </w:div>
    <w:div w:id="1386176974">
      <w:bodyDiv w:val="1"/>
      <w:marLeft w:val="0"/>
      <w:marRight w:val="0"/>
      <w:marTop w:val="0"/>
      <w:marBottom w:val="0"/>
      <w:divBdr>
        <w:top w:val="none" w:sz="0" w:space="0" w:color="auto"/>
        <w:left w:val="none" w:sz="0" w:space="0" w:color="auto"/>
        <w:bottom w:val="none" w:sz="0" w:space="0" w:color="auto"/>
        <w:right w:val="none" w:sz="0" w:space="0" w:color="auto"/>
      </w:divBdr>
      <w:divsChild>
        <w:div w:id="1749688365">
          <w:marLeft w:val="0"/>
          <w:marRight w:val="0"/>
          <w:marTop w:val="0"/>
          <w:marBottom w:val="0"/>
          <w:divBdr>
            <w:top w:val="none" w:sz="0" w:space="0" w:color="auto"/>
            <w:left w:val="none" w:sz="0" w:space="0" w:color="auto"/>
            <w:bottom w:val="none" w:sz="0" w:space="0" w:color="auto"/>
            <w:right w:val="none" w:sz="0" w:space="0" w:color="auto"/>
          </w:divBdr>
          <w:divsChild>
            <w:div w:id="705444741">
              <w:marLeft w:val="0"/>
              <w:marRight w:val="0"/>
              <w:marTop w:val="0"/>
              <w:marBottom w:val="0"/>
              <w:divBdr>
                <w:top w:val="none" w:sz="0" w:space="0" w:color="auto"/>
                <w:left w:val="none" w:sz="0" w:space="0" w:color="auto"/>
                <w:bottom w:val="none" w:sz="0" w:space="0" w:color="auto"/>
                <w:right w:val="none" w:sz="0" w:space="0" w:color="auto"/>
              </w:divBdr>
            </w:div>
          </w:divsChild>
        </w:div>
        <w:div w:id="1332369574">
          <w:marLeft w:val="0"/>
          <w:marRight w:val="0"/>
          <w:marTop w:val="0"/>
          <w:marBottom w:val="0"/>
          <w:divBdr>
            <w:top w:val="none" w:sz="0" w:space="0" w:color="auto"/>
            <w:left w:val="none" w:sz="0" w:space="0" w:color="auto"/>
            <w:bottom w:val="none" w:sz="0" w:space="0" w:color="auto"/>
            <w:right w:val="none" w:sz="0" w:space="0" w:color="auto"/>
          </w:divBdr>
          <w:divsChild>
            <w:div w:id="1772235637">
              <w:marLeft w:val="0"/>
              <w:marRight w:val="0"/>
              <w:marTop w:val="0"/>
              <w:marBottom w:val="0"/>
              <w:divBdr>
                <w:top w:val="none" w:sz="0" w:space="0" w:color="auto"/>
                <w:left w:val="none" w:sz="0" w:space="0" w:color="auto"/>
                <w:bottom w:val="none" w:sz="0" w:space="0" w:color="auto"/>
                <w:right w:val="none" w:sz="0" w:space="0" w:color="auto"/>
              </w:divBdr>
            </w:div>
          </w:divsChild>
        </w:div>
        <w:div w:id="62341962">
          <w:marLeft w:val="0"/>
          <w:marRight w:val="0"/>
          <w:marTop w:val="0"/>
          <w:marBottom w:val="0"/>
          <w:divBdr>
            <w:top w:val="none" w:sz="0" w:space="0" w:color="auto"/>
            <w:left w:val="none" w:sz="0" w:space="0" w:color="auto"/>
            <w:bottom w:val="none" w:sz="0" w:space="0" w:color="auto"/>
            <w:right w:val="none" w:sz="0" w:space="0" w:color="auto"/>
          </w:divBdr>
          <w:divsChild>
            <w:div w:id="1827553358">
              <w:marLeft w:val="0"/>
              <w:marRight w:val="0"/>
              <w:marTop w:val="0"/>
              <w:marBottom w:val="0"/>
              <w:divBdr>
                <w:top w:val="none" w:sz="0" w:space="0" w:color="auto"/>
                <w:left w:val="none" w:sz="0" w:space="0" w:color="auto"/>
                <w:bottom w:val="none" w:sz="0" w:space="0" w:color="auto"/>
                <w:right w:val="none" w:sz="0" w:space="0" w:color="auto"/>
              </w:divBdr>
            </w:div>
          </w:divsChild>
        </w:div>
        <w:div w:id="410087194">
          <w:marLeft w:val="0"/>
          <w:marRight w:val="0"/>
          <w:marTop w:val="0"/>
          <w:marBottom w:val="0"/>
          <w:divBdr>
            <w:top w:val="none" w:sz="0" w:space="0" w:color="auto"/>
            <w:left w:val="none" w:sz="0" w:space="0" w:color="auto"/>
            <w:bottom w:val="none" w:sz="0" w:space="0" w:color="auto"/>
            <w:right w:val="none" w:sz="0" w:space="0" w:color="auto"/>
          </w:divBdr>
          <w:divsChild>
            <w:div w:id="351880644">
              <w:marLeft w:val="0"/>
              <w:marRight w:val="0"/>
              <w:marTop w:val="0"/>
              <w:marBottom w:val="0"/>
              <w:divBdr>
                <w:top w:val="none" w:sz="0" w:space="0" w:color="auto"/>
                <w:left w:val="none" w:sz="0" w:space="0" w:color="auto"/>
                <w:bottom w:val="none" w:sz="0" w:space="0" w:color="auto"/>
                <w:right w:val="none" w:sz="0" w:space="0" w:color="auto"/>
              </w:divBdr>
            </w:div>
          </w:divsChild>
        </w:div>
        <w:div w:id="7484524">
          <w:marLeft w:val="0"/>
          <w:marRight w:val="0"/>
          <w:marTop w:val="0"/>
          <w:marBottom w:val="0"/>
          <w:divBdr>
            <w:top w:val="none" w:sz="0" w:space="0" w:color="auto"/>
            <w:left w:val="none" w:sz="0" w:space="0" w:color="auto"/>
            <w:bottom w:val="none" w:sz="0" w:space="0" w:color="auto"/>
            <w:right w:val="none" w:sz="0" w:space="0" w:color="auto"/>
          </w:divBdr>
          <w:divsChild>
            <w:div w:id="180493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1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learning.iaea.org/m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Props1.xml><?xml version="1.0" encoding="utf-8"?>
<ds:datastoreItem xmlns:ds="http://schemas.openxmlformats.org/officeDocument/2006/customXml" ds:itemID="{51823C9C-7F25-4F27-9FBC-F8768B34B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IAEA Blank (r01).dotx</Template>
  <TotalTime>174</TotalTime>
  <Pages>8</Pages>
  <Words>3506</Words>
  <Characters>19988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IAEA</vt:lpstr>
    </vt:vector>
  </TitlesOfParts>
  <Company>IAEA</Company>
  <LinksUpToDate>false</LinksUpToDate>
  <CharactersWithSpaces>23448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creator>Gemma Anna Ruffino</dc:creator>
  <cp:lastModifiedBy>JOHARI, J.M. Christina</cp:lastModifiedBy>
  <cp:revision>29</cp:revision>
  <cp:lastPrinted>2024-06-10T07:00:00Z</cp:lastPrinted>
  <dcterms:created xsi:type="dcterms:W3CDTF">2024-06-11T16:11:00Z</dcterms:created>
  <dcterms:modified xsi:type="dcterms:W3CDTF">2024-06-12T13:48:00Z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ies>
</file>