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74E46D65" w:rsidR="00E20E70" w:rsidRPr="00DC0AD0" w:rsidRDefault="004F0271" w:rsidP="00E7703C">
      <w:pPr>
        <w:pStyle w:val="Heading1"/>
      </w:pPr>
      <w:r w:rsidRPr="00DC0AD0">
        <w:t xml:space="preserve">Effect of strong N-TH coupling </w:t>
      </w:r>
      <w:r w:rsidR="00DF5057" w:rsidRPr="00DC0AD0">
        <w:t>On</w:t>
      </w:r>
      <w:r w:rsidRPr="00DC0AD0">
        <w:t xml:space="preserve"> core Des</w:t>
      </w:r>
      <w:r w:rsidR="00DF5057" w:rsidRPr="00DC0AD0">
        <w:t>IGN</w:t>
      </w:r>
      <w:r w:rsidRPr="00DC0AD0">
        <w:t xml:space="preserve"> calculations </w:t>
      </w:r>
      <w:r w:rsidR="000F03DD" w:rsidRPr="00DC0AD0">
        <w:rPr>
          <w:lang w:val="en-GB"/>
        </w:rPr>
        <w:t xml:space="preserve">based on </w:t>
      </w:r>
      <w:r w:rsidR="00E7703C">
        <w:rPr>
          <w:lang w:val="en-GB"/>
        </w:rPr>
        <w:t xml:space="preserve">A TYPICAl 100 MWe </w:t>
      </w:r>
      <w:r w:rsidR="00E7703C" w:rsidRPr="00E7703C">
        <w:rPr>
          <w:lang w:val="en-GB"/>
        </w:rPr>
        <w:t>integral PWR design</w:t>
      </w:r>
    </w:p>
    <w:p w14:paraId="4D1B799F" w14:textId="0ACFC39B" w:rsidR="00802381" w:rsidRPr="00DC0AD0" w:rsidRDefault="004F0271" w:rsidP="004F0271">
      <w:pPr>
        <w:pStyle w:val="Subtitle"/>
      </w:pPr>
      <w:r w:rsidRPr="00DC0AD0">
        <w:t xml:space="preserve"> </w:t>
      </w:r>
    </w:p>
    <w:p w14:paraId="32159D0F" w14:textId="4EB5B6B4" w:rsidR="003B5E0E" w:rsidRPr="00DC0AD0" w:rsidRDefault="00277206" w:rsidP="00537496">
      <w:pPr>
        <w:pStyle w:val="Authornameandaffiliation"/>
      </w:pPr>
      <w:r w:rsidRPr="00DC0AD0">
        <w:t>Y</w:t>
      </w:r>
      <w:r w:rsidR="00FF386F" w:rsidRPr="00DC0AD0">
        <w:t xml:space="preserve">. </w:t>
      </w:r>
      <w:r w:rsidRPr="00DC0AD0">
        <w:t>ABBASSI</w:t>
      </w:r>
    </w:p>
    <w:p w14:paraId="45967918" w14:textId="77777777" w:rsidR="00277206" w:rsidRPr="00DC0AD0" w:rsidRDefault="00277206" w:rsidP="00537496">
      <w:pPr>
        <w:pStyle w:val="Authornameandaffiliation"/>
      </w:pPr>
      <w:r w:rsidRPr="00DC0AD0">
        <w:t>Nuclear Science and Technology Research Institute</w:t>
      </w:r>
    </w:p>
    <w:p w14:paraId="14684DE2" w14:textId="2B1A0708" w:rsidR="00FF386F" w:rsidRPr="00DC0AD0" w:rsidRDefault="00277206" w:rsidP="00537496">
      <w:pPr>
        <w:pStyle w:val="Authornameandaffiliation"/>
      </w:pPr>
      <w:r w:rsidRPr="00DC0AD0">
        <w:t>Isfahan</w:t>
      </w:r>
    </w:p>
    <w:p w14:paraId="0080899C" w14:textId="4840DB36" w:rsidR="00FF386F" w:rsidRPr="00DC0AD0" w:rsidRDefault="00FF386F" w:rsidP="00537496">
      <w:pPr>
        <w:pStyle w:val="Authornameandaffiliation"/>
      </w:pPr>
      <w:r w:rsidRPr="00DC0AD0">
        <w:t xml:space="preserve">Email: </w:t>
      </w:r>
      <w:r w:rsidR="00277206" w:rsidRPr="00DC0AD0">
        <w:t>yabbasi</w:t>
      </w:r>
      <w:r w:rsidRPr="00DC0AD0">
        <w:t>@</w:t>
      </w:r>
      <w:r w:rsidR="00277206" w:rsidRPr="00DC0AD0">
        <w:t>aeoi.org.ir</w:t>
      </w:r>
    </w:p>
    <w:p w14:paraId="5E2BDA1F" w14:textId="77777777" w:rsidR="00FF386F" w:rsidRPr="00DC0AD0" w:rsidRDefault="00FF386F" w:rsidP="00537496">
      <w:pPr>
        <w:pStyle w:val="Authornameandaffiliation"/>
      </w:pPr>
    </w:p>
    <w:p w14:paraId="535BB6CC" w14:textId="2183A1D5" w:rsidR="00FF386F" w:rsidRPr="00DC0AD0" w:rsidRDefault="00277206" w:rsidP="00537496">
      <w:pPr>
        <w:pStyle w:val="Authornameandaffiliation"/>
      </w:pPr>
      <w:r w:rsidRPr="00DC0AD0">
        <w:t>R</w:t>
      </w:r>
      <w:r w:rsidR="00FF386F" w:rsidRPr="00DC0AD0">
        <w:t xml:space="preserve">. </w:t>
      </w:r>
      <w:r w:rsidR="00AC4351" w:rsidRPr="00DC0AD0">
        <w:t>A</w:t>
      </w:r>
      <w:r w:rsidRPr="00DC0AD0">
        <w:t>kbari</w:t>
      </w:r>
    </w:p>
    <w:p w14:paraId="44F0C319" w14:textId="77777777" w:rsidR="00277206" w:rsidRPr="00DC0AD0" w:rsidRDefault="00277206" w:rsidP="00537496">
      <w:pPr>
        <w:pStyle w:val="Authornameandaffiliation"/>
      </w:pPr>
      <w:r w:rsidRPr="00DC0AD0">
        <w:t xml:space="preserve">Nuclear Science and Technology Research Institute </w:t>
      </w:r>
    </w:p>
    <w:p w14:paraId="5D980831" w14:textId="141EF84E" w:rsidR="00FF386F" w:rsidRPr="00DC0AD0" w:rsidRDefault="00277206" w:rsidP="00537496">
      <w:pPr>
        <w:pStyle w:val="Authornameandaffiliation"/>
      </w:pPr>
      <w:r w:rsidRPr="00DC0AD0">
        <w:t>Tehran</w:t>
      </w:r>
      <w:r w:rsidR="00FF386F" w:rsidRPr="00DC0AD0">
        <w:t xml:space="preserve">, </w:t>
      </w:r>
      <w:r w:rsidR="00AC4351" w:rsidRPr="00DC0AD0">
        <w:t>Iran</w:t>
      </w:r>
    </w:p>
    <w:p w14:paraId="7502340D" w14:textId="77777777" w:rsidR="00277206" w:rsidRPr="00DC0AD0" w:rsidRDefault="00277206" w:rsidP="00537496">
      <w:pPr>
        <w:pStyle w:val="Authornameandaffiliation"/>
      </w:pPr>
    </w:p>
    <w:p w14:paraId="6B9B2F44" w14:textId="14BE28DE" w:rsidR="00277206" w:rsidRPr="00DC0AD0" w:rsidRDefault="00277206" w:rsidP="00277206">
      <w:pPr>
        <w:pStyle w:val="Authornameandaffiliation"/>
      </w:pPr>
      <w:r w:rsidRPr="00DC0AD0">
        <w:t>J. Mokhtari</w:t>
      </w:r>
    </w:p>
    <w:p w14:paraId="3B713106" w14:textId="77777777" w:rsidR="00277206" w:rsidRPr="00DC0AD0" w:rsidRDefault="00277206" w:rsidP="00277206">
      <w:pPr>
        <w:pStyle w:val="Authornameandaffiliation"/>
      </w:pPr>
      <w:r w:rsidRPr="00DC0AD0">
        <w:t xml:space="preserve">Nuclear Science and Technology Research Institute </w:t>
      </w:r>
    </w:p>
    <w:p w14:paraId="00728D9F" w14:textId="77777777" w:rsidR="00277206" w:rsidRPr="00DC0AD0" w:rsidRDefault="00277206" w:rsidP="00277206">
      <w:pPr>
        <w:pStyle w:val="Authornameandaffiliation"/>
      </w:pPr>
      <w:r w:rsidRPr="00DC0AD0">
        <w:t>Tehran, Iran</w:t>
      </w:r>
    </w:p>
    <w:p w14:paraId="2C7F19CB" w14:textId="77777777" w:rsidR="00FF386F" w:rsidRPr="00DC0AD0" w:rsidRDefault="00FF386F" w:rsidP="00537496">
      <w:pPr>
        <w:pStyle w:val="Authornameandaffiliation"/>
      </w:pPr>
    </w:p>
    <w:p w14:paraId="230D4575" w14:textId="77777777" w:rsidR="00647F33" w:rsidRPr="00DC0AD0" w:rsidRDefault="00647F33" w:rsidP="00537496">
      <w:pPr>
        <w:pStyle w:val="Authornameandaffiliation"/>
        <w:rPr>
          <w:b/>
        </w:rPr>
      </w:pPr>
      <w:r w:rsidRPr="00DC0AD0">
        <w:rPr>
          <w:b/>
        </w:rPr>
        <w:t>Abstract</w:t>
      </w:r>
    </w:p>
    <w:p w14:paraId="4F2E62A2" w14:textId="77777777" w:rsidR="00647F33" w:rsidRPr="00DC0AD0" w:rsidRDefault="00647F33" w:rsidP="00537496">
      <w:pPr>
        <w:pStyle w:val="Authornameandaffiliation"/>
      </w:pPr>
    </w:p>
    <w:p w14:paraId="418AC57B" w14:textId="747196E3" w:rsidR="00647F33" w:rsidRPr="00DC0AD0" w:rsidRDefault="00AC4351" w:rsidP="00AC4351">
      <w:pPr>
        <w:pStyle w:val="Abstracttext"/>
        <w:jc w:val="both"/>
      </w:pPr>
      <w:r w:rsidRPr="00DC0AD0">
        <w:t xml:space="preserve">New generations of nuclear reactors including Small Modular Reactors (SMRs) have received a lot of positive attention. Due to the unique features (improvement in economic and safety features) of SMRs, these reactors are under different stages of design and construction all over the world. </w:t>
      </w:r>
      <w:r w:rsidR="00E7703C">
        <w:t>A</w:t>
      </w:r>
      <w:r w:rsidR="00E7703C" w:rsidRPr="00E7703C">
        <w:t xml:space="preserve"> typical 100 </w:t>
      </w:r>
      <w:r w:rsidR="00E7703C">
        <w:t>MW</w:t>
      </w:r>
      <w:r w:rsidR="00E7703C" w:rsidRPr="00E7703C">
        <w:t xml:space="preserve">e integral </w:t>
      </w:r>
      <w:r w:rsidR="00E7703C">
        <w:t>PWR</w:t>
      </w:r>
      <w:r w:rsidR="00E7703C" w:rsidRPr="00E7703C">
        <w:t xml:space="preserve"> design</w:t>
      </w:r>
      <w:r w:rsidR="00E7703C" w:rsidRPr="00DC0AD0">
        <w:t xml:space="preserve"> </w:t>
      </w:r>
      <w:r w:rsidRPr="00DC0AD0">
        <w:t xml:space="preserve">reactor has been selected as the base case of the calculations in the present study. Different Thermo-Neutronic aspects of the reactor have been investigated using coupling of nuclear codes. DRAGON/DONJON codes have been used for neutronic cell and core calculation and COBRA code has been used for thermal-hydraulic calculations. Different parameters of </w:t>
      </w:r>
      <w:r w:rsidR="00E7703C">
        <w:t>the reactor</w:t>
      </w:r>
      <w:r w:rsidRPr="00DC0AD0">
        <w:t xml:space="preserve"> core such as axial and radial PPFs, critical heat flux (CHF), minimum departure from nucleate boiling ratio (MDNBR), axial average coolant temperature in hot channel and core, and the maximum fuel temperature have been investigated using the strong coupling system. Some of the results have been checked by code-to-code verification which shows good agreement. Also, the coupling results demonstrate the non-negligible effects of the coupling in comparison to the stand-alone code modeling.</w:t>
      </w:r>
    </w:p>
    <w:p w14:paraId="03C6D75B" w14:textId="77777777" w:rsidR="00647F33" w:rsidRPr="00DC0AD0" w:rsidRDefault="00F523CA" w:rsidP="00537496">
      <w:pPr>
        <w:pStyle w:val="Heading2"/>
        <w:numPr>
          <w:ilvl w:val="1"/>
          <w:numId w:val="10"/>
        </w:numPr>
      </w:pPr>
      <w:r w:rsidRPr="00DC0AD0">
        <w:t>INTRODUCTION</w:t>
      </w:r>
    </w:p>
    <w:p w14:paraId="6EF1529C" w14:textId="2D6DB9F8" w:rsidR="00A03CBA" w:rsidRPr="00DC0AD0" w:rsidRDefault="00A03CBA" w:rsidP="00A03CBA">
      <w:pPr>
        <w:pStyle w:val="BodyText"/>
      </w:pPr>
      <w:r w:rsidRPr="00DC0AD0">
        <w:t xml:space="preserve">The majority of reactor core design relies on simulation techniques to avoid the significant cost and time required for other approaches based on laboratory and experimental processes. Therefore, the application of core simulation techniques is one of the most important factors in ensuring nuclear reactor safety and increasing their efficiency. A broad range of software tools should be used to model the complex, multi-physics, and multidimensional aspects of a reactor core. However, many of these software tools (codes) are interdependent, which means that the result of one code may be used as the input of another. The neutronic calculation is one of the basic calculations used in the nuclear reactor core design. The objective of a reactor's neutronic core design is to accurately predict the core </w:t>
      </w:r>
      <w:r w:rsidR="0073086A" w:rsidRPr="00DC0AD0">
        <w:t>behaviour</w:t>
      </w:r>
      <w:r w:rsidRPr="00DC0AD0">
        <w:t xml:space="preserve"> during operation. Neutronic calculations rely on the nuclear data (very fine and detailed data about the probability of neutron reaction with the target nucleus: cross-section). The cross-section in nuclear data has a very small energy resolution, which is enough to produce complex </w:t>
      </w:r>
      <w:r w:rsidR="0073086A" w:rsidRPr="00DC0AD0">
        <w:t>behaviours</w:t>
      </w:r>
      <w:r w:rsidRPr="00DC0AD0">
        <w:t xml:space="preserve"> such as resonance. Furthermore, a thorough analysis of thermohydraulic parameters is necessary for the safe functioning of the nuclear reactors. In addition to other accessible parameters, several core thermohydraulic characteristics, such as maximum fuel temperature, critical heat flux (CHF), and minimum deviation from nucleate boiling (MDNBR), can be employed as objective functions to optimize the reactor core and improve safety margins. On the other hand, only when the appropriate distribution of temperature and density of coolant, cladding, and fuel is provided, accurate neutronic computations of nuclear reactor cores could be performed. </w:t>
      </w:r>
    </w:p>
    <w:p w14:paraId="3AFB2D6D" w14:textId="305ECE53" w:rsidR="00A03CBA" w:rsidRPr="00DC0AD0" w:rsidRDefault="00A03CBA" w:rsidP="00A03CBA">
      <w:pPr>
        <w:pStyle w:val="BodyText"/>
      </w:pPr>
      <w:r w:rsidRPr="00DC0AD0">
        <w:t>Only thermohydraulic or neutronic codes have been utilized independently in various computations and studies, and only their average impacts have been seen while carrying out calculations. However, simultaneous investigations and studies of thermohydraulic and neutronic effects have been carried out in several previous simulations [1-</w:t>
      </w:r>
      <w:r w:rsidR="000F03DD" w:rsidRPr="00DC0AD0">
        <w:t>2</w:t>
      </w:r>
      <w:r w:rsidRPr="00DC0AD0">
        <w:t>]. The primary objective of the current study is to compare the results of standalone neutronic or thermohydraulic calculations based on simulation to those of interconnected and simultaneous calculations utilizing the DRAGON/DONJON/COBRA programs [</w:t>
      </w:r>
      <w:r w:rsidR="000F03DD" w:rsidRPr="00DC0AD0">
        <w:t>3</w:t>
      </w:r>
      <w:r w:rsidRPr="00DC0AD0">
        <w:t>].</w:t>
      </w:r>
    </w:p>
    <w:p w14:paraId="7E405F19" w14:textId="78D0038D" w:rsidR="00647F33" w:rsidRPr="00DC0AD0" w:rsidRDefault="00A03CBA" w:rsidP="00A03CBA">
      <w:pPr>
        <w:pStyle w:val="BodyText"/>
      </w:pPr>
      <w:r w:rsidRPr="00DC0AD0">
        <w:lastRenderedPageBreak/>
        <w:t>Small modular reactors are categorized as the new-generation reactors, which are in various stages of design and construction in many countries due to their advantages [</w:t>
      </w:r>
      <w:r w:rsidR="000F03DD" w:rsidRPr="00DC0AD0">
        <w:t>4</w:t>
      </w:r>
      <w:r w:rsidRPr="00DC0AD0">
        <w:t xml:space="preserve">]. The SMRs have unique design features that are under investigation and development as a new topic in the field of nuclear reactors. </w:t>
      </w:r>
      <w:r w:rsidR="00E7703C">
        <w:t xml:space="preserve">A typical 100 MWe </w:t>
      </w:r>
      <w:r w:rsidR="00E7703C" w:rsidRPr="00E7703C">
        <w:t>integral PWR design</w:t>
      </w:r>
      <w:r w:rsidR="00E7703C" w:rsidRPr="00DC0AD0">
        <w:t xml:space="preserve"> </w:t>
      </w:r>
      <w:r w:rsidRPr="00DC0AD0">
        <w:t>has been used as a case basis to perform these calculations [</w:t>
      </w:r>
      <w:r w:rsidR="000F03DD" w:rsidRPr="00DC0AD0">
        <w:t>5</w:t>
      </w:r>
      <w:r w:rsidRPr="00DC0AD0">
        <w:t xml:space="preserve">]. In line with </w:t>
      </w:r>
      <w:r w:rsidR="00E7703C">
        <w:t>this</w:t>
      </w:r>
      <w:r w:rsidRPr="00DC0AD0">
        <w:t xml:space="preserve"> reactor simulation, many computations have been used for optimization, accident simulation, use of thorium fuels, etc., but in the present research, code coupling has been used to perform calculations. In the continuation of this article, at first, the specifications and features of the </w:t>
      </w:r>
      <w:r w:rsidR="00E7703C">
        <w:t>reactor</w:t>
      </w:r>
      <w:r w:rsidRPr="00DC0AD0">
        <w:t xml:space="preserve"> core are reviewed, and then the codes used to perform various</w:t>
      </w:r>
      <w:r w:rsidR="009C7618" w:rsidRPr="00DC0AD0">
        <w:t xml:space="preserve"> cell</w:t>
      </w:r>
      <w:r w:rsidRPr="00DC0AD0">
        <w:t>, core, and thermohydraulic calculations, as well as how to couple them are presented. In the end, the calculation results are presented separately and compared with each other.</w:t>
      </w:r>
    </w:p>
    <w:p w14:paraId="74CD1556" w14:textId="4ECFF95A" w:rsidR="00E25B68" w:rsidRPr="00DC0AD0" w:rsidRDefault="00C00947" w:rsidP="0026525A">
      <w:pPr>
        <w:pStyle w:val="Heading2"/>
        <w:numPr>
          <w:ilvl w:val="1"/>
          <w:numId w:val="10"/>
        </w:numPr>
      </w:pPr>
      <w:r w:rsidRPr="00DC0AD0">
        <w:t>METHODS and materials</w:t>
      </w:r>
    </w:p>
    <w:p w14:paraId="133BC5C0" w14:textId="38437B14" w:rsidR="00C00947" w:rsidRPr="00DC0AD0" w:rsidRDefault="00C00947" w:rsidP="00C00947">
      <w:pPr>
        <w:pStyle w:val="Heading3"/>
      </w:pPr>
      <w:r w:rsidRPr="00DC0AD0">
        <w:t>Reactor characteristics</w:t>
      </w:r>
    </w:p>
    <w:p w14:paraId="5C695A0F" w14:textId="0CD96D03" w:rsidR="0073086A" w:rsidRPr="00DC0AD0" w:rsidRDefault="00E7703C" w:rsidP="00537496">
      <w:pPr>
        <w:pStyle w:val="BodyText"/>
      </w:pPr>
      <w:r>
        <w:t>It is assumed that, t</w:t>
      </w:r>
      <w:r w:rsidR="0073086A" w:rsidRPr="00DC0AD0">
        <w:t>he</w:t>
      </w:r>
      <w:r w:rsidR="001C0668" w:rsidRPr="00DC0AD0">
        <w:t xml:space="preserve"> core of </w:t>
      </w:r>
      <w:r>
        <w:t xml:space="preserve">a typical 100 MWe </w:t>
      </w:r>
      <w:r w:rsidRPr="00E7703C">
        <w:t>integral PWR design</w:t>
      </w:r>
      <w:r w:rsidR="001C0668" w:rsidRPr="00DC0AD0">
        <w:t xml:space="preserve"> as an integrated small modular reactor produces 0.36 GW</w:t>
      </w:r>
      <w:r w:rsidR="0073086A" w:rsidRPr="00DC0AD0">
        <w:t xml:space="preserve"> </w:t>
      </w:r>
      <w:r w:rsidR="001C0668" w:rsidRPr="00DC0AD0">
        <w:t xml:space="preserve">thermal energy. </w:t>
      </w:r>
      <w:r w:rsidR="00F37AB2" w:rsidRPr="00DC0AD0">
        <w:t xml:space="preserve">The primary objective in developing such a reactor is to enhance safety and optimize economic efficiency. Passive methods are employed to enhance the natural safety features. The financial effectiveness has been enhanced by the reduced complexity of the system, a modular approach of the sub-systems, reduction of building time, and improved accessibility of the unit. The reactor possesses a unified design, with all of its key parts housed within a pressure vessel, as depicted in </w:t>
      </w:r>
      <w:r w:rsidR="00856DE6" w:rsidRPr="00DC0AD0">
        <w:t>Fig. 1</w:t>
      </w:r>
      <w:r w:rsidR="00F37AB2" w:rsidRPr="00DC0AD0">
        <w:t>. Utilizing the unified system obviates the necessity for extensive pipelines, hence enhancing the reliability of the power facility [</w:t>
      </w:r>
      <w:r w:rsidR="000F03DD" w:rsidRPr="00DC0AD0">
        <w:t>4</w:t>
      </w:r>
      <w:r w:rsidR="00F37AB2" w:rsidRPr="00DC0AD0">
        <w:t xml:space="preserve">]. </w:t>
      </w:r>
      <w:r>
        <w:t xml:space="preserve">It could </w:t>
      </w:r>
      <w:r w:rsidRPr="00DC0AD0">
        <w:t>possess</w:t>
      </w:r>
      <w:r w:rsidR="00F37AB2" w:rsidRPr="00DC0AD0">
        <w:t xml:space="preserve"> the necessary capacities to fulfil the requirements for electrical energy production, heating, and desalination of water in small, isolated regions or those disconnected from the national power grid, with a population of approximately 100 thousand individuals. The projected lifespan of this reactor is 60 years, with a fuel replenishment interval of three years [</w:t>
      </w:r>
      <w:r w:rsidR="000F03DD" w:rsidRPr="00DC0AD0">
        <w:t>5</w:t>
      </w:r>
      <w:r w:rsidR="00F37AB2" w:rsidRPr="00DC0AD0">
        <w:t>].</w:t>
      </w:r>
    </w:p>
    <w:p w14:paraId="7A20C2CE" w14:textId="71653EC9" w:rsidR="00B6362A" w:rsidRPr="00DC0AD0" w:rsidRDefault="00B6362A" w:rsidP="00537496">
      <w:pPr>
        <w:pStyle w:val="BodyText"/>
      </w:pPr>
    </w:p>
    <w:p w14:paraId="079922A1" w14:textId="62E73F2E" w:rsidR="00B6362A" w:rsidRPr="00DC0AD0" w:rsidRDefault="00B6362A" w:rsidP="00B6362A">
      <w:pPr>
        <w:pStyle w:val="BodyText"/>
        <w:jc w:val="center"/>
      </w:pPr>
      <w:r w:rsidRPr="00DC0AD0">
        <w:rPr>
          <w:noProof/>
        </w:rPr>
        <w:drawing>
          <wp:inline distT="0" distB="0" distL="0" distR="0" wp14:anchorId="29CFD9F0" wp14:editId="7CF1B2CE">
            <wp:extent cx="2781300" cy="4019550"/>
            <wp:effectExtent l="0" t="0" r="0" b="0"/>
            <wp:docPr id="18334096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4019550"/>
                    </a:xfrm>
                    <a:prstGeom prst="rect">
                      <a:avLst/>
                    </a:prstGeom>
                    <a:noFill/>
                    <a:ln>
                      <a:noFill/>
                    </a:ln>
                  </pic:spPr>
                </pic:pic>
              </a:graphicData>
            </a:graphic>
          </wp:inline>
        </w:drawing>
      </w:r>
    </w:p>
    <w:p w14:paraId="117E9328" w14:textId="3FE014D0" w:rsidR="002276F9" w:rsidRDefault="00C96D1E" w:rsidP="002276F9">
      <w:pPr>
        <w:pStyle w:val="BodyText"/>
        <w:ind w:firstLine="0"/>
      </w:pPr>
      <w:r w:rsidRPr="00DC0AD0">
        <w:rPr>
          <w:noProof/>
        </w:rPr>
        <mc:AlternateContent>
          <mc:Choice Requires="wps">
            <w:drawing>
              <wp:anchor distT="0" distB="0" distL="114300" distR="114300" simplePos="0" relativeHeight="251666432" behindDoc="0" locked="0" layoutInCell="1" allowOverlap="1" wp14:anchorId="49E35450" wp14:editId="5DBEBFC8">
                <wp:simplePos x="0" y="0"/>
                <wp:positionH relativeFrom="margin">
                  <wp:posOffset>414020</wp:posOffset>
                </wp:positionH>
                <wp:positionV relativeFrom="paragraph">
                  <wp:posOffset>128905</wp:posOffset>
                </wp:positionV>
                <wp:extent cx="3863340" cy="185420"/>
                <wp:effectExtent l="0" t="0" r="0" b="0"/>
                <wp:wrapTopAndBottom/>
                <wp:docPr id="2326967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185420"/>
                        </a:xfrm>
                        <a:prstGeom prst="rect">
                          <a:avLst/>
                        </a:prstGeom>
                        <a:solidFill>
                          <a:prstClr val="white"/>
                        </a:solidFill>
                        <a:ln>
                          <a:noFill/>
                        </a:ln>
                        <a:effectLst/>
                      </wps:spPr>
                      <wps:txbx>
                        <w:txbxContent>
                          <w:p w14:paraId="6AABC646" w14:textId="1C1879F8" w:rsidR="00B6362A" w:rsidRPr="00802381" w:rsidRDefault="00B6362A" w:rsidP="00B6362A">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F37AB2">
                              <w:rPr>
                                <w:i/>
                              </w:rPr>
                              <w:t xml:space="preserve">Main components of </w:t>
                            </w:r>
                            <w:r w:rsidR="002E78CD" w:rsidRPr="002E78CD">
                              <w:rPr>
                                <w:i/>
                              </w:rPr>
                              <w:t>a typical 100 MWe integral</w:t>
                            </w:r>
                            <w:r w:rsidR="00F37AB2">
                              <w:rPr>
                                <w:i/>
                              </w:rPr>
                              <w:t xml:space="preserve"> SMR</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9E35450" id="_x0000_t202" coordsize="21600,21600" o:spt="202" path="m,l,21600r21600,l21600,xe">
                <v:stroke joinstyle="miter"/>
                <v:path gradientshapeok="t" o:connecttype="rect"/>
              </v:shapetype>
              <v:shape id="Text Box 9" o:spid="_x0000_s1026" type="#_x0000_t202" style="position:absolute;left:0;text-align:left;margin-left:32.6pt;margin-top:10.15pt;width:304.2pt;height:1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" stroked="f">
                <v:textbox style="mso-fit-shape-to-text:t" inset="0,0,0,0">
                  <w:txbxContent>
                    <w:p w14:paraId="6AABC646" w14:textId="1C1879F8" w:rsidR="00B6362A" w:rsidRPr="00802381" w:rsidRDefault="00B6362A" w:rsidP="00B6362A">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sidR="00F37AB2">
                        <w:rPr>
                          <w:i/>
                        </w:rPr>
                        <w:t xml:space="preserve">Main components of </w:t>
                      </w:r>
                      <w:r w:rsidR="002E78CD" w:rsidRPr="002E78CD">
                        <w:rPr>
                          <w:i/>
                        </w:rPr>
                        <w:t>a typical 100 MWe integral</w:t>
                      </w:r>
                      <w:r w:rsidR="00F37AB2">
                        <w:rPr>
                          <w:i/>
                        </w:rPr>
                        <w:t xml:space="preserve"> SMR</w:t>
                      </w:r>
                      <w:r>
                        <w:rPr>
                          <w:i/>
                        </w:rPr>
                        <w:t>.</w:t>
                      </w:r>
                    </w:p>
                  </w:txbxContent>
                </v:textbox>
                <w10:wrap type="topAndBottom" anchorx="margin"/>
              </v:shape>
            </w:pict>
          </mc:Fallback>
        </mc:AlternateContent>
      </w:r>
    </w:p>
    <w:p w14:paraId="15102E46" w14:textId="7BA55A1A" w:rsidR="00C2352E" w:rsidRPr="00DC0AD0" w:rsidRDefault="00C2352E" w:rsidP="00C2352E">
      <w:pPr>
        <w:pStyle w:val="Heading3"/>
      </w:pPr>
      <w:r w:rsidRPr="00DC0AD0">
        <w:lastRenderedPageBreak/>
        <w:t>N-TH calculations</w:t>
      </w:r>
    </w:p>
    <w:p w14:paraId="35FAE994" w14:textId="720BE18D" w:rsidR="00C2352E" w:rsidRPr="00DC0AD0" w:rsidRDefault="004F2255" w:rsidP="004F2255">
      <w:pPr>
        <w:pStyle w:val="BodyText"/>
      </w:pPr>
      <w:r w:rsidRPr="00DC0AD0">
        <w:t>Various neutronic and thermal hydraulic codes are utilized for the purpose of design and evaluation, as previously mentioned. The DRAGON code is employed in this study for the purpose of conducting neutronic</w:t>
      </w:r>
      <w:r w:rsidR="009C7618" w:rsidRPr="00DC0AD0">
        <w:t xml:space="preserve"> cell</w:t>
      </w:r>
      <w:r w:rsidRPr="00DC0AD0">
        <w:t xml:space="preserve"> calculations. This tool carries out the computation of transport and diffusion equations in order to derive equivalent cross sections. The present paper employs the DONJON code's approach to solve the diffusion equation, employing various methods. Next, the DONJON code is applied to simulate a </w:t>
      </w:r>
      <w:r w:rsidR="00E7703C">
        <w:t xml:space="preserve">typical 100 MWe </w:t>
      </w:r>
      <w:r w:rsidR="00E7703C" w:rsidRPr="00E7703C">
        <w:t>integral PWR</w:t>
      </w:r>
      <w:r w:rsidRPr="00DC0AD0">
        <w:t xml:space="preserve"> reactor core consisting of 57 fuel assemblies. The DONJON input utilizes homogeneous cross-sections generated from the DRAGON code, which accounts for various fuel assemblies and reflectors. In this research, the thermal-hydraulic calculations were conducted with the COBRA code, which is a customized flow channel technique specifically intended for doing computations within nuclear reactor cores. A number of thermal-hydraulic factors associated with the core of the reactor have been gathered and utilized as input for the COBRA [</w:t>
      </w:r>
      <w:r w:rsidR="000F03DD" w:rsidRPr="00DC0AD0">
        <w:t>3</w:t>
      </w:r>
      <w:r w:rsidRPr="00DC0AD0">
        <w:t>]. These variables comprise of the linear power calculated from the DONJON code output, channel number, control volume number in axial direction, the rate of cross-flow between flow channels, the wetted surface, and etc.</w:t>
      </w:r>
    </w:p>
    <w:p w14:paraId="6CBF9C93" w14:textId="78F60B3F" w:rsidR="0077041C" w:rsidRPr="00DC0AD0" w:rsidRDefault="0077041C" w:rsidP="0077041C">
      <w:pPr>
        <w:pStyle w:val="Heading3"/>
      </w:pPr>
      <w:r w:rsidRPr="00DC0AD0">
        <w:t xml:space="preserve">N-TH </w:t>
      </w:r>
      <w:r w:rsidR="00EE6B6D" w:rsidRPr="00DC0AD0">
        <w:t xml:space="preserve">simple and </w:t>
      </w:r>
      <w:r w:rsidRPr="00DC0AD0">
        <w:t>strong coupling</w:t>
      </w:r>
    </w:p>
    <w:p w14:paraId="1A4B105A" w14:textId="166ECB1D" w:rsidR="00084BA0" w:rsidRPr="00DC0AD0" w:rsidRDefault="00084BA0" w:rsidP="0077041C">
      <w:pPr>
        <w:pStyle w:val="BodyText"/>
      </w:pPr>
      <w:r w:rsidRPr="00DC0AD0">
        <w:t xml:space="preserve">In order to gain a comprehensive understanding of the nuclear reactor core's </w:t>
      </w:r>
      <w:r w:rsidR="00EE6B6D" w:rsidRPr="00DC0AD0">
        <w:t>behaviour</w:t>
      </w:r>
      <w:r w:rsidRPr="00DC0AD0">
        <w:t xml:space="preserve">, it is necessary to perform thermal-hydraulic and neutronic calculations concurrently. This is because the </w:t>
      </w:r>
      <w:r w:rsidR="00EE6B6D" w:rsidRPr="00DC0AD0">
        <w:t>behaviour</w:t>
      </w:r>
      <w:r w:rsidRPr="00DC0AD0">
        <w:t xml:space="preserve"> of these two domains is intricately interconnected and dependent on each other. The nuclear cross-sections of reactions are strongly influenced by temperature and density. These cross-sections play a crucial role in determining power, which subsequently affects the temperature and density fields. Consequently, calculations in </w:t>
      </w:r>
      <w:r w:rsidR="00EE6B6D" w:rsidRPr="00DC0AD0">
        <w:t>both sectors</w:t>
      </w:r>
      <w:r w:rsidRPr="00DC0AD0">
        <w:t xml:space="preserve"> are interdependent, and doing separate calculations in each domain results in calculation inaccuracies. In this paper, the mentioned codes have been merged to achieve accurate thermal properties fields for extracting cross-section and utilizing them in core calculations. Both simple one-way calculation and strong coupled calculation are performed in this study to reveal the effect of strong coupling on core design and evaluation parameters. The sequential procedure for merging these codes is as follows:</w:t>
      </w:r>
    </w:p>
    <w:p w14:paraId="30C750D8" w14:textId="1F58EBF2" w:rsidR="00084BA0" w:rsidRPr="00DC0AD0" w:rsidRDefault="00084BA0" w:rsidP="00084BA0">
      <w:pPr>
        <w:pStyle w:val="BodyText"/>
        <w:numPr>
          <w:ilvl w:val="0"/>
          <w:numId w:val="34"/>
        </w:numPr>
      </w:pPr>
      <w:r w:rsidRPr="00DC0AD0">
        <w:t xml:space="preserve">extraction of material properties and geometry dimension of </w:t>
      </w:r>
      <w:r w:rsidR="002E78CD">
        <w:t>the</w:t>
      </w:r>
      <w:r w:rsidRPr="00DC0AD0">
        <w:t xml:space="preserve"> reactor core</w:t>
      </w:r>
    </w:p>
    <w:p w14:paraId="0C4B40A6" w14:textId="77777777" w:rsidR="00084BA0" w:rsidRPr="00DC0AD0" w:rsidRDefault="00084BA0" w:rsidP="001A226D">
      <w:pPr>
        <w:pStyle w:val="BodyText"/>
        <w:numPr>
          <w:ilvl w:val="0"/>
          <w:numId w:val="34"/>
        </w:numPr>
      </w:pPr>
      <w:r w:rsidRPr="00DC0AD0">
        <w:t>Preparation of code input files.</w:t>
      </w:r>
    </w:p>
    <w:p w14:paraId="14D96289" w14:textId="77777777" w:rsidR="00084BA0" w:rsidRPr="00DC0AD0" w:rsidRDefault="00084BA0" w:rsidP="004E27C8">
      <w:pPr>
        <w:pStyle w:val="BodyText"/>
        <w:numPr>
          <w:ilvl w:val="0"/>
          <w:numId w:val="34"/>
        </w:numPr>
      </w:pPr>
      <w:r w:rsidRPr="00DC0AD0">
        <w:t xml:space="preserve">Flow and temperature filed </w:t>
      </w:r>
      <w:r w:rsidR="0077041C" w:rsidRPr="00DC0AD0">
        <w:t>initial guess is made</w:t>
      </w:r>
      <w:r w:rsidRPr="00DC0AD0">
        <w:t>.</w:t>
      </w:r>
    </w:p>
    <w:p w14:paraId="69FC1DC2" w14:textId="77777777" w:rsidR="00084BA0" w:rsidRPr="00DC0AD0" w:rsidRDefault="00084BA0" w:rsidP="0012069A">
      <w:pPr>
        <w:pStyle w:val="BodyText"/>
        <w:numPr>
          <w:ilvl w:val="0"/>
          <w:numId w:val="34"/>
        </w:numPr>
      </w:pPr>
      <w:r w:rsidRPr="00DC0AD0">
        <w:t>Transfer initial guess to be used in DRAGON code.</w:t>
      </w:r>
    </w:p>
    <w:p w14:paraId="3FDB8C74" w14:textId="77777777" w:rsidR="00084BA0" w:rsidRPr="00DC0AD0" w:rsidRDefault="00084BA0" w:rsidP="0012069A">
      <w:pPr>
        <w:pStyle w:val="BodyText"/>
        <w:numPr>
          <w:ilvl w:val="0"/>
          <w:numId w:val="34"/>
        </w:numPr>
      </w:pPr>
      <w:r w:rsidRPr="00DC0AD0">
        <w:t>M</w:t>
      </w:r>
      <w:r w:rsidR="0077041C" w:rsidRPr="00DC0AD0">
        <w:t xml:space="preserve">acroscopic sections </w:t>
      </w:r>
      <w:r w:rsidRPr="00DC0AD0">
        <w:t xml:space="preserve">are </w:t>
      </w:r>
      <w:r w:rsidR="0077041C" w:rsidRPr="00DC0AD0">
        <w:t>extracted from the DRAGON code</w:t>
      </w:r>
    </w:p>
    <w:p w14:paraId="59EA9F89" w14:textId="77777777" w:rsidR="00084BA0" w:rsidRPr="00DC0AD0" w:rsidRDefault="00084BA0" w:rsidP="006F2681">
      <w:pPr>
        <w:pStyle w:val="BodyText"/>
        <w:numPr>
          <w:ilvl w:val="0"/>
          <w:numId w:val="34"/>
        </w:numPr>
      </w:pPr>
      <w:r w:rsidRPr="00DC0AD0">
        <w:t xml:space="preserve">Input of </w:t>
      </w:r>
      <w:r w:rsidR="0077041C" w:rsidRPr="00DC0AD0">
        <w:t>the DONJON code</w:t>
      </w:r>
      <w:r w:rsidRPr="00DC0AD0">
        <w:t xml:space="preserve"> is established</w:t>
      </w:r>
      <w:r w:rsidR="0077041C" w:rsidRPr="00DC0AD0">
        <w:t>.</w:t>
      </w:r>
    </w:p>
    <w:p w14:paraId="449F38D3" w14:textId="078587A3" w:rsidR="00084BA0" w:rsidRPr="00DC0AD0" w:rsidRDefault="00084BA0" w:rsidP="009A5900">
      <w:pPr>
        <w:pStyle w:val="BodyText"/>
        <w:numPr>
          <w:ilvl w:val="0"/>
          <w:numId w:val="34"/>
        </w:numPr>
      </w:pPr>
      <w:r w:rsidRPr="00DC0AD0">
        <w:t>N</w:t>
      </w:r>
      <w:r w:rsidR="0077041C" w:rsidRPr="00DC0AD0">
        <w:t>eutronic core</w:t>
      </w:r>
      <w:r w:rsidR="009C7618" w:rsidRPr="00DC0AD0">
        <w:t xml:space="preserve"> cell</w:t>
      </w:r>
      <w:r w:rsidRPr="00DC0AD0">
        <w:t xml:space="preserve"> </w:t>
      </w:r>
      <w:r w:rsidR="0077041C" w:rsidRPr="00DC0AD0">
        <w:t>calculations are performed</w:t>
      </w:r>
      <w:r w:rsidRPr="00DC0AD0">
        <w:t xml:space="preserve"> by DONJON</w:t>
      </w:r>
      <w:r w:rsidR="0077041C" w:rsidRPr="00DC0AD0">
        <w:t>.</w:t>
      </w:r>
    </w:p>
    <w:p w14:paraId="4A652CD1" w14:textId="77777777" w:rsidR="00084BA0" w:rsidRPr="00DC0AD0" w:rsidRDefault="00084BA0" w:rsidP="005668EB">
      <w:pPr>
        <w:pStyle w:val="BodyText"/>
        <w:numPr>
          <w:ilvl w:val="0"/>
          <w:numId w:val="34"/>
        </w:numPr>
      </w:pPr>
      <w:r w:rsidRPr="00DC0AD0">
        <w:t>M</w:t>
      </w:r>
      <w:r w:rsidR="0077041C" w:rsidRPr="00DC0AD0">
        <w:t xml:space="preserve">aximum axial and radial power </w:t>
      </w:r>
      <w:r w:rsidRPr="00DC0AD0">
        <w:t>peaking factors</w:t>
      </w:r>
      <w:r w:rsidR="0077041C" w:rsidRPr="00DC0AD0">
        <w:t xml:space="preserve"> are extracted</w:t>
      </w:r>
      <w:r w:rsidRPr="00DC0AD0">
        <w:t>.</w:t>
      </w:r>
    </w:p>
    <w:p w14:paraId="26606F60" w14:textId="77777777" w:rsidR="00EE6B6D" w:rsidRPr="00DC0AD0" w:rsidRDefault="0077041C" w:rsidP="00EE6B6D">
      <w:pPr>
        <w:pStyle w:val="BodyText"/>
        <w:numPr>
          <w:ilvl w:val="0"/>
          <w:numId w:val="34"/>
        </w:numPr>
      </w:pPr>
      <w:r w:rsidRPr="00DC0AD0">
        <w:t xml:space="preserve">the linear power </w:t>
      </w:r>
      <w:r w:rsidR="00084BA0" w:rsidRPr="00DC0AD0">
        <w:t>is extracted and mapped as the input of COBRA code.</w:t>
      </w:r>
    </w:p>
    <w:p w14:paraId="6503C001" w14:textId="77777777" w:rsidR="00EE6B6D" w:rsidRPr="00DC0AD0" w:rsidRDefault="00EE6B6D" w:rsidP="00E90D3A">
      <w:pPr>
        <w:pStyle w:val="BodyText"/>
        <w:numPr>
          <w:ilvl w:val="0"/>
          <w:numId w:val="34"/>
        </w:numPr>
      </w:pPr>
      <w:r w:rsidRPr="00DC0AD0">
        <w:t xml:space="preserve">Thermal-hydraulic </w:t>
      </w:r>
      <w:r w:rsidR="0077041C" w:rsidRPr="00DC0AD0">
        <w:t>calculations are performed</w:t>
      </w:r>
      <w:r w:rsidRPr="00DC0AD0">
        <w:t xml:space="preserve"> by COBRA</w:t>
      </w:r>
      <w:r w:rsidR="0077041C" w:rsidRPr="00DC0AD0">
        <w:t>.</w:t>
      </w:r>
    </w:p>
    <w:p w14:paraId="23342380" w14:textId="77777777" w:rsidR="00EE6B6D" w:rsidRPr="00DC0AD0" w:rsidRDefault="0077041C" w:rsidP="00E90D3A">
      <w:pPr>
        <w:pStyle w:val="BodyText"/>
        <w:numPr>
          <w:ilvl w:val="0"/>
          <w:numId w:val="34"/>
        </w:numPr>
      </w:pPr>
      <w:r w:rsidRPr="00DC0AD0">
        <w:t xml:space="preserve">The convergence is </w:t>
      </w:r>
      <w:r w:rsidR="00EE6B6D" w:rsidRPr="00DC0AD0">
        <w:t>checked</w:t>
      </w:r>
    </w:p>
    <w:p w14:paraId="5606612E" w14:textId="742CBA9E" w:rsidR="0077041C" w:rsidRPr="00DC0AD0" w:rsidRDefault="00EE6B6D" w:rsidP="00E90D3A">
      <w:pPr>
        <w:pStyle w:val="BodyText"/>
        <w:numPr>
          <w:ilvl w:val="0"/>
          <w:numId w:val="34"/>
        </w:numPr>
      </w:pPr>
      <w:r w:rsidRPr="00DC0AD0">
        <w:t>Above stages are iterated to reach convergence criteria.</w:t>
      </w:r>
    </w:p>
    <w:p w14:paraId="1B297C48" w14:textId="73B06CB8" w:rsidR="00EE0041" w:rsidRPr="00DC0AD0" w:rsidRDefault="00C2352E" w:rsidP="0026525A">
      <w:pPr>
        <w:pStyle w:val="Heading2"/>
        <w:numPr>
          <w:ilvl w:val="1"/>
          <w:numId w:val="10"/>
        </w:numPr>
      </w:pPr>
      <w:r w:rsidRPr="00DC0AD0">
        <w:t>Result</w:t>
      </w:r>
    </w:p>
    <w:p w14:paraId="09E3EDA6" w14:textId="378365CA" w:rsidR="009474CF" w:rsidRPr="00DC0AD0" w:rsidRDefault="009474CF" w:rsidP="00EE6B6D">
      <w:pPr>
        <w:pStyle w:val="BodyText"/>
        <w:rPr>
          <w:lang w:val="en-US"/>
        </w:rPr>
      </w:pPr>
      <w:r w:rsidRPr="00DC0AD0">
        <w:rPr>
          <w:lang w:val="en-US"/>
        </w:rPr>
        <w:t xml:space="preserve">The thermal-hydraulic and neutronic fields have been studied and evaluated independently to each other in various investigations.  The current study assesses these solutions for the </w:t>
      </w:r>
      <w:r w:rsidR="002E78CD" w:rsidRPr="00DC0AD0">
        <w:t xml:space="preserve">a </w:t>
      </w:r>
      <w:r w:rsidR="002E78CD">
        <w:t xml:space="preserve">typical 100 MWe </w:t>
      </w:r>
      <w:r w:rsidR="002E78CD" w:rsidRPr="00E7703C">
        <w:t>integral PWR</w:t>
      </w:r>
      <w:r w:rsidRPr="00DC0AD0">
        <w:rPr>
          <w:lang w:val="en-US"/>
        </w:rPr>
        <w:t xml:space="preserve"> core through simple one-way coupling and strong coupling schemes to emphases the necessity and importance of using strong coupled methods.</w:t>
      </w:r>
    </w:p>
    <w:p w14:paraId="35E23D31" w14:textId="77777777" w:rsidR="00C64074" w:rsidRPr="00DC0AD0" w:rsidRDefault="00C64074" w:rsidP="00C64074">
      <w:pPr>
        <w:pStyle w:val="Heading3"/>
        <w:numPr>
          <w:ilvl w:val="2"/>
          <w:numId w:val="33"/>
        </w:numPr>
      </w:pPr>
      <w:r w:rsidRPr="00DC0AD0">
        <w:t>Validation</w:t>
      </w:r>
    </w:p>
    <w:p w14:paraId="7408124C" w14:textId="38FACC25" w:rsidR="001B3392" w:rsidRPr="00DC0AD0" w:rsidRDefault="009474CF" w:rsidP="009474CF">
      <w:pPr>
        <w:pStyle w:val="BodyText"/>
        <w:rPr>
          <w:lang w:val="en-US"/>
        </w:rPr>
      </w:pPr>
      <w:r w:rsidRPr="00DC0AD0">
        <w:rPr>
          <w:lang w:val="en-US"/>
        </w:rPr>
        <w:t xml:space="preserve">Based on the computational tools used in this study, this part explains the validation procedure of the coupling approach to perform thermal-hydraulic and neutronic calculation of the reactor core. Before doing any additional calculations, it is crucial to confirm that the geometry, input data, and other models used for the </w:t>
      </w:r>
      <w:r w:rsidR="002E78CD">
        <w:rPr>
          <w:lang w:val="en-US"/>
        </w:rPr>
        <w:t>reactor</w:t>
      </w:r>
      <w:r w:rsidRPr="00DC0AD0">
        <w:rPr>
          <w:lang w:val="en-US"/>
        </w:rPr>
        <w:t xml:space="preserve"> core computations have been produced correctly. In this part, power peaking factor extracted from </w:t>
      </w:r>
      <w:r w:rsidRPr="00DC0AD0">
        <w:rPr>
          <w:lang w:val="en-US"/>
        </w:rPr>
        <w:lastRenderedPageBreak/>
        <w:t xml:space="preserve">DRAGON/DONJON calculation </w:t>
      </w:r>
      <w:r w:rsidR="001B3392" w:rsidRPr="00DC0AD0">
        <w:rPr>
          <w:lang w:val="en-US"/>
        </w:rPr>
        <w:t xml:space="preserve">as a deterministic tool </w:t>
      </w:r>
      <w:r w:rsidRPr="00DC0AD0">
        <w:rPr>
          <w:lang w:val="en-US"/>
        </w:rPr>
        <w:t xml:space="preserve">is compared </w:t>
      </w:r>
      <w:r w:rsidR="001B3392" w:rsidRPr="00DC0AD0">
        <w:rPr>
          <w:lang w:val="en-US"/>
        </w:rPr>
        <w:t xml:space="preserve">with result obtained from </w:t>
      </w:r>
      <w:r w:rsidR="002276F9">
        <w:rPr>
          <w:lang w:val="en-US"/>
        </w:rPr>
        <w:t xml:space="preserve">the OpenMC </w:t>
      </w:r>
      <w:r w:rsidR="001B3392" w:rsidRPr="00DC0AD0">
        <w:t>probabilistic</w:t>
      </w:r>
      <w:r w:rsidR="001B3392" w:rsidRPr="00DC0AD0">
        <w:rPr>
          <w:lang w:val="en-US"/>
        </w:rPr>
        <w:t xml:space="preserve"> tools. In these two distinguished codes, the comparison indicates an acceptable maximum relative difference of 2.4% and an average relative difference of 1.5% for PPF values. This difference is caused due to the various computation techniques employed in the probabilistic and deterministic codes, the slightly different cross-sectional libraries, and the inability of completely accurate reflector modelling in the deterministic codes.</w:t>
      </w:r>
      <w:r w:rsidR="00970AA7" w:rsidRPr="00DC0AD0">
        <w:rPr>
          <w:lang w:val="en-US"/>
        </w:rPr>
        <w:t xml:space="preserve"> The comparison shows that for PPF values, there is an allowed maximum relative gap of 2.4% and an average relative gap of 1.5% in these two distinct approaches. This discrepancy results from the differing calculation strategies utilized in the deterministic and probabilistic codes, the different cross-sectional libraries, and the deterministic systems' incapacity to simulate reflectors with perfect accuracy. The outcomes of the thermal-hydraulics calculations performed with the COBRA code is compared with PARCS code's thermal-hydraulics module [</w:t>
      </w:r>
      <w:r w:rsidR="00116B1D" w:rsidRPr="00DC0AD0">
        <w:rPr>
          <w:lang w:val="en-US"/>
        </w:rPr>
        <w:t>6</w:t>
      </w:r>
      <w:r w:rsidR="00970AA7" w:rsidRPr="00DC0AD0">
        <w:rPr>
          <w:lang w:val="en-US"/>
        </w:rPr>
        <w:t xml:space="preserve">]. </w:t>
      </w:r>
      <w:r w:rsidR="00856DE6" w:rsidRPr="00DC0AD0">
        <w:t>Fig. 2</w:t>
      </w:r>
      <w:r w:rsidR="00970AA7" w:rsidRPr="00DC0AD0">
        <w:rPr>
          <w:lang w:val="en-US"/>
        </w:rPr>
        <w:t xml:space="preserve"> compares the axial temperatures profile of fuel obtained using these two codes. it demonstrates that the thermal-hydraulics results obtained through these two techniques are rather identical. The differences in the average fuel temperature between these two codes are reflected in the different averaging procedures employed in each. The coupled technique yielded an average temperature of 324 °C for the core of the reactor. Comparing this finding to the 323 °C stated in the reactor's SAR, the relative error is in acceptable range.</w:t>
      </w:r>
    </w:p>
    <w:p w14:paraId="7E7480E1" w14:textId="77777777" w:rsidR="003715DC" w:rsidRPr="00DC0AD0" w:rsidRDefault="003715DC" w:rsidP="00537496">
      <w:pPr>
        <w:pStyle w:val="BodyText"/>
      </w:pPr>
    </w:p>
    <w:p w14:paraId="352C773B" w14:textId="27808187" w:rsidR="003715DC" w:rsidRPr="00DC0AD0" w:rsidRDefault="003715DC" w:rsidP="002F14D1">
      <w:pPr>
        <w:pStyle w:val="BodyText"/>
        <w:jc w:val="center"/>
      </w:pPr>
      <w:r w:rsidRPr="00DC0AD0">
        <w:rPr>
          <w:noProof/>
        </w:rPr>
        <w:drawing>
          <wp:inline distT="0" distB="0" distL="0" distR="0" wp14:anchorId="405265D5" wp14:editId="6B1A05A8">
            <wp:extent cx="2743200" cy="2743200"/>
            <wp:effectExtent l="0" t="0" r="0" b="0"/>
            <wp:docPr id="1175245213" name="Chart 1">
              <a:extLst xmlns:a="http://schemas.openxmlformats.org/drawingml/2006/main">
                <a:ext uri="{FF2B5EF4-FFF2-40B4-BE49-F238E27FC236}">
                  <a16:creationId xmlns:a16="http://schemas.microsoft.com/office/drawing/2014/main" id="{678FE74B-C28A-1A13-5701-58C1CCB35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81B0ED" w14:textId="2DAD3239" w:rsidR="003715DC" w:rsidRPr="00DC0AD0" w:rsidRDefault="00C96D1E" w:rsidP="00537496">
      <w:pPr>
        <w:pStyle w:val="BodyText"/>
      </w:pPr>
      <w:r w:rsidRPr="00DC0AD0">
        <w:rPr>
          <w:noProof/>
          <w:lang w:val="fa-IR" w:bidi="fa-IR"/>
        </w:rPr>
        <mc:AlternateContent>
          <mc:Choice Requires="wps">
            <w:drawing>
              <wp:anchor distT="0" distB="0" distL="114300" distR="114300" simplePos="0" relativeHeight="251674624" behindDoc="0" locked="0" layoutInCell="1" allowOverlap="1" wp14:anchorId="1BFABA84" wp14:editId="656D5044">
                <wp:simplePos x="0" y="0"/>
                <wp:positionH relativeFrom="margin">
                  <wp:posOffset>471170</wp:posOffset>
                </wp:positionH>
                <wp:positionV relativeFrom="paragraph">
                  <wp:posOffset>144780</wp:posOffset>
                </wp:positionV>
                <wp:extent cx="3863340" cy="185420"/>
                <wp:effectExtent l="0" t="0" r="0" b="0"/>
                <wp:wrapTopAndBottom/>
                <wp:docPr id="21138882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185420"/>
                        </a:xfrm>
                        <a:prstGeom prst="rect">
                          <a:avLst/>
                        </a:prstGeom>
                        <a:solidFill>
                          <a:prstClr val="white"/>
                        </a:solidFill>
                        <a:ln>
                          <a:noFill/>
                        </a:ln>
                        <a:effectLst/>
                      </wps:spPr>
                      <wps:txbx>
                        <w:txbxContent>
                          <w:p w14:paraId="7CD21E49" w14:textId="1E4E3FA9" w:rsidR="00F267FC" w:rsidRPr="00802381" w:rsidRDefault="00F267FC" w:rsidP="00F267F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2</w:t>
                            </w:r>
                            <w:r w:rsidRPr="00802381">
                              <w:rPr>
                                <w:i/>
                              </w:rPr>
                              <w:fldChar w:fldCharType="end"/>
                            </w:r>
                            <w:r>
                              <w:rPr>
                                <w:i/>
                              </w:rPr>
                              <w:t xml:space="preserve">. </w:t>
                            </w:r>
                            <w:r w:rsidR="00970AA7">
                              <w:rPr>
                                <w:i/>
                              </w:rPr>
                              <w:t>Fuel temperature profile obtained from COBRA and PARCS TH modules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BFABA84" id="Text Box 7" o:spid="_x0000_s1027" type="#_x0000_t202" style="position:absolute;left:0;text-align:left;margin-left:37.1pt;margin-top:11.4pt;width:304.2pt;height:14.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" stroked="f">
                <v:textbox style="mso-fit-shape-to-text:t" inset="0,0,0,0">
                  <w:txbxContent>
                    <w:p w14:paraId="7CD21E49" w14:textId="1E4E3FA9" w:rsidR="00F267FC" w:rsidRPr="00802381" w:rsidRDefault="00F267FC" w:rsidP="00F267F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2</w:t>
                      </w:r>
                      <w:r w:rsidRPr="00802381">
                        <w:rPr>
                          <w:i/>
                        </w:rPr>
                        <w:fldChar w:fldCharType="end"/>
                      </w:r>
                      <w:r>
                        <w:rPr>
                          <w:i/>
                        </w:rPr>
                        <w:t xml:space="preserve">. </w:t>
                      </w:r>
                      <w:r w:rsidR="00970AA7">
                        <w:rPr>
                          <w:i/>
                        </w:rPr>
                        <w:t>Fuel temperature profile obtained from COBRA and PARCS TH modules</w:t>
                      </w:r>
                    </w:p>
                  </w:txbxContent>
                </v:textbox>
                <w10:wrap type="topAndBottom" anchorx="margin"/>
              </v:shape>
            </w:pict>
          </mc:Fallback>
        </mc:AlternateContent>
      </w:r>
    </w:p>
    <w:p w14:paraId="0DDF953D" w14:textId="56210FD2" w:rsidR="003715DC" w:rsidRPr="00DC0AD0" w:rsidRDefault="003715DC" w:rsidP="003715DC">
      <w:pPr>
        <w:pStyle w:val="Heading3"/>
        <w:numPr>
          <w:ilvl w:val="0"/>
          <w:numId w:val="0"/>
        </w:numPr>
      </w:pPr>
      <w:r w:rsidRPr="00DC0AD0">
        <w:t>3.2. Comparison</w:t>
      </w:r>
      <w:r w:rsidR="00970AA7" w:rsidRPr="00DC0AD0">
        <w:t xml:space="preserve"> of simple and strong coupling methods</w:t>
      </w:r>
    </w:p>
    <w:p w14:paraId="1B43CE78" w14:textId="01AAF876" w:rsidR="00F267FC" w:rsidRDefault="00507FD1" w:rsidP="001E2412">
      <w:pPr>
        <w:pStyle w:val="BodyText"/>
      </w:pPr>
      <w:r w:rsidRPr="00DC0AD0">
        <w:t xml:space="preserve">To promote faster convergence, the average temperature of the </w:t>
      </w:r>
      <w:r w:rsidR="002E78CD">
        <w:t xml:space="preserve">reactor </w:t>
      </w:r>
      <w:r w:rsidRPr="00DC0AD0">
        <w:t xml:space="preserve">core is used as an initially estimate in the strong coupling calculations. The SAR of this reactor determined the effective multiplication factor at the BOC equal to 1.005724, without using the coupling process. Using strong coupled calculation this value decreases to 1.000593. The importance of strong coupling is highlighted by this noteworthy variance of 513 pcm. The PPF values at BOC for cases with simple one-way calculation and strong coupling calculation is presented in </w:t>
      </w:r>
      <w:r w:rsidR="00856DE6" w:rsidRPr="00DC0AD0">
        <w:t>Table 1</w:t>
      </w:r>
      <w:r w:rsidRPr="00DC0AD0">
        <w:t xml:space="preserve">.  The difference between PPF value of both methods is illustrated in </w:t>
      </w:r>
      <w:r w:rsidR="00856DE6" w:rsidRPr="00DC0AD0">
        <w:t>Fig. 3</w:t>
      </w:r>
      <w:r w:rsidRPr="00DC0AD0">
        <w:t xml:space="preserve">. The axial PPF profile is depicted in </w:t>
      </w:r>
      <w:r w:rsidR="00856DE6" w:rsidRPr="00DC0AD0">
        <w:t>Fig. 4</w:t>
      </w:r>
      <w:r w:rsidRPr="00DC0AD0">
        <w:t>. Based on coupling estimates, the highest variation in PPF between the two scenarios is 2.2%.</w:t>
      </w:r>
      <w:r w:rsidR="001E2412" w:rsidRPr="00DC0AD0">
        <w:t xml:space="preserve"> The critical heat flux (CHF), a measure that sets temperature limits, is crucial to nuclear reactor design. The CHF value and CHF temperature obtained from simple one-way calculation and strong coupled calculation is compared in illustrated in </w:t>
      </w:r>
      <w:r w:rsidR="00856DE6" w:rsidRPr="00DC0AD0">
        <w:t>Fig. 5</w:t>
      </w:r>
      <w:r w:rsidR="001E2412" w:rsidRPr="00DC0AD0">
        <w:t>. It depicts that the largest CHF difference between simple and strong result is 84.8 kW/m2. On the other hand, it is obvious that the highest CHF temperature difference is around 0.25 K. As a result, there is a 15.9% relative error in the MDNBR value for simple and strong coupling calculations</w:t>
      </w:r>
      <w:r w:rsidR="00116B1D" w:rsidRPr="00DC0AD0">
        <w:t>.</w:t>
      </w:r>
    </w:p>
    <w:p w14:paraId="552777BA" w14:textId="77777777" w:rsidR="002276F9" w:rsidRDefault="002276F9" w:rsidP="001E2412">
      <w:pPr>
        <w:pStyle w:val="BodyText"/>
      </w:pPr>
    </w:p>
    <w:p w14:paraId="4D2F4691" w14:textId="77777777" w:rsidR="002276F9" w:rsidRPr="00DC0AD0" w:rsidRDefault="002276F9" w:rsidP="001E2412">
      <w:pPr>
        <w:pStyle w:val="BodyText"/>
      </w:pPr>
    </w:p>
    <w:p w14:paraId="523EC724" w14:textId="77777777" w:rsidR="00116B1D" w:rsidRPr="00DC0AD0" w:rsidRDefault="00116B1D" w:rsidP="001E2412">
      <w:pPr>
        <w:pStyle w:val="BodyText"/>
      </w:pPr>
    </w:p>
    <w:p w14:paraId="08E425CE" w14:textId="03353140" w:rsidR="003715DC" w:rsidRPr="00DC0AD0" w:rsidRDefault="003715DC" w:rsidP="003715DC">
      <w:pPr>
        <w:pStyle w:val="BodyText"/>
        <w:ind w:firstLine="0"/>
      </w:pPr>
      <w:r w:rsidRPr="00DC0AD0">
        <w:lastRenderedPageBreak/>
        <w:t>TABLE 1.</w:t>
      </w:r>
      <w:r w:rsidRPr="00DC0AD0">
        <w:tab/>
      </w:r>
      <w:r w:rsidR="001B3392" w:rsidRPr="00DC0AD0">
        <w:t xml:space="preserve">Power peaking factor for different assembly of </w:t>
      </w:r>
      <w:r w:rsidR="002E78CD" w:rsidRPr="002E78CD">
        <w:t>a typical 100 MWe integral PWR</w:t>
      </w:r>
      <w:r w:rsidR="001B3392" w:rsidRPr="00DC0AD0">
        <w:t xml:space="preserve"> reactor.</w:t>
      </w:r>
    </w:p>
    <w:p w14:paraId="338AF287" w14:textId="77777777" w:rsidR="003715DC" w:rsidRPr="00DC0AD0" w:rsidRDefault="003715DC" w:rsidP="003715DC">
      <w:pPr>
        <w:pStyle w:val="BodyText"/>
      </w:pPr>
    </w:p>
    <w:tbl>
      <w:tblPr>
        <w:tblW w:w="7993" w:type="dxa"/>
        <w:jc w:val="center"/>
        <w:tblLook w:val="04A0" w:firstRow="1" w:lastRow="0" w:firstColumn="1" w:lastColumn="0" w:noHBand="0" w:noVBand="1"/>
      </w:tblPr>
      <w:tblGrid>
        <w:gridCol w:w="316"/>
        <w:gridCol w:w="783"/>
        <w:gridCol w:w="766"/>
        <w:gridCol w:w="766"/>
        <w:gridCol w:w="766"/>
        <w:gridCol w:w="766"/>
        <w:gridCol w:w="766"/>
        <w:gridCol w:w="766"/>
        <w:gridCol w:w="766"/>
        <w:gridCol w:w="766"/>
        <w:gridCol w:w="766"/>
      </w:tblGrid>
      <w:tr w:rsidR="003715DC" w:rsidRPr="00DC0AD0" w14:paraId="686DA04C" w14:textId="77777777" w:rsidTr="00393FD7">
        <w:trPr>
          <w:trHeight w:val="300"/>
          <w:jc w:val="center"/>
        </w:trPr>
        <w:tc>
          <w:tcPr>
            <w:tcW w:w="316" w:type="dxa"/>
            <w:tcBorders>
              <w:top w:val="single" w:sz="4" w:space="0" w:color="auto"/>
              <w:bottom w:val="single" w:sz="4" w:space="0" w:color="auto"/>
            </w:tcBorders>
            <w:shd w:val="clear" w:color="auto" w:fill="auto"/>
            <w:noWrap/>
            <w:vAlign w:val="center"/>
          </w:tcPr>
          <w:p w14:paraId="748702B3"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3847" w:type="dxa"/>
            <w:gridSpan w:val="5"/>
            <w:tcBorders>
              <w:top w:val="single" w:sz="4" w:space="0" w:color="auto"/>
              <w:bottom w:val="single" w:sz="4" w:space="0" w:color="auto"/>
            </w:tcBorders>
            <w:shd w:val="clear" w:color="auto" w:fill="auto"/>
            <w:noWrap/>
            <w:vAlign w:val="center"/>
          </w:tcPr>
          <w:p w14:paraId="7A7F8F2D" w14:textId="0AE03B26" w:rsidR="003715DC" w:rsidRPr="00DC0AD0" w:rsidRDefault="006C622B"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Simple one-way coupling</w:t>
            </w:r>
          </w:p>
        </w:tc>
        <w:tc>
          <w:tcPr>
            <w:tcW w:w="3830" w:type="dxa"/>
            <w:gridSpan w:val="5"/>
            <w:tcBorders>
              <w:top w:val="single" w:sz="4" w:space="0" w:color="auto"/>
              <w:bottom w:val="single" w:sz="4" w:space="0" w:color="auto"/>
            </w:tcBorders>
            <w:shd w:val="clear" w:color="auto" w:fill="auto"/>
            <w:noWrap/>
            <w:vAlign w:val="center"/>
          </w:tcPr>
          <w:p w14:paraId="0AA49ED2" w14:textId="1B4E511C" w:rsidR="003715DC" w:rsidRPr="00DC0AD0" w:rsidRDefault="006C622B"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 xml:space="preserve">Strong coupling </w:t>
            </w:r>
          </w:p>
        </w:tc>
      </w:tr>
      <w:tr w:rsidR="003715DC" w:rsidRPr="00DC0AD0" w14:paraId="68B0B189" w14:textId="77777777" w:rsidTr="00393FD7">
        <w:trPr>
          <w:trHeight w:val="300"/>
          <w:jc w:val="center"/>
        </w:trPr>
        <w:tc>
          <w:tcPr>
            <w:tcW w:w="316" w:type="dxa"/>
            <w:tcBorders>
              <w:top w:val="single" w:sz="4" w:space="0" w:color="auto"/>
              <w:bottom w:val="single" w:sz="4" w:space="0" w:color="auto"/>
            </w:tcBorders>
            <w:shd w:val="clear" w:color="auto" w:fill="auto"/>
            <w:noWrap/>
            <w:vAlign w:val="center"/>
            <w:hideMark/>
          </w:tcPr>
          <w:p w14:paraId="50AB84C9"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83" w:type="dxa"/>
            <w:tcBorders>
              <w:top w:val="single" w:sz="4" w:space="0" w:color="auto"/>
              <w:bottom w:val="single" w:sz="4" w:space="0" w:color="auto"/>
            </w:tcBorders>
            <w:shd w:val="clear" w:color="auto" w:fill="auto"/>
            <w:noWrap/>
            <w:vAlign w:val="center"/>
            <w:hideMark/>
          </w:tcPr>
          <w:p w14:paraId="5F11F28D"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w:t>
            </w:r>
          </w:p>
        </w:tc>
        <w:tc>
          <w:tcPr>
            <w:tcW w:w="766" w:type="dxa"/>
            <w:tcBorders>
              <w:top w:val="single" w:sz="4" w:space="0" w:color="auto"/>
              <w:bottom w:val="single" w:sz="4" w:space="0" w:color="auto"/>
            </w:tcBorders>
            <w:shd w:val="clear" w:color="auto" w:fill="auto"/>
            <w:noWrap/>
            <w:vAlign w:val="center"/>
            <w:hideMark/>
          </w:tcPr>
          <w:p w14:paraId="4E92FBC4"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2</w:t>
            </w:r>
          </w:p>
        </w:tc>
        <w:tc>
          <w:tcPr>
            <w:tcW w:w="766" w:type="dxa"/>
            <w:tcBorders>
              <w:top w:val="single" w:sz="4" w:space="0" w:color="auto"/>
              <w:bottom w:val="single" w:sz="4" w:space="0" w:color="auto"/>
            </w:tcBorders>
            <w:shd w:val="clear" w:color="auto" w:fill="auto"/>
            <w:noWrap/>
            <w:vAlign w:val="center"/>
            <w:hideMark/>
          </w:tcPr>
          <w:p w14:paraId="77D1614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3</w:t>
            </w:r>
          </w:p>
        </w:tc>
        <w:tc>
          <w:tcPr>
            <w:tcW w:w="766" w:type="dxa"/>
            <w:tcBorders>
              <w:top w:val="single" w:sz="4" w:space="0" w:color="auto"/>
              <w:bottom w:val="single" w:sz="4" w:space="0" w:color="auto"/>
            </w:tcBorders>
            <w:shd w:val="clear" w:color="auto" w:fill="auto"/>
            <w:noWrap/>
            <w:vAlign w:val="center"/>
            <w:hideMark/>
          </w:tcPr>
          <w:p w14:paraId="368E8B4F"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4</w:t>
            </w:r>
          </w:p>
        </w:tc>
        <w:tc>
          <w:tcPr>
            <w:tcW w:w="766" w:type="dxa"/>
            <w:tcBorders>
              <w:top w:val="single" w:sz="4" w:space="0" w:color="auto"/>
              <w:bottom w:val="single" w:sz="4" w:space="0" w:color="auto"/>
            </w:tcBorders>
            <w:shd w:val="clear" w:color="auto" w:fill="auto"/>
            <w:noWrap/>
            <w:vAlign w:val="center"/>
            <w:hideMark/>
          </w:tcPr>
          <w:p w14:paraId="1583225B"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5</w:t>
            </w:r>
          </w:p>
        </w:tc>
        <w:tc>
          <w:tcPr>
            <w:tcW w:w="766" w:type="dxa"/>
            <w:tcBorders>
              <w:top w:val="single" w:sz="4" w:space="0" w:color="auto"/>
              <w:bottom w:val="single" w:sz="4" w:space="0" w:color="auto"/>
            </w:tcBorders>
            <w:shd w:val="clear" w:color="auto" w:fill="auto"/>
            <w:noWrap/>
            <w:vAlign w:val="center"/>
            <w:hideMark/>
          </w:tcPr>
          <w:p w14:paraId="62C9A990"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w:t>
            </w:r>
          </w:p>
        </w:tc>
        <w:tc>
          <w:tcPr>
            <w:tcW w:w="766" w:type="dxa"/>
            <w:tcBorders>
              <w:top w:val="single" w:sz="4" w:space="0" w:color="auto"/>
              <w:bottom w:val="single" w:sz="4" w:space="0" w:color="auto"/>
            </w:tcBorders>
            <w:shd w:val="clear" w:color="auto" w:fill="auto"/>
            <w:noWrap/>
            <w:vAlign w:val="center"/>
            <w:hideMark/>
          </w:tcPr>
          <w:p w14:paraId="6D7AF577"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2</w:t>
            </w:r>
          </w:p>
        </w:tc>
        <w:tc>
          <w:tcPr>
            <w:tcW w:w="766" w:type="dxa"/>
            <w:tcBorders>
              <w:top w:val="single" w:sz="4" w:space="0" w:color="auto"/>
              <w:bottom w:val="single" w:sz="4" w:space="0" w:color="auto"/>
            </w:tcBorders>
            <w:shd w:val="clear" w:color="auto" w:fill="auto"/>
            <w:noWrap/>
            <w:vAlign w:val="center"/>
            <w:hideMark/>
          </w:tcPr>
          <w:p w14:paraId="2127D59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3</w:t>
            </w:r>
          </w:p>
        </w:tc>
        <w:tc>
          <w:tcPr>
            <w:tcW w:w="766" w:type="dxa"/>
            <w:tcBorders>
              <w:top w:val="single" w:sz="4" w:space="0" w:color="auto"/>
              <w:bottom w:val="single" w:sz="4" w:space="0" w:color="auto"/>
            </w:tcBorders>
            <w:shd w:val="clear" w:color="auto" w:fill="auto"/>
            <w:noWrap/>
            <w:vAlign w:val="center"/>
            <w:hideMark/>
          </w:tcPr>
          <w:p w14:paraId="103A936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4</w:t>
            </w:r>
          </w:p>
        </w:tc>
        <w:tc>
          <w:tcPr>
            <w:tcW w:w="766" w:type="dxa"/>
            <w:tcBorders>
              <w:top w:val="single" w:sz="4" w:space="0" w:color="auto"/>
              <w:bottom w:val="single" w:sz="4" w:space="0" w:color="auto"/>
            </w:tcBorders>
            <w:shd w:val="clear" w:color="auto" w:fill="auto"/>
            <w:noWrap/>
            <w:vAlign w:val="center"/>
            <w:hideMark/>
          </w:tcPr>
          <w:p w14:paraId="3236503B"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5</w:t>
            </w:r>
          </w:p>
        </w:tc>
      </w:tr>
      <w:tr w:rsidR="003715DC" w:rsidRPr="00DC0AD0" w14:paraId="36AAA548" w14:textId="77777777" w:rsidTr="00393FD7">
        <w:trPr>
          <w:trHeight w:val="300"/>
          <w:jc w:val="center"/>
        </w:trPr>
        <w:tc>
          <w:tcPr>
            <w:tcW w:w="316" w:type="dxa"/>
            <w:tcBorders>
              <w:top w:val="single" w:sz="4" w:space="0" w:color="auto"/>
            </w:tcBorders>
            <w:shd w:val="clear" w:color="auto" w:fill="auto"/>
            <w:noWrap/>
            <w:vAlign w:val="center"/>
            <w:hideMark/>
          </w:tcPr>
          <w:p w14:paraId="5D97C742"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w:t>
            </w:r>
          </w:p>
        </w:tc>
        <w:tc>
          <w:tcPr>
            <w:tcW w:w="783" w:type="dxa"/>
            <w:tcBorders>
              <w:top w:val="single" w:sz="4" w:space="0" w:color="auto"/>
            </w:tcBorders>
            <w:shd w:val="clear" w:color="auto" w:fill="auto"/>
            <w:noWrap/>
            <w:vAlign w:val="center"/>
            <w:hideMark/>
          </w:tcPr>
          <w:p w14:paraId="22C41DC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0.9695</w:t>
            </w:r>
          </w:p>
        </w:tc>
        <w:tc>
          <w:tcPr>
            <w:tcW w:w="766" w:type="dxa"/>
            <w:tcBorders>
              <w:top w:val="single" w:sz="4" w:space="0" w:color="auto"/>
            </w:tcBorders>
            <w:shd w:val="clear" w:color="auto" w:fill="auto"/>
            <w:noWrap/>
            <w:vAlign w:val="center"/>
            <w:hideMark/>
          </w:tcPr>
          <w:p w14:paraId="58B7E763"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0.9394</w:t>
            </w:r>
          </w:p>
        </w:tc>
        <w:tc>
          <w:tcPr>
            <w:tcW w:w="766" w:type="dxa"/>
            <w:tcBorders>
              <w:top w:val="single" w:sz="4" w:space="0" w:color="auto"/>
            </w:tcBorders>
            <w:shd w:val="clear" w:color="auto" w:fill="auto"/>
            <w:noWrap/>
            <w:vAlign w:val="center"/>
            <w:hideMark/>
          </w:tcPr>
          <w:p w14:paraId="2234975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0.9486</w:t>
            </w:r>
          </w:p>
        </w:tc>
        <w:tc>
          <w:tcPr>
            <w:tcW w:w="766" w:type="dxa"/>
            <w:tcBorders>
              <w:top w:val="single" w:sz="4" w:space="0" w:color="auto"/>
            </w:tcBorders>
            <w:shd w:val="clear" w:color="auto" w:fill="auto"/>
            <w:noWrap/>
            <w:vAlign w:val="center"/>
            <w:hideMark/>
          </w:tcPr>
          <w:p w14:paraId="569F6875"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1.1303</w:t>
            </w:r>
          </w:p>
        </w:tc>
        <w:tc>
          <w:tcPr>
            <w:tcW w:w="766" w:type="dxa"/>
            <w:tcBorders>
              <w:top w:val="single" w:sz="4" w:space="0" w:color="auto"/>
            </w:tcBorders>
            <w:shd w:val="clear" w:color="auto" w:fill="auto"/>
            <w:noWrap/>
            <w:vAlign w:val="center"/>
            <w:hideMark/>
          </w:tcPr>
          <w:p w14:paraId="3C7727A5"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1.0661</w:t>
            </w:r>
          </w:p>
        </w:tc>
        <w:tc>
          <w:tcPr>
            <w:tcW w:w="766" w:type="dxa"/>
            <w:tcBorders>
              <w:top w:val="single" w:sz="4" w:space="0" w:color="auto"/>
            </w:tcBorders>
            <w:shd w:val="clear" w:color="auto" w:fill="auto"/>
            <w:noWrap/>
            <w:vAlign w:val="center"/>
            <w:hideMark/>
          </w:tcPr>
          <w:p w14:paraId="4238C84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0.9911</w:t>
            </w:r>
          </w:p>
        </w:tc>
        <w:tc>
          <w:tcPr>
            <w:tcW w:w="766" w:type="dxa"/>
            <w:tcBorders>
              <w:top w:val="single" w:sz="4" w:space="0" w:color="auto"/>
            </w:tcBorders>
            <w:shd w:val="clear" w:color="auto" w:fill="auto"/>
            <w:noWrap/>
            <w:vAlign w:val="center"/>
            <w:hideMark/>
          </w:tcPr>
          <w:p w14:paraId="1768DFE8"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0.9603</w:t>
            </w:r>
          </w:p>
        </w:tc>
        <w:tc>
          <w:tcPr>
            <w:tcW w:w="766" w:type="dxa"/>
            <w:tcBorders>
              <w:top w:val="single" w:sz="4" w:space="0" w:color="auto"/>
            </w:tcBorders>
            <w:shd w:val="clear" w:color="auto" w:fill="auto"/>
            <w:noWrap/>
            <w:vAlign w:val="center"/>
            <w:hideMark/>
          </w:tcPr>
          <w:p w14:paraId="2D628805"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0.9666</w:t>
            </w:r>
          </w:p>
        </w:tc>
        <w:tc>
          <w:tcPr>
            <w:tcW w:w="766" w:type="dxa"/>
            <w:tcBorders>
              <w:top w:val="single" w:sz="4" w:space="0" w:color="auto"/>
            </w:tcBorders>
            <w:shd w:val="clear" w:color="auto" w:fill="auto"/>
            <w:noWrap/>
            <w:vAlign w:val="center"/>
            <w:hideMark/>
          </w:tcPr>
          <w:p w14:paraId="3808FF42"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1.1165</w:t>
            </w:r>
          </w:p>
        </w:tc>
        <w:tc>
          <w:tcPr>
            <w:tcW w:w="766" w:type="dxa"/>
            <w:tcBorders>
              <w:top w:val="single" w:sz="4" w:space="0" w:color="auto"/>
            </w:tcBorders>
            <w:shd w:val="clear" w:color="auto" w:fill="auto"/>
            <w:noWrap/>
            <w:vAlign w:val="center"/>
            <w:hideMark/>
          </w:tcPr>
          <w:p w14:paraId="4C355FD7"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1.0474</w:t>
            </w:r>
          </w:p>
        </w:tc>
      </w:tr>
      <w:tr w:rsidR="003715DC" w:rsidRPr="00DC0AD0" w14:paraId="0037DD14" w14:textId="77777777" w:rsidTr="00393FD7">
        <w:trPr>
          <w:trHeight w:val="300"/>
          <w:jc w:val="center"/>
        </w:trPr>
        <w:tc>
          <w:tcPr>
            <w:tcW w:w="316" w:type="dxa"/>
            <w:shd w:val="clear" w:color="auto" w:fill="auto"/>
            <w:noWrap/>
            <w:vAlign w:val="center"/>
            <w:hideMark/>
          </w:tcPr>
          <w:p w14:paraId="4B937D64"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2</w:t>
            </w:r>
          </w:p>
        </w:tc>
        <w:tc>
          <w:tcPr>
            <w:tcW w:w="783" w:type="dxa"/>
            <w:shd w:val="clear" w:color="auto" w:fill="auto"/>
            <w:noWrap/>
            <w:vAlign w:val="center"/>
            <w:hideMark/>
          </w:tcPr>
          <w:p w14:paraId="743E550B"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0.9394</w:t>
            </w:r>
          </w:p>
        </w:tc>
        <w:tc>
          <w:tcPr>
            <w:tcW w:w="766" w:type="dxa"/>
            <w:shd w:val="clear" w:color="auto" w:fill="auto"/>
            <w:noWrap/>
            <w:vAlign w:val="center"/>
            <w:hideMark/>
          </w:tcPr>
          <w:p w14:paraId="16518088"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1.0004</w:t>
            </w:r>
          </w:p>
        </w:tc>
        <w:tc>
          <w:tcPr>
            <w:tcW w:w="766" w:type="dxa"/>
            <w:shd w:val="clear" w:color="auto" w:fill="auto"/>
            <w:noWrap/>
            <w:vAlign w:val="center"/>
            <w:hideMark/>
          </w:tcPr>
          <w:p w14:paraId="4FBCACD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0.9921</w:t>
            </w:r>
          </w:p>
        </w:tc>
        <w:tc>
          <w:tcPr>
            <w:tcW w:w="766" w:type="dxa"/>
            <w:shd w:val="clear" w:color="auto" w:fill="auto"/>
            <w:noWrap/>
            <w:vAlign w:val="center"/>
            <w:hideMark/>
          </w:tcPr>
          <w:p w14:paraId="14404A64"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1.1153</w:t>
            </w:r>
          </w:p>
        </w:tc>
        <w:tc>
          <w:tcPr>
            <w:tcW w:w="766" w:type="dxa"/>
            <w:shd w:val="clear" w:color="auto" w:fill="auto"/>
            <w:noWrap/>
            <w:vAlign w:val="center"/>
            <w:hideMark/>
          </w:tcPr>
          <w:p w14:paraId="0172A956"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0.9129</w:t>
            </w:r>
          </w:p>
        </w:tc>
        <w:tc>
          <w:tcPr>
            <w:tcW w:w="766" w:type="dxa"/>
            <w:shd w:val="clear" w:color="auto" w:fill="auto"/>
            <w:noWrap/>
            <w:vAlign w:val="center"/>
            <w:hideMark/>
          </w:tcPr>
          <w:p w14:paraId="26D6F4E7"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0.9603</w:t>
            </w:r>
          </w:p>
        </w:tc>
        <w:tc>
          <w:tcPr>
            <w:tcW w:w="766" w:type="dxa"/>
            <w:shd w:val="clear" w:color="auto" w:fill="auto"/>
            <w:noWrap/>
            <w:vAlign w:val="center"/>
            <w:hideMark/>
          </w:tcPr>
          <w:p w14:paraId="1F7DFF4A"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1.017</w:t>
            </w:r>
          </w:p>
        </w:tc>
        <w:tc>
          <w:tcPr>
            <w:tcW w:w="766" w:type="dxa"/>
            <w:shd w:val="clear" w:color="auto" w:fill="auto"/>
            <w:noWrap/>
            <w:vAlign w:val="center"/>
            <w:hideMark/>
          </w:tcPr>
          <w:p w14:paraId="3FB76FCB"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0.9994</w:t>
            </w:r>
          </w:p>
        </w:tc>
        <w:tc>
          <w:tcPr>
            <w:tcW w:w="766" w:type="dxa"/>
            <w:shd w:val="clear" w:color="auto" w:fill="auto"/>
            <w:noWrap/>
            <w:vAlign w:val="center"/>
            <w:hideMark/>
          </w:tcPr>
          <w:p w14:paraId="7B489FE3"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1.1027</w:t>
            </w:r>
          </w:p>
        </w:tc>
        <w:tc>
          <w:tcPr>
            <w:tcW w:w="766" w:type="dxa"/>
            <w:shd w:val="clear" w:color="auto" w:fill="auto"/>
            <w:noWrap/>
            <w:vAlign w:val="center"/>
            <w:hideMark/>
          </w:tcPr>
          <w:p w14:paraId="2C2AC798"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0.9061</w:t>
            </w:r>
          </w:p>
        </w:tc>
      </w:tr>
      <w:tr w:rsidR="003715DC" w:rsidRPr="00DC0AD0" w14:paraId="7E39E07E" w14:textId="77777777" w:rsidTr="00393FD7">
        <w:trPr>
          <w:trHeight w:val="300"/>
          <w:jc w:val="center"/>
        </w:trPr>
        <w:tc>
          <w:tcPr>
            <w:tcW w:w="316" w:type="dxa"/>
            <w:shd w:val="clear" w:color="auto" w:fill="auto"/>
            <w:noWrap/>
            <w:vAlign w:val="center"/>
            <w:hideMark/>
          </w:tcPr>
          <w:p w14:paraId="7A28E6F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3</w:t>
            </w:r>
          </w:p>
        </w:tc>
        <w:tc>
          <w:tcPr>
            <w:tcW w:w="783" w:type="dxa"/>
            <w:shd w:val="clear" w:color="auto" w:fill="auto"/>
            <w:noWrap/>
            <w:vAlign w:val="center"/>
            <w:hideMark/>
          </w:tcPr>
          <w:p w14:paraId="0E323D86"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0.9486</w:t>
            </w:r>
          </w:p>
        </w:tc>
        <w:tc>
          <w:tcPr>
            <w:tcW w:w="766" w:type="dxa"/>
            <w:shd w:val="clear" w:color="auto" w:fill="auto"/>
            <w:noWrap/>
            <w:vAlign w:val="center"/>
            <w:hideMark/>
          </w:tcPr>
          <w:p w14:paraId="386EF5CD"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0.9921</w:t>
            </w:r>
          </w:p>
        </w:tc>
        <w:tc>
          <w:tcPr>
            <w:tcW w:w="766" w:type="dxa"/>
            <w:shd w:val="clear" w:color="auto" w:fill="auto"/>
            <w:noWrap/>
            <w:vAlign w:val="center"/>
            <w:hideMark/>
          </w:tcPr>
          <w:p w14:paraId="13D89530"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1.0872</w:t>
            </w:r>
          </w:p>
        </w:tc>
        <w:tc>
          <w:tcPr>
            <w:tcW w:w="766" w:type="dxa"/>
            <w:shd w:val="clear" w:color="auto" w:fill="auto"/>
            <w:noWrap/>
            <w:vAlign w:val="center"/>
            <w:hideMark/>
          </w:tcPr>
          <w:p w14:paraId="76E01280"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0.8975</w:t>
            </w:r>
          </w:p>
        </w:tc>
        <w:tc>
          <w:tcPr>
            <w:tcW w:w="766" w:type="dxa"/>
            <w:shd w:val="clear" w:color="auto" w:fill="auto"/>
            <w:noWrap/>
            <w:vAlign w:val="center"/>
            <w:hideMark/>
          </w:tcPr>
          <w:p w14:paraId="0D329DF5"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shd w:val="clear" w:color="auto" w:fill="auto"/>
            <w:noWrap/>
            <w:vAlign w:val="center"/>
            <w:hideMark/>
          </w:tcPr>
          <w:p w14:paraId="69E27161"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0.9666</w:t>
            </w:r>
          </w:p>
        </w:tc>
        <w:tc>
          <w:tcPr>
            <w:tcW w:w="766" w:type="dxa"/>
            <w:shd w:val="clear" w:color="auto" w:fill="auto"/>
            <w:noWrap/>
            <w:vAlign w:val="center"/>
            <w:hideMark/>
          </w:tcPr>
          <w:p w14:paraId="2F248AFA"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0.9994</w:t>
            </w:r>
          </w:p>
        </w:tc>
        <w:tc>
          <w:tcPr>
            <w:tcW w:w="766" w:type="dxa"/>
            <w:shd w:val="clear" w:color="auto" w:fill="auto"/>
            <w:noWrap/>
            <w:vAlign w:val="center"/>
            <w:hideMark/>
          </w:tcPr>
          <w:p w14:paraId="27F47283"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1.0823</w:t>
            </w:r>
          </w:p>
        </w:tc>
        <w:tc>
          <w:tcPr>
            <w:tcW w:w="766" w:type="dxa"/>
            <w:shd w:val="clear" w:color="auto" w:fill="auto"/>
            <w:noWrap/>
            <w:vAlign w:val="center"/>
            <w:hideMark/>
          </w:tcPr>
          <w:p w14:paraId="67D9CF53"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0.8979</w:t>
            </w:r>
          </w:p>
        </w:tc>
        <w:tc>
          <w:tcPr>
            <w:tcW w:w="766" w:type="dxa"/>
            <w:shd w:val="clear" w:color="auto" w:fill="auto"/>
            <w:noWrap/>
            <w:vAlign w:val="center"/>
            <w:hideMark/>
          </w:tcPr>
          <w:p w14:paraId="29F384C9"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r>
      <w:tr w:rsidR="003715DC" w:rsidRPr="00DC0AD0" w14:paraId="75D6E44A" w14:textId="77777777" w:rsidTr="00393FD7">
        <w:trPr>
          <w:trHeight w:val="300"/>
          <w:jc w:val="center"/>
        </w:trPr>
        <w:tc>
          <w:tcPr>
            <w:tcW w:w="316" w:type="dxa"/>
            <w:shd w:val="clear" w:color="auto" w:fill="auto"/>
            <w:noWrap/>
            <w:vAlign w:val="center"/>
            <w:hideMark/>
          </w:tcPr>
          <w:p w14:paraId="0D663AF0"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4</w:t>
            </w:r>
          </w:p>
        </w:tc>
        <w:tc>
          <w:tcPr>
            <w:tcW w:w="783" w:type="dxa"/>
            <w:shd w:val="clear" w:color="auto" w:fill="auto"/>
            <w:noWrap/>
            <w:vAlign w:val="center"/>
            <w:hideMark/>
          </w:tcPr>
          <w:p w14:paraId="25EFB1BA"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1.1303</w:t>
            </w:r>
          </w:p>
        </w:tc>
        <w:tc>
          <w:tcPr>
            <w:tcW w:w="766" w:type="dxa"/>
            <w:shd w:val="clear" w:color="auto" w:fill="auto"/>
            <w:noWrap/>
            <w:vAlign w:val="center"/>
            <w:hideMark/>
          </w:tcPr>
          <w:p w14:paraId="7781EA4F"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1.1153</w:t>
            </w:r>
          </w:p>
        </w:tc>
        <w:tc>
          <w:tcPr>
            <w:tcW w:w="766" w:type="dxa"/>
            <w:shd w:val="clear" w:color="auto" w:fill="auto"/>
            <w:noWrap/>
            <w:vAlign w:val="center"/>
            <w:hideMark/>
          </w:tcPr>
          <w:p w14:paraId="4E06CC50"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0.8975</w:t>
            </w:r>
          </w:p>
        </w:tc>
        <w:tc>
          <w:tcPr>
            <w:tcW w:w="766" w:type="dxa"/>
            <w:shd w:val="clear" w:color="auto" w:fill="auto"/>
            <w:noWrap/>
            <w:vAlign w:val="center"/>
            <w:hideMark/>
          </w:tcPr>
          <w:p w14:paraId="75D8FD63"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shd w:val="clear" w:color="auto" w:fill="auto"/>
            <w:noWrap/>
            <w:vAlign w:val="center"/>
            <w:hideMark/>
          </w:tcPr>
          <w:p w14:paraId="207DC77D"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shd w:val="clear" w:color="auto" w:fill="auto"/>
            <w:noWrap/>
            <w:vAlign w:val="center"/>
            <w:hideMark/>
          </w:tcPr>
          <w:p w14:paraId="145AB817"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1.1165</w:t>
            </w:r>
          </w:p>
        </w:tc>
        <w:tc>
          <w:tcPr>
            <w:tcW w:w="766" w:type="dxa"/>
            <w:shd w:val="clear" w:color="auto" w:fill="auto"/>
            <w:noWrap/>
            <w:vAlign w:val="center"/>
            <w:hideMark/>
          </w:tcPr>
          <w:p w14:paraId="77550E3D"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1.1027</w:t>
            </w:r>
          </w:p>
        </w:tc>
        <w:tc>
          <w:tcPr>
            <w:tcW w:w="766" w:type="dxa"/>
            <w:shd w:val="clear" w:color="auto" w:fill="auto"/>
            <w:noWrap/>
            <w:vAlign w:val="center"/>
            <w:hideMark/>
          </w:tcPr>
          <w:p w14:paraId="151029BB"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0.8979</w:t>
            </w:r>
          </w:p>
        </w:tc>
        <w:tc>
          <w:tcPr>
            <w:tcW w:w="766" w:type="dxa"/>
            <w:shd w:val="clear" w:color="auto" w:fill="auto"/>
            <w:noWrap/>
            <w:vAlign w:val="center"/>
            <w:hideMark/>
          </w:tcPr>
          <w:p w14:paraId="281DB03E"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shd w:val="clear" w:color="auto" w:fill="auto"/>
            <w:noWrap/>
            <w:vAlign w:val="center"/>
            <w:hideMark/>
          </w:tcPr>
          <w:p w14:paraId="15FF150A"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r>
      <w:tr w:rsidR="003715DC" w:rsidRPr="00DC0AD0" w14:paraId="17960009" w14:textId="77777777" w:rsidTr="00393FD7">
        <w:trPr>
          <w:trHeight w:val="300"/>
          <w:jc w:val="center"/>
        </w:trPr>
        <w:tc>
          <w:tcPr>
            <w:tcW w:w="316" w:type="dxa"/>
            <w:tcBorders>
              <w:bottom w:val="single" w:sz="4" w:space="0" w:color="auto"/>
            </w:tcBorders>
            <w:shd w:val="clear" w:color="auto" w:fill="auto"/>
            <w:noWrap/>
            <w:vAlign w:val="center"/>
            <w:hideMark/>
          </w:tcPr>
          <w:p w14:paraId="5000EBE9"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5</w:t>
            </w:r>
          </w:p>
        </w:tc>
        <w:tc>
          <w:tcPr>
            <w:tcW w:w="783" w:type="dxa"/>
            <w:tcBorders>
              <w:bottom w:val="single" w:sz="4" w:space="0" w:color="auto"/>
            </w:tcBorders>
            <w:shd w:val="clear" w:color="auto" w:fill="auto"/>
            <w:noWrap/>
            <w:vAlign w:val="center"/>
            <w:hideMark/>
          </w:tcPr>
          <w:p w14:paraId="4E671B64"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1.0661</w:t>
            </w:r>
          </w:p>
        </w:tc>
        <w:tc>
          <w:tcPr>
            <w:tcW w:w="766" w:type="dxa"/>
            <w:tcBorders>
              <w:bottom w:val="single" w:sz="4" w:space="0" w:color="auto"/>
            </w:tcBorders>
            <w:shd w:val="clear" w:color="auto" w:fill="auto"/>
            <w:noWrap/>
            <w:vAlign w:val="center"/>
            <w:hideMark/>
          </w:tcPr>
          <w:p w14:paraId="6492ABAF"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0.9129</w:t>
            </w:r>
          </w:p>
        </w:tc>
        <w:tc>
          <w:tcPr>
            <w:tcW w:w="766" w:type="dxa"/>
            <w:tcBorders>
              <w:bottom w:val="single" w:sz="4" w:space="0" w:color="auto"/>
            </w:tcBorders>
            <w:shd w:val="clear" w:color="auto" w:fill="auto"/>
            <w:noWrap/>
            <w:vAlign w:val="center"/>
            <w:hideMark/>
          </w:tcPr>
          <w:p w14:paraId="69D1490A"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tcBorders>
              <w:bottom w:val="single" w:sz="4" w:space="0" w:color="auto"/>
            </w:tcBorders>
            <w:shd w:val="clear" w:color="auto" w:fill="auto"/>
            <w:noWrap/>
            <w:vAlign w:val="center"/>
            <w:hideMark/>
          </w:tcPr>
          <w:p w14:paraId="1CEBF720"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tcBorders>
              <w:bottom w:val="single" w:sz="4" w:space="0" w:color="auto"/>
            </w:tcBorders>
            <w:shd w:val="clear" w:color="auto" w:fill="auto"/>
            <w:noWrap/>
            <w:vAlign w:val="center"/>
            <w:hideMark/>
          </w:tcPr>
          <w:p w14:paraId="23744F15"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tcBorders>
              <w:bottom w:val="single" w:sz="4" w:space="0" w:color="auto"/>
            </w:tcBorders>
            <w:shd w:val="clear" w:color="auto" w:fill="auto"/>
            <w:noWrap/>
            <w:vAlign w:val="center"/>
            <w:hideMark/>
          </w:tcPr>
          <w:p w14:paraId="400AA4E8"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1.0474</w:t>
            </w:r>
          </w:p>
        </w:tc>
        <w:tc>
          <w:tcPr>
            <w:tcW w:w="766" w:type="dxa"/>
            <w:tcBorders>
              <w:bottom w:val="single" w:sz="4" w:space="0" w:color="auto"/>
            </w:tcBorders>
            <w:shd w:val="clear" w:color="auto" w:fill="auto"/>
            <w:noWrap/>
            <w:vAlign w:val="center"/>
            <w:hideMark/>
          </w:tcPr>
          <w:p w14:paraId="73652EAC"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r w:rsidRPr="00DC0AD0">
              <w:rPr>
                <w:rFonts w:asciiTheme="majorBidi" w:hAnsiTheme="majorBidi" w:cstheme="majorBidi"/>
                <w:sz w:val="20"/>
                <w:lang w:val="en-US"/>
              </w:rPr>
              <w:t>0.9061</w:t>
            </w:r>
          </w:p>
        </w:tc>
        <w:tc>
          <w:tcPr>
            <w:tcW w:w="766" w:type="dxa"/>
            <w:tcBorders>
              <w:bottom w:val="single" w:sz="4" w:space="0" w:color="auto"/>
            </w:tcBorders>
            <w:shd w:val="clear" w:color="auto" w:fill="auto"/>
            <w:noWrap/>
            <w:vAlign w:val="center"/>
            <w:hideMark/>
          </w:tcPr>
          <w:p w14:paraId="0BBC66E3"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tcBorders>
              <w:bottom w:val="single" w:sz="4" w:space="0" w:color="auto"/>
            </w:tcBorders>
            <w:shd w:val="clear" w:color="auto" w:fill="auto"/>
            <w:noWrap/>
            <w:vAlign w:val="center"/>
            <w:hideMark/>
          </w:tcPr>
          <w:p w14:paraId="55C3C33E"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c>
          <w:tcPr>
            <w:tcW w:w="766" w:type="dxa"/>
            <w:tcBorders>
              <w:bottom w:val="single" w:sz="4" w:space="0" w:color="auto"/>
            </w:tcBorders>
            <w:shd w:val="clear" w:color="auto" w:fill="auto"/>
            <w:noWrap/>
            <w:vAlign w:val="center"/>
            <w:hideMark/>
          </w:tcPr>
          <w:p w14:paraId="522604E1" w14:textId="77777777" w:rsidR="003715DC" w:rsidRPr="00DC0AD0" w:rsidRDefault="003715DC" w:rsidP="00393FD7">
            <w:pPr>
              <w:overflowPunct/>
              <w:autoSpaceDE/>
              <w:autoSpaceDN/>
              <w:adjustRightInd/>
              <w:jc w:val="center"/>
              <w:textAlignment w:val="auto"/>
              <w:rPr>
                <w:rFonts w:asciiTheme="majorBidi" w:hAnsiTheme="majorBidi" w:cstheme="majorBidi"/>
                <w:sz w:val="20"/>
                <w:lang w:val="en-US"/>
              </w:rPr>
            </w:pPr>
          </w:p>
        </w:tc>
      </w:tr>
    </w:tbl>
    <w:p w14:paraId="708C1A01" w14:textId="77777777" w:rsidR="003715DC" w:rsidRPr="00DC0AD0" w:rsidRDefault="003715DC" w:rsidP="003715DC">
      <w:pPr>
        <w:pStyle w:val="BodyText"/>
        <w:tabs>
          <w:tab w:val="left" w:pos="1690"/>
        </w:tabs>
        <w:ind w:firstLine="0"/>
      </w:pPr>
    </w:p>
    <w:p w14:paraId="028F0316" w14:textId="77777777" w:rsidR="003715DC" w:rsidRPr="00DC0AD0" w:rsidRDefault="003715DC" w:rsidP="003715DC">
      <w:pPr>
        <w:pStyle w:val="BodyText"/>
        <w:jc w:val="center"/>
      </w:pPr>
    </w:p>
    <w:p w14:paraId="437621EF" w14:textId="1078ECB4" w:rsidR="003715DC" w:rsidRPr="00DC0AD0" w:rsidRDefault="00C96D1E" w:rsidP="003715DC">
      <w:pPr>
        <w:pStyle w:val="BodyText"/>
        <w:jc w:val="center"/>
      </w:pPr>
      <w:r w:rsidRPr="00DC0AD0">
        <w:rPr>
          <w:noProof/>
        </w:rPr>
        <mc:AlternateContent>
          <mc:Choice Requires="wps">
            <w:drawing>
              <wp:anchor distT="0" distB="0" distL="114300" distR="114300" simplePos="0" relativeHeight="251678720" behindDoc="0" locked="0" layoutInCell="1" allowOverlap="1" wp14:anchorId="578399A3" wp14:editId="08967E53">
                <wp:simplePos x="0" y="0"/>
                <wp:positionH relativeFrom="margin">
                  <wp:posOffset>985520</wp:posOffset>
                </wp:positionH>
                <wp:positionV relativeFrom="paragraph">
                  <wp:posOffset>2376805</wp:posOffset>
                </wp:positionV>
                <wp:extent cx="4098290" cy="185420"/>
                <wp:effectExtent l="0" t="0" r="0" b="0"/>
                <wp:wrapTopAndBottom/>
                <wp:docPr id="5586231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8290" cy="185420"/>
                        </a:xfrm>
                        <a:prstGeom prst="rect">
                          <a:avLst/>
                        </a:prstGeom>
                        <a:solidFill>
                          <a:prstClr val="white"/>
                        </a:solidFill>
                        <a:ln>
                          <a:noFill/>
                        </a:ln>
                        <a:effectLst/>
                      </wps:spPr>
                      <wps:txbx>
                        <w:txbxContent>
                          <w:p w14:paraId="6EA9F335" w14:textId="1805491B" w:rsidR="003715DC" w:rsidRPr="00802381" w:rsidRDefault="003715DC" w:rsidP="003715D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r>
                              <w:rPr>
                                <w:i/>
                              </w:rPr>
                              <w:t xml:space="preserve">. </w:t>
                            </w:r>
                            <w:r w:rsidR="006C622B">
                              <w:rPr>
                                <w:i/>
                              </w:rPr>
                              <w:t>Difference between</w:t>
                            </w:r>
                            <w:r w:rsidR="006C622B" w:rsidRPr="006C622B">
                              <w:t xml:space="preserve"> </w:t>
                            </w:r>
                            <w:r w:rsidR="006C622B">
                              <w:rPr>
                                <w:i/>
                              </w:rPr>
                              <w:t>s</w:t>
                            </w:r>
                            <w:r w:rsidR="006C622B" w:rsidRPr="006C622B">
                              <w:rPr>
                                <w:i/>
                              </w:rPr>
                              <w:t>imple one-way coupling</w:t>
                            </w:r>
                            <w:r w:rsidR="006C622B">
                              <w:rPr>
                                <w:i/>
                              </w:rPr>
                              <w:t xml:space="preserve"> and strong coupling </w:t>
                            </w:r>
                            <w:r w:rsidR="00507FD1">
                              <w:rPr>
                                <w:i/>
                              </w:rPr>
                              <w:t xml:space="preserve">radial </w:t>
                            </w:r>
                            <w:r w:rsidR="006C622B">
                              <w:rPr>
                                <w:i/>
                              </w:rPr>
                              <w:t>PPFs</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78399A3" id="Text Box 5" o:spid="_x0000_s1028" type="#_x0000_t202" style="position:absolute;left:0;text-align:left;margin-left:77.6pt;margin-top:187.15pt;width:322.7pt;height:14.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" stroked="f">
                <v:textbox style="mso-fit-shape-to-text:t" inset="0,0,0,0">
                  <w:txbxContent>
                    <w:p w14:paraId="6EA9F335" w14:textId="1805491B" w:rsidR="003715DC" w:rsidRPr="00802381" w:rsidRDefault="003715DC" w:rsidP="003715DC">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r>
                        <w:rPr>
                          <w:i/>
                        </w:rPr>
                        <w:t xml:space="preserve">. </w:t>
                      </w:r>
                      <w:r w:rsidR="006C622B">
                        <w:rPr>
                          <w:i/>
                        </w:rPr>
                        <w:t>Difference between</w:t>
                      </w:r>
                      <w:r w:rsidR="006C622B" w:rsidRPr="006C622B">
                        <w:t xml:space="preserve"> </w:t>
                      </w:r>
                      <w:r w:rsidR="006C622B">
                        <w:rPr>
                          <w:i/>
                        </w:rPr>
                        <w:t>s</w:t>
                      </w:r>
                      <w:r w:rsidR="006C622B" w:rsidRPr="006C622B">
                        <w:rPr>
                          <w:i/>
                        </w:rPr>
                        <w:t>imple one-way coupling</w:t>
                      </w:r>
                      <w:r w:rsidR="006C622B">
                        <w:rPr>
                          <w:i/>
                        </w:rPr>
                        <w:t xml:space="preserve"> and strong coupling </w:t>
                      </w:r>
                      <w:r w:rsidR="00507FD1">
                        <w:rPr>
                          <w:i/>
                        </w:rPr>
                        <w:t xml:space="preserve">radial </w:t>
                      </w:r>
                      <w:r w:rsidR="006C622B">
                        <w:rPr>
                          <w:i/>
                        </w:rPr>
                        <w:t>PPFs</w:t>
                      </w:r>
                      <w:r>
                        <w:rPr>
                          <w:i/>
                        </w:rPr>
                        <w:t>.</w:t>
                      </w:r>
                    </w:p>
                  </w:txbxContent>
                </v:textbox>
                <w10:wrap type="topAndBottom" anchorx="margin"/>
              </v:shape>
            </w:pict>
          </mc:Fallback>
        </mc:AlternateContent>
      </w:r>
      <w:r w:rsidR="003715DC" w:rsidRPr="00DC0AD0">
        <w:rPr>
          <w:noProof/>
        </w:rPr>
        <w:drawing>
          <wp:inline distT="0" distB="0" distL="0" distR="0" wp14:anchorId="7FC0295D" wp14:editId="30D5B74C">
            <wp:extent cx="2794000" cy="2286000"/>
            <wp:effectExtent l="0" t="0" r="0" b="0"/>
            <wp:docPr id="19934559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22" t="5955" r="5312" b="8322"/>
                    <a:stretch/>
                  </pic:blipFill>
                  <pic:spPr bwMode="auto">
                    <a:xfrm>
                      <a:off x="0" y="0"/>
                      <a:ext cx="2794000"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6E20BBEC" w14:textId="76E2C63F" w:rsidR="0073086A" w:rsidRPr="00DC0AD0" w:rsidRDefault="00F267FC" w:rsidP="006D25A8">
      <w:pPr>
        <w:pStyle w:val="BodyText"/>
        <w:jc w:val="center"/>
      </w:pPr>
      <w:r w:rsidRPr="00DC0AD0">
        <w:rPr>
          <w:noProof/>
        </w:rPr>
        <w:drawing>
          <wp:inline distT="0" distB="0" distL="0" distR="0" wp14:anchorId="1B64EEE4" wp14:editId="409AE66A">
            <wp:extent cx="2743200" cy="2743200"/>
            <wp:effectExtent l="0" t="0" r="0" b="0"/>
            <wp:docPr id="1977663932" name="Chart 1">
              <a:extLst xmlns:a="http://schemas.openxmlformats.org/drawingml/2006/main">
                <a:ext uri="{FF2B5EF4-FFF2-40B4-BE49-F238E27FC236}">
                  <a16:creationId xmlns:a16="http://schemas.microsoft.com/office/drawing/2014/main" id="{678FE74B-C28A-1A13-5701-58C1CCB35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20D79F" w14:textId="5F1DC263" w:rsidR="00733BF9" w:rsidRPr="00DC0AD0" w:rsidRDefault="00C96D1E" w:rsidP="006D25A8">
      <w:pPr>
        <w:pStyle w:val="BodyText"/>
        <w:jc w:val="center"/>
      </w:pPr>
      <w:r w:rsidRPr="00DC0AD0">
        <w:rPr>
          <w:noProof/>
        </w:rPr>
        <mc:AlternateContent>
          <mc:Choice Requires="wps">
            <w:drawing>
              <wp:anchor distT="0" distB="0" distL="114300" distR="114300" simplePos="0" relativeHeight="251675648" behindDoc="0" locked="0" layoutInCell="1" allowOverlap="1" wp14:anchorId="7BC901E5" wp14:editId="6EEB9771">
                <wp:simplePos x="0" y="0"/>
                <wp:positionH relativeFrom="margin">
                  <wp:posOffset>1241425</wp:posOffset>
                </wp:positionH>
                <wp:positionV relativeFrom="paragraph">
                  <wp:posOffset>62230</wp:posOffset>
                </wp:positionV>
                <wp:extent cx="4091940" cy="185420"/>
                <wp:effectExtent l="0" t="0" r="0" b="0"/>
                <wp:wrapTopAndBottom/>
                <wp:docPr id="4357186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1940" cy="185420"/>
                        </a:xfrm>
                        <a:prstGeom prst="rect">
                          <a:avLst/>
                        </a:prstGeom>
                        <a:solidFill>
                          <a:prstClr val="white"/>
                        </a:solidFill>
                        <a:ln>
                          <a:noFill/>
                        </a:ln>
                        <a:effectLst/>
                      </wps:spPr>
                      <wps:txbx>
                        <w:txbxContent>
                          <w:p w14:paraId="70FE9950" w14:textId="77819544" w:rsidR="00733BF9" w:rsidRPr="00802381" w:rsidRDefault="00733BF9" w:rsidP="00733BF9">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4</w:t>
                            </w:r>
                            <w:r w:rsidRPr="00802381">
                              <w:rPr>
                                <w:i/>
                              </w:rPr>
                              <w:fldChar w:fldCharType="end"/>
                            </w:r>
                            <w:r>
                              <w:rPr>
                                <w:i/>
                              </w:rPr>
                              <w:t xml:space="preserve">. </w:t>
                            </w:r>
                            <w:r w:rsidR="00507FD1">
                              <w:rPr>
                                <w:i/>
                              </w:rPr>
                              <w:t>comparison between</w:t>
                            </w:r>
                            <w:r w:rsidR="00507FD1" w:rsidRPr="006C622B">
                              <w:t xml:space="preserve"> </w:t>
                            </w:r>
                            <w:r w:rsidR="00507FD1">
                              <w:rPr>
                                <w:i/>
                              </w:rPr>
                              <w:t>s</w:t>
                            </w:r>
                            <w:r w:rsidR="00507FD1" w:rsidRPr="006C622B">
                              <w:rPr>
                                <w:i/>
                              </w:rPr>
                              <w:t>imple one-way coupling</w:t>
                            </w:r>
                            <w:r w:rsidR="00507FD1">
                              <w:rPr>
                                <w:i/>
                              </w:rPr>
                              <w:t xml:space="preserve"> and strong coupling axial PPFs</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BC901E5" id="Text Box 3" o:spid="_x0000_s1029" type="#_x0000_t202" style="position:absolute;left:0;text-align:left;margin-left:97.75pt;margin-top:4.9pt;width:322.2pt;height:14.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" stroked="f">
                <v:textbox style="mso-fit-shape-to-text:t" inset="0,0,0,0">
                  <w:txbxContent>
                    <w:p w14:paraId="70FE9950" w14:textId="77819544" w:rsidR="00733BF9" w:rsidRPr="00802381" w:rsidRDefault="00733BF9" w:rsidP="00733BF9">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4</w:t>
                      </w:r>
                      <w:r w:rsidRPr="00802381">
                        <w:rPr>
                          <w:i/>
                        </w:rPr>
                        <w:fldChar w:fldCharType="end"/>
                      </w:r>
                      <w:r>
                        <w:rPr>
                          <w:i/>
                        </w:rPr>
                        <w:t xml:space="preserve">. </w:t>
                      </w:r>
                      <w:r w:rsidR="00507FD1">
                        <w:rPr>
                          <w:i/>
                        </w:rPr>
                        <w:t>comparison between</w:t>
                      </w:r>
                      <w:r w:rsidR="00507FD1" w:rsidRPr="006C622B">
                        <w:t xml:space="preserve"> </w:t>
                      </w:r>
                      <w:r w:rsidR="00507FD1">
                        <w:rPr>
                          <w:i/>
                        </w:rPr>
                        <w:t>s</w:t>
                      </w:r>
                      <w:r w:rsidR="00507FD1" w:rsidRPr="006C622B">
                        <w:rPr>
                          <w:i/>
                        </w:rPr>
                        <w:t>imple one-way coupling</w:t>
                      </w:r>
                      <w:r w:rsidR="00507FD1">
                        <w:rPr>
                          <w:i/>
                        </w:rPr>
                        <w:t xml:space="preserve"> and strong coupling axial PPFs</w:t>
                      </w:r>
                      <w:r>
                        <w:rPr>
                          <w:i/>
                        </w:rPr>
                        <w:t>.</w:t>
                      </w:r>
                    </w:p>
                  </w:txbxContent>
                </v:textbox>
                <w10:wrap type="topAndBottom" anchorx="margin"/>
              </v:shape>
            </w:pict>
          </mc:Fallback>
        </mc:AlternateContent>
      </w:r>
    </w:p>
    <w:p w14:paraId="665BC6B4" w14:textId="717AB08B" w:rsidR="00733BF9" w:rsidRPr="00DC0AD0" w:rsidRDefault="00733BF9" w:rsidP="001E2412">
      <w:pPr>
        <w:pStyle w:val="BodyText"/>
      </w:pPr>
      <w:r w:rsidRPr="00DC0AD0">
        <w:rPr>
          <w:noProof/>
        </w:rPr>
        <w:lastRenderedPageBreak/>
        <w:drawing>
          <wp:inline distT="0" distB="0" distL="0" distR="0" wp14:anchorId="69E2C6B2" wp14:editId="169155E1">
            <wp:extent cx="2514600" cy="2743200"/>
            <wp:effectExtent l="0" t="0" r="0" b="0"/>
            <wp:docPr id="1397855085" name="Chart 1">
              <a:extLst xmlns:a="http://schemas.openxmlformats.org/drawingml/2006/main">
                <a:ext uri="{FF2B5EF4-FFF2-40B4-BE49-F238E27FC236}">
                  <a16:creationId xmlns:a16="http://schemas.microsoft.com/office/drawing/2014/main" id="{731B4FD2-0799-41E2-A9F6-E58B8E6BC5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C0AD0">
        <w:rPr>
          <w:noProof/>
        </w:rPr>
        <w:drawing>
          <wp:inline distT="0" distB="0" distL="0" distR="0" wp14:anchorId="25A00538" wp14:editId="7D6B3099">
            <wp:extent cx="2514600" cy="2743200"/>
            <wp:effectExtent l="0" t="0" r="0" b="0"/>
            <wp:docPr id="911364522" name="Chart 2">
              <a:extLst xmlns:a="http://schemas.openxmlformats.org/drawingml/2006/main">
                <a:ext uri="{FF2B5EF4-FFF2-40B4-BE49-F238E27FC236}">
                  <a16:creationId xmlns:a16="http://schemas.microsoft.com/office/drawing/2014/main" id="{FFD44254-2793-4DCC-8705-C8207FAFB3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2D8596" w14:textId="6A5EE03E" w:rsidR="00733BF9" w:rsidRPr="00DC0AD0" w:rsidRDefault="00C96D1E" w:rsidP="00537496">
      <w:pPr>
        <w:pStyle w:val="BodyText"/>
      </w:pPr>
      <w:r w:rsidRPr="00DC0AD0">
        <w:rPr>
          <w:noProof/>
        </w:rPr>
        <mc:AlternateContent>
          <mc:Choice Requires="wps">
            <w:drawing>
              <wp:anchor distT="0" distB="0" distL="114300" distR="114300" simplePos="0" relativeHeight="251676672" behindDoc="0" locked="0" layoutInCell="1" allowOverlap="1" wp14:anchorId="08F3A05E" wp14:editId="659A453B">
                <wp:simplePos x="0" y="0"/>
                <wp:positionH relativeFrom="margin">
                  <wp:posOffset>892175</wp:posOffset>
                </wp:positionH>
                <wp:positionV relativeFrom="paragraph">
                  <wp:posOffset>271780</wp:posOffset>
                </wp:positionV>
                <wp:extent cx="3863340" cy="316865"/>
                <wp:effectExtent l="0" t="0" r="0" b="0"/>
                <wp:wrapTopAndBottom/>
                <wp:docPr id="6478454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340" cy="316865"/>
                        </a:xfrm>
                        <a:prstGeom prst="rect">
                          <a:avLst/>
                        </a:prstGeom>
                        <a:solidFill>
                          <a:prstClr val="white"/>
                        </a:solidFill>
                        <a:ln>
                          <a:noFill/>
                        </a:ln>
                        <a:effectLst/>
                      </wps:spPr>
                      <wps:txbx>
                        <w:txbxContent>
                          <w:p w14:paraId="231E4515" w14:textId="51BD1C3C" w:rsidR="00733BF9" w:rsidRPr="00802381" w:rsidRDefault="00733BF9" w:rsidP="00733BF9">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EE6B6D">
                              <w:rPr>
                                <w:i/>
                                <w:noProof/>
                              </w:rPr>
                              <w:t>5</w:t>
                            </w:r>
                            <w:r w:rsidRPr="00802381">
                              <w:rPr>
                                <w:i/>
                              </w:rPr>
                              <w:fldChar w:fldCharType="end"/>
                            </w:r>
                            <w:r>
                              <w:rPr>
                                <w:i/>
                              </w:rPr>
                              <w:t>.</w:t>
                            </w:r>
                            <w:r w:rsidR="00507FD1">
                              <w:rPr>
                                <w:i/>
                              </w:rPr>
                              <w:t xml:space="preserve"> comparison between</w:t>
                            </w:r>
                            <w:r w:rsidR="00507FD1" w:rsidRPr="006C622B">
                              <w:t xml:space="preserve"> </w:t>
                            </w:r>
                            <w:r w:rsidR="00507FD1">
                              <w:rPr>
                                <w:i/>
                              </w:rPr>
                              <w:t>s</w:t>
                            </w:r>
                            <w:r w:rsidR="00507FD1" w:rsidRPr="006C622B">
                              <w:rPr>
                                <w:i/>
                              </w:rPr>
                              <w:t>imple one-way coupling</w:t>
                            </w:r>
                            <w:r w:rsidR="00507FD1">
                              <w:rPr>
                                <w:i/>
                              </w:rPr>
                              <w:t xml:space="preserve"> and strong coupling TH results. </w:t>
                            </w:r>
                            <w:r w:rsidR="00382582">
                              <w:rPr>
                                <w:i/>
                              </w:rPr>
                              <w:t>Right</w:t>
                            </w:r>
                            <w:r w:rsidR="00507FD1">
                              <w:rPr>
                                <w:i/>
                              </w:rPr>
                              <w:t xml:space="preserve">: temperature profile. </w:t>
                            </w:r>
                            <w:r w:rsidR="00382582">
                              <w:rPr>
                                <w:i/>
                              </w:rPr>
                              <w:t>Left</w:t>
                            </w:r>
                            <w:r w:rsidR="00507FD1">
                              <w:rPr>
                                <w:i/>
                              </w:rPr>
                              <w:t>: CHF profile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8F3A05E" id="Text Box 1" o:spid="_x0000_s1030" type="#_x0000_t202" style="position:absolute;left:0;text-align:left;margin-left:70.25pt;margin-top:21.4pt;width:304.2pt;height:24.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" stroked="f">
                <v:textbox style="mso-fit-shape-to-text:t" inset="0,0,0,0">
                  <w:txbxContent>
                    <w:p w14:paraId="231E4515" w14:textId="51BD1C3C" w:rsidR="00733BF9" w:rsidRPr="00802381" w:rsidRDefault="00733BF9" w:rsidP="00733BF9">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EE6B6D">
                        <w:rPr>
                          <w:i/>
                          <w:noProof/>
                        </w:rPr>
                        <w:t>5</w:t>
                      </w:r>
                      <w:r w:rsidRPr="00802381">
                        <w:rPr>
                          <w:i/>
                        </w:rPr>
                        <w:fldChar w:fldCharType="end"/>
                      </w:r>
                      <w:r>
                        <w:rPr>
                          <w:i/>
                        </w:rPr>
                        <w:t>.</w:t>
                      </w:r>
                      <w:r w:rsidR="00507FD1">
                        <w:rPr>
                          <w:i/>
                        </w:rPr>
                        <w:t xml:space="preserve"> comparison between</w:t>
                      </w:r>
                      <w:r w:rsidR="00507FD1" w:rsidRPr="006C622B">
                        <w:t xml:space="preserve"> </w:t>
                      </w:r>
                      <w:r w:rsidR="00507FD1">
                        <w:rPr>
                          <w:i/>
                        </w:rPr>
                        <w:t>s</w:t>
                      </w:r>
                      <w:r w:rsidR="00507FD1" w:rsidRPr="006C622B">
                        <w:rPr>
                          <w:i/>
                        </w:rPr>
                        <w:t>imple one-way coupling</w:t>
                      </w:r>
                      <w:r w:rsidR="00507FD1">
                        <w:rPr>
                          <w:i/>
                        </w:rPr>
                        <w:t xml:space="preserve"> and strong coupling TH results. </w:t>
                      </w:r>
                      <w:r w:rsidR="00382582">
                        <w:rPr>
                          <w:i/>
                        </w:rPr>
                        <w:t>Right</w:t>
                      </w:r>
                      <w:r w:rsidR="00507FD1">
                        <w:rPr>
                          <w:i/>
                        </w:rPr>
                        <w:t xml:space="preserve">: temperature profile. </w:t>
                      </w:r>
                      <w:r w:rsidR="00382582">
                        <w:rPr>
                          <w:i/>
                        </w:rPr>
                        <w:t>Left</w:t>
                      </w:r>
                      <w:r w:rsidR="00507FD1">
                        <w:rPr>
                          <w:i/>
                        </w:rPr>
                        <w:t>: CHF profile</w:t>
                      </w:r>
                    </w:p>
                  </w:txbxContent>
                </v:textbox>
                <w10:wrap type="topAndBottom" anchorx="margin"/>
              </v:shape>
            </w:pict>
          </mc:Fallback>
        </mc:AlternateContent>
      </w:r>
    </w:p>
    <w:p w14:paraId="65038522" w14:textId="7FF9C642" w:rsidR="00717C6F" w:rsidRPr="00DC0AD0" w:rsidRDefault="00733BF9" w:rsidP="00537496">
      <w:pPr>
        <w:pStyle w:val="Heading2"/>
      </w:pPr>
      <w:r w:rsidRPr="00DC0AD0">
        <w:t>Conclusion</w:t>
      </w:r>
    </w:p>
    <w:p w14:paraId="45F44373" w14:textId="57DF0C00" w:rsidR="00716BF6" w:rsidRPr="00DC0AD0" w:rsidRDefault="00716BF6" w:rsidP="00537496">
      <w:pPr>
        <w:pStyle w:val="BodyText"/>
      </w:pPr>
      <w:r w:rsidRPr="00DC0AD0">
        <w:t xml:space="preserve">The calculations of the core of </w:t>
      </w:r>
      <w:r w:rsidR="002E78CD" w:rsidRPr="00DC0AD0">
        <w:t xml:space="preserve">a </w:t>
      </w:r>
      <w:r w:rsidR="002E78CD">
        <w:t xml:space="preserve">typical 100 MWe </w:t>
      </w:r>
      <w:r w:rsidR="002E78CD" w:rsidRPr="00E7703C">
        <w:t>integral PWR</w:t>
      </w:r>
      <w:r w:rsidRPr="00DC0AD0">
        <w:t xml:space="preserve"> reactor have been examined in this study. First, a simple one-</w:t>
      </w:r>
      <w:r w:rsidR="001E2412" w:rsidRPr="00DC0AD0">
        <w:t>way thermal</w:t>
      </w:r>
      <w:r w:rsidRPr="00DC0AD0">
        <w:t xml:space="preserve">-hydraulic and neutronic calculation is performed with DRAGON/DONJON/COBRA. Next same calculation with strong iterative coupling method is conducted. Neutronic result is verified </w:t>
      </w:r>
      <w:r w:rsidR="001E2412" w:rsidRPr="00DC0AD0">
        <w:t>against</w:t>
      </w:r>
      <w:r w:rsidRPr="00DC0AD0">
        <w:t xml:space="preserve"> </w:t>
      </w:r>
      <w:r w:rsidR="001E2412" w:rsidRPr="00DC0AD0">
        <w:t>probabilistic</w:t>
      </w:r>
      <w:r w:rsidRPr="00DC0AD0">
        <w:t xml:space="preserve"> approaches and TH result is verified against PARCS code outcome. Different parameters have been computed and thoroughly compared for both approaches. Despite the fact that both approaches yielded acceptable average results, the comparison shows that using codes with simple coupling procedure in certain parameters (such MDNBR) resulted in values that significantly differ from the extracted values using the strong coupled method. Put another way, in terms of the overall distribution of various parameters inside the core, data obtained with a simple coupling scheme are not very trustworthy.</w:t>
      </w:r>
      <w:r w:rsidR="00116B1D" w:rsidRPr="00DC0AD0">
        <w:t xml:space="preserve"> For instance, the result indicates that there is a 15.9% relative error in the MDNBR value for simple and strong coupling calculations.</w:t>
      </w:r>
    </w:p>
    <w:p w14:paraId="43140B73" w14:textId="0E965C66" w:rsidR="001313E8" w:rsidRPr="00DC0AD0" w:rsidRDefault="00733BF9" w:rsidP="00537496">
      <w:pPr>
        <w:pStyle w:val="Heading2"/>
      </w:pPr>
      <w:r w:rsidRPr="00DC0AD0">
        <w:t>References</w:t>
      </w:r>
    </w:p>
    <w:p w14:paraId="4241B3E0" w14:textId="5D0FDD7F" w:rsidR="00285755" w:rsidRPr="00DC0AD0" w:rsidRDefault="00D26ADA" w:rsidP="000F03DD">
      <w:pPr>
        <w:pStyle w:val="Otherunnumberedheadings"/>
      </w:pPr>
      <w:r w:rsidRPr="00DC0AD0">
        <w:t>References</w:t>
      </w:r>
    </w:p>
    <w:p w14:paraId="6D9E6A0B" w14:textId="37A92A40" w:rsidR="009E0D5B" w:rsidRPr="00DC0AD0" w:rsidRDefault="003A4EAC" w:rsidP="00537496">
      <w:pPr>
        <w:pStyle w:val="Referencelist"/>
      </w:pPr>
      <w:r w:rsidRPr="00DC0AD0">
        <w:t>O. Noori-Kalkhoran, et al. Simulation of rod ejection accident in a WWER-1000 Nuclear Reactor by using PARCS code. Annals of Nuclear Energy. 1;65:132-40 (2014)</w:t>
      </w:r>
      <w:r w:rsidR="00D26ADA" w:rsidRPr="00DC0AD0">
        <w:t>.</w:t>
      </w:r>
    </w:p>
    <w:p w14:paraId="715727BF" w14:textId="52520DE2" w:rsidR="009E0D5B" w:rsidRPr="00DC0AD0" w:rsidRDefault="003A4EAC" w:rsidP="00537496">
      <w:pPr>
        <w:pStyle w:val="Referencelist"/>
      </w:pPr>
      <w:r w:rsidRPr="00DC0AD0">
        <w:t>R. Akbari et al. A novel multi-objective optimization method, imperialist competitive algorithm, for fuel loading pattern of nuclear reactors. Progress in Nuclear Energy. 2018 Sep 1;108:391-7.</w:t>
      </w:r>
    </w:p>
    <w:p w14:paraId="379CBF0D" w14:textId="425B0D68" w:rsidR="009E0D5B" w:rsidRPr="00DC0AD0" w:rsidRDefault="003A4EAC" w:rsidP="00537496">
      <w:pPr>
        <w:pStyle w:val="Referencelist"/>
      </w:pPr>
      <w:r w:rsidRPr="00DC0AD0">
        <w:t>D. Basile and E. Salina COBRA-EN an upgraded version of the COBRA-3C. MIT Code for Thermal-Hydraulic Transient Analysis of Light Water Reactor Fuel Assemblies and Cores. 1010(1):62 (1999)</w:t>
      </w:r>
      <w:r w:rsidR="009E0D5B" w:rsidRPr="00DC0AD0">
        <w:t>.</w:t>
      </w:r>
    </w:p>
    <w:p w14:paraId="135A2885" w14:textId="2FF1F248" w:rsidR="009E0D5B" w:rsidRPr="00DC0AD0" w:rsidRDefault="003A4EAC" w:rsidP="00537496">
      <w:pPr>
        <w:pStyle w:val="Referencelist"/>
      </w:pPr>
      <w:r w:rsidRPr="00DC0AD0">
        <w:t>IAEA, Advances in small modular reactor technology developments. International Atomic Energy Agency Vienna, Austria (2018).</w:t>
      </w:r>
    </w:p>
    <w:p w14:paraId="04D14525" w14:textId="0AF10529" w:rsidR="009E0D5B" w:rsidRPr="00DC0AD0" w:rsidRDefault="002E087A" w:rsidP="00537496">
      <w:pPr>
        <w:pStyle w:val="Referencelist"/>
      </w:pPr>
      <w:r w:rsidRPr="002E087A">
        <w:t>Ingersoll, D. T., &amp; Carelli, M. D. (Eds.). (2014). Handbook of small modular nuclear reactors. Elsevier.</w:t>
      </w:r>
    </w:p>
    <w:p w14:paraId="3BA56E06" w14:textId="5EB636D3" w:rsidR="00F45EEE" w:rsidRPr="00DC0AD0" w:rsidRDefault="003A4EAC" w:rsidP="001E149B">
      <w:pPr>
        <w:pStyle w:val="Referencelist"/>
      </w:pPr>
      <w:r w:rsidRPr="00DC0AD0">
        <w:t>R. Akbari-Jeyhouni et al. The utilization of thorium in small modular reactors–Part I: neutronic assessment. Annals of Nuclear Energy. 1;120:422-30 (2018).</w:t>
      </w:r>
    </w:p>
    <w:sectPr w:rsidR="00F45EEE" w:rsidRPr="00DC0AD0"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7069" w14:textId="77777777" w:rsidR="00A92ED6" w:rsidRDefault="00A92ED6">
      <w:r>
        <w:separator/>
      </w:r>
    </w:p>
  </w:endnote>
  <w:endnote w:type="continuationSeparator" w:id="0">
    <w:p w14:paraId="3EC65FB2" w14:textId="77777777" w:rsidR="00A92ED6" w:rsidRDefault="00A9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E83B" w14:textId="77777777" w:rsidR="00A92ED6" w:rsidRDefault="00A92ED6">
      <w:r>
        <w:t>___________________________________________________________________________</w:t>
      </w:r>
    </w:p>
  </w:footnote>
  <w:footnote w:type="continuationSeparator" w:id="0">
    <w:p w14:paraId="514AF5EE" w14:textId="77777777" w:rsidR="00A92ED6" w:rsidRDefault="00A92ED6">
      <w:r>
        <w:t>___________________________________________________________________________</w:t>
      </w:r>
    </w:p>
  </w:footnote>
  <w:footnote w:type="continuationNotice" w:id="1">
    <w:p w14:paraId="28B7A25B" w14:textId="77777777" w:rsidR="00A92ED6" w:rsidRDefault="00A92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52A181CC" w:rsidR="00E20E70" w:rsidRDefault="00277206" w:rsidP="00B82FA5">
    <w:pPr>
      <w:pStyle w:val="Runninghead"/>
    </w:pPr>
    <w:r>
      <w:t>ABBASSI</w:t>
    </w:r>
    <w:r w:rsidR="00AC5A3A">
      <w:t xml:space="preserve"> </w:t>
    </w:r>
    <w:r w:rsidRPr="00277206">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5C1"/>
    <w:multiLevelType w:val="hybridMultilevel"/>
    <w:tmpl w:val="36B4FD68"/>
    <w:lvl w:ilvl="0" w:tplc="CD3E40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5"/>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2"/>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3"/>
  </w:num>
  <w:num w:numId="21" w16cid:durableId="1417746791">
    <w:abstractNumId w:val="11"/>
  </w:num>
  <w:num w:numId="22" w16cid:durableId="1720975952">
    <w:abstractNumId w:val="4"/>
  </w:num>
  <w:num w:numId="23" w16cid:durableId="983584939">
    <w:abstractNumId w:val="1"/>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829519619">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Heading2"/>
        <w:lvlText w:val="%1%2."/>
        <w:lvlJc w:val="left"/>
        <w:pPr>
          <w:ind w:left="0" w:firstLine="0"/>
        </w:pPr>
        <w:rPr>
          <w:rFonts w:hint="default"/>
          <w:color w:val="auto"/>
        </w:rPr>
      </w:lvl>
    </w:lvlOverride>
    <w:lvlOverride w:ilvl="2">
      <w:startOverride w:val="1"/>
      <w:lvl w:ilvl="2">
        <w:start w:val="1"/>
        <w:numFmt w:val="decimal"/>
        <w:lvlRestart w:val="0"/>
        <w:pStyle w:val="Heading3"/>
        <w:lvlText w:val="%1%2.%3."/>
        <w:lvlJc w:val="left"/>
        <w:pPr>
          <w:ind w:left="0" w:firstLine="0"/>
        </w:pPr>
        <w:rPr>
          <w:rFonts w:hint="default"/>
        </w:rPr>
      </w:lvl>
    </w:lvlOverride>
    <w:lvlOverride w:ilvl="3">
      <w:startOverride w:val="1"/>
      <w:lvl w:ilvl="3">
        <w:start w:val="1"/>
        <w:numFmt w:val="none"/>
        <w:lvlRestart w:val="0"/>
        <w:pStyle w:val="Heading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4" w16cid:durableId="3127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37D84"/>
    <w:rsid w:val="000622A1"/>
    <w:rsid w:val="00074085"/>
    <w:rsid w:val="00084BA0"/>
    <w:rsid w:val="000A0299"/>
    <w:rsid w:val="000C6F25"/>
    <w:rsid w:val="000D3BB7"/>
    <w:rsid w:val="000F03DD"/>
    <w:rsid w:val="000F7C8A"/>
    <w:rsid w:val="000F7E94"/>
    <w:rsid w:val="001119D6"/>
    <w:rsid w:val="00116B1D"/>
    <w:rsid w:val="001308F2"/>
    <w:rsid w:val="001313E8"/>
    <w:rsid w:val="00137862"/>
    <w:rsid w:val="001411D6"/>
    <w:rsid w:val="0018115B"/>
    <w:rsid w:val="001B3392"/>
    <w:rsid w:val="001C0668"/>
    <w:rsid w:val="001C58F5"/>
    <w:rsid w:val="001D5CEE"/>
    <w:rsid w:val="001E149B"/>
    <w:rsid w:val="001E2412"/>
    <w:rsid w:val="002071D9"/>
    <w:rsid w:val="002239F4"/>
    <w:rsid w:val="002276F9"/>
    <w:rsid w:val="00256822"/>
    <w:rsid w:val="0026525A"/>
    <w:rsid w:val="00271291"/>
    <w:rsid w:val="00273EA9"/>
    <w:rsid w:val="00274790"/>
    <w:rsid w:val="00277206"/>
    <w:rsid w:val="00285755"/>
    <w:rsid w:val="00290E55"/>
    <w:rsid w:val="002A1F9C"/>
    <w:rsid w:val="002B29C2"/>
    <w:rsid w:val="002C1442"/>
    <w:rsid w:val="002C4208"/>
    <w:rsid w:val="002E087A"/>
    <w:rsid w:val="002E78CD"/>
    <w:rsid w:val="002E7CCD"/>
    <w:rsid w:val="002F14D1"/>
    <w:rsid w:val="00320095"/>
    <w:rsid w:val="003418E4"/>
    <w:rsid w:val="00352DE1"/>
    <w:rsid w:val="003715DC"/>
    <w:rsid w:val="003728E6"/>
    <w:rsid w:val="003745BA"/>
    <w:rsid w:val="00382582"/>
    <w:rsid w:val="003A4EAC"/>
    <w:rsid w:val="003B5E0E"/>
    <w:rsid w:val="003D0C23"/>
    <w:rsid w:val="003D255A"/>
    <w:rsid w:val="003D4CF8"/>
    <w:rsid w:val="003E516C"/>
    <w:rsid w:val="00416949"/>
    <w:rsid w:val="004370D8"/>
    <w:rsid w:val="00472C43"/>
    <w:rsid w:val="004E2B9F"/>
    <w:rsid w:val="004F0271"/>
    <w:rsid w:val="004F10FD"/>
    <w:rsid w:val="004F2255"/>
    <w:rsid w:val="00507FD1"/>
    <w:rsid w:val="00537496"/>
    <w:rsid w:val="00544ED3"/>
    <w:rsid w:val="00554252"/>
    <w:rsid w:val="00583991"/>
    <w:rsid w:val="0058477B"/>
    <w:rsid w:val="0058654F"/>
    <w:rsid w:val="00596ACA"/>
    <w:rsid w:val="005B37E0"/>
    <w:rsid w:val="005C5227"/>
    <w:rsid w:val="005E39BC"/>
    <w:rsid w:val="005F00A0"/>
    <w:rsid w:val="005F0684"/>
    <w:rsid w:val="00647F33"/>
    <w:rsid w:val="00662532"/>
    <w:rsid w:val="00682719"/>
    <w:rsid w:val="006A7154"/>
    <w:rsid w:val="006B2274"/>
    <w:rsid w:val="006C622B"/>
    <w:rsid w:val="006D25A8"/>
    <w:rsid w:val="006D76B5"/>
    <w:rsid w:val="006E4335"/>
    <w:rsid w:val="00716BF6"/>
    <w:rsid w:val="00717C6F"/>
    <w:rsid w:val="007212B4"/>
    <w:rsid w:val="0073086A"/>
    <w:rsid w:val="00733BF9"/>
    <w:rsid w:val="007445DA"/>
    <w:rsid w:val="00754204"/>
    <w:rsid w:val="0077041C"/>
    <w:rsid w:val="0078423A"/>
    <w:rsid w:val="007B4A2E"/>
    <w:rsid w:val="007B4FD1"/>
    <w:rsid w:val="007D4721"/>
    <w:rsid w:val="00802381"/>
    <w:rsid w:val="00856DE6"/>
    <w:rsid w:val="00883848"/>
    <w:rsid w:val="00897ED5"/>
    <w:rsid w:val="008B6BB9"/>
    <w:rsid w:val="008D2D0B"/>
    <w:rsid w:val="00911543"/>
    <w:rsid w:val="009474CF"/>
    <w:rsid w:val="009519C9"/>
    <w:rsid w:val="00970AA7"/>
    <w:rsid w:val="009C7618"/>
    <w:rsid w:val="009D0B86"/>
    <w:rsid w:val="009E0D5B"/>
    <w:rsid w:val="009E1558"/>
    <w:rsid w:val="00A03CBA"/>
    <w:rsid w:val="00A20813"/>
    <w:rsid w:val="00A42898"/>
    <w:rsid w:val="00A8067A"/>
    <w:rsid w:val="00A92ED6"/>
    <w:rsid w:val="00AB6ACE"/>
    <w:rsid w:val="00AC4351"/>
    <w:rsid w:val="00AC5A3A"/>
    <w:rsid w:val="00B10184"/>
    <w:rsid w:val="00B6362A"/>
    <w:rsid w:val="00B82FA5"/>
    <w:rsid w:val="00BB3E34"/>
    <w:rsid w:val="00BB7430"/>
    <w:rsid w:val="00BD1400"/>
    <w:rsid w:val="00BD605C"/>
    <w:rsid w:val="00BE2A76"/>
    <w:rsid w:val="00C00947"/>
    <w:rsid w:val="00C2352E"/>
    <w:rsid w:val="00C57180"/>
    <w:rsid w:val="00C64074"/>
    <w:rsid w:val="00C65E60"/>
    <w:rsid w:val="00C96D1E"/>
    <w:rsid w:val="00CD5D60"/>
    <w:rsid w:val="00CE5A52"/>
    <w:rsid w:val="00CF7AF3"/>
    <w:rsid w:val="00D05C24"/>
    <w:rsid w:val="00D158A1"/>
    <w:rsid w:val="00D26ADA"/>
    <w:rsid w:val="00D31FB6"/>
    <w:rsid w:val="00D35A78"/>
    <w:rsid w:val="00D555A1"/>
    <w:rsid w:val="00D64DC2"/>
    <w:rsid w:val="00DA46CA"/>
    <w:rsid w:val="00DA5FBE"/>
    <w:rsid w:val="00DC0AD0"/>
    <w:rsid w:val="00DC2551"/>
    <w:rsid w:val="00DE6D98"/>
    <w:rsid w:val="00DE734A"/>
    <w:rsid w:val="00DF21EB"/>
    <w:rsid w:val="00DF2E5F"/>
    <w:rsid w:val="00DF5057"/>
    <w:rsid w:val="00E20E70"/>
    <w:rsid w:val="00E249B3"/>
    <w:rsid w:val="00E25B68"/>
    <w:rsid w:val="00E7703C"/>
    <w:rsid w:val="00E84003"/>
    <w:rsid w:val="00EC10FC"/>
    <w:rsid w:val="00EE0041"/>
    <w:rsid w:val="00EE29B9"/>
    <w:rsid w:val="00EE6B6D"/>
    <w:rsid w:val="00EF1489"/>
    <w:rsid w:val="00F004EE"/>
    <w:rsid w:val="00F1360E"/>
    <w:rsid w:val="00F267FC"/>
    <w:rsid w:val="00F37AB2"/>
    <w:rsid w:val="00F42E23"/>
    <w:rsid w:val="00F45EEE"/>
    <w:rsid w:val="00F51E9C"/>
    <w:rsid w:val="00F523CA"/>
    <w:rsid w:val="00F603D7"/>
    <w:rsid w:val="00F70404"/>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FFAC"/>
  <w15:docId w15:val="{CEB58CB2-7AB5-4C9A-81AE-9ACC54AF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3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N\AppData\Roaming\Microsoft\Excel\Book1%20(version%202).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N\Desktop\Results\coupling%20differenc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HN\Desktop\Results\cobra%20outpu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HN\Desktop\Results\cobra%20outpu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03995333916593"/>
          <c:y val="9.2074584426946632E-2"/>
          <c:w val="0.77893226888305633"/>
          <c:h val="0.75712088072324291"/>
        </c:manualLayout>
      </c:layout>
      <c:scatterChart>
        <c:scatterStyle val="smoothMarker"/>
        <c:varyColors val="0"/>
        <c:ser>
          <c:idx val="2"/>
          <c:order val="0"/>
          <c:tx>
            <c:strRef>
              <c:f>Sheet1!$F$1</c:f>
              <c:strCache>
                <c:ptCount val="1"/>
                <c:pt idx="0">
                  <c:v>COBRA-Fuel</c:v>
                </c:pt>
              </c:strCache>
            </c:strRef>
          </c:tx>
          <c:spPr>
            <a:ln w="19050" cap="rnd">
              <a:solidFill>
                <a:schemeClr val="tx1"/>
              </a:solidFill>
              <a:prstDash val="sysDash"/>
              <a:round/>
            </a:ln>
            <a:effectLst/>
          </c:spPr>
          <c:marker>
            <c:symbol val="none"/>
          </c:marker>
          <c:xVal>
            <c:numRef>
              <c:f>Sheet1!$F$2:$F$47</c:f>
              <c:numCache>
                <c:formatCode>General</c:formatCode>
                <c:ptCount val="46"/>
                <c:pt idx="0">
                  <c:v>495.00300000000004</c:v>
                </c:pt>
                <c:pt idx="1">
                  <c:v>500.73500000000001</c:v>
                </c:pt>
                <c:pt idx="2">
                  <c:v>507.423</c:v>
                </c:pt>
                <c:pt idx="3">
                  <c:v>516.02200000000005</c:v>
                </c:pt>
                <c:pt idx="4">
                  <c:v>524.62099999999998</c:v>
                </c:pt>
                <c:pt idx="5">
                  <c:v>533.697</c:v>
                </c:pt>
                <c:pt idx="6">
                  <c:v>542.29600000000005</c:v>
                </c:pt>
                <c:pt idx="7">
                  <c:v>550.89499999999998</c:v>
                </c:pt>
                <c:pt idx="8">
                  <c:v>557.58199999999999</c:v>
                </c:pt>
                <c:pt idx="9">
                  <c:v>564.74800000000005</c:v>
                </c:pt>
                <c:pt idx="10">
                  <c:v>572.86900000000003</c:v>
                </c:pt>
                <c:pt idx="11">
                  <c:v>580.99</c:v>
                </c:pt>
                <c:pt idx="12">
                  <c:v>587.678</c:v>
                </c:pt>
                <c:pt idx="13">
                  <c:v>591.97699999999998</c:v>
                </c:pt>
                <c:pt idx="14">
                  <c:v>595.79899999999998</c:v>
                </c:pt>
                <c:pt idx="15">
                  <c:v>599.14300000000003</c:v>
                </c:pt>
                <c:pt idx="16">
                  <c:v>601.05399999999997</c:v>
                </c:pt>
                <c:pt idx="17">
                  <c:v>601.53200000000004</c:v>
                </c:pt>
                <c:pt idx="18">
                  <c:v>600.57600000000002</c:v>
                </c:pt>
                <c:pt idx="19">
                  <c:v>593.41100000000006</c:v>
                </c:pt>
                <c:pt idx="20">
                  <c:v>587.20000000000005</c:v>
                </c:pt>
                <c:pt idx="21">
                  <c:v>581.94600000000003</c:v>
                </c:pt>
                <c:pt idx="22">
                  <c:v>574.30200000000002</c:v>
                </c:pt>
                <c:pt idx="23">
                  <c:v>567.61400000000003</c:v>
                </c:pt>
                <c:pt idx="24">
                  <c:v>561.404</c:v>
                </c:pt>
                <c:pt idx="25">
                  <c:v>553.28300000000002</c:v>
                </c:pt>
                <c:pt idx="26">
                  <c:v>544.68399999999997</c:v>
                </c:pt>
                <c:pt idx="27">
                  <c:v>533.697</c:v>
                </c:pt>
                <c:pt idx="28">
                  <c:v>525.57600000000002</c:v>
                </c:pt>
                <c:pt idx="29">
                  <c:v>516.97699999999998</c:v>
                </c:pt>
                <c:pt idx="30">
                  <c:v>506.94600000000003</c:v>
                </c:pt>
                <c:pt idx="31">
                  <c:v>498.34699999999998</c:v>
                </c:pt>
                <c:pt idx="32">
                  <c:v>490.70400000000006</c:v>
                </c:pt>
                <c:pt idx="33">
                  <c:v>483.06000000000006</c:v>
                </c:pt>
                <c:pt idx="34">
                  <c:v>475.89499999999998</c:v>
                </c:pt>
                <c:pt idx="35">
                  <c:v>470.16200000000003</c:v>
                </c:pt>
                <c:pt idx="36">
                  <c:v>470.16200000000003</c:v>
                </c:pt>
                <c:pt idx="37">
                  <c:v>462.04100000000005</c:v>
                </c:pt>
                <c:pt idx="38">
                  <c:v>457.74200000000008</c:v>
                </c:pt>
                <c:pt idx="39">
                  <c:v>450.09800000000007</c:v>
                </c:pt>
                <c:pt idx="40">
                  <c:v>450.09800000000007</c:v>
                </c:pt>
                <c:pt idx="41">
                  <c:v>439.11099999999999</c:v>
                </c:pt>
                <c:pt idx="42">
                  <c:v>430.51200000000006</c:v>
                </c:pt>
                <c:pt idx="43">
                  <c:v>421.91399999999999</c:v>
                </c:pt>
                <c:pt idx="44">
                  <c:v>411.404</c:v>
                </c:pt>
                <c:pt idx="45">
                  <c:v>401.85</c:v>
                </c:pt>
              </c:numCache>
            </c:numRef>
          </c:xVal>
          <c:yVal>
            <c:numRef>
              <c:f>Sheet1!$E$2:$E$47</c:f>
              <c:numCache>
                <c:formatCode>General</c:formatCode>
                <c:ptCount val="46"/>
                <c:pt idx="0">
                  <c:v>20.130500000000001</c:v>
                </c:pt>
                <c:pt idx="1">
                  <c:v>21.808</c:v>
                </c:pt>
                <c:pt idx="2">
                  <c:v>25.1631</c:v>
                </c:pt>
                <c:pt idx="3">
                  <c:v>28.331800000000001</c:v>
                </c:pt>
                <c:pt idx="4">
                  <c:v>31.686900000000001</c:v>
                </c:pt>
                <c:pt idx="5">
                  <c:v>35.041899999999998</c:v>
                </c:pt>
                <c:pt idx="6">
                  <c:v>38.769799999999996</c:v>
                </c:pt>
                <c:pt idx="7">
                  <c:v>42.497700000000002</c:v>
                </c:pt>
                <c:pt idx="8">
                  <c:v>45.48</c:v>
                </c:pt>
                <c:pt idx="9">
                  <c:v>49.394199999999998</c:v>
                </c:pt>
                <c:pt idx="10">
                  <c:v>53.494900000000001</c:v>
                </c:pt>
                <c:pt idx="11">
                  <c:v>58.713900000000002</c:v>
                </c:pt>
                <c:pt idx="12">
                  <c:v>63.560099999999998</c:v>
                </c:pt>
                <c:pt idx="13">
                  <c:v>67.660799999999995</c:v>
                </c:pt>
                <c:pt idx="14">
                  <c:v>72.320599999999999</c:v>
                </c:pt>
                <c:pt idx="15">
                  <c:v>77.166799999999995</c:v>
                </c:pt>
                <c:pt idx="16">
                  <c:v>83.131399999999999</c:v>
                </c:pt>
                <c:pt idx="17">
                  <c:v>87.232100000000003</c:v>
                </c:pt>
                <c:pt idx="18">
                  <c:v>91.146299999999997</c:v>
                </c:pt>
                <c:pt idx="19">
                  <c:v>101.584</c:v>
                </c:pt>
                <c:pt idx="20">
                  <c:v>106.99</c:v>
                </c:pt>
                <c:pt idx="21">
                  <c:v>110.904</c:v>
                </c:pt>
                <c:pt idx="22">
                  <c:v>115.56399999999999</c:v>
                </c:pt>
                <c:pt idx="23">
                  <c:v>120.03700000000001</c:v>
                </c:pt>
                <c:pt idx="24">
                  <c:v>123.765</c:v>
                </c:pt>
                <c:pt idx="25">
                  <c:v>127.49299999999999</c:v>
                </c:pt>
                <c:pt idx="26">
                  <c:v>131.40700000000001</c:v>
                </c:pt>
                <c:pt idx="27">
                  <c:v>135.881</c:v>
                </c:pt>
                <c:pt idx="28">
                  <c:v>138.67699999999999</c:v>
                </c:pt>
                <c:pt idx="29">
                  <c:v>141.65899999999999</c:v>
                </c:pt>
                <c:pt idx="30">
                  <c:v>145.19999999999999</c:v>
                </c:pt>
                <c:pt idx="31">
                  <c:v>148.74199999999999</c:v>
                </c:pt>
                <c:pt idx="32">
                  <c:v>152.84200000000001</c:v>
                </c:pt>
                <c:pt idx="33">
                  <c:v>156.75700000000001</c:v>
                </c:pt>
                <c:pt idx="34">
                  <c:v>160.857</c:v>
                </c:pt>
                <c:pt idx="35">
                  <c:v>164.02600000000001</c:v>
                </c:pt>
                <c:pt idx="36">
                  <c:v>164.02600000000001</c:v>
                </c:pt>
                <c:pt idx="37">
                  <c:v>169.245</c:v>
                </c:pt>
                <c:pt idx="38">
                  <c:v>173.15899999999999</c:v>
                </c:pt>
                <c:pt idx="39">
                  <c:v>177.81899999999999</c:v>
                </c:pt>
                <c:pt idx="40">
                  <c:v>177.81899999999999</c:v>
                </c:pt>
                <c:pt idx="41">
                  <c:v>182.852</c:v>
                </c:pt>
                <c:pt idx="42">
                  <c:v>185.27500000000001</c:v>
                </c:pt>
                <c:pt idx="43">
                  <c:v>188.44399999999999</c:v>
                </c:pt>
                <c:pt idx="44">
                  <c:v>191.24</c:v>
                </c:pt>
                <c:pt idx="45">
                  <c:v>194.595</c:v>
                </c:pt>
              </c:numCache>
            </c:numRef>
          </c:yVal>
          <c:smooth val="1"/>
          <c:extLst>
            <c:ext xmlns:c16="http://schemas.microsoft.com/office/drawing/2014/chart" uri="{C3380CC4-5D6E-409C-BE32-E72D297353CC}">
              <c16:uniqueId val="{00000000-DD1E-4A18-8644-AD19533AEFA3}"/>
            </c:ext>
          </c:extLst>
        </c:ser>
        <c:ser>
          <c:idx val="3"/>
          <c:order val="1"/>
          <c:tx>
            <c:strRef>
              <c:f>Sheet1!$H$1</c:f>
              <c:strCache>
                <c:ptCount val="1"/>
                <c:pt idx="0">
                  <c:v>PARCS-Fuel</c:v>
                </c:pt>
              </c:strCache>
            </c:strRef>
          </c:tx>
          <c:spPr>
            <a:ln w="19050" cap="rnd">
              <a:solidFill>
                <a:schemeClr val="tx1"/>
              </a:solidFill>
              <a:round/>
            </a:ln>
            <a:effectLst/>
          </c:spPr>
          <c:marker>
            <c:symbol val="none"/>
          </c:marker>
          <c:xVal>
            <c:numRef>
              <c:f>Sheet1!$H$2:$H$58</c:f>
              <c:numCache>
                <c:formatCode>General</c:formatCode>
                <c:ptCount val="57"/>
                <c:pt idx="0">
                  <c:v>428.60199999999998</c:v>
                </c:pt>
                <c:pt idx="1">
                  <c:v>440.06700000000001</c:v>
                </c:pt>
                <c:pt idx="2">
                  <c:v>445.79899999999998</c:v>
                </c:pt>
                <c:pt idx="3">
                  <c:v>454.39800000000002</c:v>
                </c:pt>
                <c:pt idx="4">
                  <c:v>464.43000000000006</c:v>
                </c:pt>
                <c:pt idx="5">
                  <c:v>473.98400000000004</c:v>
                </c:pt>
                <c:pt idx="6">
                  <c:v>482.10500000000002</c:v>
                </c:pt>
                <c:pt idx="7">
                  <c:v>486.88200000000006</c:v>
                </c:pt>
                <c:pt idx="8">
                  <c:v>492.61400000000003</c:v>
                </c:pt>
                <c:pt idx="9">
                  <c:v>499.30200000000002</c:v>
                </c:pt>
                <c:pt idx="10">
                  <c:v>508.37900000000002</c:v>
                </c:pt>
                <c:pt idx="11">
                  <c:v>516.97699999999998</c:v>
                </c:pt>
                <c:pt idx="12">
                  <c:v>524.14300000000003</c:v>
                </c:pt>
                <c:pt idx="13">
                  <c:v>529.39800000000002</c:v>
                </c:pt>
                <c:pt idx="14">
                  <c:v>535.60800000000006</c:v>
                </c:pt>
                <c:pt idx="15">
                  <c:v>542.774</c:v>
                </c:pt>
                <c:pt idx="16">
                  <c:v>548.02800000000002</c:v>
                </c:pt>
                <c:pt idx="17">
                  <c:v>552.32799999999997</c:v>
                </c:pt>
                <c:pt idx="18">
                  <c:v>557.58199999999999</c:v>
                </c:pt>
                <c:pt idx="19">
                  <c:v>562.83699999999999</c:v>
                </c:pt>
                <c:pt idx="20">
                  <c:v>566.65899999999999</c:v>
                </c:pt>
                <c:pt idx="21">
                  <c:v>571.43600000000004</c:v>
                </c:pt>
                <c:pt idx="22">
                  <c:v>577.16800000000001</c:v>
                </c:pt>
                <c:pt idx="23">
                  <c:v>580.51200000000006</c:v>
                </c:pt>
                <c:pt idx="24">
                  <c:v>584.33400000000006</c:v>
                </c:pt>
                <c:pt idx="25">
                  <c:v>585.76700000000005</c:v>
                </c:pt>
                <c:pt idx="26">
                  <c:v>587.20000000000005</c:v>
                </c:pt>
                <c:pt idx="27">
                  <c:v>586.72300000000007</c:v>
                </c:pt>
                <c:pt idx="28">
                  <c:v>584.81200000000001</c:v>
                </c:pt>
                <c:pt idx="29">
                  <c:v>581.46800000000007</c:v>
                </c:pt>
                <c:pt idx="30">
                  <c:v>577.16800000000001</c:v>
                </c:pt>
                <c:pt idx="31">
                  <c:v>571.91399999999999</c:v>
                </c:pt>
                <c:pt idx="32">
                  <c:v>564.74800000000005</c:v>
                </c:pt>
                <c:pt idx="33">
                  <c:v>558.53800000000001</c:v>
                </c:pt>
                <c:pt idx="34">
                  <c:v>552.32799999999997</c:v>
                </c:pt>
                <c:pt idx="35">
                  <c:v>544.20699999999999</c:v>
                </c:pt>
                <c:pt idx="36">
                  <c:v>537.04100000000005</c:v>
                </c:pt>
                <c:pt idx="37">
                  <c:v>527.48699999999997</c:v>
                </c:pt>
                <c:pt idx="38">
                  <c:v>518.88800000000003</c:v>
                </c:pt>
                <c:pt idx="39">
                  <c:v>510.76700000000005</c:v>
                </c:pt>
                <c:pt idx="40">
                  <c:v>501.21300000000008</c:v>
                </c:pt>
                <c:pt idx="41">
                  <c:v>493.09199999999998</c:v>
                </c:pt>
                <c:pt idx="42">
                  <c:v>485.92600000000004</c:v>
                </c:pt>
                <c:pt idx="43">
                  <c:v>478.28300000000002</c:v>
                </c:pt>
                <c:pt idx="44">
                  <c:v>473.02800000000002</c:v>
                </c:pt>
                <c:pt idx="45">
                  <c:v>468.25099999999998</c:v>
                </c:pt>
                <c:pt idx="46">
                  <c:v>464.43000000000006</c:v>
                </c:pt>
                <c:pt idx="47">
                  <c:v>458.697</c:v>
                </c:pt>
                <c:pt idx="48">
                  <c:v>454.39800000000002</c:v>
                </c:pt>
                <c:pt idx="49">
                  <c:v>447.23199999999997</c:v>
                </c:pt>
                <c:pt idx="50">
                  <c:v>439.11099999999999</c:v>
                </c:pt>
                <c:pt idx="51">
                  <c:v>432.423</c:v>
                </c:pt>
                <c:pt idx="52">
                  <c:v>424.30200000000002</c:v>
                </c:pt>
                <c:pt idx="53">
                  <c:v>415.226</c:v>
                </c:pt>
                <c:pt idx="54">
                  <c:v>407.10500000000002</c:v>
                </c:pt>
                <c:pt idx="55">
                  <c:v>402.32799999999997</c:v>
                </c:pt>
                <c:pt idx="56">
                  <c:v>402.32799999999997</c:v>
                </c:pt>
              </c:numCache>
            </c:numRef>
          </c:xVal>
          <c:yVal>
            <c:numRef>
              <c:f>Sheet1!$G$2:$G$58</c:f>
              <c:numCache>
                <c:formatCode>General</c:formatCode>
                <c:ptCount val="57"/>
                <c:pt idx="0">
                  <c:v>5.0326199999999996</c:v>
                </c:pt>
                <c:pt idx="1">
                  <c:v>7.45573</c:v>
                </c:pt>
                <c:pt idx="2">
                  <c:v>8.9468800000000002</c:v>
                </c:pt>
                <c:pt idx="3">
                  <c:v>10.8108</c:v>
                </c:pt>
                <c:pt idx="4">
                  <c:v>12.8611</c:v>
                </c:pt>
                <c:pt idx="5">
                  <c:v>15.097899999999999</c:v>
                </c:pt>
                <c:pt idx="6">
                  <c:v>17.521000000000001</c:v>
                </c:pt>
                <c:pt idx="7">
                  <c:v>19.198499999999999</c:v>
                </c:pt>
                <c:pt idx="8">
                  <c:v>21.994399999999999</c:v>
                </c:pt>
                <c:pt idx="9">
                  <c:v>24.790299999999998</c:v>
                </c:pt>
                <c:pt idx="10">
                  <c:v>29.077400000000001</c:v>
                </c:pt>
                <c:pt idx="11">
                  <c:v>32.6188</c:v>
                </c:pt>
                <c:pt idx="12">
                  <c:v>35.041899999999998</c:v>
                </c:pt>
                <c:pt idx="13">
                  <c:v>37.837800000000001</c:v>
                </c:pt>
                <c:pt idx="14">
                  <c:v>40.447299999999998</c:v>
                </c:pt>
                <c:pt idx="15">
                  <c:v>44.361600000000003</c:v>
                </c:pt>
                <c:pt idx="16">
                  <c:v>46.784700000000001</c:v>
                </c:pt>
                <c:pt idx="17">
                  <c:v>49.207799999999999</c:v>
                </c:pt>
                <c:pt idx="18">
                  <c:v>52.190100000000001</c:v>
                </c:pt>
                <c:pt idx="19">
                  <c:v>55.358800000000002</c:v>
                </c:pt>
                <c:pt idx="20">
                  <c:v>57.968299999999999</c:v>
                </c:pt>
                <c:pt idx="21">
                  <c:v>61.323399999999999</c:v>
                </c:pt>
                <c:pt idx="22">
                  <c:v>65.610399999999998</c:v>
                </c:pt>
                <c:pt idx="23">
                  <c:v>70.643100000000004</c:v>
                </c:pt>
                <c:pt idx="24">
                  <c:v>75.116500000000002</c:v>
                </c:pt>
                <c:pt idx="25">
                  <c:v>80.335499999999996</c:v>
                </c:pt>
                <c:pt idx="26">
                  <c:v>85.181700000000006</c:v>
                </c:pt>
                <c:pt idx="27">
                  <c:v>90.587100000000007</c:v>
                </c:pt>
                <c:pt idx="28">
                  <c:v>95.806200000000004</c:v>
                </c:pt>
                <c:pt idx="29">
                  <c:v>100.652</c:v>
                </c:pt>
                <c:pt idx="30">
                  <c:v>105.312</c:v>
                </c:pt>
                <c:pt idx="31">
                  <c:v>110.345</c:v>
                </c:pt>
                <c:pt idx="32">
                  <c:v>115.56399999999999</c:v>
                </c:pt>
                <c:pt idx="33">
                  <c:v>119.292</c:v>
                </c:pt>
                <c:pt idx="34">
                  <c:v>123.206</c:v>
                </c:pt>
                <c:pt idx="35">
                  <c:v>127.679</c:v>
                </c:pt>
                <c:pt idx="36">
                  <c:v>131.221</c:v>
                </c:pt>
                <c:pt idx="37">
                  <c:v>134.762</c:v>
                </c:pt>
                <c:pt idx="38">
                  <c:v>138.67699999999999</c:v>
                </c:pt>
                <c:pt idx="39">
                  <c:v>141.845</c:v>
                </c:pt>
                <c:pt idx="40">
                  <c:v>145.01400000000001</c:v>
                </c:pt>
                <c:pt idx="41">
                  <c:v>149.30099999999999</c:v>
                </c:pt>
                <c:pt idx="42">
                  <c:v>153.215</c:v>
                </c:pt>
                <c:pt idx="43">
                  <c:v>157.13</c:v>
                </c:pt>
                <c:pt idx="44">
                  <c:v>160.67099999999999</c:v>
                </c:pt>
                <c:pt idx="45">
                  <c:v>163.65299999999999</c:v>
                </c:pt>
                <c:pt idx="46">
                  <c:v>166.822</c:v>
                </c:pt>
                <c:pt idx="47">
                  <c:v>171.10900000000001</c:v>
                </c:pt>
                <c:pt idx="48">
                  <c:v>174.83699999999999</c:v>
                </c:pt>
                <c:pt idx="49">
                  <c:v>179.124</c:v>
                </c:pt>
                <c:pt idx="50">
                  <c:v>182.29300000000001</c:v>
                </c:pt>
                <c:pt idx="51">
                  <c:v>185.46100000000001</c:v>
                </c:pt>
                <c:pt idx="52">
                  <c:v>188.63</c:v>
                </c:pt>
                <c:pt idx="53">
                  <c:v>191.79900000000001</c:v>
                </c:pt>
                <c:pt idx="54">
                  <c:v>194.595</c:v>
                </c:pt>
                <c:pt idx="55">
                  <c:v>196.08600000000001</c:v>
                </c:pt>
                <c:pt idx="56">
                  <c:v>196.08600000000001</c:v>
                </c:pt>
              </c:numCache>
            </c:numRef>
          </c:yVal>
          <c:smooth val="1"/>
          <c:extLst>
            <c:ext xmlns:c16="http://schemas.microsoft.com/office/drawing/2014/chart" uri="{C3380CC4-5D6E-409C-BE32-E72D297353CC}">
              <c16:uniqueId val="{00000001-DD1E-4A18-8644-AD19533AEFA3}"/>
            </c:ext>
          </c:extLst>
        </c:ser>
        <c:dLbls>
          <c:showLegendKey val="0"/>
          <c:showVal val="0"/>
          <c:showCatName val="0"/>
          <c:showSerName val="0"/>
          <c:showPercent val="0"/>
          <c:showBubbleSize val="0"/>
        </c:dLbls>
        <c:axId val="678219608"/>
        <c:axId val="678225008"/>
      </c:scatterChart>
      <c:valAx>
        <c:axId val="678219608"/>
        <c:scaling>
          <c:orientation val="minMax"/>
          <c:max val="645"/>
          <c:min val="29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rPr>
                  <a:t>Temperature [°C]</a:t>
                </a:r>
              </a:p>
            </c:rich>
          </c:tx>
          <c:layout>
            <c:manualLayout>
              <c:xMode val="edge"/>
              <c:yMode val="edge"/>
              <c:x val="0.42197205818022748"/>
              <c:y val="0.94767361111111115"/>
            </c:manualLayout>
          </c:layout>
          <c:overlay val="0"/>
          <c:spPr>
            <a:noFill/>
            <a:ln>
              <a:noFill/>
            </a:ln>
            <a:effectLst/>
          </c:spPr>
          <c:txPr>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25008"/>
        <c:crosses val="autoZero"/>
        <c:crossBetween val="midCat"/>
        <c:majorUnit val="50"/>
      </c:valAx>
      <c:valAx>
        <c:axId val="678225008"/>
        <c:scaling>
          <c:orientation val="minMax"/>
          <c:max val="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solidFill>
                      <a:schemeClr val="tx1"/>
                    </a:solidFill>
                    <a:latin typeface="Times New Roman" panose="02020603050405020304" pitchFamily="18" charset="0"/>
                    <a:cs typeface="Times New Roman" panose="02020603050405020304" pitchFamily="18" charset="0"/>
                  </a:rPr>
                  <a:t>height [cm]</a:t>
                </a:r>
              </a:p>
            </c:rich>
          </c:tx>
          <c:layout>
            <c:manualLayout>
              <c:xMode val="edge"/>
              <c:yMode val="edge"/>
              <c:x val="0"/>
              <c:y val="0.4159148075240595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19608"/>
        <c:crosses val="autoZero"/>
        <c:crossBetween val="midCat"/>
      </c:valAx>
      <c:spPr>
        <a:noFill/>
        <a:ln w="19050">
          <a:solidFill>
            <a:schemeClr val="tx1"/>
          </a:solidFill>
        </a:ln>
        <a:effectLst/>
      </c:spPr>
    </c:plotArea>
    <c:legend>
      <c:legendPos val="t"/>
      <c:layout>
        <c:manualLayout>
          <c:xMode val="edge"/>
          <c:yMode val="edge"/>
          <c:x val="3.6422790901137349E-2"/>
          <c:y val="2.0833333333333332E-2"/>
          <c:w val="0.92368219597550316"/>
          <c:h val="5.6356627296587934E-2"/>
        </c:manualLayout>
      </c:layout>
      <c:overlay val="0"/>
      <c:spPr>
        <a:noFill/>
        <a:ln>
          <a:noFill/>
        </a:ln>
        <a:effectLst/>
      </c:spPr>
      <c:txPr>
        <a:bodyPr rot="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61883931175269"/>
          <c:y val="9.2074584426946632E-2"/>
          <c:w val="0.78356189851268587"/>
          <c:h val="0.76638013998250221"/>
        </c:manualLayout>
      </c:layout>
      <c:scatterChart>
        <c:scatterStyle val="smoothMarker"/>
        <c:varyColors val="0"/>
        <c:ser>
          <c:idx val="2"/>
          <c:order val="0"/>
          <c:tx>
            <c:v>Simple</c:v>
          </c:tx>
          <c:spPr>
            <a:ln w="19050" cap="rnd">
              <a:solidFill>
                <a:schemeClr val="tx1"/>
              </a:solidFill>
              <a:prstDash val="sysDash"/>
              <a:round/>
            </a:ln>
            <a:effectLst/>
          </c:spPr>
          <c:marker>
            <c:symbol val="none"/>
          </c:marker>
          <c:xVal>
            <c:numRef>
              <c:f>Sheet2!$B$1:$B$20</c:f>
              <c:numCache>
                <c:formatCode>General</c:formatCode>
                <c:ptCount val="20"/>
                <c:pt idx="0">
                  <c:v>0.65700000000000003</c:v>
                </c:pt>
                <c:pt idx="1">
                  <c:v>0.88600000000000001</c:v>
                </c:pt>
                <c:pt idx="2">
                  <c:v>0.99399999999999999</c:v>
                </c:pt>
                <c:pt idx="3">
                  <c:v>1.1000000000000001</c:v>
                </c:pt>
                <c:pt idx="4">
                  <c:v>1.19</c:v>
                </c:pt>
                <c:pt idx="5">
                  <c:v>1.26</c:v>
                </c:pt>
                <c:pt idx="6">
                  <c:v>1.3080000000000001</c:v>
                </c:pt>
                <c:pt idx="7">
                  <c:v>1.335</c:v>
                </c:pt>
                <c:pt idx="8">
                  <c:v>1.339</c:v>
                </c:pt>
                <c:pt idx="9">
                  <c:v>1.319</c:v>
                </c:pt>
                <c:pt idx="10">
                  <c:v>1.278</c:v>
                </c:pt>
                <c:pt idx="11">
                  <c:v>1.2150000000000001</c:v>
                </c:pt>
                <c:pt idx="12">
                  <c:v>1.131</c:v>
                </c:pt>
                <c:pt idx="13">
                  <c:v>1.026</c:v>
                </c:pt>
                <c:pt idx="14">
                  <c:v>0.89700000000000002</c:v>
                </c:pt>
                <c:pt idx="15">
                  <c:v>0.79500000000000004</c:v>
                </c:pt>
                <c:pt idx="16">
                  <c:v>0.70799999999999996</c:v>
                </c:pt>
                <c:pt idx="17">
                  <c:v>0.64200000000000002</c:v>
                </c:pt>
                <c:pt idx="18">
                  <c:v>0.53500000000000003</c:v>
                </c:pt>
                <c:pt idx="19">
                  <c:v>0.38500000000000001</c:v>
                </c:pt>
              </c:numCache>
            </c:numRef>
          </c:xVal>
          <c:yVal>
            <c:numRef>
              <c:f>Sheet2!$A$1:$A$20</c:f>
              <c:numCache>
                <c:formatCode>General</c:formatCode>
                <c:ptCount val="20"/>
                <c:pt idx="0">
                  <c:v>5</c:v>
                </c:pt>
                <c:pt idx="1">
                  <c:v>15</c:v>
                </c:pt>
                <c:pt idx="2">
                  <c:v>25</c:v>
                </c:pt>
                <c:pt idx="3">
                  <c:v>35</c:v>
                </c:pt>
                <c:pt idx="4">
                  <c:v>45</c:v>
                </c:pt>
                <c:pt idx="5">
                  <c:v>55</c:v>
                </c:pt>
                <c:pt idx="6">
                  <c:v>65</c:v>
                </c:pt>
                <c:pt idx="7">
                  <c:v>75</c:v>
                </c:pt>
                <c:pt idx="8">
                  <c:v>85</c:v>
                </c:pt>
                <c:pt idx="9">
                  <c:v>95</c:v>
                </c:pt>
                <c:pt idx="10">
                  <c:v>105</c:v>
                </c:pt>
                <c:pt idx="11">
                  <c:v>115</c:v>
                </c:pt>
                <c:pt idx="12">
                  <c:v>125</c:v>
                </c:pt>
                <c:pt idx="13">
                  <c:v>135</c:v>
                </c:pt>
                <c:pt idx="14">
                  <c:v>145</c:v>
                </c:pt>
                <c:pt idx="15">
                  <c:v>155</c:v>
                </c:pt>
                <c:pt idx="16">
                  <c:v>165</c:v>
                </c:pt>
                <c:pt idx="17">
                  <c:v>175</c:v>
                </c:pt>
                <c:pt idx="18">
                  <c:v>185</c:v>
                </c:pt>
                <c:pt idx="19">
                  <c:v>195</c:v>
                </c:pt>
              </c:numCache>
            </c:numRef>
          </c:yVal>
          <c:smooth val="1"/>
          <c:extLst>
            <c:ext xmlns:c16="http://schemas.microsoft.com/office/drawing/2014/chart" uri="{C3380CC4-5D6E-409C-BE32-E72D297353CC}">
              <c16:uniqueId val="{00000000-2F49-4AAA-8FC8-ED0EA5FE3391}"/>
            </c:ext>
          </c:extLst>
        </c:ser>
        <c:ser>
          <c:idx val="3"/>
          <c:order val="1"/>
          <c:tx>
            <c:v>Strong</c:v>
          </c:tx>
          <c:spPr>
            <a:ln w="19050" cap="rnd">
              <a:solidFill>
                <a:schemeClr val="tx1"/>
              </a:solidFill>
              <a:round/>
            </a:ln>
            <a:effectLst/>
          </c:spPr>
          <c:marker>
            <c:symbol val="none"/>
          </c:marker>
          <c:xVal>
            <c:numRef>
              <c:f>Sheet2!$C$1:$C$20</c:f>
              <c:numCache>
                <c:formatCode>General</c:formatCode>
                <c:ptCount val="20"/>
                <c:pt idx="0">
                  <c:v>0.76300000000000001</c:v>
                </c:pt>
                <c:pt idx="1">
                  <c:v>1.0169999999999999</c:v>
                </c:pt>
                <c:pt idx="2">
                  <c:v>1.123</c:v>
                </c:pt>
                <c:pt idx="3">
                  <c:v>1.2230000000000001</c:v>
                </c:pt>
                <c:pt idx="4">
                  <c:v>1.2869999999999999</c:v>
                </c:pt>
                <c:pt idx="5">
                  <c:v>1.337</c:v>
                </c:pt>
                <c:pt idx="6">
                  <c:v>1.35</c:v>
                </c:pt>
                <c:pt idx="7">
                  <c:v>1.353</c:v>
                </c:pt>
                <c:pt idx="8">
                  <c:v>1.323</c:v>
                </c:pt>
                <c:pt idx="9">
                  <c:v>1.2849999999999999</c:v>
                </c:pt>
                <c:pt idx="10">
                  <c:v>1.218</c:v>
                </c:pt>
                <c:pt idx="11">
                  <c:v>1.145</c:v>
                </c:pt>
                <c:pt idx="12">
                  <c:v>1.05</c:v>
                </c:pt>
                <c:pt idx="13">
                  <c:v>0.94499999999999995</c:v>
                </c:pt>
                <c:pt idx="14">
                  <c:v>0.81699999999999995</c:v>
                </c:pt>
                <c:pt idx="15">
                  <c:v>0.72099999999999997</c:v>
                </c:pt>
                <c:pt idx="16">
                  <c:v>0.63800000000000001</c:v>
                </c:pt>
                <c:pt idx="17">
                  <c:v>0.57699999999999996</c:v>
                </c:pt>
                <c:pt idx="18">
                  <c:v>0.48</c:v>
                </c:pt>
                <c:pt idx="19">
                  <c:v>0.34599999999999997</c:v>
                </c:pt>
              </c:numCache>
            </c:numRef>
          </c:xVal>
          <c:yVal>
            <c:numRef>
              <c:f>Sheet2!$A$1:$A$20</c:f>
              <c:numCache>
                <c:formatCode>General</c:formatCode>
                <c:ptCount val="20"/>
                <c:pt idx="0">
                  <c:v>5</c:v>
                </c:pt>
                <c:pt idx="1">
                  <c:v>15</c:v>
                </c:pt>
                <c:pt idx="2">
                  <c:v>25</c:v>
                </c:pt>
                <c:pt idx="3">
                  <c:v>35</c:v>
                </c:pt>
                <c:pt idx="4">
                  <c:v>45</c:v>
                </c:pt>
                <c:pt idx="5">
                  <c:v>55</c:v>
                </c:pt>
                <c:pt idx="6">
                  <c:v>65</c:v>
                </c:pt>
                <c:pt idx="7">
                  <c:v>75</c:v>
                </c:pt>
                <c:pt idx="8">
                  <c:v>85</c:v>
                </c:pt>
                <c:pt idx="9">
                  <c:v>95</c:v>
                </c:pt>
                <c:pt idx="10">
                  <c:v>105</c:v>
                </c:pt>
                <c:pt idx="11">
                  <c:v>115</c:v>
                </c:pt>
                <c:pt idx="12">
                  <c:v>125</c:v>
                </c:pt>
                <c:pt idx="13">
                  <c:v>135</c:v>
                </c:pt>
                <c:pt idx="14">
                  <c:v>145</c:v>
                </c:pt>
                <c:pt idx="15">
                  <c:v>155</c:v>
                </c:pt>
                <c:pt idx="16">
                  <c:v>165</c:v>
                </c:pt>
                <c:pt idx="17">
                  <c:v>175</c:v>
                </c:pt>
                <c:pt idx="18">
                  <c:v>185</c:v>
                </c:pt>
                <c:pt idx="19">
                  <c:v>195</c:v>
                </c:pt>
              </c:numCache>
            </c:numRef>
          </c:yVal>
          <c:smooth val="1"/>
          <c:extLst>
            <c:ext xmlns:c16="http://schemas.microsoft.com/office/drawing/2014/chart" uri="{C3380CC4-5D6E-409C-BE32-E72D297353CC}">
              <c16:uniqueId val="{00000001-2F49-4AAA-8FC8-ED0EA5FE3391}"/>
            </c:ext>
          </c:extLst>
        </c:ser>
        <c:dLbls>
          <c:showLegendKey val="0"/>
          <c:showVal val="0"/>
          <c:showCatName val="0"/>
          <c:showSerName val="0"/>
          <c:showPercent val="0"/>
          <c:showBubbleSize val="0"/>
        </c:dLbls>
        <c:axId val="678219608"/>
        <c:axId val="678225008"/>
      </c:scatterChart>
      <c:valAx>
        <c:axId val="678219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rPr>
                  <a:t>PPF [-]</a:t>
                </a:r>
              </a:p>
            </c:rich>
          </c:tx>
          <c:layout>
            <c:manualLayout>
              <c:xMode val="edge"/>
              <c:yMode val="edge"/>
              <c:x val="0.48099983595800527"/>
              <c:y val="0.94767361111111115"/>
            </c:manualLayout>
          </c:layout>
          <c:overlay val="0"/>
          <c:spPr>
            <a:noFill/>
            <a:ln>
              <a:noFill/>
            </a:ln>
            <a:effectLst/>
          </c:spPr>
          <c:txPr>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25008"/>
        <c:crosses val="autoZero"/>
        <c:crossBetween val="midCat"/>
        <c:majorUnit val="0.25"/>
      </c:valAx>
      <c:valAx>
        <c:axId val="678225008"/>
        <c:scaling>
          <c:orientation val="minMax"/>
          <c:max val="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solidFill>
                      <a:schemeClr val="tx1"/>
                    </a:solidFill>
                    <a:latin typeface="Times New Roman" panose="02020603050405020304" pitchFamily="18" charset="0"/>
                    <a:cs typeface="Times New Roman" panose="02020603050405020304" pitchFamily="18" charset="0"/>
                  </a:rPr>
                  <a:t>height [cm]</a:t>
                </a:r>
              </a:p>
            </c:rich>
          </c:tx>
          <c:layout>
            <c:manualLayout>
              <c:xMode val="edge"/>
              <c:yMode val="edge"/>
              <c:x val="0"/>
              <c:y val="0.4159148075240595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19608"/>
        <c:crosses val="autoZero"/>
        <c:crossBetween val="midCat"/>
      </c:valAx>
      <c:spPr>
        <a:noFill/>
        <a:ln w="19050">
          <a:solidFill>
            <a:schemeClr val="tx1"/>
          </a:solidFill>
        </a:ln>
        <a:effectLst/>
      </c:spPr>
    </c:plotArea>
    <c:legend>
      <c:legendPos val="t"/>
      <c:layout>
        <c:manualLayout>
          <c:xMode val="edge"/>
          <c:yMode val="edge"/>
          <c:x val="3.6422790901137349E-2"/>
          <c:y val="2.0833333333333332E-2"/>
          <c:w val="0.92368219597550316"/>
          <c:h val="5.6356627296587934E-2"/>
        </c:manualLayout>
      </c:layout>
      <c:overlay val="0"/>
      <c:spPr>
        <a:noFill/>
        <a:ln>
          <a:noFill/>
        </a:ln>
        <a:effectLst/>
      </c:spPr>
      <c:txPr>
        <a:bodyPr rot="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2992125984252"/>
          <c:y val="9.2074584426946632E-2"/>
          <c:w val="0.76967300962379703"/>
          <c:h val="0.77100976961213186"/>
        </c:manualLayout>
      </c:layout>
      <c:scatterChart>
        <c:scatterStyle val="smoothMarker"/>
        <c:varyColors val="0"/>
        <c:ser>
          <c:idx val="2"/>
          <c:order val="0"/>
          <c:tx>
            <c:v>Simple</c:v>
          </c:tx>
          <c:spPr>
            <a:ln w="19050" cap="rnd">
              <a:solidFill>
                <a:schemeClr val="tx1"/>
              </a:solidFill>
              <a:prstDash val="sysDash"/>
              <a:round/>
            </a:ln>
            <a:effectLst/>
          </c:spPr>
          <c:marker>
            <c:symbol val="none"/>
          </c:marker>
          <c:xVal>
            <c:numRef>
              <c:f>Sheet2!$Z$38:$Z$57</c:f>
              <c:numCache>
                <c:formatCode>General</c:formatCode>
                <c:ptCount val="20"/>
                <c:pt idx="0">
                  <c:v>2.488686</c:v>
                </c:pt>
                <c:pt idx="1">
                  <c:v>2.365021</c:v>
                </c:pt>
                <c:pt idx="2">
                  <c:v>2.2432280000000002</c:v>
                </c:pt>
                <c:pt idx="3">
                  <c:v>2.1408019999999999</c:v>
                </c:pt>
                <c:pt idx="4">
                  <c:v>2.0479349999999998</c:v>
                </c:pt>
                <c:pt idx="5">
                  <c:v>1.960234</c:v>
                </c:pt>
                <c:pt idx="6">
                  <c:v>1.8750880000000001</c:v>
                </c:pt>
                <c:pt idx="7">
                  <c:v>1.791447</c:v>
                </c:pt>
                <c:pt idx="8">
                  <c:v>1.7072480000000001</c:v>
                </c:pt>
                <c:pt idx="9">
                  <c:v>1.6207830000000001</c:v>
                </c:pt>
                <c:pt idx="10">
                  <c:v>1.5319229999999999</c:v>
                </c:pt>
                <c:pt idx="11">
                  <c:v>1.438477</c:v>
                </c:pt>
                <c:pt idx="12">
                  <c:v>1.338789</c:v>
                </c:pt>
                <c:pt idx="13">
                  <c:v>1.230037</c:v>
                </c:pt>
                <c:pt idx="14">
                  <c:v>1.106239</c:v>
                </c:pt>
                <c:pt idx="15">
                  <c:v>1.0002789999999999</c:v>
                </c:pt>
                <c:pt idx="16">
                  <c:v>0.9055552</c:v>
                </c:pt>
                <c:pt idx="17">
                  <c:v>0.8285323</c:v>
                </c:pt>
                <c:pt idx="18">
                  <c:v>0.71367139999999996</c:v>
                </c:pt>
                <c:pt idx="19">
                  <c:v>0.54666939999999997</c:v>
                </c:pt>
              </c:numCache>
            </c:numRef>
          </c:xVal>
          <c:yVal>
            <c:numRef>
              <c:f>Sheet2!$X$38:$X$57</c:f>
              <c:numCache>
                <c:formatCode>General</c:formatCode>
                <c:ptCount val="20"/>
                <c:pt idx="0">
                  <c:v>10</c:v>
                </c:pt>
                <c:pt idx="1">
                  <c:v>20</c:v>
                </c:pt>
                <c:pt idx="2">
                  <c:v>30</c:v>
                </c:pt>
                <c:pt idx="3">
                  <c:v>40</c:v>
                </c:pt>
                <c:pt idx="4">
                  <c:v>50</c:v>
                </c:pt>
                <c:pt idx="5">
                  <c:v>60</c:v>
                </c:pt>
                <c:pt idx="6">
                  <c:v>70</c:v>
                </c:pt>
                <c:pt idx="7">
                  <c:v>80</c:v>
                </c:pt>
                <c:pt idx="8">
                  <c:v>90</c:v>
                </c:pt>
                <c:pt idx="9">
                  <c:v>100</c:v>
                </c:pt>
                <c:pt idx="10">
                  <c:v>110.00000000000001</c:v>
                </c:pt>
                <c:pt idx="11">
                  <c:v>120</c:v>
                </c:pt>
                <c:pt idx="12">
                  <c:v>130</c:v>
                </c:pt>
                <c:pt idx="13">
                  <c:v>140</c:v>
                </c:pt>
                <c:pt idx="14">
                  <c:v>150</c:v>
                </c:pt>
                <c:pt idx="15">
                  <c:v>160</c:v>
                </c:pt>
                <c:pt idx="16">
                  <c:v>170</c:v>
                </c:pt>
                <c:pt idx="17">
                  <c:v>180</c:v>
                </c:pt>
                <c:pt idx="18">
                  <c:v>190</c:v>
                </c:pt>
                <c:pt idx="19">
                  <c:v>200</c:v>
                </c:pt>
              </c:numCache>
            </c:numRef>
          </c:yVal>
          <c:smooth val="1"/>
          <c:extLst>
            <c:ext xmlns:c16="http://schemas.microsoft.com/office/drawing/2014/chart" uri="{C3380CC4-5D6E-409C-BE32-E72D297353CC}">
              <c16:uniqueId val="{00000000-0376-4F26-851C-889EFC91A996}"/>
            </c:ext>
          </c:extLst>
        </c:ser>
        <c:ser>
          <c:idx val="3"/>
          <c:order val="1"/>
          <c:tx>
            <c:v>Strong</c:v>
          </c:tx>
          <c:spPr>
            <a:ln w="19050" cap="rnd">
              <a:solidFill>
                <a:schemeClr val="tx1"/>
              </a:solidFill>
              <a:round/>
            </a:ln>
            <a:effectLst/>
          </c:spPr>
          <c:marker>
            <c:symbol val="none"/>
          </c:marker>
          <c:xVal>
            <c:numRef>
              <c:f>Sheet2!$Y$38:$Y$57</c:f>
              <c:numCache>
                <c:formatCode>General</c:formatCode>
                <c:ptCount val="20"/>
                <c:pt idx="0">
                  <c:v>2.4886539999999999</c:v>
                </c:pt>
                <c:pt idx="1">
                  <c:v>2.3635419999999998</c:v>
                </c:pt>
                <c:pt idx="2">
                  <c:v>2.238299</c:v>
                </c:pt>
                <c:pt idx="3">
                  <c:v>2.1307649999999998</c:v>
                </c:pt>
                <c:pt idx="4">
                  <c:v>2.0280480000000001</c:v>
                </c:pt>
                <c:pt idx="5">
                  <c:v>1.9325429999999999</c:v>
                </c:pt>
                <c:pt idx="6">
                  <c:v>1.8345480000000001</c:v>
                </c:pt>
                <c:pt idx="7">
                  <c:v>1.74227</c:v>
                </c:pt>
                <c:pt idx="8">
                  <c:v>1.644536</c:v>
                </c:pt>
                <c:pt idx="9">
                  <c:v>1.551094</c:v>
                </c:pt>
                <c:pt idx="10">
                  <c:v>1.449703</c:v>
                </c:pt>
                <c:pt idx="11">
                  <c:v>1.351483</c:v>
                </c:pt>
                <c:pt idx="12">
                  <c:v>1.243865</c:v>
                </c:pt>
                <c:pt idx="13">
                  <c:v>1.133114</c:v>
                </c:pt>
                <c:pt idx="14">
                  <c:v>1.0070520000000001</c:v>
                </c:pt>
                <c:pt idx="15">
                  <c:v>0.90279869999999995</c:v>
                </c:pt>
                <c:pt idx="16">
                  <c:v>0.81027349999999998</c:v>
                </c:pt>
                <c:pt idx="17">
                  <c:v>0.73760210000000004</c:v>
                </c:pt>
                <c:pt idx="18">
                  <c:v>0.63146159999999996</c:v>
                </c:pt>
                <c:pt idx="19">
                  <c:v>0.47996080000000002</c:v>
                </c:pt>
              </c:numCache>
            </c:numRef>
          </c:xVal>
          <c:yVal>
            <c:numRef>
              <c:f>Sheet2!$X$38:$X$57</c:f>
              <c:numCache>
                <c:formatCode>General</c:formatCode>
                <c:ptCount val="20"/>
                <c:pt idx="0">
                  <c:v>10</c:v>
                </c:pt>
                <c:pt idx="1">
                  <c:v>20</c:v>
                </c:pt>
                <c:pt idx="2">
                  <c:v>30</c:v>
                </c:pt>
                <c:pt idx="3">
                  <c:v>40</c:v>
                </c:pt>
                <c:pt idx="4">
                  <c:v>50</c:v>
                </c:pt>
                <c:pt idx="5">
                  <c:v>60</c:v>
                </c:pt>
                <c:pt idx="6">
                  <c:v>70</c:v>
                </c:pt>
                <c:pt idx="7">
                  <c:v>80</c:v>
                </c:pt>
                <c:pt idx="8">
                  <c:v>90</c:v>
                </c:pt>
                <c:pt idx="9">
                  <c:v>100</c:v>
                </c:pt>
                <c:pt idx="10">
                  <c:v>110.00000000000001</c:v>
                </c:pt>
                <c:pt idx="11">
                  <c:v>120</c:v>
                </c:pt>
                <c:pt idx="12">
                  <c:v>130</c:v>
                </c:pt>
                <c:pt idx="13">
                  <c:v>140</c:v>
                </c:pt>
                <c:pt idx="14">
                  <c:v>150</c:v>
                </c:pt>
                <c:pt idx="15">
                  <c:v>160</c:v>
                </c:pt>
                <c:pt idx="16">
                  <c:v>170</c:v>
                </c:pt>
                <c:pt idx="17">
                  <c:v>180</c:v>
                </c:pt>
                <c:pt idx="18">
                  <c:v>190</c:v>
                </c:pt>
                <c:pt idx="19">
                  <c:v>200</c:v>
                </c:pt>
              </c:numCache>
            </c:numRef>
          </c:yVal>
          <c:smooth val="1"/>
          <c:extLst>
            <c:ext xmlns:c16="http://schemas.microsoft.com/office/drawing/2014/chart" uri="{C3380CC4-5D6E-409C-BE32-E72D297353CC}">
              <c16:uniqueId val="{00000001-0376-4F26-851C-889EFC91A996}"/>
            </c:ext>
          </c:extLst>
        </c:ser>
        <c:dLbls>
          <c:showLegendKey val="0"/>
          <c:showVal val="0"/>
          <c:showCatName val="0"/>
          <c:showSerName val="0"/>
          <c:showPercent val="0"/>
          <c:showBubbleSize val="0"/>
        </c:dLbls>
        <c:axId val="678219608"/>
        <c:axId val="678225008"/>
      </c:scatterChart>
      <c:valAx>
        <c:axId val="678219608"/>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rPr>
                  <a:t>CHF [MW/m</a:t>
                </a:r>
                <a:r>
                  <a:rPr lang="en-US" sz="900" b="1" i="0" u="none" strike="noStrike" kern="1200" baseline="30000">
                    <a:solidFill>
                      <a:schemeClr val="tx1"/>
                    </a:solidFill>
                    <a:latin typeface="Times New Roman" panose="02020603050405020304" pitchFamily="18" charset="0"/>
                    <a:ea typeface="+mn-ea"/>
                    <a:cs typeface="Times New Roman" panose="02020603050405020304" pitchFamily="18" charset="0"/>
                  </a:rPr>
                  <a:t>2</a:t>
                </a:r>
                <a:r>
                  <a: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rPr>
                  <a:t>]</a:t>
                </a:r>
              </a:p>
            </c:rich>
          </c:tx>
          <c:layout>
            <c:manualLayout>
              <c:xMode val="edge"/>
              <c:yMode val="edge"/>
              <c:x val="0.34905548264800235"/>
              <c:y val="0.93821741032370953"/>
            </c:manualLayout>
          </c:layout>
          <c:overlay val="0"/>
          <c:spPr>
            <a:noFill/>
            <a:ln>
              <a:noFill/>
            </a:ln>
            <a:effectLst/>
          </c:spPr>
          <c:txPr>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25008"/>
        <c:crosses val="autoZero"/>
        <c:crossBetween val="midCat"/>
        <c:majorUnit val="0.5"/>
      </c:valAx>
      <c:valAx>
        <c:axId val="678225008"/>
        <c:scaling>
          <c:orientation val="minMax"/>
          <c:max val="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solidFill>
                      <a:schemeClr val="tx1"/>
                    </a:solidFill>
                    <a:latin typeface="Times New Roman" panose="02020603050405020304" pitchFamily="18" charset="0"/>
                    <a:cs typeface="Times New Roman" panose="02020603050405020304" pitchFamily="18" charset="0"/>
                  </a:rPr>
                  <a:t>height [cm]</a:t>
                </a:r>
              </a:p>
            </c:rich>
          </c:tx>
          <c:layout>
            <c:manualLayout>
              <c:xMode val="edge"/>
              <c:yMode val="edge"/>
              <c:x val="0"/>
              <c:y val="0.4159148075240595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19608"/>
        <c:crosses val="autoZero"/>
        <c:crossBetween val="midCat"/>
      </c:valAx>
      <c:spPr>
        <a:noFill/>
        <a:ln w="19050">
          <a:solidFill>
            <a:schemeClr val="tx1"/>
          </a:solidFill>
        </a:ln>
        <a:effectLst/>
      </c:spPr>
    </c:plotArea>
    <c:legend>
      <c:legendPos val="t"/>
      <c:layout>
        <c:manualLayout>
          <c:xMode val="edge"/>
          <c:yMode val="edge"/>
          <c:x val="3.6422790901137349E-2"/>
          <c:y val="2.0833333333333332E-2"/>
          <c:w val="0.92368219597550316"/>
          <c:h val="5.6356627296587934E-2"/>
        </c:manualLayout>
      </c:layout>
      <c:overlay val="0"/>
      <c:spPr>
        <a:noFill/>
        <a:ln>
          <a:noFill/>
        </a:ln>
        <a:effectLst/>
      </c:spPr>
      <c:txPr>
        <a:bodyPr rot="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2992125984252"/>
          <c:y val="9.2074584426946632E-2"/>
          <c:w val="0.76967300962379703"/>
          <c:h val="0.77100976961213186"/>
        </c:manualLayout>
      </c:layout>
      <c:scatterChart>
        <c:scatterStyle val="smoothMarker"/>
        <c:varyColors val="0"/>
        <c:ser>
          <c:idx val="2"/>
          <c:order val="0"/>
          <c:tx>
            <c:v>Simple</c:v>
          </c:tx>
          <c:spPr>
            <a:ln w="19050" cap="rnd">
              <a:solidFill>
                <a:schemeClr val="tx1"/>
              </a:solidFill>
              <a:prstDash val="sysDash"/>
              <a:round/>
            </a:ln>
            <a:effectLst/>
          </c:spPr>
          <c:marker>
            <c:symbol val="none"/>
          </c:marker>
          <c:xVal>
            <c:numRef>
              <c:f>Sheet2!$AB$38:$AB$57</c:f>
              <c:numCache>
                <c:formatCode>General</c:formatCode>
                <c:ptCount val="20"/>
                <c:pt idx="0">
                  <c:v>347.97</c:v>
                </c:pt>
                <c:pt idx="1">
                  <c:v>347.82000000000005</c:v>
                </c:pt>
                <c:pt idx="2">
                  <c:v>347.67000000000007</c:v>
                </c:pt>
                <c:pt idx="3">
                  <c:v>347.55000000000007</c:v>
                </c:pt>
                <c:pt idx="4">
                  <c:v>347.44000000000005</c:v>
                </c:pt>
                <c:pt idx="5">
                  <c:v>347.35</c:v>
                </c:pt>
                <c:pt idx="6">
                  <c:v>347.26</c:v>
                </c:pt>
                <c:pt idx="7">
                  <c:v>347.17000000000007</c:v>
                </c:pt>
                <c:pt idx="8">
                  <c:v>347.08000000000004</c:v>
                </c:pt>
                <c:pt idx="9">
                  <c:v>346.98</c:v>
                </c:pt>
                <c:pt idx="10">
                  <c:v>346.87</c:v>
                </c:pt>
                <c:pt idx="11">
                  <c:v>346.75</c:v>
                </c:pt>
                <c:pt idx="12">
                  <c:v>346.6</c:v>
                </c:pt>
                <c:pt idx="13">
                  <c:v>346.42000000000007</c:v>
                </c:pt>
                <c:pt idx="14">
                  <c:v>346.20000000000005</c:v>
                </c:pt>
                <c:pt idx="15">
                  <c:v>345.99</c:v>
                </c:pt>
                <c:pt idx="16">
                  <c:v>345.80000000000007</c:v>
                </c:pt>
                <c:pt idx="17">
                  <c:v>345.63</c:v>
                </c:pt>
                <c:pt idx="18">
                  <c:v>345.34000000000003</c:v>
                </c:pt>
                <c:pt idx="19">
                  <c:v>344.81000000000006</c:v>
                </c:pt>
              </c:numCache>
            </c:numRef>
          </c:xVal>
          <c:yVal>
            <c:numRef>
              <c:f>Sheet2!$X$38:$X$57</c:f>
              <c:numCache>
                <c:formatCode>General</c:formatCode>
                <c:ptCount val="20"/>
                <c:pt idx="0">
                  <c:v>10</c:v>
                </c:pt>
                <c:pt idx="1">
                  <c:v>20</c:v>
                </c:pt>
                <c:pt idx="2">
                  <c:v>30</c:v>
                </c:pt>
                <c:pt idx="3">
                  <c:v>40</c:v>
                </c:pt>
                <c:pt idx="4">
                  <c:v>50</c:v>
                </c:pt>
                <c:pt idx="5">
                  <c:v>60</c:v>
                </c:pt>
                <c:pt idx="6">
                  <c:v>70</c:v>
                </c:pt>
                <c:pt idx="7">
                  <c:v>80</c:v>
                </c:pt>
                <c:pt idx="8">
                  <c:v>90</c:v>
                </c:pt>
                <c:pt idx="9">
                  <c:v>100</c:v>
                </c:pt>
                <c:pt idx="10">
                  <c:v>110.00000000000001</c:v>
                </c:pt>
                <c:pt idx="11">
                  <c:v>120</c:v>
                </c:pt>
                <c:pt idx="12">
                  <c:v>130</c:v>
                </c:pt>
                <c:pt idx="13">
                  <c:v>140</c:v>
                </c:pt>
                <c:pt idx="14">
                  <c:v>150</c:v>
                </c:pt>
                <c:pt idx="15">
                  <c:v>160</c:v>
                </c:pt>
                <c:pt idx="16">
                  <c:v>170</c:v>
                </c:pt>
                <c:pt idx="17">
                  <c:v>180</c:v>
                </c:pt>
                <c:pt idx="18">
                  <c:v>190</c:v>
                </c:pt>
                <c:pt idx="19">
                  <c:v>200</c:v>
                </c:pt>
              </c:numCache>
            </c:numRef>
          </c:yVal>
          <c:smooth val="1"/>
          <c:extLst>
            <c:ext xmlns:c16="http://schemas.microsoft.com/office/drawing/2014/chart" uri="{C3380CC4-5D6E-409C-BE32-E72D297353CC}">
              <c16:uniqueId val="{00000000-CFD6-45FA-AEF9-B7CEF13AB9DB}"/>
            </c:ext>
          </c:extLst>
        </c:ser>
        <c:ser>
          <c:idx val="3"/>
          <c:order val="1"/>
          <c:tx>
            <c:v>Strong</c:v>
          </c:tx>
          <c:spPr>
            <a:ln w="19050" cap="rnd">
              <a:solidFill>
                <a:schemeClr val="tx1"/>
              </a:solidFill>
              <a:round/>
            </a:ln>
            <a:effectLst/>
          </c:spPr>
          <c:marker>
            <c:symbol val="none"/>
          </c:marker>
          <c:xVal>
            <c:numRef>
              <c:f>Sheet2!$AA$38:$AA$57</c:f>
              <c:numCache>
                <c:formatCode>General</c:formatCode>
                <c:ptCount val="20"/>
                <c:pt idx="0">
                  <c:v>347.98</c:v>
                </c:pt>
                <c:pt idx="1">
                  <c:v>347.83000000000004</c:v>
                </c:pt>
                <c:pt idx="2">
                  <c:v>347.68000000000006</c:v>
                </c:pt>
                <c:pt idx="3">
                  <c:v>347.56000000000006</c:v>
                </c:pt>
                <c:pt idx="4">
                  <c:v>347.44000000000005</c:v>
                </c:pt>
                <c:pt idx="5">
                  <c:v>347.34000000000003</c:v>
                </c:pt>
                <c:pt idx="6">
                  <c:v>347.22</c:v>
                </c:pt>
                <c:pt idx="7">
                  <c:v>347.12</c:v>
                </c:pt>
                <c:pt idx="8">
                  <c:v>347</c:v>
                </c:pt>
                <c:pt idx="9">
                  <c:v>346.88</c:v>
                </c:pt>
                <c:pt idx="10">
                  <c:v>346.74</c:v>
                </c:pt>
                <c:pt idx="11">
                  <c:v>346.6</c:v>
                </c:pt>
                <c:pt idx="12">
                  <c:v>346.43000000000006</c:v>
                </c:pt>
                <c:pt idx="13">
                  <c:v>346.23</c:v>
                </c:pt>
                <c:pt idx="14">
                  <c:v>345.98</c:v>
                </c:pt>
                <c:pt idx="15">
                  <c:v>345.75</c:v>
                </c:pt>
                <c:pt idx="16">
                  <c:v>345.54000000000008</c:v>
                </c:pt>
                <c:pt idx="17">
                  <c:v>345.37</c:v>
                </c:pt>
                <c:pt idx="18">
                  <c:v>345.06000000000006</c:v>
                </c:pt>
                <c:pt idx="19">
                  <c:v>344.51</c:v>
                </c:pt>
              </c:numCache>
            </c:numRef>
          </c:xVal>
          <c:yVal>
            <c:numRef>
              <c:f>Sheet2!$X$38:$X$57</c:f>
              <c:numCache>
                <c:formatCode>General</c:formatCode>
                <c:ptCount val="20"/>
                <c:pt idx="0">
                  <c:v>10</c:v>
                </c:pt>
                <c:pt idx="1">
                  <c:v>20</c:v>
                </c:pt>
                <c:pt idx="2">
                  <c:v>30</c:v>
                </c:pt>
                <c:pt idx="3">
                  <c:v>40</c:v>
                </c:pt>
                <c:pt idx="4">
                  <c:v>50</c:v>
                </c:pt>
                <c:pt idx="5">
                  <c:v>60</c:v>
                </c:pt>
                <c:pt idx="6">
                  <c:v>70</c:v>
                </c:pt>
                <c:pt idx="7">
                  <c:v>80</c:v>
                </c:pt>
                <c:pt idx="8">
                  <c:v>90</c:v>
                </c:pt>
                <c:pt idx="9">
                  <c:v>100</c:v>
                </c:pt>
                <c:pt idx="10">
                  <c:v>110.00000000000001</c:v>
                </c:pt>
                <c:pt idx="11">
                  <c:v>120</c:v>
                </c:pt>
                <c:pt idx="12">
                  <c:v>130</c:v>
                </c:pt>
                <c:pt idx="13">
                  <c:v>140</c:v>
                </c:pt>
                <c:pt idx="14">
                  <c:v>150</c:v>
                </c:pt>
                <c:pt idx="15">
                  <c:v>160</c:v>
                </c:pt>
                <c:pt idx="16">
                  <c:v>170</c:v>
                </c:pt>
                <c:pt idx="17">
                  <c:v>180</c:v>
                </c:pt>
                <c:pt idx="18">
                  <c:v>190</c:v>
                </c:pt>
                <c:pt idx="19">
                  <c:v>200</c:v>
                </c:pt>
              </c:numCache>
            </c:numRef>
          </c:yVal>
          <c:smooth val="1"/>
          <c:extLst>
            <c:ext xmlns:c16="http://schemas.microsoft.com/office/drawing/2014/chart" uri="{C3380CC4-5D6E-409C-BE32-E72D297353CC}">
              <c16:uniqueId val="{00000001-CFD6-45FA-AEF9-B7CEF13AB9DB}"/>
            </c:ext>
          </c:extLst>
        </c:ser>
        <c:dLbls>
          <c:showLegendKey val="0"/>
          <c:showVal val="0"/>
          <c:showCatName val="0"/>
          <c:showSerName val="0"/>
          <c:showPercent val="0"/>
          <c:showBubbleSize val="0"/>
        </c:dLbls>
        <c:axId val="678219608"/>
        <c:axId val="678225008"/>
      </c:scatterChart>
      <c:valAx>
        <c:axId val="678219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rPr>
                  <a:t>Temperature [°C]</a:t>
                </a:r>
              </a:p>
            </c:rich>
          </c:tx>
          <c:layout>
            <c:manualLayout>
              <c:xMode val="edge"/>
              <c:yMode val="edge"/>
              <c:x val="0.38609251968503927"/>
              <c:y val="0.93821741032370953"/>
            </c:manualLayout>
          </c:layout>
          <c:overlay val="0"/>
          <c:spPr>
            <a:noFill/>
            <a:ln>
              <a:noFill/>
            </a:ln>
            <a:effectLst/>
          </c:spPr>
          <c:txPr>
            <a:bodyPr rot="0" spcFirstLastPara="1" vertOverflow="ellipsis" vert="horz" wrap="square" anchor="ctr" anchorCtr="1"/>
            <a:lstStyle/>
            <a:p>
              <a:pPr algn="ctr" rtl="0">
                <a:defRPr lang="en-US"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25008"/>
        <c:crosses val="autoZero"/>
        <c:crossBetween val="midCat"/>
      </c:valAx>
      <c:valAx>
        <c:axId val="678225008"/>
        <c:scaling>
          <c:orientation val="minMax"/>
          <c:max val="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1">
                    <a:solidFill>
                      <a:schemeClr val="tx1"/>
                    </a:solidFill>
                    <a:latin typeface="Times New Roman" panose="02020603050405020304" pitchFamily="18" charset="0"/>
                    <a:cs typeface="Times New Roman" panose="02020603050405020304" pitchFamily="18" charset="0"/>
                  </a:rPr>
                  <a:t>height [cm]</a:t>
                </a:r>
              </a:p>
            </c:rich>
          </c:tx>
          <c:layout>
            <c:manualLayout>
              <c:xMode val="edge"/>
              <c:yMode val="edge"/>
              <c:x val="0"/>
              <c:y val="0.4159148075240595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78219608"/>
        <c:crosses val="autoZero"/>
        <c:crossBetween val="midCat"/>
      </c:valAx>
      <c:spPr>
        <a:noFill/>
        <a:ln w="19050">
          <a:solidFill>
            <a:schemeClr val="tx1"/>
          </a:solidFill>
        </a:ln>
        <a:effectLst/>
      </c:spPr>
    </c:plotArea>
    <c:legend>
      <c:legendPos val="t"/>
      <c:layout>
        <c:manualLayout>
          <c:xMode val="edge"/>
          <c:yMode val="edge"/>
          <c:x val="3.6422790901137349E-2"/>
          <c:y val="2.0833333333333332E-2"/>
          <c:w val="0.92368219597550316"/>
          <c:h val="5.6356627296587934E-2"/>
        </c:manualLayout>
      </c:layout>
      <c:overlay val="0"/>
      <c:spPr>
        <a:noFill/>
        <a:ln>
          <a:noFill/>
        </a:ln>
        <a:effectLst/>
      </c:spPr>
      <c:txPr>
        <a:bodyPr rot="0" spcFirstLastPara="1" vertOverflow="ellipsis" vert="horz" wrap="square" anchor="ctr" anchorCtr="1"/>
        <a:lstStyle/>
        <a:p>
          <a:pPr algn="ctr" rtl="0">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6</Pages>
  <Words>2305</Words>
  <Characters>13143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dc:description/>
  <cp:lastModifiedBy>CONSTANTIN, Alina</cp:lastModifiedBy>
  <cp:revision>2</cp:revision>
  <cp:lastPrinted>2024-03-19T13:52:00Z</cp:lastPrinted>
  <dcterms:created xsi:type="dcterms:W3CDTF">2024-08-14T09:52:00Z</dcterms:created>
  <dcterms:modified xsi:type="dcterms:W3CDTF">2024-08-14T09:52:00Z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