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30E7A" w14:textId="77777777" w:rsidR="00681CB0" w:rsidRDefault="00681CB0" w:rsidP="00537496">
      <w:pPr>
        <w:pStyle w:val="Heading1"/>
        <w:rPr>
          <w:rFonts w:ascii="Roboto Light" w:hAnsi="Roboto Light"/>
          <w:bCs/>
          <w:sz w:val="31"/>
          <w:szCs w:val="31"/>
          <w:shd w:val="clear" w:color="auto" w:fill="FFFFFF"/>
        </w:rPr>
      </w:pPr>
      <w:r w:rsidRPr="00681CB0">
        <w:rPr>
          <w:rFonts w:ascii="Times New Roman" w:hAnsi="Times New Roman"/>
          <w:bCs/>
          <w:szCs w:val="24"/>
          <w:shd w:val="clear" w:color="auto" w:fill="FFFFFF"/>
        </w:rPr>
        <w:t>On some safety aspects in Small Modular Reactors</w:t>
      </w:r>
      <w:r w:rsidRPr="00681CB0">
        <w:rPr>
          <w:rFonts w:ascii="Roboto Light" w:hAnsi="Roboto Light"/>
          <w:bCs/>
          <w:sz w:val="31"/>
          <w:szCs w:val="31"/>
          <w:shd w:val="clear" w:color="auto" w:fill="FFFFFF"/>
        </w:rPr>
        <w:t xml:space="preserve"> </w:t>
      </w:r>
    </w:p>
    <w:p w14:paraId="4D1B799F" w14:textId="77777777" w:rsidR="00802381" w:rsidRDefault="00802381" w:rsidP="00537496">
      <w:pPr>
        <w:pStyle w:val="Authornameandaffiliation"/>
      </w:pPr>
    </w:p>
    <w:p w14:paraId="32159D0F" w14:textId="109352D1" w:rsidR="003B5E0E" w:rsidRDefault="006B778A" w:rsidP="00537496">
      <w:pPr>
        <w:pStyle w:val="Authornameandaffiliation"/>
      </w:pPr>
      <w:r>
        <w:t>D. SERBANESCU</w:t>
      </w:r>
    </w:p>
    <w:p w14:paraId="0FA2970C" w14:textId="77777777" w:rsidR="00C83771" w:rsidRDefault="00C83771" w:rsidP="00C83771">
      <w:pPr>
        <w:pStyle w:val="Authornameandaffiliation"/>
      </w:pPr>
      <w:r>
        <w:t>Division of Logic and Models in Science, CRIFST, Romanian Academy</w:t>
      </w:r>
    </w:p>
    <w:p w14:paraId="6B8967F2" w14:textId="77777777" w:rsidR="00C83771" w:rsidRDefault="00C83771" w:rsidP="00C83771">
      <w:pPr>
        <w:pStyle w:val="Authornameandaffiliation"/>
      </w:pPr>
      <w:r>
        <w:t>Bucharest, Romania</w:t>
      </w:r>
    </w:p>
    <w:p w14:paraId="1165AA49" w14:textId="77777777" w:rsidR="00C83771" w:rsidRDefault="00C83771" w:rsidP="00C83771">
      <w:pPr>
        <w:pStyle w:val="Authornameandaffiliation"/>
      </w:pPr>
      <w:r>
        <w:t>dan.serbanescu1953@yahoo.com</w:t>
      </w:r>
    </w:p>
    <w:p w14:paraId="20B69518" w14:textId="77777777" w:rsidR="00C83771" w:rsidRDefault="00C83771"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0157B549" w14:textId="24B843A0" w:rsidR="006B778A" w:rsidRDefault="006B778A" w:rsidP="00C952B5">
      <w:pPr>
        <w:spacing w:line="240" w:lineRule="atLeast"/>
        <w:contextualSpacing/>
        <w:jc w:val="both"/>
        <w:rPr>
          <w:sz w:val="18"/>
        </w:rPr>
      </w:pPr>
      <w:r w:rsidRPr="006B778A">
        <w:rPr>
          <w:sz w:val="18"/>
        </w:rPr>
        <w:t xml:space="preserve">The development of new types of </w:t>
      </w:r>
      <w:r w:rsidR="002F73AD" w:rsidRPr="006B778A">
        <w:rPr>
          <w:sz w:val="18"/>
        </w:rPr>
        <w:t xml:space="preserve">Nuclear Power Plants (NPP) </w:t>
      </w:r>
      <w:r w:rsidRPr="006B778A">
        <w:rPr>
          <w:sz w:val="18"/>
        </w:rPr>
        <w:t>is now in the phase of expanding nuclear programs, with a new set of desi</w:t>
      </w:r>
      <w:r>
        <w:rPr>
          <w:sz w:val="18"/>
        </w:rPr>
        <w:t>g</w:t>
      </w:r>
      <w:r w:rsidRPr="006B778A">
        <w:rPr>
          <w:sz w:val="18"/>
        </w:rPr>
        <w:t xml:space="preserve">n under consideration: </w:t>
      </w:r>
      <w:r w:rsidR="002F73AD" w:rsidRPr="006B778A">
        <w:rPr>
          <w:sz w:val="18"/>
        </w:rPr>
        <w:t>Small Modular Reactors (SMR)</w:t>
      </w:r>
      <w:r w:rsidRPr="006B778A">
        <w:rPr>
          <w:sz w:val="18"/>
        </w:rPr>
        <w:t xml:space="preserve">. SMR and the decision to build them </w:t>
      </w:r>
      <w:r w:rsidR="00BD15E7">
        <w:rPr>
          <w:sz w:val="18"/>
        </w:rPr>
        <w:t>is</w:t>
      </w:r>
      <w:r w:rsidRPr="006B778A">
        <w:rPr>
          <w:sz w:val="18"/>
        </w:rPr>
        <w:t xml:space="preserve"> considered for many reasons and th</w:t>
      </w:r>
      <w:r>
        <w:rPr>
          <w:sz w:val="18"/>
        </w:rPr>
        <w:t xml:space="preserve">e </w:t>
      </w:r>
      <w:r w:rsidRPr="006B778A">
        <w:rPr>
          <w:sz w:val="18"/>
        </w:rPr>
        <w:t>decisions on a certain type, combination, fuel cycle in general would need an extensive technical and safety review</w:t>
      </w:r>
      <w:r>
        <w:rPr>
          <w:sz w:val="18"/>
        </w:rPr>
        <w:t xml:space="preserve"> </w:t>
      </w:r>
      <w:r w:rsidRPr="006B778A">
        <w:rPr>
          <w:sz w:val="18"/>
        </w:rPr>
        <w:t>in the light of the existing experience and future needs. Results and some preliminary conclusions from various projects are presented in the paper.</w:t>
      </w:r>
    </w:p>
    <w:p w14:paraId="74CD1556" w14:textId="6892C6BD" w:rsidR="00E25B68" w:rsidRDefault="008D08DD" w:rsidP="0026525A">
      <w:pPr>
        <w:pStyle w:val="Heading2"/>
        <w:numPr>
          <w:ilvl w:val="1"/>
          <w:numId w:val="10"/>
        </w:numPr>
      </w:pPr>
      <w:r>
        <w:t xml:space="preserve">Background </w:t>
      </w:r>
    </w:p>
    <w:p w14:paraId="0DEA1A3F" w14:textId="00CF47FF" w:rsidR="00B23C33" w:rsidRPr="00863956" w:rsidRDefault="00C952B5" w:rsidP="00B23C33">
      <w:pPr>
        <w:pStyle w:val="BodyText"/>
      </w:pPr>
      <w:r w:rsidRPr="00863956">
        <w:t xml:space="preserve">Nuclear Power Plants (NPP) passed so far through various stages of evolution. For the Small Modular Reactors (SMR), which are part of this complex process valuable insights might </w:t>
      </w:r>
      <w:r w:rsidR="00BD15E7">
        <w:t xml:space="preserve">result from </w:t>
      </w:r>
      <w:r w:rsidRPr="00863956">
        <w:t xml:space="preserve">a triple facet </w:t>
      </w:r>
      <w:r w:rsidR="0029714D">
        <w:t xml:space="preserve">(sets of criteria) </w:t>
      </w:r>
      <w:r w:rsidRPr="00863956">
        <w:t>perspective</w:t>
      </w:r>
      <w:r w:rsidR="0029714D">
        <w:t xml:space="preserve">, which was </w:t>
      </w:r>
      <w:r w:rsidRPr="00863956">
        <w:t>based on considering this type of NPP as a:</w:t>
      </w:r>
    </w:p>
    <w:p w14:paraId="66585E9B" w14:textId="6CF5E8FF" w:rsidR="00B23C33" w:rsidRPr="00863956" w:rsidRDefault="00C952B5" w:rsidP="00863956">
      <w:pPr>
        <w:pStyle w:val="BodyText"/>
        <w:numPr>
          <w:ilvl w:val="0"/>
          <w:numId w:val="38"/>
        </w:numPr>
      </w:pPr>
      <w:r w:rsidRPr="00863956">
        <w:t xml:space="preserve">New </w:t>
      </w:r>
      <w:r w:rsidR="0029714D">
        <w:t xml:space="preserve">reactor technology </w:t>
      </w:r>
      <w:r w:rsidRPr="00863956">
        <w:t xml:space="preserve">phase </w:t>
      </w:r>
      <w:r w:rsidR="0029714D">
        <w:t xml:space="preserve">reflected </w:t>
      </w:r>
      <w:r w:rsidRPr="00863956">
        <w:t>in the safety principles evolution</w:t>
      </w:r>
      <w:r w:rsidR="008D08DD" w:rsidRPr="00863956">
        <w:t xml:space="preserve"> </w:t>
      </w:r>
      <w:r w:rsidRPr="00863956">
        <w:t xml:space="preserve"> </w:t>
      </w:r>
    </w:p>
    <w:p w14:paraId="172BA08D" w14:textId="480D87C9" w:rsidR="008D08DD" w:rsidRPr="00863956" w:rsidRDefault="0029714D" w:rsidP="00863956">
      <w:pPr>
        <w:pStyle w:val="BodyText"/>
        <w:numPr>
          <w:ilvl w:val="0"/>
          <w:numId w:val="38"/>
        </w:numPr>
      </w:pPr>
      <w:r>
        <w:t>An enlarged and  more broad view on the s</w:t>
      </w:r>
      <w:r w:rsidR="008D08DD" w:rsidRPr="00863956">
        <w:t>pecific acceptance criteria to implement the objectives set for safety goals</w:t>
      </w:r>
    </w:p>
    <w:p w14:paraId="25D9B7F2" w14:textId="6516B10B" w:rsidR="008D08DD" w:rsidRPr="00863956" w:rsidRDefault="0049053A" w:rsidP="00863956">
      <w:pPr>
        <w:pStyle w:val="BodyText"/>
        <w:numPr>
          <w:ilvl w:val="0"/>
          <w:numId w:val="38"/>
        </w:numPr>
      </w:pPr>
      <w:r w:rsidRPr="008E49F0">
        <w:t xml:space="preserve">Consideration of the new types of NPPs </w:t>
      </w:r>
      <w:r w:rsidR="0029714D">
        <w:t xml:space="preserve">as an envelope of technologies governed by reactor technology and subject to each </w:t>
      </w:r>
      <w:r w:rsidRPr="008E49F0">
        <w:t xml:space="preserve">technology transformation </w:t>
      </w:r>
      <w:r w:rsidR="0029714D">
        <w:t>and their synergies.</w:t>
      </w:r>
    </w:p>
    <w:p w14:paraId="7D6418E2" w14:textId="20EC32C8" w:rsidR="0029714D" w:rsidRPr="00863956" w:rsidRDefault="008D08DD" w:rsidP="0029714D">
      <w:pPr>
        <w:pStyle w:val="BodyText"/>
        <w:ind w:firstLine="0"/>
      </w:pPr>
      <w:r w:rsidRPr="00863956">
        <w:tab/>
      </w:r>
      <w:r w:rsidR="0029714D" w:rsidRPr="00863956">
        <w:t>The evaluation of the facets mentioned before was performed for some hypothetical case studies of Small Modular Reactors (SMR)</w:t>
      </w:r>
      <w:r w:rsidR="0029714D">
        <w:t xml:space="preserve">. These cases </w:t>
      </w:r>
      <w:r w:rsidR="0029714D" w:rsidRPr="00863956">
        <w:t>were also subject to previous projects [</w:t>
      </w:r>
      <w:r w:rsidR="0029714D">
        <w:t>1-3</w:t>
      </w:r>
      <w:r w:rsidR="0029714D" w:rsidRPr="00863956">
        <w:t xml:space="preserve">] </w:t>
      </w:r>
      <w:r w:rsidR="0029714D">
        <w:t>and the types are defined as per</w:t>
      </w:r>
      <w:r w:rsidR="0029714D" w:rsidRPr="00863956">
        <w:t xml:space="preserve"> [</w:t>
      </w:r>
      <w:r w:rsidR="0029714D">
        <w:t>1,2</w:t>
      </w:r>
      <w:r w:rsidR="0029714D" w:rsidRPr="00863956">
        <w:t xml:space="preserve">]: </w:t>
      </w:r>
    </w:p>
    <w:p w14:paraId="78E691A9" w14:textId="6A8C390C" w:rsidR="00B23C33" w:rsidRPr="00863956" w:rsidRDefault="00C952B5" w:rsidP="008D08DD">
      <w:pPr>
        <w:pStyle w:val="BodyText"/>
        <w:ind w:left="567" w:firstLine="0"/>
      </w:pPr>
      <w:r w:rsidRPr="00863956">
        <w:t>A. Water cooled</w:t>
      </w:r>
      <w:r w:rsidR="008D08DD" w:rsidRPr="00863956">
        <w:t xml:space="preserve"> (W)</w:t>
      </w:r>
    </w:p>
    <w:p w14:paraId="79DC08EA" w14:textId="2160193D" w:rsidR="00B23C33" w:rsidRPr="00863956" w:rsidRDefault="00C952B5" w:rsidP="008D08DD">
      <w:pPr>
        <w:pStyle w:val="BodyText"/>
        <w:ind w:left="567" w:firstLine="0"/>
      </w:pPr>
      <w:r w:rsidRPr="00863956">
        <w:t>B. Gas cooled</w:t>
      </w:r>
      <w:r w:rsidR="008D08DD" w:rsidRPr="00863956">
        <w:t xml:space="preserve"> (G)</w:t>
      </w:r>
    </w:p>
    <w:p w14:paraId="34C7096F" w14:textId="7BBDEE27" w:rsidR="00B23C33" w:rsidRDefault="00C952B5" w:rsidP="008D08DD">
      <w:pPr>
        <w:pStyle w:val="BodyText"/>
        <w:ind w:left="567" w:firstLine="0"/>
      </w:pPr>
      <w:r w:rsidRPr="00863956">
        <w:t>C. Molten salt</w:t>
      </w:r>
      <w:r w:rsidR="008D08DD" w:rsidRPr="00863956">
        <w:t xml:space="preserve"> (M)</w:t>
      </w:r>
    </w:p>
    <w:p w14:paraId="499F2E3D" w14:textId="77777777" w:rsidR="002C6A3E" w:rsidRDefault="002C6A3E" w:rsidP="008D08DD">
      <w:pPr>
        <w:pStyle w:val="BodyText"/>
        <w:ind w:left="567" w:firstLine="0"/>
      </w:pPr>
    </w:p>
    <w:p w14:paraId="1B297C48" w14:textId="57293E9F" w:rsidR="00EE0041" w:rsidRDefault="00F1161A" w:rsidP="0026525A">
      <w:pPr>
        <w:pStyle w:val="Heading2"/>
        <w:numPr>
          <w:ilvl w:val="1"/>
          <w:numId w:val="10"/>
        </w:numPr>
      </w:pPr>
      <w:r>
        <w:t>Evaluation of smr technical features</w:t>
      </w:r>
    </w:p>
    <w:p w14:paraId="6AE1B19D" w14:textId="3643844C" w:rsidR="00F1161A" w:rsidRPr="00EE0041" w:rsidRDefault="00F1161A" w:rsidP="00F1161A">
      <w:pPr>
        <w:pStyle w:val="Heading3"/>
      </w:pPr>
      <w:r>
        <w:t>SMR’s safety features</w:t>
      </w:r>
    </w:p>
    <w:p w14:paraId="3B9620E2" w14:textId="406646CE" w:rsidR="00F1161A" w:rsidRDefault="00F1161A" w:rsidP="008D08DD">
      <w:pPr>
        <w:pStyle w:val="BodyText"/>
        <w:ind w:firstLine="0"/>
      </w:pPr>
      <w:r>
        <w:tab/>
      </w:r>
      <w:r w:rsidR="0049053A" w:rsidRPr="008E49F0">
        <w:t>The development of NPPs so far underlined</w:t>
      </w:r>
      <w:r w:rsidR="0049053A">
        <w:t xml:space="preserve"> </w:t>
      </w:r>
      <w:r>
        <w:t>a set of important safety features to be</w:t>
      </w:r>
      <w:r w:rsidR="0056655A">
        <w:t xml:space="preserve"> </w:t>
      </w:r>
      <w:r>
        <w:t>considered for new</w:t>
      </w:r>
      <w:r w:rsidR="0056655A">
        <w:t xml:space="preserve"> </w:t>
      </w:r>
      <w:r>
        <w:t>plants. A list of them and an expert type evaluation for the cases W,G and M are in Table 1 and represented in Figure 1.</w:t>
      </w:r>
      <w:r w:rsidR="008437BD">
        <w:t xml:space="preserve"> </w:t>
      </w:r>
      <w:r w:rsidR="0049053A" w:rsidRPr="008E49F0">
        <w:t>The evaluations performed based on previous experience in licensing NPPs</w:t>
      </w:r>
      <w:r w:rsidR="008437BD">
        <w:t xml:space="preserve"> is reflecting the evolution of the weight of each criterion and the overall possible impact for diverse set of</w:t>
      </w:r>
      <w:r w:rsidR="004F2E8D">
        <w:t xml:space="preserve"> </w:t>
      </w:r>
      <w:r w:rsidR="008437BD">
        <w:t>new designs. There are strong features in each design and one</w:t>
      </w:r>
      <w:r w:rsidR="004F2E8D">
        <w:t xml:space="preserve"> </w:t>
      </w:r>
      <w:r w:rsidR="008437BD">
        <w:t>initial notice is that their</w:t>
      </w:r>
      <w:r w:rsidR="004F2E8D">
        <w:t xml:space="preserve"> </w:t>
      </w:r>
      <w:r w:rsidR="008437BD">
        <w:t>combination in a sequential fuel</w:t>
      </w:r>
      <w:r w:rsidR="004F2E8D">
        <w:t xml:space="preserve"> </w:t>
      </w:r>
      <w:r w:rsidR="008437BD">
        <w:t>cycle is a</w:t>
      </w:r>
      <w:r w:rsidR="004F2E8D">
        <w:t xml:space="preserve"> </w:t>
      </w:r>
      <w:r w:rsidR="008437BD">
        <w:t>better approach</w:t>
      </w:r>
      <w:r w:rsidR="004F2E8D">
        <w:t xml:space="preserve">, </w:t>
      </w:r>
      <w:r w:rsidR="008437BD">
        <w:t>rather than consider only focusing on one</w:t>
      </w:r>
      <w:r w:rsidR="004F2E8D">
        <w:t xml:space="preserve"> </w:t>
      </w:r>
      <w:r w:rsidR="008437BD">
        <w:t>type.</w:t>
      </w:r>
    </w:p>
    <w:p w14:paraId="192114D2" w14:textId="0FF5567A" w:rsidR="00316BFB" w:rsidRDefault="00316BFB" w:rsidP="00316BFB">
      <w:pPr>
        <w:pStyle w:val="Referencelist"/>
        <w:numPr>
          <w:ilvl w:val="0"/>
          <w:numId w:val="0"/>
        </w:numPr>
        <w:ind w:left="360"/>
        <w:rPr>
          <w:sz w:val="20"/>
          <w:szCs w:val="20"/>
        </w:rPr>
      </w:pPr>
      <w:r>
        <w:rPr>
          <w:sz w:val="20"/>
          <w:szCs w:val="20"/>
        </w:rPr>
        <w:t xml:space="preserve">The criteria in Table 1 </w:t>
      </w:r>
      <w:r w:rsidR="00FC00A9">
        <w:rPr>
          <w:sz w:val="20"/>
          <w:szCs w:val="20"/>
        </w:rPr>
        <w:t>are related</w:t>
      </w:r>
      <w:r>
        <w:rPr>
          <w:sz w:val="20"/>
          <w:szCs w:val="20"/>
        </w:rPr>
        <w:t xml:space="preserve"> to safety  in a direct or indirect manner, by considering the impact on the whole fuel cycle (front end, operation and back end), as follows:</w:t>
      </w:r>
    </w:p>
    <w:p w14:paraId="25287FE0" w14:textId="77777777" w:rsidR="00316BFB" w:rsidRDefault="00316BFB" w:rsidP="00316BFB">
      <w:pPr>
        <w:pStyle w:val="Referencelist"/>
        <w:numPr>
          <w:ilvl w:val="0"/>
          <w:numId w:val="44"/>
        </w:numPr>
        <w:rPr>
          <w:sz w:val="20"/>
          <w:szCs w:val="20"/>
        </w:rPr>
      </w:pPr>
      <w:r>
        <w:rPr>
          <w:sz w:val="20"/>
          <w:szCs w:val="20"/>
        </w:rPr>
        <w:t>Criteria defined in expert opinion approach and related to the evaluation of safety level considering:</w:t>
      </w:r>
    </w:p>
    <w:p w14:paraId="1DBE8813" w14:textId="77777777" w:rsidR="00316BFB" w:rsidRPr="009C6F9F" w:rsidRDefault="00316BFB" w:rsidP="00316BFB">
      <w:pPr>
        <w:pStyle w:val="ListParagraph"/>
        <w:numPr>
          <w:ilvl w:val="1"/>
          <w:numId w:val="44"/>
        </w:numPr>
        <w:rPr>
          <w:sz w:val="20"/>
        </w:rPr>
      </w:pPr>
      <w:r w:rsidRPr="009C6F9F">
        <w:rPr>
          <w:sz w:val="20"/>
        </w:rPr>
        <w:t>Credibility of uncertainties (CRU)</w:t>
      </w:r>
    </w:p>
    <w:p w14:paraId="3176F042" w14:textId="77777777" w:rsidR="00316BFB" w:rsidRDefault="00316BFB" w:rsidP="00316BFB">
      <w:pPr>
        <w:pStyle w:val="ListParagraph"/>
        <w:numPr>
          <w:ilvl w:val="1"/>
          <w:numId w:val="44"/>
        </w:numPr>
        <w:rPr>
          <w:sz w:val="20"/>
        </w:rPr>
      </w:pPr>
      <w:r w:rsidRPr="009C6F9F">
        <w:rPr>
          <w:sz w:val="20"/>
        </w:rPr>
        <w:t>Credibility of the level of conservatism(CRC)</w:t>
      </w:r>
    </w:p>
    <w:p w14:paraId="3AEBE606" w14:textId="77777777" w:rsidR="00316BFB" w:rsidRDefault="00316BFB" w:rsidP="00316BFB">
      <w:pPr>
        <w:pStyle w:val="ListParagraph"/>
        <w:numPr>
          <w:ilvl w:val="1"/>
          <w:numId w:val="44"/>
        </w:numPr>
        <w:rPr>
          <w:sz w:val="20"/>
        </w:rPr>
      </w:pPr>
      <w:r>
        <w:rPr>
          <w:sz w:val="20"/>
        </w:rPr>
        <w:t>Evaluation of t</w:t>
      </w:r>
      <w:r w:rsidRPr="009C6F9F">
        <w:rPr>
          <w:sz w:val="20"/>
        </w:rPr>
        <w:t xml:space="preserve">he adequacy of the type of method acceptable </w:t>
      </w:r>
      <w:r>
        <w:rPr>
          <w:sz w:val="20"/>
        </w:rPr>
        <w:t>(</w:t>
      </w:r>
      <w:r w:rsidRPr="009C6F9F">
        <w:rPr>
          <w:sz w:val="20"/>
        </w:rPr>
        <w:t>deterministic</w:t>
      </w:r>
      <w:r>
        <w:rPr>
          <w:sz w:val="20"/>
        </w:rPr>
        <w:t xml:space="preserve"> -</w:t>
      </w:r>
      <w:r w:rsidRPr="009C6F9F">
        <w:rPr>
          <w:sz w:val="20"/>
        </w:rPr>
        <w:t>best estimate or not, probabilistic, combined</w:t>
      </w:r>
      <w:r>
        <w:rPr>
          <w:sz w:val="20"/>
        </w:rPr>
        <w:t>) used in safety evaluations</w:t>
      </w:r>
      <w:r w:rsidRPr="009C6F9F">
        <w:rPr>
          <w:sz w:val="20"/>
        </w:rPr>
        <w:t xml:space="preserve">, </w:t>
      </w:r>
      <w:r>
        <w:rPr>
          <w:sz w:val="20"/>
        </w:rPr>
        <w:t xml:space="preserve">performed by  based on </w:t>
      </w:r>
      <w:r w:rsidRPr="009C6F9F">
        <w:rPr>
          <w:sz w:val="20"/>
        </w:rPr>
        <w:t>past similar experience (DPC)</w:t>
      </w:r>
    </w:p>
    <w:p w14:paraId="06E44A0D" w14:textId="77777777" w:rsidR="00316BFB" w:rsidRPr="00EC1D9B" w:rsidRDefault="00316BFB" w:rsidP="00316BFB">
      <w:pPr>
        <w:pStyle w:val="ListParagraph"/>
        <w:numPr>
          <w:ilvl w:val="1"/>
          <w:numId w:val="44"/>
        </w:numPr>
        <w:rPr>
          <w:sz w:val="20"/>
        </w:rPr>
      </w:pPr>
      <w:r w:rsidRPr="00EC1D9B">
        <w:rPr>
          <w:sz w:val="20"/>
        </w:rPr>
        <w:t>Impact of capability to manage change control</w:t>
      </w:r>
      <w:r>
        <w:rPr>
          <w:sz w:val="20"/>
        </w:rPr>
        <w:t xml:space="preserve"> during the design and safety evaluation phases </w:t>
      </w:r>
      <w:r w:rsidRPr="00EC1D9B">
        <w:rPr>
          <w:sz w:val="20"/>
        </w:rPr>
        <w:t>(CHC)</w:t>
      </w:r>
    </w:p>
    <w:p w14:paraId="7EF98E57" w14:textId="77777777" w:rsidR="00316BFB" w:rsidRDefault="00316BFB" w:rsidP="00316BFB">
      <w:pPr>
        <w:pStyle w:val="Referencelist"/>
        <w:numPr>
          <w:ilvl w:val="0"/>
          <w:numId w:val="44"/>
        </w:numPr>
        <w:rPr>
          <w:sz w:val="20"/>
          <w:szCs w:val="20"/>
        </w:rPr>
      </w:pPr>
      <w:r>
        <w:rPr>
          <w:sz w:val="20"/>
          <w:szCs w:val="20"/>
        </w:rPr>
        <w:t>Criteria defined in expert opinion approach by comparison with existing reference levels and related to the evaluation of safety level considering:</w:t>
      </w:r>
    </w:p>
    <w:p w14:paraId="46D69398" w14:textId="77777777" w:rsidR="00316BFB" w:rsidRPr="00EC1D9B" w:rsidRDefault="00316BFB" w:rsidP="00F90D44">
      <w:pPr>
        <w:pStyle w:val="ListParagraph"/>
        <w:numPr>
          <w:ilvl w:val="1"/>
          <w:numId w:val="44"/>
        </w:numPr>
        <w:jc w:val="both"/>
        <w:rPr>
          <w:sz w:val="20"/>
        </w:rPr>
      </w:pPr>
      <w:r w:rsidRPr="00EC1D9B">
        <w:rPr>
          <w:sz w:val="20"/>
        </w:rPr>
        <w:t>Level of conservatism  (LEC)</w:t>
      </w:r>
    </w:p>
    <w:p w14:paraId="30E90EF4" w14:textId="77777777" w:rsidR="00316BFB" w:rsidRPr="00EC1D9B" w:rsidRDefault="00316BFB" w:rsidP="00F90D44">
      <w:pPr>
        <w:pStyle w:val="ListParagraph"/>
        <w:numPr>
          <w:ilvl w:val="1"/>
          <w:numId w:val="44"/>
        </w:numPr>
        <w:jc w:val="both"/>
        <w:rPr>
          <w:sz w:val="20"/>
        </w:rPr>
      </w:pPr>
      <w:r w:rsidRPr="00EC1D9B">
        <w:rPr>
          <w:sz w:val="20"/>
        </w:rPr>
        <w:lastRenderedPageBreak/>
        <w:t>Safety margin acceptability (SM)</w:t>
      </w:r>
    </w:p>
    <w:p w14:paraId="77EF6D38" w14:textId="77777777" w:rsidR="00316BFB" w:rsidRPr="00EC1D9B" w:rsidRDefault="00316BFB" w:rsidP="00F90D44">
      <w:pPr>
        <w:pStyle w:val="ListParagraph"/>
        <w:numPr>
          <w:ilvl w:val="1"/>
          <w:numId w:val="44"/>
        </w:numPr>
        <w:jc w:val="both"/>
        <w:rPr>
          <w:sz w:val="20"/>
        </w:rPr>
      </w:pPr>
      <w:r w:rsidRPr="00EC1D9B">
        <w:rPr>
          <w:sz w:val="20"/>
        </w:rPr>
        <w:t>Defence in depth Acceptance criteria for levels and in general (DiDA)</w:t>
      </w:r>
    </w:p>
    <w:p w14:paraId="373E0198" w14:textId="77777777" w:rsidR="00316BFB" w:rsidRPr="00EC1D9B" w:rsidRDefault="00316BFB" w:rsidP="00F90D44">
      <w:pPr>
        <w:pStyle w:val="ListParagraph"/>
        <w:numPr>
          <w:ilvl w:val="1"/>
          <w:numId w:val="44"/>
        </w:numPr>
        <w:jc w:val="both"/>
        <w:rPr>
          <w:sz w:val="20"/>
        </w:rPr>
      </w:pPr>
      <w:r w:rsidRPr="00EC1D9B">
        <w:rPr>
          <w:sz w:val="20"/>
        </w:rPr>
        <w:t>Defence in depth - Independence of levels(DiDI) and Cliff Edge Effects (CEE) confirmed by specialized methods as for instance probabilistic Risk Assessment (PRA)</w:t>
      </w:r>
    </w:p>
    <w:p w14:paraId="60CFEE9F" w14:textId="21BCF906" w:rsidR="00316BFB" w:rsidRPr="00EC1D9B" w:rsidRDefault="00316BFB" w:rsidP="00F90D44">
      <w:pPr>
        <w:pStyle w:val="ListParagraph"/>
        <w:numPr>
          <w:ilvl w:val="0"/>
          <w:numId w:val="41"/>
        </w:numPr>
        <w:jc w:val="both"/>
        <w:rPr>
          <w:sz w:val="20"/>
        </w:rPr>
      </w:pPr>
      <w:r w:rsidRPr="00EC1D9B">
        <w:rPr>
          <w:sz w:val="20"/>
        </w:rPr>
        <w:t xml:space="preserve">Criteria defined in expert opinion approach by comparison </w:t>
      </w:r>
      <w:r w:rsidR="009A27C0">
        <w:rPr>
          <w:sz w:val="20"/>
        </w:rPr>
        <w:t>on nuclear projects with indirect impact on the plant safety, as for instance:</w:t>
      </w:r>
    </w:p>
    <w:p w14:paraId="240231C4" w14:textId="27758F24" w:rsidR="00316BFB" w:rsidRPr="00EC1D9B" w:rsidRDefault="00316BFB" w:rsidP="00F90D44">
      <w:pPr>
        <w:pStyle w:val="ListParagraph"/>
        <w:numPr>
          <w:ilvl w:val="1"/>
          <w:numId w:val="41"/>
        </w:numPr>
        <w:jc w:val="both"/>
        <w:rPr>
          <w:sz w:val="20"/>
        </w:rPr>
      </w:pPr>
      <w:r w:rsidRPr="00EC1D9B">
        <w:rPr>
          <w:sz w:val="20"/>
        </w:rPr>
        <w:t xml:space="preserve">Impact of generation / technology phase </w:t>
      </w:r>
      <w:r w:rsidR="009A27C0">
        <w:rPr>
          <w:sz w:val="20"/>
        </w:rPr>
        <w:t>and h</w:t>
      </w:r>
      <w:r w:rsidRPr="00EC1D9B">
        <w:rPr>
          <w:sz w:val="20"/>
        </w:rPr>
        <w:t xml:space="preserve">uman factors </w:t>
      </w:r>
      <w:r w:rsidR="009A27C0">
        <w:rPr>
          <w:sz w:val="20"/>
        </w:rPr>
        <w:t>(</w:t>
      </w:r>
      <w:r>
        <w:rPr>
          <w:sz w:val="20"/>
        </w:rPr>
        <w:t>CGEN)</w:t>
      </w:r>
    </w:p>
    <w:p w14:paraId="033BE42E" w14:textId="77777777" w:rsidR="00316BFB" w:rsidRPr="00EC1D9B" w:rsidRDefault="00316BFB" w:rsidP="00F90D44">
      <w:pPr>
        <w:pStyle w:val="ListParagraph"/>
        <w:numPr>
          <w:ilvl w:val="1"/>
          <w:numId w:val="41"/>
        </w:numPr>
        <w:jc w:val="both"/>
        <w:rPr>
          <w:sz w:val="20"/>
        </w:rPr>
      </w:pPr>
      <w:r w:rsidRPr="00EC1D9B">
        <w:rPr>
          <w:sz w:val="20"/>
        </w:rPr>
        <w:t xml:space="preserve">Impact of site selection predefined criteria </w:t>
      </w:r>
      <w:r>
        <w:rPr>
          <w:sz w:val="20"/>
        </w:rPr>
        <w:t>(CSIT)</w:t>
      </w:r>
    </w:p>
    <w:p w14:paraId="2BAD6020" w14:textId="2A97321C" w:rsidR="00316BFB" w:rsidRDefault="00316BFB" w:rsidP="00F90D44">
      <w:pPr>
        <w:pStyle w:val="ListParagraph"/>
        <w:numPr>
          <w:ilvl w:val="1"/>
          <w:numId w:val="41"/>
        </w:numPr>
        <w:jc w:val="both"/>
        <w:rPr>
          <w:sz w:val="20"/>
        </w:rPr>
      </w:pPr>
      <w:r w:rsidRPr="00EC1D9B">
        <w:rPr>
          <w:sz w:val="20"/>
        </w:rPr>
        <w:t xml:space="preserve">Emergency Plan and mitigating actions </w:t>
      </w:r>
      <w:r>
        <w:rPr>
          <w:sz w:val="20"/>
        </w:rPr>
        <w:t>(CEP)</w:t>
      </w:r>
    </w:p>
    <w:p w14:paraId="354D73EF" w14:textId="09632D0E" w:rsidR="00316BFB" w:rsidRPr="00EC1D9B" w:rsidRDefault="00316BFB" w:rsidP="00F90D44">
      <w:pPr>
        <w:pStyle w:val="ListParagraph"/>
        <w:numPr>
          <w:ilvl w:val="0"/>
          <w:numId w:val="41"/>
        </w:numPr>
        <w:jc w:val="both"/>
        <w:rPr>
          <w:sz w:val="20"/>
        </w:rPr>
      </w:pPr>
      <w:r w:rsidRPr="00EC1D9B">
        <w:rPr>
          <w:sz w:val="20"/>
        </w:rPr>
        <w:t xml:space="preserve">Criteria defined in expert opinion approach </w:t>
      </w:r>
      <w:r w:rsidR="00BF1269">
        <w:rPr>
          <w:sz w:val="20"/>
        </w:rPr>
        <w:t>for the elements of the fuel cycle with impact on operational safety (type of fuel used of the existing features of reprocessing or storage or any other synergy with other fuel cycles:</w:t>
      </w:r>
    </w:p>
    <w:p w14:paraId="77656D2A" w14:textId="77777777" w:rsidR="00316BFB" w:rsidRPr="00EC1D9B" w:rsidRDefault="00316BFB" w:rsidP="00F90D44">
      <w:pPr>
        <w:pStyle w:val="ListParagraph"/>
        <w:numPr>
          <w:ilvl w:val="1"/>
          <w:numId w:val="41"/>
        </w:numPr>
        <w:jc w:val="both"/>
        <w:rPr>
          <w:sz w:val="20"/>
        </w:rPr>
      </w:pPr>
      <w:r w:rsidRPr="00EC1D9B">
        <w:rPr>
          <w:sz w:val="20"/>
        </w:rPr>
        <w:t>Front end fuel cycle</w:t>
      </w:r>
      <w:r>
        <w:rPr>
          <w:sz w:val="20"/>
        </w:rPr>
        <w:t xml:space="preserve"> (FEFC)</w:t>
      </w:r>
    </w:p>
    <w:p w14:paraId="0919E031" w14:textId="60E417BF" w:rsidR="00316BFB" w:rsidRPr="00EC1D9B" w:rsidRDefault="00FC00A9" w:rsidP="00F90D44">
      <w:pPr>
        <w:pStyle w:val="ListParagraph"/>
        <w:numPr>
          <w:ilvl w:val="1"/>
          <w:numId w:val="41"/>
        </w:numPr>
        <w:jc w:val="both"/>
        <w:rPr>
          <w:sz w:val="20"/>
        </w:rPr>
      </w:pPr>
      <w:r w:rsidRPr="00EC1D9B">
        <w:rPr>
          <w:sz w:val="20"/>
        </w:rPr>
        <w:t>Back-end</w:t>
      </w:r>
      <w:r w:rsidR="00316BFB" w:rsidRPr="00EC1D9B">
        <w:rPr>
          <w:sz w:val="20"/>
        </w:rPr>
        <w:t xml:space="preserve"> fuel cycle</w:t>
      </w:r>
      <w:r w:rsidR="00316BFB">
        <w:rPr>
          <w:sz w:val="20"/>
        </w:rPr>
        <w:t xml:space="preserve"> (BEFC)</w:t>
      </w:r>
    </w:p>
    <w:p w14:paraId="66D0C5F1" w14:textId="4CB8A267" w:rsidR="00BF1269" w:rsidRPr="00BF1269" w:rsidRDefault="00316BFB" w:rsidP="009A27C0">
      <w:pPr>
        <w:ind w:firstLine="567"/>
        <w:jc w:val="both"/>
        <w:rPr>
          <w:sz w:val="20"/>
        </w:rPr>
      </w:pPr>
      <w:r w:rsidRPr="009A27C0">
        <w:rPr>
          <w:sz w:val="20"/>
        </w:rPr>
        <w:t>A global aggregate criterion is considering all the criteria (CR TOT) as a guidance of the ranking in first iteration</w:t>
      </w:r>
      <w:r w:rsidR="00BF1269" w:rsidRPr="009A27C0">
        <w:rPr>
          <w:sz w:val="20"/>
        </w:rPr>
        <w:t xml:space="preserve"> </w:t>
      </w:r>
      <w:r w:rsidR="00BF1269" w:rsidRPr="009A27C0">
        <w:rPr>
          <w:sz w:val="20"/>
        </w:rPr>
        <w:t xml:space="preserve">cycles in the context of </w:t>
      </w:r>
      <w:r w:rsidR="00BF1269" w:rsidRPr="009A27C0">
        <w:rPr>
          <w:sz w:val="20"/>
        </w:rPr>
        <w:t xml:space="preserve">evaluating safety levels from the phase of </w:t>
      </w:r>
      <w:r w:rsidR="00BF1269" w:rsidRPr="009A27C0">
        <w:rPr>
          <w:sz w:val="20"/>
        </w:rPr>
        <w:t xml:space="preserve">developing the plant concept </w:t>
      </w:r>
      <w:r w:rsidR="00BF1269" w:rsidRPr="009A27C0">
        <w:rPr>
          <w:sz w:val="20"/>
        </w:rPr>
        <w:t>(re</w:t>
      </w:r>
      <w:r w:rsidR="00BF1269" w:rsidRPr="009A27C0">
        <w:rPr>
          <w:sz w:val="20"/>
        </w:rPr>
        <w:t>search and development phase to the First of a Kind (FOAK) phase and commercial  phase (as represented in Table 1)</w:t>
      </w:r>
      <w:r w:rsidR="009A27C0">
        <w:rPr>
          <w:sz w:val="20"/>
        </w:rPr>
        <w:t xml:space="preserve">, For the three phases mentioned before a set of evaluation for the W, G and M plants were performed and are illustrated in Figure 2 (W1,2,3, G1,2,3, M1,2,3). </w:t>
      </w:r>
    </w:p>
    <w:p w14:paraId="4D36377F" w14:textId="72469E57" w:rsidR="00316BFB" w:rsidRPr="00857C07" w:rsidRDefault="00316BFB" w:rsidP="00316BFB">
      <w:pPr>
        <w:ind w:left="567"/>
        <w:contextualSpacing/>
        <w:rPr>
          <w:sz w:val="20"/>
        </w:rPr>
      </w:pPr>
    </w:p>
    <w:p w14:paraId="597E8439" w14:textId="04CA2267" w:rsidR="008437BD" w:rsidRPr="008437BD" w:rsidRDefault="000E703F" w:rsidP="008437BD">
      <w:pPr>
        <w:pStyle w:val="Caption"/>
        <w:keepNext/>
        <w:jc w:val="center"/>
        <w:rPr>
          <w:i/>
          <w:iCs/>
        </w:rPr>
      </w:pPr>
      <w:r w:rsidRPr="008E49F0">
        <w:t>TABLE 1. SAFETY ASPECTS OF IMPORTANCE FOR NEW NPPS OF SMR TYPE</w:t>
      </w:r>
    </w:p>
    <w:tbl>
      <w:tblPr>
        <w:tblW w:w="8900" w:type="dxa"/>
        <w:tblLook w:val="04A0" w:firstRow="1" w:lastRow="0" w:firstColumn="1" w:lastColumn="0" w:noHBand="0" w:noVBand="1"/>
      </w:tblPr>
      <w:tblGrid>
        <w:gridCol w:w="975"/>
        <w:gridCol w:w="3393"/>
        <w:gridCol w:w="537"/>
        <w:gridCol w:w="520"/>
        <w:gridCol w:w="637"/>
        <w:gridCol w:w="447"/>
        <w:gridCol w:w="445"/>
        <w:gridCol w:w="506"/>
        <w:gridCol w:w="467"/>
        <w:gridCol w:w="467"/>
        <w:gridCol w:w="506"/>
      </w:tblGrid>
      <w:tr w:rsidR="008437BD" w:rsidRPr="00920DF8" w14:paraId="55E1AE5E" w14:textId="77777777" w:rsidTr="008437BD">
        <w:trPr>
          <w:trHeight w:val="1080"/>
        </w:trPr>
        <w:tc>
          <w:tcPr>
            <w:tcW w:w="975" w:type="dxa"/>
            <w:vMerge w:val="restart"/>
            <w:tcBorders>
              <w:top w:val="single" w:sz="4" w:space="0" w:color="auto"/>
              <w:left w:val="nil"/>
              <w:bottom w:val="single" w:sz="4" w:space="0" w:color="000000"/>
              <w:right w:val="nil"/>
            </w:tcBorders>
            <w:shd w:val="clear" w:color="auto" w:fill="auto"/>
            <w:vAlign w:val="center"/>
            <w:hideMark/>
          </w:tcPr>
          <w:p w14:paraId="3317C307" w14:textId="77777777" w:rsidR="008437BD" w:rsidRPr="00920DF8" w:rsidRDefault="008437BD" w:rsidP="006C391F">
            <w:pPr>
              <w:jc w:val="center"/>
              <w:rPr>
                <w:color w:val="000000"/>
                <w:sz w:val="20"/>
              </w:rPr>
            </w:pPr>
            <w:r w:rsidRPr="00920DF8">
              <w:rPr>
                <w:color w:val="000000"/>
                <w:sz w:val="20"/>
              </w:rPr>
              <w:t>Criteria to evaluate results</w:t>
            </w:r>
          </w:p>
        </w:tc>
        <w:tc>
          <w:tcPr>
            <w:tcW w:w="3393" w:type="dxa"/>
            <w:vMerge w:val="restart"/>
            <w:tcBorders>
              <w:top w:val="single" w:sz="4" w:space="0" w:color="auto"/>
              <w:left w:val="nil"/>
              <w:bottom w:val="single" w:sz="4" w:space="0" w:color="000000"/>
              <w:right w:val="nil"/>
            </w:tcBorders>
            <w:shd w:val="clear" w:color="auto" w:fill="auto"/>
            <w:vAlign w:val="center"/>
            <w:hideMark/>
          </w:tcPr>
          <w:p w14:paraId="31A1ADA6" w14:textId="77777777" w:rsidR="008437BD" w:rsidRPr="00920DF8" w:rsidRDefault="008437BD" w:rsidP="006C391F">
            <w:pPr>
              <w:jc w:val="center"/>
              <w:rPr>
                <w:color w:val="000000"/>
                <w:sz w:val="20"/>
              </w:rPr>
            </w:pPr>
            <w:r w:rsidRPr="00920DF8">
              <w:rPr>
                <w:color w:val="000000"/>
                <w:sz w:val="20"/>
              </w:rPr>
              <w:t>Description</w:t>
            </w:r>
          </w:p>
        </w:tc>
        <w:tc>
          <w:tcPr>
            <w:tcW w:w="1694" w:type="dxa"/>
            <w:gridSpan w:val="3"/>
            <w:tcBorders>
              <w:top w:val="single" w:sz="4" w:space="0" w:color="auto"/>
              <w:left w:val="nil"/>
              <w:bottom w:val="single" w:sz="4" w:space="0" w:color="auto"/>
              <w:right w:val="nil"/>
            </w:tcBorders>
            <w:shd w:val="clear" w:color="auto" w:fill="auto"/>
            <w:vAlign w:val="center"/>
            <w:hideMark/>
          </w:tcPr>
          <w:p w14:paraId="228F856F" w14:textId="77777777" w:rsidR="008437BD" w:rsidRPr="00920DF8" w:rsidRDefault="008437BD" w:rsidP="006C391F">
            <w:pPr>
              <w:jc w:val="center"/>
              <w:rPr>
                <w:color w:val="000000"/>
                <w:sz w:val="20"/>
              </w:rPr>
            </w:pPr>
            <w:r w:rsidRPr="00920DF8">
              <w:rPr>
                <w:color w:val="000000"/>
                <w:sz w:val="20"/>
              </w:rPr>
              <w:t>PERIOD I   RESEARCH &amp; DEVELOPMENT</w:t>
            </w:r>
          </w:p>
        </w:tc>
        <w:tc>
          <w:tcPr>
            <w:tcW w:w="1398" w:type="dxa"/>
            <w:gridSpan w:val="3"/>
            <w:tcBorders>
              <w:top w:val="single" w:sz="4" w:space="0" w:color="auto"/>
              <w:left w:val="nil"/>
              <w:bottom w:val="single" w:sz="4" w:space="0" w:color="auto"/>
              <w:right w:val="nil"/>
            </w:tcBorders>
            <w:shd w:val="clear" w:color="auto" w:fill="auto"/>
            <w:vAlign w:val="center"/>
            <w:hideMark/>
          </w:tcPr>
          <w:p w14:paraId="76FEBBC7" w14:textId="77777777" w:rsidR="008437BD" w:rsidRPr="00920DF8" w:rsidRDefault="008437BD" w:rsidP="006C391F">
            <w:pPr>
              <w:jc w:val="center"/>
              <w:rPr>
                <w:color w:val="000000"/>
                <w:sz w:val="20"/>
              </w:rPr>
            </w:pPr>
            <w:r w:rsidRPr="00920DF8">
              <w:rPr>
                <w:color w:val="000000"/>
                <w:sz w:val="20"/>
              </w:rPr>
              <w:t>PERIOD II        FIRST OF A KIND (FOAK)</w:t>
            </w:r>
          </w:p>
        </w:tc>
        <w:tc>
          <w:tcPr>
            <w:tcW w:w="1440" w:type="dxa"/>
            <w:gridSpan w:val="3"/>
            <w:tcBorders>
              <w:top w:val="single" w:sz="4" w:space="0" w:color="auto"/>
              <w:left w:val="nil"/>
              <w:bottom w:val="single" w:sz="4" w:space="0" w:color="auto"/>
              <w:right w:val="nil"/>
            </w:tcBorders>
            <w:shd w:val="clear" w:color="auto" w:fill="auto"/>
            <w:vAlign w:val="center"/>
            <w:hideMark/>
          </w:tcPr>
          <w:p w14:paraId="2576B3EF" w14:textId="77777777" w:rsidR="008437BD" w:rsidRPr="00920DF8" w:rsidRDefault="008437BD" w:rsidP="006C391F">
            <w:pPr>
              <w:jc w:val="center"/>
              <w:rPr>
                <w:color w:val="000000"/>
                <w:sz w:val="20"/>
              </w:rPr>
            </w:pPr>
            <w:r w:rsidRPr="00920DF8">
              <w:rPr>
                <w:color w:val="000000"/>
                <w:sz w:val="20"/>
              </w:rPr>
              <w:t>PERIOD III OPERATION</w:t>
            </w:r>
          </w:p>
        </w:tc>
      </w:tr>
      <w:tr w:rsidR="004F2E8D" w:rsidRPr="00920DF8" w14:paraId="24F2AD9B" w14:textId="77777777" w:rsidTr="008437BD">
        <w:trPr>
          <w:trHeight w:val="630"/>
        </w:trPr>
        <w:tc>
          <w:tcPr>
            <w:tcW w:w="975" w:type="dxa"/>
            <w:vMerge/>
            <w:tcBorders>
              <w:top w:val="single" w:sz="4" w:space="0" w:color="auto"/>
              <w:left w:val="nil"/>
              <w:bottom w:val="single" w:sz="4" w:space="0" w:color="000000"/>
              <w:right w:val="nil"/>
            </w:tcBorders>
            <w:vAlign w:val="center"/>
            <w:hideMark/>
          </w:tcPr>
          <w:p w14:paraId="4DEB1E1F" w14:textId="77777777" w:rsidR="008437BD" w:rsidRPr="00920DF8" w:rsidRDefault="008437BD" w:rsidP="006C391F">
            <w:pPr>
              <w:rPr>
                <w:color w:val="000000"/>
                <w:sz w:val="20"/>
              </w:rPr>
            </w:pPr>
          </w:p>
        </w:tc>
        <w:tc>
          <w:tcPr>
            <w:tcW w:w="3393" w:type="dxa"/>
            <w:vMerge/>
            <w:tcBorders>
              <w:top w:val="single" w:sz="4" w:space="0" w:color="auto"/>
              <w:left w:val="nil"/>
              <w:bottom w:val="single" w:sz="4" w:space="0" w:color="000000"/>
              <w:right w:val="nil"/>
            </w:tcBorders>
            <w:vAlign w:val="center"/>
            <w:hideMark/>
          </w:tcPr>
          <w:p w14:paraId="4FEF5A29" w14:textId="77777777" w:rsidR="008437BD" w:rsidRPr="00920DF8" w:rsidRDefault="008437BD" w:rsidP="006C391F">
            <w:pPr>
              <w:rPr>
                <w:color w:val="000000"/>
                <w:sz w:val="20"/>
              </w:rPr>
            </w:pPr>
          </w:p>
        </w:tc>
        <w:tc>
          <w:tcPr>
            <w:tcW w:w="537" w:type="dxa"/>
            <w:tcBorders>
              <w:top w:val="nil"/>
              <w:left w:val="nil"/>
              <w:bottom w:val="single" w:sz="4" w:space="0" w:color="auto"/>
              <w:right w:val="nil"/>
            </w:tcBorders>
            <w:shd w:val="clear" w:color="auto" w:fill="auto"/>
            <w:vAlign w:val="center"/>
            <w:hideMark/>
          </w:tcPr>
          <w:p w14:paraId="2C62BB00" w14:textId="77777777" w:rsidR="008437BD" w:rsidRPr="00920DF8" w:rsidRDefault="008437BD" w:rsidP="006C391F">
            <w:pPr>
              <w:jc w:val="center"/>
              <w:rPr>
                <w:color w:val="000000"/>
                <w:sz w:val="20"/>
              </w:rPr>
            </w:pPr>
            <w:r w:rsidRPr="00920DF8">
              <w:rPr>
                <w:color w:val="000000"/>
                <w:sz w:val="20"/>
              </w:rPr>
              <w:t>W</w:t>
            </w:r>
          </w:p>
        </w:tc>
        <w:tc>
          <w:tcPr>
            <w:tcW w:w="520" w:type="dxa"/>
            <w:tcBorders>
              <w:top w:val="nil"/>
              <w:left w:val="nil"/>
              <w:bottom w:val="single" w:sz="4" w:space="0" w:color="auto"/>
              <w:right w:val="nil"/>
            </w:tcBorders>
            <w:shd w:val="clear" w:color="auto" w:fill="auto"/>
            <w:vAlign w:val="center"/>
            <w:hideMark/>
          </w:tcPr>
          <w:p w14:paraId="62ACBC40" w14:textId="77777777" w:rsidR="008437BD" w:rsidRPr="00920DF8" w:rsidRDefault="008437BD" w:rsidP="006C391F">
            <w:pPr>
              <w:jc w:val="center"/>
              <w:rPr>
                <w:color w:val="000000"/>
                <w:sz w:val="20"/>
              </w:rPr>
            </w:pPr>
            <w:r w:rsidRPr="00920DF8">
              <w:rPr>
                <w:color w:val="000000"/>
                <w:sz w:val="20"/>
              </w:rPr>
              <w:t>G</w:t>
            </w:r>
          </w:p>
        </w:tc>
        <w:tc>
          <w:tcPr>
            <w:tcW w:w="637" w:type="dxa"/>
            <w:tcBorders>
              <w:top w:val="nil"/>
              <w:left w:val="nil"/>
              <w:bottom w:val="single" w:sz="4" w:space="0" w:color="auto"/>
              <w:right w:val="nil"/>
            </w:tcBorders>
            <w:shd w:val="clear" w:color="auto" w:fill="auto"/>
            <w:vAlign w:val="center"/>
            <w:hideMark/>
          </w:tcPr>
          <w:p w14:paraId="17BEC782" w14:textId="6F2B5330" w:rsidR="008437BD" w:rsidRPr="00920DF8" w:rsidRDefault="008437BD" w:rsidP="006C391F">
            <w:pPr>
              <w:jc w:val="center"/>
              <w:rPr>
                <w:color w:val="000000"/>
                <w:sz w:val="20"/>
              </w:rPr>
            </w:pPr>
            <w:r w:rsidRPr="00920DF8">
              <w:rPr>
                <w:color w:val="000000"/>
                <w:sz w:val="20"/>
              </w:rPr>
              <w:t>M</w:t>
            </w:r>
          </w:p>
        </w:tc>
        <w:tc>
          <w:tcPr>
            <w:tcW w:w="447" w:type="dxa"/>
            <w:tcBorders>
              <w:top w:val="nil"/>
              <w:left w:val="nil"/>
              <w:bottom w:val="single" w:sz="4" w:space="0" w:color="auto"/>
              <w:right w:val="nil"/>
            </w:tcBorders>
            <w:shd w:val="clear" w:color="auto" w:fill="auto"/>
            <w:vAlign w:val="center"/>
            <w:hideMark/>
          </w:tcPr>
          <w:p w14:paraId="0CF87B0E" w14:textId="77777777" w:rsidR="008437BD" w:rsidRPr="00920DF8" w:rsidRDefault="008437BD" w:rsidP="006C391F">
            <w:pPr>
              <w:jc w:val="center"/>
              <w:rPr>
                <w:color w:val="000000"/>
                <w:sz w:val="20"/>
              </w:rPr>
            </w:pPr>
            <w:r w:rsidRPr="00920DF8">
              <w:rPr>
                <w:color w:val="000000"/>
                <w:sz w:val="20"/>
              </w:rPr>
              <w:t>W</w:t>
            </w:r>
          </w:p>
        </w:tc>
        <w:tc>
          <w:tcPr>
            <w:tcW w:w="445" w:type="dxa"/>
            <w:tcBorders>
              <w:top w:val="nil"/>
              <w:left w:val="nil"/>
              <w:bottom w:val="single" w:sz="4" w:space="0" w:color="auto"/>
              <w:right w:val="nil"/>
            </w:tcBorders>
            <w:shd w:val="clear" w:color="auto" w:fill="auto"/>
            <w:vAlign w:val="center"/>
            <w:hideMark/>
          </w:tcPr>
          <w:p w14:paraId="33957DBC" w14:textId="77777777" w:rsidR="008437BD" w:rsidRPr="00920DF8" w:rsidRDefault="008437BD" w:rsidP="006C391F">
            <w:pPr>
              <w:jc w:val="center"/>
              <w:rPr>
                <w:color w:val="000000"/>
                <w:sz w:val="20"/>
              </w:rPr>
            </w:pPr>
            <w:r w:rsidRPr="00920DF8">
              <w:rPr>
                <w:color w:val="000000"/>
                <w:sz w:val="20"/>
              </w:rPr>
              <w:t>G</w:t>
            </w:r>
          </w:p>
        </w:tc>
        <w:tc>
          <w:tcPr>
            <w:tcW w:w="506" w:type="dxa"/>
            <w:tcBorders>
              <w:top w:val="nil"/>
              <w:left w:val="nil"/>
              <w:bottom w:val="single" w:sz="4" w:space="0" w:color="auto"/>
              <w:right w:val="nil"/>
            </w:tcBorders>
            <w:shd w:val="clear" w:color="auto" w:fill="auto"/>
            <w:vAlign w:val="center"/>
            <w:hideMark/>
          </w:tcPr>
          <w:p w14:paraId="0905713D" w14:textId="6C234109" w:rsidR="008437BD" w:rsidRPr="00920DF8" w:rsidRDefault="008437BD" w:rsidP="006C391F">
            <w:pPr>
              <w:jc w:val="center"/>
              <w:rPr>
                <w:color w:val="000000"/>
                <w:sz w:val="20"/>
              </w:rPr>
            </w:pPr>
            <w:r w:rsidRPr="00920DF8">
              <w:rPr>
                <w:color w:val="000000"/>
                <w:sz w:val="20"/>
              </w:rPr>
              <w:t>M</w:t>
            </w:r>
          </w:p>
        </w:tc>
        <w:tc>
          <w:tcPr>
            <w:tcW w:w="467" w:type="dxa"/>
            <w:tcBorders>
              <w:top w:val="nil"/>
              <w:left w:val="nil"/>
              <w:bottom w:val="single" w:sz="4" w:space="0" w:color="auto"/>
              <w:right w:val="nil"/>
            </w:tcBorders>
            <w:shd w:val="clear" w:color="auto" w:fill="auto"/>
            <w:vAlign w:val="center"/>
            <w:hideMark/>
          </w:tcPr>
          <w:p w14:paraId="30D5DFC4" w14:textId="77777777" w:rsidR="008437BD" w:rsidRPr="00920DF8" w:rsidRDefault="008437BD" w:rsidP="006C391F">
            <w:pPr>
              <w:jc w:val="center"/>
              <w:rPr>
                <w:color w:val="000000"/>
                <w:sz w:val="20"/>
              </w:rPr>
            </w:pPr>
            <w:r w:rsidRPr="00920DF8">
              <w:rPr>
                <w:color w:val="000000"/>
                <w:sz w:val="20"/>
              </w:rPr>
              <w:t>W</w:t>
            </w:r>
          </w:p>
        </w:tc>
        <w:tc>
          <w:tcPr>
            <w:tcW w:w="467" w:type="dxa"/>
            <w:tcBorders>
              <w:top w:val="nil"/>
              <w:left w:val="nil"/>
              <w:bottom w:val="single" w:sz="4" w:space="0" w:color="auto"/>
              <w:right w:val="nil"/>
            </w:tcBorders>
            <w:shd w:val="clear" w:color="auto" w:fill="auto"/>
            <w:vAlign w:val="center"/>
            <w:hideMark/>
          </w:tcPr>
          <w:p w14:paraId="17F63B4C" w14:textId="77777777" w:rsidR="008437BD" w:rsidRPr="00920DF8" w:rsidRDefault="008437BD" w:rsidP="006C391F">
            <w:pPr>
              <w:jc w:val="center"/>
              <w:rPr>
                <w:color w:val="000000"/>
                <w:sz w:val="20"/>
              </w:rPr>
            </w:pPr>
            <w:r w:rsidRPr="00920DF8">
              <w:rPr>
                <w:color w:val="000000"/>
                <w:sz w:val="20"/>
              </w:rPr>
              <w:t>G</w:t>
            </w:r>
          </w:p>
        </w:tc>
        <w:tc>
          <w:tcPr>
            <w:tcW w:w="506" w:type="dxa"/>
            <w:tcBorders>
              <w:top w:val="nil"/>
              <w:left w:val="nil"/>
              <w:bottom w:val="single" w:sz="4" w:space="0" w:color="auto"/>
              <w:right w:val="nil"/>
            </w:tcBorders>
            <w:shd w:val="clear" w:color="auto" w:fill="auto"/>
            <w:vAlign w:val="center"/>
            <w:hideMark/>
          </w:tcPr>
          <w:p w14:paraId="5C4D84F6" w14:textId="1F82E5FD" w:rsidR="008437BD" w:rsidRPr="00920DF8" w:rsidRDefault="008437BD" w:rsidP="006C391F">
            <w:pPr>
              <w:jc w:val="center"/>
              <w:rPr>
                <w:color w:val="000000"/>
                <w:sz w:val="20"/>
              </w:rPr>
            </w:pPr>
            <w:r w:rsidRPr="00920DF8">
              <w:rPr>
                <w:color w:val="000000"/>
                <w:sz w:val="20"/>
              </w:rPr>
              <w:t>M</w:t>
            </w:r>
          </w:p>
        </w:tc>
      </w:tr>
      <w:tr w:rsidR="004F2E8D" w:rsidRPr="00920DF8" w14:paraId="7B852DCD" w14:textId="77777777" w:rsidTr="008437BD">
        <w:trPr>
          <w:trHeight w:val="390"/>
        </w:trPr>
        <w:tc>
          <w:tcPr>
            <w:tcW w:w="975" w:type="dxa"/>
            <w:tcBorders>
              <w:top w:val="nil"/>
              <w:left w:val="nil"/>
              <w:bottom w:val="single" w:sz="4" w:space="0" w:color="auto"/>
              <w:right w:val="nil"/>
            </w:tcBorders>
            <w:shd w:val="clear" w:color="auto" w:fill="auto"/>
            <w:vAlign w:val="center"/>
            <w:hideMark/>
          </w:tcPr>
          <w:p w14:paraId="0CFADDCA" w14:textId="77777777" w:rsidR="008437BD" w:rsidRPr="00920DF8" w:rsidRDefault="008437BD" w:rsidP="006C391F">
            <w:pPr>
              <w:jc w:val="center"/>
              <w:rPr>
                <w:color w:val="000000"/>
                <w:sz w:val="20"/>
              </w:rPr>
            </w:pPr>
            <w:r w:rsidRPr="00920DF8">
              <w:rPr>
                <w:color w:val="000000"/>
                <w:sz w:val="20"/>
              </w:rPr>
              <w:t>CRU</w:t>
            </w:r>
          </w:p>
        </w:tc>
        <w:tc>
          <w:tcPr>
            <w:tcW w:w="3393" w:type="dxa"/>
            <w:tcBorders>
              <w:top w:val="nil"/>
              <w:left w:val="nil"/>
              <w:bottom w:val="single" w:sz="4" w:space="0" w:color="auto"/>
              <w:right w:val="nil"/>
            </w:tcBorders>
            <w:shd w:val="clear" w:color="auto" w:fill="auto"/>
            <w:vAlign w:val="center"/>
            <w:hideMark/>
          </w:tcPr>
          <w:p w14:paraId="0F1B56FE" w14:textId="77777777" w:rsidR="008437BD" w:rsidRPr="00920DF8" w:rsidRDefault="008437BD" w:rsidP="006C391F">
            <w:pPr>
              <w:jc w:val="both"/>
              <w:rPr>
                <w:color w:val="000000"/>
                <w:sz w:val="20"/>
              </w:rPr>
            </w:pPr>
            <w:r w:rsidRPr="00920DF8">
              <w:rPr>
                <w:color w:val="000000"/>
                <w:sz w:val="20"/>
              </w:rPr>
              <w:t>Credibility of uncertainties</w:t>
            </w:r>
          </w:p>
        </w:tc>
        <w:tc>
          <w:tcPr>
            <w:tcW w:w="537" w:type="dxa"/>
            <w:tcBorders>
              <w:top w:val="nil"/>
              <w:left w:val="nil"/>
              <w:bottom w:val="single" w:sz="4" w:space="0" w:color="auto"/>
              <w:right w:val="nil"/>
            </w:tcBorders>
            <w:shd w:val="clear" w:color="auto" w:fill="auto"/>
            <w:vAlign w:val="center"/>
            <w:hideMark/>
          </w:tcPr>
          <w:p w14:paraId="26E50220"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3A8F53C7"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278DBE14" w14:textId="77777777" w:rsidR="008437BD" w:rsidRPr="00920DF8" w:rsidRDefault="008437BD" w:rsidP="006C391F">
            <w:pPr>
              <w:jc w:val="center"/>
              <w:rPr>
                <w:color w:val="000000"/>
                <w:sz w:val="20"/>
              </w:rPr>
            </w:pPr>
            <w:r w:rsidRPr="004F2E8D">
              <w:rPr>
                <w:color w:val="000000"/>
                <w:sz w:val="20"/>
              </w:rPr>
              <w:t>M</w:t>
            </w:r>
          </w:p>
        </w:tc>
        <w:tc>
          <w:tcPr>
            <w:tcW w:w="447" w:type="dxa"/>
            <w:tcBorders>
              <w:top w:val="nil"/>
              <w:left w:val="nil"/>
              <w:bottom w:val="single" w:sz="4" w:space="0" w:color="auto"/>
              <w:right w:val="nil"/>
            </w:tcBorders>
            <w:shd w:val="clear" w:color="auto" w:fill="auto"/>
            <w:vAlign w:val="center"/>
            <w:hideMark/>
          </w:tcPr>
          <w:p w14:paraId="03C1D55E" w14:textId="77777777" w:rsidR="008437BD" w:rsidRPr="00920DF8" w:rsidRDefault="008437BD" w:rsidP="006C391F">
            <w:pPr>
              <w:jc w:val="center"/>
              <w:rPr>
                <w:color w:val="000000"/>
                <w:sz w:val="20"/>
              </w:rPr>
            </w:pPr>
            <w:r w:rsidRPr="004F2E8D">
              <w:rPr>
                <w:color w:val="000000"/>
                <w:sz w:val="20"/>
              </w:rPr>
              <w:t>M</w:t>
            </w:r>
          </w:p>
        </w:tc>
        <w:tc>
          <w:tcPr>
            <w:tcW w:w="445" w:type="dxa"/>
            <w:tcBorders>
              <w:top w:val="nil"/>
              <w:left w:val="nil"/>
              <w:bottom w:val="single" w:sz="4" w:space="0" w:color="auto"/>
              <w:right w:val="nil"/>
            </w:tcBorders>
            <w:shd w:val="clear" w:color="auto" w:fill="auto"/>
            <w:vAlign w:val="center"/>
            <w:hideMark/>
          </w:tcPr>
          <w:p w14:paraId="3E23314B"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6726E249"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59C3F4C4"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4D91F2C5"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731B5B29" w14:textId="77777777" w:rsidR="008437BD" w:rsidRPr="00920DF8" w:rsidRDefault="008437BD" w:rsidP="006C391F">
            <w:pPr>
              <w:jc w:val="center"/>
              <w:rPr>
                <w:color w:val="000000"/>
                <w:sz w:val="20"/>
              </w:rPr>
            </w:pPr>
            <w:r w:rsidRPr="004F2E8D">
              <w:rPr>
                <w:color w:val="000000"/>
                <w:sz w:val="20"/>
              </w:rPr>
              <w:t>L</w:t>
            </w:r>
          </w:p>
        </w:tc>
      </w:tr>
      <w:tr w:rsidR="004F2E8D" w:rsidRPr="00920DF8" w14:paraId="23FE8538" w14:textId="77777777" w:rsidTr="008437BD">
        <w:trPr>
          <w:trHeight w:val="390"/>
        </w:trPr>
        <w:tc>
          <w:tcPr>
            <w:tcW w:w="975" w:type="dxa"/>
            <w:tcBorders>
              <w:top w:val="nil"/>
              <w:left w:val="nil"/>
              <w:bottom w:val="single" w:sz="4" w:space="0" w:color="auto"/>
              <w:right w:val="nil"/>
            </w:tcBorders>
            <w:shd w:val="clear" w:color="auto" w:fill="auto"/>
            <w:vAlign w:val="center"/>
            <w:hideMark/>
          </w:tcPr>
          <w:p w14:paraId="3F3AFFB1" w14:textId="77777777" w:rsidR="008437BD" w:rsidRPr="00920DF8" w:rsidRDefault="008437BD" w:rsidP="006C391F">
            <w:pPr>
              <w:jc w:val="center"/>
              <w:rPr>
                <w:color w:val="000000"/>
                <w:sz w:val="20"/>
              </w:rPr>
            </w:pPr>
            <w:r w:rsidRPr="00920DF8">
              <w:rPr>
                <w:color w:val="000000"/>
                <w:sz w:val="20"/>
              </w:rPr>
              <w:t>CRC</w:t>
            </w:r>
          </w:p>
        </w:tc>
        <w:tc>
          <w:tcPr>
            <w:tcW w:w="3393" w:type="dxa"/>
            <w:tcBorders>
              <w:top w:val="nil"/>
              <w:left w:val="nil"/>
              <w:bottom w:val="single" w:sz="4" w:space="0" w:color="auto"/>
              <w:right w:val="nil"/>
            </w:tcBorders>
            <w:shd w:val="clear" w:color="auto" w:fill="auto"/>
            <w:vAlign w:val="center"/>
            <w:hideMark/>
          </w:tcPr>
          <w:p w14:paraId="55700AA2" w14:textId="77777777" w:rsidR="008437BD" w:rsidRPr="00920DF8" w:rsidRDefault="008437BD" w:rsidP="006C391F">
            <w:pPr>
              <w:jc w:val="both"/>
              <w:rPr>
                <w:color w:val="000000"/>
                <w:sz w:val="20"/>
              </w:rPr>
            </w:pPr>
            <w:r w:rsidRPr="00920DF8">
              <w:rPr>
                <w:color w:val="000000"/>
                <w:sz w:val="20"/>
              </w:rPr>
              <w:t>Credibility of the level of conservatism</w:t>
            </w:r>
          </w:p>
        </w:tc>
        <w:tc>
          <w:tcPr>
            <w:tcW w:w="537" w:type="dxa"/>
            <w:tcBorders>
              <w:top w:val="nil"/>
              <w:left w:val="nil"/>
              <w:bottom w:val="single" w:sz="4" w:space="0" w:color="auto"/>
              <w:right w:val="nil"/>
            </w:tcBorders>
            <w:shd w:val="clear" w:color="auto" w:fill="auto"/>
            <w:vAlign w:val="center"/>
            <w:hideMark/>
          </w:tcPr>
          <w:p w14:paraId="4654C0D1" w14:textId="77777777" w:rsidR="008437BD" w:rsidRPr="00920DF8" w:rsidRDefault="008437BD" w:rsidP="006C391F">
            <w:pPr>
              <w:jc w:val="center"/>
              <w:rPr>
                <w:color w:val="000000"/>
                <w:sz w:val="20"/>
              </w:rPr>
            </w:pPr>
            <w:r w:rsidRPr="004F2E8D">
              <w:rPr>
                <w:color w:val="000000"/>
                <w:sz w:val="20"/>
              </w:rPr>
              <w:t>H</w:t>
            </w:r>
          </w:p>
        </w:tc>
        <w:tc>
          <w:tcPr>
            <w:tcW w:w="520" w:type="dxa"/>
            <w:tcBorders>
              <w:top w:val="nil"/>
              <w:left w:val="nil"/>
              <w:bottom w:val="single" w:sz="4" w:space="0" w:color="auto"/>
              <w:right w:val="nil"/>
            </w:tcBorders>
            <w:shd w:val="clear" w:color="auto" w:fill="auto"/>
            <w:vAlign w:val="center"/>
            <w:hideMark/>
          </w:tcPr>
          <w:p w14:paraId="3C75F535"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144CBF95"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5F5E7BFD" w14:textId="77777777" w:rsidR="008437BD" w:rsidRPr="00920DF8" w:rsidRDefault="008437BD" w:rsidP="006C391F">
            <w:pPr>
              <w:jc w:val="center"/>
              <w:rPr>
                <w:color w:val="000000"/>
                <w:sz w:val="20"/>
              </w:rPr>
            </w:pPr>
            <w:r w:rsidRPr="004F2E8D">
              <w:rPr>
                <w:color w:val="000000"/>
                <w:sz w:val="20"/>
              </w:rPr>
              <w:t>H</w:t>
            </w:r>
          </w:p>
        </w:tc>
        <w:tc>
          <w:tcPr>
            <w:tcW w:w="445" w:type="dxa"/>
            <w:tcBorders>
              <w:top w:val="nil"/>
              <w:left w:val="nil"/>
              <w:bottom w:val="single" w:sz="4" w:space="0" w:color="auto"/>
              <w:right w:val="nil"/>
            </w:tcBorders>
            <w:shd w:val="clear" w:color="auto" w:fill="auto"/>
            <w:vAlign w:val="center"/>
            <w:hideMark/>
          </w:tcPr>
          <w:p w14:paraId="46C76FFA"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6C1FA634"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153817AC"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23F0E1DA"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6B151CCB" w14:textId="77777777" w:rsidR="008437BD" w:rsidRPr="00920DF8" w:rsidRDefault="008437BD" w:rsidP="006C391F">
            <w:pPr>
              <w:jc w:val="center"/>
              <w:rPr>
                <w:color w:val="000000"/>
                <w:sz w:val="20"/>
              </w:rPr>
            </w:pPr>
            <w:r w:rsidRPr="004F2E8D">
              <w:rPr>
                <w:color w:val="000000"/>
                <w:sz w:val="20"/>
              </w:rPr>
              <w:t>L</w:t>
            </w:r>
          </w:p>
        </w:tc>
      </w:tr>
      <w:tr w:rsidR="004F2E8D" w:rsidRPr="00920DF8" w14:paraId="4300B7F5" w14:textId="77777777" w:rsidTr="008437BD">
        <w:trPr>
          <w:trHeight w:val="345"/>
        </w:trPr>
        <w:tc>
          <w:tcPr>
            <w:tcW w:w="975" w:type="dxa"/>
            <w:tcBorders>
              <w:top w:val="nil"/>
              <w:left w:val="nil"/>
              <w:bottom w:val="single" w:sz="4" w:space="0" w:color="auto"/>
              <w:right w:val="nil"/>
            </w:tcBorders>
            <w:shd w:val="clear" w:color="auto" w:fill="auto"/>
            <w:vAlign w:val="center"/>
            <w:hideMark/>
          </w:tcPr>
          <w:p w14:paraId="7649775A" w14:textId="77777777" w:rsidR="008437BD" w:rsidRPr="00920DF8" w:rsidRDefault="008437BD" w:rsidP="006C391F">
            <w:pPr>
              <w:jc w:val="center"/>
              <w:rPr>
                <w:color w:val="000000"/>
                <w:sz w:val="20"/>
              </w:rPr>
            </w:pPr>
            <w:r w:rsidRPr="00920DF8">
              <w:rPr>
                <w:color w:val="000000"/>
                <w:sz w:val="20"/>
              </w:rPr>
              <w:t>LEC</w:t>
            </w:r>
          </w:p>
        </w:tc>
        <w:tc>
          <w:tcPr>
            <w:tcW w:w="3393" w:type="dxa"/>
            <w:tcBorders>
              <w:top w:val="nil"/>
              <w:left w:val="nil"/>
              <w:bottom w:val="single" w:sz="4" w:space="0" w:color="auto"/>
              <w:right w:val="nil"/>
            </w:tcBorders>
            <w:shd w:val="clear" w:color="auto" w:fill="auto"/>
            <w:vAlign w:val="center"/>
            <w:hideMark/>
          </w:tcPr>
          <w:p w14:paraId="7B74B8DE" w14:textId="77777777" w:rsidR="008437BD" w:rsidRPr="00920DF8" w:rsidRDefault="008437BD" w:rsidP="006C391F">
            <w:pPr>
              <w:jc w:val="both"/>
              <w:rPr>
                <w:color w:val="000000"/>
                <w:sz w:val="20"/>
              </w:rPr>
            </w:pPr>
            <w:r w:rsidRPr="00920DF8">
              <w:rPr>
                <w:color w:val="000000"/>
                <w:sz w:val="20"/>
              </w:rPr>
              <w:t xml:space="preserve">Level of conservatism </w:t>
            </w:r>
          </w:p>
        </w:tc>
        <w:tc>
          <w:tcPr>
            <w:tcW w:w="537" w:type="dxa"/>
            <w:tcBorders>
              <w:top w:val="nil"/>
              <w:left w:val="nil"/>
              <w:bottom w:val="single" w:sz="4" w:space="0" w:color="auto"/>
              <w:right w:val="nil"/>
            </w:tcBorders>
            <w:shd w:val="clear" w:color="auto" w:fill="auto"/>
            <w:vAlign w:val="center"/>
            <w:hideMark/>
          </w:tcPr>
          <w:p w14:paraId="47E5228C" w14:textId="77777777" w:rsidR="008437BD" w:rsidRPr="00920DF8" w:rsidRDefault="008437BD" w:rsidP="006C391F">
            <w:pPr>
              <w:jc w:val="center"/>
              <w:rPr>
                <w:color w:val="000000"/>
                <w:sz w:val="20"/>
              </w:rPr>
            </w:pPr>
            <w:r w:rsidRPr="004F2E8D">
              <w:rPr>
                <w:color w:val="000000"/>
                <w:sz w:val="20"/>
              </w:rPr>
              <w:t>M</w:t>
            </w:r>
          </w:p>
        </w:tc>
        <w:tc>
          <w:tcPr>
            <w:tcW w:w="520" w:type="dxa"/>
            <w:tcBorders>
              <w:top w:val="nil"/>
              <w:left w:val="nil"/>
              <w:bottom w:val="single" w:sz="4" w:space="0" w:color="auto"/>
              <w:right w:val="nil"/>
            </w:tcBorders>
            <w:shd w:val="clear" w:color="auto" w:fill="auto"/>
            <w:vAlign w:val="center"/>
            <w:hideMark/>
          </w:tcPr>
          <w:p w14:paraId="3C6B1F1D" w14:textId="77777777" w:rsidR="008437BD" w:rsidRPr="00920DF8" w:rsidRDefault="008437BD" w:rsidP="006C391F">
            <w:pPr>
              <w:jc w:val="center"/>
              <w:rPr>
                <w:color w:val="000000"/>
                <w:sz w:val="20"/>
              </w:rPr>
            </w:pPr>
            <w:r w:rsidRPr="004F2E8D">
              <w:rPr>
                <w:color w:val="000000"/>
                <w:sz w:val="20"/>
              </w:rPr>
              <w:t>H</w:t>
            </w:r>
          </w:p>
        </w:tc>
        <w:tc>
          <w:tcPr>
            <w:tcW w:w="637" w:type="dxa"/>
            <w:tcBorders>
              <w:top w:val="nil"/>
              <w:left w:val="nil"/>
              <w:bottom w:val="single" w:sz="4" w:space="0" w:color="auto"/>
              <w:right w:val="nil"/>
            </w:tcBorders>
            <w:shd w:val="clear" w:color="auto" w:fill="auto"/>
            <w:vAlign w:val="center"/>
            <w:hideMark/>
          </w:tcPr>
          <w:p w14:paraId="74957599" w14:textId="77777777" w:rsidR="008437BD" w:rsidRPr="00920DF8" w:rsidRDefault="008437BD" w:rsidP="006C391F">
            <w:pPr>
              <w:jc w:val="center"/>
              <w:rPr>
                <w:color w:val="000000"/>
                <w:sz w:val="20"/>
              </w:rPr>
            </w:pPr>
            <w:r w:rsidRPr="004F2E8D">
              <w:rPr>
                <w:color w:val="000000"/>
                <w:sz w:val="20"/>
              </w:rPr>
              <w:t>M</w:t>
            </w:r>
          </w:p>
        </w:tc>
        <w:tc>
          <w:tcPr>
            <w:tcW w:w="447" w:type="dxa"/>
            <w:tcBorders>
              <w:top w:val="nil"/>
              <w:left w:val="nil"/>
              <w:bottom w:val="single" w:sz="4" w:space="0" w:color="auto"/>
              <w:right w:val="nil"/>
            </w:tcBorders>
            <w:shd w:val="clear" w:color="auto" w:fill="auto"/>
            <w:vAlign w:val="center"/>
            <w:hideMark/>
          </w:tcPr>
          <w:p w14:paraId="24CD5529" w14:textId="77777777" w:rsidR="008437BD" w:rsidRPr="00920DF8" w:rsidRDefault="008437BD" w:rsidP="006C391F">
            <w:pPr>
              <w:jc w:val="center"/>
              <w:rPr>
                <w:color w:val="000000"/>
                <w:sz w:val="20"/>
              </w:rPr>
            </w:pPr>
            <w:r w:rsidRPr="004F2E8D">
              <w:rPr>
                <w:color w:val="000000"/>
                <w:sz w:val="20"/>
              </w:rPr>
              <w:t>M</w:t>
            </w:r>
          </w:p>
        </w:tc>
        <w:tc>
          <w:tcPr>
            <w:tcW w:w="445" w:type="dxa"/>
            <w:tcBorders>
              <w:top w:val="nil"/>
              <w:left w:val="nil"/>
              <w:bottom w:val="single" w:sz="4" w:space="0" w:color="auto"/>
              <w:right w:val="nil"/>
            </w:tcBorders>
            <w:shd w:val="clear" w:color="auto" w:fill="auto"/>
            <w:vAlign w:val="center"/>
            <w:hideMark/>
          </w:tcPr>
          <w:p w14:paraId="7448D2FE"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28D356F5"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4EBBB212"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11AB37CE"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70889673" w14:textId="77777777" w:rsidR="008437BD" w:rsidRPr="00920DF8" w:rsidRDefault="008437BD" w:rsidP="006C391F">
            <w:pPr>
              <w:jc w:val="center"/>
              <w:rPr>
                <w:color w:val="000000"/>
                <w:sz w:val="20"/>
              </w:rPr>
            </w:pPr>
            <w:r w:rsidRPr="004F2E8D">
              <w:rPr>
                <w:color w:val="000000"/>
                <w:sz w:val="20"/>
              </w:rPr>
              <w:t>M</w:t>
            </w:r>
          </w:p>
        </w:tc>
      </w:tr>
      <w:tr w:rsidR="004F2E8D" w:rsidRPr="00920DF8" w14:paraId="40016C08" w14:textId="77777777" w:rsidTr="008437BD">
        <w:trPr>
          <w:trHeight w:val="375"/>
        </w:trPr>
        <w:tc>
          <w:tcPr>
            <w:tcW w:w="975" w:type="dxa"/>
            <w:tcBorders>
              <w:top w:val="nil"/>
              <w:left w:val="nil"/>
              <w:bottom w:val="single" w:sz="4" w:space="0" w:color="auto"/>
              <w:right w:val="nil"/>
            </w:tcBorders>
            <w:shd w:val="clear" w:color="auto" w:fill="auto"/>
            <w:vAlign w:val="center"/>
            <w:hideMark/>
          </w:tcPr>
          <w:p w14:paraId="0D9E075A" w14:textId="77777777" w:rsidR="008437BD" w:rsidRPr="00920DF8" w:rsidRDefault="008437BD" w:rsidP="006C391F">
            <w:pPr>
              <w:jc w:val="center"/>
              <w:rPr>
                <w:color w:val="000000"/>
                <w:sz w:val="20"/>
              </w:rPr>
            </w:pPr>
            <w:r w:rsidRPr="00920DF8">
              <w:rPr>
                <w:color w:val="000000"/>
                <w:sz w:val="20"/>
              </w:rPr>
              <w:t>SM</w:t>
            </w:r>
          </w:p>
        </w:tc>
        <w:tc>
          <w:tcPr>
            <w:tcW w:w="3393" w:type="dxa"/>
            <w:tcBorders>
              <w:top w:val="nil"/>
              <w:left w:val="nil"/>
              <w:bottom w:val="single" w:sz="4" w:space="0" w:color="auto"/>
              <w:right w:val="nil"/>
            </w:tcBorders>
            <w:shd w:val="clear" w:color="auto" w:fill="auto"/>
            <w:vAlign w:val="center"/>
            <w:hideMark/>
          </w:tcPr>
          <w:p w14:paraId="028CB6E7" w14:textId="77777777" w:rsidR="008437BD" w:rsidRPr="00920DF8" w:rsidRDefault="008437BD" w:rsidP="006C391F">
            <w:pPr>
              <w:jc w:val="both"/>
              <w:rPr>
                <w:color w:val="000000"/>
                <w:sz w:val="20"/>
              </w:rPr>
            </w:pPr>
            <w:r w:rsidRPr="00920DF8">
              <w:rPr>
                <w:color w:val="000000"/>
                <w:sz w:val="20"/>
              </w:rPr>
              <w:t>Safety margin acceptability</w:t>
            </w:r>
          </w:p>
        </w:tc>
        <w:tc>
          <w:tcPr>
            <w:tcW w:w="537" w:type="dxa"/>
            <w:tcBorders>
              <w:top w:val="nil"/>
              <w:left w:val="nil"/>
              <w:bottom w:val="single" w:sz="4" w:space="0" w:color="auto"/>
              <w:right w:val="nil"/>
            </w:tcBorders>
            <w:shd w:val="clear" w:color="auto" w:fill="auto"/>
            <w:vAlign w:val="center"/>
            <w:hideMark/>
          </w:tcPr>
          <w:p w14:paraId="6B518007" w14:textId="77777777" w:rsidR="008437BD" w:rsidRPr="00920DF8" w:rsidRDefault="008437BD" w:rsidP="006C391F">
            <w:pPr>
              <w:jc w:val="center"/>
              <w:rPr>
                <w:color w:val="000000"/>
                <w:sz w:val="20"/>
              </w:rPr>
            </w:pPr>
            <w:r w:rsidRPr="004F2E8D">
              <w:rPr>
                <w:color w:val="000000"/>
                <w:sz w:val="20"/>
              </w:rPr>
              <w:t>M</w:t>
            </w:r>
          </w:p>
        </w:tc>
        <w:tc>
          <w:tcPr>
            <w:tcW w:w="520" w:type="dxa"/>
            <w:tcBorders>
              <w:top w:val="nil"/>
              <w:left w:val="nil"/>
              <w:bottom w:val="single" w:sz="4" w:space="0" w:color="auto"/>
              <w:right w:val="nil"/>
            </w:tcBorders>
            <w:shd w:val="clear" w:color="auto" w:fill="auto"/>
            <w:vAlign w:val="center"/>
            <w:hideMark/>
          </w:tcPr>
          <w:p w14:paraId="30A96AA8"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6E6D7EFA" w14:textId="77777777" w:rsidR="008437BD" w:rsidRPr="00920DF8" w:rsidRDefault="008437BD" w:rsidP="006C391F">
            <w:pPr>
              <w:jc w:val="center"/>
              <w:rPr>
                <w:color w:val="000000"/>
                <w:sz w:val="20"/>
              </w:rPr>
            </w:pPr>
            <w:r w:rsidRPr="004F2E8D">
              <w:rPr>
                <w:color w:val="000000"/>
                <w:sz w:val="20"/>
              </w:rPr>
              <w:t>M</w:t>
            </w:r>
          </w:p>
        </w:tc>
        <w:tc>
          <w:tcPr>
            <w:tcW w:w="447" w:type="dxa"/>
            <w:tcBorders>
              <w:top w:val="nil"/>
              <w:left w:val="nil"/>
              <w:bottom w:val="single" w:sz="4" w:space="0" w:color="auto"/>
              <w:right w:val="nil"/>
            </w:tcBorders>
            <w:shd w:val="clear" w:color="auto" w:fill="auto"/>
            <w:vAlign w:val="center"/>
            <w:hideMark/>
          </w:tcPr>
          <w:p w14:paraId="79AD35C0" w14:textId="77777777" w:rsidR="008437BD" w:rsidRPr="00920DF8" w:rsidRDefault="008437BD" w:rsidP="006C391F">
            <w:pPr>
              <w:jc w:val="center"/>
              <w:rPr>
                <w:color w:val="000000"/>
                <w:sz w:val="20"/>
              </w:rPr>
            </w:pPr>
            <w:r w:rsidRPr="004F2E8D">
              <w:rPr>
                <w:color w:val="000000"/>
                <w:sz w:val="20"/>
              </w:rPr>
              <w:t>M</w:t>
            </w:r>
          </w:p>
        </w:tc>
        <w:tc>
          <w:tcPr>
            <w:tcW w:w="445" w:type="dxa"/>
            <w:tcBorders>
              <w:top w:val="nil"/>
              <w:left w:val="nil"/>
              <w:bottom w:val="single" w:sz="4" w:space="0" w:color="auto"/>
              <w:right w:val="nil"/>
            </w:tcBorders>
            <w:shd w:val="clear" w:color="auto" w:fill="auto"/>
            <w:vAlign w:val="center"/>
            <w:hideMark/>
          </w:tcPr>
          <w:p w14:paraId="04F40D8D"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21B88502" w14:textId="77777777" w:rsidR="008437BD" w:rsidRPr="00920DF8" w:rsidRDefault="008437BD" w:rsidP="006C391F">
            <w:pPr>
              <w:jc w:val="center"/>
              <w:rPr>
                <w:color w:val="000000"/>
                <w:sz w:val="20"/>
              </w:rPr>
            </w:pPr>
            <w:r w:rsidRPr="004F2E8D">
              <w:rPr>
                <w:color w:val="000000"/>
                <w:sz w:val="20"/>
              </w:rPr>
              <w:t>H</w:t>
            </w:r>
          </w:p>
        </w:tc>
        <w:tc>
          <w:tcPr>
            <w:tcW w:w="467" w:type="dxa"/>
            <w:tcBorders>
              <w:top w:val="nil"/>
              <w:left w:val="nil"/>
              <w:bottom w:val="single" w:sz="4" w:space="0" w:color="auto"/>
              <w:right w:val="nil"/>
            </w:tcBorders>
            <w:shd w:val="clear" w:color="auto" w:fill="auto"/>
            <w:vAlign w:val="center"/>
            <w:hideMark/>
          </w:tcPr>
          <w:p w14:paraId="3ED36CB4"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4FFDFA19"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5D708093" w14:textId="77777777" w:rsidR="008437BD" w:rsidRPr="00920DF8" w:rsidRDefault="008437BD" w:rsidP="006C391F">
            <w:pPr>
              <w:jc w:val="center"/>
              <w:rPr>
                <w:color w:val="000000"/>
                <w:sz w:val="20"/>
              </w:rPr>
            </w:pPr>
            <w:r w:rsidRPr="004F2E8D">
              <w:rPr>
                <w:color w:val="000000"/>
                <w:sz w:val="20"/>
              </w:rPr>
              <w:t>H</w:t>
            </w:r>
          </w:p>
        </w:tc>
      </w:tr>
      <w:tr w:rsidR="004F2E8D" w:rsidRPr="00920DF8" w14:paraId="03561DC2" w14:textId="77777777" w:rsidTr="008437BD">
        <w:trPr>
          <w:trHeight w:val="645"/>
        </w:trPr>
        <w:tc>
          <w:tcPr>
            <w:tcW w:w="975" w:type="dxa"/>
            <w:tcBorders>
              <w:top w:val="nil"/>
              <w:left w:val="nil"/>
              <w:bottom w:val="single" w:sz="4" w:space="0" w:color="auto"/>
              <w:right w:val="nil"/>
            </w:tcBorders>
            <w:shd w:val="clear" w:color="auto" w:fill="auto"/>
            <w:vAlign w:val="center"/>
            <w:hideMark/>
          </w:tcPr>
          <w:p w14:paraId="119A4693" w14:textId="77777777" w:rsidR="008437BD" w:rsidRPr="00920DF8" w:rsidRDefault="008437BD" w:rsidP="006C391F">
            <w:pPr>
              <w:jc w:val="center"/>
              <w:rPr>
                <w:color w:val="000000"/>
                <w:sz w:val="20"/>
              </w:rPr>
            </w:pPr>
            <w:r w:rsidRPr="00920DF8">
              <w:rPr>
                <w:color w:val="000000"/>
                <w:sz w:val="20"/>
              </w:rPr>
              <w:t>DiDA</w:t>
            </w:r>
          </w:p>
        </w:tc>
        <w:tc>
          <w:tcPr>
            <w:tcW w:w="3393" w:type="dxa"/>
            <w:tcBorders>
              <w:top w:val="nil"/>
              <w:left w:val="nil"/>
              <w:bottom w:val="single" w:sz="4" w:space="0" w:color="auto"/>
              <w:right w:val="nil"/>
            </w:tcBorders>
            <w:shd w:val="clear" w:color="auto" w:fill="auto"/>
            <w:vAlign w:val="center"/>
            <w:hideMark/>
          </w:tcPr>
          <w:p w14:paraId="66923CCF" w14:textId="77777777" w:rsidR="008437BD" w:rsidRPr="00920DF8" w:rsidRDefault="008437BD" w:rsidP="006C391F">
            <w:pPr>
              <w:jc w:val="both"/>
              <w:rPr>
                <w:color w:val="000000"/>
                <w:sz w:val="20"/>
              </w:rPr>
            </w:pPr>
            <w:r w:rsidRPr="00920DF8">
              <w:rPr>
                <w:color w:val="000000"/>
                <w:sz w:val="20"/>
              </w:rPr>
              <w:t>Defence in depth Acceptance criteria for levels and in general</w:t>
            </w:r>
          </w:p>
        </w:tc>
        <w:tc>
          <w:tcPr>
            <w:tcW w:w="537" w:type="dxa"/>
            <w:tcBorders>
              <w:top w:val="nil"/>
              <w:left w:val="nil"/>
              <w:bottom w:val="single" w:sz="4" w:space="0" w:color="auto"/>
              <w:right w:val="nil"/>
            </w:tcBorders>
            <w:shd w:val="clear" w:color="auto" w:fill="auto"/>
            <w:vAlign w:val="center"/>
            <w:hideMark/>
          </w:tcPr>
          <w:p w14:paraId="1333AF03" w14:textId="77777777" w:rsidR="008437BD" w:rsidRPr="00920DF8" w:rsidRDefault="008437BD" w:rsidP="006C391F">
            <w:pPr>
              <w:jc w:val="center"/>
              <w:rPr>
                <w:color w:val="000000"/>
                <w:sz w:val="20"/>
              </w:rPr>
            </w:pPr>
            <w:r w:rsidRPr="004F2E8D">
              <w:rPr>
                <w:color w:val="000000"/>
                <w:sz w:val="20"/>
              </w:rPr>
              <w:t>M</w:t>
            </w:r>
          </w:p>
        </w:tc>
        <w:tc>
          <w:tcPr>
            <w:tcW w:w="520" w:type="dxa"/>
            <w:tcBorders>
              <w:top w:val="nil"/>
              <w:left w:val="nil"/>
              <w:bottom w:val="single" w:sz="4" w:space="0" w:color="auto"/>
              <w:right w:val="nil"/>
            </w:tcBorders>
            <w:shd w:val="clear" w:color="auto" w:fill="auto"/>
            <w:vAlign w:val="center"/>
            <w:hideMark/>
          </w:tcPr>
          <w:p w14:paraId="40CDC973"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31B625EF"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33D9FD8B" w14:textId="77777777" w:rsidR="008437BD" w:rsidRPr="00920DF8" w:rsidRDefault="008437BD" w:rsidP="006C391F">
            <w:pPr>
              <w:jc w:val="center"/>
              <w:rPr>
                <w:color w:val="000000"/>
                <w:sz w:val="20"/>
              </w:rPr>
            </w:pPr>
            <w:r w:rsidRPr="004F2E8D">
              <w:rPr>
                <w:color w:val="000000"/>
                <w:sz w:val="20"/>
              </w:rPr>
              <w:t>M</w:t>
            </w:r>
          </w:p>
        </w:tc>
        <w:tc>
          <w:tcPr>
            <w:tcW w:w="445" w:type="dxa"/>
            <w:tcBorders>
              <w:top w:val="nil"/>
              <w:left w:val="nil"/>
              <w:bottom w:val="single" w:sz="4" w:space="0" w:color="auto"/>
              <w:right w:val="nil"/>
            </w:tcBorders>
            <w:shd w:val="clear" w:color="auto" w:fill="auto"/>
            <w:vAlign w:val="center"/>
            <w:hideMark/>
          </w:tcPr>
          <w:p w14:paraId="4CE08E6B"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5DC47F4D"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5654A468" w14:textId="77777777" w:rsidR="008437BD" w:rsidRPr="00920DF8" w:rsidRDefault="008437BD" w:rsidP="006C391F">
            <w:pPr>
              <w:jc w:val="center"/>
              <w:rPr>
                <w:color w:val="000000"/>
                <w:sz w:val="20"/>
              </w:rPr>
            </w:pPr>
            <w:r w:rsidRPr="004F2E8D">
              <w:rPr>
                <w:color w:val="000000"/>
                <w:sz w:val="20"/>
              </w:rPr>
              <w:t>H</w:t>
            </w:r>
          </w:p>
        </w:tc>
        <w:tc>
          <w:tcPr>
            <w:tcW w:w="467" w:type="dxa"/>
            <w:tcBorders>
              <w:top w:val="nil"/>
              <w:left w:val="nil"/>
              <w:bottom w:val="single" w:sz="4" w:space="0" w:color="auto"/>
              <w:right w:val="nil"/>
            </w:tcBorders>
            <w:shd w:val="clear" w:color="auto" w:fill="auto"/>
            <w:vAlign w:val="center"/>
            <w:hideMark/>
          </w:tcPr>
          <w:p w14:paraId="08341828"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518F58FF" w14:textId="77777777" w:rsidR="008437BD" w:rsidRPr="00920DF8" w:rsidRDefault="008437BD" w:rsidP="006C391F">
            <w:pPr>
              <w:jc w:val="center"/>
              <w:rPr>
                <w:color w:val="000000"/>
                <w:sz w:val="20"/>
              </w:rPr>
            </w:pPr>
            <w:r w:rsidRPr="004F2E8D">
              <w:rPr>
                <w:color w:val="000000"/>
                <w:sz w:val="20"/>
              </w:rPr>
              <w:t>M</w:t>
            </w:r>
          </w:p>
        </w:tc>
      </w:tr>
      <w:tr w:rsidR="004F2E8D" w:rsidRPr="00920DF8" w14:paraId="2B3A3124" w14:textId="77777777" w:rsidTr="008437BD">
        <w:trPr>
          <w:trHeight w:val="375"/>
        </w:trPr>
        <w:tc>
          <w:tcPr>
            <w:tcW w:w="975" w:type="dxa"/>
            <w:tcBorders>
              <w:top w:val="nil"/>
              <w:left w:val="nil"/>
              <w:bottom w:val="single" w:sz="4" w:space="0" w:color="auto"/>
              <w:right w:val="nil"/>
            </w:tcBorders>
            <w:shd w:val="clear" w:color="auto" w:fill="auto"/>
            <w:vAlign w:val="center"/>
            <w:hideMark/>
          </w:tcPr>
          <w:p w14:paraId="19C05D44" w14:textId="77777777" w:rsidR="008437BD" w:rsidRPr="00920DF8" w:rsidRDefault="008437BD" w:rsidP="006C391F">
            <w:pPr>
              <w:jc w:val="center"/>
              <w:rPr>
                <w:color w:val="000000"/>
                <w:sz w:val="20"/>
              </w:rPr>
            </w:pPr>
            <w:r w:rsidRPr="00920DF8">
              <w:rPr>
                <w:color w:val="000000"/>
                <w:sz w:val="20"/>
              </w:rPr>
              <w:t>DiDI</w:t>
            </w:r>
          </w:p>
        </w:tc>
        <w:tc>
          <w:tcPr>
            <w:tcW w:w="3393" w:type="dxa"/>
            <w:tcBorders>
              <w:top w:val="nil"/>
              <w:left w:val="nil"/>
              <w:bottom w:val="single" w:sz="4" w:space="0" w:color="auto"/>
              <w:right w:val="nil"/>
            </w:tcBorders>
            <w:shd w:val="clear" w:color="auto" w:fill="auto"/>
            <w:vAlign w:val="center"/>
            <w:hideMark/>
          </w:tcPr>
          <w:p w14:paraId="03C6BF9D" w14:textId="77777777" w:rsidR="008437BD" w:rsidRPr="00920DF8" w:rsidRDefault="008437BD" w:rsidP="006C391F">
            <w:pPr>
              <w:jc w:val="both"/>
              <w:rPr>
                <w:color w:val="000000"/>
                <w:sz w:val="20"/>
              </w:rPr>
            </w:pPr>
            <w:r w:rsidRPr="00920DF8">
              <w:rPr>
                <w:color w:val="000000"/>
                <w:sz w:val="20"/>
              </w:rPr>
              <w:t>Defence in depth - Independence of levels</w:t>
            </w:r>
          </w:p>
        </w:tc>
        <w:tc>
          <w:tcPr>
            <w:tcW w:w="537" w:type="dxa"/>
            <w:tcBorders>
              <w:top w:val="nil"/>
              <w:left w:val="nil"/>
              <w:bottom w:val="single" w:sz="4" w:space="0" w:color="auto"/>
              <w:right w:val="nil"/>
            </w:tcBorders>
            <w:shd w:val="clear" w:color="auto" w:fill="auto"/>
            <w:vAlign w:val="center"/>
            <w:hideMark/>
          </w:tcPr>
          <w:p w14:paraId="7AB1AF91"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0DA93D19" w14:textId="77777777" w:rsidR="008437BD" w:rsidRPr="00920DF8" w:rsidRDefault="008437BD" w:rsidP="006C391F">
            <w:pPr>
              <w:jc w:val="center"/>
              <w:rPr>
                <w:color w:val="000000"/>
                <w:sz w:val="20"/>
              </w:rPr>
            </w:pPr>
            <w:r w:rsidRPr="004F2E8D">
              <w:rPr>
                <w:color w:val="000000"/>
                <w:sz w:val="20"/>
              </w:rPr>
              <w:t>L</w:t>
            </w:r>
          </w:p>
        </w:tc>
        <w:tc>
          <w:tcPr>
            <w:tcW w:w="637" w:type="dxa"/>
            <w:tcBorders>
              <w:top w:val="nil"/>
              <w:left w:val="nil"/>
              <w:bottom w:val="single" w:sz="4" w:space="0" w:color="auto"/>
              <w:right w:val="nil"/>
            </w:tcBorders>
            <w:shd w:val="clear" w:color="auto" w:fill="auto"/>
            <w:vAlign w:val="center"/>
            <w:hideMark/>
          </w:tcPr>
          <w:p w14:paraId="30999F75" w14:textId="77777777" w:rsidR="008437BD" w:rsidRPr="00920DF8" w:rsidRDefault="008437BD" w:rsidP="006C391F">
            <w:pPr>
              <w:jc w:val="center"/>
              <w:rPr>
                <w:color w:val="000000"/>
                <w:sz w:val="20"/>
              </w:rPr>
            </w:pPr>
            <w:r w:rsidRPr="004F2E8D">
              <w:rPr>
                <w:color w:val="000000"/>
                <w:sz w:val="20"/>
              </w:rPr>
              <w:t>M</w:t>
            </w:r>
          </w:p>
        </w:tc>
        <w:tc>
          <w:tcPr>
            <w:tcW w:w="447" w:type="dxa"/>
            <w:tcBorders>
              <w:top w:val="nil"/>
              <w:left w:val="nil"/>
              <w:bottom w:val="single" w:sz="4" w:space="0" w:color="auto"/>
              <w:right w:val="nil"/>
            </w:tcBorders>
            <w:shd w:val="clear" w:color="auto" w:fill="auto"/>
            <w:vAlign w:val="center"/>
            <w:hideMark/>
          </w:tcPr>
          <w:p w14:paraId="108707E6" w14:textId="77777777" w:rsidR="008437BD" w:rsidRPr="00920DF8" w:rsidRDefault="008437BD" w:rsidP="006C391F">
            <w:pPr>
              <w:jc w:val="center"/>
              <w:rPr>
                <w:color w:val="000000"/>
                <w:sz w:val="20"/>
              </w:rPr>
            </w:pPr>
            <w:r w:rsidRPr="004F2E8D">
              <w:rPr>
                <w:color w:val="000000"/>
                <w:sz w:val="20"/>
              </w:rPr>
              <w:t>L</w:t>
            </w:r>
          </w:p>
        </w:tc>
        <w:tc>
          <w:tcPr>
            <w:tcW w:w="445" w:type="dxa"/>
            <w:tcBorders>
              <w:top w:val="nil"/>
              <w:left w:val="nil"/>
              <w:bottom w:val="single" w:sz="4" w:space="0" w:color="auto"/>
              <w:right w:val="nil"/>
            </w:tcBorders>
            <w:shd w:val="clear" w:color="auto" w:fill="auto"/>
            <w:vAlign w:val="center"/>
            <w:hideMark/>
          </w:tcPr>
          <w:p w14:paraId="2746C578"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611247EF"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155E96A2"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68C59386"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7EB9713D" w14:textId="77777777" w:rsidR="008437BD" w:rsidRPr="00920DF8" w:rsidRDefault="008437BD" w:rsidP="006C391F">
            <w:pPr>
              <w:jc w:val="center"/>
              <w:rPr>
                <w:color w:val="000000"/>
                <w:sz w:val="20"/>
              </w:rPr>
            </w:pPr>
            <w:r w:rsidRPr="004F2E8D">
              <w:rPr>
                <w:color w:val="000000"/>
                <w:sz w:val="20"/>
              </w:rPr>
              <w:t>M</w:t>
            </w:r>
          </w:p>
        </w:tc>
      </w:tr>
      <w:tr w:rsidR="004F2E8D" w:rsidRPr="00920DF8" w14:paraId="675DD56A" w14:textId="77777777" w:rsidTr="008437BD">
        <w:trPr>
          <w:trHeight w:val="270"/>
        </w:trPr>
        <w:tc>
          <w:tcPr>
            <w:tcW w:w="975" w:type="dxa"/>
            <w:tcBorders>
              <w:top w:val="nil"/>
              <w:left w:val="nil"/>
              <w:bottom w:val="single" w:sz="4" w:space="0" w:color="auto"/>
              <w:right w:val="nil"/>
            </w:tcBorders>
            <w:shd w:val="clear" w:color="auto" w:fill="auto"/>
            <w:vAlign w:val="center"/>
            <w:hideMark/>
          </w:tcPr>
          <w:p w14:paraId="727BEED8" w14:textId="77777777" w:rsidR="008437BD" w:rsidRPr="00920DF8" w:rsidRDefault="008437BD" w:rsidP="006C391F">
            <w:pPr>
              <w:jc w:val="center"/>
              <w:rPr>
                <w:color w:val="000000"/>
                <w:sz w:val="20"/>
              </w:rPr>
            </w:pPr>
            <w:r w:rsidRPr="00920DF8">
              <w:rPr>
                <w:color w:val="000000"/>
                <w:sz w:val="20"/>
              </w:rPr>
              <w:t>CEE</w:t>
            </w:r>
          </w:p>
        </w:tc>
        <w:tc>
          <w:tcPr>
            <w:tcW w:w="3393" w:type="dxa"/>
            <w:tcBorders>
              <w:top w:val="nil"/>
              <w:left w:val="nil"/>
              <w:bottom w:val="single" w:sz="4" w:space="0" w:color="auto"/>
              <w:right w:val="nil"/>
            </w:tcBorders>
            <w:shd w:val="clear" w:color="auto" w:fill="auto"/>
            <w:vAlign w:val="center"/>
            <w:hideMark/>
          </w:tcPr>
          <w:p w14:paraId="1786BA39" w14:textId="77777777" w:rsidR="008437BD" w:rsidRPr="00920DF8" w:rsidRDefault="008437BD" w:rsidP="006C391F">
            <w:pPr>
              <w:jc w:val="both"/>
              <w:rPr>
                <w:color w:val="000000"/>
                <w:sz w:val="20"/>
              </w:rPr>
            </w:pPr>
            <w:r w:rsidRPr="00920DF8">
              <w:rPr>
                <w:color w:val="000000"/>
                <w:sz w:val="20"/>
              </w:rPr>
              <w:t>Cliff edge effects</w:t>
            </w:r>
          </w:p>
        </w:tc>
        <w:tc>
          <w:tcPr>
            <w:tcW w:w="537" w:type="dxa"/>
            <w:tcBorders>
              <w:top w:val="nil"/>
              <w:left w:val="nil"/>
              <w:bottom w:val="single" w:sz="4" w:space="0" w:color="auto"/>
              <w:right w:val="nil"/>
            </w:tcBorders>
            <w:shd w:val="clear" w:color="auto" w:fill="auto"/>
            <w:vAlign w:val="center"/>
            <w:hideMark/>
          </w:tcPr>
          <w:p w14:paraId="26A2E9F6"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52F64042" w14:textId="77777777" w:rsidR="008437BD" w:rsidRPr="00920DF8" w:rsidRDefault="008437BD" w:rsidP="006C391F">
            <w:pPr>
              <w:jc w:val="center"/>
              <w:rPr>
                <w:color w:val="000000"/>
                <w:sz w:val="20"/>
              </w:rPr>
            </w:pPr>
            <w:r w:rsidRPr="004F2E8D">
              <w:rPr>
                <w:color w:val="000000"/>
                <w:sz w:val="20"/>
              </w:rPr>
              <w:t>L</w:t>
            </w:r>
          </w:p>
        </w:tc>
        <w:tc>
          <w:tcPr>
            <w:tcW w:w="637" w:type="dxa"/>
            <w:tcBorders>
              <w:top w:val="nil"/>
              <w:left w:val="nil"/>
              <w:bottom w:val="single" w:sz="4" w:space="0" w:color="auto"/>
              <w:right w:val="nil"/>
            </w:tcBorders>
            <w:shd w:val="clear" w:color="auto" w:fill="auto"/>
            <w:vAlign w:val="center"/>
            <w:hideMark/>
          </w:tcPr>
          <w:p w14:paraId="4C0BFF2A"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0348CA46" w14:textId="77777777" w:rsidR="008437BD" w:rsidRPr="00920DF8" w:rsidRDefault="008437BD" w:rsidP="006C391F">
            <w:pPr>
              <w:jc w:val="center"/>
              <w:rPr>
                <w:color w:val="000000"/>
                <w:sz w:val="20"/>
              </w:rPr>
            </w:pPr>
            <w:r w:rsidRPr="004F2E8D">
              <w:rPr>
                <w:color w:val="000000"/>
                <w:sz w:val="20"/>
              </w:rPr>
              <w:t>L</w:t>
            </w:r>
          </w:p>
        </w:tc>
        <w:tc>
          <w:tcPr>
            <w:tcW w:w="445" w:type="dxa"/>
            <w:tcBorders>
              <w:top w:val="nil"/>
              <w:left w:val="nil"/>
              <w:bottom w:val="single" w:sz="4" w:space="0" w:color="auto"/>
              <w:right w:val="nil"/>
            </w:tcBorders>
            <w:shd w:val="clear" w:color="auto" w:fill="auto"/>
            <w:vAlign w:val="center"/>
            <w:hideMark/>
          </w:tcPr>
          <w:p w14:paraId="1A849502"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6B551C55"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3B2CD8F9"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428C981B"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26B420DF" w14:textId="77777777" w:rsidR="008437BD" w:rsidRPr="00920DF8" w:rsidRDefault="008437BD" w:rsidP="006C391F">
            <w:pPr>
              <w:jc w:val="center"/>
              <w:rPr>
                <w:color w:val="000000"/>
                <w:sz w:val="20"/>
              </w:rPr>
            </w:pPr>
            <w:r w:rsidRPr="004F2E8D">
              <w:rPr>
                <w:color w:val="000000"/>
                <w:sz w:val="20"/>
              </w:rPr>
              <w:t>L</w:t>
            </w:r>
          </w:p>
        </w:tc>
      </w:tr>
      <w:tr w:rsidR="004F2E8D" w:rsidRPr="00920DF8" w14:paraId="0782652E" w14:textId="77777777" w:rsidTr="008437BD">
        <w:trPr>
          <w:trHeight w:val="1005"/>
        </w:trPr>
        <w:tc>
          <w:tcPr>
            <w:tcW w:w="975" w:type="dxa"/>
            <w:tcBorders>
              <w:top w:val="nil"/>
              <w:left w:val="nil"/>
              <w:bottom w:val="single" w:sz="4" w:space="0" w:color="auto"/>
              <w:right w:val="nil"/>
            </w:tcBorders>
            <w:shd w:val="clear" w:color="auto" w:fill="auto"/>
            <w:vAlign w:val="center"/>
            <w:hideMark/>
          </w:tcPr>
          <w:p w14:paraId="15D12B83" w14:textId="77777777" w:rsidR="008437BD" w:rsidRPr="00920DF8" w:rsidRDefault="008437BD" w:rsidP="006C391F">
            <w:pPr>
              <w:jc w:val="center"/>
              <w:rPr>
                <w:color w:val="000000"/>
                <w:sz w:val="20"/>
              </w:rPr>
            </w:pPr>
            <w:r w:rsidRPr="00920DF8">
              <w:rPr>
                <w:color w:val="000000"/>
                <w:sz w:val="20"/>
              </w:rPr>
              <w:t>DPC</w:t>
            </w:r>
          </w:p>
        </w:tc>
        <w:tc>
          <w:tcPr>
            <w:tcW w:w="3393" w:type="dxa"/>
            <w:tcBorders>
              <w:top w:val="nil"/>
              <w:left w:val="nil"/>
              <w:bottom w:val="single" w:sz="4" w:space="0" w:color="auto"/>
              <w:right w:val="nil"/>
            </w:tcBorders>
            <w:shd w:val="clear" w:color="auto" w:fill="auto"/>
            <w:vAlign w:val="center"/>
            <w:hideMark/>
          </w:tcPr>
          <w:p w14:paraId="147EF890" w14:textId="644F1E12" w:rsidR="008437BD" w:rsidRPr="00920DF8" w:rsidRDefault="008437BD" w:rsidP="006C391F">
            <w:pPr>
              <w:jc w:val="both"/>
              <w:rPr>
                <w:color w:val="000000"/>
                <w:sz w:val="20"/>
              </w:rPr>
            </w:pPr>
            <w:r w:rsidRPr="00920DF8">
              <w:rPr>
                <w:color w:val="000000"/>
                <w:sz w:val="20"/>
              </w:rPr>
              <w:t xml:space="preserve">The adequacy of the type of method acceptable - deterministic (best estimate or not), probabilistic, combined, using </w:t>
            </w:r>
            <w:r w:rsidR="004F2E8D">
              <w:rPr>
                <w:color w:val="000000"/>
                <w:sz w:val="20"/>
              </w:rPr>
              <w:t>past similar experience</w:t>
            </w:r>
          </w:p>
        </w:tc>
        <w:tc>
          <w:tcPr>
            <w:tcW w:w="537" w:type="dxa"/>
            <w:tcBorders>
              <w:top w:val="nil"/>
              <w:left w:val="nil"/>
              <w:bottom w:val="single" w:sz="4" w:space="0" w:color="auto"/>
              <w:right w:val="nil"/>
            </w:tcBorders>
            <w:shd w:val="clear" w:color="auto" w:fill="auto"/>
            <w:vAlign w:val="center"/>
            <w:hideMark/>
          </w:tcPr>
          <w:p w14:paraId="66127A16" w14:textId="77777777" w:rsidR="008437BD" w:rsidRPr="00920DF8" w:rsidRDefault="008437BD" w:rsidP="006C391F">
            <w:pPr>
              <w:jc w:val="center"/>
              <w:rPr>
                <w:color w:val="000000"/>
                <w:sz w:val="20"/>
              </w:rPr>
            </w:pPr>
            <w:r w:rsidRPr="004F2E8D">
              <w:rPr>
                <w:color w:val="000000"/>
                <w:sz w:val="20"/>
              </w:rPr>
              <w:t>M</w:t>
            </w:r>
          </w:p>
        </w:tc>
        <w:tc>
          <w:tcPr>
            <w:tcW w:w="520" w:type="dxa"/>
            <w:tcBorders>
              <w:top w:val="nil"/>
              <w:left w:val="nil"/>
              <w:bottom w:val="single" w:sz="4" w:space="0" w:color="auto"/>
              <w:right w:val="nil"/>
            </w:tcBorders>
            <w:shd w:val="clear" w:color="auto" w:fill="auto"/>
            <w:vAlign w:val="center"/>
            <w:hideMark/>
          </w:tcPr>
          <w:p w14:paraId="6DE28CA9"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273B141A"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207EE1B8" w14:textId="77777777" w:rsidR="008437BD" w:rsidRPr="00920DF8" w:rsidRDefault="008437BD" w:rsidP="006C391F">
            <w:pPr>
              <w:jc w:val="center"/>
              <w:rPr>
                <w:color w:val="000000"/>
                <w:sz w:val="20"/>
              </w:rPr>
            </w:pPr>
            <w:r w:rsidRPr="004F2E8D">
              <w:rPr>
                <w:color w:val="000000"/>
                <w:sz w:val="20"/>
              </w:rPr>
              <w:t>M</w:t>
            </w:r>
          </w:p>
        </w:tc>
        <w:tc>
          <w:tcPr>
            <w:tcW w:w="445" w:type="dxa"/>
            <w:tcBorders>
              <w:top w:val="nil"/>
              <w:left w:val="nil"/>
              <w:bottom w:val="single" w:sz="4" w:space="0" w:color="auto"/>
              <w:right w:val="nil"/>
            </w:tcBorders>
            <w:shd w:val="clear" w:color="auto" w:fill="auto"/>
            <w:vAlign w:val="center"/>
            <w:hideMark/>
          </w:tcPr>
          <w:p w14:paraId="3EA61321"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0438B72D"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0ED7F931"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0E7F76FD"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4B048580" w14:textId="77777777" w:rsidR="008437BD" w:rsidRPr="00920DF8" w:rsidRDefault="008437BD" w:rsidP="006C391F">
            <w:pPr>
              <w:jc w:val="center"/>
              <w:rPr>
                <w:color w:val="000000"/>
                <w:sz w:val="20"/>
              </w:rPr>
            </w:pPr>
            <w:r w:rsidRPr="004F2E8D">
              <w:rPr>
                <w:color w:val="000000"/>
                <w:sz w:val="20"/>
              </w:rPr>
              <w:t>M</w:t>
            </w:r>
          </w:p>
        </w:tc>
      </w:tr>
      <w:tr w:rsidR="004F2E8D" w:rsidRPr="00920DF8" w14:paraId="27734F4A" w14:textId="77777777" w:rsidTr="008437BD">
        <w:trPr>
          <w:trHeight w:val="600"/>
        </w:trPr>
        <w:tc>
          <w:tcPr>
            <w:tcW w:w="975" w:type="dxa"/>
            <w:tcBorders>
              <w:top w:val="nil"/>
              <w:left w:val="nil"/>
              <w:bottom w:val="single" w:sz="4" w:space="0" w:color="auto"/>
              <w:right w:val="nil"/>
            </w:tcBorders>
            <w:shd w:val="clear" w:color="auto" w:fill="auto"/>
            <w:vAlign w:val="center"/>
            <w:hideMark/>
          </w:tcPr>
          <w:p w14:paraId="30705BD8" w14:textId="77777777" w:rsidR="008437BD" w:rsidRPr="00920DF8" w:rsidRDefault="008437BD" w:rsidP="006C391F">
            <w:pPr>
              <w:jc w:val="center"/>
              <w:rPr>
                <w:color w:val="000000"/>
                <w:sz w:val="20"/>
              </w:rPr>
            </w:pPr>
            <w:r w:rsidRPr="00920DF8">
              <w:rPr>
                <w:color w:val="000000"/>
                <w:sz w:val="20"/>
              </w:rPr>
              <w:t>CHC</w:t>
            </w:r>
          </w:p>
        </w:tc>
        <w:tc>
          <w:tcPr>
            <w:tcW w:w="3393" w:type="dxa"/>
            <w:tcBorders>
              <w:top w:val="nil"/>
              <w:left w:val="nil"/>
              <w:bottom w:val="single" w:sz="4" w:space="0" w:color="auto"/>
              <w:right w:val="nil"/>
            </w:tcBorders>
            <w:shd w:val="clear" w:color="auto" w:fill="auto"/>
            <w:vAlign w:val="center"/>
            <w:hideMark/>
          </w:tcPr>
          <w:p w14:paraId="618047E8" w14:textId="77777777" w:rsidR="008437BD" w:rsidRPr="00920DF8" w:rsidRDefault="008437BD" w:rsidP="006C391F">
            <w:pPr>
              <w:jc w:val="both"/>
              <w:rPr>
                <w:color w:val="000000"/>
                <w:sz w:val="20"/>
              </w:rPr>
            </w:pPr>
            <w:r w:rsidRPr="00920DF8">
              <w:rPr>
                <w:color w:val="000000"/>
                <w:sz w:val="20"/>
              </w:rPr>
              <w:t>Impact of capability to manage change control</w:t>
            </w:r>
          </w:p>
        </w:tc>
        <w:tc>
          <w:tcPr>
            <w:tcW w:w="537" w:type="dxa"/>
            <w:tcBorders>
              <w:top w:val="nil"/>
              <w:left w:val="nil"/>
              <w:bottom w:val="single" w:sz="4" w:space="0" w:color="auto"/>
              <w:right w:val="nil"/>
            </w:tcBorders>
            <w:shd w:val="clear" w:color="auto" w:fill="auto"/>
            <w:vAlign w:val="center"/>
            <w:hideMark/>
          </w:tcPr>
          <w:p w14:paraId="11537257"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49562C07" w14:textId="77777777" w:rsidR="008437BD" w:rsidRPr="00920DF8" w:rsidRDefault="008437BD" w:rsidP="006C391F">
            <w:pPr>
              <w:jc w:val="center"/>
              <w:rPr>
                <w:color w:val="000000"/>
                <w:sz w:val="20"/>
              </w:rPr>
            </w:pPr>
            <w:r w:rsidRPr="004F2E8D">
              <w:rPr>
                <w:color w:val="000000"/>
                <w:sz w:val="20"/>
              </w:rPr>
              <w:t>L</w:t>
            </w:r>
          </w:p>
        </w:tc>
        <w:tc>
          <w:tcPr>
            <w:tcW w:w="637" w:type="dxa"/>
            <w:tcBorders>
              <w:top w:val="nil"/>
              <w:left w:val="nil"/>
              <w:bottom w:val="single" w:sz="4" w:space="0" w:color="auto"/>
              <w:right w:val="nil"/>
            </w:tcBorders>
            <w:shd w:val="clear" w:color="auto" w:fill="auto"/>
            <w:vAlign w:val="center"/>
            <w:hideMark/>
          </w:tcPr>
          <w:p w14:paraId="09E3D9C5"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05260A26" w14:textId="77777777" w:rsidR="008437BD" w:rsidRPr="00920DF8" w:rsidRDefault="008437BD" w:rsidP="006C391F">
            <w:pPr>
              <w:jc w:val="center"/>
              <w:rPr>
                <w:color w:val="000000"/>
                <w:sz w:val="20"/>
              </w:rPr>
            </w:pPr>
            <w:r w:rsidRPr="004F2E8D">
              <w:rPr>
                <w:color w:val="000000"/>
                <w:sz w:val="20"/>
              </w:rPr>
              <w:t>L</w:t>
            </w:r>
          </w:p>
        </w:tc>
        <w:tc>
          <w:tcPr>
            <w:tcW w:w="445" w:type="dxa"/>
            <w:tcBorders>
              <w:top w:val="nil"/>
              <w:left w:val="nil"/>
              <w:bottom w:val="single" w:sz="4" w:space="0" w:color="auto"/>
              <w:right w:val="nil"/>
            </w:tcBorders>
            <w:shd w:val="clear" w:color="auto" w:fill="auto"/>
            <w:vAlign w:val="center"/>
            <w:hideMark/>
          </w:tcPr>
          <w:p w14:paraId="1F601465"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43FB3032"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1674CF46"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1A40737E"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359B720E" w14:textId="77777777" w:rsidR="008437BD" w:rsidRPr="00920DF8" w:rsidRDefault="008437BD" w:rsidP="006C391F">
            <w:pPr>
              <w:jc w:val="center"/>
              <w:rPr>
                <w:color w:val="000000"/>
                <w:sz w:val="20"/>
              </w:rPr>
            </w:pPr>
            <w:r w:rsidRPr="004F2E8D">
              <w:rPr>
                <w:color w:val="000000"/>
                <w:sz w:val="20"/>
              </w:rPr>
              <w:t>M</w:t>
            </w:r>
          </w:p>
        </w:tc>
      </w:tr>
      <w:tr w:rsidR="004F2E8D" w:rsidRPr="00920DF8" w14:paraId="046103E6" w14:textId="77777777" w:rsidTr="008437BD">
        <w:trPr>
          <w:trHeight w:val="570"/>
        </w:trPr>
        <w:tc>
          <w:tcPr>
            <w:tcW w:w="975" w:type="dxa"/>
            <w:tcBorders>
              <w:top w:val="nil"/>
              <w:left w:val="nil"/>
              <w:bottom w:val="single" w:sz="4" w:space="0" w:color="auto"/>
              <w:right w:val="nil"/>
            </w:tcBorders>
            <w:shd w:val="clear" w:color="auto" w:fill="auto"/>
            <w:vAlign w:val="center"/>
            <w:hideMark/>
          </w:tcPr>
          <w:p w14:paraId="0DB5994F" w14:textId="77777777" w:rsidR="008437BD" w:rsidRPr="00920DF8" w:rsidRDefault="008437BD" w:rsidP="006C391F">
            <w:pPr>
              <w:jc w:val="center"/>
              <w:rPr>
                <w:color w:val="000000"/>
                <w:sz w:val="20"/>
              </w:rPr>
            </w:pPr>
            <w:r w:rsidRPr="00920DF8">
              <w:rPr>
                <w:color w:val="000000"/>
                <w:sz w:val="20"/>
              </w:rPr>
              <w:t>CGEN</w:t>
            </w:r>
          </w:p>
        </w:tc>
        <w:tc>
          <w:tcPr>
            <w:tcW w:w="3393" w:type="dxa"/>
            <w:tcBorders>
              <w:top w:val="nil"/>
              <w:left w:val="nil"/>
              <w:bottom w:val="single" w:sz="4" w:space="0" w:color="auto"/>
              <w:right w:val="nil"/>
            </w:tcBorders>
            <w:shd w:val="clear" w:color="auto" w:fill="auto"/>
            <w:vAlign w:val="center"/>
            <w:hideMark/>
          </w:tcPr>
          <w:p w14:paraId="0AC733DC" w14:textId="62BB6748" w:rsidR="008437BD" w:rsidRPr="00920DF8" w:rsidRDefault="008437BD" w:rsidP="006C391F">
            <w:pPr>
              <w:jc w:val="both"/>
              <w:rPr>
                <w:color w:val="000000"/>
                <w:sz w:val="20"/>
              </w:rPr>
            </w:pPr>
            <w:r w:rsidRPr="00920DF8">
              <w:rPr>
                <w:color w:val="000000"/>
                <w:sz w:val="20"/>
              </w:rPr>
              <w:t>I</w:t>
            </w:r>
            <w:r w:rsidR="0049053A">
              <w:rPr>
                <w:color w:val="000000"/>
                <w:sz w:val="20"/>
              </w:rPr>
              <w:t>m</w:t>
            </w:r>
            <w:r w:rsidRPr="00920DF8">
              <w:rPr>
                <w:color w:val="000000"/>
                <w:sz w:val="20"/>
              </w:rPr>
              <w:t>pact of generation / technology phase &amp; H</w:t>
            </w:r>
            <w:r w:rsidR="004F2E8D">
              <w:rPr>
                <w:color w:val="000000"/>
                <w:sz w:val="20"/>
              </w:rPr>
              <w:t>uman factors evaluations</w:t>
            </w:r>
          </w:p>
        </w:tc>
        <w:tc>
          <w:tcPr>
            <w:tcW w:w="537" w:type="dxa"/>
            <w:tcBorders>
              <w:top w:val="nil"/>
              <w:left w:val="nil"/>
              <w:bottom w:val="single" w:sz="4" w:space="0" w:color="auto"/>
              <w:right w:val="nil"/>
            </w:tcBorders>
            <w:shd w:val="clear" w:color="auto" w:fill="auto"/>
            <w:vAlign w:val="center"/>
            <w:hideMark/>
          </w:tcPr>
          <w:p w14:paraId="171D2F54"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55AD6A07"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78C97770" w14:textId="77777777" w:rsidR="008437BD" w:rsidRPr="00920DF8" w:rsidRDefault="008437BD" w:rsidP="006C391F">
            <w:pPr>
              <w:jc w:val="center"/>
              <w:rPr>
                <w:color w:val="000000"/>
                <w:sz w:val="20"/>
              </w:rPr>
            </w:pPr>
            <w:r w:rsidRPr="004F2E8D">
              <w:rPr>
                <w:color w:val="000000"/>
                <w:sz w:val="20"/>
              </w:rPr>
              <w:t>M</w:t>
            </w:r>
          </w:p>
        </w:tc>
        <w:tc>
          <w:tcPr>
            <w:tcW w:w="447" w:type="dxa"/>
            <w:tcBorders>
              <w:top w:val="nil"/>
              <w:left w:val="nil"/>
              <w:bottom w:val="single" w:sz="4" w:space="0" w:color="auto"/>
              <w:right w:val="nil"/>
            </w:tcBorders>
            <w:shd w:val="clear" w:color="auto" w:fill="auto"/>
            <w:vAlign w:val="center"/>
            <w:hideMark/>
          </w:tcPr>
          <w:p w14:paraId="63F80F47" w14:textId="77777777" w:rsidR="008437BD" w:rsidRPr="00920DF8" w:rsidRDefault="008437BD" w:rsidP="006C391F">
            <w:pPr>
              <w:jc w:val="center"/>
              <w:rPr>
                <w:color w:val="000000"/>
                <w:sz w:val="20"/>
              </w:rPr>
            </w:pPr>
            <w:r w:rsidRPr="004F2E8D">
              <w:rPr>
                <w:color w:val="000000"/>
                <w:sz w:val="20"/>
              </w:rPr>
              <w:t>M</w:t>
            </w:r>
          </w:p>
        </w:tc>
        <w:tc>
          <w:tcPr>
            <w:tcW w:w="445" w:type="dxa"/>
            <w:tcBorders>
              <w:top w:val="nil"/>
              <w:left w:val="nil"/>
              <w:bottom w:val="single" w:sz="4" w:space="0" w:color="auto"/>
              <w:right w:val="nil"/>
            </w:tcBorders>
            <w:shd w:val="clear" w:color="auto" w:fill="auto"/>
            <w:vAlign w:val="center"/>
            <w:hideMark/>
          </w:tcPr>
          <w:p w14:paraId="3E6EFFEB"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435CAE24"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559177C3" w14:textId="77777777" w:rsidR="008437BD" w:rsidRPr="00920DF8" w:rsidRDefault="008437BD" w:rsidP="006C391F">
            <w:pPr>
              <w:jc w:val="center"/>
              <w:rPr>
                <w:color w:val="000000"/>
                <w:sz w:val="20"/>
              </w:rPr>
            </w:pPr>
            <w:r w:rsidRPr="004F2E8D">
              <w:rPr>
                <w:color w:val="000000"/>
                <w:sz w:val="20"/>
              </w:rPr>
              <w:t>H</w:t>
            </w:r>
          </w:p>
        </w:tc>
        <w:tc>
          <w:tcPr>
            <w:tcW w:w="467" w:type="dxa"/>
            <w:tcBorders>
              <w:top w:val="nil"/>
              <w:left w:val="nil"/>
              <w:bottom w:val="single" w:sz="4" w:space="0" w:color="auto"/>
              <w:right w:val="nil"/>
            </w:tcBorders>
            <w:shd w:val="clear" w:color="auto" w:fill="auto"/>
            <w:vAlign w:val="center"/>
            <w:hideMark/>
          </w:tcPr>
          <w:p w14:paraId="48AC6821"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1923903C" w14:textId="77777777" w:rsidR="008437BD" w:rsidRPr="00920DF8" w:rsidRDefault="008437BD" w:rsidP="006C391F">
            <w:pPr>
              <w:jc w:val="center"/>
              <w:rPr>
                <w:color w:val="000000"/>
                <w:sz w:val="20"/>
              </w:rPr>
            </w:pPr>
            <w:r w:rsidRPr="004F2E8D">
              <w:rPr>
                <w:color w:val="000000"/>
                <w:sz w:val="20"/>
              </w:rPr>
              <w:t>H</w:t>
            </w:r>
          </w:p>
        </w:tc>
      </w:tr>
      <w:tr w:rsidR="004F2E8D" w:rsidRPr="00920DF8" w14:paraId="385871EF" w14:textId="77777777" w:rsidTr="008437BD">
        <w:trPr>
          <w:trHeight w:val="315"/>
        </w:trPr>
        <w:tc>
          <w:tcPr>
            <w:tcW w:w="975" w:type="dxa"/>
            <w:tcBorders>
              <w:top w:val="nil"/>
              <w:left w:val="nil"/>
              <w:bottom w:val="single" w:sz="4" w:space="0" w:color="auto"/>
              <w:right w:val="nil"/>
            </w:tcBorders>
            <w:shd w:val="clear" w:color="auto" w:fill="auto"/>
            <w:vAlign w:val="center"/>
            <w:hideMark/>
          </w:tcPr>
          <w:p w14:paraId="18DF4794" w14:textId="77777777" w:rsidR="008437BD" w:rsidRPr="00920DF8" w:rsidRDefault="008437BD" w:rsidP="006C391F">
            <w:pPr>
              <w:jc w:val="center"/>
              <w:rPr>
                <w:color w:val="000000"/>
                <w:sz w:val="20"/>
              </w:rPr>
            </w:pPr>
            <w:r w:rsidRPr="00920DF8">
              <w:rPr>
                <w:color w:val="000000"/>
                <w:sz w:val="20"/>
              </w:rPr>
              <w:t>CSIT</w:t>
            </w:r>
          </w:p>
        </w:tc>
        <w:tc>
          <w:tcPr>
            <w:tcW w:w="3393" w:type="dxa"/>
            <w:tcBorders>
              <w:top w:val="nil"/>
              <w:left w:val="nil"/>
              <w:bottom w:val="single" w:sz="4" w:space="0" w:color="auto"/>
              <w:right w:val="nil"/>
            </w:tcBorders>
            <w:shd w:val="clear" w:color="auto" w:fill="auto"/>
            <w:vAlign w:val="center"/>
            <w:hideMark/>
          </w:tcPr>
          <w:p w14:paraId="48C9B502" w14:textId="77777777" w:rsidR="008437BD" w:rsidRPr="00920DF8" w:rsidRDefault="008437BD" w:rsidP="006C391F">
            <w:pPr>
              <w:jc w:val="both"/>
              <w:rPr>
                <w:color w:val="000000"/>
                <w:sz w:val="20"/>
              </w:rPr>
            </w:pPr>
            <w:r w:rsidRPr="00920DF8">
              <w:rPr>
                <w:color w:val="000000"/>
                <w:sz w:val="20"/>
              </w:rPr>
              <w:t xml:space="preserve">Impact of site selection predefined criteria </w:t>
            </w:r>
          </w:p>
        </w:tc>
        <w:tc>
          <w:tcPr>
            <w:tcW w:w="537" w:type="dxa"/>
            <w:tcBorders>
              <w:top w:val="nil"/>
              <w:left w:val="nil"/>
              <w:bottom w:val="single" w:sz="4" w:space="0" w:color="auto"/>
              <w:right w:val="nil"/>
            </w:tcBorders>
            <w:shd w:val="clear" w:color="auto" w:fill="auto"/>
            <w:vAlign w:val="center"/>
            <w:hideMark/>
          </w:tcPr>
          <w:p w14:paraId="7D31E910"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7EC6F4C2"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31A8B0B0"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2F8F0D4E" w14:textId="77777777" w:rsidR="008437BD" w:rsidRPr="00920DF8" w:rsidRDefault="008437BD" w:rsidP="006C391F">
            <w:pPr>
              <w:jc w:val="center"/>
              <w:rPr>
                <w:color w:val="000000"/>
                <w:sz w:val="20"/>
              </w:rPr>
            </w:pPr>
            <w:r w:rsidRPr="004F2E8D">
              <w:rPr>
                <w:color w:val="000000"/>
                <w:sz w:val="20"/>
              </w:rPr>
              <w:t>L</w:t>
            </w:r>
          </w:p>
        </w:tc>
        <w:tc>
          <w:tcPr>
            <w:tcW w:w="445" w:type="dxa"/>
            <w:tcBorders>
              <w:top w:val="nil"/>
              <w:left w:val="nil"/>
              <w:bottom w:val="single" w:sz="4" w:space="0" w:color="auto"/>
              <w:right w:val="nil"/>
            </w:tcBorders>
            <w:shd w:val="clear" w:color="auto" w:fill="auto"/>
            <w:vAlign w:val="center"/>
            <w:hideMark/>
          </w:tcPr>
          <w:p w14:paraId="1DFE3A1C"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3D0816AB"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7A5A776F"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7BA4CAF1" w14:textId="77777777" w:rsidR="008437BD" w:rsidRPr="00920DF8" w:rsidRDefault="008437BD" w:rsidP="006C391F">
            <w:pPr>
              <w:jc w:val="center"/>
              <w:rPr>
                <w:color w:val="000000"/>
                <w:sz w:val="20"/>
              </w:rPr>
            </w:pPr>
            <w:r w:rsidRPr="004F2E8D">
              <w:rPr>
                <w:color w:val="000000"/>
                <w:sz w:val="20"/>
              </w:rPr>
              <w:t>L</w:t>
            </w:r>
          </w:p>
        </w:tc>
        <w:tc>
          <w:tcPr>
            <w:tcW w:w="506" w:type="dxa"/>
            <w:tcBorders>
              <w:top w:val="nil"/>
              <w:left w:val="nil"/>
              <w:bottom w:val="single" w:sz="4" w:space="0" w:color="auto"/>
              <w:right w:val="nil"/>
            </w:tcBorders>
            <w:shd w:val="clear" w:color="auto" w:fill="auto"/>
            <w:vAlign w:val="center"/>
            <w:hideMark/>
          </w:tcPr>
          <w:p w14:paraId="7C0A75DC" w14:textId="77777777" w:rsidR="008437BD" w:rsidRPr="00920DF8" w:rsidRDefault="008437BD" w:rsidP="006C391F">
            <w:pPr>
              <w:jc w:val="center"/>
              <w:rPr>
                <w:color w:val="000000"/>
                <w:sz w:val="20"/>
              </w:rPr>
            </w:pPr>
            <w:r w:rsidRPr="004F2E8D">
              <w:rPr>
                <w:color w:val="000000"/>
                <w:sz w:val="20"/>
              </w:rPr>
              <w:t>L</w:t>
            </w:r>
          </w:p>
        </w:tc>
      </w:tr>
      <w:tr w:rsidR="004F2E8D" w:rsidRPr="00920DF8" w14:paraId="49FFA7BE" w14:textId="77777777" w:rsidTr="008437BD">
        <w:trPr>
          <w:trHeight w:val="390"/>
        </w:trPr>
        <w:tc>
          <w:tcPr>
            <w:tcW w:w="975" w:type="dxa"/>
            <w:tcBorders>
              <w:top w:val="nil"/>
              <w:left w:val="nil"/>
              <w:bottom w:val="single" w:sz="4" w:space="0" w:color="auto"/>
              <w:right w:val="nil"/>
            </w:tcBorders>
            <w:shd w:val="clear" w:color="auto" w:fill="auto"/>
            <w:vAlign w:val="center"/>
            <w:hideMark/>
          </w:tcPr>
          <w:p w14:paraId="34179ECA" w14:textId="77777777" w:rsidR="008437BD" w:rsidRPr="00920DF8" w:rsidRDefault="008437BD" w:rsidP="006C391F">
            <w:pPr>
              <w:jc w:val="center"/>
              <w:rPr>
                <w:color w:val="000000"/>
                <w:sz w:val="20"/>
              </w:rPr>
            </w:pPr>
            <w:r w:rsidRPr="00920DF8">
              <w:rPr>
                <w:color w:val="000000"/>
                <w:sz w:val="20"/>
              </w:rPr>
              <w:t>CEP</w:t>
            </w:r>
          </w:p>
        </w:tc>
        <w:tc>
          <w:tcPr>
            <w:tcW w:w="3393" w:type="dxa"/>
            <w:tcBorders>
              <w:top w:val="nil"/>
              <w:left w:val="nil"/>
              <w:bottom w:val="single" w:sz="4" w:space="0" w:color="auto"/>
              <w:right w:val="nil"/>
            </w:tcBorders>
            <w:shd w:val="clear" w:color="auto" w:fill="auto"/>
            <w:vAlign w:val="center"/>
            <w:hideMark/>
          </w:tcPr>
          <w:p w14:paraId="0933715F" w14:textId="77777777" w:rsidR="008437BD" w:rsidRPr="00920DF8" w:rsidRDefault="008437BD" w:rsidP="006C391F">
            <w:pPr>
              <w:jc w:val="both"/>
              <w:rPr>
                <w:color w:val="000000"/>
                <w:sz w:val="20"/>
              </w:rPr>
            </w:pPr>
            <w:r w:rsidRPr="00920DF8">
              <w:rPr>
                <w:color w:val="000000"/>
                <w:sz w:val="20"/>
              </w:rPr>
              <w:t xml:space="preserve">Emergency Plan and mitigating actions </w:t>
            </w:r>
          </w:p>
        </w:tc>
        <w:tc>
          <w:tcPr>
            <w:tcW w:w="537" w:type="dxa"/>
            <w:tcBorders>
              <w:top w:val="nil"/>
              <w:left w:val="nil"/>
              <w:bottom w:val="single" w:sz="4" w:space="0" w:color="auto"/>
              <w:right w:val="nil"/>
            </w:tcBorders>
            <w:shd w:val="clear" w:color="auto" w:fill="auto"/>
            <w:vAlign w:val="center"/>
            <w:hideMark/>
          </w:tcPr>
          <w:p w14:paraId="1590EFA7"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74469E99"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543F57FB"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1D1F1087" w14:textId="77777777" w:rsidR="008437BD" w:rsidRPr="00920DF8" w:rsidRDefault="008437BD" w:rsidP="006C391F">
            <w:pPr>
              <w:jc w:val="center"/>
              <w:rPr>
                <w:color w:val="000000"/>
                <w:sz w:val="20"/>
              </w:rPr>
            </w:pPr>
            <w:r w:rsidRPr="004F2E8D">
              <w:rPr>
                <w:color w:val="000000"/>
                <w:sz w:val="20"/>
              </w:rPr>
              <w:t>L</w:t>
            </w:r>
          </w:p>
        </w:tc>
        <w:tc>
          <w:tcPr>
            <w:tcW w:w="445" w:type="dxa"/>
            <w:tcBorders>
              <w:top w:val="nil"/>
              <w:left w:val="nil"/>
              <w:bottom w:val="single" w:sz="4" w:space="0" w:color="auto"/>
              <w:right w:val="nil"/>
            </w:tcBorders>
            <w:shd w:val="clear" w:color="auto" w:fill="auto"/>
            <w:vAlign w:val="center"/>
            <w:hideMark/>
          </w:tcPr>
          <w:p w14:paraId="4BC9C470"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1681DBC6"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0ED901AA"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36219C38"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4272D26E" w14:textId="77777777" w:rsidR="008437BD" w:rsidRPr="00920DF8" w:rsidRDefault="008437BD" w:rsidP="006C391F">
            <w:pPr>
              <w:jc w:val="center"/>
              <w:rPr>
                <w:color w:val="000000"/>
                <w:sz w:val="20"/>
              </w:rPr>
            </w:pPr>
            <w:r w:rsidRPr="004F2E8D">
              <w:rPr>
                <w:color w:val="000000"/>
                <w:sz w:val="20"/>
              </w:rPr>
              <w:t>M</w:t>
            </w:r>
          </w:p>
        </w:tc>
      </w:tr>
      <w:tr w:rsidR="004F2E8D" w:rsidRPr="00920DF8" w14:paraId="7C46AACC" w14:textId="77777777" w:rsidTr="008437BD">
        <w:trPr>
          <w:trHeight w:val="345"/>
        </w:trPr>
        <w:tc>
          <w:tcPr>
            <w:tcW w:w="975" w:type="dxa"/>
            <w:tcBorders>
              <w:top w:val="nil"/>
              <w:left w:val="nil"/>
              <w:bottom w:val="single" w:sz="4" w:space="0" w:color="auto"/>
              <w:right w:val="nil"/>
            </w:tcBorders>
            <w:shd w:val="clear" w:color="auto" w:fill="auto"/>
            <w:vAlign w:val="center"/>
            <w:hideMark/>
          </w:tcPr>
          <w:p w14:paraId="6FD2FF6F" w14:textId="77777777" w:rsidR="008437BD" w:rsidRPr="00920DF8" w:rsidRDefault="008437BD" w:rsidP="006C391F">
            <w:pPr>
              <w:jc w:val="center"/>
              <w:rPr>
                <w:color w:val="000000"/>
                <w:sz w:val="20"/>
              </w:rPr>
            </w:pPr>
            <w:r w:rsidRPr="00920DF8">
              <w:rPr>
                <w:color w:val="000000"/>
                <w:sz w:val="20"/>
              </w:rPr>
              <w:t>FEFC</w:t>
            </w:r>
          </w:p>
        </w:tc>
        <w:tc>
          <w:tcPr>
            <w:tcW w:w="3393" w:type="dxa"/>
            <w:tcBorders>
              <w:top w:val="nil"/>
              <w:left w:val="nil"/>
              <w:bottom w:val="single" w:sz="4" w:space="0" w:color="auto"/>
              <w:right w:val="nil"/>
            </w:tcBorders>
            <w:shd w:val="clear" w:color="auto" w:fill="auto"/>
            <w:vAlign w:val="center"/>
            <w:hideMark/>
          </w:tcPr>
          <w:p w14:paraId="0C9E363F" w14:textId="77777777" w:rsidR="008437BD" w:rsidRPr="00920DF8" w:rsidRDefault="008437BD" w:rsidP="006C391F">
            <w:pPr>
              <w:jc w:val="both"/>
              <w:rPr>
                <w:color w:val="000000"/>
                <w:sz w:val="20"/>
              </w:rPr>
            </w:pPr>
            <w:r w:rsidRPr="00920DF8">
              <w:rPr>
                <w:color w:val="000000"/>
                <w:sz w:val="20"/>
              </w:rPr>
              <w:t>Front end fuel cycle</w:t>
            </w:r>
          </w:p>
        </w:tc>
        <w:tc>
          <w:tcPr>
            <w:tcW w:w="537" w:type="dxa"/>
            <w:tcBorders>
              <w:top w:val="nil"/>
              <w:left w:val="nil"/>
              <w:bottom w:val="single" w:sz="4" w:space="0" w:color="auto"/>
              <w:right w:val="nil"/>
            </w:tcBorders>
            <w:shd w:val="clear" w:color="auto" w:fill="auto"/>
            <w:vAlign w:val="center"/>
            <w:hideMark/>
          </w:tcPr>
          <w:p w14:paraId="2C93B82C" w14:textId="40C70F3A" w:rsidR="008437BD" w:rsidRPr="00920DF8" w:rsidRDefault="008437BD" w:rsidP="006C391F">
            <w:pPr>
              <w:jc w:val="center"/>
              <w:rPr>
                <w:color w:val="000000"/>
                <w:sz w:val="20"/>
              </w:rPr>
            </w:pPr>
            <w:r w:rsidRPr="00920DF8">
              <w:rPr>
                <w:color w:val="000000"/>
                <w:sz w:val="20"/>
              </w:rPr>
              <w:t> </w:t>
            </w: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3A0D4D0C" w14:textId="2F9FFD89" w:rsidR="008437BD" w:rsidRPr="00920DF8" w:rsidRDefault="008437BD" w:rsidP="006C391F">
            <w:pPr>
              <w:jc w:val="center"/>
              <w:rPr>
                <w:color w:val="000000"/>
                <w:sz w:val="20"/>
              </w:rPr>
            </w:pPr>
            <w:r w:rsidRPr="004F2E8D">
              <w:rPr>
                <w:color w:val="000000"/>
                <w:sz w:val="20"/>
              </w:rPr>
              <w:t>L</w:t>
            </w:r>
            <w:r w:rsidRPr="00920DF8">
              <w:rPr>
                <w:color w:val="000000"/>
                <w:sz w:val="20"/>
              </w:rPr>
              <w:t> </w:t>
            </w:r>
          </w:p>
        </w:tc>
        <w:tc>
          <w:tcPr>
            <w:tcW w:w="637" w:type="dxa"/>
            <w:tcBorders>
              <w:top w:val="nil"/>
              <w:left w:val="nil"/>
              <w:bottom w:val="single" w:sz="4" w:space="0" w:color="auto"/>
              <w:right w:val="nil"/>
            </w:tcBorders>
            <w:shd w:val="clear" w:color="auto" w:fill="auto"/>
            <w:vAlign w:val="center"/>
            <w:hideMark/>
          </w:tcPr>
          <w:p w14:paraId="2B518FC4" w14:textId="27CE45F7" w:rsidR="008437BD" w:rsidRPr="00920DF8" w:rsidRDefault="008437BD" w:rsidP="006C391F">
            <w:pPr>
              <w:jc w:val="center"/>
              <w:rPr>
                <w:color w:val="000000"/>
                <w:sz w:val="20"/>
              </w:rPr>
            </w:pPr>
            <w:r w:rsidRPr="004F2E8D">
              <w:rPr>
                <w:color w:val="000000"/>
                <w:sz w:val="20"/>
              </w:rPr>
              <w:t>M</w:t>
            </w:r>
            <w:r w:rsidRPr="00920DF8">
              <w:rPr>
                <w:color w:val="000000"/>
                <w:sz w:val="20"/>
              </w:rPr>
              <w:t> </w:t>
            </w:r>
          </w:p>
        </w:tc>
        <w:tc>
          <w:tcPr>
            <w:tcW w:w="447" w:type="dxa"/>
            <w:tcBorders>
              <w:top w:val="nil"/>
              <w:left w:val="nil"/>
              <w:bottom w:val="single" w:sz="4" w:space="0" w:color="auto"/>
              <w:right w:val="nil"/>
            </w:tcBorders>
            <w:shd w:val="clear" w:color="auto" w:fill="auto"/>
            <w:vAlign w:val="center"/>
            <w:hideMark/>
          </w:tcPr>
          <w:p w14:paraId="730513D6" w14:textId="2F5EDC5D" w:rsidR="008437BD" w:rsidRPr="00920DF8" w:rsidRDefault="008437BD" w:rsidP="006C391F">
            <w:pPr>
              <w:jc w:val="center"/>
              <w:rPr>
                <w:color w:val="000000"/>
                <w:sz w:val="20"/>
              </w:rPr>
            </w:pPr>
            <w:r w:rsidRPr="004F2E8D">
              <w:rPr>
                <w:color w:val="000000"/>
                <w:sz w:val="20"/>
              </w:rPr>
              <w:t>L</w:t>
            </w:r>
            <w:r w:rsidRPr="00920DF8">
              <w:rPr>
                <w:color w:val="000000"/>
                <w:sz w:val="20"/>
              </w:rPr>
              <w:t> </w:t>
            </w:r>
          </w:p>
        </w:tc>
        <w:tc>
          <w:tcPr>
            <w:tcW w:w="445" w:type="dxa"/>
            <w:tcBorders>
              <w:top w:val="nil"/>
              <w:left w:val="nil"/>
              <w:bottom w:val="single" w:sz="4" w:space="0" w:color="auto"/>
              <w:right w:val="nil"/>
            </w:tcBorders>
            <w:shd w:val="clear" w:color="auto" w:fill="auto"/>
            <w:vAlign w:val="center"/>
            <w:hideMark/>
          </w:tcPr>
          <w:p w14:paraId="24D6FD71" w14:textId="6538A823" w:rsidR="008437BD" w:rsidRPr="00920DF8" w:rsidRDefault="008437BD" w:rsidP="006C391F">
            <w:pPr>
              <w:jc w:val="center"/>
              <w:rPr>
                <w:color w:val="000000"/>
                <w:sz w:val="20"/>
              </w:rPr>
            </w:pPr>
            <w:r w:rsidRPr="004F2E8D">
              <w:rPr>
                <w:color w:val="000000"/>
                <w:sz w:val="20"/>
              </w:rPr>
              <w:t>L</w:t>
            </w:r>
            <w:r w:rsidRPr="00920DF8">
              <w:rPr>
                <w:color w:val="000000"/>
                <w:sz w:val="20"/>
              </w:rPr>
              <w:t> </w:t>
            </w:r>
          </w:p>
        </w:tc>
        <w:tc>
          <w:tcPr>
            <w:tcW w:w="506" w:type="dxa"/>
            <w:tcBorders>
              <w:top w:val="nil"/>
              <w:left w:val="nil"/>
              <w:bottom w:val="single" w:sz="4" w:space="0" w:color="auto"/>
              <w:right w:val="nil"/>
            </w:tcBorders>
            <w:shd w:val="clear" w:color="auto" w:fill="auto"/>
            <w:vAlign w:val="center"/>
            <w:hideMark/>
          </w:tcPr>
          <w:p w14:paraId="66C5A5E6" w14:textId="49972413" w:rsidR="008437BD" w:rsidRPr="00920DF8" w:rsidRDefault="008437BD" w:rsidP="006C391F">
            <w:pPr>
              <w:jc w:val="center"/>
              <w:rPr>
                <w:color w:val="000000"/>
                <w:sz w:val="20"/>
              </w:rPr>
            </w:pPr>
            <w:r w:rsidRPr="004F2E8D">
              <w:rPr>
                <w:color w:val="000000"/>
                <w:sz w:val="20"/>
              </w:rPr>
              <w:t>M</w:t>
            </w:r>
            <w:r w:rsidRPr="00920DF8">
              <w:rPr>
                <w:color w:val="000000"/>
                <w:sz w:val="20"/>
              </w:rPr>
              <w:t> </w:t>
            </w:r>
          </w:p>
        </w:tc>
        <w:tc>
          <w:tcPr>
            <w:tcW w:w="467" w:type="dxa"/>
            <w:tcBorders>
              <w:top w:val="nil"/>
              <w:left w:val="nil"/>
              <w:bottom w:val="single" w:sz="4" w:space="0" w:color="auto"/>
              <w:right w:val="nil"/>
            </w:tcBorders>
            <w:shd w:val="clear" w:color="auto" w:fill="auto"/>
            <w:vAlign w:val="center"/>
            <w:hideMark/>
          </w:tcPr>
          <w:p w14:paraId="477A5E31" w14:textId="464FD32E" w:rsidR="008437BD" w:rsidRPr="00920DF8" w:rsidRDefault="008437BD" w:rsidP="006C391F">
            <w:pPr>
              <w:jc w:val="center"/>
              <w:rPr>
                <w:color w:val="000000"/>
                <w:sz w:val="20"/>
              </w:rPr>
            </w:pPr>
            <w:r w:rsidRPr="004F2E8D">
              <w:rPr>
                <w:color w:val="000000"/>
                <w:sz w:val="20"/>
              </w:rPr>
              <w:t>M</w:t>
            </w:r>
            <w:r w:rsidRPr="00920DF8">
              <w:rPr>
                <w:color w:val="000000"/>
                <w:sz w:val="20"/>
              </w:rPr>
              <w:t> </w:t>
            </w:r>
          </w:p>
        </w:tc>
        <w:tc>
          <w:tcPr>
            <w:tcW w:w="467" w:type="dxa"/>
            <w:tcBorders>
              <w:top w:val="nil"/>
              <w:left w:val="nil"/>
              <w:bottom w:val="single" w:sz="4" w:space="0" w:color="auto"/>
              <w:right w:val="nil"/>
            </w:tcBorders>
            <w:shd w:val="clear" w:color="auto" w:fill="auto"/>
            <w:vAlign w:val="center"/>
            <w:hideMark/>
          </w:tcPr>
          <w:p w14:paraId="3C7C5E62" w14:textId="7F656339" w:rsidR="008437BD" w:rsidRPr="00920DF8" w:rsidRDefault="008437BD" w:rsidP="006C391F">
            <w:pPr>
              <w:jc w:val="center"/>
              <w:rPr>
                <w:color w:val="000000"/>
                <w:sz w:val="20"/>
              </w:rPr>
            </w:pPr>
            <w:r w:rsidRPr="004F2E8D">
              <w:rPr>
                <w:color w:val="000000"/>
                <w:sz w:val="20"/>
              </w:rPr>
              <w:t>M</w:t>
            </w:r>
            <w:r w:rsidRPr="00920DF8">
              <w:rPr>
                <w:color w:val="000000"/>
                <w:sz w:val="20"/>
              </w:rPr>
              <w:t> </w:t>
            </w:r>
          </w:p>
        </w:tc>
        <w:tc>
          <w:tcPr>
            <w:tcW w:w="506" w:type="dxa"/>
            <w:tcBorders>
              <w:top w:val="nil"/>
              <w:left w:val="nil"/>
              <w:bottom w:val="single" w:sz="4" w:space="0" w:color="auto"/>
              <w:right w:val="nil"/>
            </w:tcBorders>
            <w:shd w:val="clear" w:color="auto" w:fill="auto"/>
            <w:vAlign w:val="center"/>
            <w:hideMark/>
          </w:tcPr>
          <w:p w14:paraId="0A3DB49D" w14:textId="6F9C87E7" w:rsidR="008437BD" w:rsidRPr="00920DF8" w:rsidRDefault="008437BD" w:rsidP="006C391F">
            <w:pPr>
              <w:jc w:val="center"/>
              <w:rPr>
                <w:color w:val="000000"/>
                <w:sz w:val="20"/>
              </w:rPr>
            </w:pPr>
            <w:r w:rsidRPr="004F2E8D">
              <w:rPr>
                <w:color w:val="000000"/>
                <w:sz w:val="20"/>
              </w:rPr>
              <w:t>H</w:t>
            </w:r>
            <w:r w:rsidRPr="00920DF8">
              <w:rPr>
                <w:color w:val="000000"/>
                <w:sz w:val="20"/>
              </w:rPr>
              <w:t> </w:t>
            </w:r>
          </w:p>
        </w:tc>
      </w:tr>
      <w:tr w:rsidR="004F2E8D" w:rsidRPr="00920DF8" w14:paraId="4879773A" w14:textId="77777777" w:rsidTr="008437BD">
        <w:trPr>
          <w:trHeight w:val="330"/>
        </w:trPr>
        <w:tc>
          <w:tcPr>
            <w:tcW w:w="975" w:type="dxa"/>
            <w:tcBorders>
              <w:top w:val="nil"/>
              <w:left w:val="nil"/>
              <w:bottom w:val="single" w:sz="4" w:space="0" w:color="auto"/>
              <w:right w:val="nil"/>
            </w:tcBorders>
            <w:shd w:val="clear" w:color="auto" w:fill="auto"/>
            <w:vAlign w:val="center"/>
            <w:hideMark/>
          </w:tcPr>
          <w:p w14:paraId="3E13440D" w14:textId="77777777" w:rsidR="008437BD" w:rsidRPr="00920DF8" w:rsidRDefault="008437BD" w:rsidP="006C391F">
            <w:pPr>
              <w:jc w:val="center"/>
              <w:rPr>
                <w:color w:val="000000"/>
                <w:sz w:val="20"/>
              </w:rPr>
            </w:pPr>
            <w:r w:rsidRPr="00920DF8">
              <w:rPr>
                <w:color w:val="000000"/>
                <w:sz w:val="20"/>
              </w:rPr>
              <w:t>BEFC</w:t>
            </w:r>
          </w:p>
        </w:tc>
        <w:tc>
          <w:tcPr>
            <w:tcW w:w="3393" w:type="dxa"/>
            <w:tcBorders>
              <w:top w:val="nil"/>
              <w:left w:val="nil"/>
              <w:bottom w:val="single" w:sz="4" w:space="0" w:color="auto"/>
              <w:right w:val="nil"/>
            </w:tcBorders>
            <w:shd w:val="clear" w:color="auto" w:fill="auto"/>
            <w:vAlign w:val="center"/>
            <w:hideMark/>
          </w:tcPr>
          <w:p w14:paraId="04268EF4" w14:textId="00A45E1F" w:rsidR="008437BD" w:rsidRPr="00920DF8" w:rsidRDefault="00FC00A9" w:rsidP="006C391F">
            <w:pPr>
              <w:jc w:val="both"/>
              <w:rPr>
                <w:color w:val="000000"/>
                <w:sz w:val="20"/>
              </w:rPr>
            </w:pPr>
            <w:r w:rsidRPr="00920DF8">
              <w:rPr>
                <w:color w:val="000000"/>
                <w:sz w:val="20"/>
              </w:rPr>
              <w:t>Back</w:t>
            </w:r>
            <w:r>
              <w:rPr>
                <w:color w:val="000000"/>
                <w:sz w:val="20"/>
              </w:rPr>
              <w:t>-end</w:t>
            </w:r>
            <w:r w:rsidR="008437BD" w:rsidRPr="00920DF8">
              <w:rPr>
                <w:color w:val="000000"/>
                <w:sz w:val="20"/>
              </w:rPr>
              <w:t xml:space="preserve"> fuel cycle</w:t>
            </w:r>
          </w:p>
        </w:tc>
        <w:tc>
          <w:tcPr>
            <w:tcW w:w="537" w:type="dxa"/>
            <w:tcBorders>
              <w:top w:val="nil"/>
              <w:left w:val="nil"/>
              <w:bottom w:val="single" w:sz="4" w:space="0" w:color="auto"/>
              <w:right w:val="nil"/>
            </w:tcBorders>
            <w:shd w:val="clear" w:color="auto" w:fill="auto"/>
            <w:vAlign w:val="center"/>
            <w:hideMark/>
          </w:tcPr>
          <w:p w14:paraId="5646CD27" w14:textId="63168F0B" w:rsidR="008437BD" w:rsidRPr="00920DF8" w:rsidRDefault="008437BD" w:rsidP="006C391F">
            <w:pPr>
              <w:jc w:val="center"/>
              <w:rPr>
                <w:color w:val="000000"/>
                <w:sz w:val="20"/>
              </w:rPr>
            </w:pPr>
            <w:r w:rsidRPr="00920DF8">
              <w:rPr>
                <w:color w:val="000000"/>
                <w:sz w:val="20"/>
              </w:rPr>
              <w:t> </w:t>
            </w: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753938F1" w14:textId="737A8903" w:rsidR="008437BD" w:rsidRPr="00920DF8" w:rsidRDefault="008437BD" w:rsidP="006C391F">
            <w:pPr>
              <w:jc w:val="center"/>
              <w:rPr>
                <w:color w:val="000000"/>
                <w:sz w:val="20"/>
              </w:rPr>
            </w:pPr>
            <w:r w:rsidRPr="004F2E8D">
              <w:rPr>
                <w:color w:val="000000"/>
                <w:sz w:val="20"/>
              </w:rPr>
              <w:t>L</w:t>
            </w:r>
            <w:r w:rsidRPr="00920DF8">
              <w:rPr>
                <w:color w:val="000000"/>
                <w:sz w:val="20"/>
              </w:rPr>
              <w:t> </w:t>
            </w:r>
          </w:p>
        </w:tc>
        <w:tc>
          <w:tcPr>
            <w:tcW w:w="637" w:type="dxa"/>
            <w:tcBorders>
              <w:top w:val="nil"/>
              <w:left w:val="nil"/>
              <w:bottom w:val="single" w:sz="4" w:space="0" w:color="auto"/>
              <w:right w:val="nil"/>
            </w:tcBorders>
            <w:shd w:val="clear" w:color="auto" w:fill="auto"/>
            <w:vAlign w:val="center"/>
            <w:hideMark/>
          </w:tcPr>
          <w:p w14:paraId="2F4A6558" w14:textId="3EE72722" w:rsidR="008437BD" w:rsidRPr="00920DF8" w:rsidRDefault="008437BD" w:rsidP="006C391F">
            <w:pPr>
              <w:jc w:val="center"/>
              <w:rPr>
                <w:color w:val="000000"/>
                <w:sz w:val="20"/>
              </w:rPr>
            </w:pPr>
            <w:r w:rsidRPr="004F2E8D">
              <w:rPr>
                <w:color w:val="000000"/>
                <w:sz w:val="20"/>
              </w:rPr>
              <w:t>L</w:t>
            </w:r>
            <w:r w:rsidRPr="00920DF8">
              <w:rPr>
                <w:color w:val="000000"/>
                <w:sz w:val="20"/>
              </w:rPr>
              <w:t> </w:t>
            </w:r>
          </w:p>
        </w:tc>
        <w:tc>
          <w:tcPr>
            <w:tcW w:w="447" w:type="dxa"/>
            <w:tcBorders>
              <w:top w:val="nil"/>
              <w:left w:val="nil"/>
              <w:bottom w:val="single" w:sz="4" w:space="0" w:color="auto"/>
              <w:right w:val="nil"/>
            </w:tcBorders>
            <w:shd w:val="clear" w:color="auto" w:fill="auto"/>
            <w:vAlign w:val="center"/>
            <w:hideMark/>
          </w:tcPr>
          <w:p w14:paraId="541EBB1B" w14:textId="44D524AF" w:rsidR="008437BD" w:rsidRPr="00920DF8" w:rsidRDefault="008437BD" w:rsidP="006C391F">
            <w:pPr>
              <w:jc w:val="center"/>
              <w:rPr>
                <w:color w:val="000000"/>
                <w:sz w:val="20"/>
              </w:rPr>
            </w:pPr>
            <w:r w:rsidRPr="004F2E8D">
              <w:rPr>
                <w:color w:val="000000"/>
                <w:sz w:val="20"/>
              </w:rPr>
              <w:t>L</w:t>
            </w:r>
            <w:r w:rsidRPr="00920DF8">
              <w:rPr>
                <w:color w:val="000000"/>
                <w:sz w:val="20"/>
              </w:rPr>
              <w:t> </w:t>
            </w:r>
          </w:p>
        </w:tc>
        <w:tc>
          <w:tcPr>
            <w:tcW w:w="445" w:type="dxa"/>
            <w:tcBorders>
              <w:top w:val="nil"/>
              <w:left w:val="nil"/>
              <w:bottom w:val="single" w:sz="4" w:space="0" w:color="auto"/>
              <w:right w:val="nil"/>
            </w:tcBorders>
            <w:shd w:val="clear" w:color="auto" w:fill="auto"/>
            <w:vAlign w:val="center"/>
            <w:hideMark/>
          </w:tcPr>
          <w:p w14:paraId="39FCE85B" w14:textId="3FED258A" w:rsidR="008437BD" w:rsidRPr="00920DF8" w:rsidRDefault="008437BD" w:rsidP="006C391F">
            <w:pPr>
              <w:jc w:val="center"/>
              <w:rPr>
                <w:color w:val="000000"/>
                <w:sz w:val="20"/>
              </w:rPr>
            </w:pPr>
            <w:r w:rsidRPr="004F2E8D">
              <w:rPr>
                <w:color w:val="000000"/>
                <w:sz w:val="20"/>
              </w:rPr>
              <w:t>L</w:t>
            </w:r>
            <w:r w:rsidRPr="00920DF8">
              <w:rPr>
                <w:color w:val="000000"/>
                <w:sz w:val="20"/>
              </w:rPr>
              <w:t> </w:t>
            </w:r>
          </w:p>
        </w:tc>
        <w:tc>
          <w:tcPr>
            <w:tcW w:w="506" w:type="dxa"/>
            <w:tcBorders>
              <w:top w:val="nil"/>
              <w:left w:val="nil"/>
              <w:bottom w:val="single" w:sz="4" w:space="0" w:color="auto"/>
              <w:right w:val="nil"/>
            </w:tcBorders>
            <w:shd w:val="clear" w:color="auto" w:fill="auto"/>
            <w:vAlign w:val="center"/>
            <w:hideMark/>
          </w:tcPr>
          <w:p w14:paraId="366AB3F7" w14:textId="28581A04" w:rsidR="008437BD" w:rsidRPr="00920DF8" w:rsidRDefault="008437BD" w:rsidP="006C391F">
            <w:pPr>
              <w:jc w:val="center"/>
              <w:rPr>
                <w:color w:val="000000"/>
                <w:sz w:val="20"/>
              </w:rPr>
            </w:pPr>
            <w:r w:rsidRPr="004F2E8D">
              <w:rPr>
                <w:color w:val="000000"/>
                <w:sz w:val="20"/>
              </w:rPr>
              <w:t>M</w:t>
            </w:r>
            <w:r w:rsidRPr="00920DF8">
              <w:rPr>
                <w:color w:val="000000"/>
                <w:sz w:val="20"/>
              </w:rPr>
              <w:t> </w:t>
            </w:r>
          </w:p>
        </w:tc>
        <w:tc>
          <w:tcPr>
            <w:tcW w:w="467" w:type="dxa"/>
            <w:tcBorders>
              <w:top w:val="nil"/>
              <w:left w:val="nil"/>
              <w:bottom w:val="single" w:sz="4" w:space="0" w:color="auto"/>
              <w:right w:val="nil"/>
            </w:tcBorders>
            <w:shd w:val="clear" w:color="auto" w:fill="auto"/>
            <w:vAlign w:val="center"/>
            <w:hideMark/>
          </w:tcPr>
          <w:p w14:paraId="3686DA74" w14:textId="1C2A3A4A"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6E77782B" w14:textId="1B0AE80D" w:rsidR="008437BD" w:rsidRPr="00920DF8" w:rsidRDefault="008437BD" w:rsidP="006C391F">
            <w:pPr>
              <w:jc w:val="center"/>
              <w:rPr>
                <w:color w:val="000000"/>
                <w:sz w:val="20"/>
              </w:rPr>
            </w:pPr>
            <w:r w:rsidRPr="004F2E8D">
              <w:rPr>
                <w:color w:val="000000"/>
                <w:sz w:val="20"/>
              </w:rPr>
              <w:t>M</w:t>
            </w:r>
            <w:r w:rsidRPr="00920DF8">
              <w:rPr>
                <w:color w:val="000000"/>
                <w:sz w:val="20"/>
              </w:rPr>
              <w:t> </w:t>
            </w:r>
          </w:p>
        </w:tc>
        <w:tc>
          <w:tcPr>
            <w:tcW w:w="506" w:type="dxa"/>
            <w:tcBorders>
              <w:top w:val="nil"/>
              <w:left w:val="nil"/>
              <w:bottom w:val="single" w:sz="4" w:space="0" w:color="auto"/>
              <w:right w:val="nil"/>
            </w:tcBorders>
            <w:shd w:val="clear" w:color="auto" w:fill="auto"/>
            <w:vAlign w:val="center"/>
            <w:hideMark/>
          </w:tcPr>
          <w:p w14:paraId="7849F644" w14:textId="0C74F2EC" w:rsidR="008437BD" w:rsidRPr="00920DF8" w:rsidRDefault="008437BD" w:rsidP="006C391F">
            <w:pPr>
              <w:jc w:val="center"/>
              <w:rPr>
                <w:color w:val="000000"/>
                <w:sz w:val="20"/>
              </w:rPr>
            </w:pPr>
            <w:r w:rsidRPr="004F2E8D">
              <w:rPr>
                <w:color w:val="000000"/>
                <w:sz w:val="20"/>
              </w:rPr>
              <w:t>H</w:t>
            </w:r>
            <w:r w:rsidRPr="00920DF8">
              <w:rPr>
                <w:color w:val="000000"/>
                <w:sz w:val="20"/>
              </w:rPr>
              <w:t> </w:t>
            </w:r>
          </w:p>
        </w:tc>
      </w:tr>
      <w:tr w:rsidR="004F2E8D" w:rsidRPr="00920DF8" w14:paraId="13F7496F" w14:textId="77777777" w:rsidTr="008437BD">
        <w:trPr>
          <w:trHeight w:val="390"/>
        </w:trPr>
        <w:tc>
          <w:tcPr>
            <w:tcW w:w="975" w:type="dxa"/>
            <w:tcBorders>
              <w:top w:val="nil"/>
              <w:left w:val="nil"/>
              <w:bottom w:val="single" w:sz="4" w:space="0" w:color="auto"/>
              <w:right w:val="nil"/>
            </w:tcBorders>
            <w:shd w:val="clear" w:color="auto" w:fill="auto"/>
            <w:vAlign w:val="center"/>
            <w:hideMark/>
          </w:tcPr>
          <w:p w14:paraId="76DFD4E4" w14:textId="77777777" w:rsidR="008437BD" w:rsidRPr="00920DF8" w:rsidRDefault="008437BD" w:rsidP="006C391F">
            <w:pPr>
              <w:jc w:val="center"/>
              <w:rPr>
                <w:color w:val="000000"/>
                <w:sz w:val="20"/>
              </w:rPr>
            </w:pPr>
            <w:r w:rsidRPr="00920DF8">
              <w:rPr>
                <w:color w:val="000000"/>
                <w:sz w:val="20"/>
              </w:rPr>
              <w:t>CR TOT</w:t>
            </w:r>
          </w:p>
        </w:tc>
        <w:tc>
          <w:tcPr>
            <w:tcW w:w="3393" w:type="dxa"/>
            <w:tcBorders>
              <w:top w:val="nil"/>
              <w:left w:val="nil"/>
              <w:bottom w:val="single" w:sz="4" w:space="0" w:color="auto"/>
              <w:right w:val="nil"/>
            </w:tcBorders>
            <w:shd w:val="clear" w:color="auto" w:fill="auto"/>
            <w:vAlign w:val="center"/>
            <w:hideMark/>
          </w:tcPr>
          <w:p w14:paraId="03F73375" w14:textId="77777777" w:rsidR="008437BD" w:rsidRPr="00920DF8" w:rsidRDefault="008437BD" w:rsidP="006C391F">
            <w:pPr>
              <w:rPr>
                <w:color w:val="000000"/>
                <w:sz w:val="20"/>
              </w:rPr>
            </w:pPr>
            <w:r w:rsidRPr="00920DF8">
              <w:rPr>
                <w:color w:val="000000"/>
                <w:sz w:val="20"/>
              </w:rPr>
              <w:t>Global aggregate criterion</w:t>
            </w:r>
          </w:p>
        </w:tc>
        <w:tc>
          <w:tcPr>
            <w:tcW w:w="537" w:type="dxa"/>
            <w:tcBorders>
              <w:top w:val="nil"/>
              <w:left w:val="nil"/>
              <w:bottom w:val="single" w:sz="4" w:space="0" w:color="auto"/>
              <w:right w:val="nil"/>
            </w:tcBorders>
            <w:shd w:val="clear" w:color="auto" w:fill="auto"/>
            <w:vAlign w:val="center"/>
            <w:hideMark/>
          </w:tcPr>
          <w:p w14:paraId="3D7DB019" w14:textId="77777777" w:rsidR="008437BD" w:rsidRPr="00920DF8" w:rsidRDefault="008437BD" w:rsidP="006C391F">
            <w:pPr>
              <w:jc w:val="center"/>
              <w:rPr>
                <w:color w:val="000000"/>
                <w:sz w:val="20"/>
              </w:rPr>
            </w:pPr>
            <w:r w:rsidRPr="004F2E8D">
              <w:rPr>
                <w:color w:val="000000"/>
                <w:sz w:val="20"/>
              </w:rPr>
              <w:t>L</w:t>
            </w:r>
          </w:p>
        </w:tc>
        <w:tc>
          <w:tcPr>
            <w:tcW w:w="520" w:type="dxa"/>
            <w:tcBorders>
              <w:top w:val="nil"/>
              <w:left w:val="nil"/>
              <w:bottom w:val="single" w:sz="4" w:space="0" w:color="auto"/>
              <w:right w:val="nil"/>
            </w:tcBorders>
            <w:shd w:val="clear" w:color="auto" w:fill="auto"/>
            <w:vAlign w:val="center"/>
            <w:hideMark/>
          </w:tcPr>
          <w:p w14:paraId="19D98973" w14:textId="77777777" w:rsidR="008437BD" w:rsidRPr="00920DF8" w:rsidRDefault="008437BD" w:rsidP="006C391F">
            <w:pPr>
              <w:jc w:val="center"/>
              <w:rPr>
                <w:color w:val="000000"/>
                <w:sz w:val="20"/>
              </w:rPr>
            </w:pPr>
            <w:r w:rsidRPr="004F2E8D">
              <w:rPr>
                <w:color w:val="000000"/>
                <w:sz w:val="20"/>
              </w:rPr>
              <w:t>M</w:t>
            </w:r>
          </w:p>
        </w:tc>
        <w:tc>
          <w:tcPr>
            <w:tcW w:w="637" w:type="dxa"/>
            <w:tcBorders>
              <w:top w:val="nil"/>
              <w:left w:val="nil"/>
              <w:bottom w:val="single" w:sz="4" w:space="0" w:color="auto"/>
              <w:right w:val="nil"/>
            </w:tcBorders>
            <w:shd w:val="clear" w:color="auto" w:fill="auto"/>
            <w:vAlign w:val="center"/>
            <w:hideMark/>
          </w:tcPr>
          <w:p w14:paraId="497AB680" w14:textId="77777777" w:rsidR="008437BD" w:rsidRPr="00920DF8" w:rsidRDefault="008437BD" w:rsidP="006C391F">
            <w:pPr>
              <w:jc w:val="center"/>
              <w:rPr>
                <w:color w:val="000000"/>
                <w:sz w:val="20"/>
              </w:rPr>
            </w:pPr>
            <w:r w:rsidRPr="004F2E8D">
              <w:rPr>
                <w:color w:val="000000"/>
                <w:sz w:val="20"/>
              </w:rPr>
              <w:t>L</w:t>
            </w:r>
          </w:p>
        </w:tc>
        <w:tc>
          <w:tcPr>
            <w:tcW w:w="447" w:type="dxa"/>
            <w:tcBorders>
              <w:top w:val="nil"/>
              <w:left w:val="nil"/>
              <w:bottom w:val="single" w:sz="4" w:space="0" w:color="auto"/>
              <w:right w:val="nil"/>
            </w:tcBorders>
            <w:shd w:val="clear" w:color="auto" w:fill="auto"/>
            <w:vAlign w:val="center"/>
            <w:hideMark/>
          </w:tcPr>
          <w:p w14:paraId="03B82F69" w14:textId="77777777" w:rsidR="008437BD" w:rsidRPr="00920DF8" w:rsidRDefault="008437BD" w:rsidP="006C391F">
            <w:pPr>
              <w:jc w:val="center"/>
              <w:rPr>
                <w:color w:val="000000"/>
                <w:sz w:val="20"/>
              </w:rPr>
            </w:pPr>
            <w:r w:rsidRPr="004F2E8D">
              <w:rPr>
                <w:color w:val="000000"/>
                <w:sz w:val="20"/>
              </w:rPr>
              <w:t>M</w:t>
            </w:r>
          </w:p>
        </w:tc>
        <w:tc>
          <w:tcPr>
            <w:tcW w:w="445" w:type="dxa"/>
            <w:tcBorders>
              <w:top w:val="nil"/>
              <w:left w:val="nil"/>
              <w:bottom w:val="single" w:sz="4" w:space="0" w:color="auto"/>
              <w:right w:val="nil"/>
            </w:tcBorders>
            <w:shd w:val="clear" w:color="auto" w:fill="auto"/>
            <w:vAlign w:val="center"/>
            <w:hideMark/>
          </w:tcPr>
          <w:p w14:paraId="4BFF79A1" w14:textId="77777777" w:rsidR="008437BD" w:rsidRPr="00920DF8" w:rsidRDefault="008437BD" w:rsidP="006C391F">
            <w:pPr>
              <w:jc w:val="center"/>
              <w:rPr>
                <w:color w:val="000000"/>
                <w:sz w:val="20"/>
              </w:rPr>
            </w:pPr>
            <w:r w:rsidRPr="004F2E8D">
              <w:rPr>
                <w:color w:val="000000"/>
                <w:sz w:val="20"/>
              </w:rPr>
              <w:t>H</w:t>
            </w:r>
          </w:p>
        </w:tc>
        <w:tc>
          <w:tcPr>
            <w:tcW w:w="506" w:type="dxa"/>
            <w:tcBorders>
              <w:top w:val="nil"/>
              <w:left w:val="nil"/>
              <w:bottom w:val="single" w:sz="4" w:space="0" w:color="auto"/>
              <w:right w:val="nil"/>
            </w:tcBorders>
            <w:shd w:val="clear" w:color="auto" w:fill="auto"/>
            <w:vAlign w:val="center"/>
            <w:hideMark/>
          </w:tcPr>
          <w:p w14:paraId="22E9EEF4" w14:textId="77777777" w:rsidR="008437BD" w:rsidRPr="00920DF8" w:rsidRDefault="008437BD" w:rsidP="006C391F">
            <w:pPr>
              <w:jc w:val="center"/>
              <w:rPr>
                <w:color w:val="000000"/>
                <w:sz w:val="20"/>
              </w:rPr>
            </w:pPr>
            <w:r w:rsidRPr="004F2E8D">
              <w:rPr>
                <w:color w:val="000000"/>
                <w:sz w:val="20"/>
              </w:rPr>
              <w:t>L</w:t>
            </w:r>
          </w:p>
        </w:tc>
        <w:tc>
          <w:tcPr>
            <w:tcW w:w="467" w:type="dxa"/>
            <w:tcBorders>
              <w:top w:val="nil"/>
              <w:left w:val="nil"/>
              <w:bottom w:val="single" w:sz="4" w:space="0" w:color="auto"/>
              <w:right w:val="nil"/>
            </w:tcBorders>
            <w:shd w:val="clear" w:color="auto" w:fill="auto"/>
            <w:vAlign w:val="center"/>
            <w:hideMark/>
          </w:tcPr>
          <w:p w14:paraId="0380DBD7" w14:textId="77777777" w:rsidR="008437BD" w:rsidRPr="00920DF8" w:rsidRDefault="008437BD" w:rsidP="006C391F">
            <w:pPr>
              <w:jc w:val="center"/>
              <w:rPr>
                <w:color w:val="000000"/>
                <w:sz w:val="20"/>
              </w:rPr>
            </w:pPr>
            <w:r w:rsidRPr="004F2E8D">
              <w:rPr>
                <w:color w:val="000000"/>
                <w:sz w:val="20"/>
              </w:rPr>
              <w:t>M</w:t>
            </w:r>
          </w:p>
        </w:tc>
        <w:tc>
          <w:tcPr>
            <w:tcW w:w="467" w:type="dxa"/>
            <w:tcBorders>
              <w:top w:val="nil"/>
              <w:left w:val="nil"/>
              <w:bottom w:val="single" w:sz="4" w:space="0" w:color="auto"/>
              <w:right w:val="nil"/>
            </w:tcBorders>
            <w:shd w:val="clear" w:color="auto" w:fill="auto"/>
            <w:vAlign w:val="center"/>
            <w:hideMark/>
          </w:tcPr>
          <w:p w14:paraId="017E6861" w14:textId="77777777" w:rsidR="008437BD" w:rsidRPr="00920DF8" w:rsidRDefault="008437BD" w:rsidP="006C391F">
            <w:pPr>
              <w:jc w:val="center"/>
              <w:rPr>
                <w:color w:val="000000"/>
                <w:sz w:val="20"/>
              </w:rPr>
            </w:pPr>
            <w:r w:rsidRPr="004F2E8D">
              <w:rPr>
                <w:color w:val="000000"/>
                <w:sz w:val="20"/>
              </w:rPr>
              <w:t>M</w:t>
            </w:r>
          </w:p>
        </w:tc>
        <w:tc>
          <w:tcPr>
            <w:tcW w:w="506" w:type="dxa"/>
            <w:tcBorders>
              <w:top w:val="nil"/>
              <w:left w:val="nil"/>
              <w:bottom w:val="single" w:sz="4" w:space="0" w:color="auto"/>
              <w:right w:val="nil"/>
            </w:tcBorders>
            <w:shd w:val="clear" w:color="auto" w:fill="auto"/>
            <w:vAlign w:val="center"/>
            <w:hideMark/>
          </w:tcPr>
          <w:p w14:paraId="6976F73A" w14:textId="77777777" w:rsidR="008437BD" w:rsidRPr="00920DF8" w:rsidRDefault="008437BD" w:rsidP="006C391F">
            <w:pPr>
              <w:jc w:val="center"/>
              <w:rPr>
                <w:color w:val="000000"/>
                <w:sz w:val="20"/>
              </w:rPr>
            </w:pPr>
            <w:r w:rsidRPr="004F2E8D">
              <w:rPr>
                <w:color w:val="000000"/>
                <w:sz w:val="20"/>
              </w:rPr>
              <w:t>M</w:t>
            </w:r>
          </w:p>
        </w:tc>
      </w:tr>
    </w:tbl>
    <w:p w14:paraId="4B6987A8" w14:textId="2EC099AD" w:rsidR="00D9611B" w:rsidRDefault="009A27C0" w:rsidP="009A27C0">
      <w:pPr>
        <w:ind w:firstLine="567"/>
        <w:jc w:val="both"/>
        <w:rPr>
          <w:sz w:val="20"/>
        </w:rPr>
      </w:pPr>
      <w:r>
        <w:rPr>
          <w:sz w:val="20"/>
        </w:rPr>
        <w:lastRenderedPageBreak/>
        <w:t>The evaluation</w:t>
      </w:r>
      <w:r w:rsidR="00D9611B">
        <w:rPr>
          <w:sz w:val="20"/>
        </w:rPr>
        <w:t>s in Table 1 are represented in qualitative manner and the method was based on the approach described in detail and used for existing large reactors in [4,5,6]. The qualitative representation is based on numeric allocations of marks for criteria by using a scale from 1 to 10. Level L (Low Impact) corresponds to marks from 1 to 3, level M (Medium Impact) corresponds to mark from 4 to 7 and  H (High Impact) corresponds to marks from 8 to 10.</w:t>
      </w:r>
    </w:p>
    <w:p w14:paraId="11A7ADF2" w14:textId="77777777" w:rsidR="009A27C0" w:rsidRDefault="009A27C0" w:rsidP="008D08DD">
      <w:pPr>
        <w:pStyle w:val="BodyText"/>
        <w:ind w:firstLine="0"/>
      </w:pPr>
    </w:p>
    <w:p w14:paraId="787DF844" w14:textId="77777777" w:rsidR="008437BD" w:rsidRPr="008437BD" w:rsidRDefault="008437BD" w:rsidP="008437BD">
      <w:pPr>
        <w:pStyle w:val="BodyText"/>
        <w:keepNext/>
        <w:ind w:firstLine="0"/>
        <w:jc w:val="center"/>
        <w:rPr>
          <w:i/>
          <w:iCs/>
        </w:rPr>
      </w:pPr>
      <w:r w:rsidRPr="008437BD">
        <w:rPr>
          <w:i/>
          <w:iCs/>
          <w:noProof/>
        </w:rPr>
        <w:drawing>
          <wp:inline distT="0" distB="0" distL="0" distR="0" wp14:anchorId="2AFBC00D" wp14:editId="103248EE">
            <wp:extent cx="5732145" cy="2325756"/>
            <wp:effectExtent l="0" t="0" r="1905" b="17780"/>
            <wp:docPr id="1659378675" name="Chart 1">
              <a:extLst xmlns:a="http://schemas.openxmlformats.org/drawingml/2006/main">
                <a:ext uri="{FF2B5EF4-FFF2-40B4-BE49-F238E27FC236}">
                  <a16:creationId xmlns:a16="http://schemas.microsoft.com/office/drawing/2014/main" id="{E86986D2-196E-4F18-9EDD-019C907C38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B5396F" w14:textId="1B2594E4" w:rsidR="00F1161A" w:rsidRPr="000E703F" w:rsidRDefault="000E703F" w:rsidP="008437BD">
      <w:pPr>
        <w:pStyle w:val="Caption"/>
        <w:jc w:val="center"/>
      </w:pPr>
      <w:r w:rsidRPr="000E703F">
        <w:t xml:space="preserve">FIG. </w:t>
      </w:r>
      <w:r w:rsidR="008437BD" w:rsidRPr="000E703F">
        <w:fldChar w:fldCharType="begin"/>
      </w:r>
      <w:r w:rsidR="008437BD" w:rsidRPr="000E703F">
        <w:instrText xml:space="preserve"> SEQ Fig. \* ARABIC </w:instrText>
      </w:r>
      <w:r w:rsidR="008437BD" w:rsidRPr="000E703F">
        <w:fldChar w:fldCharType="separate"/>
      </w:r>
      <w:r w:rsidRPr="000E703F">
        <w:rPr>
          <w:noProof/>
        </w:rPr>
        <w:t>1</w:t>
      </w:r>
      <w:r w:rsidR="008437BD" w:rsidRPr="000E703F">
        <w:fldChar w:fldCharType="end"/>
      </w:r>
      <w:r w:rsidRPr="000E703F">
        <w:t xml:space="preserve"> SAFETY ASPECTS OF IMPORTANCE FOR NEW SMR PLANTS</w:t>
      </w:r>
    </w:p>
    <w:p w14:paraId="375938C4" w14:textId="456855F3" w:rsidR="00F1161A" w:rsidRPr="00EE0041" w:rsidRDefault="00863956" w:rsidP="00F1161A">
      <w:pPr>
        <w:pStyle w:val="Heading3"/>
      </w:pPr>
      <w:r>
        <w:t xml:space="preserve">Acceptance criteria </w:t>
      </w:r>
    </w:p>
    <w:p w14:paraId="3EE48124" w14:textId="0BC20E7E" w:rsidR="00482867" w:rsidRDefault="00863956" w:rsidP="00E66CA5">
      <w:pPr>
        <w:pStyle w:val="BodyText"/>
        <w:ind w:firstLine="0"/>
      </w:pPr>
      <w:r>
        <w:tab/>
      </w:r>
      <w:r w:rsidR="0049053A" w:rsidRPr="008E49F0">
        <w:t>Demonstration of the successful implementation of safety objectives is necessary so that the special aspects of safety features</w:t>
      </w:r>
      <w:r>
        <w:t>, identified in the NPP</w:t>
      </w:r>
      <w:r w:rsidR="009A27C0">
        <w:t>’</w:t>
      </w:r>
      <w:r>
        <w:t xml:space="preserve">s experience so far as </w:t>
      </w:r>
      <w:r w:rsidR="00BD15E7">
        <w:t xml:space="preserve">being </w:t>
      </w:r>
      <w:r>
        <w:t xml:space="preserve">of high importance are in general related to demonstration of safety margins and mostly in risk evaluations. The results so far in projects </w:t>
      </w:r>
      <w:r w:rsidR="00E66CA5">
        <w:t xml:space="preserve">focusing on the case studies showed that risk analyses for Design Basis Accidents are important even from the research phase, and that in the regulatory environments there are not simplified requirements for these types of new builds. </w:t>
      </w:r>
      <w:r w:rsidR="00D55F74">
        <w:t>Operating experience and various accidents identified so far both the weak points to be verified and the expected evaluation methods (Figure 2).</w:t>
      </w:r>
      <w:r w:rsidR="00482867">
        <w:t xml:space="preserve">Safety margins and the risk levels evaluated and documented previously [5;6] are represented in Figure 2 for different NPP generations. The figure also illustrates the evolution of nuclear technologies and the major accidents with subsequent changes in safety dominant features to be considered for the </w:t>
      </w:r>
      <w:r w:rsidR="00FC00A9">
        <w:t>post-accident</w:t>
      </w:r>
      <w:r w:rsidR="00482867">
        <w:t xml:space="preserve"> period. In the lower </w:t>
      </w:r>
      <w:r w:rsidR="00FC00A9">
        <w:t>part</w:t>
      </w:r>
      <w:r w:rsidR="00482867">
        <w:t xml:space="preserve"> of the figure a set of international events taking place and having impact on the nuclear industry were also mentioned. The trends in SMRs safety are illustrated by all the </w:t>
      </w:r>
      <w:r w:rsidR="00FC00A9">
        <w:t>post-accident</w:t>
      </w:r>
      <w:r w:rsidR="00482867">
        <w:t xml:space="preserve"> lessons learnt and the safety features for the new small reactors are intended to implement the lessons learnt.</w:t>
      </w:r>
    </w:p>
    <w:p w14:paraId="54E58A02" w14:textId="77777777" w:rsidR="00D55F74" w:rsidRDefault="00D55F74" w:rsidP="00E66CA5">
      <w:pPr>
        <w:pStyle w:val="BodyText"/>
        <w:ind w:firstLine="0"/>
      </w:pPr>
    </w:p>
    <w:p w14:paraId="3C032B15" w14:textId="77777777" w:rsidR="00D55F74" w:rsidRDefault="00D55F74" w:rsidP="00D55F74">
      <w:pPr>
        <w:pStyle w:val="BodyText"/>
        <w:keepNext/>
        <w:ind w:firstLine="0"/>
      </w:pPr>
      <w:r w:rsidRPr="00D55F74">
        <w:rPr>
          <w:noProof/>
        </w:rPr>
        <w:drawing>
          <wp:inline distT="0" distB="0" distL="0" distR="0" wp14:anchorId="0B95C326" wp14:editId="33314C48">
            <wp:extent cx="5728156" cy="2544417"/>
            <wp:effectExtent l="0" t="0" r="6350" b="8890"/>
            <wp:docPr id="3" name="Picture 2">
              <a:extLst xmlns:a="http://schemas.openxmlformats.org/drawingml/2006/main">
                <a:ext uri="{FF2B5EF4-FFF2-40B4-BE49-F238E27FC236}">
                  <a16:creationId xmlns:a16="http://schemas.microsoft.com/office/drawing/2014/main" id="{E7FA5E55-38F4-774E-A123-428FFD945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7FA5E55-38F4-774E-A123-428FFD945191}"/>
                        </a:ext>
                      </a:extLst>
                    </pic:cNvPr>
                    <pic:cNvPicPr>
                      <a:picLocks noChangeAspect="1"/>
                    </pic:cNvPicPr>
                  </pic:nvPicPr>
                  <pic:blipFill>
                    <a:blip r:embed="rId9"/>
                    <a:stretch>
                      <a:fillRect/>
                    </a:stretch>
                  </pic:blipFill>
                  <pic:spPr>
                    <a:xfrm>
                      <a:off x="0" y="0"/>
                      <a:ext cx="5748256" cy="2553345"/>
                    </a:xfrm>
                    <a:prstGeom prst="rect">
                      <a:avLst/>
                    </a:prstGeom>
                  </pic:spPr>
                </pic:pic>
              </a:graphicData>
            </a:graphic>
          </wp:inline>
        </w:drawing>
      </w:r>
    </w:p>
    <w:p w14:paraId="79DEFADE" w14:textId="7F80A1C9" w:rsidR="00D55F74" w:rsidRPr="000E703F" w:rsidRDefault="000E703F" w:rsidP="00D55F74">
      <w:pPr>
        <w:pStyle w:val="Caption"/>
        <w:jc w:val="center"/>
      </w:pPr>
      <w:r w:rsidRPr="000E703F">
        <w:t xml:space="preserve">FIG. </w:t>
      </w:r>
      <w:r w:rsidR="00D55F74" w:rsidRPr="000E703F">
        <w:fldChar w:fldCharType="begin"/>
      </w:r>
      <w:r w:rsidR="00D55F74" w:rsidRPr="000E703F">
        <w:instrText xml:space="preserve"> SEQ Fig. \* ARABIC </w:instrText>
      </w:r>
      <w:r w:rsidR="00D55F74" w:rsidRPr="000E703F">
        <w:fldChar w:fldCharType="separate"/>
      </w:r>
      <w:r w:rsidRPr="000E703F">
        <w:rPr>
          <w:noProof/>
        </w:rPr>
        <w:t>2</w:t>
      </w:r>
      <w:r w:rsidR="00D55F74" w:rsidRPr="000E703F">
        <w:fldChar w:fldCharType="end"/>
      </w:r>
      <w:r w:rsidRPr="000E703F">
        <w:t xml:space="preserve"> SAFETY MARGIN AND RISK CRITERIA FOR NPP GENERATIONS AND THE METHODS DOMINATING PERIODS SO FAR [4,5,6]</w:t>
      </w:r>
    </w:p>
    <w:p w14:paraId="481FDA19" w14:textId="74F2F6DD" w:rsidR="00BD15E7" w:rsidRDefault="00D55F74" w:rsidP="00E66CA5">
      <w:pPr>
        <w:pStyle w:val="BodyText"/>
        <w:ind w:firstLine="0"/>
      </w:pPr>
      <w:r>
        <w:lastRenderedPageBreak/>
        <w:tab/>
      </w:r>
      <w:r w:rsidR="00482867">
        <w:t xml:space="preserve">One </w:t>
      </w:r>
      <w:r w:rsidR="00E336D3">
        <w:t>area</w:t>
      </w:r>
      <w:r w:rsidR="00482867">
        <w:t xml:space="preserve"> of concern  for SMRs is related to the Emergency Planning (EP). </w:t>
      </w:r>
      <w:r w:rsidR="00E66CA5">
        <w:t>Preliminary evaluations illustrate also that the technical basis for</w:t>
      </w:r>
      <w:r w:rsidR="00482867">
        <w:t xml:space="preserve"> EP</w:t>
      </w:r>
      <w:r w:rsidR="00E66CA5">
        <w:t xml:space="preserve"> is necessary even for cases apparently not requiring high limitations on zoning</w:t>
      </w:r>
      <w:r w:rsidR="00BD15E7">
        <w:t>,</w:t>
      </w:r>
      <w:r w:rsidR="00E66CA5">
        <w:t xml:space="preserve"> </w:t>
      </w:r>
      <w:r w:rsidR="0049053A" w:rsidRPr="008E49F0">
        <w:t>due to improved safety features of the new NPPs of SMR type</w:t>
      </w:r>
      <w:r w:rsidR="00E66CA5">
        <w:t>. [</w:t>
      </w:r>
      <w:r w:rsidR="0056655A">
        <w:t>1</w:t>
      </w:r>
      <w:r w:rsidR="0056655A" w:rsidRPr="009A27C0">
        <w:t>-3</w:t>
      </w:r>
      <w:r w:rsidR="00E66CA5" w:rsidRPr="009A27C0">
        <w:t>]</w:t>
      </w:r>
      <w:r w:rsidR="00EE69FA" w:rsidRPr="009A27C0">
        <w:t>.</w:t>
      </w:r>
      <w:r w:rsidR="00EE69FA">
        <w:t xml:space="preserve"> The licensing steps for any SMR follow the existing set of regulations  and standards applied for large nuclear power plants. However, as mentioned in [2] a highly specific feature of SMR is at present the existence of First of a Kind plants (FOAK).</w:t>
      </w:r>
    </w:p>
    <w:p w14:paraId="14F17078" w14:textId="2BD283CA" w:rsidR="00E66CA5" w:rsidRDefault="00BD15E7" w:rsidP="00E66CA5">
      <w:pPr>
        <w:pStyle w:val="BodyText"/>
        <w:ind w:firstLine="0"/>
      </w:pPr>
      <w:r>
        <w:tab/>
      </w:r>
      <w:r w:rsidR="00EE69FA">
        <w:t xml:space="preserve">The main consequence of FOAK status for all the SMRs is that </w:t>
      </w:r>
      <w:r w:rsidR="00E66CA5">
        <w:t xml:space="preserve">the </w:t>
      </w:r>
      <w:r w:rsidR="00EE69FA">
        <w:t xml:space="preserve">fabrication and commissioning tests are dominant </w:t>
      </w:r>
      <w:r w:rsidR="00BF1269">
        <w:t xml:space="preserve">in obtaining </w:t>
      </w:r>
      <w:r w:rsidR="00E66CA5">
        <w:t>confirmations</w:t>
      </w:r>
      <w:r w:rsidR="00D55F74">
        <w:t>, confidence</w:t>
      </w:r>
      <w:r w:rsidR="00E66CA5">
        <w:t xml:space="preserve"> and clarifications</w:t>
      </w:r>
      <w:r w:rsidR="00D55F74">
        <w:t xml:space="preserve"> </w:t>
      </w:r>
      <w:r w:rsidR="00BF1269">
        <w:t xml:space="preserve">on the actual safety level by comparison with the </w:t>
      </w:r>
      <w:r w:rsidR="00E66CA5">
        <w:t>initial evaluations. Predefined list of postulated events and severe accidents is important to identify interconnections of the new designs by using probabilistic and risk approaches. However, the deterministic evaluations, probabilistic evaluations of failures of passive systems and extensive tests and calculations are the basis for increasing the credibility of results.</w:t>
      </w:r>
    </w:p>
    <w:p w14:paraId="4F9C3BB7" w14:textId="177CF780" w:rsidR="00F1161A" w:rsidRPr="00EE0041" w:rsidRDefault="008B7A55" w:rsidP="00F1161A">
      <w:pPr>
        <w:pStyle w:val="Heading3"/>
      </w:pPr>
      <w:r>
        <w:t>SMR and new technologies</w:t>
      </w:r>
    </w:p>
    <w:p w14:paraId="44BE756C" w14:textId="5DCBBD1F" w:rsidR="00D55F74" w:rsidRDefault="00D55F74" w:rsidP="00F1161A">
      <w:pPr>
        <w:pStyle w:val="BodyText"/>
        <w:ind w:firstLine="0"/>
      </w:pPr>
      <w:r>
        <w:tab/>
        <w:t xml:space="preserve">NPP evolved as a set of technologies for various generations, of which the technology of the reactor core is the governing one. Reactor core technology is not the only one characteristic to a new NPP, as manufacturing, instrumentation and measurement, plant control in general, digital, </w:t>
      </w:r>
      <w:r w:rsidR="009C15A2">
        <w:t xml:space="preserve">results from fundamental research in quantum mechanics, quantum computing, </w:t>
      </w:r>
      <w:r>
        <w:t>man-machi</w:t>
      </w:r>
      <w:r w:rsidR="009C15A2">
        <w:t>n</w:t>
      </w:r>
      <w:r>
        <w:t xml:space="preserve">e interface tightly connected to the management, leadership and specifics of human generations are all technologies of high impact in choosing a new plant. </w:t>
      </w:r>
      <w:r w:rsidR="009C15A2">
        <w:t>One supplementary element could be to understand better the lessons from nature as embedded in cases like Oklo reactor</w:t>
      </w:r>
      <w:r w:rsidR="009A27C0">
        <w:t>, which indicated a series of safety features to be considered in advanced nuclear reactors, as documented in [7].</w:t>
      </w:r>
      <w:r w:rsidR="009C15A2">
        <w:t xml:space="preserve"> </w:t>
      </w:r>
      <w:r>
        <w:t xml:space="preserve">For each of those technologies their lifecycle and moral ageing are different. </w:t>
      </w:r>
      <w:r w:rsidR="009C15A2">
        <w:t xml:space="preserve"> The technology of the core is being enhanced from generation to generation (Figure 3) and considering the lessons learnt so far is </w:t>
      </w:r>
      <w:r w:rsidR="0049053A" w:rsidRPr="008E49F0">
        <w:t>necessary for the success of SMRs</w:t>
      </w:r>
      <w:r w:rsidR="0049053A" w:rsidRPr="0049053A">
        <w:t xml:space="preserve"> </w:t>
      </w:r>
      <w:r w:rsidR="0049053A" w:rsidRPr="008E49F0">
        <w:t>necessary for the success of SMRs</w:t>
      </w:r>
      <w:r w:rsidR="009C15A2">
        <w:t>.</w:t>
      </w:r>
    </w:p>
    <w:p w14:paraId="568D3EDD" w14:textId="77777777" w:rsidR="009C15A2" w:rsidRDefault="009C15A2" w:rsidP="00F1161A">
      <w:pPr>
        <w:pStyle w:val="BodyText"/>
        <w:ind w:firstLine="0"/>
      </w:pPr>
    </w:p>
    <w:p w14:paraId="2325D679" w14:textId="77777777" w:rsidR="009C15A2" w:rsidRDefault="009C15A2" w:rsidP="00F1161A">
      <w:pPr>
        <w:pStyle w:val="BodyText"/>
        <w:ind w:firstLine="0"/>
      </w:pPr>
    </w:p>
    <w:p w14:paraId="3C63225F" w14:textId="77777777" w:rsidR="009C15A2" w:rsidRDefault="009C15A2" w:rsidP="009C15A2">
      <w:pPr>
        <w:pStyle w:val="BodyText"/>
        <w:keepNext/>
        <w:ind w:firstLine="0"/>
        <w:jc w:val="center"/>
      </w:pPr>
      <w:r w:rsidRPr="009C15A2">
        <w:rPr>
          <w:noProof/>
        </w:rPr>
        <w:drawing>
          <wp:inline distT="0" distB="0" distL="0" distR="0" wp14:anchorId="1041F61B" wp14:editId="4D8B19FD">
            <wp:extent cx="4439270" cy="3096057"/>
            <wp:effectExtent l="0" t="0" r="0" b="9525"/>
            <wp:docPr id="449861889" name="Picture 2" descr="A diagram of a safety line&#10;&#10;Description automatically generated with medium confidence">
              <a:extLst xmlns:a="http://schemas.openxmlformats.org/drawingml/2006/main">
                <a:ext uri="{FF2B5EF4-FFF2-40B4-BE49-F238E27FC236}">
                  <a16:creationId xmlns:a16="http://schemas.microsoft.com/office/drawing/2014/main" id="{2B7F87E9-73C7-1DAD-015B-6CBBF2941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diagram of a safety line&#10;&#10;Description automatically generated with medium confidence">
                      <a:extLst>
                        <a:ext uri="{FF2B5EF4-FFF2-40B4-BE49-F238E27FC236}">
                          <a16:creationId xmlns:a16="http://schemas.microsoft.com/office/drawing/2014/main" id="{2B7F87E9-73C7-1DAD-015B-6CBBF29412F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39270" cy="3096057"/>
                    </a:xfrm>
                    <a:prstGeom prst="rect">
                      <a:avLst/>
                    </a:prstGeom>
                  </pic:spPr>
                </pic:pic>
              </a:graphicData>
            </a:graphic>
          </wp:inline>
        </w:drawing>
      </w:r>
    </w:p>
    <w:p w14:paraId="3E64CFAC" w14:textId="5D0ABEED" w:rsidR="009C15A2" w:rsidRPr="000E703F" w:rsidRDefault="000E703F" w:rsidP="009C15A2">
      <w:pPr>
        <w:pStyle w:val="Caption"/>
        <w:jc w:val="center"/>
      </w:pPr>
      <w:r w:rsidRPr="000E703F">
        <w:t xml:space="preserve">FIG. </w:t>
      </w:r>
      <w:r w:rsidR="009C15A2" w:rsidRPr="000E703F">
        <w:fldChar w:fldCharType="begin"/>
      </w:r>
      <w:r w:rsidR="009C15A2" w:rsidRPr="000E703F">
        <w:instrText xml:space="preserve"> SEQ Fig. \* ARABIC </w:instrText>
      </w:r>
      <w:r w:rsidR="009C15A2" w:rsidRPr="000E703F">
        <w:fldChar w:fldCharType="separate"/>
      </w:r>
      <w:r w:rsidRPr="000E703F">
        <w:rPr>
          <w:noProof/>
        </w:rPr>
        <w:t>3</w:t>
      </w:r>
      <w:r w:rsidR="009C15A2" w:rsidRPr="000E703F">
        <w:fldChar w:fldCharType="end"/>
      </w:r>
      <w:r w:rsidRPr="000E703F">
        <w:t>. LESSONS LEARNT IN SAFETY FROM ONE NPP GENERATION TO ANOTHER [ 4,5,6]</w:t>
      </w:r>
    </w:p>
    <w:p w14:paraId="0EE0A892" w14:textId="77777777" w:rsidR="009C15A2" w:rsidRDefault="009C15A2" w:rsidP="00F1161A">
      <w:pPr>
        <w:pStyle w:val="BodyText"/>
        <w:ind w:firstLine="0"/>
      </w:pPr>
    </w:p>
    <w:p w14:paraId="79C6D4A0" w14:textId="77777777" w:rsidR="009C15A2" w:rsidRDefault="009C15A2" w:rsidP="00F1161A">
      <w:pPr>
        <w:pStyle w:val="BodyText"/>
        <w:ind w:firstLine="0"/>
      </w:pPr>
    </w:p>
    <w:p w14:paraId="566286AF" w14:textId="131B112B" w:rsidR="009C15A2" w:rsidRDefault="00351534" w:rsidP="009C15A2">
      <w:pPr>
        <w:pStyle w:val="BodyText"/>
        <w:ind w:firstLine="0"/>
      </w:pPr>
      <w:r>
        <w:tab/>
      </w:r>
      <w:r w:rsidR="00253EAA" w:rsidRPr="008E49F0">
        <w:t xml:space="preserve">The design of new SMRs </w:t>
      </w:r>
      <w:proofErr w:type="gramStart"/>
      <w:r w:rsidR="00253EAA" w:rsidRPr="008E49F0">
        <w:t>has to</w:t>
      </w:r>
      <w:proofErr w:type="gramEnd"/>
      <w:r w:rsidR="00253EAA" w:rsidRPr="008E49F0">
        <w:t xml:space="preserve"> consider</w:t>
      </w:r>
      <w:r w:rsidR="009C15A2">
        <w:t xml:space="preserve"> all those aspects, as they are supposed to operate at least up to the end of this century. New SMR’s are to part of Industry 4.0 phase and </w:t>
      </w:r>
      <w:proofErr w:type="gramStart"/>
      <w:r w:rsidR="009C15A2">
        <w:t>has to</w:t>
      </w:r>
      <w:proofErr w:type="gramEnd"/>
      <w:r w:rsidR="009C15A2">
        <w:t xml:space="preserve"> take that into consideration, as moving from robotics and digital to AI (if feasible in nuclear) is </w:t>
      </w:r>
      <w:r w:rsidR="00C83771">
        <w:t>of a</w:t>
      </w:r>
      <w:r w:rsidR="009C15A2">
        <w:t xml:space="preserve"> potential immediate challenge. </w:t>
      </w:r>
    </w:p>
    <w:p w14:paraId="2BD2137A" w14:textId="317B736F" w:rsidR="009C15A2" w:rsidRDefault="009C15A2" w:rsidP="009C15A2">
      <w:pPr>
        <w:pStyle w:val="BodyText"/>
        <w:ind w:firstLine="0"/>
      </w:pPr>
      <w:r>
        <w:tab/>
        <w:t>Detailed results exist already and are applicable for all the cases considered [</w:t>
      </w:r>
      <w:r w:rsidR="0056655A">
        <w:t>1,2</w:t>
      </w:r>
      <w:r>
        <w:t>] and the main aspects of consideration were presented in Table 1.</w:t>
      </w:r>
    </w:p>
    <w:p w14:paraId="177EBCD3" w14:textId="6778B611" w:rsidR="000E703F" w:rsidRPr="000E703F" w:rsidRDefault="000E703F" w:rsidP="000E703F">
      <w:pPr>
        <w:pStyle w:val="BodyText"/>
      </w:pPr>
      <w:r w:rsidRPr="000E703F">
        <w:lastRenderedPageBreak/>
        <w:t>The evaluations performed were conducted for in depth calculations for all the cases from the perspective of EP and detailed presentations of similarities and differences are included in [1]. Even if the types are very different for evaluations of EP there are  similarities given by the considered source term, the scenario of major accident and the mitigating barriers.</w:t>
      </w:r>
    </w:p>
    <w:p w14:paraId="62C572E5" w14:textId="24EF4E77" w:rsidR="000E703F" w:rsidRPr="000E703F" w:rsidRDefault="000E703F" w:rsidP="000E703F">
      <w:pPr>
        <w:pStyle w:val="BodyText"/>
      </w:pPr>
      <w:r w:rsidRPr="000E703F">
        <w:t>Therefore, from EP perspective common aspects are identified like expected source term in case of severe accident, plant release barriers and site characteristics.</w:t>
      </w:r>
    </w:p>
    <w:p w14:paraId="5CA04F46" w14:textId="1065374B" w:rsidR="000E703F" w:rsidRPr="000E703F" w:rsidRDefault="000E703F" w:rsidP="000E703F">
      <w:pPr>
        <w:pStyle w:val="BodyText"/>
      </w:pPr>
      <w:r w:rsidRPr="000E703F">
        <w:t>However, for other aspects considering the SMRs as thermodynamic machines is the most dominant feature for further detailed evaluations of the safety objectives, which are under development in the project.</w:t>
      </w:r>
    </w:p>
    <w:p w14:paraId="7B29C0F0" w14:textId="7E7C1DB4" w:rsidR="00F004EE" w:rsidRDefault="000E703F" w:rsidP="00537496">
      <w:pPr>
        <w:pStyle w:val="Heading2"/>
      </w:pPr>
      <w:r>
        <w:t>E</w:t>
      </w:r>
      <w:r w:rsidR="009C15A2">
        <w:t xml:space="preserve">valuation conclusions </w:t>
      </w:r>
    </w:p>
    <w:p w14:paraId="51B2947F" w14:textId="1454EF70" w:rsidR="009C15A2" w:rsidRDefault="0050116E" w:rsidP="00537496">
      <w:pPr>
        <w:pStyle w:val="BodyText"/>
      </w:pPr>
      <w:r w:rsidRPr="008E49F0">
        <w:t>Evaluations of various types of SMRs show</w:t>
      </w:r>
      <w:r>
        <w:t xml:space="preserve"> </w:t>
      </w:r>
      <w:r w:rsidR="009C15A2">
        <w:t>some important aspects to be considered:</w:t>
      </w:r>
    </w:p>
    <w:p w14:paraId="1A621117" w14:textId="77777777" w:rsidR="009C15A2" w:rsidRDefault="009C15A2" w:rsidP="00537496">
      <w:pPr>
        <w:pStyle w:val="BodyText"/>
      </w:pPr>
    </w:p>
    <w:p w14:paraId="6E30CB38" w14:textId="1422E873" w:rsidR="006B778A" w:rsidRDefault="009C15A2" w:rsidP="009C15A2">
      <w:pPr>
        <w:pStyle w:val="BodyText"/>
        <w:numPr>
          <w:ilvl w:val="0"/>
          <w:numId w:val="39"/>
        </w:numPr>
      </w:pPr>
      <w:r>
        <w:t>The development and implementation</w:t>
      </w:r>
      <w:r w:rsidR="006B778A">
        <w:t xml:space="preserve"> </w:t>
      </w:r>
      <w:r>
        <w:t xml:space="preserve">most probably </w:t>
      </w:r>
      <w:r w:rsidR="006B778A">
        <w:t>will</w:t>
      </w:r>
      <w:r>
        <w:t xml:space="preserve"> take place in phases: from research to FOAK and</w:t>
      </w:r>
      <w:r w:rsidR="006B778A">
        <w:t xml:space="preserve"> then commercial operation</w:t>
      </w:r>
      <w:r w:rsidR="00BD15E7">
        <w:t>.</w:t>
      </w:r>
    </w:p>
    <w:p w14:paraId="19C30556" w14:textId="1B29E8C3" w:rsidR="006B778A" w:rsidRDefault="006B778A" w:rsidP="009C15A2">
      <w:pPr>
        <w:pStyle w:val="BodyText"/>
        <w:numPr>
          <w:ilvl w:val="0"/>
          <w:numId w:val="39"/>
        </w:numPr>
      </w:pPr>
      <w:r>
        <w:t>As the technical challenges are highly similar, the exchange of information and a coordinated manner for developing new plants will become essential for the success, mainly in the context of high importance allocated now to the proprietary, competition and patent aspects. The dominant technical challenges from safety perspective are similar.</w:t>
      </w:r>
    </w:p>
    <w:p w14:paraId="62E42244" w14:textId="17B65563" w:rsidR="001C58F5" w:rsidRDefault="00717C6F" w:rsidP="00537496">
      <w:pPr>
        <w:pStyle w:val="BodyText"/>
      </w:pPr>
      <w:r>
        <w:t>.</w:t>
      </w:r>
    </w:p>
    <w:p w14:paraId="65038522" w14:textId="77777777" w:rsidR="00717C6F" w:rsidRDefault="00717C6F" w:rsidP="00537496">
      <w:pPr>
        <w:pStyle w:val="Heading2"/>
      </w:pPr>
      <w:r>
        <w:t>REFERENCES</w:t>
      </w:r>
    </w:p>
    <w:p w14:paraId="4653397C" w14:textId="3B67B107" w:rsidR="00A91886" w:rsidRDefault="00A91886" w:rsidP="00BB2DBF">
      <w:pPr>
        <w:pStyle w:val="Referencelist"/>
        <w:numPr>
          <w:ilvl w:val="0"/>
          <w:numId w:val="0"/>
        </w:numPr>
        <w:ind w:left="720" w:hanging="360"/>
        <w:rPr>
          <w:lang w:val="en-US"/>
        </w:rPr>
      </w:pPr>
      <w:r>
        <w:t>[1]</w:t>
      </w:r>
      <w:r>
        <w:tab/>
      </w:r>
      <w:r w:rsidR="00C83771">
        <w:t>P.C.MIN, B.I.VAMANU et al.</w:t>
      </w:r>
      <w:r w:rsidR="00D26ADA" w:rsidRPr="00D26ADA">
        <w:t>,</w:t>
      </w:r>
      <w:r w:rsidR="00662532">
        <w:t xml:space="preserve"> </w:t>
      </w:r>
      <w:r w:rsidR="00C83771">
        <w:t>O</w:t>
      </w:r>
      <w:r w:rsidR="00C83771" w:rsidRPr="00C83771">
        <w:t xml:space="preserve">n some safety aspects in </w:t>
      </w:r>
      <w:r w:rsidR="00C83771">
        <w:t>S</w:t>
      </w:r>
      <w:r w:rsidR="00C83771" w:rsidRPr="00C83771">
        <w:t xml:space="preserve">mall </w:t>
      </w:r>
      <w:r w:rsidR="00C83771">
        <w:t>M</w:t>
      </w:r>
      <w:r w:rsidR="00C83771" w:rsidRPr="00C83771">
        <w:t xml:space="preserve">odular </w:t>
      </w:r>
      <w:r w:rsidR="00C83771">
        <w:t>R</w:t>
      </w:r>
      <w:r w:rsidR="00C83771" w:rsidRPr="00C83771">
        <w:t>eactors</w:t>
      </w:r>
      <w:r w:rsidR="00C83771">
        <w:t xml:space="preserve">, accepted IAEA </w:t>
      </w:r>
      <w:r w:rsidR="00A63681" w:rsidRPr="00A91886">
        <w:rPr>
          <w:lang w:val="en-US"/>
        </w:rPr>
        <w:t xml:space="preserve">International Conference on Small Modular Reactors and their Applications, </w:t>
      </w:r>
      <w:r w:rsidR="00A63681" w:rsidRPr="00A63681">
        <w:rPr>
          <w:lang w:val="en-US"/>
        </w:rPr>
        <w:t>21–25 October 2024, Vienna, Austria</w:t>
      </w:r>
    </w:p>
    <w:p w14:paraId="3F1B5704" w14:textId="77777777" w:rsidR="00A91886" w:rsidRDefault="00A91886" w:rsidP="00BB2DBF">
      <w:pPr>
        <w:pStyle w:val="Referencelist"/>
        <w:numPr>
          <w:ilvl w:val="0"/>
          <w:numId w:val="0"/>
        </w:numPr>
        <w:ind w:left="720" w:hanging="360"/>
        <w:rPr>
          <w:lang w:val="en-US"/>
        </w:rPr>
      </w:pPr>
      <w:r>
        <w:rPr>
          <w:lang w:val="en-US"/>
        </w:rPr>
        <w:t>[2]</w:t>
      </w:r>
      <w:r>
        <w:rPr>
          <w:lang w:val="en-US"/>
        </w:rPr>
        <w:tab/>
      </w:r>
      <w:r w:rsidR="00C83771">
        <w:t xml:space="preserve">D.SERBANESCU, P.C.MIN, </w:t>
      </w:r>
      <w:r w:rsidR="00C83771" w:rsidRPr="00C83771">
        <w:t>Some Special Topics for the SMR Emergency Planning</w:t>
      </w:r>
      <w:r w:rsidR="00C83771">
        <w:t xml:space="preserve">, </w:t>
      </w:r>
      <w:r w:rsidR="00A63681" w:rsidRPr="00A63681">
        <w:t>2024 ANS Annual Conference</w:t>
      </w:r>
      <w:r w:rsidR="00C83771">
        <w:t xml:space="preserve"> </w:t>
      </w:r>
      <w:r w:rsidR="00A63681" w:rsidRPr="00A91886">
        <w:rPr>
          <w:lang w:val="en-US"/>
        </w:rPr>
        <w:t xml:space="preserve">Advanced Reactor Safety (ARS), </w:t>
      </w:r>
      <w:r w:rsidR="00A63681" w:rsidRPr="00A63681">
        <w:rPr>
          <w:lang w:val="en-US"/>
        </w:rPr>
        <w:t>June 16–19, 2024</w:t>
      </w:r>
      <w:r w:rsidR="00A63681" w:rsidRPr="00A91886">
        <w:rPr>
          <w:lang w:val="en-US"/>
        </w:rPr>
        <w:t>,</w:t>
      </w:r>
      <w:r w:rsidR="00A63681" w:rsidRPr="00A63681">
        <w:rPr>
          <w:lang w:val="en-US"/>
        </w:rPr>
        <w:t>Las Vegas, NV</w:t>
      </w:r>
    </w:p>
    <w:p w14:paraId="729D8A6B" w14:textId="0A95E29A" w:rsidR="00A91886" w:rsidRDefault="00A91886" w:rsidP="00A91886">
      <w:pPr>
        <w:pStyle w:val="Referencelist"/>
        <w:numPr>
          <w:ilvl w:val="0"/>
          <w:numId w:val="0"/>
        </w:numPr>
        <w:ind w:left="720" w:hanging="360"/>
      </w:pPr>
      <w:r>
        <w:rPr>
          <w:lang w:val="en-US"/>
        </w:rPr>
        <w:t>[3]</w:t>
      </w:r>
      <w:r>
        <w:rPr>
          <w:lang w:val="en-US"/>
        </w:rPr>
        <w:tab/>
      </w:r>
      <w:r w:rsidR="00C83771">
        <w:t xml:space="preserve">D.SERBANESCU, </w:t>
      </w:r>
      <w:r w:rsidR="00C83771" w:rsidRPr="00C83771">
        <w:t xml:space="preserve">An </w:t>
      </w:r>
      <w:r w:rsidR="00E336D3" w:rsidRPr="00C83771">
        <w:t>Exe</w:t>
      </w:r>
      <w:r w:rsidR="00E336D3">
        <w:t>g</w:t>
      </w:r>
      <w:r w:rsidR="00E336D3" w:rsidRPr="00C83771">
        <w:t>etic</w:t>
      </w:r>
      <w:r w:rsidR="00C83771" w:rsidRPr="00C83771">
        <w:t xml:space="preserve"> Comparison for Various Types of Small Modular Reactors</w:t>
      </w:r>
      <w:r w:rsidR="00C83771">
        <w:t xml:space="preserve">, NUCLEAR 2024 </w:t>
      </w:r>
      <w:r>
        <w:t>P</w:t>
      </w:r>
      <w:r w:rsidRPr="009722C8">
        <w:t>roceedings of nuclear 2024 the 50</w:t>
      </w:r>
      <w:r w:rsidRPr="00A91886">
        <w:rPr>
          <w:vertAlign w:val="superscript"/>
        </w:rPr>
        <w:t>th</w:t>
      </w:r>
      <w:r w:rsidRPr="009722C8">
        <w:t xml:space="preserve"> internation</w:t>
      </w:r>
      <w:r>
        <w:t>al</w:t>
      </w:r>
      <w:r w:rsidRPr="009722C8">
        <w:t xml:space="preserve"> conference of sustainable</w:t>
      </w:r>
      <w:r>
        <w:t xml:space="preserve"> development through nuclear  research and education </w:t>
      </w:r>
      <w:r w:rsidRPr="009722C8">
        <w:t xml:space="preserve"> </w:t>
      </w:r>
      <w:r>
        <w:t>P</w:t>
      </w:r>
      <w:r w:rsidRPr="009722C8">
        <w:t>art 1 nuclear energy</w:t>
      </w:r>
      <w:r>
        <w:t>,  ISSN</w:t>
      </w:r>
      <w:r w:rsidRPr="009722C8">
        <w:t xml:space="preserve"> 2066-2955</w:t>
      </w:r>
      <w:r>
        <w:t>, Mioveni, Romania</w:t>
      </w:r>
    </w:p>
    <w:p w14:paraId="3FA64F8B" w14:textId="5B6E2692" w:rsidR="00A91886" w:rsidRDefault="00A91886" w:rsidP="00A91886">
      <w:pPr>
        <w:pStyle w:val="Referencelist"/>
        <w:numPr>
          <w:ilvl w:val="0"/>
          <w:numId w:val="0"/>
        </w:numPr>
        <w:ind w:left="720" w:hanging="360"/>
        <w:rPr>
          <w:sz w:val="20"/>
          <w:szCs w:val="20"/>
        </w:rPr>
      </w:pPr>
      <w:r>
        <w:t>[4]</w:t>
      </w:r>
      <w:r>
        <w:tab/>
      </w:r>
      <w:r w:rsidR="004F3E18">
        <w:t>D. SERBANESCU, A</w:t>
      </w:r>
      <w:r w:rsidR="004F3E18" w:rsidRPr="004F3E18">
        <w:rPr>
          <w:sz w:val="20"/>
          <w:szCs w:val="20"/>
        </w:rPr>
        <w:t xml:space="preserve"> specific experience </w:t>
      </w:r>
      <w:r w:rsidR="0056655A">
        <w:rPr>
          <w:sz w:val="20"/>
          <w:szCs w:val="20"/>
        </w:rPr>
        <w:t>o</w:t>
      </w:r>
      <w:r w:rsidR="004F3E18" w:rsidRPr="004F3E18">
        <w:rPr>
          <w:sz w:val="20"/>
          <w:szCs w:val="20"/>
        </w:rPr>
        <w:t xml:space="preserve">n some challenges in defining and using </w:t>
      </w:r>
      <w:r w:rsidR="00E336D3" w:rsidRPr="004F3E18">
        <w:rPr>
          <w:sz w:val="20"/>
          <w:szCs w:val="20"/>
        </w:rPr>
        <w:t>Defence</w:t>
      </w:r>
      <w:r w:rsidR="004F3E18" w:rsidRPr="004F3E18">
        <w:rPr>
          <w:sz w:val="20"/>
          <w:szCs w:val="20"/>
        </w:rPr>
        <w:t xml:space="preserve"> in Depth and Safety Margin concepts, as highlighted by the safety improvement process</w:t>
      </w:r>
      <w:r w:rsidR="004F3E18">
        <w:rPr>
          <w:sz w:val="20"/>
          <w:szCs w:val="20"/>
        </w:rPr>
        <w:t>, IAEA Conference 251, 2017</w:t>
      </w:r>
    </w:p>
    <w:p w14:paraId="24616F35" w14:textId="5A5AD7F0" w:rsidR="00A91886" w:rsidRDefault="00A91886" w:rsidP="00A91886">
      <w:pPr>
        <w:pStyle w:val="Referencelist"/>
        <w:numPr>
          <w:ilvl w:val="0"/>
          <w:numId w:val="0"/>
        </w:numPr>
        <w:ind w:left="720" w:hanging="360"/>
      </w:pPr>
      <w:r>
        <w:rPr>
          <w:sz w:val="20"/>
          <w:szCs w:val="20"/>
        </w:rPr>
        <w:t>[5]</w:t>
      </w:r>
      <w:r>
        <w:rPr>
          <w:sz w:val="20"/>
          <w:szCs w:val="20"/>
        </w:rPr>
        <w:tab/>
      </w:r>
      <w:r w:rsidR="004F3E18">
        <w:t xml:space="preserve">D.SERBANESCU, Selected topics on safety issues for some complex systems, </w:t>
      </w:r>
      <w:r>
        <w:t>L</w:t>
      </w:r>
      <w:r w:rsidR="0050116E">
        <w:t>a</w:t>
      </w:r>
      <w:r w:rsidR="004F3E18">
        <w:t xml:space="preserve">mabert Academic </w:t>
      </w:r>
      <w:r w:rsidR="0050116E">
        <w:t>P</w:t>
      </w:r>
      <w:r w:rsidR="004F3E18">
        <w:t xml:space="preserve">ublishing, 2018, ISBN </w:t>
      </w:r>
      <w:r w:rsidR="004F3E18" w:rsidRPr="004F3E18">
        <w:t>978-613-4-95529-4</w:t>
      </w:r>
    </w:p>
    <w:p w14:paraId="43A27947" w14:textId="77777777" w:rsidR="001D5D94" w:rsidRDefault="00A91886" w:rsidP="001D5D94">
      <w:pPr>
        <w:pStyle w:val="Referencelist"/>
        <w:numPr>
          <w:ilvl w:val="0"/>
          <w:numId w:val="0"/>
        </w:numPr>
        <w:ind w:left="720" w:hanging="360"/>
        <w:rPr>
          <w:sz w:val="20"/>
          <w:szCs w:val="20"/>
        </w:rPr>
      </w:pPr>
      <w:r>
        <w:t>[6]</w:t>
      </w:r>
      <w:r>
        <w:tab/>
      </w:r>
      <w:r w:rsidR="004F3E18">
        <w:t>D.SERBANESCU, Selected topics in risk analyses for some energy systems, L</w:t>
      </w:r>
      <w:r w:rsidR="0050116E">
        <w:t>a</w:t>
      </w:r>
      <w:r w:rsidR="004F3E18">
        <w:t xml:space="preserve">mabert Academic </w:t>
      </w:r>
      <w:r w:rsidR="0050116E">
        <w:t>P</w:t>
      </w:r>
      <w:r w:rsidR="004F3E18">
        <w:t>ublishing,</w:t>
      </w:r>
      <w:r w:rsidR="0056655A">
        <w:t xml:space="preserve"> 2015, ISBN  </w:t>
      </w:r>
      <w:r w:rsidR="004F3E18" w:rsidRPr="0056655A">
        <w:rPr>
          <w:sz w:val="20"/>
          <w:szCs w:val="20"/>
        </w:rPr>
        <w:t>978-3-659-71468-9</w:t>
      </w:r>
    </w:p>
    <w:p w14:paraId="353BA382" w14:textId="158F5AB7" w:rsidR="001D5D94" w:rsidRPr="00C7760F" w:rsidRDefault="001D5D94" w:rsidP="001D5D94">
      <w:pPr>
        <w:pStyle w:val="Referencelist"/>
        <w:numPr>
          <w:ilvl w:val="0"/>
          <w:numId w:val="0"/>
        </w:numPr>
        <w:ind w:left="720" w:hanging="360"/>
      </w:pPr>
      <w:r>
        <w:rPr>
          <w:sz w:val="20"/>
          <w:szCs w:val="20"/>
        </w:rPr>
        <w:t xml:space="preserve"> [7] </w:t>
      </w:r>
      <w:r w:rsidRPr="00C7760F">
        <w:t>D</w:t>
      </w:r>
      <w:r>
        <w:t>.</w:t>
      </w:r>
      <w:r w:rsidRPr="00C7760F">
        <w:t>SERBANESCU "Lessons Learnt from Some Natural Energy Sources," Chapters, in: Tolga Taner &amp; Archana Tiwari &amp; Taha Selim Ustun (ed.), Renewable Energy - Technologies and Applications, IntechOpen, DOI: 10.5772/intechopen.90863</w:t>
      </w:r>
      <w:r>
        <w:t>,</w:t>
      </w:r>
      <w:r w:rsidRPr="00C7760F">
        <w:t xml:space="preserve"> , 2021</w:t>
      </w:r>
    </w:p>
    <w:p w14:paraId="01DE03D0" w14:textId="77777777" w:rsidR="00903DCD" w:rsidRPr="00857C07" w:rsidRDefault="00903DCD" w:rsidP="00C83771">
      <w:pPr>
        <w:pStyle w:val="Referencelist"/>
        <w:numPr>
          <w:ilvl w:val="0"/>
          <w:numId w:val="0"/>
        </w:numPr>
        <w:ind w:left="720" w:hanging="360"/>
        <w:rPr>
          <w:sz w:val="20"/>
          <w:szCs w:val="20"/>
        </w:rPr>
      </w:pPr>
    </w:p>
    <w:sectPr w:rsidR="00903DCD" w:rsidRPr="00857C07"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86015" w14:textId="77777777" w:rsidR="001A1E1A" w:rsidRDefault="001A1E1A">
      <w:r>
        <w:separator/>
      </w:r>
    </w:p>
  </w:endnote>
  <w:endnote w:type="continuationSeparator" w:id="0">
    <w:p w14:paraId="4FD7B752" w14:textId="77777777" w:rsidR="001A1E1A" w:rsidRDefault="001A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EAE94" w14:textId="77777777" w:rsidR="001A1E1A" w:rsidRDefault="001A1E1A">
      <w:r>
        <w:t>___________________________________________________________________________</w:t>
      </w:r>
    </w:p>
  </w:footnote>
  <w:footnote w:type="continuationSeparator" w:id="0">
    <w:p w14:paraId="286213B5" w14:textId="77777777" w:rsidR="001A1E1A" w:rsidRDefault="001A1E1A">
      <w:r>
        <w:t>___________________________________________________________________________</w:t>
      </w:r>
    </w:p>
  </w:footnote>
  <w:footnote w:type="continuationNotice" w:id="1">
    <w:p w14:paraId="2C6B7528" w14:textId="77777777" w:rsidR="001A1E1A" w:rsidRDefault="001A1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0E3C4670" w:rsidR="00E20E70" w:rsidRDefault="00C842C3" w:rsidP="00B82FA5">
    <w:pPr>
      <w:pStyle w:val="Runninghead"/>
    </w:pPr>
    <w:r>
      <w:t>D.SERBANESCU</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884"/>
    <w:multiLevelType w:val="hybridMultilevel"/>
    <w:tmpl w:val="5DB8B52C"/>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97683"/>
    <w:multiLevelType w:val="hybridMultilevel"/>
    <w:tmpl w:val="3F561106"/>
    <w:lvl w:ilvl="0" w:tplc="04090001">
      <w:start w:val="1"/>
      <w:numFmt w:val="bullet"/>
      <w:lvlText w:val=""/>
      <w:lvlJc w:val="left"/>
      <w:pPr>
        <w:ind w:left="1134" w:hanging="360"/>
      </w:pPr>
      <w:rPr>
        <w:rFonts w:ascii="Symbol" w:hAnsi="Symbol"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832CEF"/>
    <w:multiLevelType w:val="hybridMultilevel"/>
    <w:tmpl w:val="5FA84D38"/>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434D4"/>
    <w:multiLevelType w:val="hybridMultilevel"/>
    <w:tmpl w:val="5FA84D38"/>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76E58CB"/>
    <w:multiLevelType w:val="hybridMultilevel"/>
    <w:tmpl w:val="9C6C65B8"/>
    <w:lvl w:ilvl="0" w:tplc="48A0A7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232120"/>
    <w:multiLevelType w:val="hybridMultilevel"/>
    <w:tmpl w:val="01A0C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2"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12F99"/>
    <w:multiLevelType w:val="hybridMultilevel"/>
    <w:tmpl w:val="5E1835E4"/>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7A000C8"/>
    <w:multiLevelType w:val="hybridMultilevel"/>
    <w:tmpl w:val="46CA4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B746B3"/>
    <w:multiLevelType w:val="hybridMultilevel"/>
    <w:tmpl w:val="5FA84D38"/>
    <w:lvl w:ilvl="0" w:tplc="F9F25AE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91F76B3"/>
    <w:multiLevelType w:val="hybridMultilevel"/>
    <w:tmpl w:val="5FA84D38"/>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8CD0236"/>
    <w:multiLevelType w:val="hybridMultilevel"/>
    <w:tmpl w:val="2E84C9D6"/>
    <w:lvl w:ilvl="0" w:tplc="0409001B">
      <w:start w:val="1"/>
      <w:numFmt w:val="lowerRoman"/>
      <w:lvlText w:val="%1."/>
      <w:lvlJc w:val="righ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25176"/>
    <w:multiLevelType w:val="hybridMultilevel"/>
    <w:tmpl w:val="ADA6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AA43668"/>
    <w:multiLevelType w:val="multilevel"/>
    <w:tmpl w:val="FC2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78158">
    <w:abstractNumId w:val="17"/>
  </w:num>
  <w:num w:numId="2" w16cid:durableId="59716700">
    <w:abstractNumId w:val="7"/>
  </w:num>
  <w:num w:numId="3" w16cid:durableId="731540123">
    <w:abstractNumId w:val="22"/>
  </w:num>
  <w:num w:numId="4" w16cid:durableId="744034000">
    <w:abstractNumId w:val="22"/>
  </w:num>
  <w:num w:numId="5" w16cid:durableId="1474641089">
    <w:abstractNumId w:val="22"/>
  </w:num>
  <w:num w:numId="6" w16cid:durableId="528497540">
    <w:abstractNumId w:val="11"/>
  </w:num>
  <w:num w:numId="7" w16cid:durableId="176696273">
    <w:abstractNumId w:val="19"/>
  </w:num>
  <w:num w:numId="8" w16cid:durableId="1131169468">
    <w:abstractNumId w:val="23"/>
  </w:num>
  <w:num w:numId="9" w16cid:durableId="1007632637">
    <w:abstractNumId w:val="3"/>
  </w:num>
  <w:num w:numId="10" w16cid:durableId="422917246">
    <w:abstractNumId w:val="2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22"/>
  </w:num>
  <w:num w:numId="12" w16cid:durableId="468400009">
    <w:abstractNumId w:val="22"/>
  </w:num>
  <w:num w:numId="13" w16cid:durableId="1927378143">
    <w:abstractNumId w:val="22"/>
  </w:num>
  <w:num w:numId="14" w16cid:durableId="1289622783">
    <w:abstractNumId w:val="2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22"/>
  </w:num>
  <w:num w:numId="16" w16cid:durableId="656224632">
    <w:abstractNumId w:val="22"/>
  </w:num>
  <w:num w:numId="17" w16cid:durableId="784034295">
    <w:abstractNumId w:val="22"/>
  </w:num>
  <w:num w:numId="18" w16cid:durableId="1293555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22"/>
  </w:num>
  <w:num w:numId="20" w16cid:durableId="2113888906">
    <w:abstractNumId w:val="4"/>
  </w:num>
  <w:num w:numId="21" w16cid:durableId="1417746791">
    <w:abstractNumId w:val="22"/>
  </w:num>
  <w:num w:numId="22" w16cid:durableId="1720975952">
    <w:abstractNumId w:val="6"/>
  </w:num>
  <w:num w:numId="23" w16cid:durableId="983584939">
    <w:abstractNumId w:val="1"/>
  </w:num>
  <w:num w:numId="24" w16cid:durableId="76482875">
    <w:abstractNumId w:val="21"/>
  </w:num>
  <w:num w:numId="25" w16cid:durableId="1024988134">
    <w:abstractNumId w:val="22"/>
  </w:num>
  <w:num w:numId="26" w16cid:durableId="2000382986">
    <w:abstractNumId w:val="22"/>
  </w:num>
  <w:num w:numId="27" w16cid:durableId="1390575348">
    <w:abstractNumId w:val="22"/>
  </w:num>
  <w:num w:numId="28" w16cid:durableId="621231405">
    <w:abstractNumId w:val="22"/>
  </w:num>
  <w:num w:numId="29" w16cid:durableId="995762299">
    <w:abstractNumId w:val="22"/>
  </w:num>
  <w:num w:numId="30" w16cid:durableId="320278723">
    <w:abstractNumId w:val="12"/>
  </w:num>
  <w:num w:numId="31" w16cid:durableId="1695614948">
    <w:abstractNumId w:val="12"/>
  </w:num>
  <w:num w:numId="32" w16cid:durableId="195823161">
    <w:abstractNumId w:val="22"/>
  </w:num>
  <w:num w:numId="33" w16cid:durableId="2074506564">
    <w:abstractNumId w:val="15"/>
  </w:num>
  <w:num w:numId="34" w16cid:durableId="2026588008">
    <w:abstractNumId w:val="8"/>
  </w:num>
  <w:num w:numId="35" w16cid:durableId="348915584">
    <w:abstractNumId w:val="16"/>
  </w:num>
  <w:num w:numId="36" w16cid:durableId="2076273976">
    <w:abstractNumId w:val="5"/>
  </w:num>
  <w:num w:numId="37" w16cid:durableId="1956980431">
    <w:abstractNumId w:val="18"/>
  </w:num>
  <w:num w:numId="38" w16cid:durableId="1431271099">
    <w:abstractNumId w:val="13"/>
  </w:num>
  <w:num w:numId="39" w16cid:durableId="738140669">
    <w:abstractNumId w:val="9"/>
  </w:num>
  <w:num w:numId="40" w16cid:durableId="1301811539">
    <w:abstractNumId w:val="24"/>
  </w:num>
  <w:num w:numId="41" w16cid:durableId="2145001767">
    <w:abstractNumId w:val="2"/>
  </w:num>
  <w:num w:numId="42" w16cid:durableId="1107775167">
    <w:abstractNumId w:val="14"/>
  </w:num>
  <w:num w:numId="43" w16cid:durableId="1038815224">
    <w:abstractNumId w:val="20"/>
  </w:num>
  <w:num w:numId="44" w16cid:durableId="424501432">
    <w:abstractNumId w:val="10"/>
  </w:num>
  <w:num w:numId="45" w16cid:durableId="172447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FEE"/>
    <w:rsid w:val="00020567"/>
    <w:rsid w:val="000229AB"/>
    <w:rsid w:val="0002569A"/>
    <w:rsid w:val="00037321"/>
    <w:rsid w:val="00093069"/>
    <w:rsid w:val="000A0299"/>
    <w:rsid w:val="000B63D6"/>
    <w:rsid w:val="000C0CCC"/>
    <w:rsid w:val="000C6F25"/>
    <w:rsid w:val="000E703F"/>
    <w:rsid w:val="000E7CA4"/>
    <w:rsid w:val="000F7E94"/>
    <w:rsid w:val="001119D6"/>
    <w:rsid w:val="001308F2"/>
    <w:rsid w:val="001313E8"/>
    <w:rsid w:val="001A1E1A"/>
    <w:rsid w:val="001C000C"/>
    <w:rsid w:val="001C58F5"/>
    <w:rsid w:val="001D5CEE"/>
    <w:rsid w:val="001D5D94"/>
    <w:rsid w:val="002071D9"/>
    <w:rsid w:val="00253EAA"/>
    <w:rsid w:val="00256822"/>
    <w:rsid w:val="0026525A"/>
    <w:rsid w:val="00274790"/>
    <w:rsid w:val="00285755"/>
    <w:rsid w:val="0029714D"/>
    <w:rsid w:val="002A1F9C"/>
    <w:rsid w:val="002B29C2"/>
    <w:rsid w:val="002C4208"/>
    <w:rsid w:val="002C6A3E"/>
    <w:rsid w:val="002D3E9F"/>
    <w:rsid w:val="002F73AD"/>
    <w:rsid w:val="0030184D"/>
    <w:rsid w:val="00316BFB"/>
    <w:rsid w:val="00332C76"/>
    <w:rsid w:val="0034517D"/>
    <w:rsid w:val="00351534"/>
    <w:rsid w:val="00351D3D"/>
    <w:rsid w:val="00352DE1"/>
    <w:rsid w:val="003728E6"/>
    <w:rsid w:val="00385D28"/>
    <w:rsid w:val="003A4EAD"/>
    <w:rsid w:val="003B432E"/>
    <w:rsid w:val="003B5E0E"/>
    <w:rsid w:val="003D255A"/>
    <w:rsid w:val="003E795F"/>
    <w:rsid w:val="004032A4"/>
    <w:rsid w:val="00416949"/>
    <w:rsid w:val="004370D8"/>
    <w:rsid w:val="00446DC5"/>
    <w:rsid w:val="00472C43"/>
    <w:rsid w:val="00482867"/>
    <w:rsid w:val="0049053A"/>
    <w:rsid w:val="004B6065"/>
    <w:rsid w:val="004F2E8D"/>
    <w:rsid w:val="004F3E18"/>
    <w:rsid w:val="0050116E"/>
    <w:rsid w:val="00537496"/>
    <w:rsid w:val="00544ED3"/>
    <w:rsid w:val="0056655A"/>
    <w:rsid w:val="0058477B"/>
    <w:rsid w:val="0058654F"/>
    <w:rsid w:val="00596ACA"/>
    <w:rsid w:val="005C50CA"/>
    <w:rsid w:val="005E39BC"/>
    <w:rsid w:val="005F00A0"/>
    <w:rsid w:val="00620164"/>
    <w:rsid w:val="00647F33"/>
    <w:rsid w:val="00662532"/>
    <w:rsid w:val="00671717"/>
    <w:rsid w:val="00672B09"/>
    <w:rsid w:val="0068059C"/>
    <w:rsid w:val="00681CB0"/>
    <w:rsid w:val="00681F8B"/>
    <w:rsid w:val="006B2274"/>
    <w:rsid w:val="006B778A"/>
    <w:rsid w:val="006E731F"/>
    <w:rsid w:val="00717C6F"/>
    <w:rsid w:val="00731EF9"/>
    <w:rsid w:val="007320F2"/>
    <w:rsid w:val="007445DA"/>
    <w:rsid w:val="00754204"/>
    <w:rsid w:val="00763A9C"/>
    <w:rsid w:val="007A5302"/>
    <w:rsid w:val="007B4FD1"/>
    <w:rsid w:val="007C5B89"/>
    <w:rsid w:val="007E24FA"/>
    <w:rsid w:val="007F06B1"/>
    <w:rsid w:val="007F4F5B"/>
    <w:rsid w:val="008010A0"/>
    <w:rsid w:val="00802381"/>
    <w:rsid w:val="008437BD"/>
    <w:rsid w:val="00857C07"/>
    <w:rsid w:val="00863956"/>
    <w:rsid w:val="00865F26"/>
    <w:rsid w:val="00883848"/>
    <w:rsid w:val="00897ED5"/>
    <w:rsid w:val="008B6BB9"/>
    <w:rsid w:val="008B7A55"/>
    <w:rsid w:val="008D08DD"/>
    <w:rsid w:val="008D4864"/>
    <w:rsid w:val="00903DCD"/>
    <w:rsid w:val="00911543"/>
    <w:rsid w:val="00943299"/>
    <w:rsid w:val="009519C9"/>
    <w:rsid w:val="009A04CF"/>
    <w:rsid w:val="009A27C0"/>
    <w:rsid w:val="009C15A2"/>
    <w:rsid w:val="009C6F9F"/>
    <w:rsid w:val="009D0B86"/>
    <w:rsid w:val="009E0D5B"/>
    <w:rsid w:val="009E1558"/>
    <w:rsid w:val="00A42898"/>
    <w:rsid w:val="00A63681"/>
    <w:rsid w:val="00A85032"/>
    <w:rsid w:val="00A91886"/>
    <w:rsid w:val="00A944E6"/>
    <w:rsid w:val="00AB6ACE"/>
    <w:rsid w:val="00AC5A3A"/>
    <w:rsid w:val="00AD2144"/>
    <w:rsid w:val="00AE4839"/>
    <w:rsid w:val="00B212D7"/>
    <w:rsid w:val="00B23C33"/>
    <w:rsid w:val="00B24B49"/>
    <w:rsid w:val="00B56303"/>
    <w:rsid w:val="00B82FA5"/>
    <w:rsid w:val="00BD1400"/>
    <w:rsid w:val="00BD15E7"/>
    <w:rsid w:val="00BD605C"/>
    <w:rsid w:val="00BE2A76"/>
    <w:rsid w:val="00BF1269"/>
    <w:rsid w:val="00C07BAF"/>
    <w:rsid w:val="00C65E60"/>
    <w:rsid w:val="00C83771"/>
    <w:rsid w:val="00C842C3"/>
    <w:rsid w:val="00C952B5"/>
    <w:rsid w:val="00CE5A52"/>
    <w:rsid w:val="00CF7AF3"/>
    <w:rsid w:val="00D26ADA"/>
    <w:rsid w:val="00D35A78"/>
    <w:rsid w:val="00D46A11"/>
    <w:rsid w:val="00D555A1"/>
    <w:rsid w:val="00D55F74"/>
    <w:rsid w:val="00D56FFA"/>
    <w:rsid w:val="00D64DC2"/>
    <w:rsid w:val="00D760CF"/>
    <w:rsid w:val="00D9611B"/>
    <w:rsid w:val="00DA46CA"/>
    <w:rsid w:val="00DB2D75"/>
    <w:rsid w:val="00DF21EB"/>
    <w:rsid w:val="00DF3191"/>
    <w:rsid w:val="00E0026C"/>
    <w:rsid w:val="00E20E70"/>
    <w:rsid w:val="00E25B68"/>
    <w:rsid w:val="00E336D3"/>
    <w:rsid w:val="00E516A1"/>
    <w:rsid w:val="00E66CA5"/>
    <w:rsid w:val="00E83E39"/>
    <w:rsid w:val="00E84003"/>
    <w:rsid w:val="00EB2165"/>
    <w:rsid w:val="00EC10FC"/>
    <w:rsid w:val="00EC1D9B"/>
    <w:rsid w:val="00EE0041"/>
    <w:rsid w:val="00EE29B9"/>
    <w:rsid w:val="00EE69FA"/>
    <w:rsid w:val="00F004EE"/>
    <w:rsid w:val="00F1161A"/>
    <w:rsid w:val="00F35874"/>
    <w:rsid w:val="00F42E23"/>
    <w:rsid w:val="00F45EEE"/>
    <w:rsid w:val="00F51E9C"/>
    <w:rsid w:val="00F523CA"/>
    <w:rsid w:val="00F74A9D"/>
    <w:rsid w:val="00F90D44"/>
    <w:rsid w:val="00FC00A9"/>
    <w:rsid w:val="00FE2EB9"/>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qFormat="1"/>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qFormat/>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A63681"/>
    <w:rPr>
      <w:color w:val="0000FF" w:themeColor="hyperlink"/>
      <w:u w:val="single"/>
    </w:rPr>
  </w:style>
  <w:style w:type="character" w:styleId="UnresolvedMention">
    <w:name w:val="Unresolved Mention"/>
    <w:basedOn w:val="DefaultParagraphFont"/>
    <w:uiPriority w:val="99"/>
    <w:semiHidden/>
    <w:unhideWhenUsed/>
    <w:rsid w:val="00A63681"/>
    <w:rPr>
      <w:color w:val="605E5C"/>
      <w:shd w:val="clear" w:color="auto" w:fill="E1DFDD"/>
    </w:rPr>
  </w:style>
  <w:style w:type="paragraph" w:styleId="ListParagraph">
    <w:name w:val="List Paragraph"/>
    <w:basedOn w:val="Normal"/>
    <w:uiPriority w:val="49"/>
    <w:locked/>
    <w:rsid w:val="009C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4648">
      <w:bodyDiv w:val="1"/>
      <w:marLeft w:val="0"/>
      <w:marRight w:val="0"/>
      <w:marTop w:val="0"/>
      <w:marBottom w:val="0"/>
      <w:divBdr>
        <w:top w:val="none" w:sz="0" w:space="0" w:color="auto"/>
        <w:left w:val="none" w:sz="0" w:space="0" w:color="auto"/>
        <w:bottom w:val="none" w:sz="0" w:space="0" w:color="auto"/>
        <w:right w:val="none" w:sz="0" w:space="0" w:color="auto"/>
      </w:divBdr>
    </w:div>
    <w:div w:id="278220683">
      <w:bodyDiv w:val="1"/>
      <w:marLeft w:val="0"/>
      <w:marRight w:val="0"/>
      <w:marTop w:val="0"/>
      <w:marBottom w:val="0"/>
      <w:divBdr>
        <w:top w:val="none" w:sz="0" w:space="0" w:color="auto"/>
        <w:left w:val="none" w:sz="0" w:space="0" w:color="auto"/>
        <w:bottom w:val="none" w:sz="0" w:space="0" w:color="auto"/>
        <w:right w:val="none" w:sz="0" w:space="0" w:color="auto"/>
      </w:divBdr>
    </w:div>
    <w:div w:id="660161405">
      <w:bodyDiv w:val="1"/>
      <w:marLeft w:val="0"/>
      <w:marRight w:val="0"/>
      <w:marTop w:val="0"/>
      <w:marBottom w:val="0"/>
      <w:divBdr>
        <w:top w:val="none" w:sz="0" w:space="0" w:color="auto"/>
        <w:left w:val="none" w:sz="0" w:space="0" w:color="auto"/>
        <w:bottom w:val="none" w:sz="0" w:space="0" w:color="auto"/>
        <w:right w:val="none" w:sz="0" w:space="0" w:color="auto"/>
      </w:divBdr>
    </w:div>
    <w:div w:id="834221437">
      <w:bodyDiv w:val="1"/>
      <w:marLeft w:val="0"/>
      <w:marRight w:val="0"/>
      <w:marTop w:val="0"/>
      <w:marBottom w:val="0"/>
      <w:divBdr>
        <w:top w:val="none" w:sz="0" w:space="0" w:color="auto"/>
        <w:left w:val="none" w:sz="0" w:space="0" w:color="auto"/>
        <w:bottom w:val="none" w:sz="0" w:space="0" w:color="auto"/>
        <w:right w:val="none" w:sz="0" w:space="0" w:color="auto"/>
      </w:divBdr>
    </w:div>
    <w:div w:id="949165296">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sChild>
        <w:div w:id="364524146">
          <w:marLeft w:val="-150"/>
          <w:marRight w:val="-150"/>
          <w:marTop w:val="0"/>
          <w:marBottom w:val="0"/>
          <w:divBdr>
            <w:top w:val="none" w:sz="0" w:space="0" w:color="auto"/>
            <w:left w:val="none" w:sz="0" w:space="0" w:color="auto"/>
            <w:bottom w:val="none" w:sz="0" w:space="0" w:color="auto"/>
            <w:right w:val="none" w:sz="0" w:space="0" w:color="auto"/>
          </w:divBdr>
          <w:divsChild>
            <w:div w:id="10519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79875">
      <w:bodyDiv w:val="1"/>
      <w:marLeft w:val="0"/>
      <w:marRight w:val="0"/>
      <w:marTop w:val="0"/>
      <w:marBottom w:val="0"/>
      <w:divBdr>
        <w:top w:val="none" w:sz="0" w:space="0" w:color="auto"/>
        <w:left w:val="none" w:sz="0" w:space="0" w:color="auto"/>
        <w:bottom w:val="none" w:sz="0" w:space="0" w:color="auto"/>
        <w:right w:val="none" w:sz="0" w:space="0" w:color="auto"/>
      </w:divBdr>
      <w:divsChild>
        <w:div w:id="1887377469">
          <w:marLeft w:val="-150"/>
          <w:marRight w:val="-150"/>
          <w:marTop w:val="0"/>
          <w:marBottom w:val="0"/>
          <w:divBdr>
            <w:top w:val="none" w:sz="0" w:space="0" w:color="auto"/>
            <w:left w:val="none" w:sz="0" w:space="0" w:color="auto"/>
            <w:bottom w:val="none" w:sz="0" w:space="0" w:color="auto"/>
            <w:right w:val="none" w:sz="0" w:space="0" w:color="auto"/>
          </w:divBdr>
          <w:divsChild>
            <w:div w:id="16768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OneDrive\Desktop\PAPER%201%20SMR%20IAEA%202024\PAPER%201%20SMR%20IAEA__X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'a2 (4)'!$BN$4</c:f>
              <c:strCache>
                <c:ptCount val="1"/>
                <c:pt idx="0">
                  <c:v>W1</c:v>
                </c:pt>
              </c:strCache>
            </c:strRef>
          </c:tx>
          <c:spPr>
            <a:solidFill>
              <a:schemeClr val="accent1"/>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(4)'!$BN$5:$BN$19</c:f>
              <c:numCache>
                <c:formatCode>General</c:formatCode>
                <c:ptCount val="15"/>
                <c:pt idx="0">
                  <c:v>2</c:v>
                </c:pt>
                <c:pt idx="1">
                  <c:v>2</c:v>
                </c:pt>
                <c:pt idx="2">
                  <c:v>2</c:v>
                </c:pt>
                <c:pt idx="3">
                  <c:v>3</c:v>
                </c:pt>
                <c:pt idx="4">
                  <c:v>3</c:v>
                </c:pt>
                <c:pt idx="5">
                  <c:v>3</c:v>
                </c:pt>
                <c:pt idx="6">
                  <c:v>2</c:v>
                </c:pt>
                <c:pt idx="7">
                  <c:v>3</c:v>
                </c:pt>
                <c:pt idx="8">
                  <c:v>2</c:v>
                </c:pt>
                <c:pt idx="9">
                  <c:v>1</c:v>
                </c:pt>
                <c:pt idx="10">
                  <c:v>3</c:v>
                </c:pt>
                <c:pt idx="11">
                  <c:v>2</c:v>
                </c:pt>
                <c:pt idx="12">
                  <c:v>2</c:v>
                </c:pt>
                <c:pt idx="13">
                  <c:v>1</c:v>
                </c:pt>
                <c:pt idx="14">
                  <c:v>3</c:v>
                </c:pt>
              </c:numCache>
            </c:numRef>
          </c:val>
          <c:extLst>
            <c:ext xmlns:c16="http://schemas.microsoft.com/office/drawing/2014/chart" uri="{C3380CC4-5D6E-409C-BE32-E72D297353CC}">
              <c16:uniqueId val="{00000000-9626-4A56-BD2C-44CF31D3A450}"/>
            </c:ext>
          </c:extLst>
        </c:ser>
        <c:ser>
          <c:idx val="1"/>
          <c:order val="1"/>
          <c:tx>
            <c:strRef>
              <c:f>'a2 (4)'!$BO$4</c:f>
              <c:strCache>
                <c:ptCount val="1"/>
                <c:pt idx="0">
                  <c:v>G1</c:v>
                </c:pt>
              </c:strCache>
            </c:strRef>
          </c:tx>
          <c:spPr>
            <a:solidFill>
              <a:schemeClr val="accent2"/>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(4)'!$BO$5:$BO$19</c:f>
              <c:numCache>
                <c:formatCode>General</c:formatCode>
                <c:ptCount val="15"/>
                <c:pt idx="0">
                  <c:v>1</c:v>
                </c:pt>
                <c:pt idx="1">
                  <c:v>1</c:v>
                </c:pt>
                <c:pt idx="2">
                  <c:v>1</c:v>
                </c:pt>
                <c:pt idx="3">
                  <c:v>2</c:v>
                </c:pt>
                <c:pt idx="4">
                  <c:v>2</c:v>
                </c:pt>
                <c:pt idx="5">
                  <c:v>2</c:v>
                </c:pt>
                <c:pt idx="6">
                  <c:v>1</c:v>
                </c:pt>
                <c:pt idx="7">
                  <c:v>2</c:v>
                </c:pt>
                <c:pt idx="8">
                  <c:v>2</c:v>
                </c:pt>
                <c:pt idx="9">
                  <c:v>2</c:v>
                </c:pt>
                <c:pt idx="10">
                  <c:v>2</c:v>
                </c:pt>
                <c:pt idx="11">
                  <c:v>1</c:v>
                </c:pt>
                <c:pt idx="12">
                  <c:v>1</c:v>
                </c:pt>
                <c:pt idx="13">
                  <c:v>1</c:v>
                </c:pt>
                <c:pt idx="14">
                  <c:v>2</c:v>
                </c:pt>
              </c:numCache>
            </c:numRef>
          </c:val>
          <c:extLst>
            <c:ext xmlns:c16="http://schemas.microsoft.com/office/drawing/2014/chart" uri="{C3380CC4-5D6E-409C-BE32-E72D297353CC}">
              <c16:uniqueId val="{00000001-9626-4A56-BD2C-44CF31D3A450}"/>
            </c:ext>
          </c:extLst>
        </c:ser>
        <c:ser>
          <c:idx val="2"/>
          <c:order val="2"/>
          <c:tx>
            <c:strRef>
              <c:f>'a2 (4)'!$BP$4</c:f>
              <c:strCache>
                <c:ptCount val="1"/>
                <c:pt idx="0">
                  <c:v>M1</c:v>
                </c:pt>
              </c:strCache>
            </c:strRef>
          </c:tx>
          <c:spPr>
            <a:solidFill>
              <a:schemeClr val="tx1"/>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(4)'!$BP$5:$BP$19</c:f>
              <c:numCache>
                <c:formatCode>General</c:formatCode>
                <c:ptCount val="15"/>
                <c:pt idx="0">
                  <c:v>1</c:v>
                </c:pt>
                <c:pt idx="1">
                  <c:v>1</c:v>
                </c:pt>
                <c:pt idx="2">
                  <c:v>1</c:v>
                </c:pt>
                <c:pt idx="3">
                  <c:v>1</c:v>
                </c:pt>
                <c:pt idx="4">
                  <c:v>2</c:v>
                </c:pt>
                <c:pt idx="5">
                  <c:v>1</c:v>
                </c:pt>
                <c:pt idx="6">
                  <c:v>1</c:v>
                </c:pt>
                <c:pt idx="7">
                  <c:v>2</c:v>
                </c:pt>
                <c:pt idx="8">
                  <c:v>1</c:v>
                </c:pt>
                <c:pt idx="9">
                  <c:v>2</c:v>
                </c:pt>
                <c:pt idx="10">
                  <c:v>2</c:v>
                </c:pt>
                <c:pt idx="11">
                  <c:v>1</c:v>
                </c:pt>
                <c:pt idx="12">
                  <c:v>1</c:v>
                </c:pt>
                <c:pt idx="13">
                  <c:v>1</c:v>
                </c:pt>
                <c:pt idx="14">
                  <c:v>1</c:v>
                </c:pt>
              </c:numCache>
            </c:numRef>
          </c:val>
          <c:extLst>
            <c:ext xmlns:c16="http://schemas.microsoft.com/office/drawing/2014/chart" uri="{C3380CC4-5D6E-409C-BE32-E72D297353CC}">
              <c16:uniqueId val="{00000002-9626-4A56-BD2C-44CF31D3A450}"/>
            </c:ext>
          </c:extLst>
        </c:ser>
        <c:ser>
          <c:idx val="3"/>
          <c:order val="3"/>
          <c:tx>
            <c:strRef>
              <c:f>'a2 (4)'!$BQ$4</c:f>
              <c:strCache>
                <c:ptCount val="1"/>
                <c:pt idx="0">
                  <c:v>W2</c:v>
                </c:pt>
              </c:strCache>
            </c:strRef>
          </c:tx>
          <c:spPr>
            <a:solidFill>
              <a:schemeClr val="accent4"/>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(4)'!$BQ$5:$BQ$19</c:f>
              <c:numCache>
                <c:formatCode>General</c:formatCode>
                <c:ptCount val="15"/>
                <c:pt idx="0">
                  <c:v>1</c:v>
                </c:pt>
                <c:pt idx="1">
                  <c:v>2</c:v>
                </c:pt>
                <c:pt idx="2">
                  <c:v>2</c:v>
                </c:pt>
                <c:pt idx="3">
                  <c:v>3</c:v>
                </c:pt>
                <c:pt idx="4">
                  <c:v>3</c:v>
                </c:pt>
                <c:pt idx="5">
                  <c:v>3</c:v>
                </c:pt>
                <c:pt idx="6">
                  <c:v>2</c:v>
                </c:pt>
                <c:pt idx="7">
                  <c:v>3</c:v>
                </c:pt>
                <c:pt idx="8">
                  <c:v>3</c:v>
                </c:pt>
                <c:pt idx="9">
                  <c:v>2</c:v>
                </c:pt>
                <c:pt idx="10">
                  <c:v>3</c:v>
                </c:pt>
                <c:pt idx="11">
                  <c:v>2</c:v>
                </c:pt>
                <c:pt idx="12">
                  <c:v>2</c:v>
                </c:pt>
                <c:pt idx="13">
                  <c:v>2</c:v>
                </c:pt>
                <c:pt idx="14">
                  <c:v>3</c:v>
                </c:pt>
              </c:numCache>
            </c:numRef>
          </c:val>
          <c:extLst>
            <c:ext xmlns:c16="http://schemas.microsoft.com/office/drawing/2014/chart" uri="{C3380CC4-5D6E-409C-BE32-E72D297353CC}">
              <c16:uniqueId val="{00000003-9626-4A56-BD2C-44CF31D3A450}"/>
            </c:ext>
          </c:extLst>
        </c:ser>
        <c:ser>
          <c:idx val="4"/>
          <c:order val="4"/>
          <c:tx>
            <c:strRef>
              <c:f>'a2 (4)'!$BR$4</c:f>
              <c:strCache>
                <c:ptCount val="1"/>
                <c:pt idx="0">
                  <c:v>G2</c:v>
                </c:pt>
              </c:strCache>
            </c:strRef>
          </c:tx>
          <c:spPr>
            <a:solidFill>
              <a:schemeClr val="bg1">
                <a:lumMod val="95000"/>
              </a:schemeClr>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(4)'!$BR$5:$BR$19</c:f>
              <c:numCache>
                <c:formatCode>General</c:formatCode>
                <c:ptCount val="15"/>
                <c:pt idx="0">
                  <c:v>1</c:v>
                </c:pt>
                <c:pt idx="1">
                  <c:v>2</c:v>
                </c:pt>
                <c:pt idx="2">
                  <c:v>1</c:v>
                </c:pt>
                <c:pt idx="3">
                  <c:v>2</c:v>
                </c:pt>
                <c:pt idx="4">
                  <c:v>3</c:v>
                </c:pt>
                <c:pt idx="5">
                  <c:v>2</c:v>
                </c:pt>
                <c:pt idx="6">
                  <c:v>2</c:v>
                </c:pt>
                <c:pt idx="7">
                  <c:v>2</c:v>
                </c:pt>
                <c:pt idx="8">
                  <c:v>2</c:v>
                </c:pt>
                <c:pt idx="9">
                  <c:v>3</c:v>
                </c:pt>
                <c:pt idx="10">
                  <c:v>2</c:v>
                </c:pt>
                <c:pt idx="11">
                  <c:v>1</c:v>
                </c:pt>
                <c:pt idx="12">
                  <c:v>1</c:v>
                </c:pt>
                <c:pt idx="13">
                  <c:v>2</c:v>
                </c:pt>
                <c:pt idx="14">
                  <c:v>2</c:v>
                </c:pt>
              </c:numCache>
            </c:numRef>
          </c:val>
          <c:extLst>
            <c:ext xmlns:c16="http://schemas.microsoft.com/office/drawing/2014/chart" uri="{C3380CC4-5D6E-409C-BE32-E72D297353CC}">
              <c16:uniqueId val="{00000004-9626-4A56-BD2C-44CF31D3A450}"/>
            </c:ext>
          </c:extLst>
        </c:ser>
        <c:ser>
          <c:idx val="5"/>
          <c:order val="5"/>
          <c:tx>
            <c:strRef>
              <c:f>'a2 (4)'!$BS$4</c:f>
              <c:strCache>
                <c:ptCount val="1"/>
                <c:pt idx="0">
                  <c:v>M2</c:v>
                </c:pt>
              </c:strCache>
            </c:strRef>
          </c:tx>
          <c:spPr>
            <a:solidFill>
              <a:schemeClr val="accent6"/>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(4)'!$BS$5:$BS$19</c:f>
              <c:numCache>
                <c:formatCode>General</c:formatCode>
                <c:ptCount val="15"/>
                <c:pt idx="0">
                  <c:v>1</c:v>
                </c:pt>
                <c:pt idx="1">
                  <c:v>1</c:v>
                </c:pt>
                <c:pt idx="2">
                  <c:v>1</c:v>
                </c:pt>
                <c:pt idx="3">
                  <c:v>2</c:v>
                </c:pt>
                <c:pt idx="4">
                  <c:v>2</c:v>
                </c:pt>
                <c:pt idx="5">
                  <c:v>2</c:v>
                </c:pt>
                <c:pt idx="6">
                  <c:v>2</c:v>
                </c:pt>
                <c:pt idx="7">
                  <c:v>2</c:v>
                </c:pt>
                <c:pt idx="8">
                  <c:v>1</c:v>
                </c:pt>
                <c:pt idx="9">
                  <c:v>3</c:v>
                </c:pt>
                <c:pt idx="10">
                  <c:v>2</c:v>
                </c:pt>
                <c:pt idx="11">
                  <c:v>1</c:v>
                </c:pt>
                <c:pt idx="12">
                  <c:v>1</c:v>
                </c:pt>
                <c:pt idx="13">
                  <c:v>2</c:v>
                </c:pt>
                <c:pt idx="14">
                  <c:v>2</c:v>
                </c:pt>
              </c:numCache>
            </c:numRef>
          </c:val>
          <c:extLst>
            <c:ext xmlns:c16="http://schemas.microsoft.com/office/drawing/2014/chart" uri="{C3380CC4-5D6E-409C-BE32-E72D297353CC}">
              <c16:uniqueId val="{00000005-9626-4A56-BD2C-44CF31D3A450}"/>
            </c:ext>
          </c:extLst>
        </c:ser>
        <c:ser>
          <c:idx val="6"/>
          <c:order val="6"/>
          <c:tx>
            <c:strRef>
              <c:f>'a2 (4)'!$BT$4</c:f>
              <c:strCache>
                <c:ptCount val="1"/>
                <c:pt idx="0">
                  <c:v>W3</c:v>
                </c:pt>
              </c:strCache>
            </c:strRef>
          </c:tx>
          <c:spPr>
            <a:solidFill>
              <a:schemeClr val="accent1">
                <a:lumMod val="60000"/>
              </a:schemeClr>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(4)'!$BT$5:$BT$19</c:f>
              <c:numCache>
                <c:formatCode>General</c:formatCode>
                <c:ptCount val="15"/>
                <c:pt idx="0">
                  <c:v>2</c:v>
                </c:pt>
                <c:pt idx="1">
                  <c:v>3</c:v>
                </c:pt>
                <c:pt idx="2">
                  <c:v>3</c:v>
                </c:pt>
                <c:pt idx="3">
                  <c:v>3</c:v>
                </c:pt>
                <c:pt idx="4">
                  <c:v>3</c:v>
                </c:pt>
                <c:pt idx="5">
                  <c:v>3</c:v>
                </c:pt>
                <c:pt idx="6">
                  <c:v>2</c:v>
                </c:pt>
                <c:pt idx="7">
                  <c:v>3</c:v>
                </c:pt>
                <c:pt idx="8">
                  <c:v>3</c:v>
                </c:pt>
                <c:pt idx="9">
                  <c:v>2</c:v>
                </c:pt>
                <c:pt idx="10">
                  <c:v>3</c:v>
                </c:pt>
                <c:pt idx="11">
                  <c:v>2</c:v>
                </c:pt>
                <c:pt idx="12">
                  <c:v>3</c:v>
                </c:pt>
                <c:pt idx="13">
                  <c:v>2</c:v>
                </c:pt>
                <c:pt idx="14">
                  <c:v>3</c:v>
                </c:pt>
              </c:numCache>
            </c:numRef>
          </c:val>
          <c:extLst>
            <c:ext xmlns:c16="http://schemas.microsoft.com/office/drawing/2014/chart" uri="{C3380CC4-5D6E-409C-BE32-E72D297353CC}">
              <c16:uniqueId val="{00000006-9626-4A56-BD2C-44CF31D3A450}"/>
            </c:ext>
          </c:extLst>
        </c:ser>
        <c:ser>
          <c:idx val="7"/>
          <c:order val="7"/>
          <c:tx>
            <c:strRef>
              <c:f>'a2 (4)'!$BU$4</c:f>
              <c:strCache>
                <c:ptCount val="1"/>
                <c:pt idx="0">
                  <c:v>G3</c:v>
                </c:pt>
              </c:strCache>
            </c:strRef>
          </c:tx>
          <c:spPr>
            <a:solidFill>
              <a:srgbClr val="FFFF00"/>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(4)'!$BU$5:$BU$19</c:f>
              <c:numCache>
                <c:formatCode>General</c:formatCode>
                <c:ptCount val="15"/>
                <c:pt idx="0">
                  <c:v>2</c:v>
                </c:pt>
                <c:pt idx="1">
                  <c:v>3</c:v>
                </c:pt>
                <c:pt idx="2">
                  <c:v>2</c:v>
                </c:pt>
                <c:pt idx="3">
                  <c:v>2</c:v>
                </c:pt>
                <c:pt idx="4">
                  <c:v>3</c:v>
                </c:pt>
                <c:pt idx="5">
                  <c:v>2</c:v>
                </c:pt>
                <c:pt idx="6">
                  <c:v>2</c:v>
                </c:pt>
                <c:pt idx="7">
                  <c:v>2</c:v>
                </c:pt>
                <c:pt idx="8">
                  <c:v>2</c:v>
                </c:pt>
                <c:pt idx="9">
                  <c:v>3</c:v>
                </c:pt>
                <c:pt idx="10">
                  <c:v>3</c:v>
                </c:pt>
                <c:pt idx="11">
                  <c:v>2</c:v>
                </c:pt>
                <c:pt idx="12">
                  <c:v>2</c:v>
                </c:pt>
                <c:pt idx="13">
                  <c:v>2</c:v>
                </c:pt>
                <c:pt idx="14">
                  <c:v>3</c:v>
                </c:pt>
              </c:numCache>
            </c:numRef>
          </c:val>
          <c:extLst>
            <c:ext xmlns:c16="http://schemas.microsoft.com/office/drawing/2014/chart" uri="{C3380CC4-5D6E-409C-BE32-E72D297353CC}">
              <c16:uniqueId val="{00000007-9626-4A56-BD2C-44CF31D3A450}"/>
            </c:ext>
          </c:extLst>
        </c:ser>
        <c:ser>
          <c:idx val="8"/>
          <c:order val="8"/>
          <c:tx>
            <c:strRef>
              <c:f>'a2 (4)'!$BV$4</c:f>
              <c:strCache>
                <c:ptCount val="1"/>
                <c:pt idx="0">
                  <c:v>M3</c:v>
                </c:pt>
              </c:strCache>
            </c:strRef>
          </c:tx>
          <c:spPr>
            <a:solidFill>
              <a:schemeClr val="accent3">
                <a:lumMod val="60000"/>
              </a:schemeClr>
            </a:solidFill>
            <a:ln>
              <a:noFill/>
            </a:ln>
            <a:effectLst/>
          </c:spPr>
          <c:invertIfNegative val="0"/>
          <c:cat>
            <c:strRef>
              <c:f>'a2 (4)'!$BM$5:$BM$19</c:f>
              <c:strCache>
                <c:ptCount val="15"/>
                <c:pt idx="0">
                  <c:v>CRU</c:v>
                </c:pt>
                <c:pt idx="1">
                  <c:v>CRC</c:v>
                </c:pt>
                <c:pt idx="2">
                  <c:v>LEC</c:v>
                </c:pt>
                <c:pt idx="3">
                  <c:v>SM</c:v>
                </c:pt>
                <c:pt idx="4">
                  <c:v>DiDA</c:v>
                </c:pt>
                <c:pt idx="5">
                  <c:v>DiDI</c:v>
                </c:pt>
                <c:pt idx="6">
                  <c:v>CEE</c:v>
                </c:pt>
                <c:pt idx="7">
                  <c:v>DPC</c:v>
                </c:pt>
                <c:pt idx="8">
                  <c:v>CHC</c:v>
                </c:pt>
                <c:pt idx="9">
                  <c:v>CGEN</c:v>
                </c:pt>
                <c:pt idx="10">
                  <c:v>CSIT</c:v>
                </c:pt>
                <c:pt idx="11">
                  <c:v>CEP</c:v>
                </c:pt>
                <c:pt idx="12">
                  <c:v>FEFC</c:v>
                </c:pt>
                <c:pt idx="13">
                  <c:v>BEFC</c:v>
                </c:pt>
                <c:pt idx="14">
                  <c:v>CR TOT</c:v>
                </c:pt>
              </c:strCache>
            </c:strRef>
          </c:cat>
          <c:val>
            <c:numRef>
              <c:f>'a2 (4)'!$BV$5:$BV$19</c:f>
              <c:numCache>
                <c:formatCode>General</c:formatCode>
                <c:ptCount val="15"/>
                <c:pt idx="0">
                  <c:v>2</c:v>
                </c:pt>
                <c:pt idx="1">
                  <c:v>2</c:v>
                </c:pt>
                <c:pt idx="2">
                  <c:v>2</c:v>
                </c:pt>
                <c:pt idx="3">
                  <c:v>2</c:v>
                </c:pt>
                <c:pt idx="4">
                  <c:v>2</c:v>
                </c:pt>
                <c:pt idx="5">
                  <c:v>2</c:v>
                </c:pt>
                <c:pt idx="6">
                  <c:v>2</c:v>
                </c:pt>
                <c:pt idx="7">
                  <c:v>2</c:v>
                </c:pt>
                <c:pt idx="8">
                  <c:v>2</c:v>
                </c:pt>
                <c:pt idx="9">
                  <c:v>3</c:v>
                </c:pt>
                <c:pt idx="10">
                  <c:v>3</c:v>
                </c:pt>
                <c:pt idx="11">
                  <c:v>2</c:v>
                </c:pt>
                <c:pt idx="12">
                  <c:v>2</c:v>
                </c:pt>
                <c:pt idx="13">
                  <c:v>3</c:v>
                </c:pt>
                <c:pt idx="14">
                  <c:v>3</c:v>
                </c:pt>
              </c:numCache>
            </c:numRef>
          </c:val>
          <c:extLst>
            <c:ext xmlns:c16="http://schemas.microsoft.com/office/drawing/2014/chart" uri="{C3380CC4-5D6E-409C-BE32-E72D297353CC}">
              <c16:uniqueId val="{00000008-9626-4A56-BD2C-44CF31D3A450}"/>
            </c:ext>
          </c:extLst>
        </c:ser>
        <c:dLbls>
          <c:showLegendKey val="0"/>
          <c:showVal val="0"/>
          <c:showCatName val="0"/>
          <c:showSerName val="0"/>
          <c:showPercent val="0"/>
          <c:showBubbleSize val="0"/>
        </c:dLbls>
        <c:gapWidth val="150"/>
        <c:overlap val="100"/>
        <c:axId val="504897456"/>
        <c:axId val="504917616"/>
      </c:barChart>
      <c:catAx>
        <c:axId val="50489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917616"/>
        <c:crosses val="autoZero"/>
        <c:auto val="1"/>
        <c:lblAlgn val="ctr"/>
        <c:lblOffset val="100"/>
        <c:noMultiLvlLbl val="0"/>
      </c:catAx>
      <c:valAx>
        <c:axId val="504917616"/>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504897456"/>
        <c:crosses val="autoZero"/>
        <c:crossBetween val="between"/>
      </c:valAx>
      <c:spPr>
        <a:noFill/>
        <a:ln>
          <a:noFill/>
        </a:ln>
        <a:effectLst/>
      </c:spPr>
    </c:plotArea>
    <c:legend>
      <c:legendPos val="b"/>
      <c:layout>
        <c:manualLayout>
          <c:xMode val="edge"/>
          <c:yMode val="edge"/>
          <c:x val="0.1299817084180529"/>
          <c:y val="0.92515209208359694"/>
          <c:w val="0.70901852622360395"/>
          <c:h val="5.98157515298967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5</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DAN SERBANESCU</cp:lastModifiedBy>
  <cp:revision>2</cp:revision>
  <cp:lastPrinted>2024-03-19T13:52:00Z</cp:lastPrinted>
  <dcterms:created xsi:type="dcterms:W3CDTF">2024-09-05T19:11:00Z</dcterms:created>
  <dcterms:modified xsi:type="dcterms:W3CDTF">2024-09-05T19:11:00Z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