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3486" w14:textId="77777777" w:rsidR="00AB1346" w:rsidRDefault="004044A3" w:rsidP="00537496">
      <w:pPr>
        <w:pStyle w:val="Heading1"/>
      </w:pPr>
      <w:r w:rsidRPr="004044A3">
        <w:t xml:space="preserve">United States and Canada Cooperation on SMR Design Reviews - Successes in Collaboration </w:t>
      </w:r>
    </w:p>
    <w:p w14:paraId="45A501F0" w14:textId="20275AC9" w:rsidR="00E20E70" w:rsidRPr="00EE29B9" w:rsidRDefault="00E20E70" w:rsidP="00537496">
      <w:pPr>
        <w:pStyle w:val="Heading1"/>
      </w:pPr>
    </w:p>
    <w:p w14:paraId="4D1B799F" w14:textId="77777777" w:rsidR="00802381" w:rsidRDefault="00802381" w:rsidP="00537496">
      <w:pPr>
        <w:pStyle w:val="Authornameandaffiliation"/>
      </w:pPr>
    </w:p>
    <w:p w14:paraId="16E36B68" w14:textId="0BB49188" w:rsidR="00807DD2" w:rsidRPr="000C07D0" w:rsidRDefault="00ED0F36" w:rsidP="00537496">
      <w:pPr>
        <w:pStyle w:val="Authornameandaffiliation"/>
        <w:rPr>
          <w:lang w:val="fr-CA"/>
        </w:rPr>
      </w:pPr>
      <w:r w:rsidRPr="000C07D0">
        <w:rPr>
          <w:lang w:val="fr-CA"/>
        </w:rPr>
        <w:t>S. EATON</w:t>
      </w:r>
      <w:r w:rsidR="00273F50" w:rsidRPr="000C07D0">
        <w:rPr>
          <w:vertAlign w:val="superscript"/>
          <w:lang w:val="fr-CA"/>
        </w:rPr>
        <w:t>1</w:t>
      </w:r>
      <w:r w:rsidRPr="000C07D0">
        <w:rPr>
          <w:lang w:val="fr-CA"/>
        </w:rPr>
        <w:t xml:space="preserve"> </w:t>
      </w:r>
    </w:p>
    <w:p w14:paraId="587C5A10" w14:textId="0914FBF4" w:rsidR="00777B57" w:rsidRPr="000C07D0" w:rsidRDefault="000416BE" w:rsidP="00537496">
      <w:pPr>
        <w:pStyle w:val="Authornameandaffiliation"/>
        <w:rPr>
          <w:lang w:val="fr-CA"/>
        </w:rPr>
      </w:pPr>
      <w:proofErr w:type="gramStart"/>
      <w:r w:rsidRPr="000C07D0">
        <w:rPr>
          <w:lang w:val="fr-CA"/>
        </w:rPr>
        <w:t>Email</w:t>
      </w:r>
      <w:proofErr w:type="gramEnd"/>
      <w:r w:rsidRPr="000C07D0">
        <w:rPr>
          <w:lang w:val="fr-CA"/>
        </w:rPr>
        <w:t xml:space="preserve">: </w:t>
      </w:r>
      <w:hyperlink r:id="rId11" w:history="1">
        <w:r w:rsidRPr="000C07D0">
          <w:rPr>
            <w:rStyle w:val="Hyperlink"/>
            <w:lang w:val="fr-CA"/>
          </w:rPr>
          <w:t>Sarah.Eaton@cnsc-ccsn.gc.ca</w:t>
        </w:r>
      </w:hyperlink>
    </w:p>
    <w:p w14:paraId="7582A226" w14:textId="77777777" w:rsidR="000416BE" w:rsidRPr="000C07D0" w:rsidRDefault="000416BE" w:rsidP="00537496">
      <w:pPr>
        <w:pStyle w:val="Authornameandaffiliation"/>
        <w:rPr>
          <w:lang w:val="fr-CA"/>
        </w:rPr>
      </w:pPr>
    </w:p>
    <w:p w14:paraId="1161E5B8" w14:textId="59DDC827" w:rsidR="00273F50" w:rsidRPr="000C07D0" w:rsidRDefault="00273F50" w:rsidP="00537496">
      <w:pPr>
        <w:pStyle w:val="Authornameandaffiliation"/>
        <w:rPr>
          <w:lang w:val="fr-CA"/>
        </w:rPr>
      </w:pPr>
      <w:r w:rsidRPr="000C07D0">
        <w:rPr>
          <w:lang w:val="fr-CA"/>
        </w:rPr>
        <w:t>M. NARAINE</w:t>
      </w:r>
      <w:r w:rsidRPr="000C07D0">
        <w:rPr>
          <w:vertAlign w:val="superscript"/>
          <w:lang w:val="fr-CA"/>
        </w:rPr>
        <w:t>1</w:t>
      </w:r>
    </w:p>
    <w:p w14:paraId="0080899C" w14:textId="7019E203" w:rsidR="00FF386F" w:rsidRDefault="00FF386F" w:rsidP="00537496">
      <w:pPr>
        <w:pStyle w:val="Authornameandaffiliation"/>
      </w:pPr>
      <w:r>
        <w:t xml:space="preserve">Email: </w:t>
      </w:r>
      <w:r w:rsidR="00055B4F" w:rsidRPr="00055B4F">
        <w:t>matthew.naraine@cnsc-ccsn.gc.ca</w:t>
      </w:r>
    </w:p>
    <w:p w14:paraId="5E2BDA1F" w14:textId="77777777" w:rsidR="00FF386F" w:rsidRDefault="00FF386F" w:rsidP="00537496">
      <w:pPr>
        <w:pStyle w:val="Authornameandaffiliation"/>
      </w:pPr>
    </w:p>
    <w:p w14:paraId="5D980831" w14:textId="2185B1D4" w:rsidR="00FF386F" w:rsidRDefault="00FF386F" w:rsidP="00537496">
      <w:pPr>
        <w:pStyle w:val="Authornameandaffiliation"/>
      </w:pPr>
    </w:p>
    <w:p w14:paraId="7FB0086D" w14:textId="2C1FE92A" w:rsidR="00ED0F36" w:rsidRDefault="00ED0F36" w:rsidP="00ED0F36">
      <w:pPr>
        <w:pStyle w:val="Authornameandaffiliation"/>
        <w:jc w:val="both"/>
        <w:rPr>
          <w:vertAlign w:val="superscript"/>
        </w:rPr>
      </w:pPr>
      <w:r>
        <w:t>M. SHAMS</w:t>
      </w:r>
      <w:r w:rsidR="00082060">
        <w:rPr>
          <w:vertAlign w:val="superscript"/>
        </w:rPr>
        <w:t>2</w:t>
      </w:r>
    </w:p>
    <w:p w14:paraId="15773846" w14:textId="5BAD2862" w:rsidR="001A4BEC" w:rsidRDefault="001A4BEC" w:rsidP="00ED0F36">
      <w:pPr>
        <w:pStyle w:val="Authornameandaffiliation"/>
        <w:jc w:val="both"/>
      </w:pPr>
      <w:r>
        <w:t>Email: Mohamed.shams@</w:t>
      </w:r>
      <w:r w:rsidR="00872743">
        <w:t>nrc</w:t>
      </w:r>
      <w:r>
        <w:t>.gov</w:t>
      </w:r>
    </w:p>
    <w:p w14:paraId="2C7F19CB" w14:textId="77777777" w:rsidR="00FF386F" w:rsidRDefault="00FF386F" w:rsidP="00537496">
      <w:pPr>
        <w:pStyle w:val="Authornameandaffiliation"/>
      </w:pPr>
    </w:p>
    <w:p w14:paraId="2E6584EE" w14:textId="6F4C4099" w:rsidR="00316844" w:rsidRDefault="00316844" w:rsidP="00316844">
      <w:pPr>
        <w:pStyle w:val="Authornameandaffiliation"/>
        <w:jc w:val="both"/>
      </w:pPr>
      <w:r>
        <w:t>D.M. WILLIAMS</w:t>
      </w:r>
      <w:r w:rsidR="00082060">
        <w:rPr>
          <w:vertAlign w:val="superscript"/>
        </w:rPr>
        <w:t>2</w:t>
      </w:r>
    </w:p>
    <w:p w14:paraId="07A96499" w14:textId="483B560E" w:rsidR="00316844" w:rsidRDefault="001A4BEC" w:rsidP="00316844">
      <w:pPr>
        <w:pStyle w:val="Authornameandaffiliation"/>
        <w:jc w:val="both"/>
      </w:pPr>
      <w:r>
        <w:t xml:space="preserve">Email: </w:t>
      </w:r>
      <w:hyperlink r:id="rId12" w:history="1">
        <w:r w:rsidR="00872743" w:rsidRPr="0060676C">
          <w:rPr>
            <w:rStyle w:val="Hyperlink"/>
          </w:rPr>
          <w:t>donna.williams@nrc.gov</w:t>
        </w:r>
      </w:hyperlink>
    </w:p>
    <w:p w14:paraId="011B6B50" w14:textId="77777777" w:rsidR="001A4BEC" w:rsidRDefault="001A4BEC" w:rsidP="00316844">
      <w:pPr>
        <w:pStyle w:val="Authornameandaffiliation"/>
        <w:jc w:val="both"/>
      </w:pPr>
    </w:p>
    <w:p w14:paraId="0884F5A9" w14:textId="1F659E6E" w:rsidR="00316844" w:rsidRPr="00FF386F" w:rsidRDefault="00316844" w:rsidP="00316844">
      <w:pPr>
        <w:pStyle w:val="Authornameandaffiliation"/>
        <w:jc w:val="both"/>
      </w:pPr>
      <w:r>
        <w:rPr>
          <w:vertAlign w:val="superscript"/>
        </w:rPr>
        <w:t>1</w:t>
      </w:r>
      <w:r w:rsidR="00807DD2">
        <w:rPr>
          <w:vertAlign w:val="superscript"/>
        </w:rPr>
        <w:t xml:space="preserve"> </w:t>
      </w:r>
      <w:r w:rsidR="00807DD2">
        <w:t>Canadian Nuclear Safety Commission</w:t>
      </w:r>
      <w:r w:rsidR="00273F50">
        <w:t xml:space="preserve">, </w:t>
      </w:r>
      <w:r w:rsidR="000C07D0">
        <w:t>Ottawa</w:t>
      </w:r>
      <w:r w:rsidR="00273F50">
        <w:t xml:space="preserve">, </w:t>
      </w:r>
      <w:r w:rsidR="000C07D0">
        <w:t xml:space="preserve">ON, </w:t>
      </w:r>
      <w:r w:rsidR="00273F50">
        <w:t>Canada</w:t>
      </w:r>
    </w:p>
    <w:p w14:paraId="5FD4BE44" w14:textId="300B4E64" w:rsidR="00807DD2" w:rsidRPr="00FF386F" w:rsidRDefault="00807DD2" w:rsidP="00807DD2">
      <w:pPr>
        <w:pStyle w:val="Authornameandaffiliation"/>
        <w:jc w:val="both"/>
      </w:pPr>
      <w:r>
        <w:rPr>
          <w:vertAlign w:val="superscript"/>
        </w:rPr>
        <w:t xml:space="preserve">2 </w:t>
      </w:r>
      <w:r>
        <w:t>U.S. Nuclear Regulatory Commission, Rockville, MD, United States</w:t>
      </w:r>
    </w:p>
    <w:p w14:paraId="3C8AA840" w14:textId="77777777" w:rsidR="00316844" w:rsidRDefault="00316844"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019F6400" w:rsidR="00647F33" w:rsidRPr="00BD605C" w:rsidRDefault="00D3543E" w:rsidP="00D3543E">
      <w:pPr>
        <w:pStyle w:val="Abstracttext"/>
      </w:pPr>
      <w:r>
        <w:t>Since 2019, the U.S. Nuclear Regulatory Commission (US</w:t>
      </w:r>
      <w:r w:rsidR="00871B8D">
        <w:t>USNRC</w:t>
      </w:r>
      <w:r>
        <w:t xml:space="preserve">) and the Canadian Nuclear Safety Commission (CNSC) have been collaboratively performing safety reviews of advanced reactor and small modular reactor designs that are expected to be deployed in both countries.  This collaborative effort aims to gain efficiencies by making joint observations or identifying and addressing where differing regulatory approaches may result in different outcomes.  CNSC and </w:t>
      </w:r>
      <w:r w:rsidR="00871B8D">
        <w:t>USNRC</w:t>
      </w:r>
      <w:r>
        <w:t xml:space="preserve"> leverage each other’s regulatory reviews and make joint findings that can support licensing in both countries. The effort focuses on strategic technical areas, both generic and design specific.</w:t>
      </w:r>
      <w:r w:rsidR="009B501D">
        <w:t xml:space="preserve"> </w:t>
      </w:r>
      <w:r>
        <w:t xml:space="preserve">Since initiation, both regulators </w:t>
      </w:r>
      <w:r w:rsidR="00420DBD">
        <w:t>developed</w:t>
      </w:r>
      <w:r w:rsidR="00623A47">
        <w:t xml:space="preserve"> </w:t>
      </w:r>
      <w:r w:rsidR="003130CC">
        <w:t>eleven</w:t>
      </w:r>
      <w:r w:rsidR="00420DBD">
        <w:t xml:space="preserve"> </w:t>
      </w:r>
      <w:r>
        <w:t>work plans for collaborative projects, collaborated on</w:t>
      </w:r>
      <w:r w:rsidR="00127D8F">
        <w:t xml:space="preserve"> </w:t>
      </w:r>
      <w:r w:rsidR="003130CC">
        <w:t>six</w:t>
      </w:r>
      <w:r w:rsidR="00127D8F">
        <w:t xml:space="preserve"> r</w:t>
      </w:r>
      <w:r>
        <w:t xml:space="preserve">eactor designs, and issued </w:t>
      </w:r>
      <w:r w:rsidR="003130CC">
        <w:t>eight</w:t>
      </w:r>
      <w:r>
        <w:t xml:space="preserve"> joint reports. In response to lessons learned</w:t>
      </w:r>
      <w:r w:rsidR="003130CC">
        <w:t>,</w:t>
      </w:r>
      <w:r>
        <w:t xml:space="preserve"> processes </w:t>
      </w:r>
      <w:r w:rsidR="00E624D9">
        <w:t xml:space="preserve">were established </w:t>
      </w:r>
      <w:r>
        <w:t>to enable more efficient execution and optimize results including identifying criteria to strategically select projects, creating a strategic plan to prioritize next projects, developing criteria to determine when additional regulators should be invited to join, and developing administrative protocols and templates for preparation, approval, legal review, and publication of joint reports.</w:t>
      </w:r>
      <w:r w:rsidR="009B501D">
        <w:t xml:space="preserve"> </w:t>
      </w:r>
      <w:r>
        <w:t>The feedback from reactor designers has been positive noting that the engagements are constructive, and that gaps are being identified early.  The collaborative effort is returning value for regulators and designers in the form of complex technical issue</w:t>
      </w:r>
      <w:r w:rsidR="005A27FE">
        <w:t>s</w:t>
      </w:r>
      <w:r>
        <w:t xml:space="preserve"> resolved and resources saved.</w:t>
      </w:r>
      <w:r w:rsidR="006F2504">
        <w:t xml:space="preserve"> R</w:t>
      </w:r>
      <w:r w:rsidR="006F2504" w:rsidRPr="00B328BD">
        <w:t xml:space="preserve">egulators </w:t>
      </w:r>
      <w:r w:rsidR="006F2504">
        <w:t>work transparently</w:t>
      </w:r>
      <w:r w:rsidR="006F2504" w:rsidRPr="00B328BD">
        <w:t xml:space="preserve"> and publish results online</w:t>
      </w:r>
      <w:r w:rsidR="00FE735A">
        <w:t>.</w:t>
      </w:r>
    </w:p>
    <w:p w14:paraId="03C6D75B" w14:textId="77777777" w:rsidR="00647F33" w:rsidRDefault="00F523CA" w:rsidP="00537496">
      <w:pPr>
        <w:pStyle w:val="Heading2"/>
        <w:numPr>
          <w:ilvl w:val="1"/>
          <w:numId w:val="10"/>
        </w:numPr>
      </w:pPr>
      <w:r>
        <w:t>INTRODUCTION</w:t>
      </w:r>
    </w:p>
    <w:p w14:paraId="1932EE56" w14:textId="27612649" w:rsidR="00837D67" w:rsidRDefault="009D24DC" w:rsidP="00837D67">
      <w:pPr>
        <w:pStyle w:val="BodyText"/>
      </w:pPr>
      <w:r>
        <w:t>In 2019, t</w:t>
      </w:r>
      <w:r w:rsidR="00BA7460">
        <w:t xml:space="preserve">he </w:t>
      </w:r>
      <w:r w:rsidR="00871B8D">
        <w:t>USNRC</w:t>
      </w:r>
      <w:r w:rsidR="00BA7460">
        <w:t xml:space="preserve"> and the CNSC embarked on a first of a kind effort to collaboratively perform safety reviews of advanced reactor and SMR designs that are expected to be constructed in both countries.  </w:t>
      </w:r>
      <w:r w:rsidR="009757AD">
        <w:t>Th</w:t>
      </w:r>
      <w:r w:rsidR="00D008DE">
        <w:t>is m</w:t>
      </w:r>
      <w:r w:rsidR="009757AD">
        <w:t xml:space="preserve">utually beneficial </w:t>
      </w:r>
      <w:r w:rsidR="002349CC">
        <w:t xml:space="preserve">collaboration </w:t>
      </w:r>
      <w:r w:rsidR="009757AD">
        <w:t>address</w:t>
      </w:r>
      <w:r w:rsidR="00D008DE">
        <w:t>es</w:t>
      </w:r>
      <w:r w:rsidR="009757AD">
        <w:t xml:space="preserve"> challenging topics in licensing advanced reactor and </w:t>
      </w:r>
      <w:r w:rsidR="00871B8D">
        <w:t>small modular reactor (</w:t>
      </w:r>
      <w:r w:rsidR="002349CC">
        <w:t>SMR</w:t>
      </w:r>
      <w:r w:rsidR="00871B8D">
        <w:t>)</w:t>
      </w:r>
      <w:r w:rsidR="009757AD">
        <w:t xml:space="preserve"> designs under review in both countries. </w:t>
      </w:r>
      <w:r w:rsidR="002E4B8B">
        <w:t xml:space="preserve">CNSC and </w:t>
      </w:r>
      <w:r w:rsidR="00871B8D">
        <w:t>USNRC</w:t>
      </w:r>
      <w:r w:rsidR="002E4B8B">
        <w:t xml:space="preserve"> </w:t>
      </w:r>
      <w:r w:rsidR="009757AD">
        <w:t xml:space="preserve">see tremendous value in </w:t>
      </w:r>
      <w:r w:rsidR="000C2E8B">
        <w:t>the</w:t>
      </w:r>
      <w:r w:rsidR="00872743">
        <w:t xml:space="preserve"> </w:t>
      </w:r>
      <w:r w:rsidR="009757AD">
        <w:t xml:space="preserve">collaboration </w:t>
      </w:r>
      <w:r w:rsidR="003520F0">
        <w:t xml:space="preserve">that was formalized </w:t>
      </w:r>
      <w:r w:rsidR="009757AD">
        <w:t>under a Memorandum of Cooperation</w:t>
      </w:r>
      <w:r w:rsidR="00AD3A6A">
        <w:t xml:space="preserve"> (MOC)</w:t>
      </w:r>
      <w:r w:rsidR="009757AD">
        <w:t xml:space="preserve">.  </w:t>
      </w:r>
      <w:r w:rsidR="002E4B8B">
        <w:t xml:space="preserve">CNSC and </w:t>
      </w:r>
      <w:r w:rsidR="00871B8D">
        <w:t>USNRC</w:t>
      </w:r>
      <w:r w:rsidR="002E4B8B">
        <w:t xml:space="preserve"> </w:t>
      </w:r>
      <w:r w:rsidR="00837D67">
        <w:t xml:space="preserve">strategically choose projects that will support efficient licensing in both countries, gain benefits for both regulators, and not hinder either regulator in performing timely reviews. </w:t>
      </w:r>
    </w:p>
    <w:p w14:paraId="51EE199B" w14:textId="77777777" w:rsidR="00837D67" w:rsidRDefault="00837D67" w:rsidP="00837D67">
      <w:pPr>
        <w:pStyle w:val="BodyText"/>
      </w:pPr>
    </w:p>
    <w:p w14:paraId="36592A46" w14:textId="269E4BD1" w:rsidR="00837D67" w:rsidRDefault="00837D67" w:rsidP="00837D67">
      <w:pPr>
        <w:pStyle w:val="BodyText"/>
      </w:pPr>
      <w:r>
        <w:t xml:space="preserve">The </w:t>
      </w:r>
      <w:r w:rsidR="00871B8D">
        <w:t>USNRC</w:t>
      </w:r>
      <w:r>
        <w:t xml:space="preserve"> and CNSC</w:t>
      </w:r>
      <w:r w:rsidR="000C2E8B">
        <w:t xml:space="preserve"> staff</w:t>
      </w:r>
      <w:r>
        <w:t xml:space="preserve"> </w:t>
      </w:r>
      <w:r w:rsidR="003130CC">
        <w:t>include</w:t>
      </w:r>
      <w:r>
        <w:t xml:space="preserve"> vendors as active participants in the collaborative process to reach alignment on the scope of collaboration and establish an understanding o</w:t>
      </w:r>
      <w:r w:rsidR="001A0D25">
        <w:t>f</w:t>
      </w:r>
      <w:r>
        <w:t xml:space="preserve"> how this collaboration can result in both near term and long-term useful products. To date, </w:t>
      </w:r>
      <w:r w:rsidR="00871B8D">
        <w:t>USNRC</w:t>
      </w:r>
      <w:r w:rsidR="00025385">
        <w:t xml:space="preserve"> and CNSC staff </w:t>
      </w:r>
      <w:r>
        <w:t xml:space="preserve">issued </w:t>
      </w:r>
      <w:r w:rsidR="00615BCF">
        <w:t xml:space="preserve">five </w:t>
      </w:r>
      <w:r>
        <w:t>joint products for specific designs</w:t>
      </w:r>
      <w:r w:rsidR="00A100AF">
        <w:t xml:space="preserve"> and</w:t>
      </w:r>
      <w:r w:rsidR="00D01AA1">
        <w:t xml:space="preserve"> three joint products applicable to multiple designs. </w:t>
      </w:r>
      <w:r w:rsidR="00A100AF">
        <w:t xml:space="preserve"> </w:t>
      </w:r>
      <w:r>
        <w:t xml:space="preserve"> </w:t>
      </w:r>
    </w:p>
    <w:p w14:paraId="15B7868A" w14:textId="77777777" w:rsidR="00837D67" w:rsidRDefault="00837D67" w:rsidP="00837D67">
      <w:pPr>
        <w:pStyle w:val="BodyText"/>
      </w:pPr>
    </w:p>
    <w:p w14:paraId="393E4153" w14:textId="497F1FDC" w:rsidR="008B4672" w:rsidRDefault="008B4672" w:rsidP="008B4672">
      <w:pPr>
        <w:pStyle w:val="BodyText"/>
      </w:pPr>
      <w:r>
        <w:t>The goal of this effort is to gain efficiencies by making joint observations</w:t>
      </w:r>
      <w:r w:rsidR="00D24264">
        <w:t xml:space="preserve">.  The products of the joint reviews provide positions that both regulators agree </w:t>
      </w:r>
      <w:r w:rsidR="003130CC">
        <w:t>to or</w:t>
      </w:r>
      <w:r w:rsidR="005C735D">
        <w:t xml:space="preserve"> </w:t>
      </w:r>
      <w:r>
        <w:t xml:space="preserve">identify where differing regulations may result in different regulatory decisions. </w:t>
      </w:r>
      <w:r w:rsidR="003130CC">
        <w:t>C</w:t>
      </w:r>
      <w:r w:rsidR="009A15DF">
        <w:t>ollaboration</w:t>
      </w:r>
      <w:r w:rsidR="003130CC">
        <w:t xml:space="preserve"> </w:t>
      </w:r>
      <w:r w:rsidR="009A15DF">
        <w:t>improve</w:t>
      </w:r>
      <w:r w:rsidR="003130CC">
        <w:t>s</w:t>
      </w:r>
      <w:r w:rsidR="009A15DF">
        <w:t xml:space="preserve"> the ability of each regulator to make </w:t>
      </w:r>
      <w:r w:rsidR="002E4B8B">
        <w:t>risk-</w:t>
      </w:r>
      <w:r w:rsidR="009A15DF">
        <w:t>informed licensing decisions</w:t>
      </w:r>
      <w:r w:rsidR="0007793E">
        <w:t xml:space="preserve"> by leveraging the </w:t>
      </w:r>
      <w:r w:rsidR="00FA34CA">
        <w:t xml:space="preserve">knowledge and experience of the other regulator.  </w:t>
      </w:r>
      <w:r w:rsidR="009A15DF">
        <w:t xml:space="preserve"> </w:t>
      </w:r>
      <w:r w:rsidR="00C03BB3">
        <w:t xml:space="preserve">In addition, </w:t>
      </w:r>
      <w:r w:rsidR="00100132">
        <w:t xml:space="preserve">the collaboration is </w:t>
      </w:r>
      <w:r w:rsidR="00100132">
        <w:lastRenderedPageBreak/>
        <w:t xml:space="preserve">expected to result in more standardized designs </w:t>
      </w:r>
      <w:r w:rsidR="000A48FA">
        <w:t xml:space="preserve">as the regulators strive to align on common resolutions to unique licensing challenges. </w:t>
      </w:r>
      <w:r w:rsidR="009A15DF">
        <w:t xml:space="preserve"> </w:t>
      </w:r>
      <w:r w:rsidR="005E4E64">
        <w:t xml:space="preserve">The regulators also look for opportunities to gain </w:t>
      </w:r>
      <w:r w:rsidR="00270992">
        <w:t>review efficiencies by leveraging previou</w:t>
      </w:r>
      <w:r w:rsidR="004D56A3">
        <w:t>s evaluations</w:t>
      </w:r>
      <w:r w:rsidR="002349CC">
        <w:t xml:space="preserve">, </w:t>
      </w:r>
      <w:r w:rsidR="003130CC">
        <w:t xml:space="preserve">and by </w:t>
      </w:r>
      <w:r w:rsidR="008C4E0A">
        <w:t xml:space="preserve">sharing training and </w:t>
      </w:r>
      <w:r w:rsidR="008906EE">
        <w:t>computer code input decks.</w:t>
      </w:r>
    </w:p>
    <w:p w14:paraId="5F97F922" w14:textId="77777777" w:rsidR="005C735D" w:rsidRDefault="005C735D" w:rsidP="00982F8A">
      <w:pPr>
        <w:pStyle w:val="BodyText"/>
      </w:pPr>
    </w:p>
    <w:p w14:paraId="5E8EDEBA" w14:textId="14BAC07C" w:rsidR="00982F8A" w:rsidRDefault="00982F8A" w:rsidP="00982F8A">
      <w:pPr>
        <w:pStyle w:val="BodyText"/>
      </w:pPr>
      <w:r w:rsidRPr="00AE11EA">
        <w:t xml:space="preserve">After the initial successes of the MOC, other regulators expressed interest in participating in the cooperation.  In 2023, </w:t>
      </w:r>
      <w:r w:rsidR="00E605AB">
        <w:t xml:space="preserve">CNSC and </w:t>
      </w:r>
      <w:r w:rsidR="00871B8D">
        <w:t>USNRC</w:t>
      </w:r>
      <w:r w:rsidRPr="00AE11EA">
        <w:t xml:space="preserve"> </w:t>
      </w:r>
      <w:r w:rsidR="000957D7">
        <w:t xml:space="preserve">staff </w:t>
      </w:r>
      <w:r w:rsidRPr="00AE11EA">
        <w:t>developed criteria to determine whether a regulator should be invited to join as a participant or observer</w:t>
      </w:r>
      <w:r w:rsidR="00B10367">
        <w:t>.  Using this criteria,</w:t>
      </w:r>
      <w:r w:rsidR="00990754">
        <w:t xml:space="preserve"> the United Kingdom’s </w:t>
      </w:r>
      <w:r>
        <w:t xml:space="preserve">Office of Nuclear Regulation </w:t>
      </w:r>
      <w:r w:rsidR="00AD3A6A">
        <w:t xml:space="preserve">(ONR) </w:t>
      </w:r>
      <w:r w:rsidR="00990754">
        <w:t xml:space="preserve">has been successfully integrated </w:t>
      </w:r>
      <w:r>
        <w:t xml:space="preserve">into the collaborative activities.  A trilateral MOC was signed by CNSC, ONR and </w:t>
      </w:r>
      <w:r w:rsidR="00871B8D">
        <w:t>USNRC</w:t>
      </w:r>
      <w:r>
        <w:t xml:space="preserve"> in March 2024.  </w:t>
      </w:r>
    </w:p>
    <w:p w14:paraId="2A037E48" w14:textId="77777777" w:rsidR="00982F8A" w:rsidRDefault="00982F8A" w:rsidP="00982F8A">
      <w:pPr>
        <w:pStyle w:val="BodyText"/>
      </w:pPr>
    </w:p>
    <w:p w14:paraId="2F4825BF" w14:textId="63105B88" w:rsidR="0042317D" w:rsidRDefault="0042317D" w:rsidP="008B4672">
      <w:pPr>
        <w:pStyle w:val="BodyText"/>
      </w:pPr>
    </w:p>
    <w:p w14:paraId="74CD1556" w14:textId="72DCF661" w:rsidR="00E25B68" w:rsidRDefault="00896639" w:rsidP="0026525A">
      <w:pPr>
        <w:pStyle w:val="Heading2"/>
        <w:numPr>
          <w:ilvl w:val="1"/>
          <w:numId w:val="10"/>
        </w:numPr>
      </w:pPr>
      <w:r>
        <w:t>Success and outcomes</w:t>
      </w:r>
    </w:p>
    <w:p w14:paraId="14F3BA1F" w14:textId="77777777" w:rsidR="00896639" w:rsidRDefault="00896639" w:rsidP="00896639">
      <w:pPr>
        <w:pStyle w:val="BodyText"/>
      </w:pPr>
    </w:p>
    <w:p w14:paraId="154166E9" w14:textId="1D0EF330" w:rsidR="00FB34F3" w:rsidRDefault="00B10367" w:rsidP="00B44A8F">
      <w:pPr>
        <w:pStyle w:val="BodyText"/>
      </w:pPr>
      <w:r w:rsidRPr="00EB002D">
        <w:t>T</w:t>
      </w:r>
      <w:r w:rsidR="00FB34F3" w:rsidRPr="00EB002D">
        <w:t xml:space="preserve">angible benefits </w:t>
      </w:r>
      <w:r w:rsidRPr="00EB002D">
        <w:t xml:space="preserve">have been realized </w:t>
      </w:r>
      <w:r w:rsidR="00FB34F3" w:rsidRPr="00EB002D">
        <w:t xml:space="preserve">from this initiative in the form of joint products that can be utilized in licensing decisions. </w:t>
      </w:r>
      <w:r w:rsidR="00C21BC2" w:rsidRPr="00EB002D">
        <w:t>G</w:t>
      </w:r>
      <w:r w:rsidR="00FB34F3" w:rsidRPr="00EB002D">
        <w:t xml:space="preserve">eneric products </w:t>
      </w:r>
      <w:r w:rsidR="00C21BC2" w:rsidRPr="00EB002D">
        <w:t xml:space="preserve">provide </w:t>
      </w:r>
      <w:r w:rsidR="00FB34F3" w:rsidRPr="00EB002D">
        <w:t xml:space="preserve">benefit </w:t>
      </w:r>
      <w:r w:rsidR="00F75268" w:rsidRPr="00EB002D">
        <w:t>for</w:t>
      </w:r>
      <w:r w:rsidR="00FB34F3" w:rsidRPr="00EB002D">
        <w:t xml:space="preserve"> a wide range of end-users such as comparisons of review approaches</w:t>
      </w:r>
      <w:r w:rsidR="00595DFE" w:rsidRPr="00EB002D">
        <w:t xml:space="preserve">.  The first joint product issued was </w:t>
      </w:r>
      <w:r w:rsidR="007C737B" w:rsidRPr="00EB002D">
        <w:rPr>
          <w:color w:val="333333"/>
          <w:shd w:val="clear" w:color="auto" w:fill="FFFFFF"/>
        </w:rPr>
        <w:t xml:space="preserve">a comparison of the licensing modernization project (LMP) </w:t>
      </w:r>
      <w:r w:rsidR="00EB002D">
        <w:rPr>
          <w:color w:val="333333"/>
          <w:shd w:val="clear" w:color="auto" w:fill="FFFFFF"/>
        </w:rPr>
        <w:t>used in the U.S.</w:t>
      </w:r>
      <w:r w:rsidR="007C737B" w:rsidRPr="00EB002D">
        <w:rPr>
          <w:color w:val="333333"/>
          <w:shd w:val="clear" w:color="auto" w:fill="FFFFFF"/>
        </w:rPr>
        <w:t xml:space="preserve"> with the CNSC approach</w:t>
      </w:r>
      <w:r w:rsidR="00CF0031">
        <w:rPr>
          <w:color w:val="333333"/>
          <w:shd w:val="clear" w:color="auto" w:fill="FFFFFF"/>
        </w:rPr>
        <w:t xml:space="preserve"> to </w:t>
      </w:r>
      <w:r w:rsidR="009A36D6" w:rsidRPr="009A36D6">
        <w:rPr>
          <w:color w:val="333333"/>
          <w:shd w:val="clear" w:color="auto" w:fill="FFFFFF"/>
        </w:rPr>
        <w:t>technology-inclusive, risk-informed reviews</w:t>
      </w:r>
      <w:r w:rsidR="007C737B" w:rsidRPr="00EB002D">
        <w:rPr>
          <w:color w:val="333333"/>
          <w:shd w:val="clear" w:color="auto" w:fill="FFFFFF"/>
        </w:rPr>
        <w:t>.</w:t>
      </w:r>
      <w:r w:rsidR="00167B7D" w:rsidRPr="00EB002D">
        <w:t xml:space="preserve"> </w:t>
      </w:r>
      <w:r w:rsidR="006B3C46" w:rsidRPr="00EB002D">
        <w:t xml:space="preserve">Comparing the Canadian and U.S. regulatory approaches </w:t>
      </w:r>
      <w:r w:rsidR="00B5505B" w:rsidRPr="00EB002D">
        <w:t>was</w:t>
      </w:r>
      <w:r w:rsidR="006B3C46" w:rsidRPr="00EB002D">
        <w:t xml:space="preserve"> a first step in enhancing understanding of each regulator’s framework to enable greater cooperation and collaboration on advanced reactor designs that are contemplated for deployment in both</w:t>
      </w:r>
      <w:r w:rsidR="003B34C3" w:rsidRPr="00EB002D">
        <w:t xml:space="preserve"> </w:t>
      </w:r>
      <w:r w:rsidR="006B3C46" w:rsidRPr="00EB002D">
        <w:t>countries</w:t>
      </w:r>
      <w:r w:rsidR="003B34C3" w:rsidRPr="00EB002D">
        <w:t>. The joint report</w:t>
      </w:r>
      <w:r w:rsidR="00B44A8F" w:rsidRPr="00EB002D">
        <w:t xml:space="preserve"> conclude</w:t>
      </w:r>
      <w:r w:rsidR="00C77FFE" w:rsidRPr="00EB002D">
        <w:t>d that</w:t>
      </w:r>
      <w:r w:rsidR="00B44A8F" w:rsidRPr="00EB002D">
        <w:t xml:space="preserve"> there is much common ground in safety</w:t>
      </w:r>
      <w:r w:rsidR="00750D5D" w:rsidRPr="00EB002D">
        <w:t xml:space="preserve"> </w:t>
      </w:r>
      <w:r w:rsidR="00B44A8F" w:rsidRPr="00EB002D">
        <w:t>case assessment reviews and acceptance criteria that can be used as a foundation for technical</w:t>
      </w:r>
      <w:r w:rsidR="00750D5D" w:rsidRPr="00EB002D">
        <w:t xml:space="preserve"> </w:t>
      </w:r>
      <w:r w:rsidR="00B44A8F" w:rsidRPr="00EB002D">
        <w:t>reviews performed by one regulator to be leveraged by the other</w:t>
      </w:r>
      <w:r w:rsidR="003E0945">
        <w:t>.</w:t>
      </w:r>
    </w:p>
    <w:p w14:paraId="7C245A04" w14:textId="77777777" w:rsidR="003E0945" w:rsidRPr="00EB002D" w:rsidRDefault="003E0945" w:rsidP="00B44A8F">
      <w:pPr>
        <w:pStyle w:val="BodyText"/>
      </w:pPr>
    </w:p>
    <w:p w14:paraId="0915BC4F" w14:textId="75B86AB0" w:rsidR="00FB34F3" w:rsidRDefault="007D3F32" w:rsidP="00D838D1">
      <w:pPr>
        <w:overflowPunct/>
        <w:spacing w:line="312" w:lineRule="auto"/>
        <w:textAlignment w:val="auto"/>
        <w:rPr>
          <w:sz w:val="20"/>
          <w:lang w:val="en-US" w:eastAsia="en-GB"/>
        </w:rPr>
      </w:pPr>
      <w:r w:rsidRPr="00EB002D">
        <w:rPr>
          <w:sz w:val="20"/>
        </w:rPr>
        <w:t xml:space="preserve"> </w:t>
      </w:r>
      <w:r w:rsidR="003E0945">
        <w:rPr>
          <w:sz w:val="20"/>
        </w:rPr>
        <w:tab/>
      </w:r>
      <w:r w:rsidR="00A204F5" w:rsidRPr="00EB002D">
        <w:rPr>
          <w:sz w:val="20"/>
          <w:lang w:val="en-US" w:eastAsia="en-GB"/>
        </w:rPr>
        <w:t>The report suggested further work to assess the bas</w:t>
      </w:r>
      <w:r w:rsidR="002349CC">
        <w:rPr>
          <w:sz w:val="20"/>
          <w:lang w:val="en-US" w:eastAsia="en-GB"/>
        </w:rPr>
        <w:t>i</w:t>
      </w:r>
      <w:r w:rsidR="00A204F5" w:rsidRPr="00EB002D">
        <w:rPr>
          <w:sz w:val="20"/>
          <w:lang w:val="en-US" w:eastAsia="en-GB"/>
        </w:rPr>
        <w:t xml:space="preserve">s of key regulatory criteria where differences could </w:t>
      </w:r>
      <w:r w:rsidR="00F67C9D">
        <w:rPr>
          <w:sz w:val="20"/>
          <w:lang w:val="en-US" w:eastAsia="en-GB"/>
        </w:rPr>
        <w:t>e</w:t>
      </w:r>
      <w:r w:rsidR="00A204F5" w:rsidRPr="00EB002D">
        <w:rPr>
          <w:sz w:val="20"/>
          <w:lang w:val="en-US" w:eastAsia="en-GB"/>
        </w:rPr>
        <w:t xml:space="preserve">xist and </w:t>
      </w:r>
      <w:r w:rsidR="002349CC">
        <w:rPr>
          <w:sz w:val="20"/>
          <w:lang w:val="en-US" w:eastAsia="en-GB"/>
        </w:rPr>
        <w:t xml:space="preserve">where </w:t>
      </w:r>
      <w:r w:rsidR="00A204F5" w:rsidRPr="00EB002D">
        <w:rPr>
          <w:sz w:val="20"/>
          <w:lang w:val="en-US" w:eastAsia="en-GB"/>
        </w:rPr>
        <w:t xml:space="preserve">additional </w:t>
      </w:r>
      <w:r w:rsidR="002349CC">
        <w:rPr>
          <w:sz w:val="20"/>
          <w:lang w:val="en-US" w:eastAsia="en-GB"/>
        </w:rPr>
        <w:t xml:space="preserve">regulatory </w:t>
      </w:r>
      <w:r w:rsidR="00A204F5" w:rsidRPr="00EB002D">
        <w:rPr>
          <w:sz w:val="20"/>
          <w:lang w:val="en-US" w:eastAsia="en-GB"/>
        </w:rPr>
        <w:t xml:space="preserve">convergence could be achieved. The areas suggested for further work include </w:t>
      </w:r>
      <w:r w:rsidR="00DE6639">
        <w:rPr>
          <w:sz w:val="20"/>
          <w:lang w:val="en-US" w:eastAsia="en-GB"/>
        </w:rPr>
        <w:t xml:space="preserve">safety </w:t>
      </w:r>
      <w:r w:rsidR="00A204F5" w:rsidRPr="00EB002D">
        <w:rPr>
          <w:sz w:val="20"/>
          <w:lang w:val="en-US" w:eastAsia="en-GB"/>
        </w:rPr>
        <w:t>classification of</w:t>
      </w:r>
      <w:r w:rsidR="008E158A" w:rsidRPr="00EB002D">
        <w:rPr>
          <w:sz w:val="20"/>
          <w:lang w:val="en-US" w:eastAsia="en-GB"/>
        </w:rPr>
        <w:t xml:space="preserve"> </w:t>
      </w:r>
      <w:r w:rsidR="00DE6639">
        <w:rPr>
          <w:sz w:val="20"/>
          <w:lang w:val="en-US" w:eastAsia="en-GB"/>
        </w:rPr>
        <w:t xml:space="preserve">structures, </w:t>
      </w:r>
      <w:proofErr w:type="gramStart"/>
      <w:r w:rsidR="00DE6639">
        <w:rPr>
          <w:sz w:val="20"/>
          <w:lang w:val="en-US" w:eastAsia="en-GB"/>
        </w:rPr>
        <w:t>systems</w:t>
      </w:r>
      <w:proofErr w:type="gramEnd"/>
      <w:r w:rsidR="00DE6639">
        <w:rPr>
          <w:sz w:val="20"/>
          <w:lang w:val="en-US" w:eastAsia="en-GB"/>
        </w:rPr>
        <w:t xml:space="preserve"> and components</w:t>
      </w:r>
      <w:r w:rsidR="008E158A" w:rsidRPr="00EB002D">
        <w:rPr>
          <w:sz w:val="20"/>
          <w:lang w:val="en-US" w:eastAsia="en-GB"/>
        </w:rPr>
        <w:t xml:space="preserve">.  A separate project was undertaken to </w:t>
      </w:r>
      <w:r w:rsidR="00B26BEC" w:rsidRPr="00EB002D">
        <w:rPr>
          <w:sz w:val="20"/>
          <w:lang w:val="en-US" w:eastAsia="en-GB"/>
        </w:rPr>
        <w:t xml:space="preserve">compare </w:t>
      </w:r>
      <w:r w:rsidR="003130CC">
        <w:rPr>
          <w:sz w:val="20"/>
          <w:lang w:val="en-US" w:eastAsia="en-GB"/>
        </w:rPr>
        <w:t>safety</w:t>
      </w:r>
      <w:r w:rsidR="00B26BEC" w:rsidRPr="00EB002D">
        <w:rPr>
          <w:sz w:val="20"/>
          <w:lang w:val="en-US" w:eastAsia="en-GB"/>
        </w:rPr>
        <w:t xml:space="preserve"> classification in each country.</w:t>
      </w:r>
      <w:r w:rsidRPr="00EB002D">
        <w:rPr>
          <w:sz w:val="20"/>
        </w:rPr>
        <w:t xml:space="preserve"> </w:t>
      </w:r>
      <w:r w:rsidRPr="00EB002D">
        <w:rPr>
          <w:sz w:val="20"/>
          <w:lang w:val="en-US" w:eastAsia="en-GB"/>
        </w:rPr>
        <w:t xml:space="preserve">The review determined that the commonalities in the regulatory approaches would support joint reviews by the CNSC and </w:t>
      </w:r>
      <w:r w:rsidR="00871B8D">
        <w:rPr>
          <w:sz w:val="20"/>
          <w:lang w:val="en-US" w:eastAsia="en-GB"/>
        </w:rPr>
        <w:t>USNRC</w:t>
      </w:r>
      <w:r w:rsidR="00F67C9D">
        <w:rPr>
          <w:sz w:val="20"/>
          <w:lang w:val="en-US" w:eastAsia="en-GB"/>
        </w:rPr>
        <w:t>,</w:t>
      </w:r>
      <w:r w:rsidRPr="00EB002D">
        <w:rPr>
          <w:sz w:val="20"/>
          <w:lang w:val="en-US" w:eastAsia="en-GB"/>
        </w:rPr>
        <w:t xml:space="preserve"> as well as provide the opportunity for applicants to leverage information developed for one regulatory body in developing a</w:t>
      </w:r>
      <w:r w:rsidR="002349CC">
        <w:rPr>
          <w:sz w:val="20"/>
          <w:lang w:val="en-US" w:eastAsia="en-GB"/>
        </w:rPr>
        <w:t xml:space="preserve"> </w:t>
      </w:r>
      <w:proofErr w:type="spellStart"/>
      <w:r w:rsidR="002349CC">
        <w:rPr>
          <w:sz w:val="20"/>
          <w:lang w:val="en-US" w:eastAsia="en-GB"/>
        </w:rPr>
        <w:t>licence</w:t>
      </w:r>
      <w:proofErr w:type="spellEnd"/>
      <w:r w:rsidR="002349CC">
        <w:rPr>
          <w:sz w:val="20"/>
          <w:lang w:val="en-US" w:eastAsia="en-GB"/>
        </w:rPr>
        <w:t xml:space="preserve"> </w:t>
      </w:r>
      <w:r w:rsidRPr="00EB002D">
        <w:rPr>
          <w:sz w:val="20"/>
          <w:lang w:val="en-US" w:eastAsia="en-GB"/>
        </w:rPr>
        <w:t>application for the other regulatory body.</w:t>
      </w:r>
    </w:p>
    <w:p w14:paraId="1C9FBF88" w14:textId="493D00FC" w:rsidR="00F67C9D" w:rsidRPr="00EB002D" w:rsidRDefault="00F67C9D" w:rsidP="00D838D1">
      <w:pPr>
        <w:overflowPunct/>
        <w:spacing w:line="312" w:lineRule="auto"/>
        <w:textAlignment w:val="auto"/>
        <w:rPr>
          <w:sz w:val="20"/>
          <w:lang w:val="en-US" w:eastAsia="en-GB"/>
        </w:rPr>
      </w:pPr>
    </w:p>
    <w:p w14:paraId="75D7509F" w14:textId="489F5C52" w:rsidR="000B6826" w:rsidRPr="00EB002D" w:rsidRDefault="00B26BEC" w:rsidP="00D838D1">
      <w:pPr>
        <w:overflowPunct/>
        <w:spacing w:line="312" w:lineRule="auto"/>
        <w:ind w:firstLine="567"/>
        <w:textAlignment w:val="auto"/>
        <w:rPr>
          <w:sz w:val="20"/>
        </w:rPr>
      </w:pPr>
      <w:r w:rsidRPr="00EB002D">
        <w:rPr>
          <w:color w:val="333333"/>
          <w:sz w:val="20"/>
          <w:shd w:val="clear" w:color="auto" w:fill="FFFFFF"/>
        </w:rPr>
        <w:t xml:space="preserve">Another </w:t>
      </w:r>
      <w:r w:rsidR="001B4A7B">
        <w:rPr>
          <w:color w:val="333333"/>
          <w:sz w:val="20"/>
          <w:shd w:val="clear" w:color="auto" w:fill="FFFFFF"/>
        </w:rPr>
        <w:t xml:space="preserve">generic </w:t>
      </w:r>
      <w:r w:rsidRPr="00EB002D">
        <w:rPr>
          <w:color w:val="333333"/>
          <w:sz w:val="20"/>
          <w:shd w:val="clear" w:color="auto" w:fill="FFFFFF"/>
        </w:rPr>
        <w:t xml:space="preserve">project </w:t>
      </w:r>
      <w:r w:rsidR="000B6826" w:rsidRPr="00EB002D">
        <w:rPr>
          <w:color w:val="333333"/>
          <w:sz w:val="20"/>
          <w:shd w:val="clear" w:color="auto" w:fill="FFFFFF"/>
        </w:rPr>
        <w:t>establishe</w:t>
      </w:r>
      <w:r w:rsidRPr="00EB002D">
        <w:rPr>
          <w:color w:val="333333"/>
          <w:sz w:val="20"/>
          <w:shd w:val="clear" w:color="auto" w:fill="FFFFFF"/>
        </w:rPr>
        <w:t xml:space="preserve">d </w:t>
      </w:r>
      <w:r w:rsidR="000B6826" w:rsidRPr="00EB002D">
        <w:rPr>
          <w:color w:val="333333"/>
          <w:sz w:val="20"/>
          <w:shd w:val="clear" w:color="auto" w:fill="FFFFFF"/>
        </w:rPr>
        <w:t xml:space="preserve">a common regulatory position on </w:t>
      </w:r>
      <w:r w:rsidR="001B4A7B" w:rsidRPr="001B4A7B">
        <w:rPr>
          <w:color w:val="333333"/>
          <w:sz w:val="20"/>
          <w:shd w:val="clear" w:color="auto" w:fill="FFFFFF"/>
        </w:rPr>
        <w:t>T</w:t>
      </w:r>
      <w:r w:rsidR="001B4A7B">
        <w:rPr>
          <w:color w:val="333333"/>
          <w:sz w:val="20"/>
          <w:shd w:val="clear" w:color="auto" w:fill="FFFFFF"/>
        </w:rPr>
        <w:t>r</w:t>
      </w:r>
      <w:r w:rsidR="001B4A7B" w:rsidRPr="001B4A7B">
        <w:rPr>
          <w:color w:val="333333"/>
          <w:sz w:val="20"/>
          <w:shd w:val="clear" w:color="auto" w:fill="FFFFFF"/>
        </w:rPr>
        <w:t>i-structural I</w:t>
      </w:r>
      <w:r w:rsidR="001B4A7B">
        <w:rPr>
          <w:color w:val="333333"/>
          <w:sz w:val="20"/>
          <w:shd w:val="clear" w:color="auto" w:fill="FFFFFF"/>
        </w:rPr>
        <w:t>so</w:t>
      </w:r>
      <w:r w:rsidR="001B4A7B" w:rsidRPr="001B4A7B">
        <w:rPr>
          <w:color w:val="333333"/>
          <w:sz w:val="20"/>
          <w:shd w:val="clear" w:color="auto" w:fill="FFFFFF"/>
        </w:rPr>
        <w:t xml:space="preserve">tropic particle </w:t>
      </w:r>
      <w:r w:rsidR="001B4A7B">
        <w:rPr>
          <w:color w:val="333333"/>
          <w:sz w:val="20"/>
          <w:shd w:val="clear" w:color="auto" w:fill="FFFFFF"/>
        </w:rPr>
        <w:t xml:space="preserve">(TRISO) </w:t>
      </w:r>
      <w:r w:rsidR="001B4A7B" w:rsidRPr="001B4A7B">
        <w:rPr>
          <w:color w:val="333333"/>
          <w:sz w:val="20"/>
          <w:shd w:val="clear" w:color="auto" w:fill="FFFFFF"/>
        </w:rPr>
        <w:t xml:space="preserve">fuel. </w:t>
      </w:r>
      <w:r w:rsidR="00750395">
        <w:rPr>
          <w:color w:val="333333"/>
          <w:sz w:val="20"/>
          <w:shd w:val="clear" w:color="auto" w:fill="FFFFFF"/>
        </w:rPr>
        <w:t xml:space="preserve">The joint review </w:t>
      </w:r>
      <w:r w:rsidR="000B6826" w:rsidRPr="00EB002D">
        <w:rPr>
          <w:color w:val="333333"/>
          <w:sz w:val="20"/>
          <w:shd w:val="clear" w:color="auto" w:fill="FFFFFF"/>
        </w:rPr>
        <w:t>identifie</w:t>
      </w:r>
      <w:r w:rsidRPr="00EB002D">
        <w:rPr>
          <w:color w:val="333333"/>
          <w:sz w:val="20"/>
          <w:shd w:val="clear" w:color="auto" w:fill="FFFFFF"/>
        </w:rPr>
        <w:t>d</w:t>
      </w:r>
      <w:r w:rsidR="000B6826" w:rsidRPr="00EB002D">
        <w:rPr>
          <w:color w:val="333333"/>
          <w:sz w:val="20"/>
          <w:shd w:val="clear" w:color="auto" w:fill="FFFFFF"/>
        </w:rPr>
        <w:t xml:space="preserve"> potential design-dependent gaps that should be addressed to enable TRISO use in advanced reactor licensing applications. </w:t>
      </w:r>
      <w:r w:rsidR="00750395">
        <w:rPr>
          <w:color w:val="333333"/>
          <w:sz w:val="20"/>
          <w:shd w:val="clear" w:color="auto" w:fill="FFFFFF"/>
        </w:rPr>
        <w:t>T</w:t>
      </w:r>
      <w:r w:rsidR="000B6826" w:rsidRPr="00EB002D">
        <w:rPr>
          <w:color w:val="333333"/>
          <w:sz w:val="20"/>
          <w:shd w:val="clear" w:color="auto" w:fill="FFFFFF"/>
        </w:rPr>
        <w:t>h</w:t>
      </w:r>
      <w:r w:rsidR="00750395">
        <w:rPr>
          <w:color w:val="333333"/>
          <w:sz w:val="20"/>
          <w:shd w:val="clear" w:color="auto" w:fill="FFFFFF"/>
        </w:rPr>
        <w:t>e</w:t>
      </w:r>
      <w:r w:rsidR="000B6826" w:rsidRPr="00EB002D">
        <w:rPr>
          <w:color w:val="333333"/>
          <w:sz w:val="20"/>
          <w:shd w:val="clear" w:color="auto" w:fill="FFFFFF"/>
        </w:rPr>
        <w:t xml:space="preserve"> report summarize</w:t>
      </w:r>
      <w:r w:rsidR="001B5072" w:rsidRPr="00EB002D">
        <w:rPr>
          <w:color w:val="333333"/>
          <w:sz w:val="20"/>
          <w:shd w:val="clear" w:color="auto" w:fill="FFFFFF"/>
        </w:rPr>
        <w:t>d the</w:t>
      </w:r>
      <w:r w:rsidR="000B6826" w:rsidRPr="00EB002D">
        <w:rPr>
          <w:color w:val="333333"/>
          <w:sz w:val="20"/>
          <w:shd w:val="clear" w:color="auto" w:fill="FFFFFF"/>
        </w:rPr>
        <w:t xml:space="preserve"> data, criteria, and approaches that can help support fuel-related regulatory findings for TRISO-</w:t>
      </w:r>
      <w:proofErr w:type="spellStart"/>
      <w:r w:rsidR="000B6826" w:rsidRPr="00EB002D">
        <w:rPr>
          <w:color w:val="333333"/>
          <w:sz w:val="20"/>
          <w:shd w:val="clear" w:color="auto" w:fill="FFFFFF"/>
        </w:rPr>
        <w:t>fueled</w:t>
      </w:r>
      <w:proofErr w:type="spellEnd"/>
      <w:r w:rsidR="000B6826" w:rsidRPr="00EB002D">
        <w:rPr>
          <w:color w:val="333333"/>
          <w:sz w:val="20"/>
          <w:shd w:val="clear" w:color="auto" w:fill="FFFFFF"/>
        </w:rPr>
        <w:t xml:space="preserve"> reactor designs</w:t>
      </w:r>
      <w:r w:rsidR="0024259B">
        <w:rPr>
          <w:color w:val="333333"/>
          <w:sz w:val="20"/>
          <w:shd w:val="clear" w:color="auto" w:fill="FFFFFF"/>
        </w:rPr>
        <w:t xml:space="preserve"> </w:t>
      </w:r>
      <w:r w:rsidR="0024259B" w:rsidRPr="0024259B">
        <w:rPr>
          <w:color w:val="333333"/>
          <w:sz w:val="20"/>
          <w:shd w:val="clear" w:color="auto" w:fill="FFFFFF"/>
        </w:rPr>
        <w:t xml:space="preserve">and </w:t>
      </w:r>
      <w:r w:rsidR="0024259B" w:rsidRPr="0024259B">
        <w:rPr>
          <w:sz w:val="20"/>
          <w:lang w:val="en-CA"/>
        </w:rPr>
        <w:t>areas for future work by vendors</w:t>
      </w:r>
      <w:r w:rsidR="000B6826" w:rsidRPr="00EB002D">
        <w:rPr>
          <w:color w:val="333333"/>
          <w:sz w:val="20"/>
          <w:shd w:val="clear" w:color="auto" w:fill="FFFFFF"/>
        </w:rPr>
        <w:t>. </w:t>
      </w:r>
    </w:p>
    <w:p w14:paraId="448F55C2" w14:textId="77777777" w:rsidR="00F67C9D" w:rsidRDefault="00F67C9D" w:rsidP="00D87D97">
      <w:pPr>
        <w:pStyle w:val="BodyText"/>
      </w:pPr>
    </w:p>
    <w:p w14:paraId="0C027C02" w14:textId="73C09D74" w:rsidR="00FB34F3" w:rsidRDefault="00871B8D" w:rsidP="00D87D97">
      <w:pPr>
        <w:pStyle w:val="BodyText"/>
      </w:pPr>
      <w:r>
        <w:t>USNRC</w:t>
      </w:r>
      <w:r w:rsidR="001B5072">
        <w:t xml:space="preserve"> and CNSC</w:t>
      </w:r>
      <w:r w:rsidR="002E4B8B">
        <w:t xml:space="preserve"> staff</w:t>
      </w:r>
      <w:r w:rsidR="001B5072">
        <w:t xml:space="preserve"> </w:t>
      </w:r>
      <w:r w:rsidR="00FB34F3">
        <w:t xml:space="preserve">also performed cooperative reviews of </w:t>
      </w:r>
      <w:r w:rsidR="00E35D22">
        <w:t xml:space="preserve">specific technical and regulatory issues </w:t>
      </w:r>
      <w:r w:rsidR="00FB34F3">
        <w:t>as part of pre-application interactions for reactor designs</w:t>
      </w:r>
      <w:r w:rsidR="000D69BD">
        <w:t xml:space="preserve"> under consideration in both countries</w:t>
      </w:r>
      <w:r w:rsidR="00FB34F3">
        <w:t xml:space="preserve">.  </w:t>
      </w:r>
      <w:r w:rsidR="000D69BD">
        <w:t>The projects were</w:t>
      </w:r>
      <w:r w:rsidR="00FB34F3">
        <w:t xml:space="preserve"> strategically </w:t>
      </w:r>
      <w:r w:rsidR="000D69BD">
        <w:t>chosen to</w:t>
      </w:r>
      <w:r w:rsidR="00FB34F3">
        <w:t xml:space="preserve"> support efficient licensing in both countries, gain benefits for both regulators, and not hinder either regulator in performing timely reviews. </w:t>
      </w:r>
      <w:r>
        <w:t>USNRC</w:t>
      </w:r>
      <w:r w:rsidR="009761A1">
        <w:t xml:space="preserve"> and CNSC staff </w:t>
      </w:r>
      <w:r w:rsidR="00FB34F3">
        <w:t>issued joint products for specific technical topi</w:t>
      </w:r>
      <w:r w:rsidR="000C3471">
        <w:t xml:space="preserve">cs </w:t>
      </w:r>
      <w:r w:rsidR="00FB34F3">
        <w:t>as part of pre-application engagement</w:t>
      </w:r>
      <w:r w:rsidR="00C273CF">
        <w:t xml:space="preserve"> including a joint report</w:t>
      </w:r>
      <w:r w:rsidR="00FB34F3">
        <w:t xml:space="preserve"> on </w:t>
      </w:r>
      <w:r w:rsidR="00C273CF">
        <w:t>X-energy’s</w:t>
      </w:r>
      <w:r w:rsidR="00FB34F3">
        <w:t xml:space="preserve"> </w:t>
      </w:r>
      <w:r w:rsidR="00C273CF" w:rsidRPr="00C273CF">
        <w:t>Xe-100 reactor pressure vessel construction code assessment</w:t>
      </w:r>
      <w:r w:rsidR="00FB34F3">
        <w:t xml:space="preserve"> and</w:t>
      </w:r>
      <w:r w:rsidR="00C273CF">
        <w:t xml:space="preserve"> a joint r</w:t>
      </w:r>
      <w:r w:rsidR="00C273CF" w:rsidRPr="00C273CF">
        <w:t xml:space="preserve">eport on Terrestrial Energy’s </w:t>
      </w:r>
      <w:r w:rsidR="00C273CF">
        <w:t>m</w:t>
      </w:r>
      <w:r w:rsidR="00C273CF" w:rsidRPr="00C273CF">
        <w:t xml:space="preserve">ethodology for </w:t>
      </w:r>
      <w:r w:rsidR="00C273CF">
        <w:t>d</w:t>
      </w:r>
      <w:r w:rsidR="00C273CF" w:rsidRPr="00C273CF">
        <w:t xml:space="preserve">eveloping a </w:t>
      </w:r>
      <w:r w:rsidR="00C273CF">
        <w:t>p</w:t>
      </w:r>
      <w:r w:rsidR="00C273CF" w:rsidRPr="00C273CF">
        <w:t xml:space="preserve">ostulated </w:t>
      </w:r>
      <w:r w:rsidR="00C273CF">
        <w:t>i</w:t>
      </w:r>
      <w:r w:rsidR="00C273CF" w:rsidRPr="00C273CF">
        <w:t xml:space="preserve">nitiating </w:t>
      </w:r>
      <w:r w:rsidR="00C273CF">
        <w:t>e</w:t>
      </w:r>
      <w:r w:rsidR="00C273CF" w:rsidRPr="00C273CF">
        <w:t xml:space="preserve">vents </w:t>
      </w:r>
      <w:r w:rsidR="00C273CF">
        <w:t>l</w:t>
      </w:r>
      <w:r w:rsidR="00C273CF" w:rsidRPr="00C273CF">
        <w:t xml:space="preserve">ist for </w:t>
      </w:r>
      <w:r w:rsidR="00C273CF">
        <w:t>its i</w:t>
      </w:r>
      <w:r w:rsidR="00C273CF" w:rsidRPr="00C273CF">
        <w:t xml:space="preserve">ntegral </w:t>
      </w:r>
      <w:r w:rsidR="00C273CF">
        <w:t>m</w:t>
      </w:r>
      <w:r w:rsidR="00C273CF" w:rsidRPr="00C273CF">
        <w:t xml:space="preserve">olten </w:t>
      </w:r>
      <w:r w:rsidR="00C273CF">
        <w:t>s</w:t>
      </w:r>
      <w:r w:rsidR="00C273CF" w:rsidRPr="00C273CF">
        <w:t xml:space="preserve">alt </w:t>
      </w:r>
      <w:r w:rsidR="00C273CF">
        <w:t>r</w:t>
      </w:r>
      <w:r w:rsidR="00C273CF" w:rsidRPr="00C273CF">
        <w:t>eactor</w:t>
      </w:r>
      <w:r w:rsidR="00CC1212">
        <w:t>.</w:t>
      </w:r>
      <w:r w:rsidR="00C273CF" w:rsidRPr="00C273CF">
        <w:t xml:space="preserve"> </w:t>
      </w:r>
      <w:r w:rsidR="00C273CF" w:rsidRPr="00C273CF">
        <w:t>CNSC and the USNRC</w:t>
      </w:r>
      <w:r w:rsidR="00C273CF">
        <w:t xml:space="preserve"> </w:t>
      </w:r>
      <w:r w:rsidR="00C273CF">
        <w:t xml:space="preserve">also </w:t>
      </w:r>
      <w:r w:rsidR="00C273CF">
        <w:t>issued a joint report</w:t>
      </w:r>
      <w:r w:rsidR="00C273CF" w:rsidRPr="00C273CF">
        <w:t xml:space="preserve"> </w:t>
      </w:r>
      <w:r w:rsidR="00C273CF">
        <w:t>on the</w:t>
      </w:r>
      <w:r w:rsidR="00C273CF" w:rsidRPr="00C273CF">
        <w:t xml:space="preserve"> method for predicting the conditions inside the containment vessel following a loss-of-coolant accident </w:t>
      </w:r>
      <w:r w:rsidR="00C273CF">
        <w:t>f</w:t>
      </w:r>
      <w:r w:rsidR="00C273CF" w:rsidRPr="00C273CF">
        <w:t>or the</w:t>
      </w:r>
      <w:r w:rsidR="00C273CF">
        <w:t xml:space="preserve"> GE-Hitachi</w:t>
      </w:r>
      <w:r w:rsidR="00C273CF" w:rsidRPr="00C273CF">
        <w:t xml:space="preserve"> BWRX-300. </w:t>
      </w:r>
      <w:r w:rsidR="00C273CF">
        <w:t xml:space="preserve"> </w:t>
      </w:r>
    </w:p>
    <w:p w14:paraId="565C04B5" w14:textId="77777777" w:rsidR="00FB34F3" w:rsidRDefault="00FB34F3" w:rsidP="00FB34F3">
      <w:pPr>
        <w:pStyle w:val="BodyText"/>
      </w:pPr>
    </w:p>
    <w:p w14:paraId="232D857F" w14:textId="174460C2" w:rsidR="00FB34F3" w:rsidRDefault="00842B70" w:rsidP="00851602">
      <w:pPr>
        <w:pStyle w:val="BodyText"/>
      </w:pPr>
      <w:r>
        <w:t>In 2022, t</w:t>
      </w:r>
      <w:r w:rsidR="00FB34F3">
        <w:t xml:space="preserve">he Tennessee Valley Authority and Ontario Power Generation announced plans to jointly work to deploy the </w:t>
      </w:r>
      <w:r w:rsidR="00C273CF">
        <w:t xml:space="preserve">GE-Hitachi </w:t>
      </w:r>
      <w:r w:rsidR="00FB34F3">
        <w:t xml:space="preserve">BWRX-300 in Canada and the </w:t>
      </w:r>
      <w:r w:rsidR="00241AEF">
        <w:t>U.S.</w:t>
      </w:r>
      <w:r w:rsidR="00FB34F3">
        <w:t xml:space="preserve"> and proposed technical topics for </w:t>
      </w:r>
      <w:r w:rsidR="00871B8D">
        <w:t>USNRC</w:t>
      </w:r>
      <w:r w:rsidR="00FB34F3">
        <w:t xml:space="preserve"> and </w:t>
      </w:r>
      <w:r w:rsidR="00FB34F3">
        <w:lastRenderedPageBreak/>
        <w:t xml:space="preserve">CNSC </w:t>
      </w:r>
      <w:r w:rsidR="000957D7">
        <w:t xml:space="preserve">staff </w:t>
      </w:r>
      <w:r w:rsidR="00FB34F3">
        <w:t>to address collaboratively</w:t>
      </w:r>
      <w:r w:rsidR="00266262">
        <w:t>.</w:t>
      </w:r>
      <w:r w:rsidR="00743540" w:rsidRPr="00743540">
        <w:t xml:space="preserve"> </w:t>
      </w:r>
      <w:r w:rsidR="00851602">
        <w:t xml:space="preserve"> </w:t>
      </w:r>
      <w:r w:rsidR="00BB420B">
        <w:t xml:space="preserve">GEH, </w:t>
      </w:r>
      <w:r w:rsidR="00743540">
        <w:t>OPG,</w:t>
      </w:r>
      <w:r w:rsidR="00BB420B">
        <w:t xml:space="preserve"> and</w:t>
      </w:r>
      <w:r w:rsidR="00743540">
        <w:t xml:space="preserve"> TVA </w:t>
      </w:r>
      <w:r w:rsidR="00BB420B">
        <w:t xml:space="preserve">meet frequently with </w:t>
      </w:r>
      <w:r w:rsidR="00923996">
        <w:t>the regulators to</w:t>
      </w:r>
      <w:r w:rsidR="00743540">
        <w:t xml:space="preserve"> </w:t>
      </w:r>
      <w:r w:rsidR="00244D44">
        <w:t>identify</w:t>
      </w:r>
      <w:r w:rsidR="00743540">
        <w:t xml:space="preserve"> </w:t>
      </w:r>
      <w:r w:rsidR="00743540" w:rsidRPr="00C273CF">
        <w:t xml:space="preserve">licensing topics for </w:t>
      </w:r>
      <w:r w:rsidR="00923996" w:rsidRPr="00C273CF">
        <w:t>potential</w:t>
      </w:r>
      <w:r w:rsidR="00743540" w:rsidRPr="00C273CF">
        <w:t xml:space="preserve"> cooperative</w:t>
      </w:r>
      <w:r w:rsidR="00851602" w:rsidRPr="00C273CF">
        <w:t xml:space="preserve"> </w:t>
      </w:r>
      <w:r w:rsidR="00743540" w:rsidRPr="00C273CF">
        <w:t>reviews</w:t>
      </w:r>
      <w:r w:rsidR="00923996" w:rsidRPr="00C273CF">
        <w:t xml:space="preserve">, </w:t>
      </w:r>
      <w:r w:rsidR="00C4230F" w:rsidRPr="00C273CF">
        <w:t>and</w:t>
      </w:r>
      <w:r w:rsidR="00743540" w:rsidRPr="00C273CF">
        <w:t xml:space="preserve"> </w:t>
      </w:r>
      <w:r w:rsidR="00923996" w:rsidRPr="00C273CF">
        <w:t xml:space="preserve">to </w:t>
      </w:r>
      <w:r w:rsidR="000810D3" w:rsidRPr="00C273CF">
        <w:t>communicate</w:t>
      </w:r>
      <w:r w:rsidR="00743540" w:rsidRPr="00C273CF">
        <w:t xml:space="preserve"> challenges with applying existing guidance or</w:t>
      </w:r>
      <w:r w:rsidR="00C4230F" w:rsidRPr="00C273CF">
        <w:t xml:space="preserve"> </w:t>
      </w:r>
      <w:r w:rsidR="00743540" w:rsidRPr="00C273CF">
        <w:t>frameworks</w:t>
      </w:r>
      <w:r w:rsidR="00C4230F" w:rsidRPr="00C273CF">
        <w:t xml:space="preserve">.  </w:t>
      </w:r>
      <w:r w:rsidR="00BB420B" w:rsidRPr="00C273CF">
        <w:t>In 2024, the UK ONR was added as a participant to the collaborative work</w:t>
      </w:r>
      <w:r w:rsidR="000810D3" w:rsidRPr="00C273CF">
        <w:t>.</w:t>
      </w:r>
      <w:r w:rsidR="00BB420B" w:rsidRPr="00C273CF">
        <w:rPr>
          <w:rStyle w:val="Strong"/>
          <w:color w:val="333333"/>
          <w:shd w:val="clear" w:color="auto" w:fill="FFFFFF"/>
        </w:rPr>
        <w:t xml:space="preserve"> </w:t>
      </w:r>
      <w:r w:rsidR="00F85E80" w:rsidRPr="00C273CF">
        <w:rPr>
          <w:rStyle w:val="Strong"/>
          <w:b w:val="0"/>
          <w:bCs w:val="0"/>
          <w:color w:val="333333"/>
          <w:shd w:val="clear" w:color="auto" w:fill="FFFFFF"/>
        </w:rPr>
        <w:t>The CNSC</w:t>
      </w:r>
      <w:r w:rsidR="00266262" w:rsidRPr="00C273CF">
        <w:rPr>
          <w:rStyle w:val="Strong"/>
          <w:b w:val="0"/>
          <w:bCs w:val="0"/>
          <w:color w:val="333333"/>
          <w:shd w:val="clear" w:color="auto" w:fill="FFFFFF"/>
        </w:rPr>
        <w:t xml:space="preserve">, ONR and </w:t>
      </w:r>
      <w:r w:rsidR="00871B8D" w:rsidRPr="00C273CF">
        <w:rPr>
          <w:rStyle w:val="Strong"/>
          <w:b w:val="0"/>
          <w:bCs w:val="0"/>
          <w:color w:val="333333"/>
          <w:shd w:val="clear" w:color="auto" w:fill="FFFFFF"/>
        </w:rPr>
        <w:t>USNRC</w:t>
      </w:r>
      <w:r w:rsidR="00F85E80" w:rsidRPr="00C273CF">
        <w:rPr>
          <w:rStyle w:val="Strong"/>
          <w:b w:val="0"/>
          <w:bCs w:val="0"/>
          <w:color w:val="333333"/>
          <w:shd w:val="clear" w:color="auto" w:fill="FFFFFF"/>
        </w:rPr>
        <w:t xml:space="preserve"> collaboration is intended to reduce duplication of licensing review efforts, jointly utilize third party verification, identify areas for </w:t>
      </w:r>
      <w:r w:rsidR="002349CC" w:rsidRPr="00C273CF">
        <w:rPr>
          <w:rStyle w:val="Strong"/>
          <w:b w:val="0"/>
          <w:bCs w:val="0"/>
          <w:color w:val="333333"/>
          <w:shd w:val="clear" w:color="auto" w:fill="FFFFFF"/>
        </w:rPr>
        <w:t xml:space="preserve">lifecycle </w:t>
      </w:r>
      <w:r w:rsidR="00F85E80" w:rsidRPr="00C273CF">
        <w:rPr>
          <w:rStyle w:val="Strong"/>
          <w:b w:val="0"/>
          <w:bCs w:val="0"/>
          <w:color w:val="333333"/>
          <w:shd w:val="clear" w:color="auto" w:fill="FFFFFF"/>
        </w:rPr>
        <w:t>verification</w:t>
      </w:r>
      <w:r w:rsidR="002349CC" w:rsidRPr="00C273CF">
        <w:rPr>
          <w:rStyle w:val="Strong"/>
          <w:b w:val="0"/>
          <w:bCs w:val="0"/>
          <w:color w:val="333333"/>
          <w:shd w:val="clear" w:color="auto" w:fill="FFFFFF"/>
        </w:rPr>
        <w:t xml:space="preserve"> activities</w:t>
      </w:r>
      <w:r w:rsidR="00F85E80" w:rsidRPr="00C273CF">
        <w:rPr>
          <w:rStyle w:val="Strong"/>
          <w:b w:val="0"/>
          <w:bCs w:val="0"/>
          <w:color w:val="333333"/>
          <w:shd w:val="clear" w:color="auto" w:fill="FFFFFF"/>
        </w:rPr>
        <w:t>, share expertise and leverage analysis performed by each organization</w:t>
      </w:r>
      <w:r w:rsidR="00C27A84" w:rsidRPr="00C273CF">
        <w:rPr>
          <w:rStyle w:val="Strong"/>
          <w:b w:val="0"/>
          <w:bCs w:val="0"/>
          <w:color w:val="333333"/>
          <w:shd w:val="clear" w:color="auto" w:fill="FFFFFF"/>
        </w:rPr>
        <w:t xml:space="preserve">.  </w:t>
      </w:r>
      <w:r w:rsidR="006F5984" w:rsidRPr="00C273CF">
        <w:rPr>
          <w:rStyle w:val="Strong"/>
          <w:b w:val="0"/>
          <w:bCs w:val="0"/>
          <w:color w:val="333333"/>
          <w:shd w:val="clear" w:color="auto" w:fill="FFFFFF"/>
        </w:rPr>
        <w:t xml:space="preserve">CNSC and </w:t>
      </w:r>
      <w:r w:rsidR="00871B8D" w:rsidRPr="00C273CF">
        <w:rPr>
          <w:rStyle w:val="Strong"/>
          <w:b w:val="0"/>
          <w:bCs w:val="0"/>
          <w:color w:val="333333"/>
          <w:shd w:val="clear" w:color="auto" w:fill="FFFFFF"/>
        </w:rPr>
        <w:t>USNRC</w:t>
      </w:r>
      <w:r w:rsidR="006F5984" w:rsidRPr="00C273CF">
        <w:rPr>
          <w:rStyle w:val="Strong"/>
          <w:b w:val="0"/>
          <w:bCs w:val="0"/>
          <w:color w:val="333333"/>
          <w:shd w:val="clear" w:color="auto" w:fill="FFFFFF"/>
        </w:rPr>
        <w:t xml:space="preserve"> staff</w:t>
      </w:r>
      <w:r w:rsidR="006F5984" w:rsidRPr="00C273CF">
        <w:t xml:space="preserve"> </w:t>
      </w:r>
      <w:r w:rsidR="00FB34F3" w:rsidRPr="00C273CF">
        <w:t xml:space="preserve">issued joint </w:t>
      </w:r>
      <w:r w:rsidR="0043039C" w:rsidRPr="00C273CF">
        <w:t>r</w:t>
      </w:r>
      <w:r w:rsidR="00FB34F3" w:rsidRPr="00C273CF">
        <w:t>eports</w:t>
      </w:r>
      <w:r w:rsidR="0043039C" w:rsidRPr="00C273CF">
        <w:t xml:space="preserve"> </w:t>
      </w:r>
      <w:r w:rsidR="00C273CF">
        <w:t>o</w:t>
      </w:r>
      <w:r w:rsidR="00C70703" w:rsidRPr="00C70703">
        <w:t>n the steel-plate composite containment vessel and reactor building structural design</w:t>
      </w:r>
      <w:r w:rsidR="00C70703">
        <w:t xml:space="preserve"> and the safety strategy for the BWRX-300.  The regulators are also </w:t>
      </w:r>
      <w:r w:rsidR="006A298D" w:rsidRPr="00C273CF">
        <w:t xml:space="preserve">exchanging information on </w:t>
      </w:r>
      <w:r w:rsidR="00C4068A" w:rsidRPr="00C273CF">
        <w:t xml:space="preserve">several </w:t>
      </w:r>
      <w:r w:rsidR="00C70703">
        <w:t xml:space="preserve">additional </w:t>
      </w:r>
      <w:r w:rsidR="00C4068A" w:rsidRPr="00C273CF">
        <w:t>technical areas of the design.</w:t>
      </w:r>
      <w:r w:rsidR="00B925C7" w:rsidRPr="00C273CF">
        <w:t xml:space="preserve"> In particular, the regulators have held joint </w:t>
      </w:r>
      <w:r w:rsidR="00872743" w:rsidRPr="00C273CF">
        <w:rPr>
          <w:rStyle w:val="cf01"/>
          <w:rFonts w:ascii="Times New Roman" w:hAnsi="Times New Roman" w:cs="Times New Roman"/>
          <w:sz w:val="20"/>
          <w:szCs w:val="20"/>
        </w:rPr>
        <w:t>t</w:t>
      </w:r>
      <w:r w:rsidR="00B925C7" w:rsidRPr="00C273CF">
        <w:rPr>
          <w:rStyle w:val="cf01"/>
          <w:rFonts w:ascii="Times New Roman" w:hAnsi="Times New Roman" w:cs="Times New Roman"/>
          <w:sz w:val="20"/>
          <w:szCs w:val="20"/>
        </w:rPr>
        <w:t>echnical discussions with GEH, OPG and TVA on the proposed approaches to break exclusion zone, means of shutdown</w:t>
      </w:r>
      <w:r w:rsidR="00C70703">
        <w:rPr>
          <w:rStyle w:val="cf01"/>
          <w:rFonts w:ascii="Times New Roman" w:hAnsi="Times New Roman" w:cs="Times New Roman"/>
          <w:sz w:val="20"/>
          <w:szCs w:val="20"/>
        </w:rPr>
        <w:t>,</w:t>
      </w:r>
      <w:r w:rsidR="00B925C7" w:rsidRPr="00C273CF">
        <w:rPr>
          <w:rStyle w:val="cf01"/>
          <w:rFonts w:ascii="Times New Roman" w:hAnsi="Times New Roman" w:cs="Times New Roman"/>
          <w:sz w:val="20"/>
          <w:szCs w:val="20"/>
        </w:rPr>
        <w:t xml:space="preserve"> and safety strategy for the BWRX-300. These discussions allow regulators the opportunity to seek inputs from international peers to support risk informed decision making while ensuring regulatory sovereignty.</w:t>
      </w:r>
      <w:r w:rsidR="00FB34F3" w:rsidRPr="00C273CF">
        <w:t xml:space="preserve"> </w:t>
      </w:r>
      <w:r w:rsidR="00746F21" w:rsidRPr="00C273CF">
        <w:t xml:space="preserve">Through its interactions, CSNC, </w:t>
      </w:r>
      <w:r w:rsidR="00871B8D" w:rsidRPr="00C273CF">
        <w:t>USNRC</w:t>
      </w:r>
      <w:r w:rsidR="00746F21" w:rsidRPr="00C273CF">
        <w:t xml:space="preserve"> and ONR have </w:t>
      </w:r>
      <w:r w:rsidR="00581EB7" w:rsidRPr="00C273CF">
        <w:t xml:space="preserve">shared information that supports each other’s </w:t>
      </w:r>
      <w:r w:rsidR="00E67D2E" w:rsidRPr="00C273CF">
        <w:t>evaluations,</w:t>
      </w:r>
      <w:r w:rsidR="005814A3" w:rsidRPr="00C273CF">
        <w:t xml:space="preserve"> </w:t>
      </w:r>
      <w:r w:rsidR="006C7305" w:rsidRPr="00C273CF">
        <w:t xml:space="preserve">with the goal of standardizing the design in </w:t>
      </w:r>
      <w:r w:rsidR="00581EB7" w:rsidRPr="00C273CF">
        <w:t>all</w:t>
      </w:r>
      <w:r w:rsidR="006C7305" w:rsidRPr="00C273CF">
        <w:t xml:space="preserve"> </w:t>
      </w:r>
      <w:r w:rsidR="00E67D2E" w:rsidRPr="00C273CF">
        <w:t>three countries</w:t>
      </w:r>
      <w:r w:rsidR="006C7305" w:rsidRPr="00C273CF">
        <w:t xml:space="preserve">. </w:t>
      </w:r>
      <w:r w:rsidR="00FB34F3" w:rsidRPr="00C273CF">
        <w:t xml:space="preserve"> </w:t>
      </w:r>
      <w:r w:rsidR="002C7536" w:rsidRPr="00C273CF">
        <w:t>To expand the impact of the collaboration, Poland’s National Atomic Energy Agency has been invited to participate</w:t>
      </w:r>
      <w:r w:rsidR="002C7536">
        <w:t xml:space="preserve"> as an observer in some activities</w:t>
      </w:r>
      <w:r w:rsidR="00351C71">
        <w:t xml:space="preserve"> since </w:t>
      </w:r>
      <w:r w:rsidR="00BA02C2">
        <w:t xml:space="preserve">an application for the BWRX-300 has been submitted in Poland.  </w:t>
      </w:r>
    </w:p>
    <w:p w14:paraId="1AF2BB46" w14:textId="246728A3" w:rsidR="00FB34F3" w:rsidRDefault="00FB34F3" w:rsidP="00896639">
      <w:pPr>
        <w:pStyle w:val="BodyText"/>
      </w:pPr>
    </w:p>
    <w:p w14:paraId="0A946529" w14:textId="55D8D9B5" w:rsidR="00426713" w:rsidRDefault="000266F2" w:rsidP="00426713">
      <w:pPr>
        <w:pStyle w:val="BodyText"/>
      </w:pPr>
      <w:r>
        <w:t xml:space="preserve">While each regulator retains its </w:t>
      </w:r>
      <w:r w:rsidR="000957D7">
        <w:t xml:space="preserve">independent </w:t>
      </w:r>
      <w:r>
        <w:t>authority to make licensing decisions</w:t>
      </w:r>
      <w:r w:rsidR="00C70703">
        <w:t>, the</w:t>
      </w:r>
      <w:r w:rsidR="0016476F">
        <w:t xml:space="preserve"> </w:t>
      </w:r>
      <w:r w:rsidR="002349CC">
        <w:t xml:space="preserve">joint </w:t>
      </w:r>
      <w:r w:rsidR="0016476F">
        <w:t>reports provide confidence to</w:t>
      </w:r>
      <w:r w:rsidR="00904842">
        <w:t xml:space="preserve"> applicants of </w:t>
      </w:r>
      <w:r w:rsidR="008D72FD">
        <w:t xml:space="preserve">what is acceptable to each regulator and can be </w:t>
      </w:r>
      <w:r w:rsidR="00896639">
        <w:t xml:space="preserve">referenced in license application reviews.  </w:t>
      </w:r>
      <w:r w:rsidR="008D72FD">
        <w:t>In addition, the r</w:t>
      </w:r>
      <w:r w:rsidR="00896639">
        <w:t xml:space="preserve">eports </w:t>
      </w:r>
      <w:r w:rsidR="008D72FD">
        <w:t xml:space="preserve">provide </w:t>
      </w:r>
      <w:r w:rsidR="00914D98">
        <w:t>valuable</w:t>
      </w:r>
      <w:r w:rsidR="008D72FD">
        <w:t xml:space="preserve"> information </w:t>
      </w:r>
      <w:r w:rsidR="00914D98">
        <w:t>for</w:t>
      </w:r>
      <w:r w:rsidR="00896639">
        <w:t xml:space="preserve"> other regulators </w:t>
      </w:r>
      <w:r w:rsidR="00914D98">
        <w:t>considering the</w:t>
      </w:r>
      <w:r w:rsidR="00896639">
        <w:t xml:space="preserve"> same designs</w:t>
      </w:r>
      <w:r w:rsidR="00914D98">
        <w:t>.</w:t>
      </w:r>
      <w:r w:rsidR="00896639">
        <w:t xml:space="preserve"> </w:t>
      </w:r>
      <w:r w:rsidR="0040153B">
        <w:t xml:space="preserve"> </w:t>
      </w:r>
      <w:r w:rsidR="004A002C">
        <w:t xml:space="preserve">By </w:t>
      </w:r>
      <w:r w:rsidR="00426713">
        <w:t>leveraging each other’s evaluations to approve a novel design feature or an exemption from requirements</w:t>
      </w:r>
      <w:r w:rsidR="004A002C">
        <w:t xml:space="preserve">, that feature of </w:t>
      </w:r>
      <w:r w:rsidR="009F1F1B">
        <w:t>the design can be standardized for deployment in both countries</w:t>
      </w:r>
      <w:r w:rsidR="00426713">
        <w:t>.</w:t>
      </w:r>
      <w:r w:rsidR="00375E30">
        <w:t xml:space="preserve"> </w:t>
      </w:r>
    </w:p>
    <w:p w14:paraId="4E96E08D" w14:textId="79F983E6" w:rsidR="0040153B" w:rsidRDefault="0040153B" w:rsidP="00896639">
      <w:pPr>
        <w:pStyle w:val="BodyText"/>
      </w:pPr>
    </w:p>
    <w:p w14:paraId="062422B1" w14:textId="4E1DAF68" w:rsidR="00191F44" w:rsidRDefault="0040153B" w:rsidP="00191F44">
      <w:pPr>
        <w:pStyle w:val="BodyText"/>
      </w:pPr>
      <w:r>
        <w:t xml:space="preserve">In performing the joint reviews, </w:t>
      </w:r>
      <w:r w:rsidR="00125BAD">
        <w:t xml:space="preserve">CNSC and </w:t>
      </w:r>
      <w:r w:rsidR="00871B8D">
        <w:t>USNRC</w:t>
      </w:r>
      <w:r w:rsidR="00125BAD">
        <w:t xml:space="preserve"> have</w:t>
      </w:r>
      <w:r>
        <w:t xml:space="preserve"> issue</w:t>
      </w:r>
      <w:r w:rsidR="00125BAD">
        <w:t>d</w:t>
      </w:r>
      <w:r>
        <w:t xml:space="preserve"> joint requests for </w:t>
      </w:r>
      <w:r w:rsidR="0062139F">
        <w:t>information</w:t>
      </w:r>
      <w:r w:rsidR="00140E59">
        <w:t xml:space="preserve"> and conducted joint audits -- a process by which the regulators review additional applicant documents to support a licensing review</w:t>
      </w:r>
      <w:r w:rsidR="0062139F">
        <w:t>.  These</w:t>
      </w:r>
      <w:r w:rsidR="00140E59">
        <w:t xml:space="preserve"> joint efforts</w:t>
      </w:r>
      <w:r w:rsidR="0062139F">
        <w:t xml:space="preserve"> result in resource savings to both the regulators and applicants by addressing one set of questions</w:t>
      </w:r>
      <w:r w:rsidR="00127661">
        <w:t xml:space="preserve"> and avoiding redundant interactions. </w:t>
      </w:r>
      <w:r w:rsidR="002709AE">
        <w:t xml:space="preserve">In addition, CNSC and </w:t>
      </w:r>
      <w:r w:rsidR="00871B8D">
        <w:t>USNRC</w:t>
      </w:r>
      <w:r w:rsidR="002709AE">
        <w:t xml:space="preserve"> have shared the results of earlier work to support </w:t>
      </w:r>
      <w:r w:rsidR="009F1F1B">
        <w:t>each other’s</w:t>
      </w:r>
      <w:r w:rsidR="002709AE">
        <w:t xml:space="preserve"> reviews.  For example, </w:t>
      </w:r>
      <w:r w:rsidR="00871B8D">
        <w:t>USNRC</w:t>
      </w:r>
      <w:r w:rsidR="002709AE">
        <w:t xml:space="preserve"> has provided computer code input decks that were developed </w:t>
      </w:r>
      <w:r w:rsidR="00E07CE2">
        <w:t xml:space="preserve">for the BWRX-300 </w:t>
      </w:r>
      <w:r w:rsidR="002709AE">
        <w:t xml:space="preserve">allowing CNSC to </w:t>
      </w:r>
      <w:r w:rsidR="008137C3">
        <w:t xml:space="preserve">perform verifications with </w:t>
      </w:r>
      <w:r w:rsidR="00CA3BD0">
        <w:t xml:space="preserve">less resource and time expenditures. </w:t>
      </w:r>
      <w:r w:rsidR="001F2B8C">
        <w:t xml:space="preserve">In addition, </w:t>
      </w:r>
      <w:r w:rsidR="00BE6098" w:rsidRPr="00BE6098">
        <w:t xml:space="preserve">CNSC leveraged previous </w:t>
      </w:r>
      <w:r w:rsidR="00871B8D">
        <w:t>USNRC</w:t>
      </w:r>
      <w:r w:rsidR="00BE6098" w:rsidRPr="00BE6098">
        <w:t xml:space="preserve"> reviews of the GNF2 fuel product as part of its review of OPG’s license to construct. Leveraging </w:t>
      </w:r>
      <w:r w:rsidR="00871B8D">
        <w:t>USNRC</w:t>
      </w:r>
      <w:r w:rsidR="00BE6098" w:rsidRPr="00BE6098">
        <w:t xml:space="preserve"> reviews of the fuel reduced the level of effort required to CNSC staff </w:t>
      </w:r>
      <w:r w:rsidR="000C2E8B">
        <w:t>on the order of months</w:t>
      </w:r>
      <w:r w:rsidR="00BE6098" w:rsidRPr="00BE6098">
        <w:t>.</w:t>
      </w:r>
      <w:r w:rsidR="002B0111">
        <w:t xml:space="preserve"> </w:t>
      </w:r>
      <w:r w:rsidR="00E029AB">
        <w:t xml:space="preserve"> </w:t>
      </w:r>
      <w:r w:rsidR="00F03C2C">
        <w:t xml:space="preserve">For situations in which a regulator is faced with reviewing a technology that they do not have significant experience with, </w:t>
      </w:r>
      <w:r w:rsidR="00281851">
        <w:t>the other regulator has</w:t>
      </w:r>
      <w:r w:rsidR="00E029AB">
        <w:t xml:space="preserve"> provided </w:t>
      </w:r>
      <w:r w:rsidR="00C83745">
        <w:t xml:space="preserve">cost-free </w:t>
      </w:r>
      <w:r w:rsidR="00E029AB">
        <w:t xml:space="preserve">training to </w:t>
      </w:r>
      <w:r w:rsidR="00C83745">
        <w:t xml:space="preserve">the staff; training that would have taken time and resources to develop on their own. </w:t>
      </w:r>
      <w:r w:rsidR="00140E59">
        <w:t>For example, t</w:t>
      </w:r>
      <w:r w:rsidR="00140E59" w:rsidRPr="00E802D9">
        <w:t>o support the BWRX-300 joint reviews,</w:t>
      </w:r>
      <w:r w:rsidR="00140E59">
        <w:t xml:space="preserve"> t</w:t>
      </w:r>
      <w:r w:rsidR="00140E59" w:rsidRPr="00E802D9">
        <w:t xml:space="preserve">he </w:t>
      </w:r>
      <w:r w:rsidR="00140E59">
        <w:t>USNRC</w:t>
      </w:r>
      <w:r w:rsidR="00140E59" w:rsidRPr="00E802D9">
        <w:t xml:space="preserve"> provided </w:t>
      </w:r>
      <w:r w:rsidR="00140E59">
        <w:t>two</w:t>
      </w:r>
      <w:r w:rsidR="00140E59" w:rsidRPr="00E802D9">
        <w:t xml:space="preserve"> weeklong virtual training </w:t>
      </w:r>
      <w:r w:rsidR="00140E59">
        <w:t xml:space="preserve">sessions on </w:t>
      </w:r>
      <w:r w:rsidR="00140E59" w:rsidRPr="00E802D9">
        <w:t xml:space="preserve">GE BWR </w:t>
      </w:r>
      <w:r w:rsidR="00140E59">
        <w:t xml:space="preserve">technology </w:t>
      </w:r>
      <w:r w:rsidR="00140E59" w:rsidRPr="00E802D9">
        <w:t>to staff from the CNSC</w:t>
      </w:r>
      <w:r w:rsidR="00140E59">
        <w:t xml:space="preserve">.  </w:t>
      </w:r>
      <w:r w:rsidR="00C83745">
        <w:t xml:space="preserve"> </w:t>
      </w:r>
      <w:r w:rsidR="001F4DF0">
        <w:t xml:space="preserve">As part of some MOC projects, </w:t>
      </w:r>
      <w:r w:rsidR="00445A2F">
        <w:t xml:space="preserve">CNSC and </w:t>
      </w:r>
      <w:r w:rsidR="00871B8D">
        <w:t>USNRC</w:t>
      </w:r>
      <w:r w:rsidR="00445A2F">
        <w:t xml:space="preserve"> have exchanged staff on a part-time or full-time basis.  By embedding staff in the other regulatory agency, the staff </w:t>
      </w:r>
      <w:r w:rsidR="007C252C">
        <w:t>were</w:t>
      </w:r>
      <w:r w:rsidR="00445A2F">
        <w:t xml:space="preserve"> able to </w:t>
      </w:r>
      <w:r w:rsidR="001F4DF0">
        <w:t>perform joint reviews</w:t>
      </w:r>
      <w:r w:rsidR="00445A2F">
        <w:t xml:space="preserve"> </w:t>
      </w:r>
      <w:r w:rsidR="001F4DF0">
        <w:t xml:space="preserve">even more effectively </w:t>
      </w:r>
      <w:r w:rsidR="00445A2F">
        <w:t xml:space="preserve">while learning </w:t>
      </w:r>
      <w:r w:rsidR="003576A6">
        <w:t xml:space="preserve">how the other agency operates </w:t>
      </w:r>
      <w:r w:rsidR="007C252C">
        <w:t xml:space="preserve">which will </w:t>
      </w:r>
      <w:r w:rsidR="003576A6">
        <w:t xml:space="preserve">enhance future collaboration. </w:t>
      </w:r>
    </w:p>
    <w:p w14:paraId="1066748E" w14:textId="3353840B" w:rsidR="00896639" w:rsidRDefault="00896639" w:rsidP="00127661">
      <w:pPr>
        <w:pStyle w:val="BodyText"/>
      </w:pPr>
    </w:p>
    <w:p w14:paraId="2940FA8A" w14:textId="486198F5" w:rsidR="00C36728" w:rsidRDefault="009E1594" w:rsidP="00896639">
      <w:pPr>
        <w:pStyle w:val="BodyText"/>
      </w:pPr>
      <w:r>
        <w:t xml:space="preserve">In addition, several intangible benefits have been realized from the joint reviews. </w:t>
      </w:r>
      <w:r w:rsidR="00242D7E">
        <w:t xml:space="preserve">The structure of the MOC provides for </w:t>
      </w:r>
      <w:r w:rsidR="00014AAA">
        <w:t xml:space="preserve">direct access to staff in each agency without </w:t>
      </w:r>
      <w:r w:rsidR="007C476E">
        <w:t>constraints.</w:t>
      </w:r>
      <w:r w:rsidR="00D273AE">
        <w:t xml:space="preserve">  </w:t>
      </w:r>
      <w:r w:rsidR="00140E59">
        <w:t>The MOC</w:t>
      </w:r>
      <w:r w:rsidR="00BA162F">
        <w:t xml:space="preserve"> specifies that</w:t>
      </w:r>
      <w:r w:rsidR="00BA162F" w:rsidRPr="0035738C">
        <w:t xml:space="preserve"> information </w:t>
      </w:r>
      <w:r w:rsidR="00BA162F">
        <w:t xml:space="preserve">shared </w:t>
      </w:r>
      <w:r w:rsidR="00BA162F" w:rsidRPr="0035738C">
        <w:t>under th</w:t>
      </w:r>
      <w:r w:rsidR="00BA162F">
        <w:t>e</w:t>
      </w:r>
      <w:r w:rsidR="00BA162F" w:rsidRPr="0035738C">
        <w:t xml:space="preserve"> MOC </w:t>
      </w:r>
      <w:r w:rsidR="00BA162F">
        <w:rPr>
          <w:color w:val="2D2D2B"/>
          <w:w w:val="105"/>
          <w:sz w:val="21"/>
        </w:rPr>
        <w:t>is</w:t>
      </w:r>
      <w:r w:rsidR="00BA162F" w:rsidRPr="0035738C">
        <w:t xml:space="preserve"> protected consistent with</w:t>
      </w:r>
      <w:r w:rsidR="00BA162F" w:rsidRPr="0035738C">
        <w:rPr>
          <w:spacing w:val="-1"/>
        </w:rPr>
        <w:t xml:space="preserve"> </w:t>
      </w:r>
      <w:r w:rsidR="00BA162F" w:rsidRPr="0035738C">
        <w:t>the</w:t>
      </w:r>
      <w:r w:rsidR="00BA162F" w:rsidRPr="0035738C">
        <w:rPr>
          <w:spacing w:val="-4"/>
        </w:rPr>
        <w:t xml:space="preserve"> </w:t>
      </w:r>
      <w:r w:rsidR="00BA162F" w:rsidRPr="0035738C">
        <w:t>terms</w:t>
      </w:r>
      <w:r w:rsidR="00BA162F" w:rsidRPr="0035738C">
        <w:rPr>
          <w:spacing w:val="-4"/>
        </w:rPr>
        <w:t xml:space="preserve"> </w:t>
      </w:r>
      <w:r w:rsidR="00BA162F" w:rsidRPr="0035738C">
        <w:t>of</w:t>
      </w:r>
      <w:r w:rsidR="00BA162F" w:rsidRPr="0035738C">
        <w:rPr>
          <w:spacing w:val="-1"/>
        </w:rPr>
        <w:t xml:space="preserve"> </w:t>
      </w:r>
      <w:r w:rsidR="00BA162F" w:rsidRPr="0035738C">
        <w:t>the</w:t>
      </w:r>
      <w:r w:rsidR="00BA162F" w:rsidRPr="0035738C">
        <w:rPr>
          <w:spacing w:val="-2"/>
        </w:rPr>
        <w:t xml:space="preserve"> </w:t>
      </w:r>
      <w:r w:rsidR="00BA162F" w:rsidRPr="0035738C">
        <w:t>M</w:t>
      </w:r>
      <w:r w:rsidR="00F57B5B">
        <w:t>emorandum of Understanding</w:t>
      </w:r>
      <w:r w:rsidR="00BA162F">
        <w:t xml:space="preserve"> between the regulators which provides for the secure exchange of proprietary and protected information consistent with import/export license. </w:t>
      </w:r>
      <w:r w:rsidR="00140E59">
        <w:t xml:space="preserve"> </w:t>
      </w:r>
      <w:r w:rsidR="00D273AE">
        <w:t>Working groups of staff in each agency are formed to</w:t>
      </w:r>
      <w:r w:rsidR="00626628">
        <w:t xml:space="preserve"> evaluate an aspect of the design</w:t>
      </w:r>
      <w:r w:rsidR="009C0AA1">
        <w:t xml:space="preserve"> and the working group members communicate frequently</w:t>
      </w:r>
      <w:r w:rsidR="00201719">
        <w:t xml:space="preserve"> and openly.  The working group members in each country have access to the same information and </w:t>
      </w:r>
      <w:r w:rsidR="000F1261">
        <w:t xml:space="preserve">are treated as one </w:t>
      </w:r>
      <w:r w:rsidR="00AD6333">
        <w:t xml:space="preserve">staff technical </w:t>
      </w:r>
      <w:r w:rsidR="000F1261">
        <w:t>organization</w:t>
      </w:r>
      <w:r w:rsidR="000E3C92">
        <w:t xml:space="preserve">.  </w:t>
      </w:r>
      <w:r w:rsidR="003006B5">
        <w:t>S</w:t>
      </w:r>
      <w:r w:rsidR="00D169E4">
        <w:t>taff inform each other of positions issued and any differences in approach proposed by the applicants in each country.</w:t>
      </w:r>
      <w:r w:rsidR="00FE5BA1">
        <w:t xml:space="preserve">  This real time exchange of information provides important awareness</w:t>
      </w:r>
      <w:r w:rsidR="00C36728">
        <w:t xml:space="preserve"> and</w:t>
      </w:r>
      <w:r w:rsidR="00FE5BA1">
        <w:t xml:space="preserve"> </w:t>
      </w:r>
      <w:r w:rsidR="00C36728">
        <w:t xml:space="preserve">enhances consistency in positions taken. </w:t>
      </w:r>
    </w:p>
    <w:p w14:paraId="5CAA1A28" w14:textId="77777777" w:rsidR="00962D13" w:rsidRDefault="00962D13" w:rsidP="00896639">
      <w:pPr>
        <w:pStyle w:val="BodyText"/>
      </w:pPr>
    </w:p>
    <w:p w14:paraId="5349C9E8" w14:textId="670F824F" w:rsidR="002724ED" w:rsidRDefault="00C36728" w:rsidP="009F1F1B">
      <w:pPr>
        <w:pStyle w:val="BodyText"/>
      </w:pPr>
      <w:r>
        <w:t xml:space="preserve">The frequent interaction between staff in each agency has </w:t>
      </w:r>
      <w:r w:rsidR="004313C8">
        <w:t xml:space="preserve">enhanced the confidence in the other’s technical ability and a greater understanding of decisions made. This increased confidence </w:t>
      </w:r>
      <w:r w:rsidR="00364741">
        <w:t>enhance</w:t>
      </w:r>
      <w:r w:rsidR="0064648D">
        <w:t>s</w:t>
      </w:r>
      <w:r w:rsidR="00364741">
        <w:t xml:space="preserve"> the </w:t>
      </w:r>
      <w:r w:rsidR="00B446A1">
        <w:t>prospect</w:t>
      </w:r>
      <w:r w:rsidR="00364741">
        <w:t xml:space="preserve"> of </w:t>
      </w:r>
      <w:r w:rsidR="009B7944">
        <w:t>one</w:t>
      </w:r>
      <w:r w:rsidR="00364741">
        <w:t xml:space="preserve"> country adopting the findings of the other. </w:t>
      </w:r>
      <w:r>
        <w:t xml:space="preserve"> </w:t>
      </w:r>
      <w:r w:rsidR="00481532">
        <w:t xml:space="preserve">For applicants, successful collaboration among the regulators </w:t>
      </w:r>
      <w:r w:rsidR="00DF5A5B">
        <w:t>provides i</w:t>
      </w:r>
      <w:r w:rsidR="00896639">
        <w:t>mproved confidence in the ability to license their design in multiple countries</w:t>
      </w:r>
      <w:r w:rsidR="00DF5A5B">
        <w:t xml:space="preserve"> and greater regulatory certainty. </w:t>
      </w:r>
    </w:p>
    <w:p w14:paraId="66391EFC" w14:textId="77777777" w:rsidR="002724ED" w:rsidRDefault="002724ED" w:rsidP="00896639">
      <w:pPr>
        <w:pStyle w:val="BodyText"/>
      </w:pPr>
    </w:p>
    <w:p w14:paraId="5E373D16" w14:textId="798BBD34" w:rsidR="00BD4ABF" w:rsidRDefault="00BD4ABF" w:rsidP="00BD4ABF">
      <w:pPr>
        <w:pStyle w:val="Heading2"/>
        <w:numPr>
          <w:ilvl w:val="1"/>
          <w:numId w:val="10"/>
        </w:numPr>
      </w:pPr>
      <w:r>
        <w:lastRenderedPageBreak/>
        <w:t>lessons learned, best practices and improvements</w:t>
      </w:r>
    </w:p>
    <w:p w14:paraId="0BA334D0" w14:textId="234F8228" w:rsidR="004A2D0A" w:rsidRDefault="004A2D0A" w:rsidP="00BD4ABF">
      <w:pPr>
        <w:pStyle w:val="BodyText"/>
      </w:pPr>
      <w:r w:rsidRPr="004A2D0A">
        <w:t xml:space="preserve">This cooperation has enabled </w:t>
      </w:r>
      <w:r w:rsidR="001378E4">
        <w:t xml:space="preserve">CNSC and the </w:t>
      </w:r>
      <w:r w:rsidR="00871B8D">
        <w:t>USNRC</w:t>
      </w:r>
      <w:r w:rsidRPr="004A2D0A">
        <w:t xml:space="preserve"> to gain valuable insights into the benefits, as well as complexities, associated with joint reviews. </w:t>
      </w:r>
      <w:r w:rsidR="006F5984">
        <w:t xml:space="preserve">CNSC and </w:t>
      </w:r>
      <w:r w:rsidR="00871B8D">
        <w:t>USNRC</w:t>
      </w:r>
      <w:r w:rsidR="006F5984">
        <w:t xml:space="preserve"> staff </w:t>
      </w:r>
      <w:r w:rsidRPr="004A2D0A">
        <w:t>are continually identifying lessons learned to improve this first of a kind cooperation and expect that successful implementation of this collaboration can be a model for other regulators to follow.</w:t>
      </w:r>
      <w:r w:rsidR="00A31702">
        <w:t xml:space="preserve"> Below are some best practices that </w:t>
      </w:r>
      <w:r w:rsidR="004F2F70">
        <w:t xml:space="preserve">are being used to improve </w:t>
      </w:r>
      <w:r w:rsidR="00E437DA">
        <w:t>the</w:t>
      </w:r>
      <w:r w:rsidR="004F2F70">
        <w:t xml:space="preserve"> collaboration</w:t>
      </w:r>
      <w:r w:rsidR="00E437DA">
        <w:t>.</w:t>
      </w:r>
    </w:p>
    <w:p w14:paraId="7BA5F870" w14:textId="77777777" w:rsidR="000F07D6" w:rsidRDefault="000F07D6" w:rsidP="000F07D6"/>
    <w:p w14:paraId="2F4C42B6" w14:textId="04ACFE57" w:rsidR="00EE398E" w:rsidRPr="00D85737" w:rsidRDefault="00EE398E" w:rsidP="000F07D6">
      <w:pPr>
        <w:rPr>
          <w:sz w:val="20"/>
        </w:rPr>
      </w:pPr>
      <w:r w:rsidRPr="00D85737">
        <w:rPr>
          <w:sz w:val="20"/>
        </w:rPr>
        <w:t xml:space="preserve">3.1 </w:t>
      </w:r>
      <w:r w:rsidR="000F07D6" w:rsidRPr="00D85737">
        <w:rPr>
          <w:sz w:val="20"/>
        </w:rPr>
        <w:t>Project Selection</w:t>
      </w:r>
    </w:p>
    <w:p w14:paraId="1602CF73" w14:textId="77777777" w:rsidR="000F07D6" w:rsidRDefault="000F07D6" w:rsidP="000F07D6"/>
    <w:p w14:paraId="082F4E3C" w14:textId="0561405D" w:rsidR="00BD4ABF" w:rsidRPr="0070444D" w:rsidRDefault="006971E5" w:rsidP="00F57B5B">
      <w:pPr>
        <w:ind w:firstLine="567"/>
        <w:jc w:val="both"/>
        <w:rPr>
          <w:sz w:val="20"/>
        </w:rPr>
      </w:pPr>
      <w:r w:rsidRPr="0070444D">
        <w:rPr>
          <w:sz w:val="20"/>
        </w:rPr>
        <w:t xml:space="preserve">A critical </w:t>
      </w:r>
      <w:r w:rsidR="00291C9F" w:rsidRPr="0070444D">
        <w:rPr>
          <w:sz w:val="20"/>
        </w:rPr>
        <w:t>element of</w:t>
      </w:r>
      <w:r w:rsidRPr="0070444D">
        <w:rPr>
          <w:sz w:val="20"/>
        </w:rPr>
        <w:t xml:space="preserve"> effective cooperation is choosing the </w:t>
      </w:r>
      <w:r w:rsidR="00A97F29" w:rsidRPr="0070444D">
        <w:rPr>
          <w:sz w:val="20"/>
        </w:rPr>
        <w:t xml:space="preserve">right projects.  </w:t>
      </w:r>
      <w:r w:rsidR="00365912" w:rsidRPr="0070444D">
        <w:rPr>
          <w:sz w:val="20"/>
        </w:rPr>
        <w:t>The timing of vendor submittals</w:t>
      </w:r>
      <w:r w:rsidR="00094AB0" w:rsidRPr="0070444D">
        <w:rPr>
          <w:sz w:val="20"/>
        </w:rPr>
        <w:t xml:space="preserve"> to each regulator</w:t>
      </w:r>
      <w:r w:rsidR="00A4270A" w:rsidRPr="0070444D">
        <w:rPr>
          <w:sz w:val="20"/>
        </w:rPr>
        <w:t xml:space="preserve"> </w:t>
      </w:r>
      <w:r w:rsidR="00365912" w:rsidRPr="0070444D">
        <w:rPr>
          <w:sz w:val="20"/>
        </w:rPr>
        <w:t xml:space="preserve">will impact whether the activity will be mutually beneficial to </w:t>
      </w:r>
      <w:r w:rsidR="000F4B46">
        <w:rPr>
          <w:sz w:val="20"/>
        </w:rPr>
        <w:t>all</w:t>
      </w:r>
      <w:r w:rsidR="00365912" w:rsidRPr="0070444D">
        <w:rPr>
          <w:sz w:val="20"/>
        </w:rPr>
        <w:t xml:space="preserve"> regulators.  </w:t>
      </w:r>
      <w:r w:rsidR="00094AB0" w:rsidRPr="0070444D">
        <w:rPr>
          <w:sz w:val="20"/>
        </w:rPr>
        <w:t xml:space="preserve">Submissions should be aligned in timing for the most effective cooperation. </w:t>
      </w:r>
      <w:r w:rsidR="00365912" w:rsidRPr="0070444D">
        <w:rPr>
          <w:sz w:val="20"/>
        </w:rPr>
        <w:t xml:space="preserve"> For </w:t>
      </w:r>
      <w:r w:rsidR="00BA162F">
        <w:rPr>
          <w:sz w:val="20"/>
        </w:rPr>
        <w:t xml:space="preserve">designs which are at significantly different stages of </w:t>
      </w:r>
      <w:r w:rsidR="00E753BC">
        <w:rPr>
          <w:sz w:val="20"/>
        </w:rPr>
        <w:t>review</w:t>
      </w:r>
      <w:r w:rsidR="00BA162F">
        <w:rPr>
          <w:sz w:val="20"/>
        </w:rPr>
        <w:t xml:space="preserve"> in each country,</w:t>
      </w:r>
      <w:r w:rsidR="00365912" w:rsidRPr="0070444D">
        <w:rPr>
          <w:sz w:val="20"/>
        </w:rPr>
        <w:t xml:space="preserve"> the focus </w:t>
      </w:r>
      <w:r w:rsidR="00BA162F">
        <w:rPr>
          <w:sz w:val="20"/>
        </w:rPr>
        <w:t xml:space="preserve">of collaboration </w:t>
      </w:r>
      <w:r w:rsidR="003E19B8">
        <w:rPr>
          <w:sz w:val="20"/>
        </w:rPr>
        <w:t xml:space="preserve">will be </w:t>
      </w:r>
      <w:r w:rsidR="00365912" w:rsidRPr="0070444D">
        <w:rPr>
          <w:sz w:val="20"/>
        </w:rPr>
        <w:t>on information sharing, rather than developing joint observations.</w:t>
      </w:r>
      <w:r w:rsidR="00094AB0" w:rsidRPr="0070444D">
        <w:rPr>
          <w:rStyle w:val="cf01"/>
          <w:rFonts w:ascii="Times New Roman" w:hAnsi="Times New Roman" w:cs="Times New Roman"/>
          <w:sz w:val="20"/>
          <w:szCs w:val="20"/>
        </w:rPr>
        <w:t xml:space="preserve"> </w:t>
      </w:r>
      <w:r w:rsidR="00F36D6D" w:rsidRPr="0070444D">
        <w:rPr>
          <w:rStyle w:val="cf01"/>
          <w:rFonts w:ascii="Times New Roman" w:hAnsi="Times New Roman" w:cs="Times New Roman"/>
          <w:sz w:val="20"/>
          <w:szCs w:val="20"/>
        </w:rPr>
        <w:t xml:space="preserve"> </w:t>
      </w:r>
      <w:r w:rsidR="005B46A1" w:rsidRPr="0070444D">
        <w:rPr>
          <w:rStyle w:val="cf01"/>
          <w:rFonts w:ascii="Times New Roman" w:hAnsi="Times New Roman" w:cs="Times New Roman"/>
          <w:sz w:val="20"/>
          <w:szCs w:val="20"/>
        </w:rPr>
        <w:t xml:space="preserve">Prior to embarking on a joint project, both regulators </w:t>
      </w:r>
      <w:r w:rsidR="003E19B8">
        <w:rPr>
          <w:rStyle w:val="cf01"/>
          <w:rFonts w:ascii="Times New Roman" w:hAnsi="Times New Roman" w:cs="Times New Roman"/>
          <w:sz w:val="20"/>
          <w:szCs w:val="20"/>
        </w:rPr>
        <w:t xml:space="preserve">ensure </w:t>
      </w:r>
      <w:r w:rsidR="005B46A1" w:rsidRPr="0070444D">
        <w:rPr>
          <w:rStyle w:val="cf01"/>
          <w:rFonts w:ascii="Times New Roman" w:hAnsi="Times New Roman" w:cs="Times New Roman"/>
          <w:sz w:val="20"/>
          <w:szCs w:val="20"/>
        </w:rPr>
        <w:t>that they have</w:t>
      </w:r>
      <w:r w:rsidR="0068502C" w:rsidRPr="0070444D">
        <w:rPr>
          <w:rStyle w:val="cf01"/>
          <w:rFonts w:ascii="Times New Roman" w:hAnsi="Times New Roman" w:cs="Times New Roman"/>
          <w:sz w:val="20"/>
          <w:szCs w:val="20"/>
        </w:rPr>
        <w:t xml:space="preserve"> </w:t>
      </w:r>
      <w:r w:rsidR="00094AB0" w:rsidRPr="0070444D">
        <w:rPr>
          <w:rStyle w:val="cf01"/>
          <w:rFonts w:ascii="Times New Roman" w:hAnsi="Times New Roman" w:cs="Times New Roman"/>
          <w:sz w:val="20"/>
          <w:szCs w:val="20"/>
        </w:rPr>
        <w:t xml:space="preserve">dedicated resources to make the joint review successful, and that the schedules and resources needed on each side are not increased </w:t>
      </w:r>
      <w:proofErr w:type="gramStart"/>
      <w:r w:rsidR="00094AB0" w:rsidRPr="0070444D">
        <w:rPr>
          <w:rStyle w:val="cf01"/>
          <w:rFonts w:ascii="Times New Roman" w:hAnsi="Times New Roman" w:cs="Times New Roman"/>
          <w:sz w:val="20"/>
          <w:szCs w:val="20"/>
        </w:rPr>
        <w:t>as a result of</w:t>
      </w:r>
      <w:proofErr w:type="gramEnd"/>
      <w:r w:rsidR="00094AB0" w:rsidRPr="0070444D">
        <w:rPr>
          <w:rStyle w:val="cf01"/>
          <w:rFonts w:ascii="Times New Roman" w:hAnsi="Times New Roman" w:cs="Times New Roman"/>
          <w:sz w:val="20"/>
          <w:szCs w:val="20"/>
        </w:rPr>
        <w:t xml:space="preserve"> the collaboration.   </w:t>
      </w:r>
      <w:r w:rsidR="00B00AAC" w:rsidRPr="0070444D">
        <w:rPr>
          <w:rStyle w:val="cf01"/>
          <w:rFonts w:ascii="Times New Roman" w:hAnsi="Times New Roman" w:cs="Times New Roman"/>
          <w:sz w:val="20"/>
          <w:szCs w:val="20"/>
        </w:rPr>
        <w:t xml:space="preserve">The schedule for the joint review and </w:t>
      </w:r>
      <w:r w:rsidR="000A30AC" w:rsidRPr="0070444D">
        <w:rPr>
          <w:rStyle w:val="cf01"/>
          <w:rFonts w:ascii="Times New Roman" w:hAnsi="Times New Roman" w:cs="Times New Roman"/>
          <w:sz w:val="20"/>
          <w:szCs w:val="20"/>
        </w:rPr>
        <w:t>issuance</w:t>
      </w:r>
      <w:r w:rsidR="00B00AAC" w:rsidRPr="0070444D">
        <w:rPr>
          <w:rStyle w:val="cf01"/>
          <w:rFonts w:ascii="Times New Roman" w:hAnsi="Times New Roman" w:cs="Times New Roman"/>
          <w:sz w:val="20"/>
          <w:szCs w:val="20"/>
        </w:rPr>
        <w:t xml:space="preserve"> of a joint report</w:t>
      </w:r>
      <w:r w:rsidR="000A30AC" w:rsidRPr="0070444D">
        <w:rPr>
          <w:rStyle w:val="cf01"/>
          <w:rFonts w:ascii="Times New Roman" w:hAnsi="Times New Roman" w:cs="Times New Roman"/>
          <w:sz w:val="20"/>
          <w:szCs w:val="20"/>
        </w:rPr>
        <w:t xml:space="preserve"> is developed to support the licensing needs in each country.  </w:t>
      </w:r>
      <w:r w:rsidR="001D2C4A">
        <w:rPr>
          <w:rStyle w:val="cf01"/>
          <w:rFonts w:ascii="Times New Roman" w:hAnsi="Times New Roman" w:cs="Times New Roman"/>
          <w:sz w:val="20"/>
          <w:szCs w:val="20"/>
        </w:rPr>
        <w:t>J</w:t>
      </w:r>
      <w:r w:rsidR="002D4885" w:rsidRPr="0070444D">
        <w:rPr>
          <w:sz w:val="20"/>
        </w:rPr>
        <w:t>oint reports are issued separately from licensing documents</w:t>
      </w:r>
      <w:r w:rsidR="008C729D" w:rsidRPr="0070444D">
        <w:rPr>
          <w:sz w:val="20"/>
        </w:rPr>
        <w:t xml:space="preserve">, ensuring that the regulators retain authority for making licensing decisions in their country while leveraging the joint work. </w:t>
      </w:r>
    </w:p>
    <w:p w14:paraId="1132412B" w14:textId="77777777" w:rsidR="00172828" w:rsidRDefault="00172828" w:rsidP="00F57B5B">
      <w:pPr>
        <w:pStyle w:val="BodyText"/>
      </w:pPr>
    </w:p>
    <w:p w14:paraId="0FA5D4CD" w14:textId="73C08CF6" w:rsidR="004742A5" w:rsidRDefault="00B14020" w:rsidP="004742A5">
      <w:pPr>
        <w:pStyle w:val="BodyText"/>
      </w:pPr>
      <w:r>
        <w:t>A</w:t>
      </w:r>
      <w:r w:rsidR="004742A5" w:rsidRPr="001C68D1">
        <w:t xml:space="preserve"> Strategic Working Group</w:t>
      </w:r>
      <w:r>
        <w:t xml:space="preserve"> </w:t>
      </w:r>
      <w:r w:rsidR="004742A5" w:rsidRPr="001C68D1">
        <w:t>developed a prioritized list of projects (both current and future) and meets on a regular basis to review the list and consider if additional projects should be added. The Strategic Plan includes a defined list of goals and priorities and is</w:t>
      </w:r>
      <w:r w:rsidR="00BF470B">
        <w:t xml:space="preserve"> reviewed frequently and</w:t>
      </w:r>
      <w:r w:rsidR="00C46FCC">
        <w:t xml:space="preserve"> communicated to </w:t>
      </w:r>
      <w:r w:rsidR="00BF470B">
        <w:t>senior management in both agencies</w:t>
      </w:r>
      <w:r w:rsidR="004742A5" w:rsidRPr="001C68D1">
        <w:t>. The strategic plan</w:t>
      </w:r>
      <w:r w:rsidR="00F23E8C">
        <w:t xml:space="preserve"> </w:t>
      </w:r>
      <w:r w:rsidR="004742A5" w:rsidRPr="001C68D1">
        <w:t>helps manage multiple projects at a time and establish a prioritization of potential projects for the future.</w:t>
      </w:r>
    </w:p>
    <w:p w14:paraId="12ED4D0E" w14:textId="77777777" w:rsidR="00893988" w:rsidRPr="00893988" w:rsidRDefault="00893988" w:rsidP="008C729D">
      <w:pPr>
        <w:pStyle w:val="ListParagraph"/>
        <w:ind w:left="1127"/>
        <w:rPr>
          <w:b/>
          <w:bCs/>
        </w:rPr>
      </w:pPr>
    </w:p>
    <w:p w14:paraId="192F8248" w14:textId="77777777" w:rsidR="005D5C37" w:rsidRDefault="005D5C37" w:rsidP="005D5C37">
      <w:pPr>
        <w:pStyle w:val="BodyText"/>
        <w:ind w:left="1127" w:firstLine="0"/>
      </w:pPr>
    </w:p>
    <w:p w14:paraId="32620C8D" w14:textId="77777777" w:rsidR="008C3A1D" w:rsidRDefault="008C3A1D" w:rsidP="008C3A1D">
      <w:pPr>
        <w:pStyle w:val="BodyText"/>
        <w:ind w:firstLine="0"/>
      </w:pPr>
      <w:r>
        <w:t>3.2 Effec</w:t>
      </w:r>
      <w:r w:rsidR="00BD4ABF">
        <w:t xml:space="preserve">tive communication </w:t>
      </w:r>
    </w:p>
    <w:p w14:paraId="667E1E1F" w14:textId="77777777" w:rsidR="008C3A1D" w:rsidRDefault="008C3A1D" w:rsidP="008C3A1D">
      <w:pPr>
        <w:pStyle w:val="BodyText"/>
        <w:ind w:firstLine="0"/>
      </w:pPr>
    </w:p>
    <w:p w14:paraId="19D91417" w14:textId="39247262" w:rsidR="00BD4ABF" w:rsidRDefault="00034F94" w:rsidP="008C3A1D">
      <w:pPr>
        <w:pStyle w:val="BodyText"/>
      </w:pPr>
      <w:r>
        <w:t>Effective</w:t>
      </w:r>
      <w:r w:rsidR="008C3A1D">
        <w:t xml:space="preserve"> </w:t>
      </w:r>
      <w:r w:rsidR="00F57B5B">
        <w:t>c</w:t>
      </w:r>
      <w:r w:rsidR="008C3A1D">
        <w:t xml:space="preserve">ommunication </w:t>
      </w:r>
      <w:r w:rsidR="00BD4ABF">
        <w:t>with all parties before and throughout reviews maximize</w:t>
      </w:r>
      <w:r w:rsidR="008C729D">
        <w:t>s</w:t>
      </w:r>
      <w:r w:rsidR="00BD4ABF">
        <w:t xml:space="preserve"> the benefits of cooperation</w:t>
      </w:r>
      <w:r w:rsidR="005B15E0">
        <w:t>.</w:t>
      </w:r>
      <w:r w:rsidR="009E12D2">
        <w:t xml:space="preserve">  A</w:t>
      </w:r>
      <w:r w:rsidR="005B15E0" w:rsidRPr="005B15E0">
        <w:t>lignment through multi-party meetings that include all utilities, vendors</w:t>
      </w:r>
      <w:r w:rsidR="00F57B5B">
        <w:t>,</w:t>
      </w:r>
      <w:r w:rsidR="005B15E0" w:rsidRPr="005B15E0">
        <w:t xml:space="preserve"> and regulators for a specific design prior to submittals ensures that the topics chosen for joint reviews will benefit all parties and the same information is provided to each regulator. These communications </w:t>
      </w:r>
      <w:r w:rsidR="009E12D2">
        <w:t>are</w:t>
      </w:r>
      <w:r w:rsidR="005B15E0" w:rsidRPr="005B15E0">
        <w:t xml:space="preserve"> held periodically throughout the collaborative review. For example, discussions that led to development of the BWRX-300 charter were successful in defining the scope of the projects. In addition, routine meetings of the </w:t>
      </w:r>
      <w:r w:rsidR="0070444D">
        <w:t>6</w:t>
      </w:r>
      <w:r w:rsidR="005B15E0" w:rsidRPr="005B15E0">
        <w:t xml:space="preserve">-parties (CNSC, </w:t>
      </w:r>
      <w:r w:rsidR="00871B8D">
        <w:t>USNRC</w:t>
      </w:r>
      <w:r w:rsidR="005B15E0" w:rsidRPr="005B15E0">
        <w:t xml:space="preserve">, </w:t>
      </w:r>
      <w:r w:rsidR="0070444D">
        <w:t xml:space="preserve">ONR, </w:t>
      </w:r>
      <w:r w:rsidR="005B15E0" w:rsidRPr="005B15E0">
        <w:t>GEH, OPG and TVA) are beneficial in aligning all participants throughout project development and implementation.</w:t>
      </w:r>
    </w:p>
    <w:p w14:paraId="7FBEA0C5" w14:textId="77777777" w:rsidR="004742A5" w:rsidRDefault="004742A5" w:rsidP="004742A5">
      <w:pPr>
        <w:pStyle w:val="BodyText"/>
        <w:ind w:firstLine="0"/>
      </w:pPr>
    </w:p>
    <w:p w14:paraId="68408C95" w14:textId="3DCE50D1" w:rsidR="004742A5" w:rsidRDefault="004742A5" w:rsidP="004742A5">
      <w:pPr>
        <w:pStyle w:val="BodyText"/>
        <w:ind w:firstLine="0"/>
      </w:pPr>
      <w:r>
        <w:t xml:space="preserve">3.3 </w:t>
      </w:r>
      <w:r w:rsidR="00BD4ABF">
        <w:t xml:space="preserve">Access to </w:t>
      </w:r>
      <w:r w:rsidR="00713757">
        <w:t>information</w:t>
      </w:r>
      <w:r w:rsidR="00BD4ABF">
        <w:t xml:space="preserve"> </w:t>
      </w:r>
    </w:p>
    <w:p w14:paraId="4B166A41" w14:textId="77777777" w:rsidR="004742A5" w:rsidRDefault="004742A5" w:rsidP="004742A5">
      <w:pPr>
        <w:pStyle w:val="BodyText"/>
        <w:ind w:firstLine="0"/>
      </w:pPr>
    </w:p>
    <w:p w14:paraId="4FDCAC23" w14:textId="006009E2" w:rsidR="00BD4ABF" w:rsidRDefault="00644251" w:rsidP="004742A5">
      <w:pPr>
        <w:pStyle w:val="BodyText"/>
      </w:pPr>
      <w:r w:rsidRPr="00644251">
        <w:t>Consistent access by regulators to vendors’ documents is necessary to ensure an efficient collaborative review.  Protocols</w:t>
      </w:r>
      <w:r w:rsidR="003B14BD">
        <w:t xml:space="preserve"> </w:t>
      </w:r>
      <w:r w:rsidR="00466088">
        <w:t xml:space="preserve">have been </w:t>
      </w:r>
      <w:r w:rsidRPr="00644251">
        <w:t xml:space="preserve">developed to ensure equal access by regulators to vendors’ documents, including proprietary information.  Any documents that are relied on for licensing purposes </w:t>
      </w:r>
      <w:r w:rsidR="00946AA2">
        <w:t>are</w:t>
      </w:r>
      <w:r w:rsidRPr="00644251">
        <w:t xml:space="preserve"> submitted by vendors to the regulator that is making the regulatory finding</w:t>
      </w:r>
      <w:r w:rsidR="00F57B5B">
        <w:t xml:space="preserve"> and</w:t>
      </w:r>
      <w:r w:rsidRPr="00644251">
        <w:t xml:space="preserve"> </w:t>
      </w:r>
      <w:r w:rsidR="00817262">
        <w:t>MOC</w:t>
      </w:r>
      <w:r w:rsidR="00902E94" w:rsidRPr="00902E94">
        <w:t xml:space="preserve"> protocols </w:t>
      </w:r>
      <w:r w:rsidR="00817262">
        <w:t>require</w:t>
      </w:r>
      <w:r w:rsidR="00902E94" w:rsidRPr="00902E94">
        <w:t xml:space="preserve"> vendors to </w:t>
      </w:r>
      <w:r w:rsidR="00F57B5B">
        <w:t xml:space="preserve">also </w:t>
      </w:r>
      <w:r w:rsidR="00902E94" w:rsidRPr="00902E94">
        <w:t xml:space="preserve">provide </w:t>
      </w:r>
      <w:r w:rsidR="00C910D5">
        <w:t xml:space="preserve">these </w:t>
      </w:r>
      <w:r w:rsidR="00902E94" w:rsidRPr="00902E94">
        <w:t xml:space="preserve">documents to </w:t>
      </w:r>
      <w:r w:rsidR="00A97B5C">
        <w:t xml:space="preserve">the other </w:t>
      </w:r>
      <w:r w:rsidR="00902E94" w:rsidRPr="00902E94">
        <w:t>regulators</w:t>
      </w:r>
      <w:r w:rsidR="00B5591E">
        <w:t xml:space="preserve"> involved in the collaborative review</w:t>
      </w:r>
      <w:r w:rsidR="00902E94" w:rsidRPr="00902E94">
        <w:t>.  The vendor is responsible for ensuring that each regulator has the information that is within the scope of collaboration submitted via the appropriate submission processes</w:t>
      </w:r>
      <w:r w:rsidR="00F57B5B">
        <w:t>. P</w:t>
      </w:r>
      <w:r w:rsidR="00902E94" w:rsidRPr="00902E94">
        <w:t>roject leads verify that both regulators have the same vendor information.</w:t>
      </w:r>
      <w:r w:rsidR="00A97B5C" w:rsidRPr="00A97B5C">
        <w:t xml:space="preserve"> </w:t>
      </w:r>
      <w:r w:rsidR="00A97B5C">
        <w:t>The MOC and related MOUs provide controls to ensure that when sensitive information is provided by the vendors, it is appropriately protected.</w:t>
      </w:r>
    </w:p>
    <w:p w14:paraId="4311B354" w14:textId="77777777" w:rsidR="00B63FB3" w:rsidRDefault="00B63FB3" w:rsidP="00BD4ABF">
      <w:pPr>
        <w:pStyle w:val="BodyText"/>
      </w:pPr>
    </w:p>
    <w:p w14:paraId="76D9B49E" w14:textId="32097940" w:rsidR="00A076C0" w:rsidRDefault="00251961" w:rsidP="00A076C0">
      <w:pPr>
        <w:pStyle w:val="BodyText"/>
        <w:ind w:firstLine="0"/>
      </w:pPr>
      <w:proofErr w:type="gramStart"/>
      <w:r>
        <w:t xml:space="preserve">3.4 </w:t>
      </w:r>
      <w:r w:rsidR="00652DD6">
        <w:t xml:space="preserve"> </w:t>
      </w:r>
      <w:r w:rsidR="00BD4ABF">
        <w:t>Familiarity</w:t>
      </w:r>
      <w:proofErr w:type="gramEnd"/>
      <w:r w:rsidR="00BD4ABF">
        <w:t xml:space="preserve"> with requirements, practices and experience</w:t>
      </w:r>
    </w:p>
    <w:p w14:paraId="3D1733CD" w14:textId="77777777" w:rsidR="00A076C0" w:rsidRDefault="00A076C0" w:rsidP="00A076C0">
      <w:pPr>
        <w:pStyle w:val="BodyText"/>
        <w:ind w:firstLine="0"/>
      </w:pPr>
    </w:p>
    <w:p w14:paraId="15A044F3" w14:textId="455D2215" w:rsidR="00BD4ABF" w:rsidRDefault="001B5507" w:rsidP="00BF6CB3">
      <w:pPr>
        <w:pStyle w:val="BodyText"/>
      </w:pPr>
      <w:proofErr w:type="gramStart"/>
      <w:r>
        <w:t>Having an</w:t>
      </w:r>
      <w:r w:rsidR="00BF6CB3">
        <w:t xml:space="preserve"> understanding of</w:t>
      </w:r>
      <w:proofErr w:type="gramEnd"/>
      <w:r w:rsidR="00BF6CB3">
        <w:t xml:space="preserve"> both regulatory frameworks</w:t>
      </w:r>
      <w:r w:rsidR="00413ED9">
        <w:t xml:space="preserve"> </w:t>
      </w:r>
      <w:r w:rsidR="00E846E6">
        <w:t>supports</w:t>
      </w:r>
      <w:r w:rsidR="00BF6CB3">
        <w:t xml:space="preserve"> development of joint positions and minimizes the need </w:t>
      </w:r>
      <w:r>
        <w:t xml:space="preserve">for reviewers </w:t>
      </w:r>
      <w:r w:rsidR="00BF6CB3">
        <w:t>to seek clarification</w:t>
      </w:r>
      <w:r>
        <w:t xml:space="preserve"> during a collaborative review</w:t>
      </w:r>
      <w:r w:rsidR="00BF6CB3">
        <w:t>.</w:t>
      </w:r>
      <w:r w:rsidR="00FD2ADB">
        <w:t xml:space="preserve"> </w:t>
      </w:r>
      <w:r w:rsidR="00ED721D">
        <w:t xml:space="preserve">To support this, </w:t>
      </w:r>
      <w:r w:rsidR="00871B8D">
        <w:t>USNRC</w:t>
      </w:r>
      <w:r w:rsidR="00BF6CB3">
        <w:t xml:space="preserve"> and CNSC </w:t>
      </w:r>
      <w:r w:rsidR="00992A3F">
        <w:t>provided training to subject matter experts o</w:t>
      </w:r>
      <w:r w:rsidR="00BF6CB3">
        <w:t xml:space="preserve">n </w:t>
      </w:r>
      <w:r w:rsidR="00E846E6">
        <w:t>each other’s</w:t>
      </w:r>
      <w:r w:rsidR="00BF6CB3">
        <w:t xml:space="preserve"> regulatory processes</w:t>
      </w:r>
      <w:r w:rsidR="001A56C1">
        <w:t xml:space="preserve"> and approaches</w:t>
      </w:r>
      <w:r w:rsidR="00BF6CB3">
        <w:t xml:space="preserve">. </w:t>
      </w:r>
      <w:r w:rsidR="00B12A31" w:rsidRPr="00E802D9">
        <w:t xml:space="preserve">In </w:t>
      </w:r>
      <w:r w:rsidR="00B12A31" w:rsidRPr="00E802D9">
        <w:lastRenderedPageBreak/>
        <w:t>addition, each organization provide</w:t>
      </w:r>
      <w:r w:rsidR="00B12A31">
        <w:t>s</w:t>
      </w:r>
      <w:r w:rsidR="00B12A31" w:rsidRPr="00E802D9">
        <w:t xml:space="preserve"> opportunities for the other agency’s staff to participate in </w:t>
      </w:r>
      <w:r w:rsidR="00ED721D">
        <w:t xml:space="preserve">technical </w:t>
      </w:r>
      <w:r w:rsidR="00B12A31" w:rsidRPr="00E802D9">
        <w:t>training</w:t>
      </w:r>
      <w:r w:rsidR="005E330A">
        <w:t xml:space="preserve">, </w:t>
      </w:r>
      <w:r w:rsidR="00B12A31" w:rsidRPr="00E802D9">
        <w:t>make</w:t>
      </w:r>
      <w:r w:rsidR="00780E31">
        <w:t>s</w:t>
      </w:r>
      <w:r w:rsidR="00B12A31" w:rsidRPr="00E802D9">
        <w:t xml:space="preserve"> training materials available</w:t>
      </w:r>
      <w:r w:rsidR="005E330A">
        <w:t>, or share</w:t>
      </w:r>
      <w:r w:rsidR="00780E31">
        <w:t>s</w:t>
      </w:r>
      <w:r w:rsidR="00E802D9" w:rsidRPr="00E802D9">
        <w:t xml:space="preserve"> information from similar reviews when </w:t>
      </w:r>
      <w:r w:rsidR="00B12A31">
        <w:t>regulatory</w:t>
      </w:r>
      <w:r w:rsidR="00E802D9" w:rsidRPr="00E802D9">
        <w:t xml:space="preserve"> counterparts have limited experience with the technology.  </w:t>
      </w:r>
      <w:r w:rsidR="00F0165B">
        <w:t>For example, t</w:t>
      </w:r>
      <w:r w:rsidR="00E802D9" w:rsidRPr="00E802D9">
        <w:t>o support the BWRX-300 joint reviews,</w:t>
      </w:r>
      <w:r w:rsidR="00C062CE">
        <w:t xml:space="preserve"> t</w:t>
      </w:r>
      <w:r w:rsidR="00E802D9" w:rsidRPr="00E802D9">
        <w:t xml:space="preserve">he </w:t>
      </w:r>
      <w:r w:rsidR="00871B8D">
        <w:t>USNRC</w:t>
      </w:r>
      <w:r w:rsidR="00E802D9" w:rsidRPr="00E802D9">
        <w:t xml:space="preserve"> provided </w:t>
      </w:r>
      <w:r w:rsidR="00C062CE">
        <w:t>two</w:t>
      </w:r>
      <w:r w:rsidR="00E802D9" w:rsidRPr="00E802D9">
        <w:t xml:space="preserve"> weeklong virtual training </w:t>
      </w:r>
      <w:r w:rsidR="00C062CE">
        <w:t xml:space="preserve">sessions on </w:t>
      </w:r>
      <w:r w:rsidR="00E802D9" w:rsidRPr="00E802D9">
        <w:t xml:space="preserve">GE BWR </w:t>
      </w:r>
      <w:r w:rsidR="00C062CE">
        <w:t xml:space="preserve">technology </w:t>
      </w:r>
      <w:r w:rsidR="00E802D9" w:rsidRPr="00E802D9">
        <w:t xml:space="preserve">to staff from the CNSC.  </w:t>
      </w:r>
    </w:p>
    <w:p w14:paraId="4D6AE7F4" w14:textId="77777777" w:rsidR="009330AA" w:rsidRDefault="009330AA" w:rsidP="00FD2ADB">
      <w:pPr>
        <w:pStyle w:val="BodyText"/>
        <w:ind w:firstLine="0"/>
      </w:pPr>
    </w:p>
    <w:p w14:paraId="1CEA5AE1" w14:textId="0955AA47" w:rsidR="00FD2ADB" w:rsidRDefault="00FD2ADB" w:rsidP="00FD2ADB">
      <w:pPr>
        <w:pStyle w:val="BodyText"/>
        <w:ind w:firstLine="0"/>
      </w:pPr>
      <w:proofErr w:type="gramStart"/>
      <w:r>
        <w:t>3.5  Expansion</w:t>
      </w:r>
      <w:proofErr w:type="gramEnd"/>
      <w:r>
        <w:t xml:space="preserve"> to other countries</w:t>
      </w:r>
    </w:p>
    <w:p w14:paraId="49BC8946" w14:textId="77777777" w:rsidR="00FD2ADB" w:rsidRDefault="00FD2ADB" w:rsidP="00BF6CB3">
      <w:pPr>
        <w:pStyle w:val="BodyText"/>
      </w:pPr>
    </w:p>
    <w:p w14:paraId="5CE61080" w14:textId="36B70B03" w:rsidR="00AE11EA" w:rsidRDefault="00AE11EA" w:rsidP="00BD4ABF">
      <w:pPr>
        <w:pStyle w:val="BodyText"/>
      </w:pPr>
      <w:r w:rsidRPr="00AE11EA">
        <w:t>After the initial successes of the MOC, other regulators expressed interest in participating in the cooperation.  In 2023</w:t>
      </w:r>
      <w:r w:rsidR="006B61B3">
        <w:t>, CNSC and USNRC</w:t>
      </w:r>
      <w:r w:rsidRPr="00AE11EA">
        <w:t xml:space="preserve"> developed criteria to determine whether a regulator should be invited to join as a participant or observer. The criteria include t</w:t>
      </w:r>
      <w:r w:rsidR="00F90DF3">
        <w:t>hings</w:t>
      </w:r>
      <w:r w:rsidRPr="00AE11EA">
        <w:t xml:space="preserve"> such as project timeline alignment, ability to share information</w:t>
      </w:r>
      <w:r w:rsidR="00873D73">
        <w:t>,</w:t>
      </w:r>
      <w:r w:rsidRPr="00AE11EA">
        <w:t xml:space="preserve"> and </w:t>
      </w:r>
      <w:r w:rsidR="004F1571">
        <w:t xml:space="preserve">availability of </w:t>
      </w:r>
      <w:r w:rsidRPr="00AE11EA">
        <w:t>sufficient resources to effectively participate.</w:t>
      </w:r>
      <w:r w:rsidR="00E94900">
        <w:t xml:space="preserve"> </w:t>
      </w:r>
      <w:r w:rsidR="00997B97">
        <w:t xml:space="preserve">Using these criteria, </w:t>
      </w:r>
      <w:r w:rsidR="002B1956">
        <w:t>the U</w:t>
      </w:r>
      <w:r w:rsidR="00873D73">
        <w:t>nited Kingdom’s</w:t>
      </w:r>
      <w:r w:rsidR="002B1956">
        <w:t xml:space="preserve"> Office of Nuclear Regulation has been</w:t>
      </w:r>
      <w:r w:rsidR="00997B97">
        <w:t xml:space="preserve"> successfully integrated into the collaborative activities.  A </w:t>
      </w:r>
      <w:proofErr w:type="gramStart"/>
      <w:r w:rsidR="00997B97">
        <w:t>tri-lateral</w:t>
      </w:r>
      <w:proofErr w:type="gramEnd"/>
      <w:r w:rsidR="00997B97">
        <w:t xml:space="preserve"> MOC was signed by </w:t>
      </w:r>
      <w:r w:rsidR="00914CB1">
        <w:t xml:space="preserve">CNSC, ONR and </w:t>
      </w:r>
      <w:r w:rsidR="00871B8D">
        <w:t>USNRC</w:t>
      </w:r>
      <w:r w:rsidR="00914CB1">
        <w:t xml:space="preserve"> in March 2024 and the ONR staff are actively participating in </w:t>
      </w:r>
      <w:r w:rsidR="0087473B">
        <w:t xml:space="preserve">BWRX300 joint reviews.  </w:t>
      </w:r>
      <w:r w:rsidR="00871B8D">
        <w:t>USNRC</w:t>
      </w:r>
      <w:r w:rsidR="001728DC">
        <w:t xml:space="preserve"> and ONR are in the planning stages of</w:t>
      </w:r>
      <w:r w:rsidR="003F0702">
        <w:t xml:space="preserve"> additional </w:t>
      </w:r>
      <w:r w:rsidR="001728DC">
        <w:t>joint review for designs that are under consideration in both the U</w:t>
      </w:r>
      <w:r w:rsidR="00873D73">
        <w:t>.</w:t>
      </w:r>
      <w:r w:rsidR="001728DC">
        <w:t>S</w:t>
      </w:r>
      <w:r w:rsidR="00873D73">
        <w:t>.</w:t>
      </w:r>
      <w:r w:rsidR="001728DC">
        <w:t xml:space="preserve"> and </w:t>
      </w:r>
      <w:r w:rsidR="00B63FB3">
        <w:t xml:space="preserve">UK. </w:t>
      </w:r>
    </w:p>
    <w:p w14:paraId="610E8E8C" w14:textId="77777777" w:rsidR="00C85DA2" w:rsidRDefault="00C85DA2" w:rsidP="00EA482D">
      <w:pPr>
        <w:pStyle w:val="BodyText"/>
      </w:pPr>
    </w:p>
    <w:p w14:paraId="62AB757F" w14:textId="0664971D" w:rsidR="00C85DA2" w:rsidRDefault="00C85DA2" w:rsidP="00C85DA2">
      <w:pPr>
        <w:pStyle w:val="BodyText"/>
        <w:ind w:firstLine="0"/>
      </w:pPr>
      <w:proofErr w:type="gramStart"/>
      <w:r>
        <w:t>3.6  External</w:t>
      </w:r>
      <w:proofErr w:type="gramEnd"/>
      <w:r>
        <w:t xml:space="preserve"> feedback</w:t>
      </w:r>
    </w:p>
    <w:p w14:paraId="673D49A0" w14:textId="77777777" w:rsidR="00C85DA2" w:rsidRDefault="00C85DA2" w:rsidP="00C85DA2">
      <w:pPr>
        <w:pStyle w:val="BodyText"/>
        <w:ind w:firstLine="0"/>
      </w:pPr>
    </w:p>
    <w:p w14:paraId="26D8F287" w14:textId="7CDA526D" w:rsidR="00EA482D" w:rsidRDefault="00F91AED" w:rsidP="00EA482D">
      <w:pPr>
        <w:pStyle w:val="BodyText"/>
      </w:pPr>
      <w:r>
        <w:t xml:space="preserve">In addition to routinely </w:t>
      </w:r>
      <w:r w:rsidR="0027734A">
        <w:t xml:space="preserve">performing lesson learned, CNSC and </w:t>
      </w:r>
      <w:r w:rsidR="00871B8D">
        <w:t>USNRC</w:t>
      </w:r>
      <w:r w:rsidR="0027734A">
        <w:t xml:space="preserve"> seek feedback from external stakeholders</w:t>
      </w:r>
      <w:r w:rsidR="00072E8F">
        <w:t xml:space="preserve">, particularly from </w:t>
      </w:r>
      <w:r w:rsidR="00AA1C17">
        <w:t xml:space="preserve">advanced reactor and </w:t>
      </w:r>
      <w:r w:rsidR="00873D73">
        <w:t>small modular reactor</w:t>
      </w:r>
      <w:r w:rsidR="00AA1C17">
        <w:t xml:space="preserve"> </w:t>
      </w:r>
      <w:r w:rsidR="00A82CEC">
        <w:t>vendors</w:t>
      </w:r>
      <w:r w:rsidR="0027734A">
        <w:t xml:space="preserve">.  </w:t>
      </w:r>
      <w:r w:rsidR="00873D73">
        <w:t>In particular, t</w:t>
      </w:r>
      <w:r w:rsidR="00985E07">
        <w:t xml:space="preserve">he regulators meet routinely with </w:t>
      </w:r>
      <w:r w:rsidR="00DD4B4B">
        <w:t>the organizations involved in licensing the BWRX</w:t>
      </w:r>
      <w:r w:rsidR="00873D73">
        <w:t>-</w:t>
      </w:r>
      <w:r w:rsidR="00DD4B4B">
        <w:t xml:space="preserve">300. </w:t>
      </w:r>
      <w:r w:rsidR="00EA482D">
        <w:t xml:space="preserve"> OPG, TVA and GEH regularly share feedback o</w:t>
      </w:r>
      <w:r w:rsidR="002447F5">
        <w:t>n the effectiveness and benefits o</w:t>
      </w:r>
      <w:r w:rsidR="00EA482D">
        <w:t xml:space="preserve">f the cooperation between </w:t>
      </w:r>
      <w:r w:rsidR="00871B8D">
        <w:t>USNRC</w:t>
      </w:r>
      <w:r w:rsidR="00EA482D">
        <w:t xml:space="preserve"> and CNSC. </w:t>
      </w:r>
    </w:p>
    <w:p w14:paraId="6BDCF630" w14:textId="77777777" w:rsidR="00EA482D" w:rsidRDefault="00EA482D" w:rsidP="00EA482D">
      <w:pPr>
        <w:pStyle w:val="BodyText"/>
      </w:pPr>
    </w:p>
    <w:p w14:paraId="16DD84C7" w14:textId="60E875AD" w:rsidR="00EA482D" w:rsidRDefault="00EA482D" w:rsidP="00EA482D">
      <w:pPr>
        <w:pStyle w:val="BodyText"/>
      </w:pPr>
      <w:r>
        <w:t>In September 2023, the Nuclear Energy Institute (NEI) and the Canadian Nuclear Association (CNA) issued a report titled “Canadian and United States Regulatory Cooperation for New Nuclear Deployment: Recommendations for the Implementation of the International Regulatory Efficiency Framework.”  This report articulates the industry’s perspective on the long-term goals for the cooperation, and additional near-term actions that the U.S. and Canada can take to achieve these goals. The report includes recommendations for action by regulators, standard development organizations, government, and industry.</w:t>
      </w:r>
      <w:r w:rsidR="006F5984">
        <w:t xml:space="preserve"> Several of the recommendations raised in this report have already been implemented or are being </w:t>
      </w:r>
      <w:r w:rsidR="00D87C6B">
        <w:t>considered</w:t>
      </w:r>
      <w:r w:rsidR="006F5984">
        <w:t xml:space="preserve"> by CNSC and </w:t>
      </w:r>
      <w:r w:rsidR="00871B8D">
        <w:t>USNRC</w:t>
      </w:r>
      <w:r w:rsidR="006F5984">
        <w:t>.</w:t>
      </w:r>
    </w:p>
    <w:p w14:paraId="2191A402" w14:textId="4B3B8B27" w:rsidR="00EE0041" w:rsidRDefault="00EE0041" w:rsidP="00F91AED">
      <w:pPr>
        <w:pStyle w:val="BodyText"/>
      </w:pPr>
    </w:p>
    <w:p w14:paraId="7B29C0F0" w14:textId="5619ABBA" w:rsidR="00F004EE" w:rsidRDefault="00AF0F7C" w:rsidP="00537496">
      <w:pPr>
        <w:pStyle w:val="Heading2"/>
      </w:pPr>
      <w:r>
        <w:t>next steps</w:t>
      </w:r>
    </w:p>
    <w:p w14:paraId="5D367D9B" w14:textId="50F76668" w:rsidR="00347B53" w:rsidRDefault="007470C1" w:rsidP="00347B53">
      <w:pPr>
        <w:pStyle w:val="BodyText"/>
      </w:pPr>
      <w:r>
        <w:t>This c</w:t>
      </w:r>
      <w:r w:rsidR="00347B53">
        <w:t>ooperation has evolved since the MOC was signed in 2019. Initia</w:t>
      </w:r>
      <w:r w:rsidR="00687A28">
        <w:t>l interactions consisted of sharing</w:t>
      </w:r>
      <w:r w:rsidR="00347B53">
        <w:t xml:space="preserve"> the results of completed evaluations and identified the similarities and differences between processes and requirements.  </w:t>
      </w:r>
      <w:r w:rsidR="00306823">
        <w:t>T</w:t>
      </w:r>
      <w:r w:rsidR="00347B53">
        <w:t>hat knowledge</w:t>
      </w:r>
      <w:r w:rsidR="00306823">
        <w:t xml:space="preserve"> was used</w:t>
      </w:r>
      <w:r w:rsidR="00347B53">
        <w:t xml:space="preserve"> </w:t>
      </w:r>
      <w:r w:rsidR="00306823">
        <w:t>t</w:t>
      </w:r>
      <w:r w:rsidR="00347B53">
        <w:t>o identify where positions align on specific technical issues in pre-application reviews.  Going forward</w:t>
      </w:r>
      <w:r w:rsidR="00306823">
        <w:t xml:space="preserve">, CNSC, </w:t>
      </w:r>
      <w:r w:rsidR="00871B8D">
        <w:t>USNRC</w:t>
      </w:r>
      <w:r w:rsidR="00306823">
        <w:t xml:space="preserve"> and ONR are</w:t>
      </w:r>
      <w:r w:rsidR="00347B53">
        <w:t xml:space="preserve"> working to jointly find approaches to address novel technical considerations.  </w:t>
      </w:r>
      <w:r w:rsidR="00305A61">
        <w:t>T</w:t>
      </w:r>
      <w:r w:rsidR="00347B53">
        <w:t xml:space="preserve">he collaborative processes </w:t>
      </w:r>
      <w:r w:rsidR="00305A61">
        <w:t>will be applied to joint reviews of</w:t>
      </w:r>
      <w:r w:rsidR="00347B53">
        <w:t xml:space="preserve"> portions of license applications as the projects move into licensing phases.  </w:t>
      </w:r>
    </w:p>
    <w:p w14:paraId="0E7D89AA" w14:textId="1E3EC98E" w:rsidR="00347B53" w:rsidRDefault="00347B53" w:rsidP="00347B53">
      <w:pPr>
        <w:pStyle w:val="BodyText"/>
      </w:pPr>
    </w:p>
    <w:p w14:paraId="0116F6E2" w14:textId="5A1111BF" w:rsidR="00347B53" w:rsidRDefault="006739C5" w:rsidP="00347B53">
      <w:pPr>
        <w:pStyle w:val="BodyText"/>
      </w:pPr>
      <w:r>
        <w:t xml:space="preserve">The MOC subcommittee </w:t>
      </w:r>
      <w:r w:rsidR="00347B53">
        <w:t>continu</w:t>
      </w:r>
      <w:r>
        <w:t>ally</w:t>
      </w:r>
      <w:r w:rsidR="00347B53">
        <w:t xml:space="preserve"> seek</w:t>
      </w:r>
      <w:r>
        <w:t>s</w:t>
      </w:r>
      <w:r w:rsidR="00347B53">
        <w:t xml:space="preserve"> opportunities to expand the list of vendors and technologies for joint reviews and strategically expand cooperation in areas of mutual interest</w:t>
      </w:r>
      <w:r w:rsidR="002625F7">
        <w:t xml:space="preserve">.  </w:t>
      </w:r>
      <w:r w:rsidR="00873D73">
        <w:t>In addition, f</w:t>
      </w:r>
      <w:r w:rsidR="00873D73">
        <w:t xml:space="preserve">or international collaboration to be truly successful it cannot end with the issuance of a construction licence; collaboration must continue throughout the lifecycle.  </w:t>
      </w:r>
      <w:r w:rsidR="002625F7">
        <w:t>Future collaboration will include other stages of the reactor lifecycle</w:t>
      </w:r>
      <w:r w:rsidR="00347B53">
        <w:t xml:space="preserve"> such as construction oversight and vendor inspection to</w:t>
      </w:r>
      <w:r w:rsidR="001A56C1">
        <w:t xml:space="preserve"> further </w:t>
      </w:r>
      <w:r w:rsidR="00873D73">
        <w:t xml:space="preserve">the </w:t>
      </w:r>
      <w:r w:rsidR="001A56C1">
        <w:t>benefits of regulatory efficiency</w:t>
      </w:r>
      <w:r w:rsidR="00347B53">
        <w:t xml:space="preserve">. </w:t>
      </w:r>
      <w:r w:rsidR="00873D73">
        <w:t>Finally, a</w:t>
      </w:r>
      <w:r w:rsidR="001A56C1">
        <w:t xml:space="preserve">s the MOC is the gold standard for international collaboration on SMRs and advanced reactors, the CNSC, </w:t>
      </w:r>
      <w:r w:rsidR="00871B8D">
        <w:t>USNRC</w:t>
      </w:r>
      <w:r w:rsidR="001A56C1">
        <w:t xml:space="preserve"> and ONR are committed to ensuring our collective success can be leveraged by other regulators who are assessing the same reactor designs. </w:t>
      </w:r>
    </w:p>
    <w:p w14:paraId="72CC8E03" w14:textId="6909F173" w:rsidR="00AF0F7C" w:rsidRDefault="00AF0F7C" w:rsidP="00AF0F7C">
      <w:pPr>
        <w:pStyle w:val="BodyText"/>
      </w:pPr>
    </w:p>
    <w:p w14:paraId="052A1CF5" w14:textId="567C5895" w:rsidR="00310D52" w:rsidRDefault="00310D52" w:rsidP="00310D52">
      <w:pPr>
        <w:pStyle w:val="BodyText"/>
        <w:ind w:firstLine="0"/>
      </w:pPr>
    </w:p>
    <w:p w14:paraId="230D787B" w14:textId="77777777" w:rsidR="00873D73" w:rsidRDefault="00873D73" w:rsidP="00310D52">
      <w:pPr>
        <w:pStyle w:val="BodyText"/>
        <w:ind w:firstLine="0"/>
      </w:pPr>
    </w:p>
    <w:p w14:paraId="19D67333" w14:textId="18D53E31" w:rsidR="00310D52" w:rsidRPr="00285755" w:rsidRDefault="00310D52" w:rsidP="00310D52">
      <w:pPr>
        <w:pStyle w:val="Otherunnumberedheadings"/>
        <w:jc w:val="both"/>
      </w:pPr>
      <w:r>
        <w:lastRenderedPageBreak/>
        <w:t>References</w:t>
      </w:r>
    </w:p>
    <w:p w14:paraId="530E2299" w14:textId="63EF943D" w:rsidR="00310D52" w:rsidRPr="00787948" w:rsidRDefault="00871B8D" w:rsidP="00310D52">
      <w:pPr>
        <w:pStyle w:val="Referencelist"/>
        <w:spacing w:before="100" w:beforeAutospacing="1" w:after="100" w:afterAutospacing="1"/>
      </w:pPr>
      <w:r>
        <w:t>USNRC</w:t>
      </w:r>
      <w:r w:rsidR="00787948" w:rsidRPr="00787948">
        <w:t xml:space="preserve">, </w:t>
      </w:r>
      <w:r w:rsidR="00310D52" w:rsidRPr="00787948">
        <w:t>CNSC,</w:t>
      </w:r>
      <w:r w:rsidR="00787948" w:rsidRPr="00787948">
        <w:t xml:space="preserve"> and ONR,</w:t>
      </w:r>
      <w:r w:rsidR="00310D52" w:rsidRPr="00787948">
        <w:t xml:space="preserve"> Memorandum of Cooperation on Advanced Reactor and Small Modular Reactor Technologies Between the United States Nuclear Regulatory Commission</w:t>
      </w:r>
      <w:r w:rsidR="00787948" w:rsidRPr="00787948">
        <w:t xml:space="preserve">, </w:t>
      </w:r>
      <w:r w:rsidR="00310D52" w:rsidRPr="00787948">
        <w:t xml:space="preserve">the Canadian Nuclear Safety Commission, </w:t>
      </w:r>
      <w:r w:rsidR="00787948" w:rsidRPr="00787948">
        <w:t xml:space="preserve">and the United Kingdom Office of Nuclear Regulation </w:t>
      </w:r>
      <w:r w:rsidR="00310D52" w:rsidRPr="00787948">
        <w:t>20</w:t>
      </w:r>
      <w:r w:rsidR="00787948" w:rsidRPr="00787948">
        <w:t>23</w:t>
      </w:r>
      <w:r w:rsidR="00310D52" w:rsidRPr="00787948">
        <w:t>.</w:t>
      </w:r>
    </w:p>
    <w:p w14:paraId="605234D3" w14:textId="7916DBEC" w:rsidR="00310D52" w:rsidRDefault="00871B8D" w:rsidP="00310D52">
      <w:pPr>
        <w:pStyle w:val="Referencelist"/>
        <w:spacing w:before="100" w:beforeAutospacing="1" w:after="100" w:afterAutospacing="1"/>
      </w:pPr>
      <w:r>
        <w:t>USNRC</w:t>
      </w:r>
      <w:r w:rsidR="00310D52">
        <w:t xml:space="preserve"> and CNSC, Terms of Reference for the Memorandum of Cooperation on Advanced Reactor and Small Modular Reactor Technologies Between the Nuclear Regulatory Commission and the Canadian Nuclear Safety Commission, 2019</w:t>
      </w:r>
    </w:p>
    <w:p w14:paraId="4CC17C69" w14:textId="7CFFDEEC" w:rsidR="00310D52" w:rsidRDefault="00871B8D" w:rsidP="00310D52">
      <w:pPr>
        <w:pStyle w:val="Referencelist"/>
        <w:spacing w:before="100" w:beforeAutospacing="1" w:after="100" w:afterAutospacing="1"/>
      </w:pPr>
      <w:r>
        <w:t>USNRC</w:t>
      </w:r>
      <w:r w:rsidR="00310D52">
        <w:t xml:space="preserve"> and CNSC, Joint Report Concerning X Energy’s Reactor Pressure Vessel Construction Code Assessment White Paper, June 2021</w:t>
      </w:r>
    </w:p>
    <w:p w14:paraId="35CEA85A" w14:textId="7F17FD0A" w:rsidR="00310D52" w:rsidRDefault="00871B8D" w:rsidP="00310D52">
      <w:pPr>
        <w:pStyle w:val="Referencelist"/>
        <w:spacing w:before="100" w:beforeAutospacing="1" w:after="100" w:afterAutospacing="1"/>
      </w:pPr>
      <w:r>
        <w:t>USNRC</w:t>
      </w:r>
      <w:r w:rsidR="00310D52">
        <w:t xml:space="preserve"> and CNSC, </w:t>
      </w:r>
      <w:r w:rsidR="00310D52" w:rsidRPr="00D13367">
        <w:t>Joint Report on GE Hitachi’s Containment Evaluation Method</w:t>
      </w:r>
      <w:r w:rsidR="00310D52">
        <w:t xml:space="preserve"> - </w:t>
      </w:r>
      <w:r w:rsidR="00310D52" w:rsidRPr="00D13367">
        <w:t>A Collaborative Review by the U.S. Nuclear Regulatory Commission and the Canadian Nuclear Safety Commission</w:t>
      </w:r>
      <w:r w:rsidR="00310D52">
        <w:t>, April 2022</w:t>
      </w:r>
    </w:p>
    <w:p w14:paraId="541D673A" w14:textId="56536BD5" w:rsidR="00310D52" w:rsidRPr="0080226F" w:rsidRDefault="00871B8D" w:rsidP="00310D52">
      <w:pPr>
        <w:pStyle w:val="Referencelist"/>
        <w:spacing w:before="100" w:beforeAutospacing="1" w:after="100" w:afterAutospacing="1"/>
      </w:pPr>
      <w:r>
        <w:t>USNRC</w:t>
      </w:r>
      <w:r w:rsidR="00310D52" w:rsidRPr="0080226F">
        <w:t xml:space="preserve"> and CNSC, </w:t>
      </w:r>
      <w:r w:rsidR="0080226F" w:rsidRPr="0080226F">
        <w:t xml:space="preserve">Final </w:t>
      </w:r>
      <w:r w:rsidR="00310D52" w:rsidRPr="0080226F">
        <w:t xml:space="preserve">Joint Report concerning </w:t>
      </w:r>
      <w:proofErr w:type="spellStart"/>
      <w:r w:rsidR="00310D52" w:rsidRPr="0080226F">
        <w:t>Tristructural</w:t>
      </w:r>
      <w:proofErr w:type="spellEnd"/>
      <w:r w:rsidR="00310D52" w:rsidRPr="0080226F">
        <w:t xml:space="preserve"> Isotropic (TRISO) Fuel Qualification, </w:t>
      </w:r>
      <w:r w:rsidR="0080226F" w:rsidRPr="0080226F">
        <w:t>June 2023</w:t>
      </w:r>
    </w:p>
    <w:p w14:paraId="3CCDE6C2" w14:textId="595CA651" w:rsidR="00310D52" w:rsidRDefault="00871B8D" w:rsidP="00310D52">
      <w:pPr>
        <w:pStyle w:val="Referencelist"/>
        <w:spacing w:before="100" w:beforeAutospacing="1" w:after="100" w:afterAutospacing="1"/>
      </w:pPr>
      <w:r>
        <w:t>USNRC</w:t>
      </w:r>
      <w:r w:rsidR="00310D52">
        <w:t xml:space="preserve"> and CNSC, Technology Inclusive and Risk-Informed Reviews for Advanced Reactors: Comparing the US Licensing Modernization Project with the Canadian Regulatory Approach, August 2021</w:t>
      </w:r>
    </w:p>
    <w:p w14:paraId="2767994D" w14:textId="7FD14F81" w:rsidR="00C73409" w:rsidRDefault="00871B8D" w:rsidP="00C73409">
      <w:pPr>
        <w:pStyle w:val="Referencelist"/>
      </w:pPr>
      <w:r>
        <w:t>USNRC</w:t>
      </w:r>
      <w:r w:rsidR="00C73409">
        <w:t xml:space="preserve"> </w:t>
      </w:r>
      <w:r w:rsidR="0010730E">
        <w:t xml:space="preserve">and </w:t>
      </w:r>
      <w:r w:rsidR="00C73409">
        <w:t>CNSC</w:t>
      </w:r>
      <w:r w:rsidR="0010730E">
        <w:t xml:space="preserve">, </w:t>
      </w:r>
      <w:r w:rsidR="00872743">
        <w:t>Interim Joint Report C</w:t>
      </w:r>
      <w:r w:rsidR="00C73409">
        <w:t>oncerning Classification and Assignment of Engineering Design Rules to Structures, Systems and Components, June 2023</w:t>
      </w:r>
    </w:p>
    <w:p w14:paraId="273B6300" w14:textId="124A69C9" w:rsidR="00C73409" w:rsidRDefault="00871B8D" w:rsidP="00C73409">
      <w:pPr>
        <w:pStyle w:val="Referencelist"/>
      </w:pPr>
      <w:r>
        <w:t>USNRC</w:t>
      </w:r>
      <w:r w:rsidR="00BB363B">
        <w:t xml:space="preserve"> and CNSC, </w:t>
      </w:r>
      <w:r w:rsidR="00A6106A" w:rsidRPr="00A6106A">
        <w:t>Joint Report on GEH BWRX-300 Safety Strategy White Pap</w:t>
      </w:r>
      <w:r w:rsidR="00A6106A">
        <w:t>er, July 2023</w:t>
      </w:r>
    </w:p>
    <w:p w14:paraId="546BCA25" w14:textId="4BC8F65F" w:rsidR="00BB363B" w:rsidRDefault="00871B8D" w:rsidP="00BB363B">
      <w:pPr>
        <w:pStyle w:val="Referencelist"/>
      </w:pPr>
      <w:r>
        <w:t>USNRC</w:t>
      </w:r>
      <w:r w:rsidR="00BB363B">
        <w:t xml:space="preserve"> and CNSC, Joint Report on GEH BWRX-300 Steel-Plate Composite (SC) Containment Vessel (SCCV) and Reactor Building Structural Design White Paper, June 2023</w:t>
      </w:r>
    </w:p>
    <w:p w14:paraId="6E884F05" w14:textId="6CCA1EF6" w:rsidR="00310D52" w:rsidRDefault="00310D52" w:rsidP="0010730E">
      <w:pPr>
        <w:pStyle w:val="Referencelist"/>
        <w:numPr>
          <w:ilvl w:val="0"/>
          <w:numId w:val="0"/>
        </w:numPr>
        <w:ind w:left="360"/>
      </w:pPr>
    </w:p>
    <w:p w14:paraId="3BA56E06" w14:textId="77777777" w:rsidR="00F45EEE" w:rsidRPr="00662532" w:rsidRDefault="00F45EEE" w:rsidP="00537496">
      <w:pPr>
        <w:pStyle w:val="BodyText"/>
        <w:ind w:firstLine="0"/>
        <w:jc w:val="left"/>
      </w:pPr>
    </w:p>
    <w:sectPr w:rsidR="00F45EEE" w:rsidRPr="00662532" w:rsidSect="00A95E90">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1D2E" w14:textId="77777777" w:rsidR="00744424" w:rsidRDefault="00744424">
      <w:r>
        <w:separator/>
      </w:r>
    </w:p>
  </w:endnote>
  <w:endnote w:type="continuationSeparator" w:id="0">
    <w:p w14:paraId="78E4AA1F" w14:textId="77777777" w:rsidR="00744424" w:rsidRDefault="0074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252C6" w14:textId="77777777" w:rsidR="00744424" w:rsidRDefault="00744424">
      <w:r>
        <w:t>___________________________________________________________________________</w:t>
      </w:r>
    </w:p>
  </w:footnote>
  <w:footnote w:type="continuationSeparator" w:id="0">
    <w:p w14:paraId="30DBD139" w14:textId="77777777" w:rsidR="00744424" w:rsidRDefault="00744424">
      <w:r>
        <w:t>___________________________________________________________________________</w:t>
      </w:r>
    </w:p>
  </w:footnote>
  <w:footnote w:type="continuationNotice" w:id="1">
    <w:p w14:paraId="326CC780" w14:textId="77777777" w:rsidR="00744424" w:rsidRDefault="00744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7777777" w:rsidR="00CF7AF3" w:rsidRDefault="00CF7AF3" w:rsidP="00CF7AF3">
    <w:pPr>
      <w:pStyle w:val="Runninghead"/>
    </w:pPr>
    <w:r>
      <w:tab/>
      <w:t>IAEA-CN-123/45</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34BEA62A" w:rsidR="00E20E70" w:rsidRDefault="00D66F35" w:rsidP="00B82FA5">
    <w:pPr>
      <w:pStyle w:val="Runninghead"/>
    </w:pPr>
    <w:r>
      <w:t xml:space="preserve">S. EATON et al. </w:t>
    </w:r>
  </w:p>
  <w:p w14:paraId="2762EF17" w14:textId="1B7359CD"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A2823AC"/>
    <w:multiLevelType w:val="hybridMultilevel"/>
    <w:tmpl w:val="2CD658A0"/>
    <w:lvl w:ilvl="0" w:tplc="E5E4F666">
      <w:start w:val="1"/>
      <w:numFmt w:val="lowerLetter"/>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36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8"/>
  </w:num>
  <w:num w:numId="2" w16cid:durableId="59716700">
    <w:abstractNumId w:val="5"/>
  </w:num>
  <w:num w:numId="3" w16cid:durableId="731540123">
    <w:abstractNumId w:val="11"/>
  </w:num>
  <w:num w:numId="4" w16cid:durableId="744034000">
    <w:abstractNumId w:val="11"/>
  </w:num>
  <w:num w:numId="5" w16cid:durableId="1474641089">
    <w:abstractNumId w:val="11"/>
  </w:num>
  <w:num w:numId="6" w16cid:durableId="528497540">
    <w:abstractNumId w:val="6"/>
  </w:num>
  <w:num w:numId="7" w16cid:durableId="176696273">
    <w:abstractNumId w:val="9"/>
  </w:num>
  <w:num w:numId="8" w16cid:durableId="1131169468">
    <w:abstractNumId w:val="12"/>
  </w:num>
  <w:num w:numId="9" w16cid:durableId="1007632637">
    <w:abstractNumId w:val="1"/>
  </w:num>
  <w:num w:numId="10" w16cid:durableId="422917246">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1"/>
  </w:num>
  <w:num w:numId="12" w16cid:durableId="468400009">
    <w:abstractNumId w:val="11"/>
  </w:num>
  <w:num w:numId="13" w16cid:durableId="1927378143">
    <w:abstractNumId w:val="11"/>
  </w:num>
  <w:num w:numId="14" w16cid:durableId="1289622783">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1"/>
  </w:num>
  <w:num w:numId="16" w16cid:durableId="656224632">
    <w:abstractNumId w:val="11"/>
  </w:num>
  <w:num w:numId="17" w16cid:durableId="784034295">
    <w:abstractNumId w:val="11"/>
  </w:num>
  <w:num w:numId="18" w16cid:durableId="1293555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1"/>
  </w:num>
  <w:num w:numId="20" w16cid:durableId="2113888906">
    <w:abstractNumId w:val="2"/>
  </w:num>
  <w:num w:numId="21" w16cid:durableId="1417746791">
    <w:abstractNumId w:val="11"/>
  </w:num>
  <w:num w:numId="22" w16cid:durableId="1720975952">
    <w:abstractNumId w:val="4"/>
  </w:num>
  <w:num w:numId="23" w16cid:durableId="983584939">
    <w:abstractNumId w:val="0"/>
  </w:num>
  <w:num w:numId="24" w16cid:durableId="76482875">
    <w:abstractNumId w:val="10"/>
  </w:num>
  <w:num w:numId="25" w16cid:durableId="1024988134">
    <w:abstractNumId w:val="11"/>
  </w:num>
  <w:num w:numId="26" w16cid:durableId="2000382986">
    <w:abstractNumId w:val="11"/>
  </w:num>
  <w:num w:numId="27" w16cid:durableId="1390575348">
    <w:abstractNumId w:val="11"/>
  </w:num>
  <w:num w:numId="28" w16cid:durableId="621231405">
    <w:abstractNumId w:val="11"/>
  </w:num>
  <w:num w:numId="29" w16cid:durableId="995762299">
    <w:abstractNumId w:val="11"/>
  </w:num>
  <w:num w:numId="30" w16cid:durableId="320278723">
    <w:abstractNumId w:val="7"/>
  </w:num>
  <w:num w:numId="31" w16cid:durableId="1695614948">
    <w:abstractNumId w:val="7"/>
  </w:num>
  <w:num w:numId="32" w16cid:durableId="195823161">
    <w:abstractNumId w:val="11"/>
  </w:num>
  <w:num w:numId="33" w16cid:durableId="1755591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A"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E9A"/>
    <w:rsid w:val="000024C6"/>
    <w:rsid w:val="00014AAA"/>
    <w:rsid w:val="00022066"/>
    <w:rsid w:val="000229AB"/>
    <w:rsid w:val="00025385"/>
    <w:rsid w:val="0002569A"/>
    <w:rsid w:val="000266F2"/>
    <w:rsid w:val="00034F94"/>
    <w:rsid w:val="00037321"/>
    <w:rsid w:val="000416BE"/>
    <w:rsid w:val="00055B4F"/>
    <w:rsid w:val="00064B35"/>
    <w:rsid w:val="00072E8F"/>
    <w:rsid w:val="0007793E"/>
    <w:rsid w:val="000810D3"/>
    <w:rsid w:val="00082060"/>
    <w:rsid w:val="00094AB0"/>
    <w:rsid w:val="000957D7"/>
    <w:rsid w:val="000A0299"/>
    <w:rsid w:val="000A30AC"/>
    <w:rsid w:val="000A48FA"/>
    <w:rsid w:val="000B29FD"/>
    <w:rsid w:val="000B6826"/>
    <w:rsid w:val="000B7D78"/>
    <w:rsid w:val="000C07D0"/>
    <w:rsid w:val="000C2E8B"/>
    <w:rsid w:val="000C3471"/>
    <w:rsid w:val="000C6F25"/>
    <w:rsid w:val="000D69BD"/>
    <w:rsid w:val="000E3C92"/>
    <w:rsid w:val="000F07D6"/>
    <w:rsid w:val="000F1261"/>
    <w:rsid w:val="000F4B46"/>
    <w:rsid w:val="000F7E94"/>
    <w:rsid w:val="00100132"/>
    <w:rsid w:val="00105F05"/>
    <w:rsid w:val="0010730E"/>
    <w:rsid w:val="00110886"/>
    <w:rsid w:val="001119D6"/>
    <w:rsid w:val="00123E4B"/>
    <w:rsid w:val="00125BAD"/>
    <w:rsid w:val="00127661"/>
    <w:rsid w:val="00127D8F"/>
    <w:rsid w:val="001308F2"/>
    <w:rsid w:val="001313E8"/>
    <w:rsid w:val="001378E4"/>
    <w:rsid w:val="00140E59"/>
    <w:rsid w:val="001516D2"/>
    <w:rsid w:val="00163AB5"/>
    <w:rsid w:val="0016476F"/>
    <w:rsid w:val="00167B7D"/>
    <w:rsid w:val="00172828"/>
    <w:rsid w:val="001728DC"/>
    <w:rsid w:val="00191F44"/>
    <w:rsid w:val="001960D2"/>
    <w:rsid w:val="001A0D25"/>
    <w:rsid w:val="001A4BEC"/>
    <w:rsid w:val="001A56C1"/>
    <w:rsid w:val="001B4A7B"/>
    <w:rsid w:val="001B5072"/>
    <w:rsid w:val="001B5507"/>
    <w:rsid w:val="001C58F5"/>
    <w:rsid w:val="001C68D1"/>
    <w:rsid w:val="001D2C4A"/>
    <w:rsid w:val="001D5CEE"/>
    <w:rsid w:val="001F2B8C"/>
    <w:rsid w:val="001F4DF0"/>
    <w:rsid w:val="00201719"/>
    <w:rsid w:val="002071D9"/>
    <w:rsid w:val="002349CC"/>
    <w:rsid w:val="00241AEF"/>
    <w:rsid w:val="0024259B"/>
    <w:rsid w:val="00242D7E"/>
    <w:rsid w:val="002447F5"/>
    <w:rsid w:val="00244D44"/>
    <w:rsid w:val="00251961"/>
    <w:rsid w:val="00256822"/>
    <w:rsid w:val="002625F7"/>
    <w:rsid w:val="0026525A"/>
    <w:rsid w:val="00266262"/>
    <w:rsid w:val="00270992"/>
    <w:rsid w:val="002709AE"/>
    <w:rsid w:val="002724ED"/>
    <w:rsid w:val="00272984"/>
    <w:rsid w:val="00273F50"/>
    <w:rsid w:val="00274790"/>
    <w:rsid w:val="0027734A"/>
    <w:rsid w:val="00281851"/>
    <w:rsid w:val="00285755"/>
    <w:rsid w:val="00291C9F"/>
    <w:rsid w:val="00292561"/>
    <w:rsid w:val="002A1F9C"/>
    <w:rsid w:val="002B0111"/>
    <w:rsid w:val="002B1956"/>
    <w:rsid w:val="002B29C2"/>
    <w:rsid w:val="002C4208"/>
    <w:rsid w:val="002C7536"/>
    <w:rsid w:val="002D1246"/>
    <w:rsid w:val="002D4885"/>
    <w:rsid w:val="002E4B8B"/>
    <w:rsid w:val="003006B5"/>
    <w:rsid w:val="00305A61"/>
    <w:rsid w:val="00306823"/>
    <w:rsid w:val="00310D52"/>
    <w:rsid w:val="003130CC"/>
    <w:rsid w:val="00316844"/>
    <w:rsid w:val="00340C34"/>
    <w:rsid w:val="0034259C"/>
    <w:rsid w:val="00345AC2"/>
    <w:rsid w:val="00347B53"/>
    <w:rsid w:val="00350063"/>
    <w:rsid w:val="00351C71"/>
    <w:rsid w:val="003520F0"/>
    <w:rsid w:val="00352DE1"/>
    <w:rsid w:val="003576A6"/>
    <w:rsid w:val="00364741"/>
    <w:rsid w:val="00365912"/>
    <w:rsid w:val="003728E6"/>
    <w:rsid w:val="003738D7"/>
    <w:rsid w:val="00375E30"/>
    <w:rsid w:val="003B14BD"/>
    <w:rsid w:val="003B34C3"/>
    <w:rsid w:val="003B5E0E"/>
    <w:rsid w:val="003D255A"/>
    <w:rsid w:val="003D31D5"/>
    <w:rsid w:val="003E00E0"/>
    <w:rsid w:val="003E0945"/>
    <w:rsid w:val="003E19B8"/>
    <w:rsid w:val="003F0702"/>
    <w:rsid w:val="003F4CBC"/>
    <w:rsid w:val="0040153B"/>
    <w:rsid w:val="004044A3"/>
    <w:rsid w:val="00413ED9"/>
    <w:rsid w:val="00414D4E"/>
    <w:rsid w:val="00416949"/>
    <w:rsid w:val="00420DBD"/>
    <w:rsid w:val="0042317D"/>
    <w:rsid w:val="00425740"/>
    <w:rsid w:val="00426713"/>
    <w:rsid w:val="0043039C"/>
    <w:rsid w:val="004313C8"/>
    <w:rsid w:val="004370D8"/>
    <w:rsid w:val="00445A2F"/>
    <w:rsid w:val="00466088"/>
    <w:rsid w:val="00472C43"/>
    <w:rsid w:val="004742A5"/>
    <w:rsid w:val="00481532"/>
    <w:rsid w:val="004A002C"/>
    <w:rsid w:val="004A2D0A"/>
    <w:rsid w:val="004A346D"/>
    <w:rsid w:val="004B693E"/>
    <w:rsid w:val="004C4ECC"/>
    <w:rsid w:val="004D56A3"/>
    <w:rsid w:val="004F1571"/>
    <w:rsid w:val="004F2F70"/>
    <w:rsid w:val="00501289"/>
    <w:rsid w:val="00537496"/>
    <w:rsid w:val="00544ED3"/>
    <w:rsid w:val="005814A3"/>
    <w:rsid w:val="00581EB7"/>
    <w:rsid w:val="0058477B"/>
    <w:rsid w:val="0058654F"/>
    <w:rsid w:val="00592D52"/>
    <w:rsid w:val="00595DFE"/>
    <w:rsid w:val="00596ACA"/>
    <w:rsid w:val="005A27FE"/>
    <w:rsid w:val="005B15E0"/>
    <w:rsid w:val="005B46A1"/>
    <w:rsid w:val="005C735D"/>
    <w:rsid w:val="005D5C37"/>
    <w:rsid w:val="005E330A"/>
    <w:rsid w:val="005E39BC"/>
    <w:rsid w:val="005E4E64"/>
    <w:rsid w:val="005E7442"/>
    <w:rsid w:val="005F00A0"/>
    <w:rsid w:val="00605260"/>
    <w:rsid w:val="00615BCF"/>
    <w:rsid w:val="006175F9"/>
    <w:rsid w:val="0062139F"/>
    <w:rsid w:val="00623A47"/>
    <w:rsid w:val="00626628"/>
    <w:rsid w:val="00644251"/>
    <w:rsid w:val="0064648D"/>
    <w:rsid w:val="00647F33"/>
    <w:rsid w:val="00652DD6"/>
    <w:rsid w:val="00662532"/>
    <w:rsid w:val="006739C5"/>
    <w:rsid w:val="0068502C"/>
    <w:rsid w:val="00687A28"/>
    <w:rsid w:val="00687BCE"/>
    <w:rsid w:val="006971E5"/>
    <w:rsid w:val="006A298D"/>
    <w:rsid w:val="006B0868"/>
    <w:rsid w:val="006B2274"/>
    <w:rsid w:val="006B3C46"/>
    <w:rsid w:val="006B61B3"/>
    <w:rsid w:val="006C1E41"/>
    <w:rsid w:val="006C7305"/>
    <w:rsid w:val="006E0A50"/>
    <w:rsid w:val="006E22A3"/>
    <w:rsid w:val="006F2504"/>
    <w:rsid w:val="006F5984"/>
    <w:rsid w:val="0070444D"/>
    <w:rsid w:val="00712B49"/>
    <w:rsid w:val="00713757"/>
    <w:rsid w:val="00717C6F"/>
    <w:rsid w:val="00727A32"/>
    <w:rsid w:val="00740E6D"/>
    <w:rsid w:val="00743540"/>
    <w:rsid w:val="00744424"/>
    <w:rsid w:val="007445DA"/>
    <w:rsid w:val="00746F21"/>
    <w:rsid w:val="007470C1"/>
    <w:rsid w:val="00750395"/>
    <w:rsid w:val="00750D5D"/>
    <w:rsid w:val="00754204"/>
    <w:rsid w:val="00763477"/>
    <w:rsid w:val="007635DC"/>
    <w:rsid w:val="00777B57"/>
    <w:rsid w:val="00780E31"/>
    <w:rsid w:val="00787948"/>
    <w:rsid w:val="00790738"/>
    <w:rsid w:val="00796ABE"/>
    <w:rsid w:val="007B4FD1"/>
    <w:rsid w:val="007C252C"/>
    <w:rsid w:val="007C476E"/>
    <w:rsid w:val="007C737B"/>
    <w:rsid w:val="007D2FCC"/>
    <w:rsid w:val="007D3F32"/>
    <w:rsid w:val="007E0ADD"/>
    <w:rsid w:val="0080226F"/>
    <w:rsid w:val="00802381"/>
    <w:rsid w:val="00807DD2"/>
    <w:rsid w:val="008137C3"/>
    <w:rsid w:val="00817262"/>
    <w:rsid w:val="00837D67"/>
    <w:rsid w:val="00842B70"/>
    <w:rsid w:val="00842CB8"/>
    <w:rsid w:val="00851602"/>
    <w:rsid w:val="0086645E"/>
    <w:rsid w:val="00871B8D"/>
    <w:rsid w:val="00872743"/>
    <w:rsid w:val="00873964"/>
    <w:rsid w:val="00873D73"/>
    <w:rsid w:val="0087473B"/>
    <w:rsid w:val="00883848"/>
    <w:rsid w:val="008906EE"/>
    <w:rsid w:val="00893988"/>
    <w:rsid w:val="00893ABD"/>
    <w:rsid w:val="00896639"/>
    <w:rsid w:val="00897ED5"/>
    <w:rsid w:val="008A090D"/>
    <w:rsid w:val="008B4672"/>
    <w:rsid w:val="008B6BB9"/>
    <w:rsid w:val="008C3A1D"/>
    <w:rsid w:val="008C4E0A"/>
    <w:rsid w:val="008C729D"/>
    <w:rsid w:val="008D72FD"/>
    <w:rsid w:val="008E015B"/>
    <w:rsid w:val="008E158A"/>
    <w:rsid w:val="00902E94"/>
    <w:rsid w:val="00904842"/>
    <w:rsid w:val="00911543"/>
    <w:rsid w:val="00914CB1"/>
    <w:rsid w:val="00914D98"/>
    <w:rsid w:val="00923996"/>
    <w:rsid w:val="009330AA"/>
    <w:rsid w:val="009442EB"/>
    <w:rsid w:val="00946775"/>
    <w:rsid w:val="00946AA2"/>
    <w:rsid w:val="009519C9"/>
    <w:rsid w:val="00962D13"/>
    <w:rsid w:val="009757AD"/>
    <w:rsid w:val="009761A1"/>
    <w:rsid w:val="00982F8A"/>
    <w:rsid w:val="00985E07"/>
    <w:rsid w:val="00990754"/>
    <w:rsid w:val="00992A3F"/>
    <w:rsid w:val="00997B97"/>
    <w:rsid w:val="009A15DF"/>
    <w:rsid w:val="009A36D6"/>
    <w:rsid w:val="009B501D"/>
    <w:rsid w:val="009B7944"/>
    <w:rsid w:val="009C0AA1"/>
    <w:rsid w:val="009D0B86"/>
    <w:rsid w:val="009D12D5"/>
    <w:rsid w:val="009D24DC"/>
    <w:rsid w:val="009E0D5B"/>
    <w:rsid w:val="009E12D2"/>
    <w:rsid w:val="009E1558"/>
    <w:rsid w:val="009E1594"/>
    <w:rsid w:val="009F1F1B"/>
    <w:rsid w:val="00A076C0"/>
    <w:rsid w:val="00A100AF"/>
    <w:rsid w:val="00A204F5"/>
    <w:rsid w:val="00A31702"/>
    <w:rsid w:val="00A4270A"/>
    <w:rsid w:val="00A42898"/>
    <w:rsid w:val="00A6106A"/>
    <w:rsid w:val="00A82CEC"/>
    <w:rsid w:val="00A95E90"/>
    <w:rsid w:val="00A97B5C"/>
    <w:rsid w:val="00A97F29"/>
    <w:rsid w:val="00AA1C17"/>
    <w:rsid w:val="00AB1346"/>
    <w:rsid w:val="00AB6ACE"/>
    <w:rsid w:val="00AC5A3A"/>
    <w:rsid w:val="00AD3A6A"/>
    <w:rsid w:val="00AD6333"/>
    <w:rsid w:val="00AD7114"/>
    <w:rsid w:val="00AE11EA"/>
    <w:rsid w:val="00AF0F7C"/>
    <w:rsid w:val="00AF6CEF"/>
    <w:rsid w:val="00B00AAC"/>
    <w:rsid w:val="00B00F73"/>
    <w:rsid w:val="00B04C21"/>
    <w:rsid w:val="00B10367"/>
    <w:rsid w:val="00B12A31"/>
    <w:rsid w:val="00B14020"/>
    <w:rsid w:val="00B26BEC"/>
    <w:rsid w:val="00B446A1"/>
    <w:rsid w:val="00B44A8F"/>
    <w:rsid w:val="00B5505B"/>
    <w:rsid w:val="00B5591E"/>
    <w:rsid w:val="00B63FB3"/>
    <w:rsid w:val="00B65AAC"/>
    <w:rsid w:val="00B82FA5"/>
    <w:rsid w:val="00B925C7"/>
    <w:rsid w:val="00B97D96"/>
    <w:rsid w:val="00BA02C2"/>
    <w:rsid w:val="00BA162F"/>
    <w:rsid w:val="00BA7460"/>
    <w:rsid w:val="00BB363B"/>
    <w:rsid w:val="00BB420B"/>
    <w:rsid w:val="00BD1400"/>
    <w:rsid w:val="00BD4ABF"/>
    <w:rsid w:val="00BD605C"/>
    <w:rsid w:val="00BD7771"/>
    <w:rsid w:val="00BE2A76"/>
    <w:rsid w:val="00BE6098"/>
    <w:rsid w:val="00BF10E3"/>
    <w:rsid w:val="00BF470B"/>
    <w:rsid w:val="00BF6CB3"/>
    <w:rsid w:val="00C03BB3"/>
    <w:rsid w:val="00C056E4"/>
    <w:rsid w:val="00C062CE"/>
    <w:rsid w:val="00C12ADA"/>
    <w:rsid w:val="00C21BC2"/>
    <w:rsid w:val="00C273CF"/>
    <w:rsid w:val="00C27A84"/>
    <w:rsid w:val="00C36728"/>
    <w:rsid w:val="00C4068A"/>
    <w:rsid w:val="00C4230F"/>
    <w:rsid w:val="00C46FCC"/>
    <w:rsid w:val="00C4734A"/>
    <w:rsid w:val="00C64252"/>
    <w:rsid w:val="00C65E60"/>
    <w:rsid w:val="00C70703"/>
    <w:rsid w:val="00C73409"/>
    <w:rsid w:val="00C77FFE"/>
    <w:rsid w:val="00C83745"/>
    <w:rsid w:val="00C85DA2"/>
    <w:rsid w:val="00C910D5"/>
    <w:rsid w:val="00CA3BD0"/>
    <w:rsid w:val="00CB2766"/>
    <w:rsid w:val="00CC1212"/>
    <w:rsid w:val="00CE5A52"/>
    <w:rsid w:val="00CF0031"/>
    <w:rsid w:val="00CF7AF3"/>
    <w:rsid w:val="00D008DE"/>
    <w:rsid w:val="00D01AA1"/>
    <w:rsid w:val="00D11AF4"/>
    <w:rsid w:val="00D169E4"/>
    <w:rsid w:val="00D2119E"/>
    <w:rsid w:val="00D235BC"/>
    <w:rsid w:val="00D24264"/>
    <w:rsid w:val="00D26ADA"/>
    <w:rsid w:val="00D273AE"/>
    <w:rsid w:val="00D3543E"/>
    <w:rsid w:val="00D35A78"/>
    <w:rsid w:val="00D555A1"/>
    <w:rsid w:val="00D6185F"/>
    <w:rsid w:val="00D64DC2"/>
    <w:rsid w:val="00D66F35"/>
    <w:rsid w:val="00D81832"/>
    <w:rsid w:val="00D838D1"/>
    <w:rsid w:val="00D85063"/>
    <w:rsid w:val="00D85737"/>
    <w:rsid w:val="00D87C6B"/>
    <w:rsid w:val="00D87D97"/>
    <w:rsid w:val="00DA46CA"/>
    <w:rsid w:val="00DD4B4B"/>
    <w:rsid w:val="00DE3395"/>
    <w:rsid w:val="00DE6639"/>
    <w:rsid w:val="00DF21EB"/>
    <w:rsid w:val="00DF5A5B"/>
    <w:rsid w:val="00E029AB"/>
    <w:rsid w:val="00E07CE2"/>
    <w:rsid w:val="00E1391B"/>
    <w:rsid w:val="00E20E70"/>
    <w:rsid w:val="00E25B68"/>
    <w:rsid w:val="00E35D22"/>
    <w:rsid w:val="00E437DA"/>
    <w:rsid w:val="00E605AB"/>
    <w:rsid w:val="00E624D9"/>
    <w:rsid w:val="00E67D2E"/>
    <w:rsid w:val="00E753BC"/>
    <w:rsid w:val="00E802D9"/>
    <w:rsid w:val="00E84003"/>
    <w:rsid w:val="00E846E6"/>
    <w:rsid w:val="00E8721B"/>
    <w:rsid w:val="00E94900"/>
    <w:rsid w:val="00E95CCC"/>
    <w:rsid w:val="00EA482D"/>
    <w:rsid w:val="00EA6592"/>
    <w:rsid w:val="00EA72ED"/>
    <w:rsid w:val="00EA7BB5"/>
    <w:rsid w:val="00EB002D"/>
    <w:rsid w:val="00EC10FC"/>
    <w:rsid w:val="00ED0F36"/>
    <w:rsid w:val="00ED721D"/>
    <w:rsid w:val="00EE0041"/>
    <w:rsid w:val="00EE29B9"/>
    <w:rsid w:val="00EE398E"/>
    <w:rsid w:val="00F004EE"/>
    <w:rsid w:val="00F0165B"/>
    <w:rsid w:val="00F03C2C"/>
    <w:rsid w:val="00F05F32"/>
    <w:rsid w:val="00F23E8C"/>
    <w:rsid w:val="00F36D6D"/>
    <w:rsid w:val="00F42E23"/>
    <w:rsid w:val="00F45EEE"/>
    <w:rsid w:val="00F51E9C"/>
    <w:rsid w:val="00F523CA"/>
    <w:rsid w:val="00F57B5B"/>
    <w:rsid w:val="00F67C9D"/>
    <w:rsid w:val="00F74A9D"/>
    <w:rsid w:val="00F75268"/>
    <w:rsid w:val="00F85E80"/>
    <w:rsid w:val="00F90DF3"/>
    <w:rsid w:val="00F91AED"/>
    <w:rsid w:val="00F97085"/>
    <w:rsid w:val="00FA34CA"/>
    <w:rsid w:val="00FB34F3"/>
    <w:rsid w:val="00FD2ADB"/>
    <w:rsid w:val="00FE5BA1"/>
    <w:rsid w:val="00FE735A"/>
    <w:rsid w:val="00FF386F"/>
    <w:rsid w:val="00FF4A34"/>
    <w:rsid w:val="00FF61A7"/>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Strong" w:uiPriority="22"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customStyle="1" w:styleId="cf01">
    <w:name w:val="cf01"/>
    <w:basedOn w:val="DefaultParagraphFont"/>
    <w:rsid w:val="00893988"/>
    <w:rPr>
      <w:rFonts w:ascii="Segoe UI" w:hAnsi="Segoe UI" w:cs="Segoe UI" w:hint="default"/>
      <w:sz w:val="18"/>
      <w:szCs w:val="18"/>
    </w:rPr>
  </w:style>
  <w:style w:type="paragraph" w:styleId="ListParagraph">
    <w:name w:val="List Paragraph"/>
    <w:basedOn w:val="Normal"/>
    <w:uiPriority w:val="49"/>
    <w:locked/>
    <w:rsid w:val="00893988"/>
    <w:pPr>
      <w:ind w:left="720"/>
      <w:contextualSpacing/>
    </w:pPr>
  </w:style>
  <w:style w:type="character" w:styleId="Strong">
    <w:name w:val="Strong"/>
    <w:basedOn w:val="DefaultParagraphFont"/>
    <w:uiPriority w:val="22"/>
    <w:qFormat/>
    <w:locked/>
    <w:rsid w:val="00F85E80"/>
    <w:rPr>
      <w:b/>
      <w:bCs/>
    </w:rPr>
  </w:style>
  <w:style w:type="character" w:styleId="Hyperlink">
    <w:name w:val="Hyperlink"/>
    <w:basedOn w:val="DefaultParagraphFont"/>
    <w:uiPriority w:val="99"/>
    <w:unhideWhenUsed/>
    <w:locked/>
    <w:rsid w:val="00F85E80"/>
    <w:rPr>
      <w:color w:val="0000FF"/>
      <w:u w:val="single"/>
    </w:rPr>
  </w:style>
  <w:style w:type="character" w:styleId="UnresolvedMention">
    <w:name w:val="Unresolved Mention"/>
    <w:basedOn w:val="DefaultParagraphFont"/>
    <w:uiPriority w:val="99"/>
    <w:semiHidden/>
    <w:unhideWhenUsed/>
    <w:rsid w:val="000416BE"/>
    <w:rPr>
      <w:color w:val="605E5C"/>
      <w:shd w:val="clear" w:color="auto" w:fill="E1DFDD"/>
    </w:rPr>
  </w:style>
  <w:style w:type="paragraph" w:styleId="Revision">
    <w:name w:val="Revision"/>
    <w:hidden/>
    <w:uiPriority w:val="99"/>
    <w:semiHidden/>
    <w:rsid w:val="000C07D0"/>
    <w:rPr>
      <w:sz w:val="22"/>
      <w:lang w:eastAsia="en-US"/>
    </w:rPr>
  </w:style>
  <w:style w:type="character" w:styleId="CommentReference">
    <w:name w:val="annotation reference"/>
    <w:basedOn w:val="DefaultParagraphFont"/>
    <w:uiPriority w:val="49"/>
    <w:locked/>
    <w:rsid w:val="002349CC"/>
    <w:rPr>
      <w:sz w:val="16"/>
      <w:szCs w:val="16"/>
    </w:rPr>
  </w:style>
  <w:style w:type="paragraph" w:styleId="CommentText">
    <w:name w:val="annotation text"/>
    <w:basedOn w:val="Normal"/>
    <w:link w:val="CommentTextChar"/>
    <w:uiPriority w:val="49"/>
    <w:locked/>
    <w:rsid w:val="002349CC"/>
    <w:rPr>
      <w:sz w:val="20"/>
    </w:rPr>
  </w:style>
  <w:style w:type="character" w:customStyle="1" w:styleId="CommentTextChar">
    <w:name w:val="Comment Text Char"/>
    <w:basedOn w:val="DefaultParagraphFont"/>
    <w:link w:val="CommentText"/>
    <w:uiPriority w:val="49"/>
    <w:rsid w:val="002349CC"/>
    <w:rPr>
      <w:lang w:eastAsia="en-US"/>
    </w:rPr>
  </w:style>
  <w:style w:type="paragraph" w:styleId="CommentSubject">
    <w:name w:val="annotation subject"/>
    <w:basedOn w:val="CommentText"/>
    <w:next w:val="CommentText"/>
    <w:link w:val="CommentSubjectChar"/>
    <w:uiPriority w:val="49"/>
    <w:locked/>
    <w:rsid w:val="002349CC"/>
    <w:rPr>
      <w:b/>
      <w:bCs/>
    </w:rPr>
  </w:style>
  <w:style w:type="character" w:customStyle="1" w:styleId="CommentSubjectChar">
    <w:name w:val="Comment Subject Char"/>
    <w:basedOn w:val="CommentTextChar"/>
    <w:link w:val="CommentSubject"/>
    <w:uiPriority w:val="49"/>
    <w:rsid w:val="002349C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nna.williams@nrc.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Eaton@cnsc-ccsn.gc.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8" ma:contentTypeDescription="Create a new document." ma:contentTypeScope="" ma:versionID="706e1e1a19e6bcac9af6f9b25f013306">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b823e23262a65f28fefb37aa2d5997b1"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d237bd7-9e69-4f09-9125-af670c98d27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2A2B736-5640-4B50-A160-A4F6748EBB11}">
  <ds:schemaRefs>
    <ds:schemaRef ds:uri="http://schemas.microsoft.com/sharepoint/v3/contenttype/forms"/>
  </ds:schemaRefs>
</ds:datastoreItem>
</file>

<file path=customXml/itemProps2.xml><?xml version="1.0" encoding="utf-8"?>
<ds:datastoreItem xmlns:ds="http://schemas.openxmlformats.org/officeDocument/2006/customXml" ds:itemID="{0695406D-51E4-4570-98B0-C501FC090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customXml/itemProps4.xml><?xml version="1.0" encoding="utf-8"?>
<ds:datastoreItem xmlns:ds="http://schemas.openxmlformats.org/officeDocument/2006/customXml" ds:itemID="{05A97826-30EE-4053-B637-9AB7F55606F0}">
  <ds:schemaRefs>
    <ds:schemaRef ds:uri="http://schemas.microsoft.com/office/2006/metadata/properties"/>
    <ds:schemaRef ds:uri="http://schemas.microsoft.com/office/infopath/2007/PartnerControls"/>
    <ds:schemaRef ds:uri="http://schemas.microsoft.com/sharepoint/v3"/>
    <ds:schemaRef ds:uri="bd237bd7-9e69-4f09-9125-af670c98d274"/>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IAEA Blank (r01)</Template>
  <TotalTime>5</TotalTime>
  <Pages>6</Pages>
  <Words>3332</Words>
  <Characters>18998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Donna Williams</cp:lastModifiedBy>
  <cp:revision>2</cp:revision>
  <cp:lastPrinted>2024-03-19T13:52:00Z</cp:lastPrinted>
  <dcterms:created xsi:type="dcterms:W3CDTF">2024-05-28T15:42:00Z</dcterms:created>
  <dcterms:modified xsi:type="dcterms:W3CDTF">2024-05-28T15:42:00Z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0x0101006BDAEF12599C9645A92A1EF53F53C74D</vt:lpwstr>
  </property>
</Properties>
</file>