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7BE1" w14:textId="77777777" w:rsidR="00F97B28" w:rsidRDefault="00F97B28" w:rsidP="00537496">
      <w:pPr>
        <w:pStyle w:val="Titre1"/>
      </w:pPr>
      <w:r>
        <w:t>STEEL-CONCRETE MODULAR CONSTRUCTION.</w:t>
      </w:r>
    </w:p>
    <w:p w14:paraId="2391928B" w14:textId="14952693" w:rsidR="00B82FA5" w:rsidRDefault="004A2940" w:rsidP="00537496">
      <w:pPr>
        <w:pStyle w:val="Titre1"/>
      </w:pPr>
      <w:r>
        <w:t>ECONOMIC IMPACT ON THE LEVELI</w:t>
      </w:r>
      <w:r w:rsidR="00255978">
        <w:t>ZED COST OF ELECTRICTY</w:t>
      </w:r>
      <w:r w:rsidR="001F5B86">
        <w:t xml:space="preserve"> </w:t>
      </w:r>
      <w:r w:rsidR="00B459C7">
        <w:t>FOR</w:t>
      </w:r>
      <w:r w:rsidR="001F5B86">
        <w:t xml:space="preserve"> LARGE REACTORS OR SMR</w:t>
      </w:r>
    </w:p>
    <w:p w14:paraId="4D1B799F" w14:textId="278FE7CF" w:rsidR="00802381" w:rsidRDefault="00802381" w:rsidP="00537496">
      <w:pPr>
        <w:pStyle w:val="Authornameandaffiliation"/>
      </w:pPr>
    </w:p>
    <w:p w14:paraId="32159D0F" w14:textId="37CFFC45" w:rsidR="003B5E0E" w:rsidRPr="00702DA7" w:rsidRDefault="00702DA7" w:rsidP="00537496">
      <w:pPr>
        <w:pStyle w:val="Authornameandaffiliation"/>
        <w:rPr>
          <w:lang w:val="fr-FR"/>
        </w:rPr>
      </w:pPr>
      <w:r w:rsidRPr="00702DA7">
        <w:rPr>
          <w:lang w:val="fr-FR"/>
        </w:rPr>
        <w:t>PM. ALLIARD, J. NIEPCERON, G. CROZET, V. MA</w:t>
      </w:r>
      <w:r>
        <w:rPr>
          <w:lang w:val="fr-FR"/>
        </w:rPr>
        <w:t>UPU</w:t>
      </w:r>
    </w:p>
    <w:p w14:paraId="02370931" w14:textId="1FC13972" w:rsidR="00FF386F" w:rsidRDefault="00702DA7" w:rsidP="00537496">
      <w:pPr>
        <w:pStyle w:val="Authornameandaffiliation"/>
      </w:pPr>
      <w:proofErr w:type="spellStart"/>
      <w:r>
        <w:t>Nuward</w:t>
      </w:r>
      <w:proofErr w:type="spellEnd"/>
      <w:r>
        <w:t xml:space="preserve"> </w:t>
      </w:r>
      <w:proofErr w:type="spellStart"/>
      <w:r>
        <w:t>Edf</w:t>
      </w:r>
      <w:proofErr w:type="spellEnd"/>
    </w:p>
    <w:p w14:paraId="14684DE2" w14:textId="7335594A" w:rsidR="00FF386F" w:rsidRDefault="00702DA7" w:rsidP="00537496">
      <w:pPr>
        <w:pStyle w:val="Authornameandaffiliation"/>
      </w:pPr>
      <w:r>
        <w:t>Lyon</w:t>
      </w:r>
      <w:r w:rsidR="00FF386F">
        <w:t xml:space="preserve">, </w:t>
      </w:r>
      <w:r>
        <w:t>France</w:t>
      </w:r>
    </w:p>
    <w:p w14:paraId="0080899C" w14:textId="32CF723B" w:rsidR="00FF386F" w:rsidRDefault="00FF386F" w:rsidP="00537496">
      <w:pPr>
        <w:pStyle w:val="Authornameandaffiliation"/>
      </w:pPr>
      <w:r>
        <w:t xml:space="preserve">Email: </w:t>
      </w:r>
      <w:r w:rsidR="00702DA7">
        <w:t>pierre-marie.alliard@nuward.com</w:t>
      </w:r>
    </w:p>
    <w:p w14:paraId="5E2BDA1F" w14:textId="77777777" w:rsidR="00FF386F" w:rsidRDefault="00FF386F" w:rsidP="00537496">
      <w:pPr>
        <w:pStyle w:val="Authornameandaffiliation"/>
      </w:pPr>
    </w:p>
    <w:p w14:paraId="13301C85" w14:textId="77777777" w:rsidR="00A65AEF" w:rsidRPr="00647F33" w:rsidRDefault="00A65AEF" w:rsidP="00A65AEF">
      <w:pPr>
        <w:pStyle w:val="Authornameandaffiliation"/>
        <w:rPr>
          <w:b/>
        </w:rPr>
      </w:pPr>
      <w:r w:rsidRPr="00647F33">
        <w:rPr>
          <w:b/>
        </w:rPr>
        <w:t>Abstract</w:t>
      </w:r>
    </w:p>
    <w:p w14:paraId="37C2E4B9" w14:textId="77777777" w:rsidR="00A65AEF" w:rsidRDefault="00A65AEF" w:rsidP="00A65AEF">
      <w:pPr>
        <w:pStyle w:val="Authornameandaffiliation"/>
      </w:pPr>
    </w:p>
    <w:p w14:paraId="7219CA55" w14:textId="36A79C95" w:rsidR="00393096" w:rsidRDefault="00CE29AB" w:rsidP="005B1D0A">
      <w:pPr>
        <w:pStyle w:val="Abstracttext"/>
        <w:jc w:val="both"/>
      </w:pPr>
      <w:r w:rsidRPr="00CE29AB">
        <w:t>For nuclear power to remain an attractive option in the next decades, the cost of electricity must remain competitive with alternative sources, whereas investors and public acceptance have been eroded by new build projects costs overrun.</w:t>
      </w:r>
      <w:r w:rsidR="00D577DA" w:rsidRPr="00FD35D9">
        <w:t xml:space="preserve"> </w:t>
      </w:r>
      <w:r w:rsidRPr="00CE29AB">
        <w:t xml:space="preserve">Lots of reports have been published on means to stop the construction costs escalation that was observed for large reactors in the Western countries (OECD/NEA, IAEA). Regarding SMRs, the challenge to develop a viable business model is bigger, especially how to unlock cost reductions to compensate diseconomies of scale. Steel-Concrete Structures (SCS) is one of the possible economic drivers, by reduced Interests During Construction (IDC), indirect costs and owner’s costs from the shorter schedule. However, outside generalities or technical evaluations, there is a lack of information on supplementary direct costs that may lessen the savings; moreover, the expected gain compared to reinforced concrete (RC) </w:t>
      </w:r>
      <w:r w:rsidR="007D3D2D" w:rsidRPr="00FD35D9">
        <w:t>was rarely</w:t>
      </w:r>
      <w:r w:rsidRPr="00CE29AB">
        <w:t xml:space="preserve"> quantified in the literary in terms of reactor economic performance, namely the cost of electricity (LCOE) all included (capitalized cost, operation &amp; maintenance, fuel, dismantling).</w:t>
      </w:r>
      <w:r w:rsidR="007D3D2D" w:rsidRPr="00FD35D9">
        <w:t xml:space="preserve"> </w:t>
      </w:r>
      <w:r w:rsidRPr="00CE29AB">
        <w:t xml:space="preserve">From the feedback of the SCHEDULE RFCS EU funded project 800732 (full-scale ultimate safety building in SCS), we </w:t>
      </w:r>
      <w:r w:rsidR="001B0565">
        <w:t xml:space="preserve">have </w:t>
      </w:r>
      <w:r w:rsidRPr="00CE29AB">
        <w:t xml:space="preserve">developed a simplified model to assess the </w:t>
      </w:r>
      <w:r w:rsidR="00AC0078">
        <w:t xml:space="preserve">economic performance </w:t>
      </w:r>
      <w:r w:rsidRPr="00CE29AB">
        <w:t>sensitivity</w:t>
      </w:r>
      <w:r w:rsidR="00B076B0">
        <w:t xml:space="preserve"> to the construction method</w:t>
      </w:r>
      <w:r w:rsidRPr="00CE29AB">
        <w:t xml:space="preserve"> </w:t>
      </w:r>
      <w:r w:rsidR="005B1D0A" w:rsidRPr="005B1D0A">
        <w:t xml:space="preserve">for different confidence levels, reactor sizes, and </w:t>
      </w:r>
      <w:r w:rsidR="008A406A">
        <w:t>weighted average cost of capital</w:t>
      </w:r>
      <w:r w:rsidR="00C863D3">
        <w:t xml:space="preserve"> (WACC)</w:t>
      </w:r>
      <w:r w:rsidR="00393096">
        <w:t>.</w:t>
      </w:r>
    </w:p>
    <w:p w14:paraId="46B60028" w14:textId="48EBBD2C" w:rsidR="00393096" w:rsidRDefault="00393096" w:rsidP="005B1D0A">
      <w:pPr>
        <w:pStyle w:val="Abstracttext"/>
        <w:jc w:val="both"/>
      </w:pPr>
    </w:p>
    <w:p w14:paraId="27673F34" w14:textId="60CA1502" w:rsidR="0082114A" w:rsidRPr="00BD605C" w:rsidRDefault="0082114A" w:rsidP="00975B98">
      <w:pPr>
        <w:pStyle w:val="Abstracttext"/>
        <w:ind w:firstLine="0"/>
        <w:jc w:val="both"/>
      </w:pPr>
    </w:p>
    <w:p w14:paraId="03C6D75B" w14:textId="18537583" w:rsidR="00647F33" w:rsidRDefault="00492158" w:rsidP="00537496">
      <w:pPr>
        <w:pStyle w:val="Titre2"/>
        <w:numPr>
          <w:ilvl w:val="1"/>
          <w:numId w:val="10"/>
        </w:numPr>
      </w:pPr>
      <w:r>
        <w:t xml:space="preserve">THE CHALLENGE OF </w:t>
      </w:r>
      <w:r w:rsidR="00FF7DA3">
        <w:t>nuclear</w:t>
      </w:r>
      <w:r>
        <w:t xml:space="preserve"> </w:t>
      </w:r>
      <w:r w:rsidR="00D25C18">
        <w:t>cost</w:t>
      </w:r>
      <w:r w:rsidR="00917FD2">
        <w:t>s</w:t>
      </w:r>
    </w:p>
    <w:p w14:paraId="436A9A5F" w14:textId="6125653C" w:rsidR="0073472C" w:rsidRDefault="00CF1338" w:rsidP="0073472C">
      <w:pPr>
        <w:pStyle w:val="Corpsdetexte"/>
        <w:rPr>
          <w:lang w:val="en-US"/>
        </w:rPr>
      </w:pPr>
      <w:r>
        <w:rPr>
          <w:lang w:val="en-US"/>
        </w:rPr>
        <w:t xml:space="preserve">The nuclear power </w:t>
      </w:r>
      <w:r w:rsidR="009A7C46">
        <w:rPr>
          <w:lang w:val="en-US"/>
        </w:rPr>
        <w:t xml:space="preserve">competitiveness </w:t>
      </w:r>
      <w:r w:rsidR="00C1260E">
        <w:rPr>
          <w:lang w:val="en-US"/>
        </w:rPr>
        <w:t>with alternative sources to</w:t>
      </w:r>
      <w:r w:rsidR="00242A06">
        <w:rPr>
          <w:lang w:val="en-US"/>
        </w:rPr>
        <w:t>wards a free-carbon world</w:t>
      </w:r>
      <w:r w:rsidR="00C1260E">
        <w:rPr>
          <w:lang w:val="en-US"/>
        </w:rPr>
        <w:t xml:space="preserve"> </w:t>
      </w:r>
      <w:r w:rsidR="00E87D68">
        <w:rPr>
          <w:lang w:val="en-US"/>
        </w:rPr>
        <w:t>must</w:t>
      </w:r>
      <w:r>
        <w:rPr>
          <w:lang w:val="en-US"/>
        </w:rPr>
        <w:t xml:space="preserve"> face </w:t>
      </w:r>
      <w:r w:rsidR="000C382C">
        <w:rPr>
          <w:lang w:val="en-US"/>
        </w:rPr>
        <w:t>not only the public acceptance</w:t>
      </w:r>
      <w:r w:rsidR="00BA1A4E">
        <w:rPr>
          <w:lang w:val="en-US"/>
        </w:rPr>
        <w:t xml:space="preserve">, but also </w:t>
      </w:r>
      <w:r w:rsidR="00423132">
        <w:rPr>
          <w:lang w:val="en-US"/>
        </w:rPr>
        <w:t xml:space="preserve">the </w:t>
      </w:r>
      <w:r w:rsidR="00BA1A4E">
        <w:rPr>
          <w:lang w:val="en-US"/>
        </w:rPr>
        <w:t xml:space="preserve">investors and utilities </w:t>
      </w:r>
      <w:r w:rsidR="00307533">
        <w:rPr>
          <w:lang w:val="en-US"/>
        </w:rPr>
        <w:t xml:space="preserve">economic </w:t>
      </w:r>
      <w:r w:rsidR="00BA1A4E">
        <w:rPr>
          <w:lang w:val="en-US"/>
        </w:rPr>
        <w:t>evaluation</w:t>
      </w:r>
      <w:r w:rsidR="00423132">
        <w:rPr>
          <w:lang w:val="en-US"/>
        </w:rPr>
        <w:t xml:space="preserve"> in </w:t>
      </w:r>
      <w:r w:rsidR="0069681A">
        <w:rPr>
          <w:lang w:val="en-US"/>
        </w:rPr>
        <w:t>deregulated market</w:t>
      </w:r>
      <w:r w:rsidR="00276874">
        <w:rPr>
          <w:lang w:val="en-US"/>
        </w:rPr>
        <w:t xml:space="preserve">. </w:t>
      </w:r>
      <w:r w:rsidR="00D866F8">
        <w:rPr>
          <w:lang w:val="en-US"/>
        </w:rPr>
        <w:t xml:space="preserve">Besides safety </w:t>
      </w:r>
      <w:r w:rsidR="0056676B" w:rsidRPr="00416061">
        <w:rPr>
          <w:lang w:val="en-US"/>
        </w:rPr>
        <w:t xml:space="preserve">and environmental impact, the </w:t>
      </w:r>
      <w:r w:rsidR="004A756C" w:rsidRPr="00416061">
        <w:rPr>
          <w:lang w:val="en-US"/>
        </w:rPr>
        <w:t xml:space="preserve">history of </w:t>
      </w:r>
      <w:r w:rsidR="006E5651" w:rsidRPr="00416061">
        <w:rPr>
          <w:lang w:val="en-US"/>
        </w:rPr>
        <w:t xml:space="preserve">nuclear costs, including the cost of capital and </w:t>
      </w:r>
      <w:r w:rsidR="00DF3678" w:rsidRPr="00416061">
        <w:rPr>
          <w:lang w:val="en-US"/>
        </w:rPr>
        <w:t xml:space="preserve">the construction </w:t>
      </w:r>
      <w:r w:rsidR="00160304" w:rsidRPr="00416061">
        <w:rPr>
          <w:lang w:val="en-US"/>
        </w:rPr>
        <w:t>duration</w:t>
      </w:r>
      <w:r w:rsidR="003660DC">
        <w:rPr>
          <w:lang w:val="en-US"/>
        </w:rPr>
        <w:t xml:space="preserve"> related costs</w:t>
      </w:r>
      <w:r w:rsidR="00160304" w:rsidRPr="00416061">
        <w:rPr>
          <w:lang w:val="en-US"/>
        </w:rPr>
        <w:t xml:space="preserve">, </w:t>
      </w:r>
      <w:r w:rsidR="00D319DB" w:rsidRPr="00416061">
        <w:rPr>
          <w:lang w:val="en-US"/>
        </w:rPr>
        <w:t xml:space="preserve">has shown </w:t>
      </w:r>
      <w:r w:rsidR="0042145C">
        <w:rPr>
          <w:lang w:val="en-US"/>
        </w:rPr>
        <w:t>h</w:t>
      </w:r>
      <w:r w:rsidR="00E87D68">
        <w:rPr>
          <w:lang w:val="en-US"/>
        </w:rPr>
        <w:t>igh</w:t>
      </w:r>
      <w:r w:rsidR="0042145C">
        <w:rPr>
          <w:lang w:val="en-US"/>
        </w:rPr>
        <w:t xml:space="preserve"> </w:t>
      </w:r>
      <w:r w:rsidR="00D319DB" w:rsidRPr="00416061">
        <w:rPr>
          <w:lang w:val="en-US"/>
        </w:rPr>
        <w:t>overruns</w:t>
      </w:r>
      <w:r w:rsidR="000A0DDA" w:rsidRPr="00416061">
        <w:rPr>
          <w:lang w:val="en-US"/>
        </w:rPr>
        <w:t xml:space="preserve"> </w:t>
      </w:r>
      <w:r w:rsidR="0042145C" w:rsidRPr="0073472C">
        <w:rPr>
          <w:lang w:val="en-US"/>
        </w:rPr>
        <w:t xml:space="preserve">for </w:t>
      </w:r>
      <w:r w:rsidR="002E2296">
        <w:rPr>
          <w:lang w:val="en-US"/>
        </w:rPr>
        <w:t xml:space="preserve">new build </w:t>
      </w:r>
      <w:r w:rsidR="0042145C" w:rsidRPr="0073472C">
        <w:rPr>
          <w:lang w:val="en-US"/>
        </w:rPr>
        <w:t>large reactors in the Western countries</w:t>
      </w:r>
      <w:r w:rsidR="0042145C">
        <w:rPr>
          <w:lang w:val="en-US"/>
        </w:rPr>
        <w:t>,</w:t>
      </w:r>
      <w:r w:rsidR="0042145C" w:rsidRPr="00416061">
        <w:rPr>
          <w:lang w:val="en-US"/>
        </w:rPr>
        <w:t xml:space="preserve"> </w:t>
      </w:r>
      <w:r w:rsidR="000A0DDA" w:rsidRPr="00416061">
        <w:rPr>
          <w:lang w:val="en-US"/>
        </w:rPr>
        <w:t>that</w:t>
      </w:r>
      <w:r w:rsidR="000A0DDA">
        <w:rPr>
          <w:lang w:val="en-US"/>
        </w:rPr>
        <w:t xml:space="preserve"> </w:t>
      </w:r>
      <w:r w:rsidR="00630CB1">
        <w:rPr>
          <w:lang w:val="en-US"/>
        </w:rPr>
        <w:t xml:space="preserve">finally </w:t>
      </w:r>
      <w:r w:rsidR="000A0DDA">
        <w:rPr>
          <w:lang w:val="en-US"/>
        </w:rPr>
        <w:t>impair</w:t>
      </w:r>
      <w:r w:rsidR="00CF061C">
        <w:rPr>
          <w:lang w:val="en-US"/>
        </w:rPr>
        <w:t xml:space="preserve"> confidence in </w:t>
      </w:r>
      <w:r w:rsidR="00630CB1">
        <w:rPr>
          <w:lang w:val="en-US"/>
        </w:rPr>
        <w:t xml:space="preserve">the </w:t>
      </w:r>
      <w:r w:rsidR="00416061">
        <w:rPr>
          <w:lang w:val="en-US"/>
        </w:rPr>
        <w:t xml:space="preserve">next </w:t>
      </w:r>
      <w:r w:rsidR="00F343D9">
        <w:rPr>
          <w:lang w:val="en-US"/>
        </w:rPr>
        <w:t>gi</w:t>
      </w:r>
      <w:r w:rsidR="00CF061C">
        <w:rPr>
          <w:lang w:val="en-US"/>
        </w:rPr>
        <w:t>ga</w:t>
      </w:r>
      <w:r w:rsidR="00F343D9">
        <w:rPr>
          <w:lang w:val="en-US"/>
        </w:rPr>
        <w:t xml:space="preserve">watt </w:t>
      </w:r>
      <w:r w:rsidR="00CF061C">
        <w:rPr>
          <w:lang w:val="en-US"/>
        </w:rPr>
        <w:t>projects</w:t>
      </w:r>
      <w:r w:rsidR="0073472C" w:rsidRPr="0073472C">
        <w:rPr>
          <w:lang w:val="en-US"/>
        </w:rPr>
        <w:t xml:space="preserve">. Lots of reports have been </w:t>
      </w:r>
      <w:r w:rsidR="00A73233">
        <w:rPr>
          <w:lang w:val="en-US"/>
        </w:rPr>
        <w:t xml:space="preserve">already </w:t>
      </w:r>
      <w:r w:rsidR="0073472C" w:rsidRPr="0073472C">
        <w:rPr>
          <w:lang w:val="en-US"/>
        </w:rPr>
        <w:t xml:space="preserve">published on </w:t>
      </w:r>
      <w:r w:rsidR="00B51BA5">
        <w:rPr>
          <w:lang w:val="en-US"/>
        </w:rPr>
        <w:t>tools</w:t>
      </w:r>
      <w:r w:rsidR="0073472C" w:rsidRPr="0073472C">
        <w:rPr>
          <w:lang w:val="en-US"/>
        </w:rPr>
        <w:t xml:space="preserve"> to mitigate the construction costs escalation (ref.</w:t>
      </w:r>
      <w:r w:rsidR="00875715">
        <w:rPr>
          <w:lang w:val="en-US"/>
        </w:rPr>
        <w:t xml:space="preserve"> </w:t>
      </w:r>
      <w:r w:rsidR="00873794">
        <w:rPr>
          <w:lang w:val="en-US"/>
        </w:rPr>
        <w:fldChar w:fldCharType="begin"/>
      </w:r>
      <w:r w:rsidR="00873794">
        <w:rPr>
          <w:lang w:val="en-US"/>
        </w:rPr>
        <w:instrText xml:space="preserve"> REF _Ref163577765 \r \h </w:instrText>
      </w:r>
      <w:r w:rsidR="00873794">
        <w:rPr>
          <w:lang w:val="en-US"/>
        </w:rPr>
      </w:r>
      <w:r w:rsidR="00873794">
        <w:rPr>
          <w:lang w:val="en-US"/>
        </w:rPr>
        <w:fldChar w:fldCharType="separate"/>
      </w:r>
      <w:r w:rsidR="0022757A">
        <w:rPr>
          <w:lang w:val="en-US"/>
        </w:rPr>
        <w:t>[1]</w:t>
      </w:r>
      <w:r w:rsidR="00873794">
        <w:rPr>
          <w:lang w:val="en-US"/>
        </w:rPr>
        <w:fldChar w:fldCharType="end"/>
      </w:r>
      <w:r w:rsidR="00873794">
        <w:rPr>
          <w:lang w:val="en-US"/>
        </w:rPr>
        <w:t xml:space="preserve"> ; </w:t>
      </w:r>
      <w:r w:rsidR="00873794">
        <w:rPr>
          <w:lang w:val="en-US"/>
        </w:rPr>
        <w:fldChar w:fldCharType="begin"/>
      </w:r>
      <w:r w:rsidR="00873794">
        <w:rPr>
          <w:lang w:val="en-US"/>
        </w:rPr>
        <w:instrText xml:space="preserve"> REF _Ref163577766 \r \h </w:instrText>
      </w:r>
      <w:r w:rsidR="00873794">
        <w:rPr>
          <w:lang w:val="en-US"/>
        </w:rPr>
      </w:r>
      <w:r w:rsidR="00873794">
        <w:rPr>
          <w:lang w:val="en-US"/>
        </w:rPr>
        <w:fldChar w:fldCharType="separate"/>
      </w:r>
      <w:r w:rsidR="0022757A">
        <w:rPr>
          <w:lang w:val="en-US"/>
        </w:rPr>
        <w:t>[2]</w:t>
      </w:r>
      <w:r w:rsidR="00873794">
        <w:rPr>
          <w:lang w:val="en-US"/>
        </w:rPr>
        <w:fldChar w:fldCharType="end"/>
      </w:r>
      <w:r w:rsidR="00846703">
        <w:rPr>
          <w:lang w:val="en-US"/>
        </w:rPr>
        <w:t xml:space="preserve"> </w:t>
      </w:r>
      <w:r w:rsidR="00873794">
        <w:rPr>
          <w:lang w:val="en-US"/>
        </w:rPr>
        <w:t>;</w:t>
      </w:r>
      <w:r w:rsidR="00846703">
        <w:rPr>
          <w:lang w:val="en-US"/>
        </w:rPr>
        <w:t xml:space="preserve"> </w:t>
      </w:r>
      <w:r w:rsidR="00873794">
        <w:rPr>
          <w:lang w:val="en-US"/>
        </w:rPr>
        <w:fldChar w:fldCharType="begin"/>
      </w:r>
      <w:r w:rsidR="00873794">
        <w:rPr>
          <w:lang w:val="en-US"/>
        </w:rPr>
        <w:instrText xml:space="preserve"> REF _Ref163577769 \r \h </w:instrText>
      </w:r>
      <w:r w:rsidR="00873794">
        <w:rPr>
          <w:lang w:val="en-US"/>
        </w:rPr>
      </w:r>
      <w:r w:rsidR="00873794">
        <w:rPr>
          <w:lang w:val="en-US"/>
        </w:rPr>
        <w:fldChar w:fldCharType="separate"/>
      </w:r>
      <w:r w:rsidR="0022757A">
        <w:rPr>
          <w:lang w:val="en-US"/>
        </w:rPr>
        <w:t>[3]</w:t>
      </w:r>
      <w:r w:rsidR="00873794">
        <w:rPr>
          <w:lang w:val="en-US"/>
        </w:rPr>
        <w:fldChar w:fldCharType="end"/>
      </w:r>
      <w:r w:rsidR="00846703">
        <w:rPr>
          <w:lang w:val="en-US"/>
        </w:rPr>
        <w:t xml:space="preserve"> </w:t>
      </w:r>
      <w:r w:rsidR="00873794">
        <w:rPr>
          <w:lang w:val="en-US"/>
        </w:rPr>
        <w:t>;</w:t>
      </w:r>
      <w:r w:rsidR="00846703">
        <w:rPr>
          <w:lang w:val="en-US"/>
        </w:rPr>
        <w:t xml:space="preserve"> </w:t>
      </w:r>
      <w:r w:rsidR="00873794">
        <w:rPr>
          <w:lang w:val="en-US"/>
        </w:rPr>
        <w:fldChar w:fldCharType="begin"/>
      </w:r>
      <w:r w:rsidR="00873794">
        <w:rPr>
          <w:lang w:val="en-US"/>
        </w:rPr>
        <w:instrText xml:space="preserve"> REF _Ref163577771 \r \h </w:instrText>
      </w:r>
      <w:r w:rsidR="00873794">
        <w:rPr>
          <w:lang w:val="en-US"/>
        </w:rPr>
      </w:r>
      <w:r w:rsidR="00873794">
        <w:rPr>
          <w:lang w:val="en-US"/>
        </w:rPr>
        <w:fldChar w:fldCharType="separate"/>
      </w:r>
      <w:r w:rsidR="0022757A">
        <w:rPr>
          <w:lang w:val="en-US"/>
        </w:rPr>
        <w:t>[4]</w:t>
      </w:r>
      <w:r w:rsidR="00873794">
        <w:rPr>
          <w:lang w:val="en-US"/>
        </w:rPr>
        <w:fldChar w:fldCharType="end"/>
      </w:r>
      <w:r w:rsidR="00846703">
        <w:rPr>
          <w:lang w:val="en-US"/>
        </w:rPr>
        <w:t xml:space="preserve"> </w:t>
      </w:r>
      <w:r w:rsidR="00873794">
        <w:rPr>
          <w:lang w:val="en-US"/>
        </w:rPr>
        <w:t>;</w:t>
      </w:r>
      <w:r w:rsidR="00743F2E">
        <w:rPr>
          <w:lang w:val="en-US"/>
        </w:rPr>
        <w:t xml:space="preserve"> </w:t>
      </w:r>
      <w:r w:rsidR="00873794">
        <w:rPr>
          <w:lang w:val="en-US"/>
        </w:rPr>
        <w:fldChar w:fldCharType="begin"/>
      </w:r>
      <w:r w:rsidR="00873794">
        <w:rPr>
          <w:lang w:val="en-US"/>
        </w:rPr>
        <w:instrText xml:space="preserve"> REF _Ref163577776 \r \h </w:instrText>
      </w:r>
      <w:r w:rsidR="00873794">
        <w:rPr>
          <w:lang w:val="en-US"/>
        </w:rPr>
      </w:r>
      <w:r w:rsidR="00873794">
        <w:rPr>
          <w:lang w:val="en-US"/>
        </w:rPr>
        <w:fldChar w:fldCharType="separate"/>
      </w:r>
      <w:r w:rsidR="0022757A">
        <w:rPr>
          <w:lang w:val="en-US"/>
        </w:rPr>
        <w:t>[5]</w:t>
      </w:r>
      <w:r w:rsidR="00873794">
        <w:rPr>
          <w:lang w:val="en-US"/>
        </w:rPr>
        <w:fldChar w:fldCharType="end"/>
      </w:r>
      <w:r w:rsidR="00F403C4">
        <w:rPr>
          <w:lang w:val="en-US"/>
        </w:rPr>
        <w:t xml:space="preserve"> ; </w:t>
      </w:r>
      <w:r w:rsidR="00F403C4">
        <w:rPr>
          <w:lang w:val="en-US"/>
        </w:rPr>
        <w:fldChar w:fldCharType="begin"/>
      </w:r>
      <w:r w:rsidR="00F403C4">
        <w:rPr>
          <w:lang w:val="en-US"/>
        </w:rPr>
        <w:instrText xml:space="preserve"> REF _Ref168653999 \r \h </w:instrText>
      </w:r>
      <w:r w:rsidR="00F403C4">
        <w:rPr>
          <w:lang w:val="en-US"/>
        </w:rPr>
      </w:r>
      <w:r w:rsidR="00F403C4">
        <w:rPr>
          <w:lang w:val="en-US"/>
        </w:rPr>
        <w:fldChar w:fldCharType="separate"/>
      </w:r>
      <w:r w:rsidR="0022757A">
        <w:rPr>
          <w:lang w:val="en-US"/>
        </w:rPr>
        <w:t>[6]</w:t>
      </w:r>
      <w:r w:rsidR="00F403C4">
        <w:rPr>
          <w:lang w:val="en-US"/>
        </w:rPr>
        <w:fldChar w:fldCharType="end"/>
      </w:r>
      <w:r w:rsidR="0073472C" w:rsidRPr="0073472C">
        <w:rPr>
          <w:lang w:val="en-US"/>
        </w:rPr>
        <w:t xml:space="preserve">). As regards Small Modular Reactors (SMR), the challenge to develop a viable business model is bigger, especially how to </w:t>
      </w:r>
      <w:r w:rsidR="00232D9D">
        <w:rPr>
          <w:lang w:val="en-US"/>
        </w:rPr>
        <w:t>boost</w:t>
      </w:r>
      <w:r w:rsidR="0073472C" w:rsidRPr="0073472C">
        <w:rPr>
          <w:lang w:val="en-US"/>
        </w:rPr>
        <w:t xml:space="preserve"> nuclear cost reductions to compensate diseconomies of scale (see Figure 1). By the time of the beginning of the first SMRs concepts, </w:t>
      </w:r>
      <w:proofErr w:type="spellStart"/>
      <w:r w:rsidR="0073472C" w:rsidRPr="0073472C">
        <w:rPr>
          <w:lang w:val="en-US"/>
        </w:rPr>
        <w:t>Carelli</w:t>
      </w:r>
      <w:proofErr w:type="spellEnd"/>
      <w:r w:rsidR="0073472C" w:rsidRPr="0073472C">
        <w:rPr>
          <w:lang w:val="en-US"/>
        </w:rPr>
        <w:t xml:space="preserve"> et al. (ref.</w:t>
      </w:r>
      <w:r w:rsidR="00D06EB8">
        <w:rPr>
          <w:lang w:val="en-US"/>
        </w:rPr>
        <w:t xml:space="preserve"> </w:t>
      </w:r>
      <w:r w:rsidR="00956C14">
        <w:rPr>
          <w:lang w:val="en-US"/>
        </w:rPr>
        <w:fldChar w:fldCharType="begin"/>
      </w:r>
      <w:r w:rsidR="00956C14">
        <w:rPr>
          <w:lang w:val="en-US"/>
        </w:rPr>
        <w:instrText xml:space="preserve"> REF _Ref163577873 \r \h </w:instrText>
      </w:r>
      <w:r w:rsidR="00956C14">
        <w:rPr>
          <w:lang w:val="en-US"/>
        </w:rPr>
      </w:r>
      <w:r w:rsidR="00956C14">
        <w:rPr>
          <w:lang w:val="en-US"/>
        </w:rPr>
        <w:fldChar w:fldCharType="separate"/>
      </w:r>
      <w:r w:rsidR="0022757A">
        <w:rPr>
          <w:lang w:val="en-US"/>
        </w:rPr>
        <w:t>[7]</w:t>
      </w:r>
      <w:r w:rsidR="00956C14">
        <w:rPr>
          <w:lang w:val="en-US"/>
        </w:rPr>
        <w:fldChar w:fldCharType="end"/>
      </w:r>
      <w:r w:rsidR="0073472C" w:rsidRPr="0073472C">
        <w:rPr>
          <w:lang w:val="en-US"/>
        </w:rPr>
        <w:t xml:space="preserve">)  </w:t>
      </w:r>
      <w:r w:rsidR="00F343D9">
        <w:rPr>
          <w:lang w:val="en-US"/>
        </w:rPr>
        <w:t xml:space="preserve">had </w:t>
      </w:r>
      <w:r w:rsidR="0073472C" w:rsidRPr="0073472C">
        <w:rPr>
          <w:lang w:val="en-US"/>
        </w:rPr>
        <w:t xml:space="preserve">proposed some target ratios per factors affecting the cost: </w:t>
      </w:r>
      <w:proofErr w:type="gramStart"/>
      <w:r w:rsidR="0073472C" w:rsidRPr="0073472C">
        <w:rPr>
          <w:lang w:val="en-US"/>
        </w:rPr>
        <w:t>in particular, it</w:t>
      </w:r>
      <w:proofErr w:type="gramEnd"/>
      <w:r w:rsidR="0073472C" w:rsidRPr="0073472C">
        <w:rPr>
          <w:lang w:val="en-US"/>
        </w:rPr>
        <w:t xml:space="preserve"> was stated that the construction schedule acceleration could offer </w:t>
      </w:r>
      <w:r w:rsidR="001B0565">
        <w:rPr>
          <w:lang w:val="en-US"/>
        </w:rPr>
        <w:t>reduction factor 0.94</w:t>
      </w:r>
      <w:r w:rsidR="0073472C" w:rsidRPr="0073472C">
        <w:rPr>
          <w:lang w:val="en-US"/>
        </w:rPr>
        <w:t xml:space="preserve"> on the capitalized cost. Recent MIT studies </w:t>
      </w:r>
      <w:r w:rsidR="00F343D9">
        <w:rPr>
          <w:lang w:val="en-US"/>
        </w:rPr>
        <w:t>on</w:t>
      </w:r>
      <w:r w:rsidR="0073472C" w:rsidRPr="0073472C">
        <w:rPr>
          <w:lang w:val="en-US"/>
        </w:rPr>
        <w:t xml:space="preserve"> Steel-Plates </w:t>
      </w:r>
      <w:proofErr w:type="spellStart"/>
      <w:r w:rsidR="0073472C" w:rsidRPr="0073472C">
        <w:rPr>
          <w:lang w:val="en-US"/>
        </w:rPr>
        <w:t>macromodules</w:t>
      </w:r>
      <w:proofErr w:type="spellEnd"/>
      <w:r w:rsidR="0073472C" w:rsidRPr="0073472C">
        <w:rPr>
          <w:lang w:val="en-US"/>
        </w:rPr>
        <w:t xml:space="preserve"> calculated 0.92 (ref.</w:t>
      </w:r>
      <w:r w:rsidR="00956C14">
        <w:rPr>
          <w:lang w:val="en-US"/>
        </w:rPr>
        <w:t xml:space="preserve"> </w:t>
      </w:r>
      <w:r w:rsidR="00956C14">
        <w:rPr>
          <w:lang w:val="en-US"/>
        </w:rPr>
        <w:fldChar w:fldCharType="begin"/>
      </w:r>
      <w:r w:rsidR="00956C14">
        <w:rPr>
          <w:lang w:val="en-US"/>
        </w:rPr>
        <w:instrText xml:space="preserve"> REF _Ref163577888 \r \h </w:instrText>
      </w:r>
      <w:r w:rsidR="00956C14">
        <w:rPr>
          <w:lang w:val="en-US"/>
        </w:rPr>
      </w:r>
      <w:r w:rsidR="00956C14">
        <w:rPr>
          <w:lang w:val="en-US"/>
        </w:rPr>
        <w:fldChar w:fldCharType="separate"/>
      </w:r>
      <w:r w:rsidR="0022757A">
        <w:rPr>
          <w:lang w:val="en-US"/>
        </w:rPr>
        <w:t>[8]</w:t>
      </w:r>
      <w:r w:rsidR="00956C14">
        <w:rPr>
          <w:lang w:val="en-US"/>
        </w:rPr>
        <w:fldChar w:fldCharType="end"/>
      </w:r>
      <w:r w:rsidR="0073472C" w:rsidRPr="00956C14">
        <w:rPr>
          <w:lang w:val="en-US"/>
        </w:rPr>
        <w:t>) and discussed the supply chain failure risk (</w:t>
      </w:r>
      <w:r w:rsidR="00956C14">
        <w:rPr>
          <w:lang w:val="en-US"/>
        </w:rPr>
        <w:t xml:space="preserve">ref. </w:t>
      </w:r>
      <w:r w:rsidR="00956C14">
        <w:rPr>
          <w:lang w:val="en-US"/>
        </w:rPr>
        <w:fldChar w:fldCharType="begin"/>
      </w:r>
      <w:r w:rsidR="00956C14">
        <w:rPr>
          <w:lang w:val="en-US"/>
        </w:rPr>
        <w:instrText xml:space="preserve"> REF _Ref163577903 \r \h </w:instrText>
      </w:r>
      <w:r w:rsidR="00956C14">
        <w:rPr>
          <w:lang w:val="en-US"/>
        </w:rPr>
      </w:r>
      <w:r w:rsidR="00956C14">
        <w:rPr>
          <w:lang w:val="en-US"/>
        </w:rPr>
        <w:fldChar w:fldCharType="separate"/>
      </w:r>
      <w:r w:rsidR="0022757A">
        <w:rPr>
          <w:lang w:val="en-US"/>
        </w:rPr>
        <w:t>[9]</w:t>
      </w:r>
      <w:r w:rsidR="00956C14">
        <w:rPr>
          <w:lang w:val="en-US"/>
        </w:rPr>
        <w:fldChar w:fldCharType="end"/>
      </w:r>
      <w:r w:rsidR="0073472C" w:rsidRPr="00AF5BAF">
        <w:rPr>
          <w:lang w:val="en-US"/>
        </w:rPr>
        <w:t xml:space="preserve">). </w:t>
      </w:r>
      <w:r w:rsidR="0073472C" w:rsidRPr="0073472C">
        <w:rPr>
          <w:lang w:val="en-US"/>
        </w:rPr>
        <w:t xml:space="preserve">Based on French experience, our own study introduces basic insights of SMR economics </w:t>
      </w:r>
      <w:r w:rsidR="00F343D9">
        <w:rPr>
          <w:lang w:val="en-US"/>
        </w:rPr>
        <w:t xml:space="preserve">compared to large reactors, </w:t>
      </w:r>
      <w:r w:rsidR="0073472C" w:rsidRPr="0073472C">
        <w:rPr>
          <w:lang w:val="en-US"/>
        </w:rPr>
        <w:t xml:space="preserve">to assess how Steel-Concrete Structures (SCS) can contribute to meet the capitalized price cut expectations. </w:t>
      </w:r>
    </w:p>
    <w:p w14:paraId="1379E567" w14:textId="7C9901EC" w:rsidR="00976245" w:rsidRDefault="00976245" w:rsidP="0073472C">
      <w:pPr>
        <w:pStyle w:val="Corpsdetexte"/>
        <w:rPr>
          <w:lang w:val="en-US"/>
        </w:rPr>
      </w:pPr>
    </w:p>
    <w:p w14:paraId="6CFB7921" w14:textId="77777777" w:rsidR="00E223C5" w:rsidRDefault="00BD7D33" w:rsidP="00DD425C">
      <w:pPr>
        <w:pStyle w:val="Corpsdetexte"/>
        <w:ind w:left="-709" w:firstLine="0"/>
        <w:rPr>
          <w:lang w:val="en-US"/>
        </w:rPr>
      </w:pPr>
      <w:r w:rsidRPr="00BD7D33">
        <w:rPr>
          <w:noProof/>
        </w:rPr>
        <w:drawing>
          <wp:anchor distT="0" distB="0" distL="114300" distR="114300" simplePos="0" relativeHeight="251682816" behindDoc="0" locked="0" layoutInCell="1" allowOverlap="1" wp14:anchorId="48A33E8A" wp14:editId="55342CAF">
            <wp:simplePos x="0" y="0"/>
            <wp:positionH relativeFrom="column">
              <wp:posOffset>2049838</wp:posOffset>
            </wp:positionH>
            <wp:positionV relativeFrom="paragraph">
              <wp:posOffset>94615</wp:posOffset>
            </wp:positionV>
            <wp:extent cx="3761471" cy="1475509"/>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288"/>
                    <a:stretch/>
                  </pic:blipFill>
                  <pic:spPr bwMode="auto">
                    <a:xfrm>
                      <a:off x="0" y="0"/>
                      <a:ext cx="3761471" cy="14755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37DD">
        <w:rPr>
          <w:lang w:val="en-US"/>
        </w:rPr>
        <w:t xml:space="preserve"> </w:t>
      </w:r>
      <w:r w:rsidR="00976245" w:rsidRPr="00976245">
        <w:rPr>
          <w:lang w:val="en-US"/>
        </w:rPr>
        <w:t xml:space="preserve"> </w:t>
      </w:r>
      <w:r w:rsidR="00976245" w:rsidRPr="00976245">
        <w:rPr>
          <w:noProof/>
          <w:lang w:val="en-US"/>
        </w:rPr>
        <w:drawing>
          <wp:inline distT="0" distB="0" distL="0" distR="0" wp14:anchorId="21650ED7" wp14:editId="032008D5">
            <wp:extent cx="2574080" cy="1969477"/>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36"/>
                    <a:stretch/>
                  </pic:blipFill>
                  <pic:spPr bwMode="auto">
                    <a:xfrm>
                      <a:off x="0" y="0"/>
                      <a:ext cx="2610959" cy="1997694"/>
                    </a:xfrm>
                    <a:prstGeom prst="rect">
                      <a:avLst/>
                    </a:prstGeom>
                    <a:noFill/>
                    <a:ln>
                      <a:noFill/>
                    </a:ln>
                    <a:extLst>
                      <a:ext uri="{53640926-AAD7-44D8-BBD7-CCE9431645EC}">
                        <a14:shadowObscured xmlns:a14="http://schemas.microsoft.com/office/drawing/2010/main"/>
                      </a:ext>
                    </a:extLst>
                  </pic:spPr>
                </pic:pic>
              </a:graphicData>
            </a:graphic>
          </wp:inline>
        </w:drawing>
      </w:r>
      <w:r w:rsidR="00976245" w:rsidRPr="00976245">
        <w:rPr>
          <w:lang w:val="en-US"/>
        </w:rPr>
        <w:t xml:space="preserve">  </w:t>
      </w:r>
      <w:r w:rsidR="00E223C5">
        <w:rPr>
          <w:lang w:val="en-US"/>
        </w:rPr>
        <w:t xml:space="preserve">       </w:t>
      </w:r>
    </w:p>
    <w:p w14:paraId="670A0CBE" w14:textId="697D48B0" w:rsidR="00976245" w:rsidRDefault="00E223C5" w:rsidP="00DD425C">
      <w:pPr>
        <w:pStyle w:val="Corpsdetexte"/>
        <w:ind w:left="-709" w:firstLine="0"/>
        <w:rPr>
          <w:lang w:val="en-US"/>
        </w:rPr>
      </w:pPr>
      <w:r>
        <w:rPr>
          <w:lang w:val="en-US"/>
        </w:rPr>
        <w:t xml:space="preserve">                                           </w:t>
      </w:r>
      <w:r>
        <w:rPr>
          <w:noProof/>
          <w:lang w:eastAsia="en-GB"/>
        </w:rPr>
        <mc:AlternateContent>
          <mc:Choice Requires="wps">
            <w:drawing>
              <wp:inline distT="0" distB="0" distL="0" distR="0" wp14:anchorId="1A55AC81" wp14:editId="63C784B6">
                <wp:extent cx="3863340" cy="635"/>
                <wp:effectExtent l="0" t="0" r="3810" b="5080"/>
                <wp:docPr id="3"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3EA7DC86" w14:textId="7364C9D9" w:rsidR="00E223C5" w:rsidRPr="00802381" w:rsidRDefault="00E223C5" w:rsidP="00E223C5">
                            <w:pPr>
                              <w:pStyle w:val="Lgende"/>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1</w:t>
                            </w:r>
                            <w:r w:rsidRPr="00802381">
                              <w:rPr>
                                <w:i/>
                              </w:rPr>
                              <w:fldChar w:fldCharType="end"/>
                            </w:r>
                            <w:r>
                              <w:rPr>
                                <w:i/>
                              </w:rPr>
                              <w:t>.Main paths of nuclear capitalized costs reduction in the literary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A55AC81" id="_x0000_t202" coordsize="21600,21600" o:spt="202" path="m,l,21600r21600,l21600,xe">
                <v:stroke joinstyle="miter"/>
                <v:path gradientshapeok="t" o:connecttype="rect"/>
              </v:shapetype>
              <v:shape id="Text Box 2" o:spid="_x0000_s1026" type="#_x0000_t202" style="width:304.2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" stroked="f">
                <v:textbox style="mso-fit-shape-to-text:t" inset="0,0,0,0">
                  <w:txbxContent>
                    <w:p w14:paraId="3EA7DC86" w14:textId="7364C9D9" w:rsidR="00E223C5" w:rsidRPr="00802381" w:rsidRDefault="00E223C5" w:rsidP="00E223C5">
                      <w:pPr>
                        <w:pStyle w:val="Lgende"/>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1</w:t>
                      </w:r>
                      <w:r w:rsidRPr="00802381">
                        <w:rPr>
                          <w:i/>
                        </w:rPr>
                        <w:fldChar w:fldCharType="end"/>
                      </w:r>
                      <w:r>
                        <w:rPr>
                          <w:i/>
                        </w:rPr>
                        <w:t>.Main paths of nuclear capitalized costs reduction in the literary</w:t>
                      </w:r>
                    </w:p>
                  </w:txbxContent>
                </v:textbox>
                <w10:anchorlock/>
              </v:shape>
            </w:pict>
          </mc:Fallback>
        </mc:AlternateContent>
      </w:r>
    </w:p>
    <w:p w14:paraId="74CD1556" w14:textId="7FBD4729" w:rsidR="00E25B68" w:rsidRDefault="00711605" w:rsidP="0026525A">
      <w:pPr>
        <w:pStyle w:val="Titre2"/>
        <w:numPr>
          <w:ilvl w:val="1"/>
          <w:numId w:val="10"/>
        </w:numPr>
      </w:pPr>
      <w:r>
        <w:lastRenderedPageBreak/>
        <w:t xml:space="preserve">METHODOLOGY </w:t>
      </w:r>
      <w:r w:rsidR="00DE3406">
        <w:t>OF THE STUDY</w:t>
      </w:r>
    </w:p>
    <w:p w14:paraId="3F7E6F35" w14:textId="0827C09C" w:rsidR="00DE3406" w:rsidRPr="00EE0041" w:rsidRDefault="00DE3406" w:rsidP="00DE3406">
      <w:pPr>
        <w:pStyle w:val="Titre3"/>
      </w:pPr>
      <w:r>
        <w:t>Objectives of the financial model</w:t>
      </w:r>
    </w:p>
    <w:p w14:paraId="43F2862C" w14:textId="078A8DB4" w:rsidR="007F458E" w:rsidRDefault="00E25B68" w:rsidP="00F85A54">
      <w:pPr>
        <w:pStyle w:val="Corpsdetexte"/>
        <w:rPr>
          <w:lang w:val="en-US"/>
        </w:rPr>
      </w:pPr>
      <w:r>
        <w:t xml:space="preserve">The </w:t>
      </w:r>
      <w:r w:rsidR="00F85A54" w:rsidRPr="00F85A54">
        <w:rPr>
          <w:lang w:val="en-US"/>
        </w:rPr>
        <w:t xml:space="preserve">Steel-Concrete Structures (SCS) </w:t>
      </w:r>
      <w:r w:rsidR="00FA2969">
        <w:rPr>
          <w:lang w:val="en-US"/>
        </w:rPr>
        <w:t>are</w:t>
      </w:r>
      <w:r w:rsidR="00F85A54" w:rsidRPr="00F85A54">
        <w:rPr>
          <w:lang w:val="en-US"/>
        </w:rPr>
        <w:t xml:space="preserve"> often listed in the literary as one of the possible economic drivers, by reduced Interests During Construction (IDC), reduced indirect costs and reduced owner’s costs from the shorter </w:t>
      </w:r>
      <w:r w:rsidR="00FA2969">
        <w:rPr>
          <w:lang w:val="en-US"/>
        </w:rPr>
        <w:t xml:space="preserve">construction </w:t>
      </w:r>
      <w:r w:rsidR="00F85A54" w:rsidRPr="00F85A54">
        <w:rPr>
          <w:lang w:val="en-US"/>
        </w:rPr>
        <w:t xml:space="preserve">schedule. However, outside generalities or technical evaluations, there is a lack of information on supplementary direct costs that may lessen the savings. The expected gain compared to reinforced concrete (RC) was not yet quantified </w:t>
      </w:r>
      <w:r w:rsidR="00B50058">
        <w:rPr>
          <w:lang w:val="en-US"/>
        </w:rPr>
        <w:t xml:space="preserve">accurately </w:t>
      </w:r>
      <w:r w:rsidR="00F85A54" w:rsidRPr="00F85A54">
        <w:rPr>
          <w:lang w:val="en-US"/>
        </w:rPr>
        <w:t>in terms of reactor economic performance (LCOE), namely all included cost of electricity (capitalized cost, operation &amp; maintenance, fuel, dismantling). In present paper, a simple financial model is used (Figure 3), in accordance with state-of-the-art methodology for nuclear power plants economics (ref.</w:t>
      </w:r>
      <w:r w:rsidR="00925B88">
        <w:rPr>
          <w:lang w:val="en-US"/>
        </w:rPr>
        <w:t xml:space="preserve"> </w:t>
      </w:r>
      <w:r w:rsidR="00925B88">
        <w:rPr>
          <w:lang w:val="en-US"/>
        </w:rPr>
        <w:fldChar w:fldCharType="begin"/>
      </w:r>
      <w:r w:rsidR="00925B88">
        <w:rPr>
          <w:lang w:val="en-US"/>
        </w:rPr>
        <w:instrText xml:space="preserve"> REF _Ref163577962 \r \h </w:instrText>
      </w:r>
      <w:r w:rsidR="00925B88">
        <w:rPr>
          <w:lang w:val="en-US"/>
        </w:rPr>
      </w:r>
      <w:r w:rsidR="00925B88">
        <w:rPr>
          <w:lang w:val="en-US"/>
        </w:rPr>
        <w:fldChar w:fldCharType="separate"/>
      </w:r>
      <w:r w:rsidR="0022757A">
        <w:rPr>
          <w:lang w:val="en-US"/>
        </w:rPr>
        <w:t>[11]</w:t>
      </w:r>
      <w:r w:rsidR="00925B88">
        <w:rPr>
          <w:lang w:val="en-US"/>
        </w:rPr>
        <w:fldChar w:fldCharType="end"/>
      </w:r>
      <w:r w:rsidR="00F85A54" w:rsidRPr="00F85A54">
        <w:rPr>
          <w:lang w:val="en-US"/>
        </w:rPr>
        <w:t xml:space="preserve">), to assess </w:t>
      </w:r>
      <w:r w:rsidR="00397C6E">
        <w:rPr>
          <w:lang w:val="en-US"/>
        </w:rPr>
        <w:t>its</w:t>
      </w:r>
      <w:r w:rsidR="00F85A54" w:rsidRPr="00F85A54">
        <w:rPr>
          <w:lang w:val="en-US"/>
        </w:rPr>
        <w:t xml:space="preserve"> sensitivity to the construction method for different confidence levels, reactor sizes, and cost of money assumptions (or rate of return</w:t>
      </w:r>
      <w:r w:rsidR="00903546">
        <w:rPr>
          <w:lang w:val="en-US"/>
        </w:rPr>
        <w:t xml:space="preserve"> WACC</w:t>
      </w:r>
      <w:r w:rsidR="00F85A54" w:rsidRPr="00F85A54">
        <w:rPr>
          <w:lang w:val="en-US"/>
        </w:rPr>
        <w:t>)</w:t>
      </w:r>
      <w:r w:rsidR="0070504D">
        <w:rPr>
          <w:lang w:val="en-US"/>
        </w:rPr>
        <w:t xml:space="preserve"> :</w:t>
      </w:r>
    </w:p>
    <w:p w14:paraId="0B249525" w14:textId="1F38AD8B" w:rsidR="0070504D" w:rsidRDefault="0070504D" w:rsidP="0070504D">
      <w:pPr>
        <w:pStyle w:val="ListEmdash"/>
      </w:pPr>
      <w:r>
        <w:t xml:space="preserve">Direct cost of civil structures is modified according to Table 1 cost </w:t>
      </w:r>
      <w:proofErr w:type="gramStart"/>
      <w:r>
        <w:t>ratios</w:t>
      </w:r>
      <w:proofErr w:type="gramEnd"/>
    </w:p>
    <w:p w14:paraId="65C898DB" w14:textId="3A09FE93" w:rsidR="0070504D" w:rsidRDefault="0070504D" w:rsidP="0070504D">
      <w:pPr>
        <w:pStyle w:val="ListEmdash"/>
      </w:pPr>
      <w:r>
        <w:t xml:space="preserve">Indirect costs and Owner costs during civil works are modified according to Table </w:t>
      </w:r>
      <w:proofErr w:type="gramStart"/>
      <w:r>
        <w:t>1 time</w:t>
      </w:r>
      <w:proofErr w:type="gramEnd"/>
      <w:r>
        <w:t xml:space="preserve"> factors</w:t>
      </w:r>
    </w:p>
    <w:p w14:paraId="15336D7B" w14:textId="2DA4831E" w:rsidR="0070504D" w:rsidRPr="00372E21" w:rsidRDefault="0070504D" w:rsidP="0070504D">
      <w:pPr>
        <w:pStyle w:val="ListEmdash"/>
      </w:pPr>
      <w:r>
        <w:t>Interests During Construction are recomputed considering the reduced construction time. Various WACC assumptions are tested</w:t>
      </w:r>
      <w:r w:rsidR="008A4A27">
        <w:t xml:space="preserve"> to get the results of Fig. 7</w:t>
      </w:r>
      <w:r w:rsidR="00091F6F">
        <w:t>.</w:t>
      </w:r>
    </w:p>
    <w:p w14:paraId="04F7C2D3" w14:textId="72FD4517" w:rsidR="0070504D" w:rsidRDefault="0070504D" w:rsidP="0070504D">
      <w:pPr>
        <w:pStyle w:val="Corpsdetexte"/>
        <w:rPr>
          <w:lang w:val="en-US"/>
        </w:rPr>
      </w:pPr>
    </w:p>
    <w:p w14:paraId="6DABC39C" w14:textId="085E97D8" w:rsidR="00F85A54" w:rsidRDefault="00F85A54" w:rsidP="007F458E">
      <w:pPr>
        <w:pStyle w:val="Corpsdetexte"/>
        <w:rPr>
          <w:lang w:val="en-US"/>
        </w:rPr>
      </w:pPr>
      <w:r w:rsidRPr="00F85A54">
        <w:rPr>
          <w:lang w:val="en-US"/>
        </w:rPr>
        <w:t xml:space="preserve">No change is considered for the Conventional Island nor </w:t>
      </w:r>
      <w:r w:rsidR="00880A76">
        <w:rPr>
          <w:lang w:val="en-US"/>
        </w:rPr>
        <w:t xml:space="preserve">the </w:t>
      </w:r>
      <w:r w:rsidRPr="00F85A54">
        <w:rPr>
          <w:lang w:val="en-US"/>
        </w:rPr>
        <w:t xml:space="preserve">Balance of Plant. Regarding the Nuclear Island, the </w:t>
      </w:r>
      <w:proofErr w:type="spellStart"/>
      <w:r w:rsidRPr="00F85A54">
        <w:rPr>
          <w:lang w:val="en-US"/>
        </w:rPr>
        <w:t>basemat</w:t>
      </w:r>
      <w:proofErr w:type="spellEnd"/>
      <w:r w:rsidRPr="00F85A54">
        <w:rPr>
          <w:lang w:val="en-US"/>
        </w:rPr>
        <w:t xml:space="preserve"> is in reinforced concrete </w:t>
      </w:r>
      <w:r w:rsidR="0092605F">
        <w:rPr>
          <w:lang w:val="en-US"/>
        </w:rPr>
        <w:t>whatever the scenario</w:t>
      </w:r>
      <w:r w:rsidR="004E2D4D">
        <w:rPr>
          <w:lang w:val="en-US"/>
        </w:rPr>
        <w:t xml:space="preserve"> and </w:t>
      </w:r>
      <w:r w:rsidRPr="00F85A54">
        <w:rPr>
          <w:lang w:val="en-US"/>
        </w:rPr>
        <w:t xml:space="preserve">SCS </w:t>
      </w:r>
      <w:r w:rsidR="004E2D4D">
        <w:rPr>
          <w:lang w:val="en-US"/>
        </w:rPr>
        <w:t xml:space="preserve">impact </w:t>
      </w:r>
      <w:r w:rsidR="0092605F">
        <w:rPr>
          <w:lang w:val="en-US"/>
        </w:rPr>
        <w:t>is</w:t>
      </w:r>
      <w:r w:rsidRPr="00F85A54">
        <w:rPr>
          <w:lang w:val="en-US"/>
        </w:rPr>
        <w:t xml:space="preserve"> tested in the following areas:</w:t>
      </w:r>
    </w:p>
    <w:p w14:paraId="3553E5BC" w14:textId="2D1909C0" w:rsidR="00372E21" w:rsidRPr="00372E21" w:rsidRDefault="00372E21" w:rsidP="00372E21">
      <w:pPr>
        <w:pStyle w:val="ListEmdash"/>
      </w:pPr>
      <w:r w:rsidRPr="00372E21">
        <w:t>Large Reactor: all structures of Reactor Building, Auxiliary Building, and Radwaste Building</w:t>
      </w:r>
    </w:p>
    <w:p w14:paraId="270F3A39" w14:textId="60A53834" w:rsidR="00372E21" w:rsidRPr="00372E21" w:rsidRDefault="00372E21" w:rsidP="00372E21">
      <w:pPr>
        <w:pStyle w:val="ListEmdash"/>
      </w:pPr>
      <w:r w:rsidRPr="00372E21">
        <w:t xml:space="preserve">SMR: all critical path structures and pools (extended use to the whole nuclear island was first tested and judged </w:t>
      </w:r>
      <w:r w:rsidR="003307D5">
        <w:t xml:space="preserve">not enough </w:t>
      </w:r>
      <w:r w:rsidR="00440DF0">
        <w:t>optimized</w:t>
      </w:r>
      <w:r w:rsidR="000D08F5">
        <w:t xml:space="preserve"> to generate </w:t>
      </w:r>
      <w:r w:rsidR="0069015F">
        <w:t xml:space="preserve">additional </w:t>
      </w:r>
      <w:r w:rsidR="000D08F5">
        <w:t>savings</w:t>
      </w:r>
      <w:r w:rsidRPr="00372E21">
        <w:t>)</w:t>
      </w:r>
    </w:p>
    <w:p w14:paraId="799F80E5" w14:textId="77777777" w:rsidR="00A37DB6" w:rsidRDefault="00A37DB6" w:rsidP="00372E21">
      <w:pPr>
        <w:pStyle w:val="Corpsdetexte"/>
        <w:ind w:firstLine="0"/>
        <w:rPr>
          <w:lang w:val="en-US"/>
        </w:rPr>
      </w:pPr>
    </w:p>
    <w:p w14:paraId="44230585" w14:textId="3EE0853F" w:rsidR="00F85A54" w:rsidRPr="00F85A54" w:rsidRDefault="00432F73" w:rsidP="0070504D">
      <w:pPr>
        <w:pStyle w:val="Corpsdetexte"/>
        <w:rPr>
          <w:lang w:val="en-US"/>
        </w:rPr>
      </w:pPr>
      <w:r w:rsidRPr="00F85A54">
        <w:rPr>
          <w:lang w:val="en-US"/>
        </w:rPr>
        <w:t>It is reminded that the civil works duration is not the total construction duration. Preparatory works, equipment installation and commissioning represent a significant part of the schedule</w:t>
      </w:r>
      <w:r>
        <w:rPr>
          <w:lang w:val="en-US"/>
        </w:rPr>
        <w:t xml:space="preserve">. </w:t>
      </w:r>
      <w:r w:rsidR="0022475D">
        <w:rPr>
          <w:lang w:val="en-US"/>
        </w:rPr>
        <w:t>Moreover, b</w:t>
      </w:r>
      <w:r w:rsidR="00B041CD" w:rsidRPr="00F85A54">
        <w:rPr>
          <w:lang w:val="en-US"/>
        </w:rPr>
        <w:t>oth schedule and costs breakdowns are very different depending on the reactor size.</w:t>
      </w:r>
      <w:r w:rsidR="00FC2D05">
        <w:rPr>
          <w:lang w:val="en-US"/>
        </w:rPr>
        <w:t xml:space="preserve"> </w:t>
      </w:r>
      <w:r w:rsidR="0005602C">
        <w:rPr>
          <w:lang w:val="en-US"/>
        </w:rPr>
        <w:t xml:space="preserve">The </w:t>
      </w:r>
      <w:r w:rsidR="0016674C">
        <w:rPr>
          <w:lang w:val="en-US"/>
        </w:rPr>
        <w:t xml:space="preserve">main </w:t>
      </w:r>
      <w:r w:rsidR="00B51F62">
        <w:rPr>
          <w:lang w:val="en-US"/>
        </w:rPr>
        <w:t>strategy</w:t>
      </w:r>
      <w:r w:rsidR="003B62A1">
        <w:rPr>
          <w:lang w:val="en-US"/>
        </w:rPr>
        <w:t xml:space="preserve"> behind any modular construction techniques</w:t>
      </w:r>
      <w:r w:rsidR="00790D79">
        <w:rPr>
          <w:lang w:val="en-US"/>
        </w:rPr>
        <w:t xml:space="preserve">, on financial perspectives, </w:t>
      </w:r>
      <w:r w:rsidR="0016674C">
        <w:rPr>
          <w:lang w:val="en-US"/>
        </w:rPr>
        <w:t>is to</w:t>
      </w:r>
      <w:r w:rsidR="0049022A">
        <w:rPr>
          <w:lang w:val="en-US"/>
        </w:rPr>
        <w:t xml:space="preserve"> </w:t>
      </w:r>
      <w:r w:rsidR="00B51F62">
        <w:rPr>
          <w:lang w:val="en-US"/>
        </w:rPr>
        <w:t xml:space="preserve">consider paying supplementary direct costs for civil works acceleration </w:t>
      </w:r>
      <w:proofErr w:type="gramStart"/>
      <w:r w:rsidR="00485609">
        <w:rPr>
          <w:lang w:val="en-US"/>
        </w:rPr>
        <w:t>in order to</w:t>
      </w:r>
      <w:proofErr w:type="gramEnd"/>
      <w:r w:rsidR="00485609">
        <w:rPr>
          <w:lang w:val="en-US"/>
        </w:rPr>
        <w:t xml:space="preserve"> </w:t>
      </w:r>
      <w:r w:rsidR="0049022A">
        <w:rPr>
          <w:lang w:val="en-US"/>
        </w:rPr>
        <w:t xml:space="preserve">limit the time related costs </w:t>
      </w:r>
      <w:r w:rsidR="000C5AB2">
        <w:rPr>
          <w:lang w:val="en-US"/>
        </w:rPr>
        <w:t>after</w:t>
      </w:r>
      <w:r w:rsidR="0049022A">
        <w:rPr>
          <w:lang w:val="en-US"/>
        </w:rPr>
        <w:t xml:space="preserve"> the project funds are raised</w:t>
      </w:r>
      <w:r w:rsidR="009753BF">
        <w:rPr>
          <w:lang w:val="en-US"/>
        </w:rPr>
        <w:t>. T</w:t>
      </w:r>
      <w:r w:rsidR="00B041CD" w:rsidRPr="00F85A54">
        <w:rPr>
          <w:lang w:val="en-US"/>
        </w:rPr>
        <w:t xml:space="preserve">he “time to money” exchange rate must be weighted in the equilibrium equation </w:t>
      </w:r>
      <w:r w:rsidR="00777CF6">
        <w:rPr>
          <w:lang w:val="en-US"/>
        </w:rPr>
        <w:t xml:space="preserve">prior to take decision </w:t>
      </w:r>
      <w:r w:rsidR="00B041CD" w:rsidRPr="00F85A54">
        <w:rPr>
          <w:lang w:val="en-US"/>
        </w:rPr>
        <w:t>(Figure 2)</w:t>
      </w:r>
      <w:r w:rsidR="0011605F">
        <w:rPr>
          <w:lang w:val="en-US"/>
        </w:rPr>
        <w:t>.</w:t>
      </w:r>
    </w:p>
    <w:p w14:paraId="744521AA" w14:textId="33F3A54C" w:rsidR="0026525A" w:rsidRDefault="005E60F6" w:rsidP="005E60F6">
      <w:pPr>
        <w:pStyle w:val="Corpsdetexte"/>
        <w:ind w:firstLine="0"/>
        <w:jc w:val="center"/>
      </w:pPr>
      <w:r>
        <w:rPr>
          <w:noProof/>
          <w:lang w:eastAsia="en-GB"/>
        </w:rPr>
        <mc:AlternateContent>
          <mc:Choice Requires="wps">
            <w:drawing>
              <wp:anchor distT="0" distB="0" distL="114300" distR="114300" simplePos="0" relativeHeight="251666432" behindDoc="0" locked="0" layoutInCell="1" allowOverlap="1" wp14:anchorId="63146551" wp14:editId="6FC54AEE">
                <wp:simplePos x="0" y="0"/>
                <wp:positionH relativeFrom="margin">
                  <wp:posOffset>1063256</wp:posOffset>
                </wp:positionH>
                <wp:positionV relativeFrom="paragraph">
                  <wp:posOffset>698072</wp:posOffset>
                </wp:positionV>
                <wp:extent cx="3863340" cy="635"/>
                <wp:effectExtent l="0" t="0" r="3810" b="5080"/>
                <wp:wrapTopAndBottom/>
                <wp:docPr id="5"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5CE049A4" w14:textId="0964021A" w:rsidR="005E60F6" w:rsidRPr="00802381" w:rsidRDefault="005E60F6" w:rsidP="005E60F6">
                            <w:pPr>
                              <w:pStyle w:val="Lgende"/>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2</w:t>
                            </w:r>
                            <w:r w:rsidRPr="00802381">
                              <w:rPr>
                                <w:i/>
                              </w:rPr>
                              <w:fldChar w:fldCharType="end"/>
                            </w:r>
                            <w:r>
                              <w:rPr>
                                <w:i/>
                              </w:rPr>
                              <w:t xml:space="preserve">. </w:t>
                            </w:r>
                            <w:r w:rsidR="008F2A83">
                              <w:rPr>
                                <w:i/>
                              </w:rPr>
                              <w:t>Indicative</w:t>
                            </w:r>
                            <w:r w:rsidR="00B23B80">
                              <w:rPr>
                                <w:i/>
                              </w:rPr>
                              <w:t xml:space="preserve"> time related costs during nuclear power plant construction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146551" id="_x0000_s1027" type="#_x0000_t202" style="position:absolute;left:0;text-align:left;margin-left:83.7pt;margin-top:54.95pt;width:304.2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" stroked="f">
                <v:textbox style="mso-fit-shape-to-text:t" inset="0,0,0,0">
                  <w:txbxContent>
                    <w:p w14:paraId="5CE049A4" w14:textId="0964021A" w:rsidR="005E60F6" w:rsidRPr="00802381" w:rsidRDefault="005E60F6" w:rsidP="005E60F6">
                      <w:pPr>
                        <w:pStyle w:val="Lgende"/>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2</w:t>
                      </w:r>
                      <w:r w:rsidRPr="00802381">
                        <w:rPr>
                          <w:i/>
                        </w:rPr>
                        <w:fldChar w:fldCharType="end"/>
                      </w:r>
                      <w:r>
                        <w:rPr>
                          <w:i/>
                        </w:rPr>
                        <w:t xml:space="preserve">. </w:t>
                      </w:r>
                      <w:r w:rsidR="008F2A83">
                        <w:rPr>
                          <w:i/>
                        </w:rPr>
                        <w:t>Indicative</w:t>
                      </w:r>
                      <w:r w:rsidR="00B23B80">
                        <w:rPr>
                          <w:i/>
                        </w:rPr>
                        <w:t xml:space="preserve"> time related costs during nuclear power plant construction</w:t>
                      </w:r>
                    </w:p>
                  </w:txbxContent>
                </v:textbox>
                <w10:wrap type="topAndBottom" anchorx="margin"/>
              </v:shape>
            </w:pict>
          </mc:Fallback>
        </mc:AlternateContent>
      </w:r>
    </w:p>
    <w:p w14:paraId="7CAEA8DE" w14:textId="17F5220E" w:rsidR="00B16591" w:rsidRDefault="00B16591" w:rsidP="005E60F6">
      <w:pPr>
        <w:pStyle w:val="Corpsdetexte"/>
        <w:ind w:firstLine="0"/>
        <w:jc w:val="center"/>
      </w:pPr>
      <w:r w:rsidRPr="00B16591">
        <w:rPr>
          <w:noProof/>
        </w:rPr>
        <w:drawing>
          <wp:inline distT="0" distB="0" distL="0" distR="0" wp14:anchorId="7B8DF090" wp14:editId="090C3255">
            <wp:extent cx="4777154" cy="449297"/>
            <wp:effectExtent l="0" t="0" r="4445" b="82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6910" cy="466203"/>
                    </a:xfrm>
                    <a:prstGeom prst="rect">
                      <a:avLst/>
                    </a:prstGeom>
                    <a:noFill/>
                    <a:ln>
                      <a:noFill/>
                    </a:ln>
                  </pic:spPr>
                </pic:pic>
              </a:graphicData>
            </a:graphic>
          </wp:inline>
        </w:drawing>
      </w:r>
    </w:p>
    <w:p w14:paraId="03D01744" w14:textId="563C58FB" w:rsidR="005E60F6" w:rsidRDefault="005E60F6" w:rsidP="005E60F6">
      <w:pPr>
        <w:pStyle w:val="Corpsdetexte"/>
        <w:ind w:firstLine="0"/>
        <w:jc w:val="center"/>
      </w:pPr>
    </w:p>
    <w:p w14:paraId="4EFB95DE" w14:textId="77777777" w:rsidR="00BE165A" w:rsidRDefault="00BE165A" w:rsidP="005E60F6">
      <w:pPr>
        <w:pStyle w:val="Corpsdetexte"/>
        <w:ind w:firstLine="0"/>
        <w:jc w:val="center"/>
      </w:pPr>
    </w:p>
    <w:p w14:paraId="535F90F7" w14:textId="0529430D" w:rsidR="005E60F6" w:rsidRDefault="00877EFE" w:rsidP="005E60F6">
      <w:pPr>
        <w:pStyle w:val="Corpsdetexte"/>
        <w:ind w:firstLine="0"/>
        <w:jc w:val="center"/>
      </w:pPr>
      <w:r w:rsidRPr="00877EFE">
        <w:rPr>
          <w:noProof/>
        </w:rPr>
        <w:drawing>
          <wp:inline distT="0" distB="0" distL="0" distR="0" wp14:anchorId="4F884969" wp14:editId="79A49E60">
            <wp:extent cx="5732145" cy="2348230"/>
            <wp:effectExtent l="0" t="0" r="190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2348230"/>
                    </a:xfrm>
                    <a:prstGeom prst="rect">
                      <a:avLst/>
                    </a:prstGeom>
                    <a:noFill/>
                    <a:ln>
                      <a:noFill/>
                    </a:ln>
                  </pic:spPr>
                </pic:pic>
              </a:graphicData>
            </a:graphic>
          </wp:inline>
        </w:drawing>
      </w:r>
    </w:p>
    <w:p w14:paraId="70D595BA" w14:textId="77777777" w:rsidR="00BE165A" w:rsidRDefault="00BE165A">
      <w:pPr>
        <w:overflowPunct/>
        <w:autoSpaceDE/>
        <w:autoSpaceDN/>
        <w:adjustRightInd/>
        <w:textAlignment w:val="auto"/>
        <w:rPr>
          <w:caps/>
          <w:sz w:val="20"/>
        </w:rPr>
      </w:pPr>
      <w:r>
        <w:rPr>
          <w:caps/>
          <w:sz w:val="20"/>
        </w:rPr>
        <w:t xml:space="preserve">                               </w:t>
      </w:r>
    </w:p>
    <w:p w14:paraId="2A209EC4" w14:textId="4208AF49" w:rsidR="00BE165A" w:rsidRDefault="00BE165A">
      <w:pPr>
        <w:overflowPunct/>
        <w:autoSpaceDE/>
        <w:autoSpaceDN/>
        <w:adjustRightInd/>
        <w:textAlignment w:val="auto"/>
        <w:rPr>
          <w:caps/>
          <w:sz w:val="20"/>
        </w:rPr>
      </w:pPr>
      <w:r>
        <w:rPr>
          <w:caps/>
          <w:sz w:val="20"/>
        </w:rPr>
        <w:t xml:space="preserve">                               </w:t>
      </w:r>
      <w:r>
        <w:rPr>
          <w:noProof/>
          <w:lang w:eastAsia="en-GB"/>
        </w:rPr>
        <mc:AlternateContent>
          <mc:Choice Requires="wps">
            <w:drawing>
              <wp:inline distT="0" distB="0" distL="0" distR="0" wp14:anchorId="1BAC3CB4" wp14:editId="39A17B57">
                <wp:extent cx="3863340" cy="635"/>
                <wp:effectExtent l="0" t="0" r="3810" b="5080"/>
                <wp:docPr id="6"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22928190" w14:textId="1B056FDD" w:rsidR="00BE165A" w:rsidRPr="00802381" w:rsidRDefault="00BE165A" w:rsidP="00BE165A">
                            <w:pPr>
                              <w:pStyle w:val="Lgende"/>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3</w:t>
                            </w:r>
                            <w:r w:rsidRPr="00802381">
                              <w:rPr>
                                <w:i/>
                              </w:rPr>
                              <w:fldChar w:fldCharType="end"/>
                            </w:r>
                            <w:r>
                              <w:rPr>
                                <w:i/>
                              </w:rPr>
                              <w:t>. Methodology of the comparison Reinforced Concrete vs. Steel-Concrete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1BAC3CB4" id="_x0000_s1028" type="#_x0000_t202" style="width:304.2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" stroked="f">
                <v:textbox style="mso-fit-shape-to-text:t" inset="0,0,0,0">
                  <w:txbxContent>
                    <w:p w14:paraId="22928190" w14:textId="1B056FDD" w:rsidR="00BE165A" w:rsidRPr="00802381" w:rsidRDefault="00BE165A" w:rsidP="00BE165A">
                      <w:pPr>
                        <w:pStyle w:val="Lgende"/>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3</w:t>
                      </w:r>
                      <w:r w:rsidRPr="00802381">
                        <w:rPr>
                          <w:i/>
                        </w:rPr>
                        <w:fldChar w:fldCharType="end"/>
                      </w:r>
                      <w:r>
                        <w:rPr>
                          <w:i/>
                        </w:rPr>
                        <w:t>. Methodology of the comparison Reinforced Concrete vs. Steel-Concrete</w:t>
                      </w:r>
                    </w:p>
                  </w:txbxContent>
                </v:textbox>
                <w10:anchorlock/>
              </v:shape>
            </w:pict>
          </mc:Fallback>
        </mc:AlternateContent>
      </w:r>
    </w:p>
    <w:p w14:paraId="6B4DB000" w14:textId="5952DADC" w:rsidR="008B6BB9" w:rsidRPr="00EE0041" w:rsidRDefault="0005051A" w:rsidP="00537496">
      <w:pPr>
        <w:pStyle w:val="Titre3"/>
      </w:pPr>
      <w:r>
        <w:t xml:space="preserve">Steel-Concrete </w:t>
      </w:r>
      <w:r w:rsidR="000372F4">
        <w:t>assumptions</w:t>
      </w:r>
    </w:p>
    <w:p w14:paraId="4070D155" w14:textId="65ED8655" w:rsidR="00372E21" w:rsidRDefault="00A00FBB" w:rsidP="00F46272">
      <w:pPr>
        <w:pStyle w:val="Authornameandaffiliation"/>
        <w:ind w:left="0" w:firstLine="567"/>
        <w:jc w:val="both"/>
      </w:pPr>
      <w:r>
        <w:t xml:space="preserve">Among expectations, </w:t>
      </w:r>
      <w:r w:rsidRPr="007C7C14">
        <w:t xml:space="preserve">SCS could be a solution to avoid budget overruns and delays from </w:t>
      </w:r>
      <w:r w:rsidR="00D145F8">
        <w:t xml:space="preserve">steel </w:t>
      </w:r>
      <w:r w:rsidRPr="007C7C14">
        <w:t>rebars and embedded plates congestion of the nuclear reinforced concrete buildings.</w:t>
      </w:r>
      <w:r>
        <w:t xml:space="preserve"> </w:t>
      </w:r>
      <w:proofErr w:type="spellStart"/>
      <w:r w:rsidR="007C7C14" w:rsidRPr="007C7C14">
        <w:t>Electricité</w:t>
      </w:r>
      <w:proofErr w:type="spellEnd"/>
      <w:r w:rsidR="007C7C14" w:rsidRPr="007C7C14">
        <w:t xml:space="preserve"> de France (EDF) has been contributing actively for 10 years to the European R&amp;D programs on </w:t>
      </w:r>
      <w:r w:rsidR="006F2E53">
        <w:t>SCS</w:t>
      </w:r>
      <w:r w:rsidR="00031B45">
        <w:t xml:space="preserve"> (also named Steel-Plates</w:t>
      </w:r>
      <w:r w:rsidR="009448E4">
        <w:t xml:space="preserve"> in the literary)</w:t>
      </w:r>
      <w:r w:rsidR="00F46272">
        <w:t xml:space="preserve">. </w:t>
      </w:r>
    </w:p>
    <w:p w14:paraId="75A2EAD7" w14:textId="4551C3B3" w:rsidR="00DA0965" w:rsidRDefault="00DA0965" w:rsidP="00DA0965">
      <w:pPr>
        <w:pStyle w:val="Corpsdetexte"/>
        <w:numPr>
          <w:ilvl w:val="0"/>
          <w:numId w:val="20"/>
        </w:numPr>
        <w:ind w:left="709"/>
      </w:pPr>
      <w:r w:rsidRPr="00046D59">
        <w:rPr>
          <w:lang w:val="en-US"/>
        </w:rPr>
        <w:t xml:space="preserve">SCIENCE </w:t>
      </w:r>
      <w:r w:rsidR="006F2E53" w:rsidRPr="00046D59">
        <w:rPr>
          <w:lang w:val="en-US"/>
        </w:rPr>
        <w:t>RFCS</w:t>
      </w:r>
      <w:r w:rsidR="006F2E53">
        <w:rPr>
          <w:lang w:val="en-US"/>
        </w:rPr>
        <w:t xml:space="preserve"> EU funded project RFSR-CT-2013-00017 </w:t>
      </w:r>
      <w:r>
        <w:rPr>
          <w:lang w:val="en-US"/>
        </w:rPr>
        <w:t>(</w:t>
      </w:r>
      <w:r w:rsidRPr="007C7C14">
        <w:rPr>
          <w:lang w:val="en-US"/>
        </w:rPr>
        <w:t>2013-2017)</w:t>
      </w:r>
      <w:r>
        <w:rPr>
          <w:lang w:val="en-US"/>
        </w:rPr>
        <w:t xml:space="preserve">: </w:t>
      </w:r>
      <w:r w:rsidRPr="007C7C14">
        <w:rPr>
          <w:lang w:val="en-US"/>
        </w:rPr>
        <w:t xml:space="preserve"> </w:t>
      </w:r>
      <w:r w:rsidRPr="00E82EA9">
        <w:t>tests</w:t>
      </w:r>
      <w:r w:rsidR="00694021">
        <w:t xml:space="preserve"> and </w:t>
      </w:r>
      <w:r w:rsidRPr="00E82EA9">
        <w:t>guidelines</w:t>
      </w:r>
      <w:r w:rsidR="00694021">
        <w:t xml:space="preserve"> (ref. </w:t>
      </w:r>
      <w:r w:rsidR="00694021">
        <w:fldChar w:fldCharType="begin"/>
      </w:r>
      <w:r w:rsidR="00694021">
        <w:instrText xml:space="preserve"> REF _Ref166601105 \r \h </w:instrText>
      </w:r>
      <w:r w:rsidR="00694021">
        <w:fldChar w:fldCharType="separate"/>
      </w:r>
      <w:r w:rsidR="0022757A">
        <w:t>[12]</w:t>
      </w:r>
      <w:r w:rsidR="00694021">
        <w:fldChar w:fldCharType="end"/>
      </w:r>
      <w:r w:rsidR="00694021">
        <w:t>)</w:t>
      </w:r>
    </w:p>
    <w:p w14:paraId="27BC27BE" w14:textId="28076C44" w:rsidR="00372E21" w:rsidRDefault="009448E4" w:rsidP="00372E21">
      <w:pPr>
        <w:pStyle w:val="ListEmdash"/>
      </w:pPr>
      <w:r w:rsidRPr="009448E4">
        <w:t xml:space="preserve">SAM </w:t>
      </w:r>
      <w:r w:rsidR="00E82EA9">
        <w:t>(</w:t>
      </w:r>
      <w:r w:rsidRPr="009448E4">
        <w:t>2018-2019</w:t>
      </w:r>
      <w:r w:rsidR="00E82EA9">
        <w:t>): fist mock-up</w:t>
      </w:r>
      <w:r w:rsidR="006F2E53">
        <w:t xml:space="preserve"> (EDF Private funding)</w:t>
      </w:r>
    </w:p>
    <w:p w14:paraId="0D5E1CDE" w14:textId="232BEE9E" w:rsidR="00364E6A" w:rsidRPr="00364E6A" w:rsidRDefault="00101729" w:rsidP="00364E6A">
      <w:pPr>
        <w:pStyle w:val="Corpsdetexte"/>
        <w:numPr>
          <w:ilvl w:val="0"/>
          <w:numId w:val="20"/>
        </w:numPr>
        <w:ind w:left="709"/>
      </w:pPr>
      <w:r w:rsidRPr="007C7C14">
        <w:rPr>
          <w:lang w:val="en-US"/>
        </w:rPr>
        <w:t xml:space="preserve">SCHEDULE RFCS EU funded project 800732 </w:t>
      </w:r>
      <w:r w:rsidR="00B30D8C">
        <w:rPr>
          <w:lang w:val="en-US"/>
        </w:rPr>
        <w:t>(</w:t>
      </w:r>
      <w:r w:rsidRPr="007C7C14">
        <w:rPr>
          <w:lang w:val="en-US"/>
        </w:rPr>
        <w:t>2018-2023)</w:t>
      </w:r>
      <w:r w:rsidR="00234B7F">
        <w:rPr>
          <w:lang w:val="en-US"/>
        </w:rPr>
        <w:t xml:space="preserve">: </w:t>
      </w:r>
      <w:r w:rsidRPr="007C7C14">
        <w:rPr>
          <w:lang w:val="en-US"/>
        </w:rPr>
        <w:t>construction of a building</w:t>
      </w:r>
      <w:r w:rsidR="00400132">
        <w:rPr>
          <w:lang w:val="en-US"/>
        </w:rPr>
        <w:t xml:space="preserve"> </w:t>
      </w:r>
      <w:r w:rsidR="00400132">
        <w:t>(</w:t>
      </w:r>
      <w:r w:rsidR="00400132" w:rsidRPr="007C7C14">
        <w:t>ref.</w:t>
      </w:r>
      <w:r w:rsidR="00400132">
        <w:t xml:space="preserve"> </w:t>
      </w:r>
      <w:r w:rsidR="00400132">
        <w:fldChar w:fldCharType="begin"/>
      </w:r>
      <w:r w:rsidR="00400132">
        <w:instrText xml:space="preserve"> REF _Ref166599137 \r \h </w:instrText>
      </w:r>
      <w:r w:rsidR="00400132">
        <w:fldChar w:fldCharType="separate"/>
      </w:r>
      <w:r w:rsidR="0022757A">
        <w:t>[13]</w:t>
      </w:r>
      <w:r w:rsidR="00400132">
        <w:fldChar w:fldCharType="end"/>
      </w:r>
      <w:r w:rsidR="00400132" w:rsidRPr="00B30D8C">
        <w:t>)</w:t>
      </w:r>
    </w:p>
    <w:p w14:paraId="0C7C7D08" w14:textId="023D237D" w:rsidR="00CF3E1B" w:rsidRDefault="007C7C14" w:rsidP="00364E6A">
      <w:pPr>
        <w:pStyle w:val="Corpsdetexte"/>
        <w:numPr>
          <w:ilvl w:val="0"/>
          <w:numId w:val="20"/>
        </w:numPr>
        <w:ind w:left="709"/>
      </w:pPr>
      <w:r w:rsidRPr="007C7C14">
        <w:t xml:space="preserve">The redaction of a particular design section in the </w:t>
      </w:r>
      <w:proofErr w:type="spellStart"/>
      <w:r w:rsidRPr="007C7C14">
        <w:t>Afcen</w:t>
      </w:r>
      <w:proofErr w:type="spellEnd"/>
      <w:r w:rsidRPr="007C7C14">
        <w:t xml:space="preserve"> RCC-CW and Eurocode is </w:t>
      </w:r>
      <w:r w:rsidR="006F2E53">
        <w:t>for the</w:t>
      </w:r>
      <w:r w:rsidRPr="007C7C14">
        <w:t xml:space="preserve"> 2025</w:t>
      </w:r>
      <w:r w:rsidR="006F2E53">
        <w:t xml:space="preserve"> edition</w:t>
      </w:r>
      <w:r w:rsidRPr="007C7C14">
        <w:t>.</w:t>
      </w:r>
    </w:p>
    <w:p w14:paraId="78868544" w14:textId="77777777" w:rsidR="00DE75EA" w:rsidRDefault="00DE75EA" w:rsidP="00CF3E1B">
      <w:pPr>
        <w:pStyle w:val="Authornameandaffiliation"/>
        <w:ind w:left="0" w:firstLine="567"/>
      </w:pPr>
    </w:p>
    <w:p w14:paraId="4B8128C0" w14:textId="2F272947" w:rsidR="00DE75EA" w:rsidRDefault="007C7C14" w:rsidP="00850FBD">
      <w:pPr>
        <w:pStyle w:val="Authornameandaffiliation"/>
        <w:ind w:left="0" w:firstLine="567"/>
        <w:jc w:val="both"/>
      </w:pPr>
      <w:r w:rsidRPr="007C7C14">
        <w:t xml:space="preserve">SCHEDULE is a full-size diesel ultimate safety building made with SCS above reinforced concrete </w:t>
      </w:r>
      <w:r w:rsidR="009704B3">
        <w:t>raft</w:t>
      </w:r>
      <w:r w:rsidRPr="007C7C14">
        <w:t>, without electromechanical components nor finishings excepted anti-corrosion paintings (Figure 4). In comparison, 56 identical reinforced concrete buildings were previously installed in every EDF power plant by 4 construction companies</w:t>
      </w:r>
      <w:r w:rsidR="00530352">
        <w:t xml:space="preserve"> in the frame of </w:t>
      </w:r>
      <w:r w:rsidR="004202C6">
        <w:t>a</w:t>
      </w:r>
      <w:r w:rsidR="00D01FBC">
        <w:t xml:space="preserve"> </w:t>
      </w:r>
      <w:r w:rsidR="004202C6">
        <w:t>Safety Upgrade Program</w:t>
      </w:r>
      <w:r w:rsidRPr="007C7C14">
        <w:t>. An aircraft crash shield zone and a pool were added to the original design specifically for the SCS p</w:t>
      </w:r>
      <w:r w:rsidR="00952126">
        <w:t>rototype</w:t>
      </w:r>
      <w:r w:rsidRPr="007C7C14">
        <w:t>. Assembly</w:t>
      </w:r>
      <w:r w:rsidR="00E2200B">
        <w:t xml:space="preserve"> </w:t>
      </w:r>
      <w:r w:rsidRPr="007C7C14">
        <w:t xml:space="preserve">provisions were </w:t>
      </w:r>
      <w:r w:rsidR="00E2200B">
        <w:t xml:space="preserve">made with </w:t>
      </w:r>
      <w:r w:rsidRPr="007C7C14">
        <w:t xml:space="preserve">a mix of </w:t>
      </w:r>
      <w:r w:rsidR="009704B3">
        <w:t xml:space="preserve">fillet </w:t>
      </w:r>
      <w:r w:rsidRPr="007C7C14">
        <w:t>weld</w:t>
      </w:r>
      <w:r w:rsidR="009704B3">
        <w:t xml:space="preserve"> joins</w:t>
      </w:r>
      <w:r w:rsidRPr="007C7C14">
        <w:t xml:space="preserve"> (1/3) and </w:t>
      </w:r>
      <w:r w:rsidR="009704B3">
        <w:t xml:space="preserve">dowel bars </w:t>
      </w:r>
      <w:r w:rsidRPr="007C7C14">
        <w:t>connections (2/3)</w:t>
      </w:r>
      <w:r w:rsidR="00807C6E">
        <w:t xml:space="preserve"> to check both options</w:t>
      </w:r>
      <w:r w:rsidRPr="007C7C14">
        <w:t xml:space="preserve">. It was completed in 5.6 months after </w:t>
      </w:r>
      <w:proofErr w:type="spellStart"/>
      <w:r w:rsidRPr="007C7C14">
        <w:t>basemat</w:t>
      </w:r>
      <w:proofErr w:type="spellEnd"/>
      <w:r w:rsidRPr="007C7C14">
        <w:t xml:space="preserve"> first concrete, which gives -25% time acceleration and confirms other countries </w:t>
      </w:r>
      <w:r w:rsidR="00A562C5">
        <w:t xml:space="preserve">previous </w:t>
      </w:r>
      <w:r w:rsidRPr="007C7C14">
        <w:t>performance</w:t>
      </w:r>
      <w:r w:rsidR="00A562C5">
        <w:t>s.</w:t>
      </w:r>
      <w:r w:rsidR="00D07BF7">
        <w:t xml:space="preserve"> M</w:t>
      </w:r>
      <w:r w:rsidR="00D07BF7" w:rsidRPr="007C7C14">
        <w:t>any years ago</w:t>
      </w:r>
      <w:r w:rsidR="00D07BF7">
        <w:t>,</w:t>
      </w:r>
      <w:r w:rsidR="00D07BF7" w:rsidRPr="007C7C14">
        <w:t xml:space="preserve"> </w:t>
      </w:r>
      <w:r w:rsidR="00D07BF7">
        <w:t xml:space="preserve">IAEA had forecasted </w:t>
      </w:r>
      <w:r w:rsidR="00E429B8">
        <w:t>-</w:t>
      </w:r>
      <w:r w:rsidRPr="007C7C14">
        <w:t>50%</w:t>
      </w:r>
      <w:r w:rsidR="00D07BF7">
        <w:t xml:space="preserve"> before any tests</w:t>
      </w:r>
      <w:r w:rsidRPr="007C7C14">
        <w:t xml:space="preserve"> (</w:t>
      </w:r>
      <w:r w:rsidR="006601E8" w:rsidRPr="006601E8">
        <w:t>r</w:t>
      </w:r>
      <w:r w:rsidR="006601E8">
        <w:t>ef.</w:t>
      </w:r>
      <w:r w:rsidR="00456822">
        <w:t xml:space="preserve"> </w:t>
      </w:r>
      <w:r w:rsidR="00456822">
        <w:fldChar w:fldCharType="begin"/>
      </w:r>
      <w:r w:rsidR="00456822">
        <w:instrText xml:space="preserve"> REF _Ref163577765 \r \h </w:instrText>
      </w:r>
      <w:r w:rsidR="00456822">
        <w:fldChar w:fldCharType="separate"/>
      </w:r>
      <w:r w:rsidR="0022757A">
        <w:t>[1]</w:t>
      </w:r>
      <w:r w:rsidR="00456822">
        <w:fldChar w:fldCharType="end"/>
      </w:r>
      <w:r w:rsidR="00456822">
        <w:t xml:space="preserve"> ; </w:t>
      </w:r>
      <w:r w:rsidR="00456822">
        <w:fldChar w:fldCharType="begin"/>
      </w:r>
      <w:r w:rsidR="00456822">
        <w:instrText xml:space="preserve"> REF _Ref163578074 \r \h </w:instrText>
      </w:r>
      <w:r w:rsidR="00456822">
        <w:fldChar w:fldCharType="separate"/>
      </w:r>
      <w:r w:rsidR="0022757A">
        <w:t>[14]</w:t>
      </w:r>
      <w:r w:rsidR="00456822">
        <w:fldChar w:fldCharType="end"/>
      </w:r>
      <w:r w:rsidR="00456822">
        <w:t xml:space="preserve"> ; </w:t>
      </w:r>
      <w:r w:rsidR="00456822">
        <w:fldChar w:fldCharType="begin"/>
      </w:r>
      <w:r w:rsidR="00456822">
        <w:instrText xml:space="preserve"> REF _Ref163578076 \r \h </w:instrText>
      </w:r>
      <w:r w:rsidR="00456822">
        <w:fldChar w:fldCharType="separate"/>
      </w:r>
      <w:r w:rsidR="0022757A">
        <w:t>[15]</w:t>
      </w:r>
      <w:r w:rsidR="00456822">
        <w:fldChar w:fldCharType="end"/>
      </w:r>
      <w:r w:rsidRPr="007C7C14">
        <w:t>).</w:t>
      </w:r>
      <w:r w:rsidR="009704B3">
        <w:t xml:space="preserve"> Further development, </w:t>
      </w:r>
      <w:r w:rsidR="00454070">
        <w:t>innovations,</w:t>
      </w:r>
      <w:r w:rsidR="009704B3">
        <w:t xml:space="preserve"> or a different </w:t>
      </w:r>
      <w:r w:rsidR="00D56838">
        <w:t>trade-off</w:t>
      </w:r>
      <w:r w:rsidR="009704B3">
        <w:t xml:space="preserve"> </w:t>
      </w:r>
      <w:r w:rsidR="00454070">
        <w:t>between</w:t>
      </w:r>
      <w:r w:rsidR="009704B3">
        <w:t xml:space="preserve"> direct cost</w:t>
      </w:r>
      <w:r w:rsidR="00D56838">
        <w:t>s control (more on-site manhours) may lead to better performance closer to that forecast.</w:t>
      </w:r>
    </w:p>
    <w:p w14:paraId="4D89613F" w14:textId="77777777" w:rsidR="00850FBD" w:rsidRDefault="00850FBD" w:rsidP="00DE75EA">
      <w:pPr>
        <w:pStyle w:val="Authornameandaffiliation"/>
        <w:ind w:left="0" w:firstLine="567"/>
      </w:pPr>
    </w:p>
    <w:p w14:paraId="76DBD227" w14:textId="73D862B0" w:rsidR="007C7C14" w:rsidRDefault="00EC2D3C" w:rsidP="00586B13">
      <w:pPr>
        <w:pStyle w:val="Authornameandaffiliation"/>
        <w:ind w:left="0" w:firstLine="567"/>
        <w:jc w:val="both"/>
      </w:pPr>
      <w:r w:rsidRPr="007C7C14">
        <w:t xml:space="preserve">The steel plate thickness is usually oversized </w:t>
      </w:r>
      <w:r w:rsidR="00D8773A">
        <w:t xml:space="preserve">(compared to equivalent RC rebars quantity) </w:t>
      </w:r>
      <w:r w:rsidRPr="007C7C14">
        <w:t xml:space="preserve">to provide stiffness during lifting and </w:t>
      </w:r>
      <w:r w:rsidR="00807C6E">
        <w:t>stability</w:t>
      </w:r>
      <w:r w:rsidRPr="007C7C14">
        <w:t xml:space="preserve"> during concrete pouring. </w:t>
      </w:r>
      <w:r w:rsidR="007C7C14" w:rsidRPr="007C7C14">
        <w:t xml:space="preserve">Despite </w:t>
      </w:r>
      <w:r w:rsidR="00160925">
        <w:t>subs</w:t>
      </w:r>
      <w:r w:rsidR="00CC6C66">
        <w:t xml:space="preserve">equently </w:t>
      </w:r>
      <w:r w:rsidR="00A530CF">
        <w:t>higher steel quantities</w:t>
      </w:r>
      <w:r w:rsidR="00D27BE0">
        <w:t xml:space="preserve">, </w:t>
      </w:r>
      <w:r w:rsidR="00147FDD">
        <w:t>detailing connection</w:t>
      </w:r>
      <w:r w:rsidR="00D27BE0">
        <w:t xml:space="preserve"> works, and transportation costs, </w:t>
      </w:r>
      <w:r w:rsidR="00177DD6" w:rsidRPr="007C7C14">
        <w:t xml:space="preserve">direct costs remain in the same order of values as reinforced concrete (Table 1) </w:t>
      </w:r>
      <w:r w:rsidR="00177DD6">
        <w:t xml:space="preserve">thanks to </w:t>
      </w:r>
      <w:r w:rsidR="007C7C14" w:rsidRPr="007C7C14">
        <w:t>-70% on-site manhours diminution</w:t>
      </w:r>
      <w:r w:rsidR="00D8773A">
        <w:t xml:space="preserve"> mainly due to high use of dowel bars connections. </w:t>
      </w:r>
      <w:r w:rsidR="007C7C14" w:rsidRPr="007C7C14">
        <w:t xml:space="preserve">Advantages of SCS in the pools are </w:t>
      </w:r>
      <w:r w:rsidR="00287718">
        <w:t xml:space="preserve">more </w:t>
      </w:r>
      <w:r w:rsidR="007C7C14" w:rsidRPr="007C7C14">
        <w:t xml:space="preserve">remarkable, offering </w:t>
      </w:r>
      <w:r w:rsidR="00232D9D">
        <w:t>both</w:t>
      </w:r>
      <w:r w:rsidR="007C7C14" w:rsidRPr="007C7C14">
        <w:t xml:space="preserve"> cost and schedule reduction compared to the usual </w:t>
      </w:r>
      <w:r w:rsidR="00807C6E">
        <w:t xml:space="preserve">complex </w:t>
      </w:r>
      <w:r w:rsidR="007C7C14" w:rsidRPr="007C7C14">
        <w:t>steel liner, wh</w:t>
      </w:r>
      <w:r w:rsidR="00807C6E">
        <w:t xml:space="preserve">ilst </w:t>
      </w:r>
      <w:r w:rsidR="007C7C14" w:rsidRPr="007C7C14">
        <w:t xml:space="preserve">direct cost remains slightly higher in ordinary walls and slabs. Our price indicators reflect a </w:t>
      </w:r>
      <w:r w:rsidR="00FB6FD4">
        <w:t xml:space="preserve">bill of quantities </w:t>
      </w:r>
      <w:r w:rsidR="007E743B">
        <w:t xml:space="preserve">established </w:t>
      </w:r>
      <w:r w:rsidR="007C7C14" w:rsidRPr="007C7C14">
        <w:t xml:space="preserve">in compliance with the European </w:t>
      </w:r>
      <w:r w:rsidR="00FB6FD4">
        <w:t xml:space="preserve">design </w:t>
      </w:r>
      <w:r w:rsidR="007C7C14" w:rsidRPr="007C7C14">
        <w:t>practice</w:t>
      </w:r>
      <w:r w:rsidR="0007605F">
        <w:t xml:space="preserve"> (codification in-progress)</w:t>
      </w:r>
      <w:r w:rsidR="007C7C14" w:rsidRPr="007C7C14">
        <w:t xml:space="preserve">. </w:t>
      </w:r>
      <w:r w:rsidR="00526B6E">
        <w:t xml:space="preserve">It </w:t>
      </w:r>
      <w:r w:rsidR="007C7C14" w:rsidRPr="007C7C14">
        <w:t>may be higher in a different normative context</w:t>
      </w:r>
      <w:r w:rsidR="00807C6E">
        <w:t xml:space="preserve"> due to detailing requirements or welds control rules</w:t>
      </w:r>
      <w:r w:rsidR="007C7C14" w:rsidRPr="007C7C14">
        <w:t xml:space="preserve"> (</w:t>
      </w:r>
      <w:proofErr w:type="spellStart"/>
      <w:r w:rsidR="007C7C14" w:rsidRPr="007C7C14">
        <w:t>e.g</w:t>
      </w:r>
      <w:proofErr w:type="spellEnd"/>
      <w:r w:rsidR="007C7C14" w:rsidRPr="007C7C14">
        <w:t xml:space="preserve"> ref. </w:t>
      </w:r>
      <w:r w:rsidR="002964F6">
        <w:fldChar w:fldCharType="begin"/>
      </w:r>
      <w:r w:rsidR="002964F6">
        <w:instrText xml:space="preserve"> REF _Ref163578113 \r \h </w:instrText>
      </w:r>
      <w:r w:rsidR="002964F6">
        <w:fldChar w:fldCharType="separate"/>
      </w:r>
      <w:r w:rsidR="0022757A">
        <w:t>[16]</w:t>
      </w:r>
      <w:r w:rsidR="002964F6">
        <w:fldChar w:fldCharType="end"/>
      </w:r>
      <w:r w:rsidR="001A081A">
        <w:t xml:space="preserve"> </w:t>
      </w:r>
      <w:r w:rsidR="007C7C14" w:rsidRPr="007C7C14">
        <w:t xml:space="preserve">remarked that AISC/N690-18 </w:t>
      </w:r>
      <w:r w:rsidR="00807C6E">
        <w:t xml:space="preserve">code </w:t>
      </w:r>
      <w:r w:rsidR="007C7C14" w:rsidRPr="007C7C14">
        <w:t>lead</w:t>
      </w:r>
      <w:r w:rsidR="00807C6E">
        <w:t>s</w:t>
      </w:r>
      <w:r w:rsidR="007C7C14" w:rsidRPr="007C7C14">
        <w:t xml:space="preserve"> to excessive steel quantities </w:t>
      </w:r>
      <w:r w:rsidR="00807C6E">
        <w:t xml:space="preserve">around openings </w:t>
      </w:r>
      <w:r w:rsidR="007C7C14" w:rsidRPr="007C7C14">
        <w:t xml:space="preserve">that jeopardize </w:t>
      </w:r>
      <w:r w:rsidR="00447457">
        <w:t xml:space="preserve">feasibility and </w:t>
      </w:r>
      <w:r w:rsidR="002261B1">
        <w:t>competitiveness</w:t>
      </w:r>
      <w:r w:rsidR="007C7C14" w:rsidRPr="007C7C14">
        <w:t xml:space="preserve">). One can also mention </w:t>
      </w:r>
      <w:r w:rsidR="001344F2">
        <w:t>the</w:t>
      </w:r>
      <w:r w:rsidR="007C7C14" w:rsidRPr="007C7C14">
        <w:t xml:space="preserve"> MIT </w:t>
      </w:r>
      <w:r w:rsidR="00FD1B94">
        <w:t xml:space="preserve">price calculator </w:t>
      </w:r>
      <w:r w:rsidR="007C7C14" w:rsidRPr="007C7C14">
        <w:t>(NCET)</w:t>
      </w:r>
      <w:r w:rsidR="00A553AB">
        <w:t>.</w:t>
      </w:r>
    </w:p>
    <w:p w14:paraId="37D3B8F5" w14:textId="02737D5E" w:rsidR="005A16CB" w:rsidRDefault="00807C6E" w:rsidP="00586B13">
      <w:pPr>
        <w:pStyle w:val="Authornameandaffiliation"/>
        <w:ind w:left="0" w:firstLine="567"/>
        <w:jc w:val="both"/>
      </w:pPr>
      <w:r>
        <w:t xml:space="preserve">It is noteworthy that </w:t>
      </w:r>
      <w:r w:rsidR="005B6F73">
        <w:t xml:space="preserve">the </w:t>
      </w:r>
      <w:r w:rsidR="00FE62B0">
        <w:t>British compan</w:t>
      </w:r>
      <w:r w:rsidR="005B6F73">
        <w:t xml:space="preserve">y </w:t>
      </w:r>
      <w:proofErr w:type="spellStart"/>
      <w:r w:rsidR="005B6F73">
        <w:t>Caunton</w:t>
      </w:r>
      <w:proofErr w:type="spellEnd"/>
      <w:r w:rsidR="005B6F73">
        <w:t xml:space="preserve"> Engineering Ltd</w:t>
      </w:r>
      <w:r>
        <w:t>, backed by Innovate-UK with grant as much as 1/4 of SCHEDULE budget</w:t>
      </w:r>
      <w:r w:rsidR="0099538B">
        <w:t>,</w:t>
      </w:r>
      <w:r w:rsidR="00FE62B0">
        <w:t xml:space="preserve"> erected </w:t>
      </w:r>
      <w:r w:rsidR="00BF348F">
        <w:t xml:space="preserve">1/8 of </w:t>
      </w:r>
      <w:proofErr w:type="gramStart"/>
      <w:r w:rsidR="0099538B">
        <w:t xml:space="preserve">exactly </w:t>
      </w:r>
      <w:r w:rsidR="00BF348F">
        <w:t>the same</w:t>
      </w:r>
      <w:proofErr w:type="gramEnd"/>
      <w:r w:rsidR="00BF348F">
        <w:t xml:space="preserve"> pilot structure</w:t>
      </w:r>
      <w:r w:rsidR="00B56B93">
        <w:t xml:space="preserve"> using th</w:t>
      </w:r>
      <w:r>
        <w:t>e</w:t>
      </w:r>
      <w:r w:rsidR="00B56B93">
        <w:t xml:space="preserve"> competing product</w:t>
      </w:r>
      <w:r w:rsidR="0084363A">
        <w:t xml:space="preserve"> </w:t>
      </w:r>
      <w:proofErr w:type="spellStart"/>
      <w:r w:rsidR="00C278A5">
        <w:t>SteelBricks</w:t>
      </w:r>
      <w:proofErr w:type="spellEnd"/>
      <w:r w:rsidR="00D8773A">
        <w:t xml:space="preserve">, </w:t>
      </w:r>
      <w:r w:rsidR="002338A9">
        <w:t xml:space="preserve">which </w:t>
      </w:r>
      <w:r w:rsidR="00D8773A">
        <w:t>seems</w:t>
      </w:r>
      <w:r w:rsidR="00E528EE">
        <w:t xml:space="preserve"> </w:t>
      </w:r>
      <w:r w:rsidR="00D8773A">
        <w:t xml:space="preserve">to be </w:t>
      </w:r>
      <w:r w:rsidR="00E528EE">
        <w:t xml:space="preserve">at least twice more expensive </w:t>
      </w:r>
      <w:r w:rsidR="00D8773A">
        <w:t xml:space="preserve">per m² </w:t>
      </w:r>
      <w:r w:rsidR="00E528EE">
        <w:t xml:space="preserve">than </w:t>
      </w:r>
      <w:r w:rsidR="00435E1D">
        <w:t>SCS of the SCHEDULE design.</w:t>
      </w:r>
    </w:p>
    <w:p w14:paraId="1B715E11" w14:textId="77777777" w:rsidR="00D913C7" w:rsidRPr="00CE29AB" w:rsidRDefault="00D913C7" w:rsidP="007C7C14">
      <w:pPr>
        <w:pStyle w:val="Authornameandaffiliation"/>
      </w:pPr>
    </w:p>
    <w:p w14:paraId="1A6F00E9" w14:textId="77777777" w:rsidR="00F716B4" w:rsidRPr="00136B7A" w:rsidRDefault="00F716B4" w:rsidP="00537496">
      <w:pPr>
        <w:pStyle w:val="Authornameandaffiliation"/>
      </w:pPr>
    </w:p>
    <w:p w14:paraId="6D4D3D1C" w14:textId="46CD1A52" w:rsidR="00EA3CE0" w:rsidRDefault="00EA3CE0" w:rsidP="00EA3CE0">
      <w:pPr>
        <w:pStyle w:val="Corpsdetexte"/>
        <w:ind w:firstLine="0"/>
      </w:pPr>
      <w:r>
        <w:t>TABLE 1.</w:t>
      </w:r>
      <w:r>
        <w:tab/>
        <w:t>Steel-Concrete vs. Reinforced Concrete ratios from SCHEDULE feedback</w:t>
      </w:r>
    </w:p>
    <w:p w14:paraId="472E4FD6" w14:textId="77777777" w:rsidR="00EA3CE0" w:rsidRDefault="00EA3CE0" w:rsidP="00EA3CE0">
      <w:pPr>
        <w:pStyle w:val="Corpsdetexte"/>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559"/>
        <w:gridCol w:w="1418"/>
        <w:gridCol w:w="1417"/>
      </w:tblGrid>
      <w:tr w:rsidR="00EA3CE0" w:rsidRPr="000C187C" w14:paraId="067B4974" w14:textId="77777777" w:rsidTr="00DC28D7">
        <w:trPr>
          <w:jc w:val="center"/>
        </w:trPr>
        <w:tc>
          <w:tcPr>
            <w:tcW w:w="2694" w:type="dxa"/>
            <w:tcBorders>
              <w:top w:val="single" w:sz="4" w:space="0" w:color="auto"/>
              <w:bottom w:val="single" w:sz="4" w:space="0" w:color="auto"/>
            </w:tcBorders>
          </w:tcPr>
          <w:p w14:paraId="56B99789" w14:textId="765ED588" w:rsidR="00EA3CE0" w:rsidRPr="000C187C" w:rsidRDefault="00EA3CE0" w:rsidP="00710BAC">
            <w:pPr>
              <w:pStyle w:val="Corpsdetexte"/>
              <w:ind w:firstLine="0"/>
              <w:rPr>
                <w:sz w:val="18"/>
                <w:szCs w:val="18"/>
              </w:rPr>
            </w:pPr>
          </w:p>
        </w:tc>
        <w:tc>
          <w:tcPr>
            <w:tcW w:w="1559" w:type="dxa"/>
            <w:tcBorders>
              <w:top w:val="single" w:sz="4" w:space="0" w:color="auto"/>
              <w:bottom w:val="single" w:sz="4" w:space="0" w:color="auto"/>
            </w:tcBorders>
          </w:tcPr>
          <w:p w14:paraId="5AB3B6D6" w14:textId="77777777" w:rsidR="00EA3CE0" w:rsidRPr="000C187C" w:rsidRDefault="00A16791" w:rsidP="00710BAC">
            <w:pPr>
              <w:pStyle w:val="Corpsdetexte"/>
              <w:ind w:firstLine="0"/>
              <w:jc w:val="center"/>
              <w:rPr>
                <w:sz w:val="18"/>
                <w:szCs w:val="18"/>
              </w:rPr>
            </w:pPr>
            <w:r w:rsidRPr="000C187C">
              <w:rPr>
                <w:sz w:val="18"/>
                <w:szCs w:val="18"/>
              </w:rPr>
              <w:t>Pessimistic</w:t>
            </w:r>
          </w:p>
          <w:p w14:paraId="28F757F6" w14:textId="53DD8D0A" w:rsidR="00A16791" w:rsidRPr="000C187C" w:rsidRDefault="00A16791" w:rsidP="00710BAC">
            <w:pPr>
              <w:pStyle w:val="Corpsdetexte"/>
              <w:ind w:firstLine="0"/>
              <w:jc w:val="center"/>
              <w:rPr>
                <w:sz w:val="18"/>
                <w:szCs w:val="18"/>
              </w:rPr>
            </w:pPr>
            <w:r w:rsidRPr="000C187C">
              <w:rPr>
                <w:sz w:val="18"/>
                <w:szCs w:val="18"/>
              </w:rPr>
              <w:t>FOAK</w:t>
            </w:r>
          </w:p>
        </w:tc>
        <w:tc>
          <w:tcPr>
            <w:tcW w:w="1418" w:type="dxa"/>
            <w:tcBorders>
              <w:top w:val="single" w:sz="4" w:space="0" w:color="auto"/>
              <w:bottom w:val="single" w:sz="4" w:space="0" w:color="auto"/>
            </w:tcBorders>
          </w:tcPr>
          <w:p w14:paraId="24C8B364" w14:textId="77777777" w:rsidR="00EA3CE0" w:rsidRPr="000C187C" w:rsidRDefault="00A16791" w:rsidP="00710BAC">
            <w:pPr>
              <w:pStyle w:val="Corpsdetexte"/>
              <w:ind w:firstLine="0"/>
              <w:jc w:val="center"/>
              <w:rPr>
                <w:sz w:val="18"/>
                <w:szCs w:val="18"/>
              </w:rPr>
            </w:pPr>
            <w:r w:rsidRPr="000C187C">
              <w:rPr>
                <w:sz w:val="18"/>
                <w:szCs w:val="18"/>
              </w:rPr>
              <w:t>Best Estimate</w:t>
            </w:r>
          </w:p>
          <w:p w14:paraId="0CB5C662" w14:textId="610ECF81" w:rsidR="00A16791" w:rsidRPr="000C187C" w:rsidRDefault="00A16791" w:rsidP="00710BAC">
            <w:pPr>
              <w:pStyle w:val="Corpsdetexte"/>
              <w:ind w:firstLine="0"/>
              <w:jc w:val="center"/>
              <w:rPr>
                <w:sz w:val="18"/>
                <w:szCs w:val="18"/>
              </w:rPr>
            </w:pPr>
            <w:r w:rsidRPr="000C187C">
              <w:rPr>
                <w:sz w:val="18"/>
                <w:szCs w:val="18"/>
              </w:rPr>
              <w:t>NOAK</w:t>
            </w:r>
          </w:p>
        </w:tc>
        <w:tc>
          <w:tcPr>
            <w:tcW w:w="1417" w:type="dxa"/>
            <w:tcBorders>
              <w:top w:val="single" w:sz="4" w:space="0" w:color="auto"/>
              <w:bottom w:val="single" w:sz="4" w:space="0" w:color="auto"/>
            </w:tcBorders>
          </w:tcPr>
          <w:p w14:paraId="2ED9D3B8" w14:textId="77777777" w:rsidR="00EA3CE0" w:rsidRPr="000C187C" w:rsidRDefault="0002452F" w:rsidP="00710BAC">
            <w:pPr>
              <w:pStyle w:val="Corpsdetexte"/>
              <w:ind w:firstLine="0"/>
              <w:jc w:val="center"/>
              <w:rPr>
                <w:sz w:val="18"/>
                <w:szCs w:val="18"/>
              </w:rPr>
            </w:pPr>
            <w:r w:rsidRPr="000C187C">
              <w:rPr>
                <w:sz w:val="18"/>
                <w:szCs w:val="18"/>
              </w:rPr>
              <w:t>Optimistic</w:t>
            </w:r>
          </w:p>
          <w:p w14:paraId="33F62F24" w14:textId="4E049AB3" w:rsidR="00A16791" w:rsidRPr="000C187C" w:rsidRDefault="00A16791" w:rsidP="00710BAC">
            <w:pPr>
              <w:pStyle w:val="Corpsdetexte"/>
              <w:ind w:firstLine="0"/>
              <w:jc w:val="center"/>
              <w:rPr>
                <w:sz w:val="18"/>
                <w:szCs w:val="18"/>
              </w:rPr>
            </w:pPr>
            <w:r w:rsidRPr="000C187C">
              <w:rPr>
                <w:sz w:val="18"/>
                <w:szCs w:val="18"/>
              </w:rPr>
              <w:t>NOAK</w:t>
            </w:r>
          </w:p>
        </w:tc>
      </w:tr>
      <w:tr w:rsidR="00EA3CE0" w:rsidRPr="000C187C" w14:paraId="56D8ABDB" w14:textId="77777777" w:rsidTr="00DE0484">
        <w:trPr>
          <w:jc w:val="center"/>
        </w:trPr>
        <w:tc>
          <w:tcPr>
            <w:tcW w:w="2694" w:type="dxa"/>
            <w:tcBorders>
              <w:top w:val="single" w:sz="4" w:space="0" w:color="auto"/>
              <w:bottom w:val="nil"/>
            </w:tcBorders>
          </w:tcPr>
          <w:p w14:paraId="42BDA4A8" w14:textId="51913F7D" w:rsidR="00EA3CE0" w:rsidRPr="000C187C" w:rsidRDefault="00A16791" w:rsidP="00710BAC">
            <w:pPr>
              <w:pStyle w:val="Corpsdetexte"/>
              <w:ind w:firstLine="0"/>
              <w:rPr>
                <w:sz w:val="18"/>
                <w:szCs w:val="18"/>
              </w:rPr>
            </w:pPr>
            <w:r w:rsidRPr="000C187C">
              <w:rPr>
                <w:rStyle w:val="TabletextChar"/>
                <w:sz w:val="18"/>
                <w:szCs w:val="18"/>
              </w:rPr>
              <w:t xml:space="preserve">Direct </w:t>
            </w:r>
            <w:proofErr w:type="gramStart"/>
            <w:r w:rsidRPr="000C187C">
              <w:rPr>
                <w:rStyle w:val="TabletextChar"/>
                <w:sz w:val="18"/>
                <w:szCs w:val="18"/>
              </w:rPr>
              <w:t>cost</w:t>
            </w:r>
            <w:r w:rsidR="008230B6" w:rsidRPr="000C187C">
              <w:rPr>
                <w:rStyle w:val="TabletextChar"/>
                <w:sz w:val="18"/>
                <w:szCs w:val="18"/>
              </w:rPr>
              <w:t>s  Walls</w:t>
            </w:r>
            <w:proofErr w:type="gramEnd"/>
            <w:r w:rsidR="008230B6" w:rsidRPr="000C187C">
              <w:rPr>
                <w:rStyle w:val="TabletextChar"/>
                <w:sz w:val="18"/>
                <w:szCs w:val="18"/>
              </w:rPr>
              <w:t>, Slabs</w:t>
            </w:r>
            <w:r w:rsidR="00AF26C6">
              <w:rPr>
                <w:rStyle w:val="TabletextChar"/>
                <w:sz w:val="18"/>
                <w:szCs w:val="18"/>
              </w:rPr>
              <w:t xml:space="preserve"> (vs. RC)</w:t>
            </w:r>
          </w:p>
        </w:tc>
        <w:tc>
          <w:tcPr>
            <w:tcW w:w="1559" w:type="dxa"/>
            <w:tcBorders>
              <w:top w:val="single" w:sz="4" w:space="0" w:color="auto"/>
              <w:bottom w:val="nil"/>
            </w:tcBorders>
          </w:tcPr>
          <w:p w14:paraId="00629FBF" w14:textId="12AF03BF" w:rsidR="00EA3CE0" w:rsidRPr="000C187C" w:rsidRDefault="0072745F" w:rsidP="00710BAC">
            <w:pPr>
              <w:pStyle w:val="Corpsdetexte"/>
              <w:ind w:firstLine="0"/>
              <w:jc w:val="center"/>
              <w:rPr>
                <w:sz w:val="18"/>
                <w:szCs w:val="18"/>
              </w:rPr>
            </w:pPr>
            <w:r>
              <w:rPr>
                <w:sz w:val="18"/>
                <w:szCs w:val="18"/>
              </w:rPr>
              <w:t>1.4</w:t>
            </w:r>
          </w:p>
        </w:tc>
        <w:tc>
          <w:tcPr>
            <w:tcW w:w="1418" w:type="dxa"/>
            <w:tcBorders>
              <w:top w:val="single" w:sz="4" w:space="0" w:color="auto"/>
              <w:bottom w:val="nil"/>
            </w:tcBorders>
          </w:tcPr>
          <w:p w14:paraId="7816AEA1" w14:textId="34DDC285" w:rsidR="00EA3CE0" w:rsidRPr="000C187C" w:rsidRDefault="0072745F" w:rsidP="00710BAC">
            <w:pPr>
              <w:pStyle w:val="Corpsdetexte"/>
              <w:ind w:firstLine="0"/>
              <w:jc w:val="center"/>
              <w:rPr>
                <w:sz w:val="18"/>
                <w:szCs w:val="18"/>
              </w:rPr>
            </w:pPr>
            <w:r>
              <w:rPr>
                <w:sz w:val="18"/>
                <w:szCs w:val="18"/>
              </w:rPr>
              <w:t>1.2</w:t>
            </w:r>
          </w:p>
        </w:tc>
        <w:tc>
          <w:tcPr>
            <w:tcW w:w="1417" w:type="dxa"/>
            <w:tcBorders>
              <w:top w:val="single" w:sz="4" w:space="0" w:color="auto"/>
              <w:bottom w:val="nil"/>
            </w:tcBorders>
          </w:tcPr>
          <w:p w14:paraId="62970647" w14:textId="1C46B475" w:rsidR="00EA3CE0" w:rsidRPr="000C187C" w:rsidRDefault="00111285" w:rsidP="00710BAC">
            <w:pPr>
              <w:pStyle w:val="Corpsdetexte"/>
              <w:ind w:firstLine="0"/>
              <w:jc w:val="center"/>
              <w:rPr>
                <w:sz w:val="18"/>
                <w:szCs w:val="18"/>
              </w:rPr>
            </w:pPr>
            <w:r>
              <w:rPr>
                <w:sz w:val="18"/>
                <w:szCs w:val="18"/>
              </w:rPr>
              <w:t>1.1</w:t>
            </w:r>
          </w:p>
        </w:tc>
      </w:tr>
      <w:tr w:rsidR="0002452F" w:rsidRPr="000C187C" w14:paraId="7B80B131" w14:textId="77777777" w:rsidTr="00DE0484">
        <w:trPr>
          <w:jc w:val="center"/>
        </w:trPr>
        <w:tc>
          <w:tcPr>
            <w:tcW w:w="2694" w:type="dxa"/>
            <w:tcBorders>
              <w:top w:val="nil"/>
              <w:bottom w:val="single" w:sz="4" w:space="0" w:color="auto"/>
            </w:tcBorders>
          </w:tcPr>
          <w:p w14:paraId="1CA994EC" w14:textId="3F890590" w:rsidR="0002452F" w:rsidRPr="000C187C" w:rsidRDefault="008230B6" w:rsidP="00710BAC">
            <w:pPr>
              <w:pStyle w:val="Corpsdetexte"/>
              <w:ind w:firstLine="0"/>
              <w:rPr>
                <w:sz w:val="18"/>
                <w:szCs w:val="18"/>
              </w:rPr>
            </w:pPr>
            <w:r w:rsidRPr="000C187C">
              <w:rPr>
                <w:sz w:val="18"/>
                <w:szCs w:val="18"/>
              </w:rPr>
              <w:t xml:space="preserve">                     Pools</w:t>
            </w:r>
            <w:r w:rsidR="000C187C" w:rsidRPr="000C187C">
              <w:rPr>
                <w:sz w:val="18"/>
                <w:szCs w:val="18"/>
              </w:rPr>
              <w:t xml:space="preserve"> (vs. </w:t>
            </w:r>
            <w:r w:rsidR="00494646">
              <w:rPr>
                <w:sz w:val="18"/>
                <w:szCs w:val="18"/>
              </w:rPr>
              <w:t>RC +</w:t>
            </w:r>
            <w:r w:rsidR="000C187C" w:rsidRPr="000C187C">
              <w:rPr>
                <w:sz w:val="18"/>
                <w:szCs w:val="18"/>
              </w:rPr>
              <w:t>liner)</w:t>
            </w:r>
          </w:p>
        </w:tc>
        <w:tc>
          <w:tcPr>
            <w:tcW w:w="1559" w:type="dxa"/>
            <w:tcBorders>
              <w:top w:val="nil"/>
              <w:bottom w:val="single" w:sz="4" w:space="0" w:color="auto"/>
            </w:tcBorders>
          </w:tcPr>
          <w:p w14:paraId="30C2D390" w14:textId="19C3FEE0" w:rsidR="0002452F" w:rsidRPr="000C187C" w:rsidRDefault="0072745F" w:rsidP="00710BAC">
            <w:pPr>
              <w:pStyle w:val="Corpsdetexte"/>
              <w:ind w:firstLine="0"/>
              <w:jc w:val="center"/>
              <w:rPr>
                <w:sz w:val="18"/>
                <w:szCs w:val="18"/>
              </w:rPr>
            </w:pPr>
            <w:r>
              <w:rPr>
                <w:sz w:val="18"/>
                <w:szCs w:val="18"/>
              </w:rPr>
              <w:t>0.</w:t>
            </w:r>
            <w:r w:rsidR="008D32CF">
              <w:rPr>
                <w:sz w:val="18"/>
                <w:szCs w:val="18"/>
              </w:rPr>
              <w:t>78</w:t>
            </w:r>
          </w:p>
        </w:tc>
        <w:tc>
          <w:tcPr>
            <w:tcW w:w="1418" w:type="dxa"/>
            <w:tcBorders>
              <w:top w:val="nil"/>
              <w:bottom w:val="single" w:sz="4" w:space="0" w:color="auto"/>
            </w:tcBorders>
          </w:tcPr>
          <w:p w14:paraId="3D3B0D22" w14:textId="0B05CBE3" w:rsidR="0002452F" w:rsidRPr="000C187C" w:rsidRDefault="0072745F" w:rsidP="00710BAC">
            <w:pPr>
              <w:pStyle w:val="Corpsdetexte"/>
              <w:ind w:firstLine="0"/>
              <w:jc w:val="center"/>
              <w:rPr>
                <w:sz w:val="18"/>
                <w:szCs w:val="18"/>
              </w:rPr>
            </w:pPr>
            <w:r>
              <w:rPr>
                <w:sz w:val="18"/>
                <w:szCs w:val="18"/>
              </w:rPr>
              <w:t>0.</w:t>
            </w:r>
            <w:r w:rsidR="009019B1">
              <w:rPr>
                <w:sz w:val="18"/>
                <w:szCs w:val="18"/>
              </w:rPr>
              <w:t>6</w:t>
            </w:r>
          </w:p>
        </w:tc>
        <w:tc>
          <w:tcPr>
            <w:tcW w:w="1417" w:type="dxa"/>
            <w:tcBorders>
              <w:top w:val="nil"/>
              <w:bottom w:val="single" w:sz="4" w:space="0" w:color="auto"/>
            </w:tcBorders>
          </w:tcPr>
          <w:p w14:paraId="1D73B8AE" w14:textId="4B68E81F" w:rsidR="0002452F" w:rsidRPr="000C187C" w:rsidRDefault="00111285" w:rsidP="00710BAC">
            <w:pPr>
              <w:pStyle w:val="Corpsdetexte"/>
              <w:ind w:firstLine="0"/>
              <w:jc w:val="center"/>
              <w:rPr>
                <w:sz w:val="18"/>
                <w:szCs w:val="18"/>
              </w:rPr>
            </w:pPr>
            <w:r>
              <w:rPr>
                <w:sz w:val="18"/>
                <w:szCs w:val="18"/>
              </w:rPr>
              <w:t>0.</w:t>
            </w:r>
            <w:r w:rsidR="00FB7EDD">
              <w:rPr>
                <w:sz w:val="18"/>
                <w:szCs w:val="18"/>
              </w:rPr>
              <w:t>4</w:t>
            </w:r>
          </w:p>
        </w:tc>
      </w:tr>
      <w:tr w:rsidR="00EA3CE0" w:rsidRPr="000C187C" w14:paraId="36A548FF" w14:textId="77777777" w:rsidTr="00DE0484">
        <w:trPr>
          <w:jc w:val="center"/>
        </w:trPr>
        <w:tc>
          <w:tcPr>
            <w:tcW w:w="2694" w:type="dxa"/>
            <w:tcBorders>
              <w:top w:val="single" w:sz="4" w:space="0" w:color="auto"/>
            </w:tcBorders>
          </w:tcPr>
          <w:p w14:paraId="5145E585" w14:textId="6AB26FC7" w:rsidR="00EA3CE0" w:rsidRPr="000C187C" w:rsidRDefault="00111285" w:rsidP="00710BAC">
            <w:pPr>
              <w:pStyle w:val="Corpsdetexte"/>
              <w:ind w:firstLine="0"/>
              <w:rPr>
                <w:sz w:val="18"/>
                <w:szCs w:val="18"/>
              </w:rPr>
            </w:pPr>
            <w:r>
              <w:rPr>
                <w:sz w:val="18"/>
                <w:szCs w:val="18"/>
              </w:rPr>
              <w:t xml:space="preserve">Civil works critical path </w:t>
            </w:r>
            <w:r w:rsidR="00DC28D7">
              <w:rPr>
                <w:sz w:val="18"/>
                <w:szCs w:val="18"/>
              </w:rPr>
              <w:t>planning</w:t>
            </w:r>
          </w:p>
        </w:tc>
        <w:tc>
          <w:tcPr>
            <w:tcW w:w="1559" w:type="dxa"/>
            <w:tcBorders>
              <w:top w:val="single" w:sz="4" w:space="0" w:color="auto"/>
            </w:tcBorders>
          </w:tcPr>
          <w:p w14:paraId="01830DEA" w14:textId="2F6867A7" w:rsidR="00EA3CE0" w:rsidRPr="000C187C" w:rsidRDefault="00DC28D7" w:rsidP="00710BAC">
            <w:pPr>
              <w:pStyle w:val="Corpsdetexte"/>
              <w:ind w:firstLine="0"/>
              <w:jc w:val="center"/>
              <w:rPr>
                <w:sz w:val="18"/>
                <w:szCs w:val="18"/>
              </w:rPr>
            </w:pPr>
            <w:r>
              <w:rPr>
                <w:sz w:val="18"/>
                <w:szCs w:val="18"/>
              </w:rPr>
              <w:t>0.8</w:t>
            </w:r>
          </w:p>
        </w:tc>
        <w:tc>
          <w:tcPr>
            <w:tcW w:w="1418" w:type="dxa"/>
            <w:tcBorders>
              <w:top w:val="single" w:sz="4" w:space="0" w:color="auto"/>
            </w:tcBorders>
          </w:tcPr>
          <w:p w14:paraId="6B9B766E" w14:textId="5C17B37C" w:rsidR="00EA3CE0" w:rsidRPr="000C187C" w:rsidRDefault="00DC28D7" w:rsidP="00710BAC">
            <w:pPr>
              <w:pStyle w:val="Corpsdetexte"/>
              <w:ind w:firstLine="0"/>
              <w:jc w:val="center"/>
              <w:rPr>
                <w:sz w:val="18"/>
                <w:szCs w:val="18"/>
              </w:rPr>
            </w:pPr>
            <w:r>
              <w:rPr>
                <w:sz w:val="18"/>
                <w:szCs w:val="18"/>
              </w:rPr>
              <w:t>0.7</w:t>
            </w:r>
          </w:p>
        </w:tc>
        <w:tc>
          <w:tcPr>
            <w:tcW w:w="1417" w:type="dxa"/>
            <w:tcBorders>
              <w:top w:val="single" w:sz="4" w:space="0" w:color="auto"/>
            </w:tcBorders>
          </w:tcPr>
          <w:p w14:paraId="572602E7" w14:textId="77777777" w:rsidR="00EA3CE0" w:rsidRDefault="00DC28D7" w:rsidP="00710BAC">
            <w:pPr>
              <w:pStyle w:val="Corpsdetexte"/>
              <w:ind w:firstLine="0"/>
              <w:jc w:val="center"/>
              <w:rPr>
                <w:sz w:val="18"/>
                <w:szCs w:val="18"/>
              </w:rPr>
            </w:pPr>
            <w:r>
              <w:rPr>
                <w:sz w:val="18"/>
                <w:szCs w:val="18"/>
              </w:rPr>
              <w:t>0.7</w:t>
            </w:r>
          </w:p>
          <w:p w14:paraId="1BB98162" w14:textId="5A750AA3" w:rsidR="00DE0484" w:rsidRPr="000C187C" w:rsidRDefault="00DE0484" w:rsidP="00D74AD2">
            <w:pPr>
              <w:pStyle w:val="Corpsdetexte"/>
              <w:ind w:firstLine="0"/>
              <w:rPr>
                <w:sz w:val="18"/>
                <w:szCs w:val="18"/>
              </w:rPr>
            </w:pPr>
          </w:p>
        </w:tc>
      </w:tr>
    </w:tbl>
    <w:p w14:paraId="661C316F" w14:textId="59DE1236" w:rsidR="00514628" w:rsidRDefault="00514628" w:rsidP="00514628">
      <w:pPr>
        <w:pStyle w:val="Beschriftung1"/>
        <w:spacing w:before="0" w:after="0" w:line="240" w:lineRule="auto"/>
        <w:rPr>
          <w:sz w:val="22"/>
          <w:szCs w:val="22"/>
        </w:rPr>
      </w:pPr>
    </w:p>
    <w:p w14:paraId="10ACEA1B" w14:textId="13916DE5" w:rsidR="00514628" w:rsidRPr="002E4A6A" w:rsidRDefault="00D9229A" w:rsidP="002E4A6A">
      <w:pPr>
        <w:pStyle w:val="Body"/>
        <w:jc w:val="center"/>
        <w:rPr>
          <w:sz w:val="22"/>
          <w:szCs w:val="22"/>
        </w:rPr>
      </w:pPr>
      <w:r>
        <w:rPr>
          <w:noProof/>
          <w:lang w:eastAsia="en-GB"/>
        </w:rPr>
        <mc:AlternateContent>
          <mc:Choice Requires="wps">
            <w:drawing>
              <wp:anchor distT="0" distB="0" distL="114300" distR="114300" simplePos="0" relativeHeight="251670528" behindDoc="0" locked="0" layoutInCell="1" allowOverlap="1" wp14:anchorId="7E9642EF" wp14:editId="6D3D01C8">
                <wp:simplePos x="0" y="0"/>
                <wp:positionH relativeFrom="margin">
                  <wp:posOffset>1002665</wp:posOffset>
                </wp:positionH>
                <wp:positionV relativeFrom="paragraph">
                  <wp:posOffset>1510665</wp:posOffset>
                </wp:positionV>
                <wp:extent cx="3863340" cy="635"/>
                <wp:effectExtent l="0" t="0" r="3810" b="5080"/>
                <wp:wrapTopAndBottom/>
                <wp:docPr id="7"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633B28AB" w14:textId="16C5018D" w:rsidR="00D9229A" w:rsidRPr="00D9229A" w:rsidRDefault="00D9229A" w:rsidP="00D9229A">
                            <w:pPr>
                              <w:pStyle w:val="Lgende"/>
                              <w:jc w:val="center"/>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4</w:t>
                            </w:r>
                            <w:r w:rsidRPr="00802381">
                              <w:rPr>
                                <w:i/>
                              </w:rPr>
                              <w:fldChar w:fldCharType="end"/>
                            </w:r>
                            <w:r>
                              <w:rPr>
                                <w:i/>
                              </w:rPr>
                              <w:t xml:space="preserve">. Steel-Concrete modules                                                                           </w:t>
                            </w:r>
                            <w:proofErr w:type="gramStart"/>
                            <w:r>
                              <w:rPr>
                                <w:i/>
                              </w:rPr>
                              <w:t xml:space="preserve">   (</w:t>
                            </w:r>
                            <w:proofErr w:type="gramEnd"/>
                            <w:r>
                              <w:rPr>
                                <w:i/>
                              </w:rPr>
                              <w:t xml:space="preserve">SCHEDULE mock-up at the site of EDF R&amp;D in Les </w:t>
                            </w:r>
                            <w:proofErr w:type="spellStart"/>
                            <w:r>
                              <w:rPr>
                                <w:i/>
                              </w:rPr>
                              <w:t>Renardières</w:t>
                            </w:r>
                            <w:proofErr w:type="spellEnd"/>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9642EF" id="_x0000_s1029" type="#_x0000_t202" style="position:absolute;left:0;text-align:left;margin-left:78.95pt;margin-top:118.95pt;width:304.2pt;height:.0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" stroked="f">
                <v:textbox style="mso-fit-shape-to-text:t" inset="0,0,0,0">
                  <w:txbxContent>
                    <w:p w14:paraId="633B28AB" w14:textId="16C5018D" w:rsidR="00D9229A" w:rsidRPr="00D9229A" w:rsidRDefault="00D9229A" w:rsidP="00D9229A">
                      <w:pPr>
                        <w:pStyle w:val="Lgende"/>
                        <w:jc w:val="center"/>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4</w:t>
                      </w:r>
                      <w:r w:rsidRPr="00802381">
                        <w:rPr>
                          <w:i/>
                        </w:rPr>
                        <w:fldChar w:fldCharType="end"/>
                      </w:r>
                      <w:r>
                        <w:rPr>
                          <w:i/>
                        </w:rPr>
                        <w:t xml:space="preserve">. Steel-Concrete modules                                                                           </w:t>
                      </w:r>
                      <w:proofErr w:type="gramStart"/>
                      <w:r>
                        <w:rPr>
                          <w:i/>
                        </w:rPr>
                        <w:t xml:space="preserve">   (</w:t>
                      </w:r>
                      <w:proofErr w:type="gramEnd"/>
                      <w:r>
                        <w:rPr>
                          <w:i/>
                        </w:rPr>
                        <w:t xml:space="preserve">SCHEDULE mock-up at the site of EDF R&amp;D in Les </w:t>
                      </w:r>
                      <w:proofErr w:type="spellStart"/>
                      <w:r>
                        <w:rPr>
                          <w:i/>
                        </w:rPr>
                        <w:t>Renardières</w:t>
                      </w:r>
                      <w:proofErr w:type="spellEnd"/>
                      <w:r>
                        <w:rPr>
                          <w:i/>
                        </w:rPr>
                        <w:t>)</w:t>
                      </w:r>
                    </w:p>
                  </w:txbxContent>
                </v:textbox>
                <w10:wrap type="topAndBottom" anchorx="margin"/>
              </v:shape>
            </w:pict>
          </mc:Fallback>
        </mc:AlternateContent>
      </w:r>
      <w:r w:rsidR="00514628" w:rsidRPr="003A0F21">
        <w:rPr>
          <w:noProof/>
          <w:sz w:val="22"/>
          <w:szCs w:val="22"/>
        </w:rPr>
        <w:drawing>
          <wp:inline distT="0" distB="0" distL="0" distR="0" wp14:anchorId="78A63F2B" wp14:editId="1CD256ED">
            <wp:extent cx="1851873" cy="139507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0647" cy="1409220"/>
                    </a:xfrm>
                    <a:prstGeom prst="rect">
                      <a:avLst/>
                    </a:prstGeom>
                    <a:noFill/>
                    <a:ln>
                      <a:noFill/>
                    </a:ln>
                  </pic:spPr>
                </pic:pic>
              </a:graphicData>
            </a:graphic>
          </wp:inline>
        </w:drawing>
      </w:r>
      <w:r w:rsidR="00514628" w:rsidRPr="003A0F21">
        <w:rPr>
          <w:sz w:val="22"/>
          <w:szCs w:val="22"/>
        </w:rPr>
        <w:t xml:space="preserve"> </w:t>
      </w:r>
      <w:r w:rsidR="00514628" w:rsidRPr="003A0F21">
        <w:rPr>
          <w:noProof/>
          <w:sz w:val="22"/>
          <w:szCs w:val="22"/>
        </w:rPr>
        <w:drawing>
          <wp:inline distT="0" distB="0" distL="0" distR="0" wp14:anchorId="4C5D70C7" wp14:editId="37BC625A">
            <wp:extent cx="3658378" cy="139316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8311" cy="1419801"/>
                    </a:xfrm>
                    <a:prstGeom prst="rect">
                      <a:avLst/>
                    </a:prstGeom>
                    <a:noFill/>
                    <a:ln>
                      <a:noFill/>
                    </a:ln>
                  </pic:spPr>
                </pic:pic>
              </a:graphicData>
            </a:graphic>
          </wp:inline>
        </w:drawing>
      </w:r>
    </w:p>
    <w:p w14:paraId="398BF4B7" w14:textId="041C938F" w:rsidR="00E4757B" w:rsidRPr="00F776DC" w:rsidRDefault="00844B7E" w:rsidP="00891021">
      <w:pPr>
        <w:overflowPunct/>
        <w:autoSpaceDE/>
        <w:autoSpaceDN/>
        <w:adjustRightInd/>
        <w:spacing w:line="260" w:lineRule="atLeast"/>
        <w:jc w:val="both"/>
        <w:textAlignment w:val="auto"/>
        <w:rPr>
          <w:b/>
          <w:sz w:val="20"/>
        </w:rPr>
      </w:pPr>
      <w:r w:rsidRPr="00F776DC">
        <w:rPr>
          <w:sz w:val="20"/>
        </w:rPr>
        <w:t xml:space="preserve">          </w:t>
      </w:r>
      <w:r w:rsidR="00605090" w:rsidRPr="00F776DC">
        <w:rPr>
          <w:sz w:val="20"/>
        </w:rPr>
        <w:t>The use of SCS in the next years will depend on the maturity level of the program (new campaign of tests on the SCHEDULE mock</w:t>
      </w:r>
      <w:r w:rsidR="00B576C5">
        <w:rPr>
          <w:sz w:val="20"/>
        </w:rPr>
        <w:t>-</w:t>
      </w:r>
      <w:r w:rsidR="00605090" w:rsidRPr="00F776DC">
        <w:rPr>
          <w:sz w:val="20"/>
        </w:rPr>
        <w:t xml:space="preserve">up, design codification, industrialisation, etc.) by the time of each new nuclear project construction and considering the necessary </w:t>
      </w:r>
      <w:r w:rsidR="00D25C30" w:rsidRPr="00F776DC">
        <w:rPr>
          <w:sz w:val="20"/>
        </w:rPr>
        <w:t xml:space="preserve">anticipation </w:t>
      </w:r>
      <w:r w:rsidR="00605090" w:rsidRPr="00F776DC">
        <w:rPr>
          <w:sz w:val="20"/>
        </w:rPr>
        <w:t xml:space="preserve">for detailed design and manufacturing.  The </w:t>
      </w:r>
      <w:r w:rsidR="00721B23" w:rsidRPr="00F776DC">
        <w:rPr>
          <w:sz w:val="20"/>
        </w:rPr>
        <w:t>current</w:t>
      </w:r>
      <w:r w:rsidR="001168A8" w:rsidRPr="00F776DC">
        <w:rPr>
          <w:sz w:val="20"/>
        </w:rPr>
        <w:t xml:space="preserve"> R&amp;D</w:t>
      </w:r>
      <w:r w:rsidR="00721B23" w:rsidRPr="00F776DC">
        <w:rPr>
          <w:sz w:val="20"/>
        </w:rPr>
        <w:t xml:space="preserve"> </w:t>
      </w:r>
      <w:r w:rsidR="00605090" w:rsidRPr="00F776DC">
        <w:rPr>
          <w:sz w:val="20"/>
        </w:rPr>
        <w:t>planning is consistent to be time-to-market for SMRs. Concerning large reactors</w:t>
      </w:r>
      <w:r w:rsidR="006508C1" w:rsidRPr="00F776DC">
        <w:rPr>
          <w:sz w:val="20"/>
        </w:rPr>
        <w:t>, when the</w:t>
      </w:r>
      <w:r w:rsidR="00605090" w:rsidRPr="00F776DC">
        <w:rPr>
          <w:sz w:val="20"/>
        </w:rPr>
        <w:t xml:space="preserve"> FOAK projects </w:t>
      </w:r>
      <w:r w:rsidR="00D25C30" w:rsidRPr="00F776DC">
        <w:rPr>
          <w:sz w:val="20"/>
        </w:rPr>
        <w:t>were</w:t>
      </w:r>
      <w:r w:rsidR="00605090" w:rsidRPr="00F776DC">
        <w:rPr>
          <w:sz w:val="20"/>
        </w:rPr>
        <w:t xml:space="preserve"> already at detailed design stage</w:t>
      </w:r>
      <w:r w:rsidR="00721B23" w:rsidRPr="00F776DC">
        <w:rPr>
          <w:sz w:val="20"/>
        </w:rPr>
        <w:t xml:space="preserve"> in reinforced concrete</w:t>
      </w:r>
      <w:r w:rsidR="00605090" w:rsidRPr="00F776DC">
        <w:rPr>
          <w:sz w:val="20"/>
        </w:rPr>
        <w:t>,</w:t>
      </w:r>
      <w:r w:rsidR="006508C1" w:rsidRPr="00F776DC">
        <w:rPr>
          <w:sz w:val="20"/>
        </w:rPr>
        <w:t xml:space="preserve"> SCS </w:t>
      </w:r>
      <w:r w:rsidR="00721B23" w:rsidRPr="00F776DC">
        <w:rPr>
          <w:sz w:val="20"/>
        </w:rPr>
        <w:t xml:space="preserve">still </w:t>
      </w:r>
      <w:r w:rsidR="006508C1" w:rsidRPr="00F776DC">
        <w:rPr>
          <w:sz w:val="20"/>
        </w:rPr>
        <w:t xml:space="preserve">gives optimization perspectives for the </w:t>
      </w:r>
      <w:proofErr w:type="gramStart"/>
      <w:r w:rsidR="006508C1" w:rsidRPr="00F776DC">
        <w:rPr>
          <w:sz w:val="20"/>
        </w:rPr>
        <w:t>NOAK ;</w:t>
      </w:r>
      <w:proofErr w:type="gramEnd"/>
      <w:r w:rsidR="006508C1" w:rsidRPr="00F776DC">
        <w:rPr>
          <w:sz w:val="20"/>
        </w:rPr>
        <w:t xml:space="preserve"> main engineering effort </w:t>
      </w:r>
      <w:r w:rsidR="00453726" w:rsidRPr="00F776DC">
        <w:rPr>
          <w:sz w:val="20"/>
        </w:rPr>
        <w:t>will be</w:t>
      </w:r>
      <w:r w:rsidR="006508C1" w:rsidRPr="00F776DC">
        <w:rPr>
          <w:sz w:val="20"/>
        </w:rPr>
        <w:t xml:space="preserve"> to revise the civil works detailed design </w:t>
      </w:r>
      <w:r w:rsidR="00532023" w:rsidRPr="00F776DC">
        <w:rPr>
          <w:sz w:val="20"/>
        </w:rPr>
        <w:t xml:space="preserve">of the selected </w:t>
      </w:r>
      <w:r w:rsidR="00467578" w:rsidRPr="00F776DC">
        <w:rPr>
          <w:sz w:val="20"/>
        </w:rPr>
        <w:t>areas</w:t>
      </w:r>
      <w:r w:rsidR="00532023" w:rsidRPr="00F776DC">
        <w:rPr>
          <w:sz w:val="20"/>
        </w:rPr>
        <w:t xml:space="preserve"> </w:t>
      </w:r>
      <w:r w:rsidR="006508C1" w:rsidRPr="00F776DC">
        <w:rPr>
          <w:sz w:val="20"/>
        </w:rPr>
        <w:t>with no impact on the buildings layout</w:t>
      </w:r>
      <w:r w:rsidR="00E36C0D" w:rsidRPr="00F776DC">
        <w:rPr>
          <w:sz w:val="20"/>
        </w:rPr>
        <w:t xml:space="preserve">, that sounds </w:t>
      </w:r>
      <w:r w:rsidR="00BF37DE" w:rsidRPr="00F776DC">
        <w:rPr>
          <w:sz w:val="20"/>
        </w:rPr>
        <w:t xml:space="preserve">a </w:t>
      </w:r>
      <w:r w:rsidR="00E36C0D" w:rsidRPr="00F776DC">
        <w:rPr>
          <w:sz w:val="20"/>
        </w:rPr>
        <w:t>reasonable expense compared to the expected savings during construction.</w:t>
      </w:r>
      <w:r w:rsidR="006508C1" w:rsidRPr="00F776DC">
        <w:rPr>
          <w:sz w:val="20"/>
        </w:rPr>
        <w:t xml:space="preserve"> </w:t>
      </w:r>
      <w:r w:rsidR="00605090" w:rsidRPr="00F776DC">
        <w:rPr>
          <w:sz w:val="20"/>
        </w:rPr>
        <w:t xml:space="preserve">  </w:t>
      </w:r>
      <w:r w:rsidR="004B5B8B" w:rsidRPr="00F776DC">
        <w:rPr>
          <w:sz w:val="20"/>
        </w:rPr>
        <w:t xml:space="preserve"> </w:t>
      </w:r>
    </w:p>
    <w:p w14:paraId="3F907899" w14:textId="20485770" w:rsidR="00FD60CB" w:rsidRPr="00EE0041" w:rsidRDefault="002D6419" w:rsidP="00FD60CB">
      <w:pPr>
        <w:pStyle w:val="Titre3"/>
      </w:pPr>
      <w:r>
        <w:t>Reference plants s</w:t>
      </w:r>
      <w:r w:rsidR="00A43962">
        <w:t>ize</w:t>
      </w:r>
      <w:r w:rsidR="00FD60CB">
        <w:t xml:space="preserve"> assumptions</w:t>
      </w:r>
    </w:p>
    <w:p w14:paraId="388F66CF" w14:textId="4C7E4926" w:rsidR="00ED62A1" w:rsidRPr="001C3EB2" w:rsidRDefault="00ED62A1" w:rsidP="009C1FC2">
      <w:pPr>
        <w:pStyle w:val="Corpsdetexte"/>
        <w:rPr>
          <w:lang w:val="en-US"/>
        </w:rPr>
      </w:pPr>
      <w:r w:rsidRPr="001C3EB2">
        <w:rPr>
          <w:lang w:val="en-US"/>
        </w:rPr>
        <w:t>For exercise purpose, some reinforced concrete reference case</w:t>
      </w:r>
      <w:r w:rsidR="00B17C6D" w:rsidRPr="001C3EB2">
        <w:rPr>
          <w:lang w:val="en-US"/>
        </w:rPr>
        <w:t>s</w:t>
      </w:r>
      <w:r w:rsidRPr="001C3EB2">
        <w:rPr>
          <w:lang w:val="en-US"/>
        </w:rPr>
        <w:t xml:space="preserve"> </w:t>
      </w:r>
      <w:r w:rsidR="00B17C6D" w:rsidRPr="001C3EB2">
        <w:rPr>
          <w:lang w:val="en-US"/>
        </w:rPr>
        <w:t>are</w:t>
      </w:r>
      <w:r w:rsidRPr="001C3EB2">
        <w:rPr>
          <w:lang w:val="en-US"/>
        </w:rPr>
        <w:t xml:space="preserve"> defined. </w:t>
      </w:r>
      <w:r w:rsidR="0097142D" w:rsidRPr="001C3EB2">
        <w:rPr>
          <w:lang w:val="en-US"/>
        </w:rPr>
        <w:t>Two reactor sizes are tested</w:t>
      </w:r>
      <w:r w:rsidR="003729F8" w:rsidRPr="001C3EB2">
        <w:rPr>
          <w:lang w:val="en-US"/>
        </w:rPr>
        <w:t>, with cost and schedule assumptions from the literature</w:t>
      </w:r>
      <w:r w:rsidR="0097142D" w:rsidRPr="001C3EB2">
        <w:rPr>
          <w:lang w:val="en-US"/>
        </w:rPr>
        <w:t>.</w:t>
      </w:r>
      <w:r w:rsidRPr="001C3EB2">
        <w:rPr>
          <w:lang w:val="en-US"/>
        </w:rPr>
        <w:t xml:space="preserve"> </w:t>
      </w:r>
      <w:r w:rsidR="00B17C6D" w:rsidRPr="001C3EB2">
        <w:rPr>
          <w:lang w:val="en-US"/>
        </w:rPr>
        <w:t>A</w:t>
      </w:r>
      <w:r w:rsidRPr="001C3EB2">
        <w:rPr>
          <w:lang w:val="en-US"/>
        </w:rPr>
        <w:t>ll assumptions</w:t>
      </w:r>
      <w:r w:rsidR="0095694E" w:rsidRPr="001C3EB2">
        <w:rPr>
          <w:lang w:val="en-US"/>
        </w:rPr>
        <w:t xml:space="preserve"> of the</w:t>
      </w:r>
      <w:r w:rsidR="00BC4436" w:rsidRPr="001C3EB2">
        <w:rPr>
          <w:lang w:val="en-US"/>
        </w:rPr>
        <w:t>se</w:t>
      </w:r>
      <w:r w:rsidR="0095694E" w:rsidRPr="001C3EB2">
        <w:rPr>
          <w:lang w:val="en-US"/>
        </w:rPr>
        <w:t xml:space="preserve"> simplified models</w:t>
      </w:r>
      <w:r w:rsidRPr="001C3EB2">
        <w:rPr>
          <w:lang w:val="en-US"/>
        </w:rPr>
        <w:t xml:space="preserve"> are </w:t>
      </w:r>
      <w:r w:rsidR="00791C2A" w:rsidRPr="001C3EB2">
        <w:rPr>
          <w:lang w:val="en-US"/>
        </w:rPr>
        <w:t xml:space="preserve">usual </w:t>
      </w:r>
      <w:r w:rsidRPr="001C3EB2">
        <w:rPr>
          <w:lang w:val="en-US"/>
        </w:rPr>
        <w:t>orders of magnitude</w:t>
      </w:r>
      <w:r w:rsidR="00B17C6D" w:rsidRPr="001C3EB2">
        <w:rPr>
          <w:lang w:val="en-US"/>
        </w:rPr>
        <w:t xml:space="preserve"> </w:t>
      </w:r>
      <w:r w:rsidR="00BC4436" w:rsidRPr="001C3EB2">
        <w:rPr>
          <w:lang w:val="en-US"/>
        </w:rPr>
        <w:t>at</w:t>
      </w:r>
      <w:r w:rsidR="00B17C6D" w:rsidRPr="001C3EB2">
        <w:rPr>
          <w:lang w:val="en-US"/>
        </w:rPr>
        <w:t xml:space="preserve"> Western countries economic conditions (cost breakdown, cost of electricity, construction duration, etc.) as </w:t>
      </w:r>
      <w:r w:rsidR="008B2FEF" w:rsidRPr="001C3EB2">
        <w:rPr>
          <w:lang w:val="en-US"/>
        </w:rPr>
        <w:t>suggested in a blend of public sources (University Chicago, MIT,</w:t>
      </w:r>
      <w:r w:rsidR="009C1FC2" w:rsidRPr="001C3EB2">
        <w:rPr>
          <w:lang w:val="en-US"/>
        </w:rPr>
        <w:t xml:space="preserve"> </w:t>
      </w:r>
      <w:r w:rsidR="008B2FEF" w:rsidRPr="001C3EB2">
        <w:rPr>
          <w:lang w:val="en-US"/>
        </w:rPr>
        <w:t>OECD/NEA, etc.</w:t>
      </w:r>
      <w:r w:rsidR="005C7E53" w:rsidRPr="001C3EB2">
        <w:rPr>
          <w:lang w:val="en-US"/>
        </w:rPr>
        <w:t>).</w:t>
      </w:r>
      <w:r w:rsidR="0095694E" w:rsidRPr="001C3EB2">
        <w:rPr>
          <w:lang w:val="en-US"/>
        </w:rPr>
        <w:t xml:space="preserve"> </w:t>
      </w:r>
    </w:p>
    <w:p w14:paraId="0FB29540" w14:textId="116E4904" w:rsidR="00B17C6D" w:rsidRPr="001C3EB2" w:rsidRDefault="00361C3A" w:rsidP="00361C3A">
      <w:pPr>
        <w:pStyle w:val="Corpsdetexte"/>
        <w:rPr>
          <w:lang w:val="en-US"/>
        </w:rPr>
      </w:pPr>
      <w:r w:rsidRPr="001C3EB2">
        <w:rPr>
          <w:lang w:val="en-US"/>
        </w:rPr>
        <w:t xml:space="preserve">The </w:t>
      </w:r>
      <w:r w:rsidR="00B17C6D" w:rsidRPr="001C3EB2">
        <w:rPr>
          <w:lang w:val="en-US"/>
        </w:rPr>
        <w:t xml:space="preserve">virtual </w:t>
      </w:r>
      <w:r w:rsidR="00D8088A" w:rsidRPr="001C3EB2">
        <w:rPr>
          <w:lang w:val="en-US"/>
        </w:rPr>
        <w:t xml:space="preserve">reinforced concrete </w:t>
      </w:r>
      <w:r w:rsidRPr="001C3EB2">
        <w:rPr>
          <w:lang w:val="en-US"/>
        </w:rPr>
        <w:t xml:space="preserve">large reactor </w:t>
      </w:r>
      <w:r w:rsidR="00B17C6D" w:rsidRPr="001C3EB2">
        <w:rPr>
          <w:lang w:val="en-US"/>
        </w:rPr>
        <w:t>(</w:t>
      </w:r>
      <w:r w:rsidR="00791C2A" w:rsidRPr="001C3EB2">
        <w:rPr>
          <w:lang w:val="en-US"/>
        </w:rPr>
        <w:t xml:space="preserve">typically </w:t>
      </w:r>
      <w:r w:rsidR="007703E1" w:rsidRPr="001C3EB2">
        <w:rPr>
          <w:lang w:val="en-US"/>
        </w:rPr>
        <w:t>&gt;</w:t>
      </w:r>
      <w:r w:rsidR="00B17C6D" w:rsidRPr="001C3EB2">
        <w:rPr>
          <w:lang w:val="en-US"/>
        </w:rPr>
        <w:t>1000</w:t>
      </w:r>
      <w:r w:rsidR="004E4822" w:rsidRPr="001C3EB2">
        <w:rPr>
          <w:lang w:val="en-US"/>
        </w:rPr>
        <w:t xml:space="preserve"> </w:t>
      </w:r>
      <w:r w:rsidR="00B17C6D" w:rsidRPr="001C3EB2">
        <w:rPr>
          <w:lang w:val="en-US"/>
        </w:rPr>
        <w:t xml:space="preserve">MWe) parameters are arbitrarily set </w:t>
      </w:r>
      <w:r w:rsidR="00D8088A" w:rsidRPr="001C3EB2">
        <w:rPr>
          <w:lang w:val="en-US"/>
        </w:rPr>
        <w:t>at</w:t>
      </w:r>
      <w:r w:rsidR="001B6F82" w:rsidRPr="001C3EB2">
        <w:rPr>
          <w:lang w:val="en-US"/>
        </w:rPr>
        <w:t xml:space="preserve"> </w:t>
      </w:r>
      <w:r w:rsidR="00816445" w:rsidRPr="001C3EB2">
        <w:rPr>
          <w:lang w:val="en-US"/>
        </w:rPr>
        <w:t xml:space="preserve"> </w:t>
      </w:r>
      <w:r w:rsidR="00D8088A" w:rsidRPr="001C3EB2">
        <w:rPr>
          <w:lang w:val="en-US"/>
        </w:rPr>
        <w:t xml:space="preserve"> </w:t>
      </w:r>
      <w:r w:rsidR="00B17C6D" w:rsidRPr="001C3EB2">
        <w:rPr>
          <w:lang w:val="en-US"/>
        </w:rPr>
        <w:t>100$/MWh</w:t>
      </w:r>
      <w:r w:rsidR="003729F8" w:rsidRPr="001C3EB2">
        <w:rPr>
          <w:lang w:val="en-US"/>
        </w:rPr>
        <w:t xml:space="preserve">, the medium value of </w:t>
      </w:r>
      <w:r w:rsidR="00BC4436" w:rsidRPr="001C3EB2">
        <w:rPr>
          <w:lang w:val="en-US"/>
        </w:rPr>
        <w:t xml:space="preserve">the range </w:t>
      </w:r>
      <w:r w:rsidR="0057421A" w:rsidRPr="001C3EB2">
        <w:rPr>
          <w:lang w:val="en-US"/>
        </w:rPr>
        <w:t>5</w:t>
      </w:r>
      <w:r w:rsidR="00BC4436" w:rsidRPr="001C3EB2">
        <w:rPr>
          <w:lang w:val="en-US"/>
        </w:rPr>
        <w:t>0-1</w:t>
      </w:r>
      <w:r w:rsidR="0057421A" w:rsidRPr="001C3EB2">
        <w:rPr>
          <w:lang w:val="en-US"/>
        </w:rPr>
        <w:t>5</w:t>
      </w:r>
      <w:r w:rsidR="00BC4436" w:rsidRPr="001C3EB2">
        <w:rPr>
          <w:lang w:val="en-US"/>
        </w:rPr>
        <w:t xml:space="preserve">0 according to projected </w:t>
      </w:r>
      <w:r w:rsidR="00785C29" w:rsidRPr="001C3EB2">
        <w:rPr>
          <w:lang w:val="en-US"/>
        </w:rPr>
        <w:t xml:space="preserve">nuclear </w:t>
      </w:r>
      <w:r w:rsidR="00BC4436" w:rsidRPr="001C3EB2">
        <w:rPr>
          <w:lang w:val="en-US"/>
        </w:rPr>
        <w:t>costs in the future</w:t>
      </w:r>
      <w:r w:rsidR="00DA69A7" w:rsidRPr="001C3EB2">
        <w:rPr>
          <w:lang w:val="en-US"/>
        </w:rPr>
        <w:t xml:space="preserve"> by World Nuclear Association</w:t>
      </w:r>
      <w:r w:rsidR="00E900D8" w:rsidRPr="001C3EB2">
        <w:rPr>
          <w:lang w:val="en-US"/>
        </w:rPr>
        <w:t xml:space="preserve"> (Figure </w:t>
      </w:r>
      <w:r w:rsidR="00DA69A7" w:rsidRPr="001C3EB2">
        <w:rPr>
          <w:lang w:val="en-US"/>
        </w:rPr>
        <w:t>p</w:t>
      </w:r>
      <w:r w:rsidR="00A8235D">
        <w:rPr>
          <w:lang w:val="en-US"/>
        </w:rPr>
        <w:t>p.</w:t>
      </w:r>
      <w:r w:rsidR="00DA69A7" w:rsidRPr="001C3EB2">
        <w:rPr>
          <w:lang w:val="en-US"/>
        </w:rPr>
        <w:t xml:space="preserve"> 4 </w:t>
      </w:r>
      <w:r w:rsidR="00E900D8" w:rsidRPr="001C3EB2">
        <w:rPr>
          <w:lang w:val="en-US"/>
        </w:rPr>
        <w:t xml:space="preserve">of </w:t>
      </w:r>
      <w:r w:rsidR="00DA69A7" w:rsidRPr="001C3EB2">
        <w:rPr>
          <w:lang w:val="en-US"/>
        </w:rPr>
        <w:fldChar w:fldCharType="begin"/>
      </w:r>
      <w:r w:rsidR="00DA69A7" w:rsidRPr="001C3EB2">
        <w:rPr>
          <w:lang w:val="en-US"/>
        </w:rPr>
        <w:instrText xml:space="preserve"> REF _Ref163578180 \r \h </w:instrText>
      </w:r>
      <w:r w:rsidR="008A3141" w:rsidRPr="001C3EB2">
        <w:rPr>
          <w:lang w:val="en-US"/>
        </w:rPr>
        <w:instrText xml:space="preserve"> \* MERGEFORMAT </w:instrText>
      </w:r>
      <w:r w:rsidR="00DA69A7" w:rsidRPr="001C3EB2">
        <w:rPr>
          <w:lang w:val="en-US"/>
        </w:rPr>
      </w:r>
      <w:r w:rsidR="00DA69A7" w:rsidRPr="001C3EB2">
        <w:rPr>
          <w:lang w:val="en-US"/>
        </w:rPr>
        <w:fldChar w:fldCharType="separate"/>
      </w:r>
      <w:r w:rsidR="0022757A">
        <w:rPr>
          <w:lang w:val="en-US"/>
        </w:rPr>
        <w:t>[18]</w:t>
      </w:r>
      <w:r w:rsidR="00DA69A7" w:rsidRPr="001C3EB2">
        <w:rPr>
          <w:lang w:val="en-US"/>
        </w:rPr>
        <w:fldChar w:fldCharType="end"/>
      </w:r>
      <w:r w:rsidR="00DA69A7" w:rsidRPr="001C3EB2">
        <w:rPr>
          <w:lang w:val="en-US"/>
        </w:rPr>
        <w:t xml:space="preserve"> </w:t>
      </w:r>
      <w:r w:rsidR="00F403C4" w:rsidRPr="001C3EB2">
        <w:rPr>
          <w:lang w:val="en-US"/>
        </w:rPr>
        <w:t>after</w:t>
      </w:r>
      <w:r w:rsidR="00DA69A7" w:rsidRPr="001C3EB2">
        <w:rPr>
          <w:lang w:val="en-US"/>
        </w:rPr>
        <w:t xml:space="preserve"> OECD/NEA</w:t>
      </w:r>
      <w:r w:rsidR="00F403C4" w:rsidRPr="001C3EB2">
        <w:rPr>
          <w:lang w:val="en-US"/>
        </w:rPr>
        <w:t xml:space="preserve">, and Figure ES5 pp.20 of </w:t>
      </w:r>
      <w:r w:rsidR="00BB006F" w:rsidRPr="001C3EB2">
        <w:rPr>
          <w:lang w:val="en-US"/>
        </w:rPr>
        <w:fldChar w:fldCharType="begin"/>
      </w:r>
      <w:r w:rsidR="00BB006F" w:rsidRPr="001C3EB2">
        <w:rPr>
          <w:lang w:val="en-US"/>
        </w:rPr>
        <w:instrText xml:space="preserve"> REF _Ref168654828 \r \h </w:instrText>
      </w:r>
      <w:r w:rsidR="008A3141" w:rsidRPr="001C3EB2">
        <w:rPr>
          <w:lang w:val="en-US"/>
        </w:rPr>
        <w:instrText xml:space="preserve"> \* MERGEFORMAT </w:instrText>
      </w:r>
      <w:r w:rsidR="00BB006F" w:rsidRPr="001C3EB2">
        <w:rPr>
          <w:lang w:val="en-US"/>
        </w:rPr>
      </w:r>
      <w:r w:rsidR="00BB006F" w:rsidRPr="001C3EB2">
        <w:rPr>
          <w:lang w:val="en-US"/>
        </w:rPr>
        <w:fldChar w:fldCharType="separate"/>
      </w:r>
      <w:r w:rsidR="0022757A">
        <w:rPr>
          <w:lang w:val="en-US"/>
        </w:rPr>
        <w:t>[19]</w:t>
      </w:r>
      <w:r w:rsidR="00BB006F" w:rsidRPr="001C3EB2">
        <w:rPr>
          <w:lang w:val="en-US"/>
        </w:rPr>
        <w:fldChar w:fldCharType="end"/>
      </w:r>
      <w:r w:rsidR="00BB006F" w:rsidRPr="001C3EB2">
        <w:rPr>
          <w:lang w:val="en-US"/>
        </w:rPr>
        <w:t xml:space="preserve"> </w:t>
      </w:r>
      <w:r w:rsidR="00F403C4" w:rsidRPr="001C3EB2">
        <w:rPr>
          <w:lang w:val="en-US"/>
        </w:rPr>
        <w:t>by IAEA</w:t>
      </w:r>
      <w:r w:rsidR="00DA69A7" w:rsidRPr="001C3EB2">
        <w:rPr>
          <w:lang w:val="en-US"/>
        </w:rPr>
        <w:t>)</w:t>
      </w:r>
      <w:r w:rsidR="00BC4436" w:rsidRPr="001C3EB2">
        <w:rPr>
          <w:lang w:val="en-US"/>
        </w:rPr>
        <w:t xml:space="preserve">. </w:t>
      </w:r>
      <w:r w:rsidR="00E900D8" w:rsidRPr="001C3EB2">
        <w:rPr>
          <w:lang w:val="en-US"/>
        </w:rPr>
        <w:t xml:space="preserve">It </w:t>
      </w:r>
      <w:r w:rsidR="003729F8" w:rsidRPr="001C3EB2">
        <w:rPr>
          <w:lang w:val="en-US"/>
        </w:rPr>
        <w:t xml:space="preserve">approximately </w:t>
      </w:r>
      <w:r w:rsidR="00E900D8" w:rsidRPr="001C3EB2">
        <w:rPr>
          <w:lang w:val="en-US"/>
        </w:rPr>
        <w:t>corresponds to 5000$/</w:t>
      </w:r>
      <w:proofErr w:type="spellStart"/>
      <w:r w:rsidR="00E900D8" w:rsidRPr="001C3EB2">
        <w:rPr>
          <w:lang w:val="en-US"/>
        </w:rPr>
        <w:t>kWe</w:t>
      </w:r>
      <w:proofErr w:type="spellEnd"/>
      <w:r w:rsidR="00E900D8" w:rsidRPr="001C3EB2">
        <w:rPr>
          <w:lang w:val="en-US"/>
        </w:rPr>
        <w:t xml:space="preserve"> </w:t>
      </w:r>
      <w:r w:rsidR="003729F8" w:rsidRPr="001C3EB2">
        <w:rPr>
          <w:lang w:val="en-US"/>
        </w:rPr>
        <w:t xml:space="preserve">with a 9% rate of return </w:t>
      </w:r>
      <w:r w:rsidR="00E900D8" w:rsidRPr="001C3EB2">
        <w:rPr>
          <w:lang w:val="en-US"/>
        </w:rPr>
        <w:t xml:space="preserve">(Figure 6 of </w:t>
      </w:r>
      <w:r w:rsidR="00E900D8" w:rsidRPr="001C3EB2">
        <w:rPr>
          <w:lang w:val="en-US"/>
        </w:rPr>
        <w:fldChar w:fldCharType="begin"/>
      </w:r>
      <w:r w:rsidR="00E900D8" w:rsidRPr="001C3EB2">
        <w:rPr>
          <w:lang w:val="en-US"/>
        </w:rPr>
        <w:instrText xml:space="preserve"> REF _Ref163577765 \r \h </w:instrText>
      </w:r>
      <w:r w:rsidR="008A3141" w:rsidRPr="001C3EB2">
        <w:rPr>
          <w:lang w:val="en-US"/>
        </w:rPr>
        <w:instrText xml:space="preserve"> \* MERGEFORMAT </w:instrText>
      </w:r>
      <w:r w:rsidR="00E900D8" w:rsidRPr="001C3EB2">
        <w:rPr>
          <w:lang w:val="en-US"/>
        </w:rPr>
      </w:r>
      <w:r w:rsidR="00E900D8" w:rsidRPr="001C3EB2">
        <w:rPr>
          <w:lang w:val="en-US"/>
        </w:rPr>
        <w:fldChar w:fldCharType="separate"/>
      </w:r>
      <w:r w:rsidR="0022757A">
        <w:rPr>
          <w:lang w:val="en-US"/>
        </w:rPr>
        <w:t>[1]</w:t>
      </w:r>
      <w:r w:rsidR="00E900D8" w:rsidRPr="001C3EB2">
        <w:rPr>
          <w:lang w:val="en-US"/>
        </w:rPr>
        <w:fldChar w:fldCharType="end"/>
      </w:r>
      <w:r w:rsidR="00465D38" w:rsidRPr="001C3EB2">
        <w:rPr>
          <w:lang w:val="en-US"/>
        </w:rPr>
        <w:t xml:space="preserve"> by OECD/NEA</w:t>
      </w:r>
      <w:r w:rsidR="00F403C4" w:rsidRPr="001C3EB2">
        <w:rPr>
          <w:lang w:val="en-US"/>
        </w:rPr>
        <w:t xml:space="preserve">, and Figure 3.2 pp.47 of </w:t>
      </w:r>
      <w:r w:rsidR="00BB006F" w:rsidRPr="001C3EB2">
        <w:rPr>
          <w:lang w:val="en-US"/>
        </w:rPr>
        <w:fldChar w:fldCharType="begin"/>
      </w:r>
      <w:r w:rsidR="00BB006F" w:rsidRPr="001C3EB2">
        <w:rPr>
          <w:lang w:val="en-US"/>
        </w:rPr>
        <w:instrText xml:space="preserve"> REF _Ref168654828 \r \h </w:instrText>
      </w:r>
      <w:r w:rsidR="008A3141" w:rsidRPr="001C3EB2">
        <w:rPr>
          <w:lang w:val="en-US"/>
        </w:rPr>
        <w:instrText xml:space="preserve"> \* MERGEFORMAT </w:instrText>
      </w:r>
      <w:r w:rsidR="00BB006F" w:rsidRPr="001C3EB2">
        <w:rPr>
          <w:lang w:val="en-US"/>
        </w:rPr>
      </w:r>
      <w:r w:rsidR="00BB006F" w:rsidRPr="001C3EB2">
        <w:rPr>
          <w:lang w:val="en-US"/>
        </w:rPr>
        <w:fldChar w:fldCharType="separate"/>
      </w:r>
      <w:r w:rsidR="0022757A">
        <w:rPr>
          <w:lang w:val="en-US"/>
        </w:rPr>
        <w:t>[19]</w:t>
      </w:r>
      <w:r w:rsidR="00BB006F" w:rsidRPr="001C3EB2">
        <w:rPr>
          <w:lang w:val="en-US"/>
        </w:rPr>
        <w:fldChar w:fldCharType="end"/>
      </w:r>
      <w:r w:rsidR="00BB006F" w:rsidRPr="001C3EB2">
        <w:rPr>
          <w:lang w:val="en-US"/>
        </w:rPr>
        <w:t xml:space="preserve"> </w:t>
      </w:r>
      <w:r w:rsidR="00F403C4" w:rsidRPr="001C3EB2">
        <w:rPr>
          <w:lang w:val="en-US"/>
        </w:rPr>
        <w:t>by IAEA</w:t>
      </w:r>
      <w:r w:rsidR="00E900D8" w:rsidRPr="001C3EB2">
        <w:rPr>
          <w:lang w:val="en-US"/>
        </w:rPr>
        <w:t xml:space="preserve">). </w:t>
      </w:r>
      <w:r w:rsidR="00F403C4" w:rsidRPr="001C3EB2">
        <w:rPr>
          <w:lang w:val="en-US"/>
        </w:rPr>
        <w:t xml:space="preserve">The construction is assumed 7 years (IAEA </w:t>
      </w:r>
      <w:r w:rsidR="001611A3" w:rsidRPr="001C3EB2">
        <w:rPr>
          <w:lang w:val="en-US"/>
        </w:rPr>
        <w:t xml:space="preserve">ref. </w:t>
      </w:r>
      <w:r w:rsidR="00BB006F" w:rsidRPr="001C3EB2">
        <w:rPr>
          <w:lang w:val="en-US"/>
        </w:rPr>
        <w:fldChar w:fldCharType="begin"/>
      </w:r>
      <w:r w:rsidR="00BB006F" w:rsidRPr="001C3EB2">
        <w:rPr>
          <w:lang w:val="en-US"/>
        </w:rPr>
        <w:instrText xml:space="preserve"> REF _Ref168654828 \r \h </w:instrText>
      </w:r>
      <w:r w:rsidR="008A3141" w:rsidRPr="001C3EB2">
        <w:rPr>
          <w:lang w:val="en-US"/>
        </w:rPr>
        <w:instrText xml:space="preserve"> \* MERGEFORMAT </w:instrText>
      </w:r>
      <w:r w:rsidR="00BB006F" w:rsidRPr="001C3EB2">
        <w:rPr>
          <w:lang w:val="en-US"/>
        </w:rPr>
      </w:r>
      <w:r w:rsidR="00BB006F" w:rsidRPr="001C3EB2">
        <w:rPr>
          <w:lang w:val="en-US"/>
        </w:rPr>
        <w:fldChar w:fldCharType="separate"/>
      </w:r>
      <w:r w:rsidR="0022757A">
        <w:rPr>
          <w:lang w:val="en-US"/>
        </w:rPr>
        <w:t>[19]</w:t>
      </w:r>
      <w:r w:rsidR="00BB006F" w:rsidRPr="001C3EB2">
        <w:rPr>
          <w:lang w:val="en-US"/>
        </w:rPr>
        <w:fldChar w:fldCharType="end"/>
      </w:r>
      <w:r w:rsidR="00BB006F" w:rsidRPr="001C3EB2">
        <w:rPr>
          <w:lang w:val="en-US"/>
        </w:rPr>
        <w:t xml:space="preserve"> </w:t>
      </w:r>
      <w:r w:rsidR="00F403C4" w:rsidRPr="001C3EB2">
        <w:rPr>
          <w:lang w:val="en-US"/>
        </w:rPr>
        <w:t xml:space="preserve">pp. 40). </w:t>
      </w:r>
      <w:r w:rsidR="00BC4436" w:rsidRPr="001C3EB2">
        <w:rPr>
          <w:lang w:val="en-US"/>
        </w:rPr>
        <w:t>T</w:t>
      </w:r>
      <w:r w:rsidR="0043477A" w:rsidRPr="001C3EB2">
        <w:rPr>
          <w:lang w:val="en-US"/>
        </w:rPr>
        <w:t xml:space="preserve">he same </w:t>
      </w:r>
      <w:r w:rsidR="00463EFD" w:rsidRPr="001C3EB2">
        <w:rPr>
          <w:lang w:val="en-US"/>
        </w:rPr>
        <w:t>study</w:t>
      </w:r>
      <w:r w:rsidR="0043477A" w:rsidRPr="001C3EB2">
        <w:rPr>
          <w:lang w:val="en-US"/>
        </w:rPr>
        <w:t xml:space="preserve"> could have been carried out considering another </w:t>
      </w:r>
      <w:r w:rsidR="00BC4436" w:rsidRPr="001C3EB2">
        <w:rPr>
          <w:lang w:val="en-US"/>
        </w:rPr>
        <w:t xml:space="preserve">realistic </w:t>
      </w:r>
      <w:r w:rsidR="00F403C4" w:rsidRPr="001C3EB2">
        <w:rPr>
          <w:lang w:val="en-US"/>
        </w:rPr>
        <w:t xml:space="preserve">set of </w:t>
      </w:r>
      <w:r w:rsidR="00BC4436" w:rsidRPr="001C3EB2">
        <w:rPr>
          <w:lang w:val="en-US"/>
        </w:rPr>
        <w:t xml:space="preserve">input </w:t>
      </w:r>
      <w:r w:rsidR="0043477A" w:rsidRPr="001C3EB2">
        <w:rPr>
          <w:lang w:val="en-US"/>
        </w:rPr>
        <w:t>value</w:t>
      </w:r>
      <w:r w:rsidR="00F403C4" w:rsidRPr="001C3EB2">
        <w:rPr>
          <w:lang w:val="en-US"/>
        </w:rPr>
        <w:t>s</w:t>
      </w:r>
      <w:r w:rsidR="00BC4436" w:rsidRPr="001C3EB2">
        <w:rPr>
          <w:lang w:val="en-US"/>
        </w:rPr>
        <w:t xml:space="preserve">, getting finally the same </w:t>
      </w:r>
      <w:r w:rsidR="0035788A" w:rsidRPr="001C3EB2">
        <w:rPr>
          <w:lang w:val="en-US"/>
        </w:rPr>
        <w:t xml:space="preserve">trends in </w:t>
      </w:r>
      <w:r w:rsidR="00BC4436" w:rsidRPr="001C3EB2">
        <w:rPr>
          <w:lang w:val="en-US"/>
        </w:rPr>
        <w:t>conclusion.</w:t>
      </w:r>
    </w:p>
    <w:p w14:paraId="7689E3E9" w14:textId="182D4C19" w:rsidR="00361C3A" w:rsidRPr="00361C3A" w:rsidRDefault="00B17C6D" w:rsidP="00D8088A">
      <w:pPr>
        <w:pStyle w:val="Corpsdetexte"/>
        <w:rPr>
          <w:lang w:val="en-US"/>
        </w:rPr>
      </w:pPr>
      <w:r w:rsidRPr="001C3EB2">
        <w:rPr>
          <w:lang w:val="en-US"/>
        </w:rPr>
        <w:t xml:space="preserve"> </w:t>
      </w:r>
      <w:r w:rsidR="00361C3A" w:rsidRPr="001C3EB2">
        <w:rPr>
          <w:lang w:val="en-US"/>
        </w:rPr>
        <w:t xml:space="preserve">The </w:t>
      </w:r>
      <w:r w:rsidR="00104995" w:rsidRPr="001C3EB2">
        <w:rPr>
          <w:lang w:val="en-US"/>
        </w:rPr>
        <w:t xml:space="preserve">virtual </w:t>
      </w:r>
      <w:r w:rsidR="00D8088A" w:rsidRPr="001C3EB2">
        <w:rPr>
          <w:lang w:val="en-US"/>
        </w:rPr>
        <w:t xml:space="preserve">reinforced concrete </w:t>
      </w:r>
      <w:r w:rsidR="00104995" w:rsidRPr="001C3EB2">
        <w:rPr>
          <w:lang w:val="en-US"/>
        </w:rPr>
        <w:t xml:space="preserve">SMR (typically </w:t>
      </w:r>
      <w:r w:rsidR="00463EFD" w:rsidRPr="001C3EB2">
        <w:rPr>
          <w:lang w:val="en-US"/>
        </w:rPr>
        <w:t>2</w:t>
      </w:r>
      <w:r w:rsidR="008B2FEF" w:rsidRPr="001C3EB2">
        <w:rPr>
          <w:lang w:val="en-US"/>
        </w:rPr>
        <w:t>0</w:t>
      </w:r>
      <w:r w:rsidR="00104995" w:rsidRPr="001C3EB2">
        <w:rPr>
          <w:lang w:val="en-US"/>
        </w:rPr>
        <w:t>0</w:t>
      </w:r>
      <w:r w:rsidR="007E072D" w:rsidRPr="001C3EB2">
        <w:rPr>
          <w:lang w:val="en-US"/>
        </w:rPr>
        <w:t>-400</w:t>
      </w:r>
      <w:r w:rsidR="004E4822" w:rsidRPr="001C3EB2">
        <w:rPr>
          <w:lang w:val="en-US"/>
        </w:rPr>
        <w:t xml:space="preserve"> </w:t>
      </w:r>
      <w:r w:rsidR="00104995" w:rsidRPr="001C3EB2">
        <w:rPr>
          <w:lang w:val="en-US"/>
        </w:rPr>
        <w:t>MWe)</w:t>
      </w:r>
      <w:r w:rsidR="008B2FEF" w:rsidRPr="001C3EB2">
        <w:rPr>
          <w:lang w:val="en-US"/>
        </w:rPr>
        <w:t xml:space="preserve"> par</w:t>
      </w:r>
      <w:r w:rsidR="00D8088A" w:rsidRPr="001C3EB2">
        <w:rPr>
          <w:lang w:val="en-US"/>
        </w:rPr>
        <w:t>ameters</w:t>
      </w:r>
      <w:r w:rsidR="00093FF4" w:rsidRPr="001C3EB2">
        <w:rPr>
          <w:lang w:val="en-US"/>
        </w:rPr>
        <w:t xml:space="preserve">, before </w:t>
      </w:r>
      <w:proofErr w:type="gramStart"/>
      <w:r w:rsidR="00093FF4" w:rsidRPr="001C3EB2">
        <w:rPr>
          <w:lang w:val="en-US"/>
        </w:rPr>
        <w:t>taking into account</w:t>
      </w:r>
      <w:proofErr w:type="gramEnd"/>
      <w:r w:rsidR="00093FF4" w:rsidRPr="001C3EB2">
        <w:rPr>
          <w:lang w:val="en-US"/>
        </w:rPr>
        <w:t xml:space="preserve"> any </w:t>
      </w:r>
      <w:r w:rsidR="00A57302" w:rsidRPr="001C3EB2">
        <w:rPr>
          <w:lang w:val="en-US"/>
        </w:rPr>
        <w:t>optimization</w:t>
      </w:r>
      <w:r w:rsidR="00093FF4" w:rsidRPr="001C3EB2">
        <w:rPr>
          <w:lang w:val="en-US"/>
        </w:rPr>
        <w:t xml:space="preserve"> </w:t>
      </w:r>
      <w:r w:rsidR="00537663" w:rsidRPr="001C3EB2">
        <w:rPr>
          <w:lang w:val="en-US"/>
        </w:rPr>
        <w:t>tools</w:t>
      </w:r>
      <w:r w:rsidR="00093FF4" w:rsidRPr="001C3EB2">
        <w:rPr>
          <w:lang w:val="en-US"/>
        </w:rPr>
        <w:t xml:space="preserve"> such as SCS</w:t>
      </w:r>
      <w:r w:rsidR="008C6FB4" w:rsidRPr="001C3EB2">
        <w:rPr>
          <w:lang w:val="en-US"/>
        </w:rPr>
        <w:t xml:space="preserve"> to raise the cost </w:t>
      </w:r>
      <w:r w:rsidR="00A57302" w:rsidRPr="001C3EB2">
        <w:rPr>
          <w:lang w:val="en-US"/>
        </w:rPr>
        <w:t xml:space="preserve">reduction </w:t>
      </w:r>
      <w:r w:rsidR="008C6FB4" w:rsidRPr="001C3EB2">
        <w:rPr>
          <w:lang w:val="en-US"/>
        </w:rPr>
        <w:t>challenge</w:t>
      </w:r>
      <w:r w:rsidR="00093FF4" w:rsidRPr="001C3EB2">
        <w:rPr>
          <w:lang w:val="en-US"/>
        </w:rPr>
        <w:t>,</w:t>
      </w:r>
      <w:r w:rsidR="00D8088A" w:rsidRPr="001C3EB2">
        <w:rPr>
          <w:lang w:val="en-US"/>
        </w:rPr>
        <w:t xml:space="preserve"> are arbitrarily set </w:t>
      </w:r>
      <w:r w:rsidR="00361C3A" w:rsidRPr="001C3EB2">
        <w:rPr>
          <w:lang w:val="en-US"/>
        </w:rPr>
        <w:t xml:space="preserve">at </w:t>
      </w:r>
      <w:r w:rsidR="00540316" w:rsidRPr="001C3EB2">
        <w:rPr>
          <w:lang w:val="en-US"/>
        </w:rPr>
        <w:t>~1.5 times the large reactor</w:t>
      </w:r>
      <w:r w:rsidR="00363C4F" w:rsidRPr="001C3EB2">
        <w:rPr>
          <w:lang w:val="en-US"/>
        </w:rPr>
        <w:t>s</w:t>
      </w:r>
      <w:r w:rsidR="00540316" w:rsidRPr="001C3EB2">
        <w:rPr>
          <w:lang w:val="en-US"/>
        </w:rPr>
        <w:t xml:space="preserve"> cost </w:t>
      </w:r>
      <w:r w:rsidR="004D7697" w:rsidRPr="001C3EB2">
        <w:rPr>
          <w:lang w:val="en-US"/>
        </w:rPr>
        <w:t xml:space="preserve">for the exercise </w:t>
      </w:r>
      <w:r w:rsidR="002A42E9" w:rsidRPr="001C3EB2">
        <w:rPr>
          <w:lang w:val="en-US"/>
        </w:rPr>
        <w:t>in consistency with</w:t>
      </w:r>
      <w:r w:rsidR="00540316" w:rsidRPr="001C3EB2">
        <w:rPr>
          <w:lang w:val="en-US"/>
        </w:rPr>
        <w:t xml:space="preserve"> </w:t>
      </w:r>
      <w:r w:rsidR="00D8088A" w:rsidRPr="001C3EB2">
        <w:rPr>
          <w:lang w:val="en-US"/>
        </w:rPr>
        <w:t xml:space="preserve">various independent </w:t>
      </w:r>
      <w:r w:rsidR="008C6FB4" w:rsidRPr="001C3EB2">
        <w:rPr>
          <w:lang w:val="en-US"/>
        </w:rPr>
        <w:t xml:space="preserve">forecasts </w:t>
      </w:r>
      <w:r w:rsidR="00540316" w:rsidRPr="001C3EB2">
        <w:rPr>
          <w:lang w:val="en-US"/>
        </w:rPr>
        <w:t>(see</w:t>
      </w:r>
      <w:r w:rsidR="002A5D0D" w:rsidRPr="001C3EB2">
        <w:rPr>
          <w:lang w:val="en-US"/>
        </w:rPr>
        <w:t xml:space="preserve"> </w:t>
      </w:r>
      <w:r w:rsidR="000B731F" w:rsidRPr="001C3EB2">
        <w:rPr>
          <w:lang w:val="en-US"/>
        </w:rPr>
        <w:t xml:space="preserve">literature review at </w:t>
      </w:r>
      <w:r w:rsidR="00540316" w:rsidRPr="001C3EB2">
        <w:rPr>
          <w:lang w:val="en-US"/>
        </w:rPr>
        <w:t xml:space="preserve">Figure 1), </w:t>
      </w:r>
      <w:r w:rsidR="00361C3A" w:rsidRPr="001C3EB2">
        <w:rPr>
          <w:lang w:val="en-US"/>
        </w:rPr>
        <w:t xml:space="preserve">for </w:t>
      </w:r>
      <w:r w:rsidR="003729F8" w:rsidRPr="001C3EB2">
        <w:rPr>
          <w:lang w:val="en-US"/>
        </w:rPr>
        <w:t>the same</w:t>
      </w:r>
      <w:r w:rsidR="00361C3A" w:rsidRPr="001C3EB2">
        <w:rPr>
          <w:lang w:val="en-US"/>
        </w:rPr>
        <w:t xml:space="preserve"> rate of return</w:t>
      </w:r>
      <w:r w:rsidR="003729F8" w:rsidRPr="001C3EB2">
        <w:rPr>
          <w:rStyle w:val="Appelnotedebasdep"/>
          <w:lang w:val="en-US"/>
        </w:rPr>
        <w:footnoteReference w:id="2"/>
      </w:r>
      <w:r w:rsidR="004D7697" w:rsidRPr="001C3EB2">
        <w:rPr>
          <w:lang w:val="en-US"/>
        </w:rPr>
        <w:t xml:space="preserve">. </w:t>
      </w:r>
      <w:r w:rsidR="00A8235D">
        <w:rPr>
          <w:lang w:val="en-US"/>
        </w:rPr>
        <w:t>The construction is assumed 5 years (Table</w:t>
      </w:r>
      <w:r w:rsidR="00E65083">
        <w:rPr>
          <w:lang w:val="en-US"/>
        </w:rPr>
        <w:t xml:space="preserve"> 2 of</w:t>
      </w:r>
      <w:r w:rsidR="00A8235D">
        <w:rPr>
          <w:lang w:val="en-US"/>
        </w:rPr>
        <w:t xml:space="preserve"> </w:t>
      </w:r>
      <w:r w:rsidR="00A8235D">
        <w:rPr>
          <w:lang w:val="en-US"/>
        </w:rPr>
        <w:fldChar w:fldCharType="begin"/>
      </w:r>
      <w:r w:rsidR="00A8235D">
        <w:rPr>
          <w:lang w:val="en-US"/>
        </w:rPr>
        <w:instrText xml:space="preserve"> REF _Ref168997170 \r \h </w:instrText>
      </w:r>
      <w:r w:rsidR="00A8235D">
        <w:rPr>
          <w:lang w:val="en-US"/>
        </w:rPr>
      </w:r>
      <w:r w:rsidR="00A8235D">
        <w:rPr>
          <w:lang w:val="en-US"/>
        </w:rPr>
        <w:fldChar w:fldCharType="separate"/>
      </w:r>
      <w:r w:rsidR="0022757A">
        <w:rPr>
          <w:lang w:val="en-US"/>
        </w:rPr>
        <w:t>[20]</w:t>
      </w:r>
      <w:r w:rsidR="00A8235D">
        <w:rPr>
          <w:lang w:val="en-US"/>
        </w:rPr>
        <w:fldChar w:fldCharType="end"/>
      </w:r>
      <w:r w:rsidR="00E65083">
        <w:rPr>
          <w:lang w:val="en-US"/>
        </w:rPr>
        <w:t xml:space="preserve"> by University of Cambridge</w:t>
      </w:r>
      <w:r w:rsidR="00A8235D">
        <w:rPr>
          <w:lang w:val="en-US"/>
        </w:rPr>
        <w:t xml:space="preserve">). </w:t>
      </w:r>
      <w:r w:rsidR="00361C3A" w:rsidRPr="001C3EB2">
        <w:rPr>
          <w:lang w:val="en-US"/>
        </w:rPr>
        <w:t>Half of civil works after first concrete is considered on the critical path including the pools construction. The reference critical path is assumed already tight thanks to an optimal reinforced concrete design</w:t>
      </w:r>
      <w:r w:rsidR="00A2297C" w:rsidRPr="001C3EB2">
        <w:rPr>
          <w:lang w:val="en-US"/>
        </w:rPr>
        <w:t xml:space="preserve"> respecting good practice</w:t>
      </w:r>
      <w:r w:rsidR="00361C3A" w:rsidRPr="001C3EB2">
        <w:rPr>
          <w:lang w:val="en-US"/>
        </w:rPr>
        <w:t xml:space="preserve"> (alignment of walls, reasonable rebars density, rational layout of openings and embedded plates, systematic 3D modeling of rebars during execution design phase to de-clash critical areas, prefabricated rebars cages, </w:t>
      </w:r>
      <w:r w:rsidR="00463758" w:rsidRPr="001C3EB2">
        <w:rPr>
          <w:lang w:val="en-US"/>
        </w:rPr>
        <w:t>headed</w:t>
      </w:r>
      <w:r w:rsidR="00463758">
        <w:rPr>
          <w:lang w:val="en-US"/>
        </w:rPr>
        <w:t xml:space="preserve"> T-bars for shear stirrups, </w:t>
      </w:r>
      <w:r w:rsidR="00361C3A" w:rsidRPr="00361C3A">
        <w:rPr>
          <w:lang w:val="en-US"/>
        </w:rPr>
        <w:t>etc.).</w:t>
      </w:r>
    </w:p>
    <w:p w14:paraId="4BAD4B61" w14:textId="5791615E" w:rsidR="00036217" w:rsidRDefault="00361C3A" w:rsidP="00036217">
      <w:pPr>
        <w:pStyle w:val="Corpsdetexte"/>
        <w:rPr>
          <w:lang w:val="en-US"/>
        </w:rPr>
      </w:pPr>
      <w:r w:rsidRPr="00361C3A">
        <w:rPr>
          <w:lang w:val="en-US"/>
        </w:rPr>
        <w:t xml:space="preserve">Fuel cycle, operation and maintenance, dismantling and decontamination costs are taken </w:t>
      </w:r>
      <w:r w:rsidR="00F92960">
        <w:rPr>
          <w:lang w:val="en-US"/>
        </w:rPr>
        <w:t xml:space="preserve">in rough estimate </w:t>
      </w:r>
      <w:r w:rsidRPr="00361C3A">
        <w:rPr>
          <w:lang w:val="en-US"/>
        </w:rPr>
        <w:t>from statistics or academic models as a function of the reactor size (ref.</w:t>
      </w:r>
      <w:r w:rsidR="004B020C">
        <w:rPr>
          <w:lang w:val="en-US"/>
        </w:rPr>
        <w:t xml:space="preserve"> </w:t>
      </w:r>
      <w:r w:rsidR="004B020C">
        <w:rPr>
          <w:lang w:val="en-US"/>
        </w:rPr>
        <w:fldChar w:fldCharType="begin"/>
      </w:r>
      <w:r w:rsidR="004B020C">
        <w:rPr>
          <w:lang w:val="en-US"/>
        </w:rPr>
        <w:instrText xml:space="preserve"> REF _Ref163577766 \r \h </w:instrText>
      </w:r>
      <w:r w:rsidR="004B020C">
        <w:rPr>
          <w:lang w:val="en-US"/>
        </w:rPr>
      </w:r>
      <w:r w:rsidR="004B020C">
        <w:rPr>
          <w:lang w:val="en-US"/>
        </w:rPr>
        <w:fldChar w:fldCharType="separate"/>
      </w:r>
      <w:r w:rsidR="0022757A">
        <w:rPr>
          <w:lang w:val="en-US"/>
        </w:rPr>
        <w:t>[2]</w:t>
      </w:r>
      <w:r w:rsidR="004B020C">
        <w:rPr>
          <w:lang w:val="en-US"/>
        </w:rPr>
        <w:fldChar w:fldCharType="end"/>
      </w:r>
      <w:r w:rsidR="004B020C">
        <w:rPr>
          <w:lang w:val="en-US"/>
        </w:rPr>
        <w:t xml:space="preserve"> ; </w:t>
      </w:r>
      <w:r w:rsidR="004B020C">
        <w:rPr>
          <w:lang w:val="en-US"/>
        </w:rPr>
        <w:fldChar w:fldCharType="begin"/>
      </w:r>
      <w:r w:rsidR="004B020C">
        <w:rPr>
          <w:lang w:val="en-US"/>
        </w:rPr>
        <w:instrText xml:space="preserve"> REF _Ref163578179 \r \h </w:instrText>
      </w:r>
      <w:r w:rsidR="004B020C">
        <w:rPr>
          <w:lang w:val="en-US"/>
        </w:rPr>
      </w:r>
      <w:r w:rsidR="004B020C">
        <w:rPr>
          <w:lang w:val="en-US"/>
        </w:rPr>
        <w:fldChar w:fldCharType="separate"/>
      </w:r>
      <w:r w:rsidR="0022757A">
        <w:rPr>
          <w:lang w:val="en-US"/>
        </w:rPr>
        <w:t>[17]</w:t>
      </w:r>
      <w:r w:rsidR="004B020C">
        <w:rPr>
          <w:lang w:val="en-US"/>
        </w:rPr>
        <w:fldChar w:fldCharType="end"/>
      </w:r>
      <w:r w:rsidR="004B020C">
        <w:rPr>
          <w:lang w:val="en-US"/>
        </w:rPr>
        <w:t xml:space="preserve"> ; </w:t>
      </w:r>
      <w:r w:rsidR="004B020C">
        <w:rPr>
          <w:lang w:val="en-US"/>
        </w:rPr>
        <w:fldChar w:fldCharType="begin"/>
      </w:r>
      <w:r w:rsidR="004B020C">
        <w:rPr>
          <w:lang w:val="en-US"/>
        </w:rPr>
        <w:instrText xml:space="preserve"> REF _Ref163578180 \r \h </w:instrText>
      </w:r>
      <w:r w:rsidR="004B020C">
        <w:rPr>
          <w:lang w:val="en-US"/>
        </w:rPr>
      </w:r>
      <w:r w:rsidR="004B020C">
        <w:rPr>
          <w:lang w:val="en-US"/>
        </w:rPr>
        <w:fldChar w:fldCharType="separate"/>
      </w:r>
      <w:r w:rsidR="0022757A">
        <w:rPr>
          <w:lang w:val="en-US"/>
        </w:rPr>
        <w:t>[18]</w:t>
      </w:r>
      <w:r w:rsidR="004B020C">
        <w:rPr>
          <w:lang w:val="en-US"/>
        </w:rPr>
        <w:fldChar w:fldCharType="end"/>
      </w:r>
      <w:r w:rsidRPr="00361C3A">
        <w:rPr>
          <w:lang w:val="en-US"/>
        </w:rPr>
        <w:t xml:space="preserve">). </w:t>
      </w:r>
      <w:proofErr w:type="gramStart"/>
      <w:r w:rsidRPr="00361C3A">
        <w:rPr>
          <w:lang w:val="en-US"/>
        </w:rPr>
        <w:t>In particular, Rothwell</w:t>
      </w:r>
      <w:proofErr w:type="gramEnd"/>
      <w:r w:rsidRPr="00361C3A">
        <w:rPr>
          <w:lang w:val="en-US"/>
        </w:rPr>
        <w:t xml:space="preserve"> highlighted SMR diseconomies of scale for O&amp;M costs. These inputs do not significantly affect the conclusion of our study as these parameters are </w:t>
      </w:r>
      <w:r w:rsidR="00D657F0">
        <w:rPr>
          <w:lang w:val="en-US"/>
        </w:rPr>
        <w:t xml:space="preserve">deemed </w:t>
      </w:r>
      <w:r w:rsidRPr="00361C3A">
        <w:rPr>
          <w:lang w:val="en-US"/>
        </w:rPr>
        <w:t>invariable whatever the construction techniques.</w:t>
      </w:r>
    </w:p>
    <w:p w14:paraId="65BD8414" w14:textId="4F296BC8" w:rsidR="009B7022" w:rsidRDefault="00952940" w:rsidP="00952940">
      <w:pPr>
        <w:pStyle w:val="Corpsdetexte"/>
        <w:ind w:firstLine="0"/>
        <w:rPr>
          <w:lang w:val="en-US"/>
        </w:rPr>
      </w:pPr>
      <w:r w:rsidRPr="00952940">
        <w:rPr>
          <w:noProof/>
        </w:rPr>
        <w:drawing>
          <wp:inline distT="0" distB="0" distL="0" distR="0" wp14:anchorId="3D7462A2" wp14:editId="721D2E20">
            <wp:extent cx="5732145" cy="2806065"/>
            <wp:effectExtent l="0" t="0" r="190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2806065"/>
                    </a:xfrm>
                    <a:prstGeom prst="rect">
                      <a:avLst/>
                    </a:prstGeom>
                    <a:noFill/>
                    <a:ln>
                      <a:noFill/>
                    </a:ln>
                  </pic:spPr>
                </pic:pic>
              </a:graphicData>
            </a:graphic>
          </wp:inline>
        </w:drawing>
      </w:r>
    </w:p>
    <w:p w14:paraId="1AE80634" w14:textId="0318B240" w:rsidR="004F63E0" w:rsidRPr="00036217" w:rsidRDefault="00611F83" w:rsidP="004F63E0">
      <w:pPr>
        <w:pStyle w:val="Corpsdetexte"/>
        <w:ind w:firstLine="0"/>
        <w:jc w:val="center"/>
        <w:rPr>
          <w:lang w:val="en-US"/>
        </w:rPr>
      </w:pPr>
      <w:r>
        <w:rPr>
          <w:noProof/>
          <w:lang w:eastAsia="en-GB"/>
        </w:rPr>
        <mc:AlternateContent>
          <mc:Choice Requires="wps">
            <w:drawing>
              <wp:anchor distT="0" distB="0" distL="114300" distR="114300" simplePos="0" relativeHeight="251672576" behindDoc="0" locked="0" layoutInCell="1" allowOverlap="1" wp14:anchorId="319BEB53" wp14:editId="2B091A0C">
                <wp:simplePos x="0" y="0"/>
                <wp:positionH relativeFrom="margin">
                  <wp:posOffset>499688</wp:posOffset>
                </wp:positionH>
                <wp:positionV relativeFrom="paragraph">
                  <wp:posOffset>40302</wp:posOffset>
                </wp:positionV>
                <wp:extent cx="4654550" cy="316230"/>
                <wp:effectExtent l="0" t="0" r="0" b="6985"/>
                <wp:wrapNone/>
                <wp:docPr id="11" name="Text Box 2"/>
                <wp:cNvGraphicFramePr/>
                <a:graphic xmlns:a="http://schemas.openxmlformats.org/drawingml/2006/main">
                  <a:graphicData uri="http://schemas.microsoft.com/office/word/2010/wordprocessingShape">
                    <wps:wsp>
                      <wps:cNvSpPr txBox="1"/>
                      <wps:spPr>
                        <a:xfrm>
                          <a:off x="0" y="0"/>
                          <a:ext cx="4654550" cy="316230"/>
                        </a:xfrm>
                        <a:prstGeom prst="rect">
                          <a:avLst/>
                        </a:prstGeom>
                        <a:solidFill>
                          <a:prstClr val="white"/>
                        </a:solidFill>
                        <a:ln>
                          <a:noFill/>
                        </a:ln>
                        <a:effectLst/>
                      </wps:spPr>
                      <wps:txbx>
                        <w:txbxContent>
                          <w:p w14:paraId="0BB41919" w14:textId="50F3D9D9" w:rsidR="009B7022" w:rsidRPr="00E85AD4" w:rsidRDefault="009B7022" w:rsidP="00B7658C">
                            <w:pPr>
                              <w:pStyle w:val="Lgende"/>
                              <w:jc w:val="center"/>
                              <w:rPr>
                                <w:i/>
                              </w:rPr>
                            </w:pPr>
                            <w:r w:rsidRPr="00E85AD4">
                              <w:rPr>
                                <w:i/>
                              </w:rPr>
                              <w:t xml:space="preserve">FIG. </w:t>
                            </w:r>
                            <w:r w:rsidRPr="00E85AD4">
                              <w:rPr>
                                <w:i/>
                              </w:rPr>
                              <w:fldChar w:fldCharType="begin"/>
                            </w:r>
                            <w:r w:rsidRPr="00E85AD4">
                              <w:rPr>
                                <w:i/>
                              </w:rPr>
                              <w:instrText xml:space="preserve"> SEQ Figure \* ARABIC </w:instrText>
                            </w:r>
                            <w:r w:rsidRPr="00E85AD4">
                              <w:rPr>
                                <w:i/>
                              </w:rPr>
                              <w:fldChar w:fldCharType="separate"/>
                            </w:r>
                            <w:r w:rsidR="0022757A">
                              <w:rPr>
                                <w:i/>
                                <w:noProof/>
                              </w:rPr>
                              <w:t>5</w:t>
                            </w:r>
                            <w:r w:rsidRPr="00E85AD4">
                              <w:rPr>
                                <w:i/>
                              </w:rPr>
                              <w:fldChar w:fldCharType="end"/>
                            </w:r>
                            <w:r w:rsidRPr="00E85AD4">
                              <w:rPr>
                                <w:i/>
                              </w:rPr>
                              <w:t xml:space="preserve">. </w:t>
                            </w:r>
                            <w:r w:rsidR="00E32902" w:rsidRPr="00E85AD4">
                              <w:rPr>
                                <w:i/>
                              </w:rPr>
                              <w:t xml:space="preserve">Reference plants parameters and LCOE </w:t>
                            </w:r>
                            <w:r w:rsidR="00B7658C" w:rsidRPr="00E85AD4">
                              <w:rPr>
                                <w:i/>
                              </w:rPr>
                              <w:t xml:space="preserve">in reinforced concrete </w:t>
                            </w:r>
                            <w:r w:rsidR="00E32902" w:rsidRPr="00E85AD4">
                              <w:rPr>
                                <w:i/>
                              </w:rPr>
                              <w:t xml:space="preserve">before </w:t>
                            </w:r>
                            <w:r w:rsidR="00B7658C" w:rsidRPr="00E85AD4">
                              <w:rPr>
                                <w:i/>
                              </w:rPr>
                              <w:t>cost</w:t>
                            </w:r>
                            <w:r w:rsidR="008E3852" w:rsidRPr="00E85AD4">
                              <w:rPr>
                                <w:i/>
                              </w:rPr>
                              <w:t xml:space="preserve"> &amp; planning</w:t>
                            </w:r>
                            <w:r w:rsidR="00B7658C" w:rsidRPr="00E85AD4">
                              <w:rPr>
                                <w:i/>
                              </w:rPr>
                              <w:t xml:space="preserve"> reduction by </w:t>
                            </w:r>
                            <w:r w:rsidR="004E1462" w:rsidRPr="00E85AD4">
                              <w:rPr>
                                <w:i/>
                              </w:rPr>
                              <w:t xml:space="preserve">SCS </w:t>
                            </w:r>
                            <w:r w:rsidR="00002D2F" w:rsidRPr="00E85AD4">
                              <w:rPr>
                                <w:i/>
                              </w:rPr>
                              <w:t>(inspired by literature review</w:t>
                            </w:r>
                            <w:r w:rsidR="00947D6D" w:rsidRPr="00E85AD4">
                              <w:rPr>
                                <w:i/>
                              </w:rPr>
                              <w:t>, no relationship with a</w:t>
                            </w:r>
                            <w:r w:rsidR="00645E30" w:rsidRPr="00E85AD4">
                              <w:rPr>
                                <w:i/>
                              </w:rPr>
                              <w:t>ny</w:t>
                            </w:r>
                            <w:r w:rsidR="00947D6D" w:rsidRPr="00E85AD4">
                              <w:rPr>
                                <w:i/>
                              </w:rPr>
                              <w:t xml:space="preserve"> specific project</w:t>
                            </w:r>
                            <w:r w:rsidR="00002D2F" w:rsidRPr="00E85AD4">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9BEB53" id="_x0000_s1030" type="#_x0000_t202" style="position:absolute;left:0;text-align:left;margin-left:39.35pt;margin-top:3.15pt;width:366.5pt;height:24.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" stroked="f">
                <v:textbox style="mso-fit-shape-to-text:t" inset="0,0,0,0">
                  <w:txbxContent>
                    <w:p w14:paraId="0BB41919" w14:textId="50F3D9D9" w:rsidR="009B7022" w:rsidRPr="00E85AD4" w:rsidRDefault="009B7022" w:rsidP="00B7658C">
                      <w:pPr>
                        <w:pStyle w:val="Lgende"/>
                        <w:jc w:val="center"/>
                        <w:rPr>
                          <w:i/>
                        </w:rPr>
                      </w:pPr>
                      <w:r w:rsidRPr="00E85AD4">
                        <w:rPr>
                          <w:i/>
                        </w:rPr>
                        <w:t xml:space="preserve">FIG. </w:t>
                      </w:r>
                      <w:r w:rsidRPr="00E85AD4">
                        <w:rPr>
                          <w:i/>
                        </w:rPr>
                        <w:fldChar w:fldCharType="begin"/>
                      </w:r>
                      <w:r w:rsidRPr="00E85AD4">
                        <w:rPr>
                          <w:i/>
                        </w:rPr>
                        <w:instrText xml:space="preserve"> SEQ Figure \* ARABIC </w:instrText>
                      </w:r>
                      <w:r w:rsidRPr="00E85AD4">
                        <w:rPr>
                          <w:i/>
                        </w:rPr>
                        <w:fldChar w:fldCharType="separate"/>
                      </w:r>
                      <w:r w:rsidR="0022757A">
                        <w:rPr>
                          <w:i/>
                          <w:noProof/>
                        </w:rPr>
                        <w:t>5</w:t>
                      </w:r>
                      <w:r w:rsidRPr="00E85AD4">
                        <w:rPr>
                          <w:i/>
                        </w:rPr>
                        <w:fldChar w:fldCharType="end"/>
                      </w:r>
                      <w:r w:rsidRPr="00E85AD4">
                        <w:rPr>
                          <w:i/>
                        </w:rPr>
                        <w:t xml:space="preserve">. </w:t>
                      </w:r>
                      <w:r w:rsidR="00E32902" w:rsidRPr="00E85AD4">
                        <w:rPr>
                          <w:i/>
                        </w:rPr>
                        <w:t xml:space="preserve">Reference plants parameters and LCOE </w:t>
                      </w:r>
                      <w:r w:rsidR="00B7658C" w:rsidRPr="00E85AD4">
                        <w:rPr>
                          <w:i/>
                        </w:rPr>
                        <w:t xml:space="preserve">in reinforced concrete </w:t>
                      </w:r>
                      <w:r w:rsidR="00E32902" w:rsidRPr="00E85AD4">
                        <w:rPr>
                          <w:i/>
                        </w:rPr>
                        <w:t xml:space="preserve">before </w:t>
                      </w:r>
                      <w:r w:rsidR="00B7658C" w:rsidRPr="00E85AD4">
                        <w:rPr>
                          <w:i/>
                        </w:rPr>
                        <w:t>cost</w:t>
                      </w:r>
                      <w:r w:rsidR="008E3852" w:rsidRPr="00E85AD4">
                        <w:rPr>
                          <w:i/>
                        </w:rPr>
                        <w:t xml:space="preserve"> &amp; planning</w:t>
                      </w:r>
                      <w:r w:rsidR="00B7658C" w:rsidRPr="00E85AD4">
                        <w:rPr>
                          <w:i/>
                        </w:rPr>
                        <w:t xml:space="preserve"> reduction by </w:t>
                      </w:r>
                      <w:r w:rsidR="004E1462" w:rsidRPr="00E85AD4">
                        <w:rPr>
                          <w:i/>
                        </w:rPr>
                        <w:t xml:space="preserve">SCS </w:t>
                      </w:r>
                      <w:r w:rsidR="00002D2F" w:rsidRPr="00E85AD4">
                        <w:rPr>
                          <w:i/>
                        </w:rPr>
                        <w:t>(inspired by literature review</w:t>
                      </w:r>
                      <w:r w:rsidR="00947D6D" w:rsidRPr="00E85AD4">
                        <w:rPr>
                          <w:i/>
                        </w:rPr>
                        <w:t>, no relationship with a</w:t>
                      </w:r>
                      <w:r w:rsidR="00645E30" w:rsidRPr="00E85AD4">
                        <w:rPr>
                          <w:i/>
                        </w:rPr>
                        <w:t>ny</w:t>
                      </w:r>
                      <w:r w:rsidR="00947D6D" w:rsidRPr="00E85AD4">
                        <w:rPr>
                          <w:i/>
                        </w:rPr>
                        <w:t xml:space="preserve"> specific project</w:t>
                      </w:r>
                      <w:r w:rsidR="00002D2F" w:rsidRPr="00E85AD4">
                        <w:rPr>
                          <w:i/>
                        </w:rPr>
                        <w:t>)</w:t>
                      </w:r>
                    </w:p>
                  </w:txbxContent>
                </v:textbox>
                <w10:wrap anchorx="margin"/>
              </v:shape>
            </w:pict>
          </mc:Fallback>
        </mc:AlternateContent>
      </w:r>
    </w:p>
    <w:p w14:paraId="03881226" w14:textId="7FC07045" w:rsidR="00E20E70" w:rsidRDefault="00F70E7F" w:rsidP="00537496">
      <w:pPr>
        <w:pStyle w:val="Titre2"/>
      </w:pPr>
      <w:r>
        <w:t>RESULTS</w:t>
      </w:r>
    </w:p>
    <w:p w14:paraId="48DCC458" w14:textId="5B0B060E" w:rsidR="00300DA6" w:rsidRDefault="00700CAF" w:rsidP="00562D6A">
      <w:pPr>
        <w:pStyle w:val="Corpsdetexte"/>
        <w:rPr>
          <w:lang w:val="en-US"/>
        </w:rPr>
      </w:pPr>
      <w:r w:rsidRPr="00700CAF">
        <w:rPr>
          <w:lang w:val="en-US"/>
        </w:rPr>
        <w:t>In best estimate</w:t>
      </w:r>
      <w:r w:rsidR="003F457B">
        <w:rPr>
          <w:lang w:val="en-US"/>
        </w:rPr>
        <w:t xml:space="preserve"> scenario</w:t>
      </w:r>
      <w:r w:rsidRPr="00700CAF">
        <w:rPr>
          <w:lang w:val="en-US"/>
        </w:rPr>
        <w:t>, SCS offer to investors respectively 0.97</w:t>
      </w:r>
      <w:r w:rsidRPr="00700CAF">
        <w:rPr>
          <w:vertAlign w:val="subscript"/>
          <w:lang w:val="en-US"/>
        </w:rPr>
        <w:t xml:space="preserve"> </w:t>
      </w:r>
      <w:r w:rsidRPr="00700CAF">
        <w:rPr>
          <w:lang w:val="en-US"/>
        </w:rPr>
        <w:t>or 0.92</w:t>
      </w:r>
      <w:r w:rsidRPr="00700CAF">
        <w:rPr>
          <w:vertAlign w:val="subscript"/>
          <w:lang w:val="en-US"/>
        </w:rPr>
        <w:t xml:space="preserve"> </w:t>
      </w:r>
      <w:r w:rsidRPr="00700CAF">
        <w:rPr>
          <w:lang w:val="en-US"/>
        </w:rPr>
        <w:t>savings ratio on capitalized cost for SMR</w:t>
      </w:r>
      <w:r w:rsidR="00E85AD4">
        <w:rPr>
          <w:vertAlign w:val="subscript"/>
          <w:lang w:val="en-US"/>
        </w:rPr>
        <w:t xml:space="preserve"> </w:t>
      </w:r>
      <w:r w:rsidRPr="00700CAF">
        <w:rPr>
          <w:lang w:val="en-US"/>
        </w:rPr>
        <w:t>or Large Reactor</w:t>
      </w:r>
      <w:r w:rsidR="00E85AD4">
        <w:rPr>
          <w:vertAlign w:val="subscript"/>
          <w:lang w:val="en-US"/>
        </w:rPr>
        <w:t xml:space="preserve"> </w:t>
      </w:r>
      <w:r w:rsidR="00E85AD4">
        <w:rPr>
          <w:lang w:val="en-US"/>
        </w:rPr>
        <w:t>at 9% rate of return</w:t>
      </w:r>
      <w:r w:rsidRPr="00700CAF">
        <w:rPr>
          <w:lang w:val="en-US"/>
        </w:rPr>
        <w:t>. Th</w:t>
      </w:r>
      <w:r w:rsidR="007C1CB8">
        <w:rPr>
          <w:lang w:val="en-US"/>
        </w:rPr>
        <w:t>is</w:t>
      </w:r>
      <w:r w:rsidRPr="00700CAF">
        <w:rPr>
          <w:lang w:val="en-US"/>
        </w:rPr>
        <w:t xml:space="preserve"> performance is obtained by means of revised EPCC Vendor’s b</w:t>
      </w:r>
      <w:r w:rsidR="00D16A7C">
        <w:rPr>
          <w:lang w:val="en-US"/>
        </w:rPr>
        <w:t>id</w:t>
      </w:r>
      <w:r w:rsidR="007B7E7F">
        <w:rPr>
          <w:lang w:val="en-US"/>
        </w:rPr>
        <w:t xml:space="preserve"> </w:t>
      </w:r>
      <w:r w:rsidR="003F6BFE">
        <w:rPr>
          <w:lang w:val="en-US"/>
        </w:rPr>
        <w:t xml:space="preserve">with </w:t>
      </w:r>
      <w:r w:rsidR="004271E1">
        <w:rPr>
          <w:lang w:val="en-US"/>
        </w:rPr>
        <w:t>factor</w:t>
      </w:r>
      <w:r w:rsidRPr="00700CAF">
        <w:rPr>
          <w:lang w:val="en-US"/>
        </w:rPr>
        <w:t xml:space="preserve"> 0.99 or 1.02</w:t>
      </w:r>
      <w:r w:rsidR="008A7CBD">
        <w:rPr>
          <w:lang w:val="en-US"/>
        </w:rPr>
        <w:t xml:space="preserve">, that </w:t>
      </w:r>
      <w:r w:rsidR="009829CC">
        <w:rPr>
          <w:lang w:val="en-US"/>
        </w:rPr>
        <w:t>highlights</w:t>
      </w:r>
      <w:r w:rsidR="008A7CBD">
        <w:rPr>
          <w:lang w:val="en-US"/>
        </w:rPr>
        <w:t xml:space="preserve"> there </w:t>
      </w:r>
      <w:r w:rsidR="00386776">
        <w:rPr>
          <w:lang w:val="en-US"/>
        </w:rPr>
        <w:t>could be</w:t>
      </w:r>
      <w:r w:rsidR="002A7D1E">
        <w:rPr>
          <w:lang w:val="en-US"/>
        </w:rPr>
        <w:t xml:space="preserve"> real interest to pay </w:t>
      </w:r>
      <w:r w:rsidR="00AF49B4">
        <w:rPr>
          <w:lang w:val="en-US"/>
        </w:rPr>
        <w:t xml:space="preserve">small extra charge </w:t>
      </w:r>
      <w:r w:rsidR="002A7D1E">
        <w:rPr>
          <w:lang w:val="en-US"/>
        </w:rPr>
        <w:t xml:space="preserve">for </w:t>
      </w:r>
      <w:r w:rsidR="00782D09">
        <w:rPr>
          <w:lang w:val="en-US"/>
        </w:rPr>
        <w:t>schedule acceleration</w:t>
      </w:r>
      <w:r w:rsidRPr="00700CAF">
        <w:rPr>
          <w:lang w:val="en-US"/>
        </w:rPr>
        <w:t xml:space="preserve">. Our results seem consistent with the MIT conclusions that were based on American feedback (ref. </w:t>
      </w:r>
      <w:r w:rsidR="000C2E91">
        <w:rPr>
          <w:lang w:val="en-US"/>
        </w:rPr>
        <w:fldChar w:fldCharType="begin"/>
      </w:r>
      <w:r w:rsidR="000C2E91">
        <w:rPr>
          <w:lang w:val="en-US"/>
        </w:rPr>
        <w:instrText xml:space="preserve"> REF _Ref163577888 \r \h </w:instrText>
      </w:r>
      <w:r w:rsidR="000C2E91">
        <w:rPr>
          <w:lang w:val="en-US"/>
        </w:rPr>
      </w:r>
      <w:r w:rsidR="000C2E91">
        <w:rPr>
          <w:lang w:val="en-US"/>
        </w:rPr>
        <w:fldChar w:fldCharType="separate"/>
      </w:r>
      <w:r w:rsidR="0022757A">
        <w:rPr>
          <w:lang w:val="en-US"/>
        </w:rPr>
        <w:t>[8]</w:t>
      </w:r>
      <w:r w:rsidR="000C2E91">
        <w:rPr>
          <w:lang w:val="en-US"/>
        </w:rPr>
        <w:fldChar w:fldCharType="end"/>
      </w:r>
      <w:r w:rsidR="00EB1946" w:rsidRPr="000C2E91">
        <w:rPr>
          <w:lang w:val="en-US"/>
        </w:rPr>
        <w:t xml:space="preserve"> </w:t>
      </w:r>
      <w:r w:rsidRPr="000C2E91">
        <w:rPr>
          <w:lang w:val="en-US"/>
        </w:rPr>
        <w:t xml:space="preserve">without delay; ref. </w:t>
      </w:r>
      <w:r w:rsidR="00577AAB">
        <w:rPr>
          <w:lang w:val="en-US"/>
        </w:rPr>
        <w:fldChar w:fldCharType="begin"/>
      </w:r>
      <w:r w:rsidR="00577AAB">
        <w:rPr>
          <w:lang w:val="en-US"/>
        </w:rPr>
        <w:instrText xml:space="preserve"> REF _Ref163577903 \r \h </w:instrText>
      </w:r>
      <w:r w:rsidR="00577AAB">
        <w:rPr>
          <w:lang w:val="en-US"/>
        </w:rPr>
      </w:r>
      <w:r w:rsidR="00577AAB">
        <w:rPr>
          <w:lang w:val="en-US"/>
        </w:rPr>
        <w:fldChar w:fldCharType="separate"/>
      </w:r>
      <w:r w:rsidR="0022757A">
        <w:rPr>
          <w:lang w:val="en-US"/>
        </w:rPr>
        <w:t>[9]</w:t>
      </w:r>
      <w:r w:rsidR="00577AAB">
        <w:rPr>
          <w:lang w:val="en-US"/>
        </w:rPr>
        <w:fldChar w:fldCharType="end"/>
      </w:r>
      <w:r w:rsidR="00577AAB">
        <w:rPr>
          <w:lang w:val="en-US"/>
        </w:rPr>
        <w:t xml:space="preserve"> </w:t>
      </w:r>
      <w:r w:rsidRPr="00700CAF">
        <w:rPr>
          <w:lang w:val="en-US"/>
        </w:rPr>
        <w:t>with</w:t>
      </w:r>
      <w:r w:rsidR="00E62BAC">
        <w:rPr>
          <w:lang w:val="en-US"/>
        </w:rPr>
        <w:t xml:space="preserve"> </w:t>
      </w:r>
      <w:r w:rsidR="005441DE">
        <w:rPr>
          <w:lang w:val="en-US"/>
        </w:rPr>
        <w:t>sensitivity to</w:t>
      </w:r>
      <w:r w:rsidRPr="00700CAF">
        <w:rPr>
          <w:lang w:val="en-US"/>
        </w:rPr>
        <w:t xml:space="preserve"> 12 months delay from supply chain failure</w:t>
      </w:r>
      <w:r w:rsidR="005441DE">
        <w:rPr>
          <w:lang w:val="en-US"/>
        </w:rPr>
        <w:t xml:space="preserve"> risk</w:t>
      </w:r>
      <w:r w:rsidRPr="00700CAF">
        <w:rPr>
          <w:lang w:val="en-US"/>
        </w:rPr>
        <w:t>).</w:t>
      </w:r>
    </w:p>
    <w:p w14:paraId="6A7C8AA6" w14:textId="59E4459B" w:rsidR="00300DA6" w:rsidRPr="00700CAF" w:rsidRDefault="00300DA6" w:rsidP="00300DA6">
      <w:pPr>
        <w:pStyle w:val="Corpsdetexte"/>
        <w:ind w:firstLine="0"/>
        <w:rPr>
          <w:lang w:val="en-US"/>
        </w:rPr>
      </w:pPr>
      <w:r>
        <w:rPr>
          <w:noProof/>
          <w:lang w:eastAsia="en-GB"/>
        </w:rPr>
        <mc:AlternateContent>
          <mc:Choice Requires="wps">
            <w:drawing>
              <wp:anchor distT="0" distB="0" distL="114300" distR="114300" simplePos="0" relativeHeight="251680768" behindDoc="0" locked="0" layoutInCell="1" allowOverlap="1" wp14:anchorId="05C1710F" wp14:editId="0009D513">
                <wp:simplePos x="0" y="0"/>
                <wp:positionH relativeFrom="margin">
                  <wp:posOffset>802640</wp:posOffset>
                </wp:positionH>
                <wp:positionV relativeFrom="paragraph">
                  <wp:posOffset>511810</wp:posOffset>
                </wp:positionV>
                <wp:extent cx="3863340" cy="635"/>
                <wp:effectExtent l="0" t="0" r="3810" b="5080"/>
                <wp:wrapTopAndBottom/>
                <wp:docPr id="24"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6D0D4391" w14:textId="0914B304" w:rsidR="00300DA6" w:rsidRPr="00D9229A" w:rsidRDefault="00300DA6" w:rsidP="00300DA6">
                            <w:pPr>
                              <w:pStyle w:val="Lgende"/>
                              <w:jc w:val="center"/>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6</w:t>
                            </w:r>
                            <w:r w:rsidRPr="00802381">
                              <w:rPr>
                                <w:i/>
                              </w:rPr>
                              <w:fldChar w:fldCharType="end"/>
                            </w:r>
                            <w:r>
                              <w:rPr>
                                <w:i/>
                              </w:rPr>
                              <w:t>. SCS exchange rate</w:t>
                            </w:r>
                            <w:r w:rsidRPr="00135EFE">
                              <w:rPr>
                                <w:i/>
                              </w:rPr>
                              <w:t xml:space="preserve"> </w:t>
                            </w:r>
                            <w:r w:rsidR="00A949B4">
                              <w:rPr>
                                <w:i/>
                              </w:rPr>
                              <w:t>to LCOE</w:t>
                            </w:r>
                            <w:r w:rsidRPr="00135EFE">
                              <w:rPr>
                                <w:i/>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C1710F" id="_x0000_s1031" type="#_x0000_t202" style="position:absolute;left:0;text-align:left;margin-left:63.2pt;margin-top:40.3pt;width:304.2pt;height:.0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" stroked="f">
                <v:textbox style="mso-fit-shape-to-text:t" inset="0,0,0,0">
                  <w:txbxContent>
                    <w:p w14:paraId="6D0D4391" w14:textId="0914B304" w:rsidR="00300DA6" w:rsidRPr="00D9229A" w:rsidRDefault="00300DA6" w:rsidP="00300DA6">
                      <w:pPr>
                        <w:pStyle w:val="Lgende"/>
                        <w:jc w:val="center"/>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22757A">
                        <w:rPr>
                          <w:i/>
                          <w:noProof/>
                        </w:rPr>
                        <w:t>6</w:t>
                      </w:r>
                      <w:r w:rsidRPr="00802381">
                        <w:rPr>
                          <w:i/>
                        </w:rPr>
                        <w:fldChar w:fldCharType="end"/>
                      </w:r>
                      <w:r>
                        <w:rPr>
                          <w:i/>
                        </w:rPr>
                        <w:t>. SCS exchange rate</w:t>
                      </w:r>
                      <w:r w:rsidRPr="00135EFE">
                        <w:rPr>
                          <w:i/>
                        </w:rPr>
                        <w:t xml:space="preserve"> </w:t>
                      </w:r>
                      <w:r w:rsidR="00A949B4">
                        <w:rPr>
                          <w:i/>
                        </w:rPr>
                        <w:t>to LCOE</w:t>
                      </w:r>
                      <w:r w:rsidRPr="00135EFE">
                        <w:rPr>
                          <w:i/>
                        </w:rPr>
                        <w:t xml:space="preserve">  </w:t>
                      </w:r>
                    </w:p>
                  </w:txbxContent>
                </v:textbox>
                <w10:wrap type="topAndBottom" anchorx="margin"/>
              </v:shape>
            </w:pict>
          </mc:Fallback>
        </mc:AlternateContent>
      </w:r>
      <w:r w:rsidR="00D43EA2" w:rsidRPr="00D43EA2">
        <w:rPr>
          <w:noProof/>
        </w:rPr>
        <w:drawing>
          <wp:inline distT="0" distB="0" distL="0" distR="0" wp14:anchorId="01D35B21" wp14:editId="5F24A71F">
            <wp:extent cx="5732145" cy="466090"/>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466090"/>
                    </a:xfrm>
                    <a:prstGeom prst="rect">
                      <a:avLst/>
                    </a:prstGeom>
                    <a:noFill/>
                    <a:ln>
                      <a:noFill/>
                    </a:ln>
                  </pic:spPr>
                </pic:pic>
              </a:graphicData>
            </a:graphic>
          </wp:inline>
        </w:drawing>
      </w:r>
    </w:p>
    <w:p w14:paraId="2DB784BB" w14:textId="4B28A323" w:rsidR="00700CAF" w:rsidRDefault="00E07766" w:rsidP="00355F46">
      <w:pPr>
        <w:pStyle w:val="Corpsdetexte"/>
        <w:ind w:left="567" w:firstLine="0"/>
        <w:rPr>
          <w:lang w:val="en-US"/>
        </w:rPr>
      </w:pPr>
      <w:r>
        <w:rPr>
          <w:lang w:val="en-US"/>
        </w:rPr>
        <w:t>Although substantial in absolute values, t</w:t>
      </w:r>
      <w:r w:rsidR="00700CAF" w:rsidRPr="00700CAF">
        <w:rPr>
          <w:lang w:val="en-US"/>
        </w:rPr>
        <w:t xml:space="preserve">he SMR </w:t>
      </w:r>
      <w:r>
        <w:rPr>
          <w:lang w:val="en-US"/>
        </w:rPr>
        <w:t xml:space="preserve">relative </w:t>
      </w:r>
      <w:r w:rsidR="00700CAF" w:rsidRPr="00700CAF">
        <w:rPr>
          <w:lang w:val="en-US"/>
        </w:rPr>
        <w:t xml:space="preserve">results are less sensitive to civil works acceleration </w:t>
      </w:r>
      <w:r w:rsidR="00FF63A5">
        <w:rPr>
          <w:lang w:val="en-US"/>
        </w:rPr>
        <w:t xml:space="preserve">and costs </w:t>
      </w:r>
      <w:r w:rsidR="00700CAF" w:rsidRPr="00700CAF">
        <w:rPr>
          <w:lang w:val="en-US"/>
        </w:rPr>
        <w:t xml:space="preserve">for the following reasons: </w:t>
      </w:r>
    </w:p>
    <w:p w14:paraId="64E46B70" w14:textId="03C3A970" w:rsidR="00355F46" w:rsidRDefault="00700CAF" w:rsidP="00355F46">
      <w:pPr>
        <w:pStyle w:val="Corpsdetexte"/>
        <w:numPr>
          <w:ilvl w:val="0"/>
          <w:numId w:val="20"/>
        </w:numPr>
        <w:ind w:left="709"/>
      </w:pPr>
      <w:r w:rsidRPr="00700CAF">
        <w:rPr>
          <w:lang w:val="en-US"/>
        </w:rPr>
        <w:t>The cost breakdown is very different in comparison with large reactors. The nuclear island civil works part represents three times less in the relative total direct costs: consequently, the requested additional effort on the Vendor’s budget remain</w:t>
      </w:r>
      <w:r w:rsidR="00577AAB">
        <w:rPr>
          <w:lang w:val="en-US"/>
        </w:rPr>
        <w:t>s</w:t>
      </w:r>
      <w:r w:rsidRPr="00700CAF">
        <w:rPr>
          <w:lang w:val="en-US"/>
        </w:rPr>
        <w:t xml:space="preserve"> </w:t>
      </w:r>
      <w:r w:rsidR="004271E1">
        <w:rPr>
          <w:lang w:val="en-US"/>
        </w:rPr>
        <w:t>reasonable and less significant than for a large reactor</w:t>
      </w:r>
      <w:r w:rsidRPr="00700CAF">
        <w:rPr>
          <w:lang w:val="en-US"/>
        </w:rPr>
        <w:t xml:space="preserve"> (or even slightly profitable when there are many pools in the design)</w:t>
      </w:r>
      <w:r w:rsidR="00AA3095">
        <w:rPr>
          <w:lang w:val="en-US"/>
        </w:rPr>
        <w:t>.</w:t>
      </w:r>
    </w:p>
    <w:p w14:paraId="11434553" w14:textId="1DD6B568" w:rsidR="00D45F21" w:rsidRDefault="00700CAF" w:rsidP="00D45F21">
      <w:pPr>
        <w:pStyle w:val="Corpsdetexte"/>
        <w:numPr>
          <w:ilvl w:val="0"/>
          <w:numId w:val="20"/>
        </w:numPr>
        <w:ind w:left="709"/>
      </w:pPr>
      <w:r w:rsidRPr="00700CAF">
        <w:rPr>
          <w:lang w:val="en-US"/>
        </w:rPr>
        <w:t>The relative civil works critical path is two or three times shorter in the delivery schedule. Although SCS enable to speed up construction</w:t>
      </w:r>
      <w:r w:rsidR="00D644F8">
        <w:rPr>
          <w:lang w:val="en-US"/>
        </w:rPr>
        <w:t xml:space="preserve">, the </w:t>
      </w:r>
      <w:r w:rsidR="00FF63A5">
        <w:rPr>
          <w:lang w:val="en-US"/>
        </w:rPr>
        <w:t xml:space="preserve">potential </w:t>
      </w:r>
      <w:r w:rsidR="00D644F8">
        <w:rPr>
          <w:lang w:val="en-US"/>
        </w:rPr>
        <w:t>gain is</w:t>
      </w:r>
      <w:r w:rsidR="00830BA0">
        <w:rPr>
          <w:lang w:val="en-US"/>
        </w:rPr>
        <w:t xml:space="preserve"> several</w:t>
      </w:r>
      <w:r w:rsidRPr="00700CAF">
        <w:rPr>
          <w:lang w:val="en-US"/>
        </w:rPr>
        <w:t xml:space="preserve"> months</w:t>
      </w:r>
      <w:r w:rsidR="005254FF">
        <w:rPr>
          <w:lang w:val="en-US"/>
        </w:rPr>
        <w:t xml:space="preserve"> (instead of years for a large reactor) and</w:t>
      </w:r>
      <w:r w:rsidRPr="00700CAF">
        <w:rPr>
          <w:lang w:val="en-US"/>
        </w:rPr>
        <w:t xml:space="preserve"> it is moderated within the global schedule </w:t>
      </w:r>
      <w:r w:rsidR="00FF63A5">
        <w:rPr>
          <w:lang w:val="en-US"/>
        </w:rPr>
        <w:t>as</w:t>
      </w:r>
      <w:r w:rsidRPr="00700CAF">
        <w:rPr>
          <w:lang w:val="en-US"/>
        </w:rPr>
        <w:t xml:space="preserve"> equipment installation and commissioning still take a long time. </w:t>
      </w:r>
      <w:r w:rsidR="00FF63A5">
        <w:rPr>
          <w:lang w:val="en-US"/>
        </w:rPr>
        <w:t xml:space="preserve">In particular, the commissioning time cannot be scaled proportionally to the reactor power. </w:t>
      </w:r>
      <w:r w:rsidRPr="00700CAF">
        <w:rPr>
          <w:lang w:val="en-US"/>
        </w:rPr>
        <w:t xml:space="preserve">Besides, the civil works operations are closer to the plant startup: an accelerated task at T0 minus 4 years </w:t>
      </w:r>
      <w:r w:rsidR="00BA29C4">
        <w:rPr>
          <w:lang w:val="en-US"/>
        </w:rPr>
        <w:t xml:space="preserve">may </w:t>
      </w:r>
      <w:r w:rsidR="00FF63A5">
        <w:rPr>
          <w:lang w:val="en-US"/>
        </w:rPr>
        <w:t xml:space="preserve">create </w:t>
      </w:r>
      <w:r w:rsidRPr="00700CAF">
        <w:rPr>
          <w:lang w:val="en-US"/>
        </w:rPr>
        <w:t xml:space="preserve">less IDC savings than the same acceleration at T0 minus 7 years. </w:t>
      </w:r>
      <w:r w:rsidR="00FF63A5">
        <w:rPr>
          <w:lang w:val="en-US"/>
        </w:rPr>
        <w:t>Finally, o</w:t>
      </w:r>
      <w:r w:rsidRPr="00700CAF">
        <w:rPr>
          <w:lang w:val="en-US"/>
        </w:rPr>
        <w:t xml:space="preserve">n sponsors point of view, the capitalized cost savings </w:t>
      </w:r>
      <w:r w:rsidR="00C7148D">
        <w:rPr>
          <w:lang w:val="en-US"/>
        </w:rPr>
        <w:t>could be</w:t>
      </w:r>
      <w:r w:rsidRPr="00700CAF">
        <w:rPr>
          <w:lang w:val="en-US"/>
        </w:rPr>
        <w:t xml:space="preserve"> </w:t>
      </w:r>
      <w:r w:rsidR="00C7148D">
        <w:rPr>
          <w:lang w:val="en-US"/>
        </w:rPr>
        <w:t xml:space="preserve">perceived </w:t>
      </w:r>
      <w:r w:rsidRPr="00700CAF">
        <w:rPr>
          <w:lang w:val="en-US"/>
        </w:rPr>
        <w:t>less attractive</w:t>
      </w:r>
      <w:r w:rsidR="00E43F35">
        <w:rPr>
          <w:lang w:val="en-US"/>
        </w:rPr>
        <w:t xml:space="preserve"> than for large reactors</w:t>
      </w:r>
      <w:r w:rsidRPr="00700CAF">
        <w:rPr>
          <w:lang w:val="en-US"/>
        </w:rPr>
        <w:t>.</w:t>
      </w:r>
    </w:p>
    <w:p w14:paraId="5A538108" w14:textId="7639D4BD" w:rsidR="009A6C77" w:rsidRPr="009A6C77" w:rsidRDefault="00700CAF" w:rsidP="005549AA">
      <w:pPr>
        <w:pStyle w:val="Corpsdetexte"/>
        <w:numPr>
          <w:ilvl w:val="0"/>
          <w:numId w:val="20"/>
        </w:numPr>
        <w:ind w:left="709"/>
      </w:pPr>
      <w:r w:rsidRPr="00700CAF">
        <w:rPr>
          <w:lang w:val="en-US"/>
        </w:rPr>
        <w:t xml:space="preserve">All things considered, most of the SMR calculated savings come from the </w:t>
      </w:r>
      <w:proofErr w:type="gramStart"/>
      <w:r w:rsidRPr="00700CAF">
        <w:rPr>
          <w:lang w:val="en-US"/>
        </w:rPr>
        <w:t>pools</w:t>
      </w:r>
      <w:proofErr w:type="gramEnd"/>
      <w:r w:rsidRPr="00700CAF">
        <w:rPr>
          <w:lang w:val="en-US"/>
        </w:rPr>
        <w:t xml:space="preserve"> construction in which SCS enable both cost and time reductions. In other words, the SCS benefits in the pools are outstanding whereas their use in ordinary walls and slabs may be questionable on SMR economic point of view</w:t>
      </w:r>
      <w:r w:rsidR="005549AA">
        <w:rPr>
          <w:lang w:val="en-US"/>
        </w:rPr>
        <w:t>.</w:t>
      </w:r>
      <w:r w:rsidRPr="00700CAF">
        <w:rPr>
          <w:lang w:val="en-US"/>
        </w:rPr>
        <w:t xml:space="preserve"> </w:t>
      </w:r>
      <w:r w:rsidR="009A6C77">
        <w:rPr>
          <w:lang w:val="en-US"/>
        </w:rPr>
        <w:t>T</w:t>
      </w:r>
      <w:r w:rsidRPr="00700CAF">
        <w:rPr>
          <w:lang w:val="en-US"/>
        </w:rPr>
        <w:t>echnical advantages</w:t>
      </w:r>
      <w:r w:rsidR="00510CE4">
        <w:rPr>
          <w:lang w:val="en-US"/>
        </w:rPr>
        <w:t xml:space="preserve">, innovation </w:t>
      </w:r>
      <w:r w:rsidRPr="00700CAF">
        <w:rPr>
          <w:lang w:val="en-US"/>
        </w:rPr>
        <w:t xml:space="preserve">risks </w:t>
      </w:r>
      <w:r w:rsidR="00510CE4">
        <w:rPr>
          <w:lang w:val="en-US"/>
        </w:rPr>
        <w:t>and schedule reliability</w:t>
      </w:r>
      <w:r w:rsidRPr="00700CAF">
        <w:rPr>
          <w:lang w:val="en-US"/>
        </w:rPr>
        <w:t xml:space="preserve"> must be also considered in the </w:t>
      </w:r>
      <w:r w:rsidR="004E709C">
        <w:rPr>
          <w:lang w:val="en-US"/>
        </w:rPr>
        <w:t xml:space="preserve">trade-off </w:t>
      </w:r>
      <w:r w:rsidRPr="00700CAF">
        <w:rPr>
          <w:lang w:val="en-US"/>
        </w:rPr>
        <w:t>decision</w:t>
      </w:r>
      <w:r w:rsidR="00510CE4">
        <w:rPr>
          <w:lang w:val="en-US"/>
        </w:rPr>
        <w:t xml:space="preserve"> compared to classical reinforced concrete</w:t>
      </w:r>
      <w:r w:rsidR="005549AA">
        <w:rPr>
          <w:lang w:val="en-US"/>
        </w:rPr>
        <w:t xml:space="preserve"> (see technical presentation in ref. [</w:t>
      </w:r>
      <w:proofErr w:type="gramStart"/>
      <w:r w:rsidR="005549AA">
        <w:rPr>
          <w:lang w:val="en-US"/>
        </w:rPr>
        <w:t>13 ;</w:t>
      </w:r>
      <w:proofErr w:type="gramEnd"/>
      <w:r w:rsidR="005549AA">
        <w:rPr>
          <w:lang w:val="en-US"/>
        </w:rPr>
        <w:t xml:space="preserve"> 22])</w:t>
      </w:r>
    </w:p>
    <w:p w14:paraId="28AF196F" w14:textId="4597A870" w:rsidR="00D66ABA" w:rsidRPr="002F4341" w:rsidRDefault="005216F5" w:rsidP="009A6C77">
      <w:pPr>
        <w:pStyle w:val="Corpsdetexte"/>
      </w:pPr>
      <w:r w:rsidRPr="003A0F21">
        <w:rPr>
          <w:noProof/>
        </w:rPr>
        <w:drawing>
          <wp:anchor distT="0" distB="0" distL="114300" distR="114300" simplePos="0" relativeHeight="251675648" behindDoc="0" locked="0" layoutInCell="1" allowOverlap="1" wp14:anchorId="7DB6E872" wp14:editId="50D1CEC5">
            <wp:simplePos x="0" y="0"/>
            <wp:positionH relativeFrom="column">
              <wp:posOffset>3895725</wp:posOffset>
            </wp:positionH>
            <wp:positionV relativeFrom="paragraph">
              <wp:posOffset>135799</wp:posOffset>
            </wp:positionV>
            <wp:extent cx="704850" cy="158115"/>
            <wp:effectExtent l="0" t="0" r="0" b="0"/>
            <wp:wrapNone/>
            <wp:docPr id="10" name="Image 9">
              <a:extLst xmlns:a="http://schemas.openxmlformats.org/drawingml/2006/main">
                <a:ext uri="{FF2B5EF4-FFF2-40B4-BE49-F238E27FC236}">
                  <a16:creationId xmlns:a16="http://schemas.microsoft.com/office/drawing/2014/main" id="{2096F770-C50F-FCE6-0FAA-EA633CBCF4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2096F770-C50F-FCE6-0FAA-EA633CBCF4EA}"/>
                        </a:ext>
                      </a:extLs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0880" t="2168" r="48255" b="89031"/>
                    <a:stretch/>
                  </pic:blipFill>
                  <pic:spPr bwMode="auto">
                    <a:xfrm>
                      <a:off x="0" y="0"/>
                      <a:ext cx="704850" cy="158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0F21">
        <w:rPr>
          <w:noProof/>
        </w:rPr>
        <w:drawing>
          <wp:anchor distT="0" distB="0" distL="114300" distR="114300" simplePos="0" relativeHeight="251676672" behindDoc="0" locked="0" layoutInCell="1" allowOverlap="1" wp14:anchorId="1856CC7B" wp14:editId="2ECB6E49">
            <wp:simplePos x="0" y="0"/>
            <wp:positionH relativeFrom="column">
              <wp:posOffset>1402443</wp:posOffset>
            </wp:positionH>
            <wp:positionV relativeFrom="paragraph">
              <wp:posOffset>97428</wp:posOffset>
            </wp:positionV>
            <wp:extent cx="304800" cy="234315"/>
            <wp:effectExtent l="0" t="0" r="0" b="0"/>
            <wp:wrapNone/>
            <wp:docPr id="13" name="Image 13">
              <a:extLst xmlns:a="http://schemas.openxmlformats.org/drawingml/2006/main">
                <a:ext uri="{FF2B5EF4-FFF2-40B4-BE49-F238E27FC236}">
                  <a16:creationId xmlns:a16="http://schemas.microsoft.com/office/drawing/2014/main" id="{71C5484F-847F-1AE4-A31F-3C07BD59C2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71C5484F-847F-1AE4-A31F-3C07BD59C2B9}"/>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6941" t="-1" r="54037" b="86957"/>
                    <a:stretch/>
                  </pic:blipFill>
                  <pic:spPr bwMode="auto">
                    <a:xfrm>
                      <a:off x="0" y="0"/>
                      <a:ext cx="304800" cy="234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7A009B" w14:textId="08446556" w:rsidR="00350EEA" w:rsidRDefault="00562D6A" w:rsidP="00562D6A">
      <w:pPr>
        <w:pStyle w:val="Body"/>
        <w:spacing w:line="240" w:lineRule="auto"/>
        <w:jc w:val="center"/>
        <w:rPr>
          <w:sz w:val="22"/>
          <w:szCs w:val="22"/>
        </w:rPr>
      </w:pPr>
      <w:r w:rsidRPr="0041218C">
        <w:rPr>
          <w:noProof/>
        </w:rPr>
        <w:drawing>
          <wp:anchor distT="0" distB="0" distL="114300" distR="114300" simplePos="0" relativeHeight="251681792" behindDoc="0" locked="0" layoutInCell="1" allowOverlap="1" wp14:anchorId="7603262C" wp14:editId="14F9A6AB">
            <wp:simplePos x="0" y="0"/>
            <wp:positionH relativeFrom="column">
              <wp:posOffset>5441315</wp:posOffset>
            </wp:positionH>
            <wp:positionV relativeFrom="paragraph">
              <wp:posOffset>1301750</wp:posOffset>
            </wp:positionV>
            <wp:extent cx="853200" cy="1159200"/>
            <wp:effectExtent l="0" t="0" r="444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3935" t="14974" r="2352" b="17901"/>
                    <a:stretch/>
                  </pic:blipFill>
                  <pic:spPr bwMode="auto">
                    <a:xfrm>
                      <a:off x="0" y="0"/>
                      <a:ext cx="853200" cy="115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6F47" w:rsidRPr="00856F47">
        <w:rPr>
          <w:noProof/>
        </w:rPr>
        <w:drawing>
          <wp:inline distT="0" distB="0" distL="0" distR="0" wp14:anchorId="650B69AF" wp14:editId="1F9E4027">
            <wp:extent cx="2451600" cy="1677600"/>
            <wp:effectExtent l="0" t="0" r="635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840" r="27220" b="11771"/>
                    <a:stretch/>
                  </pic:blipFill>
                  <pic:spPr bwMode="auto">
                    <a:xfrm>
                      <a:off x="0" y="0"/>
                      <a:ext cx="2451600" cy="1677600"/>
                    </a:xfrm>
                    <a:prstGeom prst="rect">
                      <a:avLst/>
                    </a:prstGeom>
                    <a:noFill/>
                    <a:ln>
                      <a:noFill/>
                    </a:ln>
                    <a:extLst>
                      <a:ext uri="{53640926-AAD7-44D8-BBD7-CCE9431645EC}">
                        <a14:shadowObscured xmlns:a14="http://schemas.microsoft.com/office/drawing/2010/main"/>
                      </a:ext>
                    </a:extLst>
                  </pic:spPr>
                </pic:pic>
              </a:graphicData>
            </a:graphic>
          </wp:inline>
        </w:drawing>
      </w:r>
      <w:r w:rsidR="00DE1F96" w:rsidRPr="002B30E8">
        <w:rPr>
          <w:noProof/>
        </w:rPr>
        <w:drawing>
          <wp:inline distT="0" distB="0" distL="0" distR="0" wp14:anchorId="783875FB" wp14:editId="18B3EE8B">
            <wp:extent cx="2584800" cy="1677600"/>
            <wp:effectExtent l="0" t="0" r="635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27969" b="12152"/>
                    <a:stretch/>
                  </pic:blipFill>
                  <pic:spPr bwMode="auto">
                    <a:xfrm>
                      <a:off x="0" y="0"/>
                      <a:ext cx="2584800" cy="1677600"/>
                    </a:xfrm>
                    <a:prstGeom prst="rect">
                      <a:avLst/>
                    </a:prstGeom>
                    <a:noFill/>
                    <a:ln>
                      <a:noFill/>
                    </a:ln>
                    <a:extLst>
                      <a:ext uri="{53640926-AAD7-44D8-BBD7-CCE9431645EC}">
                        <a14:shadowObscured xmlns:a14="http://schemas.microsoft.com/office/drawing/2010/main"/>
                      </a:ext>
                    </a:extLst>
                  </pic:spPr>
                </pic:pic>
              </a:graphicData>
            </a:graphic>
          </wp:inline>
        </w:drawing>
      </w:r>
    </w:p>
    <w:p w14:paraId="2C60CAF4" w14:textId="31083430" w:rsidR="00DE1F96" w:rsidRDefault="00856F47" w:rsidP="00562D6A">
      <w:pPr>
        <w:pStyle w:val="Body"/>
        <w:spacing w:line="240" w:lineRule="auto"/>
        <w:jc w:val="center"/>
        <w:rPr>
          <w:sz w:val="22"/>
          <w:szCs w:val="22"/>
        </w:rPr>
      </w:pPr>
      <w:r w:rsidRPr="00856F47">
        <w:rPr>
          <w:noProof/>
        </w:rPr>
        <w:drawing>
          <wp:inline distT="0" distB="0" distL="0" distR="0" wp14:anchorId="43603E6B" wp14:editId="1EAFB4ED">
            <wp:extent cx="2412000" cy="1623600"/>
            <wp:effectExtent l="0" t="0" r="762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077" t="3612" r="27668" b="2856"/>
                    <a:stretch/>
                  </pic:blipFill>
                  <pic:spPr bwMode="auto">
                    <a:xfrm>
                      <a:off x="0" y="0"/>
                      <a:ext cx="2412000" cy="1623600"/>
                    </a:xfrm>
                    <a:prstGeom prst="rect">
                      <a:avLst/>
                    </a:prstGeom>
                    <a:noFill/>
                    <a:ln>
                      <a:noFill/>
                    </a:ln>
                    <a:extLst>
                      <a:ext uri="{53640926-AAD7-44D8-BBD7-CCE9431645EC}">
                        <a14:shadowObscured xmlns:a14="http://schemas.microsoft.com/office/drawing/2010/main"/>
                      </a:ext>
                    </a:extLst>
                  </pic:spPr>
                </pic:pic>
              </a:graphicData>
            </a:graphic>
          </wp:inline>
        </w:drawing>
      </w:r>
      <w:r w:rsidR="00056864">
        <w:rPr>
          <w:sz w:val="22"/>
          <w:szCs w:val="22"/>
        </w:rPr>
        <w:t xml:space="preserve"> </w:t>
      </w:r>
      <w:r w:rsidR="00DE1F96" w:rsidRPr="0041218C">
        <w:rPr>
          <w:noProof/>
        </w:rPr>
        <w:drawing>
          <wp:inline distT="0" distB="0" distL="0" distR="0" wp14:anchorId="62C8D71C" wp14:editId="49D30E02">
            <wp:extent cx="2566800" cy="1623600"/>
            <wp:effectExtent l="0" t="0" r="508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033" r="28401" b="2868"/>
                    <a:stretch/>
                  </pic:blipFill>
                  <pic:spPr bwMode="auto">
                    <a:xfrm>
                      <a:off x="0" y="0"/>
                      <a:ext cx="2566800" cy="1623600"/>
                    </a:xfrm>
                    <a:prstGeom prst="rect">
                      <a:avLst/>
                    </a:prstGeom>
                    <a:noFill/>
                    <a:ln>
                      <a:noFill/>
                    </a:ln>
                    <a:extLst>
                      <a:ext uri="{53640926-AAD7-44D8-BBD7-CCE9431645EC}">
                        <a14:shadowObscured xmlns:a14="http://schemas.microsoft.com/office/drawing/2010/main"/>
                      </a:ext>
                    </a:extLst>
                  </pic:spPr>
                </pic:pic>
              </a:graphicData>
            </a:graphic>
          </wp:inline>
        </w:drawing>
      </w:r>
      <w:r w:rsidR="00783370">
        <w:rPr>
          <w:noProof/>
          <w:lang w:eastAsia="en-GB"/>
        </w:rPr>
        <mc:AlternateContent>
          <mc:Choice Requires="wps">
            <w:drawing>
              <wp:inline distT="0" distB="0" distL="0" distR="0" wp14:anchorId="22C6DFFE" wp14:editId="2318B6BF">
                <wp:extent cx="4924425" cy="635"/>
                <wp:effectExtent l="0" t="0" r="9525" b="6985"/>
                <wp:docPr id="18" name="Text Box 2"/>
                <wp:cNvGraphicFramePr/>
                <a:graphic xmlns:a="http://schemas.openxmlformats.org/drawingml/2006/main">
                  <a:graphicData uri="http://schemas.microsoft.com/office/word/2010/wordprocessingShape">
                    <wps:wsp>
                      <wps:cNvSpPr txBox="1"/>
                      <wps:spPr>
                        <a:xfrm>
                          <a:off x="0" y="0"/>
                          <a:ext cx="4924425" cy="635"/>
                        </a:xfrm>
                        <a:prstGeom prst="rect">
                          <a:avLst/>
                        </a:prstGeom>
                        <a:solidFill>
                          <a:prstClr val="white"/>
                        </a:solidFill>
                        <a:ln>
                          <a:noFill/>
                        </a:ln>
                        <a:effectLst/>
                      </wps:spPr>
                      <wps:txbx>
                        <w:txbxContent>
                          <w:p w14:paraId="3D34E37E" w14:textId="36369120" w:rsidR="00783370" w:rsidRPr="00D9229A" w:rsidRDefault="00783370" w:rsidP="00783370">
                            <w:pPr>
                              <w:pStyle w:val="Lgende"/>
                              <w:jc w:val="center"/>
                              <w:rPr>
                                <w:i/>
                              </w:rPr>
                            </w:pPr>
                            <w:r w:rsidRPr="002B6003">
                              <w:rPr>
                                <w:i/>
                              </w:rPr>
                              <w:t xml:space="preserve">FIG. </w:t>
                            </w:r>
                            <w:r w:rsidRPr="002B6003">
                              <w:rPr>
                                <w:i/>
                              </w:rPr>
                              <w:fldChar w:fldCharType="begin"/>
                            </w:r>
                            <w:r w:rsidRPr="002B6003">
                              <w:rPr>
                                <w:i/>
                              </w:rPr>
                              <w:instrText xml:space="preserve"> SEQ Figure \* ARABIC </w:instrText>
                            </w:r>
                            <w:r w:rsidRPr="002B6003">
                              <w:rPr>
                                <w:i/>
                              </w:rPr>
                              <w:fldChar w:fldCharType="separate"/>
                            </w:r>
                            <w:r w:rsidR="0022757A">
                              <w:rPr>
                                <w:i/>
                                <w:noProof/>
                              </w:rPr>
                              <w:t>7</w:t>
                            </w:r>
                            <w:r w:rsidRPr="002B6003">
                              <w:rPr>
                                <w:i/>
                              </w:rPr>
                              <w:fldChar w:fldCharType="end"/>
                            </w:r>
                            <w:r w:rsidRPr="002B6003">
                              <w:rPr>
                                <w:i/>
                              </w:rPr>
                              <w:t>. Effect of steel-concrete (SC) vs. reinforced concrete (RC) on the EPCC cost, the capitalized cost, and the cost of electricity generation</w:t>
                            </w:r>
                            <w:r w:rsidRPr="00135EFE">
                              <w:rPr>
                                <w:i/>
                              </w:rPr>
                              <w:t xml:space="preserve"> </w:t>
                            </w:r>
                            <w:r>
                              <w:rPr>
                                <w:i/>
                              </w:rPr>
                              <w:t>(application of methodology Fig. 3)</w:t>
                            </w:r>
                            <w:r w:rsidRPr="00135EFE">
                              <w:rPr>
                                <w:i/>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22C6DFFE" id="_x0000_s1032" type="#_x0000_t202" style="width:387.7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" stroked="f">
                <v:textbox style="mso-fit-shape-to-text:t" inset="0,0,0,0">
                  <w:txbxContent>
                    <w:p w14:paraId="3D34E37E" w14:textId="36369120" w:rsidR="00783370" w:rsidRPr="00D9229A" w:rsidRDefault="00783370" w:rsidP="00783370">
                      <w:pPr>
                        <w:pStyle w:val="Lgende"/>
                        <w:jc w:val="center"/>
                        <w:rPr>
                          <w:i/>
                        </w:rPr>
                      </w:pPr>
                      <w:r w:rsidRPr="002B6003">
                        <w:rPr>
                          <w:i/>
                        </w:rPr>
                        <w:t xml:space="preserve">FIG. </w:t>
                      </w:r>
                      <w:r w:rsidRPr="002B6003">
                        <w:rPr>
                          <w:i/>
                        </w:rPr>
                        <w:fldChar w:fldCharType="begin"/>
                      </w:r>
                      <w:r w:rsidRPr="002B6003">
                        <w:rPr>
                          <w:i/>
                        </w:rPr>
                        <w:instrText xml:space="preserve"> SEQ Figure \* ARABIC </w:instrText>
                      </w:r>
                      <w:r w:rsidRPr="002B6003">
                        <w:rPr>
                          <w:i/>
                        </w:rPr>
                        <w:fldChar w:fldCharType="separate"/>
                      </w:r>
                      <w:r w:rsidR="0022757A">
                        <w:rPr>
                          <w:i/>
                          <w:noProof/>
                        </w:rPr>
                        <w:t>7</w:t>
                      </w:r>
                      <w:r w:rsidRPr="002B6003">
                        <w:rPr>
                          <w:i/>
                        </w:rPr>
                        <w:fldChar w:fldCharType="end"/>
                      </w:r>
                      <w:r w:rsidRPr="002B6003">
                        <w:rPr>
                          <w:i/>
                        </w:rPr>
                        <w:t>. Effect of steel-concrete (SC) vs. reinforced concrete (RC) on the EPCC cost, the capitalized cost, and the cost of electricity generation</w:t>
                      </w:r>
                      <w:r w:rsidRPr="00135EFE">
                        <w:rPr>
                          <w:i/>
                        </w:rPr>
                        <w:t xml:space="preserve"> </w:t>
                      </w:r>
                      <w:r>
                        <w:rPr>
                          <w:i/>
                        </w:rPr>
                        <w:t>(application of methodology Fig. 3)</w:t>
                      </w:r>
                      <w:r w:rsidRPr="00135EFE">
                        <w:rPr>
                          <w:i/>
                        </w:rPr>
                        <w:t xml:space="preserve">  </w:t>
                      </w:r>
                    </w:p>
                  </w:txbxContent>
                </v:textbox>
                <w10:anchorlock/>
              </v:shape>
            </w:pict>
          </mc:Fallback>
        </mc:AlternateContent>
      </w:r>
    </w:p>
    <w:p w14:paraId="65038522" w14:textId="00228D42" w:rsidR="00717C6F" w:rsidRDefault="002F64EE" w:rsidP="00537496">
      <w:pPr>
        <w:pStyle w:val="Titre2"/>
      </w:pPr>
      <w:r>
        <w:t>LIMITATIONS OF THE STUDY</w:t>
      </w:r>
    </w:p>
    <w:p w14:paraId="19AEDF9B" w14:textId="376C0C87" w:rsidR="002F64EE" w:rsidRPr="001B065A" w:rsidRDefault="001B065A" w:rsidP="0044293E">
      <w:pPr>
        <w:pStyle w:val="Corpsdetexte"/>
        <w:rPr>
          <w:lang w:val="en-US"/>
        </w:rPr>
      </w:pPr>
      <w:r w:rsidRPr="001B065A">
        <w:rPr>
          <w:lang w:val="en-US"/>
        </w:rPr>
        <w:t>The above results</w:t>
      </w:r>
      <w:r w:rsidR="003B4C07">
        <w:rPr>
          <w:lang w:val="en-US"/>
        </w:rPr>
        <w:t xml:space="preserve"> </w:t>
      </w:r>
      <w:r w:rsidRPr="001B065A">
        <w:rPr>
          <w:lang w:val="en-US"/>
        </w:rPr>
        <w:t xml:space="preserve">provide a </w:t>
      </w:r>
      <w:r w:rsidR="00B2297F">
        <w:rPr>
          <w:lang w:val="en-US"/>
        </w:rPr>
        <w:t xml:space="preserve">useful </w:t>
      </w:r>
      <w:r w:rsidRPr="001B065A">
        <w:rPr>
          <w:lang w:val="en-US"/>
        </w:rPr>
        <w:t xml:space="preserve">picture of the relationship between SCS construction techniques and the financial mechanisms. </w:t>
      </w:r>
      <w:r w:rsidR="001E3CCD">
        <w:rPr>
          <w:lang w:val="en-US"/>
        </w:rPr>
        <w:t>Nonetheless, t</w:t>
      </w:r>
      <w:r w:rsidRPr="001B065A">
        <w:rPr>
          <w:lang w:val="en-US"/>
        </w:rPr>
        <w:t xml:space="preserve">he </w:t>
      </w:r>
      <w:r w:rsidR="00C93F2B">
        <w:rPr>
          <w:lang w:val="en-US"/>
        </w:rPr>
        <w:t xml:space="preserve">approach remains </w:t>
      </w:r>
      <w:r w:rsidR="001A4796">
        <w:rPr>
          <w:lang w:val="en-US"/>
        </w:rPr>
        <w:t>simplified</w:t>
      </w:r>
      <w:r w:rsidR="004B0276">
        <w:rPr>
          <w:lang w:val="en-US"/>
        </w:rPr>
        <w:t xml:space="preserve"> to give a general trend (to be adapted after for </w:t>
      </w:r>
      <w:r w:rsidR="005C0ED3">
        <w:rPr>
          <w:lang w:val="en-US"/>
        </w:rPr>
        <w:t xml:space="preserve">each </w:t>
      </w:r>
      <w:r w:rsidR="004B0276">
        <w:rPr>
          <w:lang w:val="en-US"/>
        </w:rPr>
        <w:t xml:space="preserve">project with </w:t>
      </w:r>
      <w:r w:rsidR="005C0ED3">
        <w:rPr>
          <w:lang w:val="en-US"/>
        </w:rPr>
        <w:t>its specific</w:t>
      </w:r>
      <w:r w:rsidR="004B0276">
        <w:rPr>
          <w:lang w:val="en-US"/>
        </w:rPr>
        <w:t xml:space="preserve"> cost breakdown, schedule, </w:t>
      </w:r>
      <w:r w:rsidR="00AE00EA">
        <w:rPr>
          <w:lang w:val="en-US"/>
        </w:rPr>
        <w:t xml:space="preserve">target cost, </w:t>
      </w:r>
      <w:r w:rsidR="004B0276">
        <w:rPr>
          <w:lang w:val="en-US"/>
        </w:rPr>
        <w:t>local economic context, etc.). T</w:t>
      </w:r>
      <w:r w:rsidR="00C93F2B">
        <w:rPr>
          <w:lang w:val="en-US"/>
        </w:rPr>
        <w:t xml:space="preserve">he </w:t>
      </w:r>
      <w:r w:rsidRPr="001B065A">
        <w:rPr>
          <w:lang w:val="en-US"/>
        </w:rPr>
        <w:t xml:space="preserve">following questions should be raised to continue deep dive analysis. </w:t>
      </w:r>
    </w:p>
    <w:p w14:paraId="1A96C7E2" w14:textId="3CC9A972" w:rsidR="0044293E" w:rsidRPr="00EE0041" w:rsidRDefault="0044293E" w:rsidP="0044293E">
      <w:pPr>
        <w:pStyle w:val="Titre3"/>
      </w:pPr>
      <w:r>
        <w:t xml:space="preserve">Parameters impacted </w:t>
      </w:r>
      <w:r w:rsidR="008C5000">
        <w:t>by SMR models (independently from SC</w:t>
      </w:r>
      <w:r w:rsidR="00E81D5A">
        <w:t>S</w:t>
      </w:r>
      <w:r w:rsidR="008C5000">
        <w:t xml:space="preserve"> vs. RC)</w:t>
      </w:r>
    </w:p>
    <w:p w14:paraId="277253FF" w14:textId="1B7AD9D1" w:rsidR="004B2311" w:rsidRDefault="004B2311" w:rsidP="004B2311">
      <w:pPr>
        <w:pStyle w:val="Corpsdetexte"/>
        <w:rPr>
          <w:lang w:val="en-US"/>
        </w:rPr>
      </w:pPr>
      <w:r w:rsidRPr="004B2311">
        <w:rPr>
          <w:lang w:val="en-US"/>
        </w:rPr>
        <w:t xml:space="preserve">The SMR mindset is to maximize prefabrication and modularity to optimize the schedule. The counterpart will be an anticipated negative cashflow, so that such expenditures timeline could penalize IDC, unless </w:t>
      </w:r>
      <w:r w:rsidR="00FC7F09">
        <w:rPr>
          <w:lang w:val="en-US"/>
        </w:rPr>
        <w:t>modules</w:t>
      </w:r>
      <w:r w:rsidR="00880509">
        <w:rPr>
          <w:lang w:val="en-US"/>
        </w:rPr>
        <w:t xml:space="preserve"> (or simple SCS</w:t>
      </w:r>
      <w:r w:rsidR="00BD4644">
        <w:rPr>
          <w:lang w:val="en-US"/>
        </w:rPr>
        <w:t xml:space="preserve"> in our study</w:t>
      </w:r>
      <w:r w:rsidR="00880509">
        <w:rPr>
          <w:lang w:val="en-US"/>
        </w:rPr>
        <w:t>)</w:t>
      </w:r>
      <w:r w:rsidRPr="004B2311">
        <w:rPr>
          <w:lang w:val="en-US"/>
        </w:rPr>
        <w:t xml:space="preserve"> are delivered </w:t>
      </w:r>
      <w:r w:rsidR="00D262E7">
        <w:rPr>
          <w:lang w:val="en-US"/>
        </w:rPr>
        <w:t xml:space="preserve">and paid </w:t>
      </w:r>
      <w:r w:rsidRPr="004B2311">
        <w:rPr>
          <w:lang w:val="en-US"/>
        </w:rPr>
        <w:t>at the last minute which could represent a major risk.</w:t>
      </w:r>
    </w:p>
    <w:p w14:paraId="371E8233" w14:textId="77777777" w:rsidR="004B2311" w:rsidRPr="004B2311" w:rsidRDefault="004B2311" w:rsidP="004B2311">
      <w:pPr>
        <w:pStyle w:val="Corpsdetexte"/>
      </w:pPr>
    </w:p>
    <w:p w14:paraId="74147E96" w14:textId="733F296D" w:rsidR="00604DF0" w:rsidRDefault="0054055B" w:rsidP="00EE5B97">
      <w:pPr>
        <w:pStyle w:val="Corpsdetexte"/>
      </w:pPr>
      <w:r>
        <w:t>A</w:t>
      </w:r>
      <w:r w:rsidRPr="00604DF0">
        <w:t>fter the FOAK</w:t>
      </w:r>
      <w:r>
        <w:t xml:space="preserve"> demonstration,</w:t>
      </w:r>
      <w:r w:rsidRPr="00604DF0">
        <w:t xml:space="preserve"> </w:t>
      </w:r>
      <w:r w:rsidR="00604DF0" w:rsidRPr="00604DF0">
        <w:t>SMRs should benefit</w:t>
      </w:r>
      <w:r>
        <w:t xml:space="preserve"> </w:t>
      </w:r>
      <w:r w:rsidR="00604DF0" w:rsidRPr="00604DF0">
        <w:t>from lower risk perception compared to gigawatts projects according to the wealth-based model (ref.</w:t>
      </w:r>
      <w:r w:rsidR="00606D8A">
        <w:t xml:space="preserve"> </w:t>
      </w:r>
      <w:r w:rsidR="00606D8A">
        <w:fldChar w:fldCharType="begin"/>
      </w:r>
      <w:r w:rsidR="00606D8A">
        <w:instrText xml:space="preserve"> REF _Ref163577962 \r \h </w:instrText>
      </w:r>
      <w:r w:rsidR="00606D8A">
        <w:fldChar w:fldCharType="separate"/>
      </w:r>
      <w:r w:rsidR="0022757A">
        <w:t>[11]</w:t>
      </w:r>
      <w:r w:rsidR="00606D8A">
        <w:fldChar w:fldCharType="end"/>
      </w:r>
      <w:r w:rsidR="00606D8A">
        <w:t xml:space="preserve"> ; </w:t>
      </w:r>
      <w:r w:rsidR="00606D8A">
        <w:fldChar w:fldCharType="begin"/>
      </w:r>
      <w:r w:rsidR="00606D8A">
        <w:instrText xml:space="preserve"> REF _Ref163578179 \r \h </w:instrText>
      </w:r>
      <w:r w:rsidR="00606D8A">
        <w:fldChar w:fldCharType="separate"/>
      </w:r>
      <w:r w:rsidR="0022757A">
        <w:t>[17]</w:t>
      </w:r>
      <w:r w:rsidR="00606D8A">
        <w:fldChar w:fldCharType="end"/>
      </w:r>
      <w:r w:rsidR="00604DF0" w:rsidRPr="00284782">
        <w:rPr>
          <w:lang w:val="en-US"/>
        </w:rPr>
        <w:t xml:space="preserve">). </w:t>
      </w:r>
      <w:r w:rsidR="00604DF0" w:rsidRPr="00604DF0">
        <w:t xml:space="preserve">The question of lower risk premium in the sponsors rate of return and contingencies is critical: </w:t>
      </w:r>
      <w:r w:rsidR="00334C35">
        <w:t xml:space="preserve">let’s remind that </w:t>
      </w:r>
      <w:r w:rsidR="00604DF0" w:rsidRPr="00604DF0">
        <w:t xml:space="preserve">1 WACC point variation leads </w:t>
      </w:r>
      <w:r w:rsidR="005B1CDF">
        <w:t xml:space="preserve">basically </w:t>
      </w:r>
      <w:r w:rsidR="00604DF0" w:rsidRPr="00604DF0">
        <w:t xml:space="preserve">to </w:t>
      </w:r>
      <w:r w:rsidR="004D4C3A">
        <w:t>+/-</w:t>
      </w:r>
      <w:r w:rsidR="00604DF0" w:rsidRPr="00604DF0">
        <w:t xml:space="preserve">10% LCOE. Negotiating the cost of money is </w:t>
      </w:r>
      <w:r w:rsidR="00FB7840">
        <w:t xml:space="preserve">often an </w:t>
      </w:r>
      <w:r w:rsidR="00604DF0" w:rsidRPr="00604DF0">
        <w:t>efficient economic leverage, far ahead technical improvement</w:t>
      </w:r>
      <w:r w:rsidR="00FB7840">
        <w:t>s</w:t>
      </w:r>
      <w:r w:rsidR="00604DF0" w:rsidRPr="00604DF0">
        <w:t>.</w:t>
      </w:r>
    </w:p>
    <w:p w14:paraId="12BF2BDD" w14:textId="1F7646B2" w:rsidR="00EE5B97" w:rsidRPr="00EE0041" w:rsidRDefault="00EE5B97" w:rsidP="00EE5B97">
      <w:pPr>
        <w:pStyle w:val="Titre3"/>
      </w:pPr>
      <w:r>
        <w:t>Parameters impacted by SC</w:t>
      </w:r>
      <w:r w:rsidR="00E81D5A">
        <w:t>S</w:t>
      </w:r>
      <w:r>
        <w:t xml:space="preserve"> vs. RC</w:t>
      </w:r>
    </w:p>
    <w:p w14:paraId="67C36F6B" w14:textId="5BF6D075" w:rsidR="001032F8" w:rsidRDefault="001032F8" w:rsidP="001032F8">
      <w:pPr>
        <w:pStyle w:val="Corpsdetexte"/>
        <w:rPr>
          <w:lang w:val="en-US"/>
        </w:rPr>
      </w:pPr>
      <w:r w:rsidRPr="001032F8">
        <w:rPr>
          <w:lang w:val="en-US"/>
        </w:rPr>
        <w:t xml:space="preserve">The study did not evaluate the SCS effect on the other technical fields than civil works. The equipment installation cost and schedule are assumed unmodified although SCS creates opportunities (macro-modules with pre-installed components; open top </w:t>
      </w:r>
      <w:proofErr w:type="gramStart"/>
      <w:r w:rsidRPr="001032F8">
        <w:rPr>
          <w:lang w:val="en-US"/>
        </w:rPr>
        <w:t>method</w:t>
      </w:r>
      <w:r w:rsidR="0089012B">
        <w:rPr>
          <w:lang w:val="en-US"/>
        </w:rPr>
        <w:t xml:space="preserve"> ;</w:t>
      </w:r>
      <w:proofErr w:type="gramEnd"/>
      <w:r w:rsidR="0089012B">
        <w:rPr>
          <w:lang w:val="en-US"/>
        </w:rPr>
        <w:t xml:space="preserve"> etc.</w:t>
      </w:r>
      <w:r w:rsidRPr="001032F8">
        <w:rPr>
          <w:lang w:val="en-US"/>
        </w:rPr>
        <w:t>).</w:t>
      </w:r>
    </w:p>
    <w:p w14:paraId="00B66DC3" w14:textId="77777777" w:rsidR="00643C31" w:rsidRPr="001032F8" w:rsidRDefault="00643C31" w:rsidP="001032F8">
      <w:pPr>
        <w:pStyle w:val="Corpsdetexte"/>
        <w:rPr>
          <w:lang w:val="en-US"/>
        </w:rPr>
      </w:pPr>
    </w:p>
    <w:p w14:paraId="4F96496A" w14:textId="4D0BAE1B" w:rsidR="001032F8" w:rsidRDefault="001032F8" w:rsidP="00643C31">
      <w:pPr>
        <w:pStyle w:val="Corpsdetexte"/>
        <w:rPr>
          <w:lang w:val="en-US"/>
        </w:rPr>
      </w:pPr>
      <w:r w:rsidRPr="001032F8">
        <w:rPr>
          <w:lang w:val="en-US"/>
        </w:rPr>
        <w:t>The direct cost ratio</w:t>
      </w:r>
      <w:r w:rsidR="00643C31">
        <w:rPr>
          <w:lang w:val="en-US"/>
        </w:rPr>
        <w:t>s</w:t>
      </w:r>
      <w:r w:rsidRPr="001032F8">
        <w:rPr>
          <w:lang w:val="en-US"/>
        </w:rPr>
        <w:t xml:space="preserve"> </w:t>
      </w:r>
      <w:r w:rsidR="00643C31">
        <w:rPr>
          <w:lang w:val="en-US"/>
        </w:rPr>
        <w:t>are</w:t>
      </w:r>
      <w:r w:rsidRPr="001032F8">
        <w:rPr>
          <w:lang w:val="en-US"/>
        </w:rPr>
        <w:t xml:space="preserve"> based on SCHEDULE project learnings, which is more a technical pilot than a price demonstrator. Besides, the time acceleration stands for a FOAK performance. The single SCS mockup was compared to the average construction performance of dozens of identical reinforced concrete buildings by experienced civil companies. Improvements should be made by better manufacturing techniques for industrialization and learning-by-doing. The “best estimate” results could get closer to the “optimistic” ones for the NOAK.</w:t>
      </w:r>
    </w:p>
    <w:p w14:paraId="1593414A" w14:textId="77777777" w:rsidR="00FF66EE" w:rsidRPr="001032F8" w:rsidRDefault="00FF66EE" w:rsidP="00643C31">
      <w:pPr>
        <w:pStyle w:val="Corpsdetexte"/>
        <w:rPr>
          <w:lang w:val="en-US"/>
        </w:rPr>
      </w:pPr>
    </w:p>
    <w:p w14:paraId="538B56C7" w14:textId="5F1A4CA5" w:rsidR="001032F8" w:rsidRPr="001032F8" w:rsidRDefault="001032F8" w:rsidP="00FF66EE">
      <w:pPr>
        <w:pStyle w:val="Corpsdetexte"/>
        <w:rPr>
          <w:lang w:val="en-US"/>
        </w:rPr>
      </w:pPr>
      <w:r w:rsidRPr="001032F8">
        <w:rPr>
          <w:lang w:val="en-US"/>
        </w:rPr>
        <w:t xml:space="preserve">The debate is not only the effect on capitalized cost or </w:t>
      </w:r>
      <w:proofErr w:type="gramStart"/>
      <w:r w:rsidRPr="001032F8">
        <w:rPr>
          <w:lang w:val="en-US"/>
        </w:rPr>
        <w:t>LCOE ;</w:t>
      </w:r>
      <w:proofErr w:type="gramEnd"/>
      <w:r w:rsidRPr="001032F8">
        <w:rPr>
          <w:lang w:val="en-US"/>
        </w:rPr>
        <w:t xml:space="preserve"> it should be also focused on how SCS can contribute to secure the construction schedule to avoid cost overruns and delays before commercial start-up, in order to control the WACC from lower risk perception. The point is that some recent new build reactors erected with S</w:t>
      </w:r>
      <w:r w:rsidR="00933E61">
        <w:rPr>
          <w:lang w:val="en-US"/>
        </w:rPr>
        <w:t>teel-Plates</w:t>
      </w:r>
      <w:r w:rsidRPr="001032F8">
        <w:rPr>
          <w:lang w:val="en-US"/>
        </w:rPr>
        <w:t xml:space="preserve"> had to manage on the contrary years of delays, thereby canceling the acceleration objective and despite series effect</w:t>
      </w:r>
      <w:r w:rsidR="00AA0957">
        <w:rPr>
          <w:lang w:val="en-US"/>
        </w:rPr>
        <w:t xml:space="preserve"> (ex: </w:t>
      </w:r>
      <w:proofErr w:type="spellStart"/>
      <w:r w:rsidR="00AA0957">
        <w:rPr>
          <w:lang w:val="en-US"/>
        </w:rPr>
        <w:t>Sanmen</w:t>
      </w:r>
      <w:proofErr w:type="spellEnd"/>
      <w:r w:rsidR="00AA0957">
        <w:rPr>
          <w:lang w:val="en-US"/>
        </w:rPr>
        <w:t xml:space="preserve"> 1 &amp; 2, Haiyang 1 &amp; 2, Vogtle 3 &amp; 4, Shimane).</w:t>
      </w:r>
      <w:r w:rsidRPr="001032F8">
        <w:rPr>
          <w:lang w:val="en-US"/>
        </w:rPr>
        <w:t xml:space="preserve"> </w:t>
      </w:r>
      <w:r w:rsidR="00AA0957">
        <w:rPr>
          <w:lang w:val="en-US"/>
        </w:rPr>
        <w:t>F</w:t>
      </w:r>
      <w:r w:rsidRPr="001032F8">
        <w:rPr>
          <w:lang w:val="en-US"/>
        </w:rPr>
        <w:t>or the AP1000 Vogtle project, 46 of the 146 macro-modules (including preinstalled electromechanical components) were delivered with 6-18 months delays. Some on critical path stopped progression of the construction until delivery (ref.</w:t>
      </w:r>
      <w:r w:rsidR="0097481B">
        <w:rPr>
          <w:lang w:val="en-US"/>
        </w:rPr>
        <w:t xml:space="preserve"> </w:t>
      </w:r>
      <w:r w:rsidR="0097481B">
        <w:rPr>
          <w:lang w:val="en-US"/>
        </w:rPr>
        <w:fldChar w:fldCharType="begin"/>
      </w:r>
      <w:r w:rsidR="0097481B">
        <w:rPr>
          <w:lang w:val="en-US"/>
        </w:rPr>
        <w:instrText xml:space="preserve"> REF _Ref163577765 \r \h </w:instrText>
      </w:r>
      <w:r w:rsidR="0097481B">
        <w:rPr>
          <w:lang w:val="en-US"/>
        </w:rPr>
      </w:r>
      <w:r w:rsidR="0097481B">
        <w:rPr>
          <w:lang w:val="en-US"/>
        </w:rPr>
        <w:fldChar w:fldCharType="separate"/>
      </w:r>
      <w:r w:rsidR="0022757A">
        <w:rPr>
          <w:lang w:val="en-US"/>
        </w:rPr>
        <w:t>[1]</w:t>
      </w:r>
      <w:r w:rsidR="0097481B">
        <w:rPr>
          <w:lang w:val="en-US"/>
        </w:rPr>
        <w:fldChar w:fldCharType="end"/>
      </w:r>
      <w:r w:rsidR="0097481B">
        <w:rPr>
          <w:lang w:val="en-US"/>
        </w:rPr>
        <w:t xml:space="preserve"> ; </w:t>
      </w:r>
      <w:r w:rsidR="0097481B">
        <w:rPr>
          <w:lang w:val="en-US"/>
        </w:rPr>
        <w:fldChar w:fldCharType="begin"/>
      </w:r>
      <w:r w:rsidR="0097481B">
        <w:rPr>
          <w:lang w:val="en-US"/>
        </w:rPr>
        <w:instrText xml:space="preserve"> REF _Ref163577903 \r \h </w:instrText>
      </w:r>
      <w:r w:rsidR="0097481B">
        <w:rPr>
          <w:lang w:val="en-US"/>
        </w:rPr>
      </w:r>
      <w:r w:rsidR="0097481B">
        <w:rPr>
          <w:lang w:val="en-US"/>
        </w:rPr>
        <w:fldChar w:fldCharType="separate"/>
      </w:r>
      <w:r w:rsidR="0022757A">
        <w:rPr>
          <w:lang w:val="en-US"/>
        </w:rPr>
        <w:t>[9]</w:t>
      </w:r>
      <w:r w:rsidR="0097481B">
        <w:rPr>
          <w:lang w:val="en-US"/>
        </w:rPr>
        <w:fldChar w:fldCharType="end"/>
      </w:r>
      <w:r w:rsidRPr="001032F8">
        <w:rPr>
          <w:lang w:val="en-US"/>
        </w:rPr>
        <w:t xml:space="preserve">). </w:t>
      </w:r>
      <w:r w:rsidR="0097113A">
        <w:rPr>
          <w:lang w:val="en-US"/>
        </w:rPr>
        <w:t>Based on that observation, a</w:t>
      </w:r>
      <w:r w:rsidRPr="001032F8">
        <w:rPr>
          <w:lang w:val="en-US"/>
        </w:rPr>
        <w:t>fter computing 1000 probabilistic Monte Carlo simulations for 8 reactor architectures</w:t>
      </w:r>
      <w:r w:rsidR="0088522F">
        <w:rPr>
          <w:lang w:val="en-US"/>
        </w:rPr>
        <w:t xml:space="preserve"> (AP1000, APR1400, EPR, ABWR, </w:t>
      </w:r>
      <w:proofErr w:type="spellStart"/>
      <w:r w:rsidR="0088522F">
        <w:rPr>
          <w:lang w:val="en-US"/>
        </w:rPr>
        <w:t>Holtec</w:t>
      </w:r>
      <w:proofErr w:type="spellEnd"/>
      <w:r w:rsidR="0088522F">
        <w:rPr>
          <w:lang w:val="en-US"/>
        </w:rPr>
        <w:t xml:space="preserve"> SMR, </w:t>
      </w:r>
      <w:proofErr w:type="spellStart"/>
      <w:r w:rsidR="0088522F">
        <w:rPr>
          <w:lang w:val="en-US"/>
        </w:rPr>
        <w:t>Nuscale</w:t>
      </w:r>
      <w:proofErr w:type="spellEnd"/>
      <w:r w:rsidR="0088522F">
        <w:rPr>
          <w:lang w:val="en-US"/>
        </w:rPr>
        <w:t xml:space="preserve"> SMR, BWRX300 SMR) </w:t>
      </w:r>
      <w:r w:rsidRPr="001032F8">
        <w:rPr>
          <w:lang w:val="en-US"/>
        </w:rPr>
        <w:t xml:space="preserve">from FOAK to 10-OAK considering the supply chain failure risk and human error, MIT demonstrated that smaller reactors were not more robust to construction risks, but on absolute vision the consequences of delays were drastically lower because of scale effect. On the other hand, </w:t>
      </w:r>
      <w:r w:rsidR="00B50224">
        <w:rPr>
          <w:lang w:val="en-US"/>
        </w:rPr>
        <w:t>the same scale effect makes</w:t>
      </w:r>
      <w:r w:rsidRPr="001032F8">
        <w:rPr>
          <w:lang w:val="en-US"/>
        </w:rPr>
        <w:t xml:space="preserve"> the expected NOAK learning-by-doing rate is lower. Recommendations about SCS were (ref.</w:t>
      </w:r>
      <w:r w:rsidR="0097481B">
        <w:rPr>
          <w:lang w:val="en-US"/>
        </w:rPr>
        <w:t xml:space="preserve"> </w:t>
      </w:r>
      <w:r w:rsidR="0097481B">
        <w:rPr>
          <w:lang w:val="en-US"/>
        </w:rPr>
        <w:fldChar w:fldCharType="begin"/>
      </w:r>
      <w:r w:rsidR="0097481B">
        <w:rPr>
          <w:lang w:val="en-US"/>
        </w:rPr>
        <w:instrText xml:space="preserve"> REF _Ref163577903 \r \h </w:instrText>
      </w:r>
      <w:r w:rsidR="0097481B">
        <w:rPr>
          <w:lang w:val="en-US"/>
        </w:rPr>
      </w:r>
      <w:r w:rsidR="0097481B">
        <w:rPr>
          <w:lang w:val="en-US"/>
        </w:rPr>
        <w:fldChar w:fldCharType="separate"/>
      </w:r>
      <w:r w:rsidR="0022757A">
        <w:rPr>
          <w:lang w:val="en-US"/>
        </w:rPr>
        <w:t>[9]</w:t>
      </w:r>
      <w:r w:rsidR="0097481B">
        <w:rPr>
          <w:lang w:val="en-US"/>
        </w:rPr>
        <w:fldChar w:fldCharType="end"/>
      </w:r>
      <w:r w:rsidRPr="001032F8">
        <w:rPr>
          <w:lang w:val="en-US"/>
        </w:rPr>
        <w:t xml:space="preserve">): </w:t>
      </w:r>
      <w:r w:rsidRPr="001032F8">
        <w:rPr>
          <w:i/>
          <w:iCs/>
          <w:lang w:val="en-US"/>
        </w:rPr>
        <w:t>“technologies that reduce costs in the $10-$100/</w:t>
      </w:r>
      <w:proofErr w:type="spellStart"/>
      <w:r w:rsidRPr="001032F8">
        <w:rPr>
          <w:i/>
          <w:iCs/>
          <w:lang w:val="en-US"/>
        </w:rPr>
        <w:t>kWe</w:t>
      </w:r>
      <w:proofErr w:type="spellEnd"/>
      <w:r w:rsidRPr="001032F8">
        <w:rPr>
          <w:i/>
          <w:iCs/>
          <w:lang w:val="en-US"/>
        </w:rPr>
        <w:t xml:space="preserve"> range must be highly certain in the cost advantage and low in the deployment risk to be worth pursuing. For example, steel plate composites had only a marginal cost savings, but introduced significant volatility and risk into the shield building construction for the AP1000. However, the recommendation is not to shy away from innovation, but to lean into two types of innovation: (1) risk reducing innovation and (2) high-saving, high risk innovation”</w:t>
      </w:r>
      <w:r w:rsidRPr="001032F8">
        <w:rPr>
          <w:lang w:val="en-US"/>
        </w:rPr>
        <w:t xml:space="preserve">. </w:t>
      </w:r>
      <w:r w:rsidR="008362A3">
        <w:rPr>
          <w:lang w:val="en-US"/>
        </w:rPr>
        <w:t xml:space="preserve">The French </w:t>
      </w:r>
      <w:r w:rsidR="00D678BD">
        <w:rPr>
          <w:lang w:val="en-US"/>
        </w:rPr>
        <w:t>development program</w:t>
      </w:r>
      <w:r w:rsidR="008362A3">
        <w:rPr>
          <w:lang w:val="en-US"/>
        </w:rPr>
        <w:t xml:space="preserve"> </w:t>
      </w:r>
      <w:r w:rsidR="000E6429">
        <w:rPr>
          <w:lang w:val="en-US"/>
        </w:rPr>
        <w:t>presently</w:t>
      </w:r>
      <w:r w:rsidR="00D678BD">
        <w:rPr>
          <w:lang w:val="en-US"/>
        </w:rPr>
        <w:t xml:space="preserve"> </w:t>
      </w:r>
      <w:r w:rsidR="008362A3">
        <w:rPr>
          <w:lang w:val="en-US"/>
        </w:rPr>
        <w:t>consider</w:t>
      </w:r>
      <w:r w:rsidR="00D678BD">
        <w:rPr>
          <w:lang w:val="en-US"/>
        </w:rPr>
        <w:t>s</w:t>
      </w:r>
      <w:r w:rsidR="008362A3">
        <w:rPr>
          <w:lang w:val="en-US"/>
        </w:rPr>
        <w:t xml:space="preserve"> </w:t>
      </w:r>
      <w:r w:rsidR="000E6429">
        <w:rPr>
          <w:lang w:val="en-US"/>
        </w:rPr>
        <w:t>Steel Concrete</w:t>
      </w:r>
      <w:r w:rsidR="00AA3095">
        <w:rPr>
          <w:lang w:val="en-US"/>
        </w:rPr>
        <w:t xml:space="preserve"> Structures</w:t>
      </w:r>
      <w:r w:rsidR="000E6429">
        <w:rPr>
          <w:lang w:val="en-US"/>
        </w:rPr>
        <w:t xml:space="preserve"> under the form of single civil </w:t>
      </w:r>
      <w:r w:rsidR="00CE2375">
        <w:rPr>
          <w:lang w:val="en-US"/>
        </w:rPr>
        <w:t>elements of reasonable dimension</w:t>
      </w:r>
      <w:r w:rsidR="003C017F">
        <w:rPr>
          <w:lang w:val="en-US"/>
        </w:rPr>
        <w:t xml:space="preserve"> instead of </w:t>
      </w:r>
      <w:r w:rsidR="005671F4">
        <w:rPr>
          <w:lang w:val="en-US"/>
        </w:rPr>
        <w:t>adventurous</w:t>
      </w:r>
      <w:r w:rsidR="003C017F">
        <w:rPr>
          <w:lang w:val="en-US"/>
        </w:rPr>
        <w:t xml:space="preserve"> macro-modules</w:t>
      </w:r>
      <w:r w:rsidR="002D2615">
        <w:rPr>
          <w:lang w:val="en-US"/>
        </w:rPr>
        <w:t>, and the potential gain is</w:t>
      </w:r>
      <w:r w:rsidR="001303AE">
        <w:rPr>
          <w:lang w:val="en-US"/>
        </w:rPr>
        <w:t xml:space="preserve"> </w:t>
      </w:r>
      <w:r w:rsidR="00D812BE">
        <w:rPr>
          <w:lang w:val="en-US"/>
        </w:rPr>
        <w:t>in the</w:t>
      </w:r>
      <w:r w:rsidR="002D2615">
        <w:rPr>
          <w:lang w:val="en-US"/>
        </w:rPr>
        <w:t xml:space="preserve"> 1</w:t>
      </w:r>
      <w:r w:rsidR="006B1027">
        <w:rPr>
          <w:lang w:val="en-US"/>
        </w:rPr>
        <w:t>0</w:t>
      </w:r>
      <w:r w:rsidR="002D2615">
        <w:rPr>
          <w:lang w:val="en-US"/>
        </w:rPr>
        <w:t>0</w:t>
      </w:r>
      <w:r w:rsidR="006B1027">
        <w:rPr>
          <w:lang w:val="en-US"/>
        </w:rPr>
        <w:t>-500</w:t>
      </w:r>
      <w:r w:rsidR="002D2615">
        <w:rPr>
          <w:lang w:val="en-US"/>
        </w:rPr>
        <w:t>$/</w:t>
      </w:r>
      <w:proofErr w:type="spellStart"/>
      <w:r w:rsidR="002D2615">
        <w:rPr>
          <w:lang w:val="en-US"/>
        </w:rPr>
        <w:t>kWe</w:t>
      </w:r>
      <w:proofErr w:type="spellEnd"/>
      <w:r w:rsidR="001303AE">
        <w:rPr>
          <w:lang w:val="en-US"/>
        </w:rPr>
        <w:t xml:space="preserve"> </w:t>
      </w:r>
      <w:r w:rsidR="00C92F6C">
        <w:rPr>
          <w:lang w:val="en-US"/>
        </w:rPr>
        <w:t>range</w:t>
      </w:r>
      <w:r w:rsidR="001303AE">
        <w:rPr>
          <w:lang w:val="en-US"/>
        </w:rPr>
        <w:t>.</w:t>
      </w:r>
      <w:r w:rsidR="003C017F">
        <w:rPr>
          <w:lang w:val="en-US"/>
        </w:rPr>
        <w:t xml:space="preserve"> </w:t>
      </w:r>
    </w:p>
    <w:p w14:paraId="3F2C9616" w14:textId="376FA385" w:rsidR="001C03BF" w:rsidRDefault="001C03BF">
      <w:pPr>
        <w:overflowPunct/>
        <w:autoSpaceDE/>
        <w:autoSpaceDN/>
        <w:adjustRightInd/>
        <w:textAlignment w:val="auto"/>
      </w:pPr>
    </w:p>
    <w:p w14:paraId="256DA10E" w14:textId="77777777" w:rsidR="00992D82" w:rsidRDefault="00992D82">
      <w:pPr>
        <w:overflowPunct/>
        <w:autoSpaceDE/>
        <w:autoSpaceDN/>
        <w:adjustRightInd/>
        <w:textAlignment w:val="auto"/>
        <w:rPr>
          <w:caps/>
          <w:sz w:val="20"/>
        </w:rPr>
      </w:pPr>
      <w:r>
        <w:br w:type="page"/>
      </w:r>
    </w:p>
    <w:p w14:paraId="43140B73" w14:textId="20B39BD3" w:rsidR="001313E8" w:rsidRDefault="00037EFD" w:rsidP="00537496">
      <w:pPr>
        <w:pStyle w:val="Titre2"/>
      </w:pPr>
      <w:r>
        <w:t>CONCLUSION</w:t>
      </w:r>
    </w:p>
    <w:p w14:paraId="6EF69ED2" w14:textId="55875BC6" w:rsidR="00870E3A" w:rsidRPr="00F776DC" w:rsidRDefault="00737E19" w:rsidP="007F62E8">
      <w:pPr>
        <w:pStyle w:val="Corpsdetexte"/>
        <w:rPr>
          <w:lang w:val="en-US"/>
        </w:rPr>
      </w:pPr>
      <w:r w:rsidRPr="00737E19">
        <w:t xml:space="preserve">Claims supporting SMR economics (standardization, learning effects, cost sharing, construction acceleration and modularization) are </w:t>
      </w:r>
      <w:r w:rsidRPr="00737E19">
        <w:rPr>
          <w:i/>
          <w:iCs/>
        </w:rPr>
        <w:t>“difficult to quantify due to the lack of existing examples”</w:t>
      </w:r>
      <w:r w:rsidRPr="00737E19">
        <w:t xml:space="preserve"> </w:t>
      </w:r>
      <w:r w:rsidR="007773A7">
        <w:t xml:space="preserve">according to </w:t>
      </w:r>
      <w:r w:rsidRPr="00737E19">
        <w:t xml:space="preserve">European Commission </w:t>
      </w:r>
      <w:r w:rsidR="007773A7">
        <w:t>(</w:t>
      </w:r>
      <w:r w:rsidRPr="00737E19">
        <w:t>ref.</w:t>
      </w:r>
      <w:r w:rsidR="00576151">
        <w:t xml:space="preserve"> </w:t>
      </w:r>
      <w:r w:rsidR="00411CD7">
        <w:fldChar w:fldCharType="begin"/>
      </w:r>
      <w:r w:rsidR="00411CD7">
        <w:instrText xml:space="preserve"> REF _Ref163578410 \r \h </w:instrText>
      </w:r>
      <w:r w:rsidR="00411CD7">
        <w:fldChar w:fldCharType="separate"/>
      </w:r>
      <w:r w:rsidR="0022757A">
        <w:t>[21]</w:t>
      </w:r>
      <w:r w:rsidR="00411CD7">
        <w:fldChar w:fldCharType="end"/>
      </w:r>
      <w:r w:rsidRPr="00737E19">
        <w:t xml:space="preserve">). Our paper, focused on SCS construction techniques, is </w:t>
      </w:r>
      <w:r w:rsidRPr="00737E19">
        <w:rPr>
          <w:lang w:val="en-US"/>
        </w:rPr>
        <w:t xml:space="preserve">a first tentative to extrapolate the SCHEDULE </w:t>
      </w:r>
      <w:r w:rsidR="00357F4F">
        <w:rPr>
          <w:lang w:val="en-US"/>
        </w:rPr>
        <w:t>pilot building</w:t>
      </w:r>
      <w:r w:rsidRPr="00737E19">
        <w:rPr>
          <w:lang w:val="en-US"/>
        </w:rPr>
        <w:t xml:space="preserve"> feedback to the global scale of a reactor project. When considering in the e</w:t>
      </w:r>
      <w:r w:rsidR="004656C6">
        <w:rPr>
          <w:lang w:val="en-US"/>
        </w:rPr>
        <w:t>quilibrium</w:t>
      </w:r>
      <w:r w:rsidR="0098169B">
        <w:rPr>
          <w:lang w:val="en-US"/>
        </w:rPr>
        <w:t xml:space="preserve"> equation</w:t>
      </w:r>
      <w:r w:rsidRPr="00737E19">
        <w:rPr>
          <w:lang w:val="en-US"/>
        </w:rPr>
        <w:t xml:space="preserve"> </w:t>
      </w:r>
      <w:r w:rsidR="004656C6">
        <w:rPr>
          <w:lang w:val="en-US"/>
        </w:rPr>
        <w:t xml:space="preserve">the </w:t>
      </w:r>
      <w:r w:rsidRPr="00737E19">
        <w:rPr>
          <w:lang w:val="en-US"/>
        </w:rPr>
        <w:t xml:space="preserve">SCS direct costs and time acceleration benefits, the target capitalized price cut </w:t>
      </w:r>
      <w:r w:rsidR="002465BC">
        <w:rPr>
          <w:lang w:val="en-US"/>
        </w:rPr>
        <w:t xml:space="preserve">ratio </w:t>
      </w:r>
      <w:r w:rsidRPr="00737E19">
        <w:rPr>
          <w:lang w:val="en-US"/>
        </w:rPr>
        <w:t>0.92</w:t>
      </w:r>
      <w:r w:rsidRPr="00F776DC">
        <w:rPr>
          <w:lang w:val="en-US"/>
        </w:rPr>
        <w:t xml:space="preserve">-0.94 </w:t>
      </w:r>
      <w:r w:rsidR="006F4D3F" w:rsidRPr="00F776DC">
        <w:rPr>
          <w:lang w:val="en-US"/>
        </w:rPr>
        <w:t xml:space="preserve">that was </w:t>
      </w:r>
      <w:r w:rsidR="003D7AD4" w:rsidRPr="00F776DC">
        <w:rPr>
          <w:lang w:val="en-US"/>
        </w:rPr>
        <w:t>suggested</w:t>
      </w:r>
      <w:r w:rsidR="006F4D3F" w:rsidRPr="00F776DC">
        <w:rPr>
          <w:lang w:val="en-US"/>
        </w:rPr>
        <w:t xml:space="preserve"> by independent authors </w:t>
      </w:r>
      <w:r w:rsidRPr="00F776DC">
        <w:rPr>
          <w:lang w:val="en-US"/>
        </w:rPr>
        <w:t xml:space="preserve">looks achievable (see </w:t>
      </w:r>
      <w:r w:rsidR="00B6770D" w:rsidRPr="00F776DC">
        <w:rPr>
          <w:lang w:val="en-US"/>
        </w:rPr>
        <w:t>Figure</w:t>
      </w:r>
      <w:r w:rsidRPr="00F776DC">
        <w:rPr>
          <w:lang w:val="en-US"/>
        </w:rPr>
        <w:t xml:space="preserve"> 1</w:t>
      </w:r>
      <w:r w:rsidR="00FC3F4A" w:rsidRPr="00F776DC">
        <w:rPr>
          <w:lang w:val="en-US"/>
        </w:rPr>
        <w:t xml:space="preserve"> </w:t>
      </w:r>
      <w:r w:rsidR="00180518" w:rsidRPr="00F776DC">
        <w:rPr>
          <w:lang w:val="en-US"/>
        </w:rPr>
        <w:t>vs.</w:t>
      </w:r>
      <w:r w:rsidR="00FC3F4A" w:rsidRPr="00F776DC">
        <w:rPr>
          <w:lang w:val="en-US"/>
        </w:rPr>
        <w:t xml:space="preserve"> </w:t>
      </w:r>
      <w:r w:rsidR="00180518" w:rsidRPr="00F776DC">
        <w:rPr>
          <w:lang w:val="en-US"/>
        </w:rPr>
        <w:t xml:space="preserve">Figure </w:t>
      </w:r>
      <w:r w:rsidR="00FC1B47">
        <w:rPr>
          <w:lang w:val="en-US"/>
        </w:rPr>
        <w:t>7</w:t>
      </w:r>
      <w:r w:rsidR="00B6770D" w:rsidRPr="00F776DC">
        <w:rPr>
          <w:lang w:val="en-US"/>
        </w:rPr>
        <w:t>)</w:t>
      </w:r>
      <w:r w:rsidRPr="00F776DC">
        <w:rPr>
          <w:lang w:val="en-US"/>
        </w:rPr>
        <w:t>.</w:t>
      </w:r>
      <w:r w:rsidR="00880C4C" w:rsidRPr="00F776DC">
        <w:rPr>
          <w:lang w:val="en-US"/>
        </w:rPr>
        <w:t xml:space="preserve"> </w:t>
      </w:r>
    </w:p>
    <w:p w14:paraId="7FD001E1" w14:textId="77777777" w:rsidR="00870E3A" w:rsidRPr="00F776DC" w:rsidRDefault="00870E3A" w:rsidP="007F62E8">
      <w:pPr>
        <w:pStyle w:val="Corpsdetexte"/>
        <w:rPr>
          <w:lang w:val="en-US"/>
        </w:rPr>
      </w:pPr>
    </w:p>
    <w:p w14:paraId="1D488267" w14:textId="633B9500" w:rsidR="00737E19" w:rsidRPr="00F776DC" w:rsidRDefault="00737E19" w:rsidP="007F62E8">
      <w:pPr>
        <w:pStyle w:val="Corpsdetexte"/>
        <w:rPr>
          <w:lang w:val="en-US"/>
        </w:rPr>
      </w:pPr>
      <w:r w:rsidRPr="00F776DC">
        <w:rPr>
          <w:lang w:val="en-US"/>
        </w:rPr>
        <w:t>Accurate savings estimate finally depend</w:t>
      </w:r>
      <w:r w:rsidR="00974B53" w:rsidRPr="00F776DC">
        <w:rPr>
          <w:lang w:val="en-US"/>
        </w:rPr>
        <w:t>s</w:t>
      </w:r>
      <w:r w:rsidRPr="00F776DC">
        <w:rPr>
          <w:lang w:val="en-US"/>
        </w:rPr>
        <w:t xml:space="preserve"> on multiple parameters: </w:t>
      </w:r>
    </w:p>
    <w:p w14:paraId="5326F89B" w14:textId="1D40F00E" w:rsidR="00B1673D" w:rsidRPr="00F776DC" w:rsidRDefault="00D1637C" w:rsidP="00D1637C">
      <w:pPr>
        <w:pStyle w:val="ListEmdash"/>
        <w:rPr>
          <w:lang w:val="en-US"/>
        </w:rPr>
      </w:pPr>
      <w:r w:rsidRPr="00F776DC">
        <w:rPr>
          <w:lang w:val="en-US"/>
        </w:rPr>
        <w:t xml:space="preserve">the reactor size significantly changes the delivery schedule breakdown (civil works relative part), the associated expense timeline, and the costs breakdown. The </w:t>
      </w:r>
      <w:r w:rsidR="00B1673D" w:rsidRPr="00F776DC">
        <w:rPr>
          <w:lang w:val="en-US"/>
        </w:rPr>
        <w:t xml:space="preserve">relative </w:t>
      </w:r>
      <w:r w:rsidRPr="00F776DC">
        <w:rPr>
          <w:lang w:val="en-US"/>
        </w:rPr>
        <w:t>LCOE reduction per removed construction month is quite similar</w:t>
      </w:r>
      <w:r w:rsidR="00B1673D" w:rsidRPr="00F776DC">
        <w:rPr>
          <w:lang w:val="en-US"/>
        </w:rPr>
        <w:t xml:space="preserve"> in percentage</w:t>
      </w:r>
      <w:r w:rsidRPr="00F776DC">
        <w:rPr>
          <w:lang w:val="en-US"/>
        </w:rPr>
        <w:t xml:space="preserve"> for SMRs or large reactors, but the number of won months </w:t>
      </w:r>
      <w:r w:rsidR="00B1673D" w:rsidRPr="00F776DC">
        <w:rPr>
          <w:lang w:val="en-US"/>
        </w:rPr>
        <w:t xml:space="preserve">(and consequently the absolute LCOE reduction) </w:t>
      </w:r>
      <w:r w:rsidRPr="00F776DC">
        <w:rPr>
          <w:lang w:val="en-US"/>
        </w:rPr>
        <w:t xml:space="preserve">is </w:t>
      </w:r>
      <w:r w:rsidR="00B1673D" w:rsidRPr="00F776DC">
        <w:rPr>
          <w:lang w:val="en-US"/>
        </w:rPr>
        <w:t xml:space="preserve">driven by the reactor </w:t>
      </w:r>
      <w:proofErr w:type="gramStart"/>
      <w:r w:rsidR="00B1673D" w:rsidRPr="00F776DC">
        <w:rPr>
          <w:lang w:val="en-US"/>
        </w:rPr>
        <w:t>size</w:t>
      </w:r>
      <w:r w:rsidR="008D1AE3" w:rsidRPr="00F776DC">
        <w:rPr>
          <w:lang w:val="en-US"/>
        </w:rPr>
        <w:t xml:space="preserve"> ;</w:t>
      </w:r>
      <w:proofErr w:type="gramEnd"/>
    </w:p>
    <w:p w14:paraId="02F81FBC" w14:textId="248F38D9" w:rsidR="00535AC8" w:rsidRPr="00F776DC" w:rsidRDefault="00535AC8" w:rsidP="00535AC8">
      <w:pPr>
        <w:pStyle w:val="ListEmdash"/>
        <w:rPr>
          <w:lang w:val="en-US"/>
        </w:rPr>
      </w:pPr>
      <w:r w:rsidRPr="00F776DC">
        <w:rPr>
          <w:lang w:val="en-US"/>
        </w:rPr>
        <w:t xml:space="preserve">the selection of strategic areas where to replace reinforced concrete </w:t>
      </w:r>
      <w:r w:rsidR="00AA3095" w:rsidRPr="00F776DC">
        <w:rPr>
          <w:lang w:val="en-US"/>
        </w:rPr>
        <w:t xml:space="preserve">and steel liner </w:t>
      </w:r>
      <w:r w:rsidRPr="00F776DC">
        <w:rPr>
          <w:lang w:val="en-US"/>
        </w:rPr>
        <w:t>by SCS</w:t>
      </w:r>
      <w:r w:rsidR="00B1673D" w:rsidRPr="00F776DC">
        <w:rPr>
          <w:lang w:val="en-US"/>
        </w:rPr>
        <w:t xml:space="preserve"> (</w:t>
      </w:r>
      <w:proofErr w:type="spellStart"/>
      <w:r w:rsidR="00B1673D" w:rsidRPr="00F776DC">
        <w:rPr>
          <w:lang w:val="en-US"/>
        </w:rPr>
        <w:t>e.g</w:t>
      </w:r>
      <w:proofErr w:type="spellEnd"/>
      <w:r w:rsidR="00B1673D" w:rsidRPr="00F776DC">
        <w:rPr>
          <w:lang w:val="en-US"/>
        </w:rPr>
        <w:t xml:space="preserve"> pools</w:t>
      </w:r>
      <w:proofErr w:type="gramStart"/>
      <w:r w:rsidR="00B1673D" w:rsidRPr="00F776DC">
        <w:rPr>
          <w:lang w:val="en-US"/>
        </w:rPr>
        <w:t>)</w:t>
      </w:r>
      <w:r w:rsidRPr="00F776DC">
        <w:rPr>
          <w:lang w:val="en-US"/>
        </w:rPr>
        <w:t xml:space="preserve"> ;</w:t>
      </w:r>
      <w:proofErr w:type="gramEnd"/>
    </w:p>
    <w:p w14:paraId="0C1C0D36" w14:textId="47C0D337" w:rsidR="00BF0D41" w:rsidRPr="00F776DC" w:rsidRDefault="00BF0D41" w:rsidP="00BF0D41">
      <w:pPr>
        <w:pStyle w:val="Corpsdetexte"/>
        <w:numPr>
          <w:ilvl w:val="0"/>
          <w:numId w:val="20"/>
        </w:numPr>
        <w:ind w:left="709"/>
        <w:rPr>
          <w:lang w:val="en-US"/>
        </w:rPr>
      </w:pPr>
      <w:r w:rsidRPr="00F776DC">
        <w:rPr>
          <w:lang w:val="en-US"/>
        </w:rPr>
        <w:t>the rate of return (the higher is the cost of money, the higher savings are</w:t>
      </w:r>
      <w:proofErr w:type="gramStart"/>
      <w:r w:rsidRPr="00F776DC">
        <w:rPr>
          <w:lang w:val="en-US"/>
        </w:rPr>
        <w:t>) ;</w:t>
      </w:r>
      <w:proofErr w:type="gramEnd"/>
    </w:p>
    <w:p w14:paraId="4B73BF0B" w14:textId="31059B5C" w:rsidR="004A5792" w:rsidRPr="00F776DC" w:rsidRDefault="004A5792" w:rsidP="00BF0D41">
      <w:pPr>
        <w:pStyle w:val="Corpsdetexte"/>
        <w:numPr>
          <w:ilvl w:val="0"/>
          <w:numId w:val="20"/>
        </w:numPr>
        <w:ind w:left="709"/>
        <w:rPr>
          <w:lang w:val="en-US"/>
        </w:rPr>
      </w:pPr>
      <w:r w:rsidRPr="00F776DC">
        <w:rPr>
          <w:lang w:val="en-US"/>
        </w:rPr>
        <w:t>the country design code</w:t>
      </w:r>
      <w:r w:rsidR="008D1AE3" w:rsidRPr="00F776DC">
        <w:rPr>
          <w:lang w:val="en-US"/>
        </w:rPr>
        <w:t xml:space="preserve"> when it exists for SCS</w:t>
      </w:r>
      <w:r w:rsidRPr="00F776DC">
        <w:rPr>
          <w:lang w:val="en-US"/>
        </w:rPr>
        <w:t xml:space="preserve"> (impact in 2</w:t>
      </w:r>
      <w:r w:rsidRPr="00F776DC">
        <w:rPr>
          <w:vertAlign w:val="superscript"/>
          <w:lang w:val="en-US"/>
        </w:rPr>
        <w:t>nd</w:t>
      </w:r>
      <w:r w:rsidRPr="00F776DC">
        <w:rPr>
          <w:lang w:val="en-US"/>
        </w:rPr>
        <w:t xml:space="preserve"> order</w:t>
      </w:r>
      <w:proofErr w:type="gramStart"/>
      <w:r w:rsidRPr="00F776DC">
        <w:rPr>
          <w:lang w:val="en-US"/>
        </w:rPr>
        <w:t>)</w:t>
      </w:r>
      <w:r w:rsidR="008D1AE3" w:rsidRPr="00F776DC">
        <w:rPr>
          <w:lang w:val="en-US"/>
        </w:rPr>
        <w:t xml:space="preserve"> ;</w:t>
      </w:r>
      <w:proofErr w:type="gramEnd"/>
    </w:p>
    <w:p w14:paraId="13951C68" w14:textId="77777777" w:rsidR="00870E3A" w:rsidRPr="00F776DC" w:rsidRDefault="00870E3A" w:rsidP="00C53752">
      <w:pPr>
        <w:pStyle w:val="Corpsdetexte"/>
        <w:ind w:firstLine="0"/>
        <w:rPr>
          <w:lang w:val="en-US"/>
        </w:rPr>
      </w:pPr>
    </w:p>
    <w:p w14:paraId="233D8DAA" w14:textId="7C102EA3" w:rsidR="009B398E" w:rsidRDefault="00D52803" w:rsidP="00C53752">
      <w:pPr>
        <w:pStyle w:val="Corpsdetexte"/>
        <w:ind w:firstLine="0"/>
        <w:rPr>
          <w:lang w:val="en-US"/>
        </w:rPr>
      </w:pPr>
      <w:r w:rsidRPr="00F776DC">
        <w:rPr>
          <w:lang w:val="en-US"/>
        </w:rPr>
        <w:t>The calculated savings for SMRs are interesting in absolute value within the 100-500 $/kW reduction range, and SCS should contribute to secure the construction schedule compared to reinforced concrete. Meeting the SMRs competitiveness challenge will require accumulating</w:t>
      </w:r>
      <w:r w:rsidR="00126D30" w:rsidRPr="00F776DC">
        <w:rPr>
          <w:lang w:val="en-US"/>
        </w:rPr>
        <w:t xml:space="preserve"> </w:t>
      </w:r>
      <w:proofErr w:type="gramStart"/>
      <w:r w:rsidR="00126D30" w:rsidRPr="00F776DC">
        <w:rPr>
          <w:lang w:val="en-US"/>
        </w:rPr>
        <w:t xml:space="preserve">in particular </w:t>
      </w:r>
      <w:r w:rsidR="00D7051E" w:rsidRPr="00F776DC">
        <w:rPr>
          <w:lang w:val="en-US"/>
        </w:rPr>
        <w:t>such</w:t>
      </w:r>
      <w:proofErr w:type="gramEnd"/>
      <w:r w:rsidR="00D7051E" w:rsidRPr="00F776DC">
        <w:rPr>
          <w:lang w:val="en-US"/>
        </w:rPr>
        <w:t xml:space="preserve"> kind of</w:t>
      </w:r>
      <w:r w:rsidRPr="00F776DC">
        <w:rPr>
          <w:lang w:val="en-US"/>
        </w:rPr>
        <w:t xml:space="preserve"> innovation</w:t>
      </w:r>
      <w:r w:rsidR="00D7051E" w:rsidRPr="00F776DC">
        <w:rPr>
          <w:lang w:val="en-US"/>
        </w:rPr>
        <w:t>s</w:t>
      </w:r>
      <w:r w:rsidR="00126D30" w:rsidRPr="00F776DC">
        <w:rPr>
          <w:lang w:val="en-US"/>
        </w:rPr>
        <w:t xml:space="preserve"> in terms of design and modular construction, but </w:t>
      </w:r>
      <w:r w:rsidR="00F7354A" w:rsidRPr="00F776DC">
        <w:rPr>
          <w:lang w:val="en-US"/>
        </w:rPr>
        <w:t xml:space="preserve">always </w:t>
      </w:r>
      <w:r w:rsidR="00124759" w:rsidRPr="00F776DC">
        <w:rPr>
          <w:lang w:val="en-US"/>
        </w:rPr>
        <w:t>keeping</w:t>
      </w:r>
      <w:r w:rsidR="00126D30" w:rsidRPr="00F776DC">
        <w:rPr>
          <w:lang w:val="en-US"/>
        </w:rPr>
        <w:t xml:space="preserve"> special ca</w:t>
      </w:r>
      <w:r w:rsidR="00CE545C" w:rsidRPr="00F776DC">
        <w:rPr>
          <w:lang w:val="en-US"/>
        </w:rPr>
        <w:t>re</w:t>
      </w:r>
      <w:r w:rsidR="00126D30" w:rsidRPr="00F776DC">
        <w:rPr>
          <w:lang w:val="en-US"/>
        </w:rPr>
        <w:t xml:space="preserve"> on the risks assessment</w:t>
      </w:r>
      <w:r w:rsidR="00F7354A" w:rsidRPr="00F776DC">
        <w:rPr>
          <w:lang w:val="en-US"/>
        </w:rPr>
        <w:t xml:space="preserve"> as reminded by MIT studies</w:t>
      </w:r>
      <w:r w:rsidR="00126D30" w:rsidRPr="00F776DC">
        <w:rPr>
          <w:lang w:val="en-US"/>
        </w:rPr>
        <w:t xml:space="preserve">. </w:t>
      </w:r>
      <w:r w:rsidR="00C53752" w:rsidRPr="00F776DC">
        <w:rPr>
          <w:lang w:val="en-US"/>
        </w:rPr>
        <w:t>T</w:t>
      </w:r>
      <w:r w:rsidR="00D17080" w:rsidRPr="00F776DC">
        <w:rPr>
          <w:lang w:val="en-US"/>
        </w:rPr>
        <w:t xml:space="preserve">he planning reliability and the economic model robustness </w:t>
      </w:r>
      <w:r w:rsidR="00550067" w:rsidRPr="00F776DC">
        <w:rPr>
          <w:lang w:val="en-US"/>
        </w:rPr>
        <w:t>against risks (delays, cost uncertainty, human error</w:t>
      </w:r>
      <w:r w:rsidR="00C53752" w:rsidRPr="00F776DC">
        <w:rPr>
          <w:lang w:val="en-US"/>
        </w:rPr>
        <w:t>, etc.</w:t>
      </w:r>
      <w:r w:rsidR="00550067" w:rsidRPr="00F776DC">
        <w:rPr>
          <w:lang w:val="en-US"/>
        </w:rPr>
        <w:t xml:space="preserve">) </w:t>
      </w:r>
      <w:r w:rsidR="00D17080" w:rsidRPr="00F776DC">
        <w:rPr>
          <w:lang w:val="en-US"/>
        </w:rPr>
        <w:t xml:space="preserve">have great value for a </w:t>
      </w:r>
      <w:r w:rsidR="00C53752" w:rsidRPr="00F776DC">
        <w:rPr>
          <w:lang w:val="en-US"/>
        </w:rPr>
        <w:t xml:space="preserve">project </w:t>
      </w:r>
      <w:r w:rsidR="00D17080" w:rsidRPr="00F776DC">
        <w:rPr>
          <w:lang w:val="en-US"/>
        </w:rPr>
        <w:t xml:space="preserve">sponsor. </w:t>
      </w:r>
      <w:r w:rsidR="00550067" w:rsidRPr="00F776DC">
        <w:rPr>
          <w:lang w:val="en-US"/>
        </w:rPr>
        <w:t>The p</w:t>
      </w:r>
      <w:r w:rsidR="007125A0" w:rsidRPr="00F776DC">
        <w:rPr>
          <w:lang w:val="en-US"/>
        </w:rPr>
        <w:t>ast</w:t>
      </w:r>
      <w:r w:rsidR="00D17080" w:rsidRPr="00F776DC">
        <w:rPr>
          <w:lang w:val="en-US"/>
        </w:rPr>
        <w:t xml:space="preserve"> difficulties of the </w:t>
      </w:r>
      <w:r w:rsidR="00C8458F" w:rsidRPr="00F776DC">
        <w:rPr>
          <w:lang w:val="en-US"/>
        </w:rPr>
        <w:t xml:space="preserve">US </w:t>
      </w:r>
      <w:r w:rsidR="00D17080" w:rsidRPr="00F776DC">
        <w:rPr>
          <w:lang w:val="en-US"/>
        </w:rPr>
        <w:t xml:space="preserve">nuclear industry with Steel-Plates concerned fully equipped macro-modules. On the contrary, our study </w:t>
      </w:r>
      <w:r w:rsidR="00514D38" w:rsidRPr="00F776DC">
        <w:rPr>
          <w:lang w:val="en-US"/>
        </w:rPr>
        <w:t xml:space="preserve">considers </w:t>
      </w:r>
      <w:r w:rsidR="00F46897" w:rsidRPr="00F776DC">
        <w:rPr>
          <w:lang w:val="en-US"/>
        </w:rPr>
        <w:t xml:space="preserve">simple </w:t>
      </w:r>
      <w:r w:rsidR="00D17080" w:rsidRPr="00F776DC">
        <w:rPr>
          <w:lang w:val="en-US"/>
        </w:rPr>
        <w:t xml:space="preserve">civil </w:t>
      </w:r>
      <w:r w:rsidR="00046D59" w:rsidRPr="00F776DC">
        <w:rPr>
          <w:lang w:val="en-US"/>
        </w:rPr>
        <w:t xml:space="preserve">works </w:t>
      </w:r>
      <w:r w:rsidR="00940DDC" w:rsidRPr="00F776DC">
        <w:rPr>
          <w:lang w:val="en-US"/>
        </w:rPr>
        <w:t>modules</w:t>
      </w:r>
      <w:r w:rsidR="00D17080" w:rsidRPr="00F776DC">
        <w:rPr>
          <w:lang w:val="en-US"/>
        </w:rPr>
        <w:t xml:space="preserve"> </w:t>
      </w:r>
      <w:r w:rsidR="00514D38" w:rsidRPr="00F776DC">
        <w:rPr>
          <w:lang w:val="en-US"/>
        </w:rPr>
        <w:t xml:space="preserve">of small size </w:t>
      </w:r>
      <w:r w:rsidR="00D17080" w:rsidRPr="00F776DC">
        <w:rPr>
          <w:lang w:val="en-US"/>
        </w:rPr>
        <w:t xml:space="preserve">in </w:t>
      </w:r>
      <w:r w:rsidR="00573652" w:rsidRPr="00F776DC">
        <w:rPr>
          <w:lang w:val="en-US"/>
        </w:rPr>
        <w:t>consistency</w:t>
      </w:r>
      <w:r w:rsidR="00D17080" w:rsidRPr="00F776DC">
        <w:rPr>
          <w:lang w:val="en-US"/>
        </w:rPr>
        <w:t xml:space="preserve"> with the European SCHEDULE </w:t>
      </w:r>
      <w:r w:rsidR="00D2102B" w:rsidRPr="00F776DC">
        <w:rPr>
          <w:lang w:val="en-US"/>
        </w:rPr>
        <w:t>demonstrator</w:t>
      </w:r>
      <w:r w:rsidR="0057377A" w:rsidRPr="00F776DC">
        <w:rPr>
          <w:lang w:val="en-US"/>
        </w:rPr>
        <w:t>;</w:t>
      </w:r>
      <w:r w:rsidR="00D17080" w:rsidRPr="00F776DC">
        <w:rPr>
          <w:lang w:val="en-US"/>
        </w:rPr>
        <w:t xml:space="preserve"> </w:t>
      </w:r>
      <w:r w:rsidR="00D2102B" w:rsidRPr="00F776DC">
        <w:rPr>
          <w:lang w:val="en-US"/>
        </w:rPr>
        <w:t xml:space="preserve">that </w:t>
      </w:r>
      <w:r w:rsidR="005F0DBC" w:rsidRPr="00F776DC">
        <w:rPr>
          <w:lang w:val="en-US"/>
        </w:rPr>
        <w:t xml:space="preserve">was </w:t>
      </w:r>
      <w:r w:rsidR="00D17080" w:rsidRPr="00F776DC">
        <w:rPr>
          <w:lang w:val="en-US"/>
        </w:rPr>
        <w:t xml:space="preserve">a necessary effort to restore confidence.  </w:t>
      </w:r>
    </w:p>
    <w:p w14:paraId="0F001C72" w14:textId="77777777" w:rsidR="00E85AD4" w:rsidRDefault="00E85AD4" w:rsidP="00C53752">
      <w:pPr>
        <w:pStyle w:val="Corpsdetexte"/>
        <w:ind w:firstLine="0"/>
        <w:rPr>
          <w:lang w:val="en-US"/>
        </w:rPr>
      </w:pPr>
    </w:p>
    <w:p w14:paraId="18045FBE" w14:textId="63FBB11E" w:rsidR="00E85AD4" w:rsidRDefault="00E85AD4" w:rsidP="00E85AD4">
      <w:pPr>
        <w:pStyle w:val="Otherunnumberedheadings"/>
      </w:pPr>
      <w:r w:rsidRPr="00285755">
        <w:t>ACKNOWLEDGEMENTS</w:t>
      </w:r>
    </w:p>
    <w:p w14:paraId="0AD6ED81" w14:textId="647F991F" w:rsidR="00870E3A" w:rsidRPr="00E85AD4" w:rsidRDefault="00AB5ABF" w:rsidP="00AB5ABF">
      <w:pPr>
        <w:overflowPunct/>
        <w:autoSpaceDE/>
        <w:autoSpaceDN/>
        <w:adjustRightInd/>
        <w:jc w:val="both"/>
        <w:textAlignment w:val="auto"/>
        <w:rPr>
          <w:sz w:val="20"/>
        </w:rPr>
      </w:pPr>
      <w:proofErr w:type="spellStart"/>
      <w:r>
        <w:rPr>
          <w:sz w:val="20"/>
        </w:rPr>
        <w:t>Tractebel</w:t>
      </w:r>
      <w:proofErr w:type="spellEnd"/>
      <w:r w:rsidR="00665CFD">
        <w:rPr>
          <w:sz w:val="20"/>
        </w:rPr>
        <w:t xml:space="preserve"> Engineering (</w:t>
      </w:r>
      <w:r>
        <w:rPr>
          <w:sz w:val="20"/>
        </w:rPr>
        <w:t xml:space="preserve">C. </w:t>
      </w:r>
      <w:proofErr w:type="spellStart"/>
      <w:r>
        <w:rPr>
          <w:sz w:val="20"/>
        </w:rPr>
        <w:t>Piette</w:t>
      </w:r>
      <w:proofErr w:type="spellEnd"/>
      <w:r w:rsidR="00665CFD">
        <w:rPr>
          <w:sz w:val="20"/>
        </w:rPr>
        <w:t>)</w:t>
      </w:r>
      <w:r>
        <w:rPr>
          <w:sz w:val="20"/>
        </w:rPr>
        <w:t xml:space="preserve"> is acknowledged for inspiring the methodology with key references.  </w:t>
      </w:r>
    </w:p>
    <w:p w14:paraId="696E802D" w14:textId="77777777" w:rsidR="00E85AD4" w:rsidRDefault="00E85AD4" w:rsidP="00E85AD4">
      <w:pPr>
        <w:overflowPunct/>
        <w:autoSpaceDE/>
        <w:autoSpaceDN/>
        <w:adjustRightInd/>
        <w:textAlignment w:val="auto"/>
        <w:rPr>
          <w:rFonts w:ascii="Times New Roman Bold" w:hAnsi="Times New Roman Bold"/>
          <w:b/>
          <w:caps/>
          <w:sz w:val="20"/>
        </w:rPr>
      </w:pPr>
    </w:p>
    <w:p w14:paraId="32B76F9D" w14:textId="68972E45" w:rsidR="00D26ADA" w:rsidRPr="00285755" w:rsidRDefault="00D26ADA" w:rsidP="00537496">
      <w:pPr>
        <w:pStyle w:val="Otherunnumberedheadings"/>
      </w:pPr>
      <w:r>
        <w:t>References</w:t>
      </w:r>
    </w:p>
    <w:p w14:paraId="21E76F06" w14:textId="50287093" w:rsidR="002263D1" w:rsidRPr="002263D1" w:rsidRDefault="002263D1" w:rsidP="002263D1">
      <w:pPr>
        <w:pStyle w:val="Referencelist"/>
        <w:rPr>
          <w:lang w:val="en-US"/>
        </w:rPr>
      </w:pPr>
      <w:bookmarkStart w:id="0" w:name="_Ref142486849"/>
      <w:bookmarkStart w:id="1" w:name="_Ref162520605"/>
      <w:bookmarkStart w:id="2" w:name="_Ref163577765"/>
      <w:r w:rsidRPr="002263D1">
        <w:t>NEA No. 7530</w:t>
      </w:r>
      <w:bookmarkEnd w:id="0"/>
      <w:r w:rsidRPr="002263D1">
        <w:rPr>
          <w:lang w:val="en-US"/>
        </w:rPr>
        <w:t xml:space="preserve"> “Unlocking Reductions in the Construction Costs of Nuclear: A Practical Guide for Stakeholders”.</w:t>
      </w:r>
      <w:r>
        <w:rPr>
          <w:lang w:val="en-US"/>
        </w:rPr>
        <w:t xml:space="preserve"> </w:t>
      </w:r>
      <w:r w:rsidRPr="002263D1">
        <w:rPr>
          <w:lang w:val="en-US"/>
        </w:rPr>
        <w:t xml:space="preserve">Nuclear Energy Agency (NEA) &amp; Organization for Economic Cooperation and Development (OECD), </w:t>
      </w:r>
      <w:bookmarkEnd w:id="1"/>
      <w:r w:rsidRPr="002263D1">
        <w:rPr>
          <w:lang w:val="en-US"/>
        </w:rPr>
        <w:t>2020</w:t>
      </w:r>
      <w:bookmarkEnd w:id="2"/>
    </w:p>
    <w:p w14:paraId="38F1427A" w14:textId="77777777" w:rsidR="00656824" w:rsidRPr="00656824" w:rsidRDefault="00656824" w:rsidP="00656824">
      <w:pPr>
        <w:pStyle w:val="Referencelist"/>
      </w:pPr>
      <w:bookmarkStart w:id="3" w:name="_Ref163577766"/>
      <w:r w:rsidRPr="00656824">
        <w:t>“Current Status, Technical Feasibility and Economics of Small Nuclear Reactors”. Nuclear Energy Agency (NEA) &amp; Organization for Economic Cooperation and Development, 2011</w:t>
      </w:r>
      <w:bookmarkEnd w:id="3"/>
    </w:p>
    <w:p w14:paraId="7C010020" w14:textId="77777777" w:rsidR="009452CE" w:rsidRPr="009452CE" w:rsidRDefault="009452CE" w:rsidP="009452CE">
      <w:pPr>
        <w:pStyle w:val="Referencelist"/>
      </w:pPr>
      <w:bookmarkStart w:id="4" w:name="_Ref163577769"/>
      <w:r w:rsidRPr="009452CE">
        <w:t>“Reduction of Capital Costs of Nuclear Power Plants”, Nuclear Energy Agency (NEA) &amp; Organization for Economic Cooperation and Development (OECD), 2000.</w:t>
      </w:r>
      <w:bookmarkEnd w:id="4"/>
    </w:p>
    <w:p w14:paraId="700601A1" w14:textId="77777777" w:rsidR="00B80714" w:rsidRPr="00B80714" w:rsidRDefault="00B80714" w:rsidP="00B80714">
      <w:pPr>
        <w:pStyle w:val="Referencelist"/>
      </w:pPr>
      <w:bookmarkStart w:id="5" w:name="_Ref163577771"/>
      <w:r w:rsidRPr="00B80714">
        <w:t>“The cost of new nuclear power plants in France”, SFEN Technical Note, 2018</w:t>
      </w:r>
      <w:bookmarkEnd w:id="5"/>
    </w:p>
    <w:p w14:paraId="49DC512C" w14:textId="4AA442EF" w:rsidR="007C59ED" w:rsidRDefault="007C59ED" w:rsidP="007C59ED">
      <w:pPr>
        <w:pStyle w:val="Referencelist"/>
      </w:pPr>
      <w:bookmarkStart w:id="6" w:name="_Ref163577776"/>
      <w:r w:rsidRPr="007C59ED">
        <w:t>K</w:t>
      </w:r>
      <w:r>
        <w:t>OOMEY</w:t>
      </w:r>
      <w:r w:rsidRPr="007C59ED">
        <w:t xml:space="preserve"> J. et al. (2016) “A Reply Historical construction costs of global nuclear power reactors”. Energy Policy</w:t>
      </w:r>
      <w:bookmarkEnd w:id="6"/>
    </w:p>
    <w:p w14:paraId="3A848D14" w14:textId="3D434518" w:rsidR="00F403C4" w:rsidRPr="00F403C4" w:rsidRDefault="00F403C4" w:rsidP="00F403C4">
      <w:pPr>
        <w:pStyle w:val="Referencelist"/>
        <w:rPr>
          <w:lang w:val="en-US"/>
        </w:rPr>
      </w:pPr>
      <w:bookmarkStart w:id="7" w:name="_Ref168653999"/>
      <w:proofErr w:type="spellStart"/>
      <w:r w:rsidRPr="00F403C4">
        <w:rPr>
          <w:lang w:val="fr-FR"/>
        </w:rPr>
        <w:t>N</w:t>
      </w:r>
      <w:r w:rsidR="00FB60C4" w:rsidRPr="00FB60C4">
        <w:rPr>
          <w:sz w:val="24"/>
          <w:szCs w:val="24"/>
          <w:lang w:val="fr-FR"/>
        </w:rPr>
        <w:t>ø</w:t>
      </w:r>
      <w:r w:rsidRPr="00F403C4">
        <w:rPr>
          <w:lang w:val="fr-FR"/>
        </w:rPr>
        <w:t>LAND</w:t>
      </w:r>
      <w:proofErr w:type="spellEnd"/>
      <w:r w:rsidRPr="00F403C4">
        <w:rPr>
          <w:lang w:val="fr-FR"/>
        </w:rPr>
        <w:t xml:space="preserve"> J. K et al. </w:t>
      </w:r>
      <w:r w:rsidRPr="00F403C4">
        <w:rPr>
          <w:lang w:val="en-US"/>
        </w:rPr>
        <w:t>(2024</w:t>
      </w:r>
      <w:r w:rsidR="00681FBA">
        <w:rPr>
          <w:lang w:val="en-US"/>
        </w:rPr>
        <w:t>)</w:t>
      </w:r>
      <w:r w:rsidRPr="00F403C4">
        <w:rPr>
          <w:lang w:val="en-US"/>
        </w:rPr>
        <w:t xml:space="preserve"> </w:t>
      </w:r>
      <w:r w:rsidRPr="007C59ED">
        <w:t>“</w:t>
      </w:r>
      <w:r>
        <w:t>Overview of Small Modular and Advanced Nuclear Reactors and Their Role in the Energy Transition”, Members IEEE</w:t>
      </w:r>
      <w:bookmarkEnd w:id="7"/>
    </w:p>
    <w:p w14:paraId="3DEB99EF" w14:textId="53EA6484" w:rsidR="004551A4" w:rsidRPr="004551A4" w:rsidRDefault="004551A4" w:rsidP="004551A4">
      <w:pPr>
        <w:pStyle w:val="Referencelist"/>
      </w:pPr>
      <w:bookmarkStart w:id="8" w:name="_Ref163577873"/>
      <w:r>
        <w:rPr>
          <w:lang w:val="fr-FR"/>
        </w:rPr>
        <w:t>CARELLI</w:t>
      </w:r>
      <w:r w:rsidRPr="004551A4">
        <w:rPr>
          <w:lang w:val="fr-FR"/>
        </w:rPr>
        <w:t xml:space="preserve"> M.D et al. </w:t>
      </w:r>
      <w:r w:rsidRPr="004551A4">
        <w:t>(2010). “Economic features of integral, modular, small-to-medium size reactors”. Progress in Nuclear Energy, vol. 52, no. 4, pp. 403-414, 5.</w:t>
      </w:r>
      <w:bookmarkEnd w:id="8"/>
    </w:p>
    <w:p w14:paraId="5ACA7141" w14:textId="7DC0C79C" w:rsidR="00CC134F" w:rsidRPr="00CC134F" w:rsidRDefault="00CC134F" w:rsidP="00CC134F">
      <w:pPr>
        <w:pStyle w:val="Referencelist"/>
      </w:pPr>
      <w:bookmarkStart w:id="9" w:name="_Ref163577888"/>
      <w:r w:rsidRPr="00CC134F">
        <w:t>C</w:t>
      </w:r>
      <w:r>
        <w:t>HAMPLIN</w:t>
      </w:r>
      <w:r w:rsidRPr="00CC134F">
        <w:t xml:space="preserve"> P. (2018). “Techno-Economic Evaluation of Cross-Cutting Technologies for Cost Reduction in Nuclear Power Plants”. Master’s Thesis, MIT.</w:t>
      </w:r>
      <w:bookmarkEnd w:id="9"/>
    </w:p>
    <w:p w14:paraId="6F713344" w14:textId="5EBEEBC2" w:rsidR="00F33D2D" w:rsidRDefault="00F33D2D" w:rsidP="00F33D2D">
      <w:pPr>
        <w:pStyle w:val="Referencelist"/>
      </w:pPr>
      <w:bookmarkStart w:id="10" w:name="_Ref163577903"/>
      <w:r w:rsidRPr="00F33D2D">
        <w:t>S</w:t>
      </w:r>
      <w:r>
        <w:t>TEWART</w:t>
      </w:r>
      <w:r w:rsidRPr="00F33D2D">
        <w:t xml:space="preserve"> W.B. and </w:t>
      </w:r>
      <w:r>
        <w:t xml:space="preserve">SHIRVAN </w:t>
      </w:r>
      <w:r w:rsidRPr="00F33D2D">
        <w:t>K. (2022). “Capital cost estimation for advanced nuclear power plants”, PhD Thesis, MIT.</w:t>
      </w:r>
      <w:bookmarkEnd w:id="10"/>
    </w:p>
    <w:p w14:paraId="66781982" w14:textId="3A79C63D" w:rsidR="00FF11E6" w:rsidRPr="008F0CDE" w:rsidRDefault="00007E31" w:rsidP="00F33D2D">
      <w:pPr>
        <w:pStyle w:val="Referencelist"/>
        <w:rPr>
          <w:lang w:val="en-US"/>
        </w:rPr>
      </w:pPr>
      <w:r w:rsidRPr="000A58AD">
        <w:rPr>
          <w:lang w:val="en-US"/>
        </w:rPr>
        <w:t>ROULSTONE T. et al. (2020)</w:t>
      </w:r>
      <w:r w:rsidR="002740F1" w:rsidRPr="000A58AD">
        <w:rPr>
          <w:lang w:val="en-US"/>
        </w:rPr>
        <w:t xml:space="preserve">. </w:t>
      </w:r>
      <w:r w:rsidR="002740F1" w:rsidRPr="008F0CDE">
        <w:rPr>
          <w:lang w:val="en-US"/>
        </w:rPr>
        <w:t xml:space="preserve">“Expanding </w:t>
      </w:r>
      <w:proofErr w:type="spellStart"/>
      <w:r w:rsidR="002740F1" w:rsidRPr="008F0CDE">
        <w:rPr>
          <w:lang w:val="en-US"/>
        </w:rPr>
        <w:t>Nuclear’s</w:t>
      </w:r>
      <w:proofErr w:type="spellEnd"/>
      <w:r w:rsidR="002740F1" w:rsidRPr="008F0CDE">
        <w:rPr>
          <w:lang w:val="en-US"/>
        </w:rPr>
        <w:t xml:space="preserve"> Contribution</w:t>
      </w:r>
      <w:r w:rsidR="008F0CDE" w:rsidRPr="008F0CDE">
        <w:rPr>
          <w:lang w:val="en-US"/>
        </w:rPr>
        <w:t xml:space="preserve"> to C</w:t>
      </w:r>
      <w:r w:rsidR="008F0CDE">
        <w:rPr>
          <w:lang w:val="en-US"/>
        </w:rPr>
        <w:t xml:space="preserve">limate Change with SMRs”. </w:t>
      </w:r>
      <w:r w:rsidR="00D5046F">
        <w:rPr>
          <w:lang w:val="en-US"/>
        </w:rPr>
        <w:t>Nuclear Future Journal</w:t>
      </w:r>
      <w:r w:rsidR="00B71892">
        <w:rPr>
          <w:lang w:val="en-US"/>
        </w:rPr>
        <w:t>, Sept/Oct 2020.</w:t>
      </w:r>
    </w:p>
    <w:p w14:paraId="38DD36AF" w14:textId="599BFB52" w:rsidR="00E00BA5" w:rsidRDefault="00E00BA5" w:rsidP="00E00BA5">
      <w:pPr>
        <w:pStyle w:val="Referencelist"/>
      </w:pPr>
      <w:bookmarkStart w:id="11" w:name="_Ref163577962"/>
      <w:r w:rsidRPr="00E00BA5">
        <w:t>R</w:t>
      </w:r>
      <w:r>
        <w:t>OTHWELL</w:t>
      </w:r>
      <w:r w:rsidRPr="00E00BA5">
        <w:t xml:space="preserve"> G. “The Economics of Future Nuclear Power: An Update of the </w:t>
      </w:r>
      <w:r w:rsidR="00A04860">
        <w:t>U</w:t>
      </w:r>
      <w:r w:rsidRPr="00E00BA5">
        <w:t>niversity of Chicago’s 2004 The Economic Future of Nuclear power”. Edition Routledge, 2015.</w:t>
      </w:r>
      <w:bookmarkEnd w:id="11"/>
    </w:p>
    <w:p w14:paraId="67530C7F" w14:textId="24AA4BCE" w:rsidR="00046D59" w:rsidRPr="00E00BA5" w:rsidRDefault="00046D59" w:rsidP="00E00BA5">
      <w:pPr>
        <w:pStyle w:val="Referencelist"/>
      </w:pPr>
      <w:bookmarkStart w:id="12" w:name="_Ref166601105"/>
      <w:r>
        <w:t>BURGAN et al. (2017). “SC for Industrial Energy and Nuclear Construction Efficiency (SCIENCE)”.</w:t>
      </w:r>
      <w:bookmarkEnd w:id="12"/>
      <w:r w:rsidR="00870E3A">
        <w:t xml:space="preserve"> European Commission.</w:t>
      </w:r>
    </w:p>
    <w:p w14:paraId="423A895A" w14:textId="3F75ABD2" w:rsidR="00BD2848" w:rsidRPr="00A75228" w:rsidRDefault="00A75228" w:rsidP="00BD2848">
      <w:pPr>
        <w:pStyle w:val="Referencelist"/>
        <w:rPr>
          <w:lang w:val="en-US"/>
        </w:rPr>
      </w:pPr>
      <w:bookmarkStart w:id="13" w:name="_Ref166599137"/>
      <w:r w:rsidRPr="00A75228">
        <w:rPr>
          <w:lang w:val="en-US"/>
        </w:rPr>
        <w:t xml:space="preserve">HUGUET M. and TUSCHER J.L (2024). “Design of a full-scale Steel Concrete (SC) demonstration building – SCHEDULE Project”. </w:t>
      </w:r>
      <w:proofErr w:type="spellStart"/>
      <w:r w:rsidRPr="00A75228">
        <w:rPr>
          <w:lang w:val="en-US"/>
        </w:rPr>
        <w:t>SMiRT</w:t>
      </w:r>
      <w:proofErr w:type="spellEnd"/>
      <w:r w:rsidRPr="00A75228">
        <w:rPr>
          <w:lang w:val="en-US"/>
        </w:rPr>
        <w:t xml:space="preserve"> 27, Yokohama, March 3-8.</w:t>
      </w:r>
      <w:bookmarkEnd w:id="13"/>
    </w:p>
    <w:p w14:paraId="005FCFBA" w14:textId="77777777" w:rsidR="00FE7750" w:rsidRPr="00FE7750" w:rsidRDefault="00FE7750" w:rsidP="00FE7750">
      <w:pPr>
        <w:pStyle w:val="Referencelist"/>
        <w:rPr>
          <w:lang w:val="en-US"/>
        </w:rPr>
      </w:pPr>
      <w:bookmarkStart w:id="14" w:name="_Ref163578074"/>
      <w:r w:rsidRPr="00FE7750">
        <w:rPr>
          <w:lang w:val="en-US"/>
        </w:rPr>
        <w:t>"Construction technologies for nuclear power plants," International Atomic Energy Agency (IAEA), 2011</w:t>
      </w:r>
      <w:bookmarkEnd w:id="14"/>
      <w:r w:rsidRPr="00FE7750">
        <w:rPr>
          <w:lang w:val="en-US"/>
        </w:rPr>
        <w:t xml:space="preserve"> </w:t>
      </w:r>
    </w:p>
    <w:p w14:paraId="6E26A022" w14:textId="77777777" w:rsidR="00995C61" w:rsidRPr="00995C61" w:rsidRDefault="00995C61" w:rsidP="00995C61">
      <w:pPr>
        <w:pStyle w:val="Referencelist"/>
        <w:rPr>
          <w:lang w:val="en-US"/>
        </w:rPr>
      </w:pPr>
      <w:bookmarkStart w:id="15" w:name="_Ref163578076"/>
      <w:r w:rsidRPr="00995C61">
        <w:rPr>
          <w:lang w:val="en-US"/>
        </w:rPr>
        <w:t>“The Future of Nuclear Energy in a Carbon-Constrained World”. MIT, 2018</w:t>
      </w:r>
      <w:bookmarkEnd w:id="15"/>
    </w:p>
    <w:p w14:paraId="2073C8C3" w14:textId="34C25073" w:rsidR="00DF09CC" w:rsidRPr="00943FEB" w:rsidRDefault="009E33B4" w:rsidP="00943FEB">
      <w:pPr>
        <w:pStyle w:val="Referencelist"/>
        <w:rPr>
          <w:lang w:val="en-US"/>
        </w:rPr>
      </w:pPr>
      <w:bookmarkStart w:id="16" w:name="_Ref163578113"/>
      <w:r w:rsidRPr="009E33B4">
        <w:rPr>
          <w:lang w:val="en-US"/>
        </w:rPr>
        <w:t>N</w:t>
      </w:r>
      <w:r>
        <w:rPr>
          <w:lang w:val="en-US"/>
        </w:rPr>
        <w:t>AVAL</w:t>
      </w:r>
      <w:r w:rsidRPr="009E33B4">
        <w:rPr>
          <w:lang w:val="en-US"/>
        </w:rPr>
        <w:t xml:space="preserve"> R. et al (2022). “Challenges Implementing Detailing Requirements of AISC/N690 Code for Openings in Steel-Composite (SC) Walls for Nuclear Power Plants”, </w:t>
      </w:r>
      <w:proofErr w:type="spellStart"/>
      <w:r w:rsidRPr="009E33B4">
        <w:rPr>
          <w:lang w:val="en-US"/>
        </w:rPr>
        <w:t>SMiRT</w:t>
      </w:r>
      <w:proofErr w:type="spellEnd"/>
      <w:r w:rsidRPr="009E33B4">
        <w:rPr>
          <w:lang w:val="en-US"/>
        </w:rPr>
        <w:t xml:space="preserve"> 26, Berlin/Potsdam, July 10-15.</w:t>
      </w:r>
      <w:bookmarkEnd w:id="16"/>
    </w:p>
    <w:p w14:paraId="5E970383" w14:textId="39DA5CDB" w:rsidR="00127E59" w:rsidRPr="00127E59" w:rsidRDefault="00127E59" w:rsidP="00127E59">
      <w:pPr>
        <w:pStyle w:val="Referencelist"/>
        <w:rPr>
          <w:lang w:val="en-US"/>
        </w:rPr>
      </w:pPr>
      <w:bookmarkStart w:id="17" w:name="_Ref163578179"/>
      <w:r w:rsidRPr="00127E59">
        <w:rPr>
          <w:lang w:val="en-US"/>
        </w:rPr>
        <w:t>R</w:t>
      </w:r>
      <w:r>
        <w:rPr>
          <w:lang w:val="en-US"/>
        </w:rPr>
        <w:t>OSNER</w:t>
      </w:r>
      <w:r w:rsidRPr="00127E59">
        <w:rPr>
          <w:lang w:val="en-US"/>
        </w:rPr>
        <w:t>. R and G</w:t>
      </w:r>
      <w:r>
        <w:rPr>
          <w:lang w:val="en-US"/>
        </w:rPr>
        <w:t>OLDBERG</w:t>
      </w:r>
      <w:r w:rsidRPr="00127E59">
        <w:rPr>
          <w:lang w:val="en-US"/>
        </w:rPr>
        <w:t xml:space="preserve"> S. (2011). “Small Modular Reactors – Key to Future Nuclear Power Generation in the U.S.”, EPIC, University of Chicago</w:t>
      </w:r>
      <w:bookmarkEnd w:id="17"/>
    </w:p>
    <w:p w14:paraId="29A67D1B" w14:textId="77777777" w:rsidR="00424313" w:rsidRDefault="00424313" w:rsidP="00424313">
      <w:pPr>
        <w:pStyle w:val="Referencelist"/>
        <w:rPr>
          <w:lang w:val="en-US"/>
        </w:rPr>
      </w:pPr>
      <w:bookmarkStart w:id="18" w:name="_Ref163578180"/>
      <w:r w:rsidRPr="00424313">
        <w:rPr>
          <w:lang w:val="en-US"/>
        </w:rPr>
        <w:t>“Nuclear Power Economics and Project Structuring”. World Nuclear Association, 2017</w:t>
      </w:r>
      <w:bookmarkEnd w:id="18"/>
    </w:p>
    <w:p w14:paraId="4E464502" w14:textId="0FA8186F" w:rsidR="009422AB" w:rsidRDefault="009422AB" w:rsidP="00424313">
      <w:pPr>
        <w:pStyle w:val="Referencelist"/>
        <w:rPr>
          <w:lang w:val="en-US"/>
        </w:rPr>
      </w:pPr>
      <w:bookmarkStart w:id="19" w:name="_Ref168654828"/>
      <w:r>
        <w:rPr>
          <w:lang w:val="en-US"/>
        </w:rPr>
        <w:t xml:space="preserve">NEA, “Projected Costs </w:t>
      </w:r>
      <w:proofErr w:type="gramStart"/>
      <w:r>
        <w:rPr>
          <w:lang w:val="en-US"/>
        </w:rPr>
        <w:t>Of</w:t>
      </w:r>
      <w:proofErr w:type="gramEnd"/>
      <w:r>
        <w:rPr>
          <w:lang w:val="en-US"/>
        </w:rPr>
        <w:t xml:space="preserve"> Generating Electricity”, Nuclear Energy Agency (NEA), 2020 Edition</w:t>
      </w:r>
      <w:bookmarkEnd w:id="19"/>
    </w:p>
    <w:p w14:paraId="279F0616" w14:textId="3C66353D" w:rsidR="00A8235D" w:rsidRPr="00424313" w:rsidRDefault="00A8235D" w:rsidP="00424313">
      <w:pPr>
        <w:pStyle w:val="Referencelist"/>
        <w:rPr>
          <w:lang w:val="en-US"/>
        </w:rPr>
      </w:pPr>
      <w:bookmarkStart w:id="20" w:name="_Ref168997170"/>
      <w:r>
        <w:rPr>
          <w:lang w:val="en-US"/>
        </w:rPr>
        <w:t xml:space="preserve">Lloyd C. A and </w:t>
      </w:r>
      <w:proofErr w:type="spellStart"/>
      <w:r>
        <w:rPr>
          <w:lang w:val="en-US"/>
        </w:rPr>
        <w:t>Roulstone</w:t>
      </w:r>
      <w:proofErr w:type="spellEnd"/>
      <w:r>
        <w:rPr>
          <w:lang w:val="en-US"/>
        </w:rPr>
        <w:t xml:space="preserve"> A (2018). “A methodology to determine SMR build schedule and the impact of modularization”, ICONE 26, London, July 22-26.</w:t>
      </w:r>
      <w:bookmarkEnd w:id="20"/>
      <w:r>
        <w:rPr>
          <w:lang w:val="en-US"/>
        </w:rPr>
        <w:t xml:space="preserve"> </w:t>
      </w:r>
    </w:p>
    <w:bookmarkStart w:id="21" w:name="_Ref163578410"/>
    <w:p w14:paraId="3BA56E06" w14:textId="0DE263E2" w:rsidR="00F45EEE" w:rsidRPr="00970EF9" w:rsidRDefault="00970EF9" w:rsidP="003079FE">
      <w:pPr>
        <w:pStyle w:val="Referencelist"/>
        <w:rPr>
          <w:lang w:val="en-US"/>
        </w:rPr>
      </w:pPr>
      <w:r w:rsidRPr="00970EF9">
        <w:rPr>
          <w:lang w:val="en-US"/>
        </w:rPr>
        <w:fldChar w:fldCharType="begin"/>
      </w:r>
      <w:r w:rsidRPr="00970EF9">
        <w:rPr>
          <w:lang w:val="en-US"/>
        </w:rPr>
        <w:instrText>HYPERLINK "https://wiseinternational.org/nuclear-monitor/872-873/smr-cost-estimates-and-costs-smrs-under-construction"</w:instrText>
      </w:r>
      <w:r w:rsidRPr="00970EF9">
        <w:rPr>
          <w:lang w:val="en-US"/>
        </w:rPr>
      </w:r>
      <w:r w:rsidRPr="00970EF9">
        <w:rPr>
          <w:lang w:val="en-US"/>
        </w:rPr>
        <w:fldChar w:fldCharType="separate"/>
      </w:r>
      <w:r w:rsidRPr="00970EF9">
        <w:rPr>
          <w:rStyle w:val="Lienhypertexte"/>
          <w:color w:val="auto"/>
          <w:u w:val="none"/>
          <w:lang w:val="en-US"/>
        </w:rPr>
        <w:t>https://wiseinternational.org/nuclear-monitor/872-873/smr-cost-estimates-and-costs-smrs-under-construction</w:t>
      </w:r>
      <w:bookmarkEnd w:id="21"/>
      <w:r w:rsidRPr="00970EF9">
        <w:rPr>
          <w:lang w:val="en-US"/>
        </w:rPr>
        <w:fldChar w:fldCharType="end"/>
      </w:r>
    </w:p>
    <w:p w14:paraId="6B4388E8" w14:textId="681257E8" w:rsidR="00970EF9" w:rsidRPr="00970EF9" w:rsidRDefault="00970EF9" w:rsidP="00970EF9">
      <w:pPr>
        <w:pStyle w:val="Referencelist"/>
        <w:rPr>
          <w:lang w:val="en-US"/>
        </w:rPr>
      </w:pPr>
      <w:proofErr w:type="spellStart"/>
      <w:r w:rsidRPr="00970EF9">
        <w:rPr>
          <w:lang w:val="en-US"/>
        </w:rPr>
        <w:t>Niepceron</w:t>
      </w:r>
      <w:proofErr w:type="spellEnd"/>
      <w:r w:rsidRPr="00970EF9">
        <w:rPr>
          <w:lang w:val="en-US"/>
        </w:rPr>
        <w:t xml:space="preserve"> et al (2024). "Creation of new chapters dedicated to Steel-Concrete Structures in European code for the nuclear industry”, International Conference on </w:t>
      </w:r>
      <w:r>
        <w:rPr>
          <w:lang w:val="en-US"/>
        </w:rPr>
        <w:t>SMRs</w:t>
      </w:r>
      <w:r w:rsidRPr="00970EF9">
        <w:rPr>
          <w:lang w:val="en-US"/>
        </w:rPr>
        <w:t xml:space="preserve"> and their Applications</w:t>
      </w:r>
      <w:r>
        <w:rPr>
          <w:lang w:val="en-US"/>
        </w:rPr>
        <w:t>,</w:t>
      </w:r>
      <w:r w:rsidRPr="00970EF9">
        <w:rPr>
          <w:lang w:val="en-US"/>
        </w:rPr>
        <w:t xml:space="preserve"> </w:t>
      </w:r>
      <w:r>
        <w:rPr>
          <w:lang w:val="en-US"/>
        </w:rPr>
        <w:t xml:space="preserve">IAEA, </w:t>
      </w:r>
      <w:r w:rsidRPr="00970EF9">
        <w:rPr>
          <w:lang w:val="en-US"/>
        </w:rPr>
        <w:t>Vienna</w:t>
      </w:r>
      <w:r w:rsidR="00F81E4B">
        <w:rPr>
          <w:lang w:val="en-US"/>
        </w:rPr>
        <w:t xml:space="preserve">, </w:t>
      </w:r>
      <w:r w:rsidR="00F81E4B" w:rsidRPr="00970EF9">
        <w:rPr>
          <w:lang w:val="en-US"/>
        </w:rPr>
        <w:t>21–25 oct. 2024</w:t>
      </w:r>
      <w:r w:rsidR="00F81E4B">
        <w:rPr>
          <w:lang w:val="en-US"/>
        </w:rPr>
        <w:t>.</w:t>
      </w:r>
    </w:p>
    <w:sectPr w:rsidR="00970EF9" w:rsidRPr="00970EF9" w:rsidSect="0026525A">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10C1" w14:textId="77777777" w:rsidR="00A72A39" w:rsidRDefault="00A72A39">
      <w:r>
        <w:separator/>
      </w:r>
    </w:p>
  </w:endnote>
  <w:endnote w:type="continuationSeparator" w:id="0">
    <w:p w14:paraId="6A1BC9B8" w14:textId="77777777" w:rsidR="00A72A39" w:rsidRDefault="00A7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EB7BF47" w:rsidR="00E20E70" w:rsidRDefault="00E20E70">
    <w:pPr>
      <w:pStyle w:val="zyxClassification1"/>
    </w:pPr>
    <w:r>
      <w:fldChar w:fldCharType="begin"/>
    </w:r>
    <w:r>
      <w:instrText xml:space="preserve"> DOCPROPERTY "IaeaClassification"  \* MERGEFORMAT </w:instrText>
    </w:r>
    <w:r>
      <w:fldChar w:fldCharType="end"/>
    </w:r>
  </w:p>
  <w:p w14:paraId="1FDEB1B7" w14:textId="1E769D0A"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2B7F6837" w:rsidR="00E20E70" w:rsidRDefault="00E20E70">
    <w:pPr>
      <w:pStyle w:val="zyxClassification1"/>
    </w:pPr>
    <w:r>
      <w:fldChar w:fldCharType="begin"/>
    </w:r>
    <w:r>
      <w:instrText xml:space="preserve"> DOCPROPERTY "IaeaClassification"  \* MERGEFORMAT </w:instrText>
    </w:r>
    <w:r>
      <w:fldChar w:fldCharType="end"/>
    </w:r>
  </w:p>
  <w:p w14:paraId="7E32AC2C" w14:textId="600DC41C"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76234FE"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1C3F571E"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3" w:name="DOC_bkmClassification2"/>
      <w:tc>
        <w:tcPr>
          <w:tcW w:w="5670" w:type="dxa"/>
          <w:tcMar>
            <w:right w:w="249" w:type="dxa"/>
          </w:tcMar>
        </w:tcPr>
        <w:p w14:paraId="6BE850AD" w14:textId="58BF61E8"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3"/>
        <w:p w14:paraId="4A6BF5C8" w14:textId="48A5715C"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4" w:name="DOC_bkmFileName"/>
  <w:p w14:paraId="437B756E" w14:textId="66627F56" w:rsidR="00E20E70" w:rsidRDefault="00E20E70">
    <w:r>
      <w:rPr>
        <w:sz w:val="16"/>
      </w:rPr>
      <w:fldChar w:fldCharType="begin"/>
    </w:r>
    <w:r>
      <w:rPr>
        <w:sz w:val="16"/>
      </w:rPr>
      <w:instrText xml:space="preserve"> FILENAME \* MERGEFORMAT </w:instrText>
    </w:r>
    <w:r>
      <w:rPr>
        <w:sz w:val="16"/>
      </w:rPr>
      <w:fldChar w:fldCharType="separate"/>
    </w:r>
    <w:r w:rsidR="0022757A">
      <w:rPr>
        <w:noProof/>
        <w:sz w:val="16"/>
      </w:rPr>
      <w:t>Conference Proceedings_Alliard et al - 200824 FINAL.docx</w:t>
    </w:r>
    <w:r>
      <w:rPr>
        <w:sz w:val="16"/>
      </w:rPr>
      <w:fldChar w:fldCharType="end"/>
    </w:r>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CFA4" w14:textId="77777777" w:rsidR="00A72A39" w:rsidRDefault="00A72A39">
      <w:r>
        <w:t>___________________________________________________________________________</w:t>
      </w:r>
    </w:p>
  </w:footnote>
  <w:footnote w:type="continuationSeparator" w:id="0">
    <w:p w14:paraId="090C673D" w14:textId="77777777" w:rsidR="00A72A39" w:rsidRDefault="00A72A39">
      <w:r>
        <w:t>___________________________________________________________________________</w:t>
      </w:r>
    </w:p>
  </w:footnote>
  <w:footnote w:type="continuationNotice" w:id="1">
    <w:p w14:paraId="4D6F49C3" w14:textId="77777777" w:rsidR="00A72A39" w:rsidRDefault="00A72A39"/>
  </w:footnote>
  <w:footnote w:id="2">
    <w:p w14:paraId="6E58C8BB" w14:textId="212B6E98" w:rsidR="003729F8" w:rsidRPr="003729F8" w:rsidRDefault="003729F8">
      <w:pPr>
        <w:pStyle w:val="Notedebasdepage"/>
      </w:pPr>
      <w:r>
        <w:rPr>
          <w:rStyle w:val="Appelnotedebasdep"/>
        </w:rPr>
        <w:footnoteRef/>
      </w:r>
      <w:r>
        <w:t xml:space="preserve"> </w:t>
      </w:r>
      <w:r w:rsidRPr="001C3EB2">
        <w:t xml:space="preserve">We do not consider </w:t>
      </w:r>
      <w:r>
        <w:t xml:space="preserve">potential </w:t>
      </w:r>
      <w:r w:rsidRPr="001C3EB2">
        <w:t>differentiated W</w:t>
      </w:r>
      <w:r>
        <w:t xml:space="preserve">ACC for big plants and SMRs, which is not the purpose of this 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1E5FA69D" w:rsidR="00CF7AF3" w:rsidRDefault="00CF7AF3" w:rsidP="00CF7AF3">
    <w:pPr>
      <w:pStyle w:val="Runninghead"/>
    </w:pPr>
    <w:r>
      <w:tab/>
      <w:t>IAEA-CN-</w:t>
    </w:r>
    <w:r w:rsidR="006140EF">
      <w:t>374/</w:t>
    </w:r>
    <w:r w:rsidR="0037635A">
      <w:t>286</w:t>
    </w:r>
  </w:p>
  <w:p w14:paraId="4D70767E" w14:textId="02137149" w:rsidR="00CF7AF3" w:rsidRPr="009E1558" w:rsidRDefault="00CF7AF3" w:rsidP="00CF7AF3">
    <w:pPr>
      <w:jc w:val="center"/>
      <w:rPr>
        <w:color w:val="BFBFBF" w:themeColor="background1" w:themeShade="BF"/>
        <w:sz w:val="16"/>
        <w:szCs w:val="16"/>
      </w:rPr>
    </w:pPr>
  </w:p>
  <w:p w14:paraId="6E7E9A0F" w14:textId="0BF61C8F"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01068F25"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6BE3D2F1" w:rsidR="00037321" w:rsidRPr="00190C3A" w:rsidRDefault="00537496" w:rsidP="00190C3A">
    <w:pPr>
      <w:pStyle w:val="Runninghead"/>
    </w:pPr>
    <w:r>
      <w:t>A</w:t>
    </w:r>
    <w:r w:rsidR="00B14A9C">
      <w:t>LLIARD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2" w:name="DOC_bkmClassification1"/>
      <w:tc>
        <w:tcPr>
          <w:tcW w:w="5702" w:type="dxa"/>
          <w:vMerge w:val="restart"/>
          <w:tcMar>
            <w:right w:w="193" w:type="dxa"/>
          </w:tcMar>
        </w:tcPr>
        <w:p w14:paraId="48D5842E" w14:textId="49C89668"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2"/>
        <w:p w14:paraId="423CAA9C" w14:textId="26EF6E66"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0EB868F1"/>
    <w:multiLevelType w:val="hybridMultilevel"/>
    <w:tmpl w:val="E1A8737C"/>
    <w:lvl w:ilvl="0" w:tplc="114285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A7972"/>
    <w:multiLevelType w:val="hybridMultilevel"/>
    <w:tmpl w:val="68447418"/>
    <w:lvl w:ilvl="0" w:tplc="AF56F9B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78B5251"/>
    <w:multiLevelType w:val="hybridMultilevel"/>
    <w:tmpl w:val="8F7C1FDA"/>
    <w:lvl w:ilvl="0" w:tplc="ACA6D4A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C0698"/>
    <w:multiLevelType w:val="hybridMultilevel"/>
    <w:tmpl w:val="14AEB642"/>
    <w:lvl w:ilvl="0" w:tplc="EBFE28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5078158">
    <w:abstractNumId w:val="9"/>
  </w:num>
  <w:num w:numId="2" w16cid:durableId="59716700">
    <w:abstractNumId w:val="5"/>
  </w:num>
  <w:num w:numId="3" w16cid:durableId="731540123">
    <w:abstractNumId w:val="12"/>
  </w:num>
  <w:num w:numId="4" w16cid:durableId="744034000">
    <w:abstractNumId w:val="12"/>
  </w:num>
  <w:num w:numId="5" w16cid:durableId="1474641089">
    <w:abstractNumId w:val="12"/>
  </w:num>
  <w:num w:numId="6" w16cid:durableId="528497540">
    <w:abstractNumId w:val="7"/>
  </w:num>
  <w:num w:numId="7" w16cid:durableId="176696273">
    <w:abstractNumId w:val="10"/>
  </w:num>
  <w:num w:numId="8" w16cid:durableId="1131169468">
    <w:abstractNumId w:val="13"/>
  </w:num>
  <w:num w:numId="9" w16cid:durableId="1007632637">
    <w:abstractNumId w:val="1"/>
  </w:num>
  <w:num w:numId="10" w16cid:durableId="422917246">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2"/>
  </w:num>
  <w:num w:numId="12" w16cid:durableId="468400009">
    <w:abstractNumId w:val="12"/>
  </w:num>
  <w:num w:numId="13" w16cid:durableId="1927378143">
    <w:abstractNumId w:val="12"/>
  </w:num>
  <w:num w:numId="14" w16cid:durableId="1289622783">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2"/>
  </w:num>
  <w:num w:numId="16" w16cid:durableId="656224632">
    <w:abstractNumId w:val="12"/>
  </w:num>
  <w:num w:numId="17" w16cid:durableId="784034295">
    <w:abstractNumId w:val="12"/>
  </w:num>
  <w:num w:numId="18" w16cid:durableId="1293555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2"/>
  </w:num>
  <w:num w:numId="20" w16cid:durableId="2113888906">
    <w:abstractNumId w:val="3"/>
  </w:num>
  <w:num w:numId="21" w16cid:durableId="1417746791">
    <w:abstractNumId w:val="12"/>
  </w:num>
  <w:num w:numId="22" w16cid:durableId="1720975952">
    <w:abstractNumId w:val="4"/>
  </w:num>
  <w:num w:numId="23" w16cid:durableId="983584939">
    <w:abstractNumId w:val="0"/>
  </w:num>
  <w:num w:numId="24" w16cid:durableId="76482875">
    <w:abstractNumId w:val="11"/>
  </w:num>
  <w:num w:numId="25" w16cid:durableId="1024988134">
    <w:abstractNumId w:val="12"/>
  </w:num>
  <w:num w:numId="26" w16cid:durableId="2000382986">
    <w:abstractNumId w:val="12"/>
  </w:num>
  <w:num w:numId="27" w16cid:durableId="1390575348">
    <w:abstractNumId w:val="12"/>
  </w:num>
  <w:num w:numId="28" w16cid:durableId="621231405">
    <w:abstractNumId w:val="12"/>
  </w:num>
  <w:num w:numId="29" w16cid:durableId="995762299">
    <w:abstractNumId w:val="12"/>
  </w:num>
  <w:num w:numId="30" w16cid:durableId="320278723">
    <w:abstractNumId w:val="8"/>
  </w:num>
  <w:num w:numId="31" w16cid:durableId="1695614948">
    <w:abstractNumId w:val="8"/>
  </w:num>
  <w:num w:numId="32" w16cid:durableId="195823161">
    <w:abstractNumId w:val="12"/>
  </w:num>
  <w:num w:numId="33" w16cid:durableId="1531213867">
    <w:abstractNumId w:val="14"/>
  </w:num>
  <w:num w:numId="34" w16cid:durableId="2074622636">
    <w:abstractNumId w:val="15"/>
  </w:num>
  <w:num w:numId="35" w16cid:durableId="1443649083">
    <w:abstractNumId w:val="6"/>
  </w:num>
  <w:num w:numId="36" w16cid:durableId="1268583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902"/>
    <w:rsid w:val="00002D2F"/>
    <w:rsid w:val="000051EC"/>
    <w:rsid w:val="00007E31"/>
    <w:rsid w:val="00007EBB"/>
    <w:rsid w:val="000140AC"/>
    <w:rsid w:val="000229AB"/>
    <w:rsid w:val="0002452F"/>
    <w:rsid w:val="0002569A"/>
    <w:rsid w:val="000264AA"/>
    <w:rsid w:val="00026EEF"/>
    <w:rsid w:val="0003082F"/>
    <w:rsid w:val="00031B45"/>
    <w:rsid w:val="00036217"/>
    <w:rsid w:val="000372F4"/>
    <w:rsid w:val="00037321"/>
    <w:rsid w:val="00037E7A"/>
    <w:rsid w:val="00037EFD"/>
    <w:rsid w:val="0004488B"/>
    <w:rsid w:val="00045908"/>
    <w:rsid w:val="00046A82"/>
    <w:rsid w:val="00046D59"/>
    <w:rsid w:val="0005051A"/>
    <w:rsid w:val="000557B8"/>
    <w:rsid w:val="0005602C"/>
    <w:rsid w:val="00056864"/>
    <w:rsid w:val="00062DC8"/>
    <w:rsid w:val="000637B9"/>
    <w:rsid w:val="000754B6"/>
    <w:rsid w:val="00075CE6"/>
    <w:rsid w:val="0007605F"/>
    <w:rsid w:val="0008037A"/>
    <w:rsid w:val="00082421"/>
    <w:rsid w:val="000860CE"/>
    <w:rsid w:val="00086393"/>
    <w:rsid w:val="00091F6F"/>
    <w:rsid w:val="00093FF4"/>
    <w:rsid w:val="00096DE2"/>
    <w:rsid w:val="000A0299"/>
    <w:rsid w:val="000A0DDA"/>
    <w:rsid w:val="000A4586"/>
    <w:rsid w:val="000A58AD"/>
    <w:rsid w:val="000A6120"/>
    <w:rsid w:val="000B2A54"/>
    <w:rsid w:val="000B4380"/>
    <w:rsid w:val="000B4753"/>
    <w:rsid w:val="000B731F"/>
    <w:rsid w:val="000C08BE"/>
    <w:rsid w:val="000C187C"/>
    <w:rsid w:val="000C2E91"/>
    <w:rsid w:val="000C382C"/>
    <w:rsid w:val="000C5AB2"/>
    <w:rsid w:val="000C6F25"/>
    <w:rsid w:val="000D08F5"/>
    <w:rsid w:val="000D1E41"/>
    <w:rsid w:val="000D2030"/>
    <w:rsid w:val="000D2C60"/>
    <w:rsid w:val="000D512B"/>
    <w:rsid w:val="000D631A"/>
    <w:rsid w:val="000E25CF"/>
    <w:rsid w:val="000E4377"/>
    <w:rsid w:val="000E5ECA"/>
    <w:rsid w:val="000E6429"/>
    <w:rsid w:val="000F259F"/>
    <w:rsid w:val="000F7E94"/>
    <w:rsid w:val="00101729"/>
    <w:rsid w:val="001032F8"/>
    <w:rsid w:val="00103DD2"/>
    <w:rsid w:val="00104995"/>
    <w:rsid w:val="00111285"/>
    <w:rsid w:val="001119D6"/>
    <w:rsid w:val="0011350D"/>
    <w:rsid w:val="0011605F"/>
    <w:rsid w:val="001168A8"/>
    <w:rsid w:val="00124759"/>
    <w:rsid w:val="00126D30"/>
    <w:rsid w:val="00126E8B"/>
    <w:rsid w:val="00127E59"/>
    <w:rsid w:val="001303AE"/>
    <w:rsid w:val="001308F2"/>
    <w:rsid w:val="001313E8"/>
    <w:rsid w:val="001344F2"/>
    <w:rsid w:val="00135287"/>
    <w:rsid w:val="00135EFE"/>
    <w:rsid w:val="00136B7A"/>
    <w:rsid w:val="001421B6"/>
    <w:rsid w:val="00147FDD"/>
    <w:rsid w:val="001542FE"/>
    <w:rsid w:val="00155482"/>
    <w:rsid w:val="00155AD0"/>
    <w:rsid w:val="00160304"/>
    <w:rsid w:val="00160925"/>
    <w:rsid w:val="0016099C"/>
    <w:rsid w:val="001611A3"/>
    <w:rsid w:val="00162B21"/>
    <w:rsid w:val="001635DE"/>
    <w:rsid w:val="001650CD"/>
    <w:rsid w:val="0016674C"/>
    <w:rsid w:val="00174422"/>
    <w:rsid w:val="00177DD6"/>
    <w:rsid w:val="00180518"/>
    <w:rsid w:val="00190C3A"/>
    <w:rsid w:val="00193A8F"/>
    <w:rsid w:val="00194489"/>
    <w:rsid w:val="001A081A"/>
    <w:rsid w:val="001A2CF8"/>
    <w:rsid w:val="001A4796"/>
    <w:rsid w:val="001A5472"/>
    <w:rsid w:val="001B0128"/>
    <w:rsid w:val="001B0565"/>
    <w:rsid w:val="001B065A"/>
    <w:rsid w:val="001B0CD0"/>
    <w:rsid w:val="001B669D"/>
    <w:rsid w:val="001B6F82"/>
    <w:rsid w:val="001C03BF"/>
    <w:rsid w:val="001C3EB2"/>
    <w:rsid w:val="001C3F28"/>
    <w:rsid w:val="001C58F5"/>
    <w:rsid w:val="001D5CEE"/>
    <w:rsid w:val="001E23C2"/>
    <w:rsid w:val="001E3CCD"/>
    <w:rsid w:val="001F3BAB"/>
    <w:rsid w:val="001F5B86"/>
    <w:rsid w:val="00201380"/>
    <w:rsid w:val="002071D9"/>
    <w:rsid w:val="0020752C"/>
    <w:rsid w:val="00213DDF"/>
    <w:rsid w:val="0022475D"/>
    <w:rsid w:val="002261B1"/>
    <w:rsid w:val="002263D1"/>
    <w:rsid w:val="0022757A"/>
    <w:rsid w:val="00231E1F"/>
    <w:rsid w:val="002326E1"/>
    <w:rsid w:val="00232D9D"/>
    <w:rsid w:val="002338A9"/>
    <w:rsid w:val="00233E30"/>
    <w:rsid w:val="00234B7F"/>
    <w:rsid w:val="00236F86"/>
    <w:rsid w:val="0024056F"/>
    <w:rsid w:val="00242A06"/>
    <w:rsid w:val="00242D26"/>
    <w:rsid w:val="00244CC2"/>
    <w:rsid w:val="00245091"/>
    <w:rsid w:val="002465BC"/>
    <w:rsid w:val="00253E6D"/>
    <w:rsid w:val="00255978"/>
    <w:rsid w:val="00255D50"/>
    <w:rsid w:val="00256822"/>
    <w:rsid w:val="00260D60"/>
    <w:rsid w:val="0026309C"/>
    <w:rsid w:val="002630D2"/>
    <w:rsid w:val="00263CA2"/>
    <w:rsid w:val="00263CCE"/>
    <w:rsid w:val="00264EE6"/>
    <w:rsid w:val="0026525A"/>
    <w:rsid w:val="002674E1"/>
    <w:rsid w:val="00272091"/>
    <w:rsid w:val="002740F1"/>
    <w:rsid w:val="00274790"/>
    <w:rsid w:val="00275EAC"/>
    <w:rsid w:val="00276874"/>
    <w:rsid w:val="00276D38"/>
    <w:rsid w:val="002809B4"/>
    <w:rsid w:val="002834C2"/>
    <w:rsid w:val="002837DD"/>
    <w:rsid w:val="00284782"/>
    <w:rsid w:val="00285755"/>
    <w:rsid w:val="00287718"/>
    <w:rsid w:val="00290AEC"/>
    <w:rsid w:val="002958A6"/>
    <w:rsid w:val="002964F6"/>
    <w:rsid w:val="002A155C"/>
    <w:rsid w:val="002A1F9C"/>
    <w:rsid w:val="002A42E9"/>
    <w:rsid w:val="002A5D0D"/>
    <w:rsid w:val="002A6B11"/>
    <w:rsid w:val="002A70FB"/>
    <w:rsid w:val="002A7D1E"/>
    <w:rsid w:val="002B0E35"/>
    <w:rsid w:val="002B29C2"/>
    <w:rsid w:val="002B6003"/>
    <w:rsid w:val="002C0071"/>
    <w:rsid w:val="002C3E8F"/>
    <w:rsid w:val="002C4208"/>
    <w:rsid w:val="002C77F6"/>
    <w:rsid w:val="002C78FD"/>
    <w:rsid w:val="002D0B13"/>
    <w:rsid w:val="002D2615"/>
    <w:rsid w:val="002D4649"/>
    <w:rsid w:val="002D6419"/>
    <w:rsid w:val="002D642D"/>
    <w:rsid w:val="002E2296"/>
    <w:rsid w:val="002E4A6A"/>
    <w:rsid w:val="002E59BA"/>
    <w:rsid w:val="002F4341"/>
    <w:rsid w:val="002F5BD1"/>
    <w:rsid w:val="002F5C92"/>
    <w:rsid w:val="002F64EE"/>
    <w:rsid w:val="00300375"/>
    <w:rsid w:val="00300DA6"/>
    <w:rsid w:val="0030688A"/>
    <w:rsid w:val="00307533"/>
    <w:rsid w:val="003079FE"/>
    <w:rsid w:val="00313E76"/>
    <w:rsid w:val="00316879"/>
    <w:rsid w:val="003307D5"/>
    <w:rsid w:val="00333F66"/>
    <w:rsid w:val="00334C35"/>
    <w:rsid w:val="00334EC3"/>
    <w:rsid w:val="00342BDB"/>
    <w:rsid w:val="0034344E"/>
    <w:rsid w:val="003506EF"/>
    <w:rsid w:val="00350EEA"/>
    <w:rsid w:val="00351102"/>
    <w:rsid w:val="00352475"/>
    <w:rsid w:val="00352DE1"/>
    <w:rsid w:val="00355F46"/>
    <w:rsid w:val="0035788A"/>
    <w:rsid w:val="00357F4F"/>
    <w:rsid w:val="00361391"/>
    <w:rsid w:val="00361C3A"/>
    <w:rsid w:val="00363C4F"/>
    <w:rsid w:val="00364D25"/>
    <w:rsid w:val="00364E6A"/>
    <w:rsid w:val="003660DC"/>
    <w:rsid w:val="003717FC"/>
    <w:rsid w:val="003728E6"/>
    <w:rsid w:val="003729F8"/>
    <w:rsid w:val="00372E21"/>
    <w:rsid w:val="0037635A"/>
    <w:rsid w:val="00380DFF"/>
    <w:rsid w:val="00385FC8"/>
    <w:rsid w:val="00386776"/>
    <w:rsid w:val="00386B2A"/>
    <w:rsid w:val="0039090D"/>
    <w:rsid w:val="00393096"/>
    <w:rsid w:val="00397C6E"/>
    <w:rsid w:val="003A033F"/>
    <w:rsid w:val="003B4C07"/>
    <w:rsid w:val="003B5E0E"/>
    <w:rsid w:val="003B62A1"/>
    <w:rsid w:val="003C017F"/>
    <w:rsid w:val="003C1762"/>
    <w:rsid w:val="003C69C4"/>
    <w:rsid w:val="003C6A55"/>
    <w:rsid w:val="003D255A"/>
    <w:rsid w:val="003D7AD4"/>
    <w:rsid w:val="003E07B3"/>
    <w:rsid w:val="003F457B"/>
    <w:rsid w:val="003F6BFE"/>
    <w:rsid w:val="00400132"/>
    <w:rsid w:val="00410746"/>
    <w:rsid w:val="00410DF9"/>
    <w:rsid w:val="00411CD7"/>
    <w:rsid w:val="00416061"/>
    <w:rsid w:val="00416949"/>
    <w:rsid w:val="004202C6"/>
    <w:rsid w:val="0042145C"/>
    <w:rsid w:val="00423132"/>
    <w:rsid w:val="00424313"/>
    <w:rsid w:val="004265C8"/>
    <w:rsid w:val="004271E1"/>
    <w:rsid w:val="00431349"/>
    <w:rsid w:val="0043276A"/>
    <w:rsid w:val="00432F73"/>
    <w:rsid w:val="0043343C"/>
    <w:rsid w:val="0043477A"/>
    <w:rsid w:val="00435E1D"/>
    <w:rsid w:val="004370D8"/>
    <w:rsid w:val="00440540"/>
    <w:rsid w:val="00440693"/>
    <w:rsid w:val="00440DF0"/>
    <w:rsid w:val="0044293E"/>
    <w:rsid w:val="00447457"/>
    <w:rsid w:val="004534C6"/>
    <w:rsid w:val="00453726"/>
    <w:rsid w:val="00454070"/>
    <w:rsid w:val="004551A4"/>
    <w:rsid w:val="00456822"/>
    <w:rsid w:val="00463758"/>
    <w:rsid w:val="00463EFD"/>
    <w:rsid w:val="004656C6"/>
    <w:rsid w:val="00465D38"/>
    <w:rsid w:val="004672AD"/>
    <w:rsid w:val="00467578"/>
    <w:rsid w:val="004718C9"/>
    <w:rsid w:val="00472A85"/>
    <w:rsid w:val="00472C43"/>
    <w:rsid w:val="00480845"/>
    <w:rsid w:val="00485609"/>
    <w:rsid w:val="0049022A"/>
    <w:rsid w:val="00492158"/>
    <w:rsid w:val="00493EE2"/>
    <w:rsid w:val="00494646"/>
    <w:rsid w:val="004A2940"/>
    <w:rsid w:val="004A5792"/>
    <w:rsid w:val="004A756C"/>
    <w:rsid w:val="004B020C"/>
    <w:rsid w:val="004B0276"/>
    <w:rsid w:val="004B2311"/>
    <w:rsid w:val="004B39F9"/>
    <w:rsid w:val="004B5B8B"/>
    <w:rsid w:val="004C49DD"/>
    <w:rsid w:val="004D1661"/>
    <w:rsid w:val="004D190A"/>
    <w:rsid w:val="004D4C3A"/>
    <w:rsid w:val="004D4EDB"/>
    <w:rsid w:val="004D5CD2"/>
    <w:rsid w:val="004D7697"/>
    <w:rsid w:val="004E1462"/>
    <w:rsid w:val="004E2D4D"/>
    <w:rsid w:val="004E4822"/>
    <w:rsid w:val="004E709C"/>
    <w:rsid w:val="004F4895"/>
    <w:rsid w:val="004F63E0"/>
    <w:rsid w:val="005109DB"/>
    <w:rsid w:val="00510CE4"/>
    <w:rsid w:val="00514628"/>
    <w:rsid w:val="00514B95"/>
    <w:rsid w:val="00514D38"/>
    <w:rsid w:val="005216F5"/>
    <w:rsid w:val="0052362D"/>
    <w:rsid w:val="005254FF"/>
    <w:rsid w:val="00526B6E"/>
    <w:rsid w:val="00530352"/>
    <w:rsid w:val="00532023"/>
    <w:rsid w:val="00535AC8"/>
    <w:rsid w:val="00537496"/>
    <w:rsid w:val="00537663"/>
    <w:rsid w:val="00540316"/>
    <w:rsid w:val="0054055B"/>
    <w:rsid w:val="005441DE"/>
    <w:rsid w:val="00544ED3"/>
    <w:rsid w:val="00550067"/>
    <w:rsid w:val="005528D3"/>
    <w:rsid w:val="00553F75"/>
    <w:rsid w:val="005549AA"/>
    <w:rsid w:val="00555518"/>
    <w:rsid w:val="00561FEE"/>
    <w:rsid w:val="00562D6A"/>
    <w:rsid w:val="00566269"/>
    <w:rsid w:val="00566309"/>
    <w:rsid w:val="0056676B"/>
    <w:rsid w:val="005671F4"/>
    <w:rsid w:val="005724CF"/>
    <w:rsid w:val="00573652"/>
    <w:rsid w:val="0057377A"/>
    <w:rsid w:val="0057421A"/>
    <w:rsid w:val="00576151"/>
    <w:rsid w:val="00577AAB"/>
    <w:rsid w:val="0058477B"/>
    <w:rsid w:val="0058654F"/>
    <w:rsid w:val="00586B13"/>
    <w:rsid w:val="00596ACA"/>
    <w:rsid w:val="00596DC2"/>
    <w:rsid w:val="00596F8C"/>
    <w:rsid w:val="00597143"/>
    <w:rsid w:val="005A1202"/>
    <w:rsid w:val="005A16CB"/>
    <w:rsid w:val="005A7229"/>
    <w:rsid w:val="005B1CDF"/>
    <w:rsid w:val="005B1D0A"/>
    <w:rsid w:val="005B6F73"/>
    <w:rsid w:val="005C0ED3"/>
    <w:rsid w:val="005C73D0"/>
    <w:rsid w:val="005C7E53"/>
    <w:rsid w:val="005E0CD5"/>
    <w:rsid w:val="005E39BC"/>
    <w:rsid w:val="005E60F6"/>
    <w:rsid w:val="005E6220"/>
    <w:rsid w:val="005F00A0"/>
    <w:rsid w:val="005F0DBC"/>
    <w:rsid w:val="005F1C76"/>
    <w:rsid w:val="006021C5"/>
    <w:rsid w:val="00604DF0"/>
    <w:rsid w:val="00605090"/>
    <w:rsid w:val="0060520A"/>
    <w:rsid w:val="00606D8A"/>
    <w:rsid w:val="00611F83"/>
    <w:rsid w:val="006140EF"/>
    <w:rsid w:val="00615DBD"/>
    <w:rsid w:val="00616840"/>
    <w:rsid w:val="00616DF4"/>
    <w:rsid w:val="00620871"/>
    <w:rsid w:val="00621BC1"/>
    <w:rsid w:val="006223F7"/>
    <w:rsid w:val="00624A96"/>
    <w:rsid w:val="00630CB1"/>
    <w:rsid w:val="00643C31"/>
    <w:rsid w:val="0064482E"/>
    <w:rsid w:val="006452D6"/>
    <w:rsid w:val="00645E30"/>
    <w:rsid w:val="00645F2A"/>
    <w:rsid w:val="00647F33"/>
    <w:rsid w:val="006508C1"/>
    <w:rsid w:val="00656824"/>
    <w:rsid w:val="006601E8"/>
    <w:rsid w:val="00662532"/>
    <w:rsid w:val="00663951"/>
    <w:rsid w:val="00665CFD"/>
    <w:rsid w:val="0067582C"/>
    <w:rsid w:val="00680034"/>
    <w:rsid w:val="0068003A"/>
    <w:rsid w:val="00681FBA"/>
    <w:rsid w:val="00683AFB"/>
    <w:rsid w:val="0069015F"/>
    <w:rsid w:val="00694021"/>
    <w:rsid w:val="0069681A"/>
    <w:rsid w:val="006B1027"/>
    <w:rsid w:val="006B153A"/>
    <w:rsid w:val="006B2274"/>
    <w:rsid w:val="006B3261"/>
    <w:rsid w:val="006B769B"/>
    <w:rsid w:val="006C3C0F"/>
    <w:rsid w:val="006C5FF2"/>
    <w:rsid w:val="006C6C52"/>
    <w:rsid w:val="006D299B"/>
    <w:rsid w:val="006D6D40"/>
    <w:rsid w:val="006E5651"/>
    <w:rsid w:val="006F2E53"/>
    <w:rsid w:val="006F4D3F"/>
    <w:rsid w:val="00700CAF"/>
    <w:rsid w:val="00702DA7"/>
    <w:rsid w:val="0070504D"/>
    <w:rsid w:val="007065B0"/>
    <w:rsid w:val="007070BA"/>
    <w:rsid w:val="00711605"/>
    <w:rsid w:val="007125A0"/>
    <w:rsid w:val="00717C6F"/>
    <w:rsid w:val="00721A64"/>
    <w:rsid w:val="00721B23"/>
    <w:rsid w:val="00721BAE"/>
    <w:rsid w:val="0072745F"/>
    <w:rsid w:val="0073472C"/>
    <w:rsid w:val="00737E19"/>
    <w:rsid w:val="00743F2E"/>
    <w:rsid w:val="007445DA"/>
    <w:rsid w:val="00751E7C"/>
    <w:rsid w:val="00754204"/>
    <w:rsid w:val="007703E1"/>
    <w:rsid w:val="007739F6"/>
    <w:rsid w:val="007747E5"/>
    <w:rsid w:val="007773A7"/>
    <w:rsid w:val="00777CF6"/>
    <w:rsid w:val="00782D09"/>
    <w:rsid w:val="00783370"/>
    <w:rsid w:val="00784274"/>
    <w:rsid w:val="00785C29"/>
    <w:rsid w:val="00787FF2"/>
    <w:rsid w:val="00790D79"/>
    <w:rsid w:val="00791C2A"/>
    <w:rsid w:val="00791EEE"/>
    <w:rsid w:val="007A26DF"/>
    <w:rsid w:val="007A3C90"/>
    <w:rsid w:val="007B01E8"/>
    <w:rsid w:val="007B044B"/>
    <w:rsid w:val="007B2703"/>
    <w:rsid w:val="007B4FD1"/>
    <w:rsid w:val="007B7E7F"/>
    <w:rsid w:val="007C1CB8"/>
    <w:rsid w:val="007C496A"/>
    <w:rsid w:val="007C59ED"/>
    <w:rsid w:val="007C7C14"/>
    <w:rsid w:val="007D27B8"/>
    <w:rsid w:val="007D323A"/>
    <w:rsid w:val="007D3D2D"/>
    <w:rsid w:val="007E072D"/>
    <w:rsid w:val="007E2369"/>
    <w:rsid w:val="007E743B"/>
    <w:rsid w:val="007F29FF"/>
    <w:rsid w:val="007F458E"/>
    <w:rsid w:val="007F52E6"/>
    <w:rsid w:val="007F5F6B"/>
    <w:rsid w:val="007F62E8"/>
    <w:rsid w:val="00802381"/>
    <w:rsid w:val="00806C0C"/>
    <w:rsid w:val="00807C6E"/>
    <w:rsid w:val="00816445"/>
    <w:rsid w:val="00816E8A"/>
    <w:rsid w:val="00820BAD"/>
    <w:rsid w:val="0082114A"/>
    <w:rsid w:val="008230B6"/>
    <w:rsid w:val="00825615"/>
    <w:rsid w:val="00827C5B"/>
    <w:rsid w:val="00830BA0"/>
    <w:rsid w:val="00835D2D"/>
    <w:rsid w:val="008362A3"/>
    <w:rsid w:val="00840A3C"/>
    <w:rsid w:val="0084363A"/>
    <w:rsid w:val="00844207"/>
    <w:rsid w:val="00844B7E"/>
    <w:rsid w:val="00846703"/>
    <w:rsid w:val="00847C30"/>
    <w:rsid w:val="00850FBD"/>
    <w:rsid w:val="0085509F"/>
    <w:rsid w:val="00856F47"/>
    <w:rsid w:val="00866B59"/>
    <w:rsid w:val="00866BB6"/>
    <w:rsid w:val="00870E3A"/>
    <w:rsid w:val="00873794"/>
    <w:rsid w:val="00875715"/>
    <w:rsid w:val="00877EFE"/>
    <w:rsid w:val="00880509"/>
    <w:rsid w:val="00880886"/>
    <w:rsid w:val="00880A76"/>
    <w:rsid w:val="00880C4C"/>
    <w:rsid w:val="00883848"/>
    <w:rsid w:val="0088522F"/>
    <w:rsid w:val="0088635F"/>
    <w:rsid w:val="0089012B"/>
    <w:rsid w:val="00891021"/>
    <w:rsid w:val="00897ED5"/>
    <w:rsid w:val="008A2A68"/>
    <w:rsid w:val="008A3141"/>
    <w:rsid w:val="008A406A"/>
    <w:rsid w:val="008A4309"/>
    <w:rsid w:val="008A4A27"/>
    <w:rsid w:val="008A7CBD"/>
    <w:rsid w:val="008B1B95"/>
    <w:rsid w:val="008B2FEF"/>
    <w:rsid w:val="008B5C6A"/>
    <w:rsid w:val="008B6AB3"/>
    <w:rsid w:val="008B6BB9"/>
    <w:rsid w:val="008B7759"/>
    <w:rsid w:val="008B7DDE"/>
    <w:rsid w:val="008C18DE"/>
    <w:rsid w:val="008C5000"/>
    <w:rsid w:val="008C6FB4"/>
    <w:rsid w:val="008D1AE3"/>
    <w:rsid w:val="008D1C4F"/>
    <w:rsid w:val="008D32CF"/>
    <w:rsid w:val="008D3D14"/>
    <w:rsid w:val="008E04DE"/>
    <w:rsid w:val="008E3852"/>
    <w:rsid w:val="008E470C"/>
    <w:rsid w:val="008F0CDE"/>
    <w:rsid w:val="008F2A83"/>
    <w:rsid w:val="008F4EDE"/>
    <w:rsid w:val="008F5219"/>
    <w:rsid w:val="008F6C09"/>
    <w:rsid w:val="00900415"/>
    <w:rsid w:val="009019B1"/>
    <w:rsid w:val="00903546"/>
    <w:rsid w:val="00907E7B"/>
    <w:rsid w:val="00911543"/>
    <w:rsid w:val="0091212C"/>
    <w:rsid w:val="00917277"/>
    <w:rsid w:val="00917FD2"/>
    <w:rsid w:val="0092152F"/>
    <w:rsid w:val="00923DB9"/>
    <w:rsid w:val="009252EB"/>
    <w:rsid w:val="00925B88"/>
    <w:rsid w:val="00925B9B"/>
    <w:rsid w:val="0092605F"/>
    <w:rsid w:val="00933E61"/>
    <w:rsid w:val="00940DDC"/>
    <w:rsid w:val="009411BD"/>
    <w:rsid w:val="009422AB"/>
    <w:rsid w:val="00943FEB"/>
    <w:rsid w:val="009448E4"/>
    <w:rsid w:val="009452CE"/>
    <w:rsid w:val="00947D6D"/>
    <w:rsid w:val="009519C9"/>
    <w:rsid w:val="00952126"/>
    <w:rsid w:val="00952940"/>
    <w:rsid w:val="00953CEE"/>
    <w:rsid w:val="00955764"/>
    <w:rsid w:val="0095694E"/>
    <w:rsid w:val="00956C14"/>
    <w:rsid w:val="009639A8"/>
    <w:rsid w:val="009704B3"/>
    <w:rsid w:val="00970EF9"/>
    <w:rsid w:val="0097113A"/>
    <w:rsid w:val="0097142D"/>
    <w:rsid w:val="0097419E"/>
    <w:rsid w:val="0097481B"/>
    <w:rsid w:val="00974B53"/>
    <w:rsid w:val="009753BF"/>
    <w:rsid w:val="00975B98"/>
    <w:rsid w:val="0097600E"/>
    <w:rsid w:val="00976245"/>
    <w:rsid w:val="00977E23"/>
    <w:rsid w:val="0098169B"/>
    <w:rsid w:val="009829CC"/>
    <w:rsid w:val="00984941"/>
    <w:rsid w:val="00987F88"/>
    <w:rsid w:val="00992D82"/>
    <w:rsid w:val="00993FD8"/>
    <w:rsid w:val="00994F0E"/>
    <w:rsid w:val="0099538B"/>
    <w:rsid w:val="00995C61"/>
    <w:rsid w:val="00996495"/>
    <w:rsid w:val="009A0018"/>
    <w:rsid w:val="009A366C"/>
    <w:rsid w:val="009A6C77"/>
    <w:rsid w:val="009A7C46"/>
    <w:rsid w:val="009B02AE"/>
    <w:rsid w:val="009B398E"/>
    <w:rsid w:val="009B6918"/>
    <w:rsid w:val="009B7022"/>
    <w:rsid w:val="009C1FC2"/>
    <w:rsid w:val="009D0B86"/>
    <w:rsid w:val="009D5368"/>
    <w:rsid w:val="009E0D5B"/>
    <w:rsid w:val="009E1558"/>
    <w:rsid w:val="009E33B4"/>
    <w:rsid w:val="009F296C"/>
    <w:rsid w:val="00A00FBB"/>
    <w:rsid w:val="00A023A7"/>
    <w:rsid w:val="00A027A4"/>
    <w:rsid w:val="00A04835"/>
    <w:rsid w:val="00A04860"/>
    <w:rsid w:val="00A10474"/>
    <w:rsid w:val="00A152F7"/>
    <w:rsid w:val="00A16791"/>
    <w:rsid w:val="00A22763"/>
    <w:rsid w:val="00A2297C"/>
    <w:rsid w:val="00A273DC"/>
    <w:rsid w:val="00A320C2"/>
    <w:rsid w:val="00A32165"/>
    <w:rsid w:val="00A32B68"/>
    <w:rsid w:val="00A37DB6"/>
    <w:rsid w:val="00A42898"/>
    <w:rsid w:val="00A43962"/>
    <w:rsid w:val="00A45E6A"/>
    <w:rsid w:val="00A47BAE"/>
    <w:rsid w:val="00A5058D"/>
    <w:rsid w:val="00A530CF"/>
    <w:rsid w:val="00A553AB"/>
    <w:rsid w:val="00A561E0"/>
    <w:rsid w:val="00A562C5"/>
    <w:rsid w:val="00A57302"/>
    <w:rsid w:val="00A6057B"/>
    <w:rsid w:val="00A62374"/>
    <w:rsid w:val="00A65289"/>
    <w:rsid w:val="00A65AEF"/>
    <w:rsid w:val="00A72A39"/>
    <w:rsid w:val="00A73233"/>
    <w:rsid w:val="00A75228"/>
    <w:rsid w:val="00A80E8B"/>
    <w:rsid w:val="00A810EC"/>
    <w:rsid w:val="00A8235D"/>
    <w:rsid w:val="00A91480"/>
    <w:rsid w:val="00A949B4"/>
    <w:rsid w:val="00AA0957"/>
    <w:rsid w:val="00AA13DB"/>
    <w:rsid w:val="00AA2F98"/>
    <w:rsid w:val="00AA3095"/>
    <w:rsid w:val="00AA3A49"/>
    <w:rsid w:val="00AB3AF2"/>
    <w:rsid w:val="00AB48CA"/>
    <w:rsid w:val="00AB5ABF"/>
    <w:rsid w:val="00AB6ACE"/>
    <w:rsid w:val="00AC0078"/>
    <w:rsid w:val="00AC17E7"/>
    <w:rsid w:val="00AC5A3A"/>
    <w:rsid w:val="00AD0BB4"/>
    <w:rsid w:val="00AD59C5"/>
    <w:rsid w:val="00AE00EA"/>
    <w:rsid w:val="00AE20EC"/>
    <w:rsid w:val="00AE27BF"/>
    <w:rsid w:val="00AF06F0"/>
    <w:rsid w:val="00AF26C6"/>
    <w:rsid w:val="00AF49B4"/>
    <w:rsid w:val="00AF531C"/>
    <w:rsid w:val="00AF5BAF"/>
    <w:rsid w:val="00B041CD"/>
    <w:rsid w:val="00B076B0"/>
    <w:rsid w:val="00B12DB0"/>
    <w:rsid w:val="00B148C1"/>
    <w:rsid w:val="00B14A9C"/>
    <w:rsid w:val="00B16591"/>
    <w:rsid w:val="00B1673D"/>
    <w:rsid w:val="00B17C6D"/>
    <w:rsid w:val="00B2297F"/>
    <w:rsid w:val="00B23B80"/>
    <w:rsid w:val="00B256BC"/>
    <w:rsid w:val="00B27AA0"/>
    <w:rsid w:val="00B30D8C"/>
    <w:rsid w:val="00B32A46"/>
    <w:rsid w:val="00B3698A"/>
    <w:rsid w:val="00B40C95"/>
    <w:rsid w:val="00B43BE2"/>
    <w:rsid w:val="00B459C7"/>
    <w:rsid w:val="00B47756"/>
    <w:rsid w:val="00B50058"/>
    <w:rsid w:val="00B50224"/>
    <w:rsid w:val="00B51BA5"/>
    <w:rsid w:val="00B51CC0"/>
    <w:rsid w:val="00B51F62"/>
    <w:rsid w:val="00B5506F"/>
    <w:rsid w:val="00B5517C"/>
    <w:rsid w:val="00B55B4B"/>
    <w:rsid w:val="00B56B93"/>
    <w:rsid w:val="00B576C5"/>
    <w:rsid w:val="00B62587"/>
    <w:rsid w:val="00B67015"/>
    <w:rsid w:val="00B6770D"/>
    <w:rsid w:val="00B71892"/>
    <w:rsid w:val="00B7658C"/>
    <w:rsid w:val="00B76A1D"/>
    <w:rsid w:val="00B80714"/>
    <w:rsid w:val="00B82FA5"/>
    <w:rsid w:val="00B9466B"/>
    <w:rsid w:val="00BA1A4E"/>
    <w:rsid w:val="00BA29C4"/>
    <w:rsid w:val="00BA34C9"/>
    <w:rsid w:val="00BA4FDF"/>
    <w:rsid w:val="00BB006F"/>
    <w:rsid w:val="00BC4436"/>
    <w:rsid w:val="00BD1400"/>
    <w:rsid w:val="00BD2848"/>
    <w:rsid w:val="00BD2D74"/>
    <w:rsid w:val="00BD4644"/>
    <w:rsid w:val="00BD605C"/>
    <w:rsid w:val="00BD7D33"/>
    <w:rsid w:val="00BD7E3C"/>
    <w:rsid w:val="00BE165A"/>
    <w:rsid w:val="00BE2A76"/>
    <w:rsid w:val="00BF0D41"/>
    <w:rsid w:val="00BF348F"/>
    <w:rsid w:val="00BF37DE"/>
    <w:rsid w:val="00C04C2D"/>
    <w:rsid w:val="00C06ACB"/>
    <w:rsid w:val="00C1260E"/>
    <w:rsid w:val="00C23ADD"/>
    <w:rsid w:val="00C278A5"/>
    <w:rsid w:val="00C31567"/>
    <w:rsid w:val="00C46C23"/>
    <w:rsid w:val="00C53752"/>
    <w:rsid w:val="00C54678"/>
    <w:rsid w:val="00C60BD2"/>
    <w:rsid w:val="00C60F92"/>
    <w:rsid w:val="00C60F95"/>
    <w:rsid w:val="00C65E60"/>
    <w:rsid w:val="00C7148D"/>
    <w:rsid w:val="00C842F9"/>
    <w:rsid w:val="00C8458F"/>
    <w:rsid w:val="00C863D3"/>
    <w:rsid w:val="00C90FB0"/>
    <w:rsid w:val="00C92F6C"/>
    <w:rsid w:val="00C93F2B"/>
    <w:rsid w:val="00CC134F"/>
    <w:rsid w:val="00CC6C66"/>
    <w:rsid w:val="00CC7E16"/>
    <w:rsid w:val="00CD6FDF"/>
    <w:rsid w:val="00CD7A13"/>
    <w:rsid w:val="00CE2375"/>
    <w:rsid w:val="00CE29AB"/>
    <w:rsid w:val="00CE3055"/>
    <w:rsid w:val="00CE545C"/>
    <w:rsid w:val="00CE5A52"/>
    <w:rsid w:val="00CF061C"/>
    <w:rsid w:val="00CF1338"/>
    <w:rsid w:val="00CF3937"/>
    <w:rsid w:val="00CF3E1B"/>
    <w:rsid w:val="00CF46B6"/>
    <w:rsid w:val="00CF7AF3"/>
    <w:rsid w:val="00D00348"/>
    <w:rsid w:val="00D01FBC"/>
    <w:rsid w:val="00D06EB8"/>
    <w:rsid w:val="00D07BF7"/>
    <w:rsid w:val="00D10478"/>
    <w:rsid w:val="00D12C7A"/>
    <w:rsid w:val="00D14223"/>
    <w:rsid w:val="00D145F8"/>
    <w:rsid w:val="00D1637C"/>
    <w:rsid w:val="00D16A7C"/>
    <w:rsid w:val="00D17080"/>
    <w:rsid w:val="00D2102B"/>
    <w:rsid w:val="00D24658"/>
    <w:rsid w:val="00D25C18"/>
    <w:rsid w:val="00D25C30"/>
    <w:rsid w:val="00D262E7"/>
    <w:rsid w:val="00D26ADA"/>
    <w:rsid w:val="00D27BE0"/>
    <w:rsid w:val="00D319DB"/>
    <w:rsid w:val="00D32749"/>
    <w:rsid w:val="00D335FE"/>
    <w:rsid w:val="00D35208"/>
    <w:rsid w:val="00D35A78"/>
    <w:rsid w:val="00D35B44"/>
    <w:rsid w:val="00D435E2"/>
    <w:rsid w:val="00D43EA2"/>
    <w:rsid w:val="00D45F21"/>
    <w:rsid w:val="00D4620F"/>
    <w:rsid w:val="00D47DEA"/>
    <w:rsid w:val="00D5046F"/>
    <w:rsid w:val="00D52803"/>
    <w:rsid w:val="00D54575"/>
    <w:rsid w:val="00D555A1"/>
    <w:rsid w:val="00D56838"/>
    <w:rsid w:val="00D577DA"/>
    <w:rsid w:val="00D644F8"/>
    <w:rsid w:val="00D64DC2"/>
    <w:rsid w:val="00D657F0"/>
    <w:rsid w:val="00D66ABA"/>
    <w:rsid w:val="00D678BD"/>
    <w:rsid w:val="00D7051E"/>
    <w:rsid w:val="00D70678"/>
    <w:rsid w:val="00D74AD2"/>
    <w:rsid w:val="00D75F96"/>
    <w:rsid w:val="00D8037F"/>
    <w:rsid w:val="00D8088A"/>
    <w:rsid w:val="00D812BE"/>
    <w:rsid w:val="00D853A0"/>
    <w:rsid w:val="00D866F8"/>
    <w:rsid w:val="00D8773A"/>
    <w:rsid w:val="00D911C6"/>
    <w:rsid w:val="00D913C7"/>
    <w:rsid w:val="00D9229A"/>
    <w:rsid w:val="00D9406A"/>
    <w:rsid w:val="00D942E1"/>
    <w:rsid w:val="00DA0965"/>
    <w:rsid w:val="00DA1EE1"/>
    <w:rsid w:val="00DA1F15"/>
    <w:rsid w:val="00DA24BE"/>
    <w:rsid w:val="00DA46CA"/>
    <w:rsid w:val="00DA5ACE"/>
    <w:rsid w:val="00DA5DD7"/>
    <w:rsid w:val="00DA6191"/>
    <w:rsid w:val="00DA6264"/>
    <w:rsid w:val="00DA69A7"/>
    <w:rsid w:val="00DA7C55"/>
    <w:rsid w:val="00DB3997"/>
    <w:rsid w:val="00DC28D7"/>
    <w:rsid w:val="00DC63B3"/>
    <w:rsid w:val="00DD050E"/>
    <w:rsid w:val="00DD425C"/>
    <w:rsid w:val="00DE0484"/>
    <w:rsid w:val="00DE1F96"/>
    <w:rsid w:val="00DE3406"/>
    <w:rsid w:val="00DE75EA"/>
    <w:rsid w:val="00DF09CC"/>
    <w:rsid w:val="00DF21EB"/>
    <w:rsid w:val="00DF3678"/>
    <w:rsid w:val="00E00BA5"/>
    <w:rsid w:val="00E00C66"/>
    <w:rsid w:val="00E06952"/>
    <w:rsid w:val="00E06A52"/>
    <w:rsid w:val="00E07766"/>
    <w:rsid w:val="00E20E70"/>
    <w:rsid w:val="00E2200B"/>
    <w:rsid w:val="00E223C5"/>
    <w:rsid w:val="00E247D9"/>
    <w:rsid w:val="00E25B68"/>
    <w:rsid w:val="00E31D2F"/>
    <w:rsid w:val="00E32902"/>
    <w:rsid w:val="00E36518"/>
    <w:rsid w:val="00E369D7"/>
    <w:rsid w:val="00E36A65"/>
    <w:rsid w:val="00E36C0D"/>
    <w:rsid w:val="00E41934"/>
    <w:rsid w:val="00E429B8"/>
    <w:rsid w:val="00E43F35"/>
    <w:rsid w:val="00E4637C"/>
    <w:rsid w:val="00E4757B"/>
    <w:rsid w:val="00E528EE"/>
    <w:rsid w:val="00E572F8"/>
    <w:rsid w:val="00E57C00"/>
    <w:rsid w:val="00E62839"/>
    <w:rsid w:val="00E62BAC"/>
    <w:rsid w:val="00E63A4C"/>
    <w:rsid w:val="00E65083"/>
    <w:rsid w:val="00E7364F"/>
    <w:rsid w:val="00E760A3"/>
    <w:rsid w:val="00E771ED"/>
    <w:rsid w:val="00E81D5A"/>
    <w:rsid w:val="00E82EA9"/>
    <w:rsid w:val="00E84003"/>
    <w:rsid w:val="00E85AD4"/>
    <w:rsid w:val="00E87D68"/>
    <w:rsid w:val="00E900D8"/>
    <w:rsid w:val="00E9519B"/>
    <w:rsid w:val="00E952E3"/>
    <w:rsid w:val="00EA3CE0"/>
    <w:rsid w:val="00EA4331"/>
    <w:rsid w:val="00EA4774"/>
    <w:rsid w:val="00EA77D6"/>
    <w:rsid w:val="00EB1946"/>
    <w:rsid w:val="00EB26B3"/>
    <w:rsid w:val="00EC10FC"/>
    <w:rsid w:val="00EC2D3C"/>
    <w:rsid w:val="00EC63B8"/>
    <w:rsid w:val="00EC6409"/>
    <w:rsid w:val="00ED62A1"/>
    <w:rsid w:val="00EE0041"/>
    <w:rsid w:val="00EE25A5"/>
    <w:rsid w:val="00EE29B9"/>
    <w:rsid w:val="00EE5B97"/>
    <w:rsid w:val="00EF42E2"/>
    <w:rsid w:val="00EF4A29"/>
    <w:rsid w:val="00EF532A"/>
    <w:rsid w:val="00EF5706"/>
    <w:rsid w:val="00EF5D96"/>
    <w:rsid w:val="00F004EE"/>
    <w:rsid w:val="00F0697A"/>
    <w:rsid w:val="00F069FB"/>
    <w:rsid w:val="00F103CD"/>
    <w:rsid w:val="00F1350F"/>
    <w:rsid w:val="00F2077D"/>
    <w:rsid w:val="00F3309F"/>
    <w:rsid w:val="00F33D2D"/>
    <w:rsid w:val="00F343D9"/>
    <w:rsid w:val="00F403C4"/>
    <w:rsid w:val="00F42E23"/>
    <w:rsid w:val="00F44D55"/>
    <w:rsid w:val="00F45E69"/>
    <w:rsid w:val="00F45EEE"/>
    <w:rsid w:val="00F46272"/>
    <w:rsid w:val="00F46897"/>
    <w:rsid w:val="00F47CF3"/>
    <w:rsid w:val="00F51E9C"/>
    <w:rsid w:val="00F523CA"/>
    <w:rsid w:val="00F541C5"/>
    <w:rsid w:val="00F55487"/>
    <w:rsid w:val="00F67613"/>
    <w:rsid w:val="00F70E7F"/>
    <w:rsid w:val="00F716B4"/>
    <w:rsid w:val="00F71971"/>
    <w:rsid w:val="00F7354A"/>
    <w:rsid w:val="00F74A9D"/>
    <w:rsid w:val="00F776DC"/>
    <w:rsid w:val="00F81E4B"/>
    <w:rsid w:val="00F8592B"/>
    <w:rsid w:val="00F85A54"/>
    <w:rsid w:val="00F86C8C"/>
    <w:rsid w:val="00F92960"/>
    <w:rsid w:val="00F97424"/>
    <w:rsid w:val="00F97B28"/>
    <w:rsid w:val="00FA2969"/>
    <w:rsid w:val="00FA5ED0"/>
    <w:rsid w:val="00FB0AED"/>
    <w:rsid w:val="00FB60C4"/>
    <w:rsid w:val="00FB643B"/>
    <w:rsid w:val="00FB6FD4"/>
    <w:rsid w:val="00FB7840"/>
    <w:rsid w:val="00FB7EDD"/>
    <w:rsid w:val="00FC168F"/>
    <w:rsid w:val="00FC1B47"/>
    <w:rsid w:val="00FC2D05"/>
    <w:rsid w:val="00FC3F4A"/>
    <w:rsid w:val="00FC4FDB"/>
    <w:rsid w:val="00FC7392"/>
    <w:rsid w:val="00FC7D13"/>
    <w:rsid w:val="00FC7F09"/>
    <w:rsid w:val="00FD1B94"/>
    <w:rsid w:val="00FD35D9"/>
    <w:rsid w:val="00FD60CB"/>
    <w:rsid w:val="00FD72D6"/>
    <w:rsid w:val="00FE0BED"/>
    <w:rsid w:val="00FE11D1"/>
    <w:rsid w:val="00FE2DD6"/>
    <w:rsid w:val="00FE5F54"/>
    <w:rsid w:val="00FE62B0"/>
    <w:rsid w:val="00FE7750"/>
    <w:rsid w:val="00FF11E6"/>
    <w:rsid w:val="00FF386F"/>
    <w:rsid w:val="00FF4EB0"/>
    <w:rsid w:val="00FF63A5"/>
    <w:rsid w:val="00FF66EE"/>
    <w:rsid w:val="00FF6F19"/>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paragraph" w:customStyle="1" w:styleId="Body">
    <w:name w:val="Body"/>
    <w:basedOn w:val="Normal"/>
    <w:rsid w:val="00514628"/>
    <w:pPr>
      <w:overflowPunct/>
      <w:autoSpaceDE/>
      <w:autoSpaceDN/>
      <w:adjustRightInd/>
      <w:spacing w:before="120" w:after="120" w:line="360" w:lineRule="auto"/>
      <w:textAlignment w:val="auto"/>
    </w:pPr>
    <w:rPr>
      <w:sz w:val="24"/>
      <w:szCs w:val="24"/>
      <w:lang w:val="en-US"/>
    </w:rPr>
  </w:style>
  <w:style w:type="paragraph" w:customStyle="1" w:styleId="Beschriftung1">
    <w:name w:val="Beschriftung1"/>
    <w:basedOn w:val="Normal"/>
    <w:qFormat/>
    <w:rsid w:val="00514628"/>
    <w:pPr>
      <w:overflowPunct/>
      <w:autoSpaceDE/>
      <w:autoSpaceDN/>
      <w:adjustRightInd/>
      <w:spacing w:before="120" w:after="120" w:line="360" w:lineRule="auto"/>
      <w:jc w:val="center"/>
      <w:textAlignment w:val="auto"/>
    </w:pPr>
    <w:rPr>
      <w:sz w:val="24"/>
      <w:szCs w:val="24"/>
      <w:lang w:val="en-US"/>
    </w:rPr>
  </w:style>
  <w:style w:type="paragraph" w:customStyle="1" w:styleId="Abstracttitle">
    <w:name w:val="Abstract title"/>
    <w:basedOn w:val="Normal"/>
    <w:next w:val="Normal"/>
    <w:rsid w:val="00364D25"/>
    <w:pPr>
      <w:overflowPunct/>
      <w:autoSpaceDE/>
      <w:autoSpaceDN/>
      <w:adjustRightInd/>
      <w:spacing w:line="360" w:lineRule="auto"/>
      <w:jc w:val="center"/>
      <w:textAlignment w:val="auto"/>
    </w:pPr>
    <w:rPr>
      <w:b/>
      <w:sz w:val="24"/>
      <w:szCs w:val="36"/>
      <w:lang w:val="en-US"/>
    </w:rPr>
  </w:style>
  <w:style w:type="character" w:styleId="Lienhypertexte">
    <w:name w:val="Hyperlink"/>
    <w:basedOn w:val="Policepardfaut"/>
    <w:uiPriority w:val="49"/>
    <w:locked/>
    <w:rsid w:val="00046D59"/>
    <w:rPr>
      <w:color w:val="0000FF" w:themeColor="hyperlink"/>
      <w:u w:val="single"/>
    </w:rPr>
  </w:style>
  <w:style w:type="character" w:styleId="Mentionnonrsolue">
    <w:name w:val="Unresolved Mention"/>
    <w:basedOn w:val="Policepardfaut"/>
    <w:uiPriority w:val="99"/>
    <w:semiHidden/>
    <w:unhideWhenUsed/>
    <w:rsid w:val="00046D59"/>
    <w:rPr>
      <w:color w:val="605E5C"/>
      <w:shd w:val="clear" w:color="auto" w:fill="E1DFDD"/>
    </w:rPr>
  </w:style>
  <w:style w:type="paragraph" w:styleId="Rvision">
    <w:name w:val="Revision"/>
    <w:hidden/>
    <w:uiPriority w:val="99"/>
    <w:semiHidden/>
    <w:rsid w:val="003729F8"/>
    <w:rPr>
      <w:sz w:val="22"/>
      <w:lang w:eastAsia="en-US"/>
    </w:rPr>
  </w:style>
  <w:style w:type="character" w:styleId="Marquedecommentaire">
    <w:name w:val="annotation reference"/>
    <w:basedOn w:val="Policepardfaut"/>
    <w:uiPriority w:val="49"/>
    <w:locked/>
    <w:rsid w:val="003729F8"/>
    <w:rPr>
      <w:sz w:val="16"/>
      <w:szCs w:val="16"/>
    </w:rPr>
  </w:style>
  <w:style w:type="paragraph" w:styleId="Commentaire">
    <w:name w:val="annotation text"/>
    <w:basedOn w:val="Normal"/>
    <w:link w:val="CommentaireCar"/>
    <w:uiPriority w:val="49"/>
    <w:locked/>
    <w:rsid w:val="003729F8"/>
    <w:rPr>
      <w:sz w:val="20"/>
    </w:rPr>
  </w:style>
  <w:style w:type="character" w:customStyle="1" w:styleId="CommentaireCar">
    <w:name w:val="Commentaire Car"/>
    <w:basedOn w:val="Policepardfaut"/>
    <w:link w:val="Commentaire"/>
    <w:uiPriority w:val="49"/>
    <w:rsid w:val="003729F8"/>
    <w:rPr>
      <w:lang w:eastAsia="en-US"/>
    </w:rPr>
  </w:style>
  <w:style w:type="paragraph" w:styleId="Objetducommentaire">
    <w:name w:val="annotation subject"/>
    <w:basedOn w:val="Commentaire"/>
    <w:next w:val="Commentaire"/>
    <w:link w:val="ObjetducommentaireCar"/>
    <w:uiPriority w:val="49"/>
    <w:locked/>
    <w:rsid w:val="003729F8"/>
    <w:rPr>
      <w:b/>
      <w:bCs/>
    </w:rPr>
  </w:style>
  <w:style w:type="character" w:customStyle="1" w:styleId="ObjetducommentaireCar">
    <w:name w:val="Objet du commentaire Car"/>
    <w:basedOn w:val="CommentaireCar"/>
    <w:link w:val="Objetducommentaire"/>
    <w:uiPriority w:val="49"/>
    <w:rsid w:val="003729F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195</TotalTime>
  <Pages>8</Pages>
  <Words>3642</Words>
  <Characters>21897</Characters>
  <Application>Microsoft Office Word</Application>
  <DocSecurity>0</DocSecurity>
  <Lines>182</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ALLIARD Pierre-Marie</cp:lastModifiedBy>
  <cp:revision>57</cp:revision>
  <cp:lastPrinted>2024-08-20T15:45:00Z</cp:lastPrinted>
  <dcterms:created xsi:type="dcterms:W3CDTF">2024-06-10T16:52:00Z</dcterms:created>
  <dcterms:modified xsi:type="dcterms:W3CDTF">2024-08-20T15:57:00Z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2d26f538-337a-4593-a7e6-123667b1a538_Enabled">
    <vt:lpwstr>true</vt:lpwstr>
  </property>
  <property fmtid="{D5CDD505-2E9C-101B-9397-08002B2CF9AE}" pid="12" name="MSIP_Label_2d26f538-337a-4593-a7e6-123667b1a538_SetDate">
    <vt:lpwstr>2024-04-09T08:35:16Z</vt:lpwstr>
  </property>
  <property fmtid="{D5CDD505-2E9C-101B-9397-08002B2CF9AE}" pid="13" name="MSIP_Label_2d26f538-337a-4593-a7e6-123667b1a538_Method">
    <vt:lpwstr>Standard</vt:lpwstr>
  </property>
  <property fmtid="{D5CDD505-2E9C-101B-9397-08002B2CF9AE}" pid="14" name="MSIP_Label_2d26f538-337a-4593-a7e6-123667b1a538_Name">
    <vt:lpwstr>C1 Interne</vt:lpwstr>
  </property>
  <property fmtid="{D5CDD505-2E9C-101B-9397-08002B2CF9AE}" pid="15" name="MSIP_Label_2d26f538-337a-4593-a7e6-123667b1a538_SiteId">
    <vt:lpwstr>e242425b-70fc-44dc-9ddf-c21e304e6c80</vt:lpwstr>
  </property>
  <property fmtid="{D5CDD505-2E9C-101B-9397-08002B2CF9AE}" pid="16" name="MSIP_Label_2d26f538-337a-4593-a7e6-123667b1a538_ActionId">
    <vt:lpwstr>a9d68ecb-6f9e-4936-b824-d28839ad2076</vt:lpwstr>
  </property>
  <property fmtid="{D5CDD505-2E9C-101B-9397-08002B2CF9AE}" pid="17" name="MSIP_Label_2d26f538-337a-4593-a7e6-123667b1a538_ContentBits">
    <vt:lpwstr>0</vt:lpwstr>
  </property>
</Properties>
</file>