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DA27" w14:textId="77777777" w:rsidR="00E20E70" w:rsidRPr="003042E8" w:rsidRDefault="00EB79FF" w:rsidP="00F92A97">
      <w:pPr>
        <w:pStyle w:val="Heading1"/>
        <w:spacing w:after="100" w:afterAutospacing="1"/>
        <w:ind w:left="562" w:right="562"/>
      </w:pPr>
      <w:r w:rsidRPr="003042E8">
        <w:t xml:space="preserve">Extended assessment of nuclear </w:t>
      </w:r>
      <w:r w:rsidR="00F92A97" w:rsidRPr="003042E8">
        <w:br/>
      </w:r>
      <w:r w:rsidRPr="003042E8">
        <w:t xml:space="preserve">and alternative electricity generating </w:t>
      </w:r>
      <w:r w:rsidR="00F92A97" w:rsidRPr="003042E8">
        <w:br/>
      </w:r>
      <w:r w:rsidRPr="003042E8">
        <w:t>technologies based on their</w:t>
      </w:r>
      <w:r w:rsidR="003C18DB" w:rsidRPr="003042E8">
        <w:t xml:space="preserve"> </w:t>
      </w:r>
      <w:r w:rsidRPr="003042E8">
        <w:t xml:space="preserve">impact </w:t>
      </w:r>
      <w:r w:rsidR="00F92A97" w:rsidRPr="003042E8">
        <w:t>ON</w:t>
      </w:r>
      <w:r w:rsidR="00F92A97" w:rsidRPr="003042E8">
        <w:br/>
      </w:r>
      <w:r w:rsidRPr="003042E8">
        <w:t>national GDP (Cost-to-GDP concept)</w:t>
      </w:r>
    </w:p>
    <w:p w14:paraId="06C80D12" w14:textId="77777777" w:rsidR="00802381" w:rsidRPr="003042E8" w:rsidRDefault="00802381" w:rsidP="00537496">
      <w:pPr>
        <w:pStyle w:val="Authornameandaffiliation"/>
      </w:pPr>
    </w:p>
    <w:p w14:paraId="43AA2B9A" w14:textId="77777777" w:rsidR="003B5E0E" w:rsidRPr="003042E8" w:rsidRDefault="00A41422" w:rsidP="00537496">
      <w:pPr>
        <w:pStyle w:val="Authornameandaffiliation"/>
      </w:pPr>
      <w:r w:rsidRPr="003042E8">
        <w:t>S</w:t>
      </w:r>
      <w:r w:rsidR="00FF386F" w:rsidRPr="003042E8">
        <w:t>.</w:t>
      </w:r>
      <w:r w:rsidRPr="003042E8">
        <w:t>V</w:t>
      </w:r>
      <w:r w:rsidR="00537496" w:rsidRPr="003042E8">
        <w:t>.</w:t>
      </w:r>
      <w:r w:rsidR="00FF386F" w:rsidRPr="003042E8">
        <w:t xml:space="preserve"> </w:t>
      </w:r>
      <w:r w:rsidRPr="003042E8">
        <w:t>ROZHENKO</w:t>
      </w:r>
    </w:p>
    <w:p w14:paraId="72579865" w14:textId="77777777" w:rsidR="00FF386F" w:rsidRPr="003042E8" w:rsidRDefault="008B3F35" w:rsidP="00537496">
      <w:pPr>
        <w:pStyle w:val="Authornameandaffiliation"/>
      </w:pPr>
      <w:r w:rsidRPr="003042E8">
        <w:t>JSC Kept</w:t>
      </w:r>
    </w:p>
    <w:p w14:paraId="257E58A6" w14:textId="77777777" w:rsidR="00FF386F" w:rsidRPr="003042E8" w:rsidRDefault="008B3F35" w:rsidP="00537496">
      <w:pPr>
        <w:pStyle w:val="Authornameandaffiliation"/>
      </w:pPr>
      <w:r w:rsidRPr="003042E8">
        <w:t>Moscow</w:t>
      </w:r>
      <w:r w:rsidR="00FF386F" w:rsidRPr="003042E8">
        <w:t xml:space="preserve">, </w:t>
      </w:r>
      <w:r w:rsidRPr="003042E8">
        <w:t>Russian Federation</w:t>
      </w:r>
    </w:p>
    <w:p w14:paraId="7B1B98D1" w14:textId="77777777" w:rsidR="00FF386F" w:rsidRPr="003042E8" w:rsidRDefault="00FF386F" w:rsidP="00537496">
      <w:pPr>
        <w:pStyle w:val="Authornameandaffiliation"/>
      </w:pPr>
      <w:r w:rsidRPr="003042E8">
        <w:t xml:space="preserve">Email: </w:t>
      </w:r>
      <w:r w:rsidR="008B3F35" w:rsidRPr="003042E8">
        <w:t>srozhenko@kept.ru</w:t>
      </w:r>
    </w:p>
    <w:p w14:paraId="6CC272D3" w14:textId="77777777" w:rsidR="00FF386F" w:rsidRPr="003042E8" w:rsidRDefault="00FF386F" w:rsidP="00537496">
      <w:pPr>
        <w:pStyle w:val="Authornameandaffiliation"/>
      </w:pPr>
    </w:p>
    <w:p w14:paraId="7ABBEDE1" w14:textId="77777777" w:rsidR="00FF386F" w:rsidRPr="003042E8" w:rsidRDefault="008B3F35" w:rsidP="00537496">
      <w:pPr>
        <w:pStyle w:val="Authornameandaffiliation"/>
      </w:pPr>
      <w:r w:rsidRPr="003042E8">
        <w:t>V</w:t>
      </w:r>
      <w:r w:rsidR="00FF386F" w:rsidRPr="003042E8">
        <w:t>.</w:t>
      </w:r>
      <w:r w:rsidRPr="003042E8">
        <w:t>A</w:t>
      </w:r>
      <w:r w:rsidR="00FF386F" w:rsidRPr="003042E8">
        <w:t xml:space="preserve">. </w:t>
      </w:r>
      <w:r w:rsidRPr="003042E8">
        <w:t>KARLE</w:t>
      </w:r>
    </w:p>
    <w:p w14:paraId="16A1B9DE" w14:textId="77777777" w:rsidR="008B3F35" w:rsidRPr="003042E8" w:rsidRDefault="008B3F35" w:rsidP="008B3F35">
      <w:pPr>
        <w:pStyle w:val="Authornameandaffiliation"/>
      </w:pPr>
      <w:r w:rsidRPr="003042E8">
        <w:t>JSC Kept</w:t>
      </w:r>
    </w:p>
    <w:p w14:paraId="55642721" w14:textId="77777777" w:rsidR="008B3F35" w:rsidRDefault="008B3F35" w:rsidP="008B3F35">
      <w:pPr>
        <w:pStyle w:val="Authornameandaffiliation"/>
      </w:pPr>
      <w:r w:rsidRPr="003042E8">
        <w:t>Moscow, Russian Federation</w:t>
      </w:r>
    </w:p>
    <w:p w14:paraId="7E3E00A4" w14:textId="77777777" w:rsidR="00FF386F" w:rsidRDefault="00FF386F" w:rsidP="00537496">
      <w:pPr>
        <w:pStyle w:val="Authornameandaffiliation"/>
      </w:pPr>
    </w:p>
    <w:p w14:paraId="2BAB83BF" w14:textId="77777777" w:rsidR="00647F33" w:rsidRPr="00647F33" w:rsidRDefault="00647F33" w:rsidP="00537496">
      <w:pPr>
        <w:pStyle w:val="Authornameandaffiliation"/>
        <w:rPr>
          <w:b/>
        </w:rPr>
      </w:pPr>
      <w:r w:rsidRPr="00647F33">
        <w:rPr>
          <w:b/>
        </w:rPr>
        <w:t>Abstract</w:t>
      </w:r>
    </w:p>
    <w:p w14:paraId="6DEA0D14" w14:textId="77777777" w:rsidR="00647F33" w:rsidRDefault="00647F33" w:rsidP="00537496">
      <w:pPr>
        <w:pStyle w:val="Authornameandaffiliation"/>
      </w:pPr>
    </w:p>
    <w:p w14:paraId="4704982C" w14:textId="77777777" w:rsidR="00C946E5" w:rsidRPr="00931B5F" w:rsidRDefault="00AD7BAD" w:rsidP="00454F48">
      <w:pPr>
        <w:pStyle w:val="Abstracttext"/>
        <w:jc w:val="both"/>
      </w:pPr>
      <w:r w:rsidRPr="003042E8">
        <w:t>S</w:t>
      </w:r>
      <w:r w:rsidRPr="000646C7">
        <w:t>mall modular reactors</w:t>
      </w:r>
      <w:r w:rsidRPr="009A112C">
        <w:t xml:space="preserve"> (</w:t>
      </w:r>
      <w:r>
        <w:t>SMR</w:t>
      </w:r>
      <w:r w:rsidRPr="000646C7">
        <w:t>) is</w:t>
      </w:r>
      <w:r w:rsidRPr="003042E8">
        <w:t xml:space="preserve"> a </w:t>
      </w:r>
      <w:r w:rsidR="00A679A5">
        <w:t>promising</w:t>
      </w:r>
      <w:r w:rsidRPr="003042E8">
        <w:t xml:space="preserve"> solution for low carbon generation technologies</w:t>
      </w:r>
      <w:r w:rsidR="00046F02" w:rsidRPr="00046F02">
        <w:t xml:space="preserve">, which is potentially applicable for power systems at the initial stage of economic development and is in price competition with other solutions, especially with </w:t>
      </w:r>
      <w:r w:rsidRPr="003042E8">
        <w:t>Variable Renewable Energy technologies (VRE)</w:t>
      </w:r>
      <w:r w:rsidR="00046F02" w:rsidRPr="00046F02">
        <w:t xml:space="preserve">. </w:t>
      </w:r>
      <w:r>
        <w:t>Therefore</w:t>
      </w:r>
      <w:r w:rsidRPr="00AD7BAD">
        <w:t xml:space="preserve">, </w:t>
      </w:r>
      <w:r>
        <w:t>there</w:t>
      </w:r>
      <w:r w:rsidRPr="00AD7BAD">
        <w:t xml:space="preserve"> </w:t>
      </w:r>
      <w:r>
        <w:t>is</w:t>
      </w:r>
      <w:r w:rsidRPr="00AD7BAD">
        <w:t xml:space="preserve"> </w:t>
      </w:r>
      <w:r>
        <w:t>a</w:t>
      </w:r>
      <w:r w:rsidRPr="00AD7BAD">
        <w:t xml:space="preserve"> </w:t>
      </w:r>
      <w:r>
        <w:t>need</w:t>
      </w:r>
      <w:r w:rsidRPr="00AD7BAD">
        <w:t xml:space="preserve"> </w:t>
      </w:r>
      <w:r>
        <w:t>for</w:t>
      </w:r>
      <w:r w:rsidRPr="00AD7BAD">
        <w:t xml:space="preserve"> a </w:t>
      </w:r>
      <w:r w:rsidR="009A112C" w:rsidRPr="00AD7BAD">
        <w:t>simple metric</w:t>
      </w:r>
      <w:r w:rsidRPr="00AD7BAD">
        <w:t xml:space="preserve"> that adequately considers </w:t>
      </w:r>
      <w:r w:rsidR="00A679A5">
        <w:t xml:space="preserve">both </w:t>
      </w:r>
      <w:r w:rsidRPr="00AD7BAD">
        <w:t xml:space="preserve">the benefits of SMR in terms of the energy performance of dispatchable generation and </w:t>
      </w:r>
      <w:r w:rsidR="00A679A5">
        <w:t>the</w:t>
      </w:r>
      <w:r w:rsidRPr="00AD7BAD">
        <w:t xml:space="preserve"> macroeconomic impact on the local economic development. </w:t>
      </w:r>
      <w:r w:rsidR="00C947F7" w:rsidRPr="003042E8">
        <w:t xml:space="preserve">The Leveraged Cost of Electricity (LCOE) metric is often used to compare production costs for initial planning to rank options and advocate solutions. The use of this metric </w:t>
      </w:r>
      <w:r w:rsidR="00A679A5" w:rsidRPr="00A679A5">
        <w:t xml:space="preserve">may be quite misleading as it </w:t>
      </w:r>
      <w:r w:rsidR="00A679A5">
        <w:t xml:space="preserve">does not </w:t>
      </w:r>
      <w:r w:rsidR="00A679A5" w:rsidRPr="00A679A5">
        <w:t xml:space="preserve">tell us about the </w:t>
      </w:r>
      <w:r w:rsidR="00C947F7" w:rsidRPr="003042E8">
        <w:t xml:space="preserve">affordability </w:t>
      </w:r>
      <w:r w:rsidRPr="00AD7BAD">
        <w:t xml:space="preserve">and does not </w:t>
      </w:r>
      <w:proofErr w:type="gramStart"/>
      <w:r w:rsidRPr="00AD7BAD">
        <w:t>take into account</w:t>
      </w:r>
      <w:proofErr w:type="gramEnd"/>
      <w:r>
        <w:t xml:space="preserve"> </w:t>
      </w:r>
      <w:r w:rsidR="00C947F7" w:rsidRPr="003042E8">
        <w:t xml:space="preserve">the impact on the national GDP for a particular country. </w:t>
      </w:r>
      <w:r w:rsidR="00C946E5" w:rsidRPr="003042E8">
        <w:t xml:space="preserve">To account for this complexity, </w:t>
      </w:r>
      <w:r w:rsidR="00E504FC" w:rsidRPr="003042E8">
        <w:t>th</w:t>
      </w:r>
      <w:r w:rsidR="003C0D36" w:rsidRPr="003042E8">
        <w:t>e</w:t>
      </w:r>
      <w:r w:rsidR="00E504FC" w:rsidRPr="003042E8">
        <w:t xml:space="preserve"> paper introduce</w:t>
      </w:r>
      <w:r w:rsidR="00A679A5">
        <w:t>s</w:t>
      </w:r>
      <w:r w:rsidR="00C946E5" w:rsidRPr="003042E8">
        <w:t xml:space="preserve"> </w:t>
      </w:r>
      <w:r w:rsidR="006D3A3E">
        <w:t>a</w:t>
      </w:r>
      <w:r w:rsidR="00C946E5" w:rsidRPr="003042E8">
        <w:t xml:space="preserve"> new Cost-to-GDP extended cost assessment concept </w:t>
      </w:r>
      <w:r w:rsidR="00032052" w:rsidRPr="003042E8">
        <w:t xml:space="preserve">developed </w:t>
      </w:r>
      <w:r w:rsidR="00C946E5" w:rsidRPr="003042E8">
        <w:t xml:space="preserve">to estimate and compare </w:t>
      </w:r>
      <w:r w:rsidR="006D3A3E" w:rsidRPr="003042E8">
        <w:t xml:space="preserve">production </w:t>
      </w:r>
      <w:r w:rsidR="00C946E5" w:rsidRPr="00931B5F">
        <w:t xml:space="preserve">costs for various power sources by </w:t>
      </w:r>
      <w:r w:rsidR="006D3A3E" w:rsidRPr="00931B5F">
        <w:t>combining</w:t>
      </w:r>
      <w:r w:rsidR="00C946E5" w:rsidRPr="00931B5F">
        <w:t xml:space="preserve"> LCOE and econometric methods within one parameter</w:t>
      </w:r>
      <w:r w:rsidR="00780433" w:rsidRPr="00931B5F">
        <w:t xml:space="preserve"> </w:t>
      </w:r>
      <w:r w:rsidR="00A679A5" w:rsidRPr="00B95770">
        <w:rPr>
          <w:lang w:val="en-GB"/>
        </w:rPr>
        <w:t>–</w:t>
      </w:r>
      <w:r w:rsidR="00A679A5">
        <w:rPr>
          <w:lang w:val="en-GB"/>
        </w:rPr>
        <w:t xml:space="preserve"> </w:t>
      </w:r>
      <w:r w:rsidR="00C946E5" w:rsidRPr="00931B5F">
        <w:t xml:space="preserve">called </w:t>
      </w:r>
      <w:proofErr w:type="spellStart"/>
      <w:r w:rsidR="00C946E5" w:rsidRPr="00931B5F">
        <w:t>RealLCOE</w:t>
      </w:r>
      <w:proofErr w:type="spellEnd"/>
      <w:r w:rsidR="00C946E5" w:rsidRPr="00931B5F">
        <w:t>. The</w:t>
      </w:r>
      <w:r w:rsidR="009F6BE8" w:rsidRPr="00931B5F">
        <w:t xml:space="preserve"> </w:t>
      </w:r>
      <w:r w:rsidR="00931B5F" w:rsidRPr="00931B5F">
        <w:t>concept</w:t>
      </w:r>
      <w:r w:rsidR="00C946E5" w:rsidRPr="00931B5F">
        <w:t xml:space="preserve"> helps </w:t>
      </w:r>
      <w:r w:rsidR="00A679A5">
        <w:t>adopt</w:t>
      </w:r>
      <w:r w:rsidR="00C946E5" w:rsidRPr="003042E8">
        <w:t xml:space="preserve"> a more balanced approach toward</w:t>
      </w:r>
      <w:r w:rsidR="00A679A5">
        <w:t>s</w:t>
      </w:r>
      <w:r w:rsidR="00C946E5" w:rsidRPr="003042E8">
        <w:t xml:space="preserve"> nuclear and fossil technologies compared to renewables </w:t>
      </w:r>
      <w:r w:rsidR="00A679A5" w:rsidRPr="00A679A5">
        <w:t>alternatives, which is especially important for the early stage energy planning in developing markets considering the SMR inclusion into the energy mix</w:t>
      </w:r>
      <w:r w:rsidR="00C946E5" w:rsidRPr="003042E8">
        <w:t>.</w:t>
      </w:r>
      <w:r w:rsidR="00931B5F" w:rsidRPr="00931B5F">
        <w:t xml:space="preserve"> The paper describes the methodology and demonstrates the principles of cost estimation using African indicators as an example.</w:t>
      </w:r>
    </w:p>
    <w:p w14:paraId="164EBD02" w14:textId="77777777" w:rsidR="00647F33" w:rsidRDefault="00F523CA" w:rsidP="00466B2A">
      <w:pPr>
        <w:pStyle w:val="Heading2"/>
        <w:numPr>
          <w:ilvl w:val="1"/>
          <w:numId w:val="5"/>
        </w:numPr>
      </w:pPr>
      <w:r>
        <w:t>INTRODUCTION</w:t>
      </w:r>
    </w:p>
    <w:p w14:paraId="65B5B437" w14:textId="77777777" w:rsidR="00454F48" w:rsidRPr="003042E8" w:rsidRDefault="001632FD" w:rsidP="008B649B">
      <w:pPr>
        <w:pStyle w:val="Abstracttext"/>
        <w:jc w:val="both"/>
        <w:rPr>
          <w:sz w:val="20"/>
        </w:rPr>
      </w:pPr>
      <w:r w:rsidRPr="003042E8">
        <w:rPr>
          <w:sz w:val="20"/>
        </w:rPr>
        <w:t xml:space="preserve">Nuclear SMR is one of newest energy power technology </w:t>
      </w:r>
      <w:r w:rsidR="00A679A5" w:rsidRPr="00A679A5">
        <w:rPr>
          <w:sz w:val="20"/>
        </w:rPr>
        <w:t xml:space="preserve">solutions being closer </w:t>
      </w:r>
      <w:r w:rsidRPr="003042E8">
        <w:rPr>
          <w:sz w:val="20"/>
        </w:rPr>
        <w:t xml:space="preserve">to real life implementation. The SMR characteristics </w:t>
      </w:r>
      <w:r w:rsidR="00A679A5" w:rsidRPr="00A679A5">
        <w:rPr>
          <w:sz w:val="20"/>
        </w:rPr>
        <w:t xml:space="preserve">contribute to the application of this </w:t>
      </w:r>
      <w:r w:rsidRPr="003042E8">
        <w:rPr>
          <w:sz w:val="20"/>
        </w:rPr>
        <w:t>technology</w:t>
      </w:r>
      <w:r w:rsidR="006A398A" w:rsidRPr="003042E8">
        <w:rPr>
          <w:sz w:val="20"/>
        </w:rPr>
        <w:t xml:space="preserve"> mostly </w:t>
      </w:r>
      <w:r w:rsidR="00A679A5" w:rsidRPr="00A679A5">
        <w:rPr>
          <w:sz w:val="20"/>
        </w:rPr>
        <w:t>under the following two types of market conditions</w:t>
      </w:r>
      <w:r w:rsidR="00477F70" w:rsidRPr="003042E8">
        <w:rPr>
          <w:sz w:val="20"/>
        </w:rPr>
        <w:t>:</w:t>
      </w:r>
    </w:p>
    <w:p w14:paraId="06CF8E8E" w14:textId="77777777" w:rsidR="00454F48" w:rsidRPr="003042E8" w:rsidRDefault="00D72ADB" w:rsidP="00466B2A">
      <w:pPr>
        <w:pStyle w:val="Abstracttext"/>
        <w:numPr>
          <w:ilvl w:val="0"/>
          <w:numId w:val="10"/>
        </w:numPr>
        <w:ind w:left="810" w:hanging="270"/>
        <w:jc w:val="both"/>
        <w:rPr>
          <w:sz w:val="20"/>
        </w:rPr>
      </w:pPr>
      <w:r w:rsidRPr="003042E8">
        <w:rPr>
          <w:sz w:val="20"/>
        </w:rPr>
        <w:t>Type 1 “</w:t>
      </w:r>
      <w:r w:rsidR="00454F48" w:rsidRPr="003042E8">
        <w:rPr>
          <w:sz w:val="20"/>
        </w:rPr>
        <w:t>National nuclear programs</w:t>
      </w:r>
      <w:r w:rsidRPr="003042E8">
        <w:rPr>
          <w:sz w:val="20"/>
        </w:rPr>
        <w:t>”</w:t>
      </w:r>
      <w:r w:rsidR="00454F48" w:rsidRPr="003042E8">
        <w:rPr>
          <w:sz w:val="20"/>
        </w:rPr>
        <w:t xml:space="preserve">: SMR is </w:t>
      </w:r>
      <w:r w:rsidR="00A41394" w:rsidRPr="003042E8">
        <w:rPr>
          <w:sz w:val="20"/>
        </w:rPr>
        <w:t>included</w:t>
      </w:r>
      <w:r w:rsidR="00454F48" w:rsidRPr="003042E8">
        <w:rPr>
          <w:sz w:val="20"/>
        </w:rPr>
        <w:t xml:space="preserve"> as</w:t>
      </w:r>
      <w:r w:rsidR="00A41394" w:rsidRPr="003042E8">
        <w:rPr>
          <w:sz w:val="20"/>
        </w:rPr>
        <w:t xml:space="preserve"> </w:t>
      </w:r>
      <w:r w:rsidR="00A679A5">
        <w:rPr>
          <w:sz w:val="20"/>
        </w:rPr>
        <w:t xml:space="preserve">an </w:t>
      </w:r>
      <w:r w:rsidR="00A41394" w:rsidRPr="003042E8">
        <w:rPr>
          <w:sz w:val="20"/>
        </w:rPr>
        <w:t>integral</w:t>
      </w:r>
      <w:r w:rsidR="00454F48" w:rsidRPr="003042E8">
        <w:rPr>
          <w:sz w:val="20"/>
        </w:rPr>
        <w:t xml:space="preserve"> part of </w:t>
      </w:r>
      <w:r w:rsidR="00A679A5">
        <w:rPr>
          <w:sz w:val="20"/>
        </w:rPr>
        <w:t>the</w:t>
      </w:r>
      <w:r w:rsidR="00454F48" w:rsidRPr="003042E8">
        <w:rPr>
          <w:sz w:val="20"/>
        </w:rPr>
        <w:t xml:space="preserve"> national power </w:t>
      </w:r>
      <w:r w:rsidR="00A41394" w:rsidRPr="003042E8">
        <w:rPr>
          <w:sz w:val="20"/>
        </w:rPr>
        <w:t>system</w:t>
      </w:r>
      <w:r w:rsidR="00454F48" w:rsidRPr="003042E8">
        <w:rPr>
          <w:sz w:val="20"/>
        </w:rPr>
        <w:t xml:space="preserve">, </w:t>
      </w:r>
      <w:r w:rsidR="00A41394" w:rsidRPr="003042E8">
        <w:rPr>
          <w:sz w:val="20"/>
        </w:rPr>
        <w:t>also</w:t>
      </w:r>
      <w:r w:rsidR="00477F70" w:rsidRPr="003042E8">
        <w:rPr>
          <w:sz w:val="20"/>
        </w:rPr>
        <w:t xml:space="preserve"> </w:t>
      </w:r>
      <w:r w:rsidR="00A679A5">
        <w:rPr>
          <w:sz w:val="20"/>
        </w:rPr>
        <w:t xml:space="preserve">at the </w:t>
      </w:r>
      <w:r w:rsidR="00477F70" w:rsidRPr="003042E8">
        <w:rPr>
          <w:sz w:val="20"/>
        </w:rPr>
        <w:t>initial stage</w:t>
      </w:r>
      <w:r w:rsidR="00A41394" w:rsidRPr="003042E8">
        <w:rPr>
          <w:sz w:val="20"/>
        </w:rPr>
        <w:t>s</w:t>
      </w:r>
      <w:r w:rsidR="00477F70" w:rsidRPr="003042E8">
        <w:rPr>
          <w:sz w:val="20"/>
        </w:rPr>
        <w:t xml:space="preserve"> of </w:t>
      </w:r>
      <w:r w:rsidR="00A679A5">
        <w:rPr>
          <w:sz w:val="20"/>
        </w:rPr>
        <w:t xml:space="preserve">the </w:t>
      </w:r>
      <w:r w:rsidR="00477F70" w:rsidRPr="003042E8">
        <w:rPr>
          <w:sz w:val="20"/>
        </w:rPr>
        <w:t>country</w:t>
      </w:r>
      <w:r w:rsidR="00A679A5">
        <w:rPr>
          <w:sz w:val="20"/>
        </w:rPr>
        <w:t>’s</w:t>
      </w:r>
      <w:r w:rsidR="00477F70" w:rsidRPr="003042E8">
        <w:rPr>
          <w:sz w:val="20"/>
        </w:rPr>
        <w:t xml:space="preserve"> electrification</w:t>
      </w:r>
      <w:r w:rsidR="00A41394" w:rsidRPr="003042E8">
        <w:rPr>
          <w:sz w:val="20"/>
        </w:rPr>
        <w:t xml:space="preserve"> and extensive econom</w:t>
      </w:r>
      <w:r w:rsidR="00A679A5">
        <w:rPr>
          <w:sz w:val="20"/>
        </w:rPr>
        <w:t>ic</w:t>
      </w:r>
      <w:r w:rsidR="00A41394" w:rsidRPr="003042E8">
        <w:rPr>
          <w:sz w:val="20"/>
        </w:rPr>
        <w:t xml:space="preserve"> growth</w:t>
      </w:r>
      <w:r w:rsidR="00454F48" w:rsidRPr="003042E8">
        <w:rPr>
          <w:sz w:val="20"/>
        </w:rPr>
        <w:t>;</w:t>
      </w:r>
      <w:r w:rsidR="00477F70" w:rsidRPr="003042E8">
        <w:rPr>
          <w:sz w:val="20"/>
        </w:rPr>
        <w:t xml:space="preserve"> </w:t>
      </w:r>
    </w:p>
    <w:p w14:paraId="639C98A1" w14:textId="77777777" w:rsidR="00BA2287" w:rsidRPr="003042E8" w:rsidRDefault="00D72ADB" w:rsidP="00466B2A">
      <w:pPr>
        <w:pStyle w:val="Abstracttext"/>
        <w:numPr>
          <w:ilvl w:val="0"/>
          <w:numId w:val="10"/>
        </w:numPr>
        <w:ind w:left="810" w:hanging="270"/>
        <w:jc w:val="both"/>
        <w:rPr>
          <w:sz w:val="20"/>
        </w:rPr>
      </w:pPr>
      <w:r w:rsidRPr="003042E8">
        <w:rPr>
          <w:sz w:val="20"/>
        </w:rPr>
        <w:t>Type 2 “</w:t>
      </w:r>
      <w:r w:rsidR="00454F48" w:rsidRPr="003042E8">
        <w:rPr>
          <w:sz w:val="20"/>
        </w:rPr>
        <w:t>Corporate nuclear programs</w:t>
      </w:r>
      <w:r w:rsidRPr="003042E8">
        <w:rPr>
          <w:sz w:val="20"/>
        </w:rPr>
        <w:t>”</w:t>
      </w:r>
      <w:r w:rsidR="00454F48" w:rsidRPr="003042E8">
        <w:rPr>
          <w:sz w:val="20"/>
        </w:rPr>
        <w:t>:</w:t>
      </w:r>
      <w:r w:rsidR="00477F70" w:rsidRPr="003042E8">
        <w:rPr>
          <w:sz w:val="20"/>
        </w:rPr>
        <w:t xml:space="preserve"> </w:t>
      </w:r>
      <w:r w:rsidR="00A41394" w:rsidRPr="003042E8">
        <w:rPr>
          <w:sz w:val="20"/>
        </w:rPr>
        <w:t xml:space="preserve">SMR is used as part of </w:t>
      </w:r>
      <w:r w:rsidR="004907CD">
        <w:rPr>
          <w:sz w:val="20"/>
        </w:rPr>
        <w:t xml:space="preserve">the </w:t>
      </w:r>
      <w:r w:rsidR="00A41394" w:rsidRPr="003042E8">
        <w:rPr>
          <w:sz w:val="20"/>
        </w:rPr>
        <w:t xml:space="preserve">industrial energy complex most probably within </w:t>
      </w:r>
      <w:r w:rsidR="00477F70" w:rsidRPr="003042E8">
        <w:rPr>
          <w:sz w:val="20"/>
        </w:rPr>
        <w:t>distant and isolated territories.</w:t>
      </w:r>
      <w:r w:rsidR="003A574D" w:rsidRPr="003042E8">
        <w:rPr>
          <w:sz w:val="20"/>
        </w:rPr>
        <w:t xml:space="preserve"> </w:t>
      </w:r>
    </w:p>
    <w:p w14:paraId="0998376D" w14:textId="77777777" w:rsidR="00914C8E" w:rsidRPr="00545D35" w:rsidRDefault="00450E42" w:rsidP="008B649B">
      <w:pPr>
        <w:pStyle w:val="Abstracttext"/>
        <w:jc w:val="both"/>
        <w:rPr>
          <w:sz w:val="20"/>
        </w:rPr>
      </w:pPr>
      <w:r w:rsidRPr="003042E8">
        <w:rPr>
          <w:sz w:val="20"/>
        </w:rPr>
        <w:t xml:space="preserve">The paper concentrates on consideration </w:t>
      </w:r>
      <w:r w:rsidR="004907CD">
        <w:rPr>
          <w:sz w:val="20"/>
        </w:rPr>
        <w:t xml:space="preserve">of </w:t>
      </w:r>
      <w:r w:rsidRPr="003042E8">
        <w:rPr>
          <w:sz w:val="20"/>
        </w:rPr>
        <w:t>the first type</w:t>
      </w:r>
      <w:r w:rsidR="00D72ADB" w:rsidRPr="003042E8">
        <w:rPr>
          <w:sz w:val="20"/>
        </w:rPr>
        <w:t xml:space="preserve"> of </w:t>
      </w:r>
      <w:r w:rsidR="004907CD">
        <w:rPr>
          <w:sz w:val="20"/>
        </w:rPr>
        <w:t xml:space="preserve">the </w:t>
      </w:r>
      <w:r w:rsidR="00D72ADB" w:rsidRPr="003042E8">
        <w:rPr>
          <w:sz w:val="20"/>
        </w:rPr>
        <w:t>SMR application</w:t>
      </w:r>
      <w:r w:rsidRPr="003042E8">
        <w:rPr>
          <w:sz w:val="20"/>
        </w:rPr>
        <w:t xml:space="preserve"> and </w:t>
      </w:r>
      <w:r w:rsidRPr="00545D35">
        <w:rPr>
          <w:sz w:val="20"/>
        </w:rPr>
        <w:t>analyze</w:t>
      </w:r>
      <w:r w:rsidR="004907CD" w:rsidRPr="00545D35">
        <w:rPr>
          <w:sz w:val="20"/>
        </w:rPr>
        <w:t>s</w:t>
      </w:r>
      <w:r w:rsidRPr="00545D35">
        <w:rPr>
          <w:sz w:val="20"/>
        </w:rPr>
        <w:t xml:space="preserve"> advantages of SMR technologies that </w:t>
      </w:r>
      <w:r w:rsidR="004907CD" w:rsidRPr="00545D35">
        <w:rPr>
          <w:sz w:val="20"/>
        </w:rPr>
        <w:t>rank on a par with other technologies like RES providing a wide range of opportunities</w:t>
      </w:r>
      <w:r w:rsidRPr="00545D35">
        <w:rPr>
          <w:sz w:val="20"/>
        </w:rPr>
        <w:t>.</w:t>
      </w:r>
    </w:p>
    <w:p w14:paraId="2F930965" w14:textId="77777777" w:rsidR="00D72ADB" w:rsidRPr="003042E8" w:rsidRDefault="00D72ADB" w:rsidP="00D72ADB">
      <w:pPr>
        <w:pStyle w:val="Abstracttext"/>
        <w:jc w:val="both"/>
        <w:rPr>
          <w:sz w:val="20"/>
        </w:rPr>
      </w:pPr>
      <w:r w:rsidRPr="00545D35">
        <w:rPr>
          <w:sz w:val="20"/>
        </w:rPr>
        <w:t xml:space="preserve">The first market type is </w:t>
      </w:r>
      <w:r w:rsidR="004907CD" w:rsidRPr="00545D35">
        <w:rPr>
          <w:sz w:val="20"/>
        </w:rPr>
        <w:t xml:space="preserve">perspective </w:t>
      </w:r>
      <w:r w:rsidRPr="00545D35">
        <w:rPr>
          <w:sz w:val="20"/>
        </w:rPr>
        <w:t>and has significant potential size</w:t>
      </w:r>
      <w:r w:rsidR="0063714B" w:rsidRPr="00545D35">
        <w:rPr>
          <w:sz w:val="20"/>
        </w:rPr>
        <w:t xml:space="preserve"> (150-170 GW) [1]</w:t>
      </w:r>
      <w:r w:rsidRPr="00545D35">
        <w:rPr>
          <w:sz w:val="20"/>
        </w:rPr>
        <w:t xml:space="preserve">, but </w:t>
      </w:r>
      <w:r w:rsidR="004907CD" w:rsidRPr="00545D35">
        <w:rPr>
          <w:sz w:val="20"/>
        </w:rPr>
        <w:t>th</w:t>
      </w:r>
      <w:r w:rsidRPr="00545D35">
        <w:rPr>
          <w:sz w:val="20"/>
        </w:rPr>
        <w:t>i</w:t>
      </w:r>
      <w:r w:rsidR="004907CD" w:rsidRPr="00545D35">
        <w:rPr>
          <w:sz w:val="20"/>
        </w:rPr>
        <w:t>s</w:t>
      </w:r>
      <w:r w:rsidRPr="00545D35">
        <w:rPr>
          <w:sz w:val="20"/>
        </w:rPr>
        <w:t xml:space="preserve"> also means that </w:t>
      </w:r>
      <w:r w:rsidR="004907CD" w:rsidRPr="00545D35">
        <w:rPr>
          <w:sz w:val="20"/>
        </w:rPr>
        <w:t xml:space="preserve">the </w:t>
      </w:r>
      <w:r w:rsidRPr="00545D35">
        <w:rPr>
          <w:sz w:val="20"/>
        </w:rPr>
        <w:t xml:space="preserve">energy sector and </w:t>
      </w:r>
      <w:r w:rsidR="004907CD" w:rsidRPr="00545D35">
        <w:rPr>
          <w:sz w:val="20"/>
        </w:rPr>
        <w:t xml:space="preserve">the </w:t>
      </w:r>
      <w:r w:rsidRPr="00545D35">
        <w:rPr>
          <w:sz w:val="20"/>
        </w:rPr>
        <w:t>national economy have to grow at the same time. This is a challenge</w:t>
      </w:r>
      <w:r w:rsidRPr="003042E8">
        <w:rPr>
          <w:sz w:val="20"/>
        </w:rPr>
        <w:t xml:space="preserve"> for energy decisions because in this case generation technologies must help get</w:t>
      </w:r>
      <w:r w:rsidR="004907CD">
        <w:rPr>
          <w:sz w:val="20"/>
        </w:rPr>
        <w:t xml:space="preserve"> a</w:t>
      </w:r>
      <w:r w:rsidRPr="003042E8">
        <w:rPr>
          <w:sz w:val="20"/>
        </w:rPr>
        <w:t xml:space="preserve"> multiplicator for</w:t>
      </w:r>
      <w:r w:rsidR="004907CD">
        <w:rPr>
          <w:sz w:val="20"/>
        </w:rPr>
        <w:t xml:space="preserve"> the</w:t>
      </w:r>
      <w:r w:rsidRPr="003042E8">
        <w:rPr>
          <w:sz w:val="20"/>
        </w:rPr>
        <w:t xml:space="preserve"> local economic development.</w:t>
      </w:r>
    </w:p>
    <w:p w14:paraId="36DC3565" w14:textId="77777777" w:rsidR="008B649B" w:rsidRPr="003042E8" w:rsidRDefault="008B649B" w:rsidP="008B649B">
      <w:pPr>
        <w:pStyle w:val="Abstracttext"/>
        <w:jc w:val="both"/>
        <w:rPr>
          <w:sz w:val="20"/>
        </w:rPr>
      </w:pPr>
      <w:r w:rsidRPr="003042E8">
        <w:rPr>
          <w:sz w:val="20"/>
        </w:rPr>
        <w:t xml:space="preserve">LCOE is the principal tool used </w:t>
      </w:r>
      <w:r w:rsidR="009A6910">
        <w:rPr>
          <w:sz w:val="20"/>
        </w:rPr>
        <w:t>for</w:t>
      </w:r>
      <w:r w:rsidRPr="003042E8">
        <w:rPr>
          <w:sz w:val="20"/>
        </w:rPr>
        <w:t xml:space="preserve"> comparing the costs of different electricity generation technologies. It is a measure of </w:t>
      </w:r>
      <w:r w:rsidR="004907CD">
        <w:rPr>
          <w:sz w:val="20"/>
        </w:rPr>
        <w:t xml:space="preserve">the </w:t>
      </w:r>
      <w:r w:rsidRPr="003042E8">
        <w:rPr>
          <w:sz w:val="20"/>
        </w:rPr>
        <w:t>total cost and</w:t>
      </w:r>
      <w:r w:rsidR="004907CD">
        <w:rPr>
          <w:sz w:val="20"/>
        </w:rPr>
        <w:t xml:space="preserve"> the</w:t>
      </w:r>
      <w:r w:rsidRPr="003042E8">
        <w:rPr>
          <w:sz w:val="20"/>
        </w:rPr>
        <w:t xml:space="preserve"> energy/electricity generated by an asset over its lifetime. The calculation results in a single value that represents each technological option available </w:t>
      </w:r>
      <w:r w:rsidR="004907CD">
        <w:rPr>
          <w:sz w:val="20"/>
        </w:rPr>
        <w:t>at</w:t>
      </w:r>
      <w:r w:rsidRPr="003042E8">
        <w:rPr>
          <w:sz w:val="20"/>
        </w:rPr>
        <w:t xml:space="preserve"> a particular location.</w:t>
      </w:r>
      <w:r w:rsidRPr="003042E8">
        <w:t xml:space="preserve"> </w:t>
      </w:r>
      <w:r w:rsidRPr="003042E8">
        <w:rPr>
          <w:sz w:val="20"/>
        </w:rPr>
        <w:t xml:space="preserve">The LCOE calculation formula involves taking the net present value of the total cost over the lifetime (by using </w:t>
      </w:r>
      <w:r w:rsidR="004907CD">
        <w:rPr>
          <w:sz w:val="20"/>
        </w:rPr>
        <w:t>a</w:t>
      </w:r>
      <w:r w:rsidRPr="003042E8">
        <w:rPr>
          <w:sz w:val="20"/>
        </w:rPr>
        <w:t xml:space="preserve"> discount factor to arrive at the net present value of the cost) and dividing it by the net present value of the total power generation over the project lifetime.</w:t>
      </w:r>
    </w:p>
    <w:p w14:paraId="38F92508" w14:textId="77777777" w:rsidR="005F7D9F" w:rsidRPr="003042E8" w:rsidRDefault="004907CD" w:rsidP="009F6BE8">
      <w:pPr>
        <w:pStyle w:val="Abstracttext"/>
        <w:jc w:val="both"/>
        <w:rPr>
          <w:sz w:val="20"/>
        </w:rPr>
      </w:pPr>
      <w:r>
        <w:rPr>
          <w:sz w:val="20"/>
        </w:rPr>
        <w:t>The s</w:t>
      </w:r>
      <w:r w:rsidR="005F7D9F" w:rsidRPr="003042E8">
        <w:rPr>
          <w:sz w:val="20"/>
        </w:rPr>
        <w:t xml:space="preserve">ystem of energy planning </w:t>
      </w:r>
      <w:r w:rsidRPr="003042E8">
        <w:rPr>
          <w:sz w:val="20"/>
        </w:rPr>
        <w:t>assumes</w:t>
      </w:r>
      <w:r w:rsidR="005F7D9F" w:rsidRPr="003042E8">
        <w:rPr>
          <w:sz w:val="20"/>
        </w:rPr>
        <w:t xml:space="preserve"> an iterative approach for</w:t>
      </w:r>
      <w:r w:rsidR="007B2967" w:rsidRPr="003042E8">
        <w:rPr>
          <w:sz w:val="20"/>
        </w:rPr>
        <w:t xml:space="preserve"> gradual selection of technological solutions. </w:t>
      </w:r>
      <w:r>
        <w:rPr>
          <w:sz w:val="20"/>
        </w:rPr>
        <w:t>The f</w:t>
      </w:r>
      <w:r w:rsidR="007B2967" w:rsidRPr="003042E8">
        <w:rPr>
          <w:sz w:val="20"/>
        </w:rPr>
        <w:t xml:space="preserve">irst phase of energy planning includes scenario analysis of different technological solutions in accordance </w:t>
      </w:r>
      <w:r>
        <w:rPr>
          <w:sz w:val="20"/>
        </w:rPr>
        <w:t>with the</w:t>
      </w:r>
      <w:r w:rsidR="007B2967" w:rsidRPr="003042E8">
        <w:rPr>
          <w:sz w:val="20"/>
        </w:rPr>
        <w:t xml:space="preserve"> technology and sources affordability, market needs, objectives of socio-economic development, </w:t>
      </w:r>
      <w:r>
        <w:rPr>
          <w:sz w:val="20"/>
        </w:rPr>
        <w:t xml:space="preserve">the </w:t>
      </w:r>
      <w:r w:rsidR="007B2967" w:rsidRPr="003042E8">
        <w:rPr>
          <w:sz w:val="20"/>
        </w:rPr>
        <w:t xml:space="preserve">structure of fuel and energy </w:t>
      </w:r>
      <w:r>
        <w:rPr>
          <w:sz w:val="20"/>
        </w:rPr>
        <w:t>mixes</w:t>
      </w:r>
      <w:r w:rsidR="007B2967" w:rsidRPr="003042E8">
        <w:rPr>
          <w:sz w:val="20"/>
        </w:rPr>
        <w:t>,</w:t>
      </w:r>
      <w:r>
        <w:rPr>
          <w:sz w:val="20"/>
        </w:rPr>
        <w:t xml:space="preserve"> and</w:t>
      </w:r>
      <w:r w:rsidR="007B2967" w:rsidRPr="003042E8">
        <w:rPr>
          <w:sz w:val="20"/>
        </w:rPr>
        <w:t xml:space="preserve"> other factors affect</w:t>
      </w:r>
      <w:r>
        <w:rPr>
          <w:sz w:val="20"/>
        </w:rPr>
        <w:t>ing the</w:t>
      </w:r>
      <w:r w:rsidR="007B2967" w:rsidRPr="003042E8">
        <w:rPr>
          <w:sz w:val="20"/>
        </w:rPr>
        <w:t xml:space="preserve"> future energy system vision. </w:t>
      </w:r>
    </w:p>
    <w:p w14:paraId="490E665E" w14:textId="77777777" w:rsidR="00CD01C8" w:rsidRDefault="00CD01C8" w:rsidP="009F6BE8">
      <w:pPr>
        <w:pStyle w:val="Abstracttext"/>
        <w:jc w:val="both"/>
        <w:rPr>
          <w:sz w:val="20"/>
          <w:lang w:val="en-GB"/>
        </w:rPr>
      </w:pPr>
      <w:r w:rsidRPr="003042E8">
        <w:rPr>
          <w:sz w:val="20"/>
          <w:lang w:val="en-GB"/>
        </w:rPr>
        <w:lastRenderedPageBreak/>
        <w:t>The review of various electrification plans prepared by international institutions and utilities</w:t>
      </w:r>
      <w:r w:rsidRPr="00CD01C8">
        <w:rPr>
          <w:sz w:val="20"/>
          <w:lang w:val="en-GB"/>
        </w:rPr>
        <w:t xml:space="preserve"> over the </w:t>
      </w:r>
      <w:r w:rsidR="004907CD">
        <w:rPr>
          <w:sz w:val="20"/>
          <w:lang w:val="en-GB"/>
        </w:rPr>
        <w:t>recent</w:t>
      </w:r>
      <w:r w:rsidRPr="00CD01C8">
        <w:rPr>
          <w:sz w:val="20"/>
          <w:lang w:val="en-GB"/>
        </w:rPr>
        <w:t xml:space="preserve"> years shows that in most cases the least cost energy approach is </w:t>
      </w:r>
      <w:r w:rsidR="009A6910">
        <w:rPr>
          <w:sz w:val="20"/>
          <w:lang w:val="en-GB"/>
        </w:rPr>
        <w:t>used</w:t>
      </w:r>
      <w:r w:rsidRPr="00CD01C8">
        <w:rPr>
          <w:sz w:val="20"/>
          <w:lang w:val="en-GB"/>
        </w:rPr>
        <w:t xml:space="preserve"> as the main approach when developing energy plans. The target function of this approach is to minimize the cost of electricity generated over the planning horizon.</w:t>
      </w:r>
    </w:p>
    <w:p w14:paraId="487A0268" w14:textId="77777777" w:rsidR="00CD01C8" w:rsidRPr="00545D35" w:rsidRDefault="009A6910" w:rsidP="009F6BE8">
      <w:pPr>
        <w:pStyle w:val="Abstracttext"/>
        <w:jc w:val="both"/>
        <w:rPr>
          <w:sz w:val="20"/>
          <w:lang w:val="en-GB"/>
        </w:rPr>
      </w:pPr>
      <w:r w:rsidRPr="00545D35">
        <w:rPr>
          <w:sz w:val="20"/>
          <w:lang w:val="en-GB"/>
        </w:rPr>
        <w:t>The Levelized Cost of Energy or Levelized Energy Cost (LCOE) metric is often used for initial planning and ranking of power generation options under the least cost generation planning approach</w:t>
      </w:r>
      <w:r w:rsidR="00191FF8" w:rsidRPr="00545D35">
        <w:rPr>
          <w:sz w:val="20"/>
          <w:lang w:val="en-GB"/>
        </w:rPr>
        <w:t xml:space="preserve"> [2-</w:t>
      </w:r>
      <w:r w:rsidR="00804163" w:rsidRPr="00545D35">
        <w:rPr>
          <w:sz w:val="20"/>
          <w:lang w:val="en-GB"/>
        </w:rPr>
        <w:t>10</w:t>
      </w:r>
      <w:r w:rsidR="00191FF8" w:rsidRPr="00545D35">
        <w:rPr>
          <w:sz w:val="20"/>
          <w:lang w:val="en-GB"/>
        </w:rPr>
        <w:t>]</w:t>
      </w:r>
      <w:r w:rsidR="00CD01C8" w:rsidRPr="00545D35">
        <w:rPr>
          <w:sz w:val="20"/>
          <w:lang w:val="en-GB"/>
        </w:rPr>
        <w:t xml:space="preserve">. </w:t>
      </w:r>
      <w:r w:rsidR="000C4C12" w:rsidRPr="00545D35">
        <w:rPr>
          <w:sz w:val="20"/>
          <w:lang w:val="en-GB"/>
        </w:rPr>
        <w:t>According to LAZARD, IRENA and other organizations' LCOE studies, VRE (wind and solar) outperform widely fossils fuels and nuclear</w:t>
      </w:r>
      <w:r w:rsidR="006A50C6" w:rsidRPr="00545D35">
        <w:rPr>
          <w:sz w:val="20"/>
          <w:lang w:val="en-GB"/>
        </w:rPr>
        <w:t xml:space="preserve"> [</w:t>
      </w:r>
      <w:r w:rsidR="00191FF8" w:rsidRPr="00545D35">
        <w:rPr>
          <w:sz w:val="20"/>
          <w:lang w:val="en-GB"/>
        </w:rPr>
        <w:t>1</w:t>
      </w:r>
      <w:r w:rsidR="00804163" w:rsidRPr="00545D35">
        <w:rPr>
          <w:sz w:val="20"/>
          <w:lang w:val="en-GB"/>
        </w:rPr>
        <w:t>1-</w:t>
      </w:r>
      <w:r w:rsidR="00191FF8" w:rsidRPr="00545D35">
        <w:rPr>
          <w:sz w:val="20"/>
          <w:lang w:val="en-GB"/>
        </w:rPr>
        <w:t>1</w:t>
      </w:r>
      <w:r w:rsidR="00804163" w:rsidRPr="00545D35">
        <w:rPr>
          <w:sz w:val="20"/>
          <w:lang w:val="en-GB"/>
        </w:rPr>
        <w:t>3</w:t>
      </w:r>
      <w:r w:rsidR="006A50C6" w:rsidRPr="00545D35">
        <w:rPr>
          <w:sz w:val="20"/>
          <w:lang w:val="en-GB"/>
        </w:rPr>
        <w:t>]</w:t>
      </w:r>
      <w:r w:rsidR="000C4C12" w:rsidRPr="00545D35">
        <w:rPr>
          <w:sz w:val="20"/>
          <w:lang w:val="en-GB"/>
        </w:rPr>
        <w:t>.</w:t>
      </w:r>
    </w:p>
    <w:p w14:paraId="0BBB3CF5" w14:textId="77777777" w:rsidR="003042E8" w:rsidRPr="00545D35" w:rsidRDefault="004907CD" w:rsidP="003042E8">
      <w:pPr>
        <w:pStyle w:val="Abstracttext"/>
        <w:jc w:val="both"/>
        <w:rPr>
          <w:sz w:val="20"/>
        </w:rPr>
      </w:pPr>
      <w:r w:rsidRPr="00545D35">
        <w:rPr>
          <w:sz w:val="20"/>
        </w:rPr>
        <w:t>The a</w:t>
      </w:r>
      <w:r w:rsidR="003042E8" w:rsidRPr="00545D35">
        <w:rPr>
          <w:sz w:val="20"/>
        </w:rPr>
        <w:t xml:space="preserve">nalysis of the research publications statistics for the period from 2000 to 2024 on the subject of using LCOE parameters as a tool in cost generation planning shows </w:t>
      </w:r>
      <w:r w:rsidRPr="00545D35">
        <w:rPr>
          <w:sz w:val="20"/>
        </w:rPr>
        <w:t>that there are</w:t>
      </w:r>
      <w:r w:rsidR="003042E8" w:rsidRPr="00545D35">
        <w:rPr>
          <w:sz w:val="20"/>
        </w:rPr>
        <w:t xml:space="preserve"> more than 10</w:t>
      </w:r>
      <w:r w:rsidRPr="00545D35">
        <w:rPr>
          <w:sz w:val="20"/>
        </w:rPr>
        <w:t>,000</w:t>
      </w:r>
      <w:r w:rsidR="003042E8" w:rsidRPr="00545D35">
        <w:rPr>
          <w:sz w:val="20"/>
        </w:rPr>
        <w:t xml:space="preserve"> </w:t>
      </w:r>
      <w:r w:rsidRPr="00545D35">
        <w:rPr>
          <w:sz w:val="20"/>
        </w:rPr>
        <w:t>papers</w:t>
      </w:r>
      <w:r w:rsidR="003042E8" w:rsidRPr="00545D35">
        <w:rPr>
          <w:sz w:val="20"/>
        </w:rPr>
        <w:t xml:space="preserve">. </w:t>
      </w:r>
      <w:r w:rsidR="00857B4D" w:rsidRPr="00545D35">
        <w:rPr>
          <w:sz w:val="20"/>
        </w:rPr>
        <w:t xml:space="preserve">According to </w:t>
      </w:r>
      <w:r w:rsidR="006653EB" w:rsidRPr="00545D35">
        <w:rPr>
          <w:sz w:val="20"/>
        </w:rPr>
        <w:t xml:space="preserve">the </w:t>
      </w:r>
      <w:r w:rsidR="00857B4D" w:rsidRPr="00545D35">
        <w:rPr>
          <w:sz w:val="20"/>
        </w:rPr>
        <w:t>ResearchGate materials, m</w:t>
      </w:r>
      <w:r w:rsidR="003042E8" w:rsidRPr="00545D35">
        <w:rPr>
          <w:sz w:val="20"/>
        </w:rPr>
        <w:t xml:space="preserve">ore than 85% of such papers are devoted to the application of </w:t>
      </w:r>
      <w:r w:rsidR="006653EB" w:rsidRPr="00545D35">
        <w:rPr>
          <w:sz w:val="20"/>
        </w:rPr>
        <w:t xml:space="preserve">the </w:t>
      </w:r>
      <w:r w:rsidR="003042E8" w:rsidRPr="00545D35">
        <w:rPr>
          <w:sz w:val="20"/>
        </w:rPr>
        <w:t xml:space="preserve">LCOE approach </w:t>
      </w:r>
      <w:r w:rsidR="006653EB" w:rsidRPr="00545D35">
        <w:rPr>
          <w:sz w:val="20"/>
        </w:rPr>
        <w:t>in</w:t>
      </w:r>
      <w:r w:rsidR="003042E8" w:rsidRPr="00545D35">
        <w:rPr>
          <w:sz w:val="20"/>
        </w:rPr>
        <w:t xml:space="preserve"> renewables generation, which confirms the main focus of this tool.</w:t>
      </w:r>
    </w:p>
    <w:p w14:paraId="291E2912" w14:textId="77777777" w:rsidR="003042E8" w:rsidRDefault="003042E8" w:rsidP="003042E8">
      <w:pPr>
        <w:pStyle w:val="Abstracttext"/>
        <w:jc w:val="both"/>
        <w:rPr>
          <w:sz w:val="20"/>
        </w:rPr>
      </w:pPr>
      <w:r w:rsidRPr="00545D35">
        <w:rPr>
          <w:sz w:val="20"/>
        </w:rPr>
        <w:t>Existing industry methodological approaches apply the LCOE parameter primarily in the format of, or in combination with, energy adjustments. These energy adjustments usually contain a cost (System LCOE</w:t>
      </w:r>
      <w:r w:rsidR="006C37ED" w:rsidRPr="00545D35">
        <w:rPr>
          <w:sz w:val="20"/>
        </w:rPr>
        <w:t>)</w:t>
      </w:r>
      <w:r w:rsidR="00F37418" w:rsidRPr="00545D35">
        <w:rPr>
          <w:sz w:val="20"/>
        </w:rPr>
        <w:t xml:space="preserve"> </w:t>
      </w:r>
      <w:r w:rsidR="00857B4D" w:rsidRPr="00545D35">
        <w:rPr>
          <w:sz w:val="20"/>
        </w:rPr>
        <w:t>[</w:t>
      </w:r>
      <w:r w:rsidR="00191FF8" w:rsidRPr="00545D35">
        <w:rPr>
          <w:sz w:val="20"/>
        </w:rPr>
        <w:t>1</w:t>
      </w:r>
      <w:r w:rsidR="00804163" w:rsidRPr="00545D35">
        <w:rPr>
          <w:sz w:val="20"/>
        </w:rPr>
        <w:t>4</w:t>
      </w:r>
      <w:r w:rsidR="00857B4D" w:rsidRPr="00545D35">
        <w:rPr>
          <w:sz w:val="20"/>
        </w:rPr>
        <w:t>]</w:t>
      </w:r>
      <w:r w:rsidRPr="00545D35">
        <w:rPr>
          <w:sz w:val="20"/>
        </w:rPr>
        <w:t xml:space="preserve"> or value (</w:t>
      </w:r>
      <w:proofErr w:type="spellStart"/>
      <w:r w:rsidRPr="00545D35">
        <w:rPr>
          <w:sz w:val="20"/>
        </w:rPr>
        <w:t>VaLCOE</w:t>
      </w:r>
      <w:proofErr w:type="spellEnd"/>
      <w:r w:rsidR="00727C01" w:rsidRPr="00545D35">
        <w:rPr>
          <w:sz w:val="20"/>
        </w:rPr>
        <w:t>)</w:t>
      </w:r>
      <w:r w:rsidR="00F37418" w:rsidRPr="00545D35">
        <w:rPr>
          <w:sz w:val="20"/>
        </w:rPr>
        <w:t xml:space="preserve"> </w:t>
      </w:r>
      <w:r w:rsidR="00857B4D" w:rsidRPr="00545D35">
        <w:rPr>
          <w:sz w:val="20"/>
        </w:rPr>
        <w:t>[</w:t>
      </w:r>
      <w:r w:rsidR="00191FF8" w:rsidRPr="00545D35">
        <w:rPr>
          <w:sz w:val="20"/>
        </w:rPr>
        <w:t>1</w:t>
      </w:r>
      <w:r w:rsidR="00804163" w:rsidRPr="00545D35">
        <w:rPr>
          <w:sz w:val="20"/>
        </w:rPr>
        <w:t>5</w:t>
      </w:r>
      <w:r w:rsidR="00857B4D" w:rsidRPr="00545D35">
        <w:rPr>
          <w:sz w:val="20"/>
        </w:rPr>
        <w:t>]</w:t>
      </w:r>
      <w:r w:rsidRPr="00545D35">
        <w:rPr>
          <w:sz w:val="20"/>
        </w:rPr>
        <w:t xml:space="preserve"> adjustment.</w:t>
      </w:r>
    </w:p>
    <w:p w14:paraId="051A5582" w14:textId="77777777" w:rsidR="00CD01C8" w:rsidRDefault="00CD01C8" w:rsidP="003042E8">
      <w:pPr>
        <w:pStyle w:val="Abstracttext"/>
        <w:jc w:val="both"/>
        <w:rPr>
          <w:sz w:val="20"/>
          <w:lang w:val="en-GB"/>
        </w:rPr>
      </w:pPr>
      <w:r w:rsidRPr="00545D35">
        <w:rPr>
          <w:sz w:val="20"/>
          <w:lang w:val="en-GB"/>
        </w:rPr>
        <w:t>The use of these least cost metrics for choosing the preferred energy mix may be quite misleading</w:t>
      </w:r>
      <w:r w:rsidRPr="00CD01C8">
        <w:rPr>
          <w:sz w:val="20"/>
          <w:lang w:val="en-GB"/>
        </w:rPr>
        <w:t xml:space="preserve">, even putting aside the issue of comparing the cost of variable and </w:t>
      </w:r>
      <w:r w:rsidR="0039400B">
        <w:rPr>
          <w:sz w:val="20"/>
          <w:lang w:val="en-GB"/>
        </w:rPr>
        <w:t>dispatchable</w:t>
      </w:r>
      <w:r w:rsidRPr="00DB032C">
        <w:rPr>
          <w:color w:val="FF0000"/>
          <w:sz w:val="20"/>
          <w:lang w:val="en-GB"/>
        </w:rPr>
        <w:t xml:space="preserve"> </w:t>
      </w:r>
      <w:r w:rsidRPr="00CD01C8">
        <w:rPr>
          <w:sz w:val="20"/>
          <w:lang w:val="en-GB"/>
        </w:rPr>
        <w:t>capacities. This approach does</w:t>
      </w:r>
      <w:r w:rsidR="006653EB">
        <w:rPr>
          <w:sz w:val="20"/>
          <w:lang w:val="en-GB"/>
        </w:rPr>
        <w:t xml:space="preserve"> </w:t>
      </w:r>
      <w:r w:rsidRPr="00CD01C8">
        <w:rPr>
          <w:sz w:val="20"/>
          <w:lang w:val="en-GB"/>
        </w:rPr>
        <w:t>n</w:t>
      </w:r>
      <w:r w:rsidR="006653EB">
        <w:rPr>
          <w:sz w:val="20"/>
          <w:lang w:val="en-GB"/>
        </w:rPr>
        <w:t>o</w:t>
      </w:r>
      <w:r w:rsidRPr="00CD01C8">
        <w:rPr>
          <w:sz w:val="20"/>
          <w:lang w:val="en-GB"/>
        </w:rPr>
        <w:t>t tell</w:t>
      </w:r>
      <w:r w:rsidR="006653EB">
        <w:rPr>
          <w:sz w:val="20"/>
          <w:lang w:val="en-GB"/>
        </w:rPr>
        <w:t xml:space="preserve"> us</w:t>
      </w:r>
      <w:r w:rsidRPr="00CD01C8">
        <w:rPr>
          <w:sz w:val="20"/>
          <w:lang w:val="en-GB"/>
        </w:rPr>
        <w:t xml:space="preserve"> much about the real affordability of large electrification programs for a particular country as it is applied in isolation from macroeconomic planning which </w:t>
      </w:r>
      <w:proofErr w:type="gramStart"/>
      <w:r w:rsidRPr="00CD01C8">
        <w:rPr>
          <w:sz w:val="20"/>
          <w:lang w:val="en-GB"/>
        </w:rPr>
        <w:t>takes into account</w:t>
      </w:r>
      <w:proofErr w:type="gramEnd"/>
      <w:r w:rsidRPr="00CD01C8">
        <w:rPr>
          <w:sz w:val="20"/>
          <w:lang w:val="en-GB"/>
        </w:rPr>
        <w:t xml:space="preserve"> the total value </w:t>
      </w:r>
      <w:r w:rsidR="006653EB">
        <w:rPr>
          <w:sz w:val="20"/>
          <w:lang w:val="en-GB"/>
        </w:rPr>
        <w:t>for</w:t>
      </w:r>
      <w:r w:rsidRPr="00CD01C8">
        <w:rPr>
          <w:sz w:val="20"/>
          <w:lang w:val="en-GB"/>
        </w:rPr>
        <w:t xml:space="preserve"> the economy that investments bring.</w:t>
      </w:r>
    </w:p>
    <w:p w14:paraId="5E4F1805" w14:textId="77777777" w:rsidR="00007C91" w:rsidRPr="00075FF7" w:rsidRDefault="00075FF7" w:rsidP="00007C91">
      <w:pPr>
        <w:pStyle w:val="Abstracttext"/>
        <w:jc w:val="both"/>
        <w:rPr>
          <w:sz w:val="20"/>
          <w:highlight w:val="yellow"/>
        </w:rPr>
      </w:pPr>
      <w:r w:rsidRPr="00075FF7">
        <w:rPr>
          <w:sz w:val="20"/>
        </w:rPr>
        <w:t xml:space="preserve">The paper proposes to consider the possibility of applying </w:t>
      </w:r>
      <w:r w:rsidRPr="005B662B">
        <w:rPr>
          <w:sz w:val="20"/>
        </w:rPr>
        <w:t xml:space="preserve">macroeconomic adjustments to the LCOE parameter. In this case, the cost </w:t>
      </w:r>
      <w:r w:rsidR="006653EB" w:rsidRPr="005B662B">
        <w:rPr>
          <w:sz w:val="20"/>
        </w:rPr>
        <w:t>adjustment</w:t>
      </w:r>
      <w:r w:rsidRPr="005B662B">
        <w:rPr>
          <w:sz w:val="20"/>
        </w:rPr>
        <w:t xml:space="preserve"> will </w:t>
      </w:r>
      <w:proofErr w:type="gramStart"/>
      <w:r w:rsidRPr="005B662B">
        <w:rPr>
          <w:sz w:val="20"/>
        </w:rPr>
        <w:t>take into account</w:t>
      </w:r>
      <w:proofErr w:type="gramEnd"/>
      <w:r w:rsidRPr="005B662B">
        <w:rPr>
          <w:sz w:val="20"/>
        </w:rPr>
        <w:t xml:space="preserve"> the cost of generated electricity to national GDP, and the value </w:t>
      </w:r>
      <w:r w:rsidR="006653EB" w:rsidRPr="005B662B">
        <w:rPr>
          <w:sz w:val="20"/>
        </w:rPr>
        <w:t xml:space="preserve">adjustment </w:t>
      </w:r>
      <w:r w:rsidRPr="005B662B">
        <w:rPr>
          <w:sz w:val="20"/>
        </w:rPr>
        <w:t>will take into account the contribution to GDP (see Fig. 1</w:t>
      </w:r>
      <w:r w:rsidR="006653EB" w:rsidRPr="005B662B">
        <w:rPr>
          <w:sz w:val="20"/>
        </w:rPr>
        <w:t xml:space="preserve"> below</w:t>
      </w:r>
      <w:r w:rsidRPr="005B662B">
        <w:rPr>
          <w:sz w:val="20"/>
        </w:rPr>
        <w:t>). Th</w:t>
      </w:r>
      <w:r w:rsidR="005C3F9C" w:rsidRPr="005B662B">
        <w:rPr>
          <w:sz w:val="20"/>
        </w:rPr>
        <w:t>e</w:t>
      </w:r>
      <w:r w:rsidRPr="00075FF7">
        <w:rPr>
          <w:sz w:val="20"/>
        </w:rPr>
        <w:t xml:space="preserve"> paper is devoted to the description of the methodological approach </w:t>
      </w:r>
      <w:r w:rsidR="006653EB">
        <w:rPr>
          <w:sz w:val="20"/>
        </w:rPr>
        <w:t>to the</w:t>
      </w:r>
      <w:r w:rsidRPr="00075FF7">
        <w:rPr>
          <w:sz w:val="20"/>
        </w:rPr>
        <w:t xml:space="preserve"> cost </w:t>
      </w:r>
      <w:r w:rsidR="006653EB">
        <w:rPr>
          <w:sz w:val="20"/>
        </w:rPr>
        <w:t>adjustment</w:t>
      </w:r>
      <w:r w:rsidR="006653EB" w:rsidRPr="00075FF7">
        <w:rPr>
          <w:sz w:val="20"/>
        </w:rPr>
        <w:t xml:space="preserve"> </w:t>
      </w:r>
      <w:r w:rsidRPr="00075FF7">
        <w:rPr>
          <w:sz w:val="20"/>
        </w:rPr>
        <w:t xml:space="preserve">based on the electricity cost </w:t>
      </w:r>
      <w:r w:rsidR="006653EB">
        <w:rPr>
          <w:sz w:val="20"/>
        </w:rPr>
        <w:t>to</w:t>
      </w:r>
      <w:r w:rsidRPr="00075FF7">
        <w:rPr>
          <w:sz w:val="20"/>
        </w:rPr>
        <w:t xml:space="preserve"> GDP and demonstration of the possibility of its application for nuclear and SMR generation types.</w:t>
      </w:r>
    </w:p>
    <w:p w14:paraId="1B594FB6" w14:textId="77777777" w:rsidR="00B10B7B" w:rsidRPr="00075FF7" w:rsidRDefault="00E7625A" w:rsidP="00D22B13">
      <w:pPr>
        <w:pStyle w:val="Abstracttext"/>
        <w:ind w:firstLine="0"/>
        <w:jc w:val="center"/>
        <w:rPr>
          <w:sz w:val="20"/>
        </w:rPr>
      </w:pPr>
      <w:r>
        <w:rPr>
          <w:noProof/>
        </w:rPr>
        <w:drawing>
          <wp:inline distT="0" distB="0" distL="0" distR="0" wp14:anchorId="0B7A9C9A" wp14:editId="79D672BE">
            <wp:extent cx="4777544" cy="2729345"/>
            <wp:effectExtent l="0" t="0" r="444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1649" cy="2777393"/>
                    </a:xfrm>
                    <a:prstGeom prst="rect">
                      <a:avLst/>
                    </a:prstGeom>
                  </pic:spPr>
                </pic:pic>
              </a:graphicData>
            </a:graphic>
          </wp:inline>
        </w:drawing>
      </w:r>
    </w:p>
    <w:p w14:paraId="4C53AF11" w14:textId="77777777" w:rsidR="00654C7A" w:rsidRDefault="00F90C69" w:rsidP="00654C7A">
      <w:pPr>
        <w:pStyle w:val="Caption"/>
        <w:jc w:val="center"/>
        <w:rPr>
          <w:i/>
          <w:lang w:val="en-GB"/>
        </w:rPr>
      </w:pPr>
      <w:r w:rsidRPr="00AD5FAF">
        <w:rPr>
          <w:i/>
        </w:rPr>
        <w:t>F</w:t>
      </w:r>
      <w:r>
        <w:rPr>
          <w:i/>
        </w:rPr>
        <w:t>IG</w:t>
      </w:r>
      <w:r w:rsidRPr="00AD5FAF">
        <w:rPr>
          <w:i/>
        </w:rPr>
        <w:t>.</w:t>
      </w:r>
      <w:r>
        <w:rPr>
          <w:i/>
        </w:rPr>
        <w:t xml:space="preserve"> </w:t>
      </w:r>
      <w:r w:rsidR="007E682D">
        <w:rPr>
          <w:i/>
        </w:rPr>
        <w:t>1</w:t>
      </w:r>
      <w:r>
        <w:rPr>
          <w:i/>
        </w:rPr>
        <w:t xml:space="preserve">. </w:t>
      </w:r>
      <w:r w:rsidR="00654C7A">
        <w:rPr>
          <w:i/>
        </w:rPr>
        <w:t xml:space="preserve">Existing and </w:t>
      </w:r>
      <w:r w:rsidR="00654C7A" w:rsidRPr="00AD5FAF">
        <w:rPr>
          <w:i/>
          <w:lang w:val="en-GB"/>
        </w:rPr>
        <w:t xml:space="preserve">proposed </w:t>
      </w:r>
      <w:r w:rsidR="007C755F">
        <w:rPr>
          <w:i/>
          <w:lang w:val="en-GB"/>
        </w:rPr>
        <w:t>LCOE-based approaches</w:t>
      </w:r>
    </w:p>
    <w:p w14:paraId="416FF0A0" w14:textId="77777777" w:rsidR="00CD01C8" w:rsidRPr="00545D35" w:rsidRDefault="00075FF7" w:rsidP="00D517BF">
      <w:pPr>
        <w:pStyle w:val="Abstracttext"/>
        <w:jc w:val="both"/>
        <w:rPr>
          <w:sz w:val="20"/>
          <w:lang w:val="en-GB"/>
        </w:rPr>
      </w:pPr>
      <w:r w:rsidRPr="00CD01C8">
        <w:rPr>
          <w:sz w:val="20"/>
          <w:lang w:val="en-GB"/>
        </w:rPr>
        <w:t>Considering</w:t>
      </w:r>
      <w:r w:rsidR="00CD01C8" w:rsidRPr="00CD01C8">
        <w:rPr>
          <w:sz w:val="20"/>
          <w:lang w:val="en-GB"/>
        </w:rPr>
        <w:t xml:space="preserve"> macroeconomic factors, the cost of electricity generated can represent a very different value multiplier for the economy as well as the cost to GDP depending on the use of local </w:t>
      </w:r>
      <w:r w:rsidR="00D517BF" w:rsidRPr="00CD01C8">
        <w:rPr>
          <w:sz w:val="20"/>
          <w:lang w:val="en-GB"/>
        </w:rPr>
        <w:t>labour</w:t>
      </w:r>
      <w:r w:rsidR="00CD01C8" w:rsidRPr="00CD01C8">
        <w:rPr>
          <w:sz w:val="20"/>
          <w:lang w:val="en-GB"/>
        </w:rPr>
        <w:t>, financial,</w:t>
      </w:r>
      <w:r w:rsidR="00D517BF" w:rsidRPr="00D517BF">
        <w:rPr>
          <w:sz w:val="20"/>
        </w:rPr>
        <w:t xml:space="preserve"> </w:t>
      </w:r>
      <w:r w:rsidR="00CD01C8" w:rsidRPr="00CD01C8">
        <w:rPr>
          <w:sz w:val="20"/>
          <w:lang w:val="en-GB"/>
        </w:rPr>
        <w:t xml:space="preserve">energy, production </w:t>
      </w:r>
      <w:r w:rsidR="00CD01C8" w:rsidRPr="00545D35">
        <w:rPr>
          <w:sz w:val="20"/>
          <w:lang w:val="en-GB"/>
        </w:rPr>
        <w:t>resources</w:t>
      </w:r>
      <w:r w:rsidR="001C3CBB" w:rsidRPr="00545D35">
        <w:rPr>
          <w:sz w:val="20"/>
        </w:rPr>
        <w:t xml:space="preserve"> [</w:t>
      </w:r>
      <w:r w:rsidR="00191FF8" w:rsidRPr="00545D35">
        <w:rPr>
          <w:sz w:val="20"/>
        </w:rPr>
        <w:t>1</w:t>
      </w:r>
      <w:r w:rsidR="00804163" w:rsidRPr="00545D35">
        <w:rPr>
          <w:sz w:val="20"/>
        </w:rPr>
        <w:t>6</w:t>
      </w:r>
      <w:r w:rsidR="001C3CBB" w:rsidRPr="00545D35">
        <w:rPr>
          <w:sz w:val="20"/>
        </w:rPr>
        <w:t>]</w:t>
      </w:r>
      <w:r w:rsidR="00CD01C8" w:rsidRPr="00545D35">
        <w:rPr>
          <w:sz w:val="20"/>
          <w:lang w:val="en-GB"/>
        </w:rPr>
        <w:t>, which finally is critical for understanding the affordability of an electrification program.</w:t>
      </w:r>
    </w:p>
    <w:p w14:paraId="7E6EEE9B" w14:textId="77777777" w:rsidR="00D517BF" w:rsidRPr="00545D35" w:rsidRDefault="00D517BF" w:rsidP="00D517BF">
      <w:pPr>
        <w:pStyle w:val="Abstracttext"/>
        <w:jc w:val="both"/>
        <w:rPr>
          <w:sz w:val="20"/>
          <w:lang w:val="en-GB"/>
        </w:rPr>
      </w:pPr>
      <w:r w:rsidRPr="00545D35">
        <w:rPr>
          <w:sz w:val="20"/>
          <w:lang w:val="en-GB"/>
        </w:rPr>
        <w:t>As the next step in the energy planning theory and as an extension to the classic least cost analysis, we suggest</w:t>
      </w:r>
      <w:r w:rsidRPr="00545D35">
        <w:rPr>
          <w:sz w:val="20"/>
        </w:rPr>
        <w:t xml:space="preserve"> </w:t>
      </w:r>
      <w:r w:rsidRPr="00545D35">
        <w:rPr>
          <w:sz w:val="20"/>
          <w:lang w:val="en-GB"/>
        </w:rPr>
        <w:t>accounting for direct macroeconomic effects of deploying particular generation technologies on particular national markets.</w:t>
      </w:r>
    </w:p>
    <w:p w14:paraId="00C4B144" w14:textId="77777777" w:rsidR="00041B14" w:rsidRPr="00164844" w:rsidRDefault="00164844" w:rsidP="005D7643">
      <w:pPr>
        <w:pStyle w:val="Abstracttext"/>
        <w:jc w:val="both"/>
        <w:rPr>
          <w:sz w:val="20"/>
          <w:highlight w:val="yellow"/>
        </w:rPr>
      </w:pPr>
      <w:r w:rsidRPr="00545D35">
        <w:rPr>
          <w:sz w:val="20"/>
          <w:lang w:val="en-GB"/>
        </w:rPr>
        <w:t xml:space="preserve">The paper focuses on the development of a methodological basis for comprehensive assessment of the technology cost (Cost to GDP), and provides an indicative quantitative assessment of the specific ranges of technology costs according to the LCOE and Cost to GDP criteria to visualise the principles and approaches used. For </w:t>
      </w:r>
      <w:r w:rsidR="006653EB" w:rsidRPr="00545D35">
        <w:rPr>
          <w:sz w:val="20"/>
          <w:lang w:val="en-GB"/>
        </w:rPr>
        <w:t xml:space="preserve">the sake of </w:t>
      </w:r>
      <w:r w:rsidRPr="00545D35">
        <w:rPr>
          <w:sz w:val="20"/>
          <w:lang w:val="en-GB"/>
        </w:rPr>
        <w:t>simplicity, the quantitative indicators used in th</w:t>
      </w:r>
      <w:r w:rsidR="005C3F9C" w:rsidRPr="00545D35">
        <w:rPr>
          <w:sz w:val="20"/>
          <w:lang w:val="en-GB"/>
        </w:rPr>
        <w:t>e</w:t>
      </w:r>
      <w:r w:rsidRPr="00545D35">
        <w:rPr>
          <w:sz w:val="20"/>
          <w:lang w:val="en-GB"/>
        </w:rPr>
        <w:t xml:space="preserve"> paper are taken according to the African energy study [</w:t>
      </w:r>
      <w:r w:rsidR="00191FF8" w:rsidRPr="00545D35">
        <w:rPr>
          <w:sz w:val="20"/>
        </w:rPr>
        <w:t>1</w:t>
      </w:r>
      <w:r w:rsidR="00804163" w:rsidRPr="00545D35">
        <w:rPr>
          <w:sz w:val="20"/>
        </w:rPr>
        <w:t>7</w:t>
      </w:r>
      <w:r w:rsidRPr="00545D35">
        <w:rPr>
          <w:sz w:val="20"/>
          <w:lang w:val="en-GB"/>
        </w:rPr>
        <w:t>] and are shown for illustrative</w:t>
      </w:r>
      <w:r w:rsidRPr="00164844">
        <w:rPr>
          <w:sz w:val="20"/>
          <w:lang w:val="en-GB"/>
        </w:rPr>
        <w:t xml:space="preserve"> purposes only. Detailed estimation of quantitative LCOE and </w:t>
      </w:r>
      <w:proofErr w:type="spellStart"/>
      <w:r w:rsidRPr="00164844">
        <w:rPr>
          <w:sz w:val="20"/>
          <w:lang w:val="en-GB"/>
        </w:rPr>
        <w:t>RealLCOE</w:t>
      </w:r>
      <w:proofErr w:type="spellEnd"/>
      <w:r w:rsidRPr="00164844">
        <w:rPr>
          <w:sz w:val="20"/>
          <w:lang w:val="en-GB"/>
        </w:rPr>
        <w:t xml:space="preserve"> parameters for specific countries, regions and technologies is the subject of further research.</w:t>
      </w:r>
    </w:p>
    <w:p w14:paraId="14D1220C" w14:textId="77777777" w:rsidR="00E25B68" w:rsidRDefault="00392071" w:rsidP="00466B2A">
      <w:pPr>
        <w:pStyle w:val="Heading2"/>
        <w:numPr>
          <w:ilvl w:val="1"/>
          <w:numId w:val="5"/>
        </w:numPr>
      </w:pPr>
      <w:r>
        <w:rPr>
          <w:lang w:val="en-US"/>
        </w:rPr>
        <w:lastRenderedPageBreak/>
        <w:t>METHODOLOG</w:t>
      </w:r>
      <w:r w:rsidR="006653EB">
        <w:rPr>
          <w:lang w:val="en-US"/>
        </w:rPr>
        <w:t>ICAL</w:t>
      </w:r>
      <w:r>
        <w:rPr>
          <w:lang w:val="en-US"/>
        </w:rPr>
        <w:t xml:space="preserve"> APpROACH</w:t>
      </w:r>
    </w:p>
    <w:p w14:paraId="3613DD82" w14:textId="77777777" w:rsidR="005D7643" w:rsidRPr="00ED12CC" w:rsidRDefault="005D7643" w:rsidP="005D7643">
      <w:pPr>
        <w:pStyle w:val="Abstracttext"/>
        <w:jc w:val="both"/>
        <w:rPr>
          <w:sz w:val="20"/>
        </w:rPr>
      </w:pPr>
      <w:r>
        <w:rPr>
          <w:sz w:val="20"/>
          <w:lang w:val="en-GB"/>
        </w:rPr>
        <w:t>The paper</w:t>
      </w:r>
      <w:r w:rsidRPr="00D517BF">
        <w:rPr>
          <w:sz w:val="20"/>
          <w:lang w:val="en-GB"/>
        </w:rPr>
        <w:t xml:space="preserve"> proposes a new energy planning</w:t>
      </w:r>
      <w:r w:rsidRPr="00D517BF">
        <w:rPr>
          <w:sz w:val="20"/>
        </w:rPr>
        <w:t xml:space="preserve"> </w:t>
      </w:r>
      <w:r w:rsidRPr="00D517BF">
        <w:rPr>
          <w:sz w:val="20"/>
          <w:lang w:val="en-GB"/>
        </w:rPr>
        <w:t xml:space="preserve">concept called Cost to GDP. The method determines the cost share of imports within </w:t>
      </w:r>
      <w:r w:rsidRPr="005B662B">
        <w:rPr>
          <w:sz w:val="20"/>
          <w:lang w:val="en-GB"/>
        </w:rPr>
        <w:t xml:space="preserve">LCOE comprising imported fuel, equipment and services, adversely impacting GDP – called </w:t>
      </w:r>
      <w:r w:rsidR="00ED12CC" w:rsidRPr="005B662B">
        <w:rPr>
          <w:sz w:val="20"/>
          <w:lang w:val="en-GB"/>
        </w:rPr>
        <w:t>‘</w:t>
      </w:r>
      <w:proofErr w:type="spellStart"/>
      <w:r w:rsidRPr="005B662B">
        <w:rPr>
          <w:sz w:val="20"/>
          <w:lang w:val="en-GB"/>
        </w:rPr>
        <w:t>RealLCOE</w:t>
      </w:r>
      <w:proofErr w:type="spellEnd"/>
      <w:r w:rsidR="00ED12CC" w:rsidRPr="005B662B">
        <w:rPr>
          <w:sz w:val="20"/>
          <w:lang w:val="en-GB"/>
        </w:rPr>
        <w:t>’</w:t>
      </w:r>
      <w:r w:rsidRPr="005B662B">
        <w:rPr>
          <w:sz w:val="20"/>
        </w:rPr>
        <w:t xml:space="preserve"> (see Fig. </w:t>
      </w:r>
      <w:r w:rsidR="007E682D" w:rsidRPr="005B662B">
        <w:rPr>
          <w:sz w:val="20"/>
        </w:rPr>
        <w:t>2</w:t>
      </w:r>
      <w:r w:rsidR="006653EB" w:rsidRPr="005B662B">
        <w:rPr>
          <w:sz w:val="20"/>
        </w:rPr>
        <w:t xml:space="preserve"> below</w:t>
      </w:r>
      <w:r w:rsidRPr="005B662B">
        <w:rPr>
          <w:sz w:val="20"/>
        </w:rPr>
        <w:t>).</w:t>
      </w:r>
      <w:r w:rsidRPr="00ED12CC">
        <w:rPr>
          <w:sz w:val="20"/>
        </w:rPr>
        <w:t xml:space="preserve"> </w:t>
      </w:r>
    </w:p>
    <w:p w14:paraId="33259D94" w14:textId="77777777" w:rsidR="005D7643" w:rsidRDefault="005D7643" w:rsidP="005D7643">
      <w:pPr>
        <w:pStyle w:val="Abstracttext"/>
        <w:ind w:firstLine="0"/>
        <w:jc w:val="both"/>
        <w:rPr>
          <w:sz w:val="20"/>
          <w:lang w:val="en-GB"/>
        </w:rPr>
      </w:pPr>
      <w:r>
        <w:rPr>
          <w:noProof/>
        </w:rPr>
        <w:drawing>
          <wp:inline distT="0" distB="0" distL="0" distR="0" wp14:anchorId="32FCE912" wp14:editId="2B862FBB">
            <wp:extent cx="5732145" cy="29737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2973705"/>
                    </a:xfrm>
                    <a:prstGeom prst="rect">
                      <a:avLst/>
                    </a:prstGeom>
                  </pic:spPr>
                </pic:pic>
              </a:graphicData>
            </a:graphic>
          </wp:inline>
        </w:drawing>
      </w:r>
    </w:p>
    <w:p w14:paraId="451B14BA" w14:textId="77777777" w:rsidR="005D7643" w:rsidRPr="007376D1" w:rsidRDefault="005D7643" w:rsidP="005D7643">
      <w:pPr>
        <w:pStyle w:val="Caption"/>
        <w:jc w:val="center"/>
        <w:rPr>
          <w:sz w:val="20"/>
          <w:highlight w:val="yellow"/>
        </w:rPr>
      </w:pPr>
      <w:r w:rsidRPr="00AD5FAF">
        <w:rPr>
          <w:i/>
        </w:rPr>
        <w:t>F</w:t>
      </w:r>
      <w:r>
        <w:rPr>
          <w:i/>
        </w:rPr>
        <w:t>IG</w:t>
      </w:r>
      <w:r w:rsidRPr="00AD5FAF">
        <w:rPr>
          <w:i/>
        </w:rPr>
        <w:t>.</w:t>
      </w:r>
      <w:r>
        <w:rPr>
          <w:i/>
        </w:rPr>
        <w:t xml:space="preserve"> </w:t>
      </w:r>
      <w:r w:rsidR="007E682D">
        <w:rPr>
          <w:i/>
        </w:rPr>
        <w:t>2</w:t>
      </w:r>
      <w:r>
        <w:rPr>
          <w:i/>
        </w:rPr>
        <w:t>. Existing</w:t>
      </w:r>
      <w:r w:rsidRPr="007376D1">
        <w:rPr>
          <w:i/>
        </w:rPr>
        <w:t xml:space="preserve"> </w:t>
      </w:r>
      <w:r>
        <w:rPr>
          <w:i/>
        </w:rPr>
        <w:t>and</w:t>
      </w:r>
      <w:r w:rsidRPr="007376D1">
        <w:rPr>
          <w:i/>
        </w:rPr>
        <w:t xml:space="preserve"> </w:t>
      </w:r>
      <w:r w:rsidRPr="00AD5FAF">
        <w:rPr>
          <w:i/>
          <w:lang w:val="en-GB"/>
        </w:rPr>
        <w:t>proposed</w:t>
      </w:r>
      <w:r w:rsidRPr="007376D1">
        <w:rPr>
          <w:i/>
        </w:rPr>
        <w:t xml:space="preserve"> </w:t>
      </w:r>
      <w:r w:rsidRPr="00AD5FAF">
        <w:rPr>
          <w:i/>
          <w:lang w:val="en-GB"/>
        </w:rPr>
        <w:t>integrated</w:t>
      </w:r>
      <w:r w:rsidRPr="007376D1">
        <w:rPr>
          <w:i/>
        </w:rPr>
        <w:t xml:space="preserve"> </w:t>
      </w:r>
      <w:r w:rsidRPr="00AD5FAF">
        <w:rPr>
          <w:i/>
          <w:lang w:val="en-GB"/>
        </w:rPr>
        <w:t>energy</w:t>
      </w:r>
      <w:r w:rsidRPr="007376D1">
        <w:rPr>
          <w:i/>
        </w:rPr>
        <w:t xml:space="preserve"> </w:t>
      </w:r>
      <w:r w:rsidRPr="00AD5FAF">
        <w:rPr>
          <w:i/>
          <w:lang w:val="en-GB"/>
        </w:rPr>
        <w:t>planning</w:t>
      </w:r>
      <w:r w:rsidRPr="007376D1">
        <w:rPr>
          <w:i/>
        </w:rPr>
        <w:t xml:space="preserve"> </w:t>
      </w:r>
      <w:r w:rsidRPr="00AD5FAF">
        <w:rPr>
          <w:i/>
          <w:lang w:val="en-GB"/>
        </w:rPr>
        <w:t>concep</w:t>
      </w:r>
      <w:r w:rsidRPr="00AA3AC3">
        <w:rPr>
          <w:i/>
          <w:lang w:val="en-GB"/>
        </w:rPr>
        <w:t>ts</w:t>
      </w:r>
      <w:r w:rsidRPr="007376D1">
        <w:rPr>
          <w:sz w:val="20"/>
        </w:rPr>
        <w:t xml:space="preserve"> </w:t>
      </w:r>
    </w:p>
    <w:p w14:paraId="3AF6F4DE" w14:textId="77777777" w:rsidR="00164844" w:rsidRPr="005B662B" w:rsidRDefault="00164844" w:rsidP="00164844">
      <w:pPr>
        <w:pStyle w:val="Abstracttext"/>
        <w:jc w:val="both"/>
        <w:rPr>
          <w:sz w:val="20"/>
        </w:rPr>
      </w:pPr>
      <w:r w:rsidRPr="00164844">
        <w:rPr>
          <w:sz w:val="20"/>
        </w:rPr>
        <w:t xml:space="preserve">The proposed </w:t>
      </w:r>
      <w:proofErr w:type="spellStart"/>
      <w:r w:rsidRPr="00164844">
        <w:rPr>
          <w:sz w:val="20"/>
        </w:rPr>
        <w:t>RealLCOE</w:t>
      </w:r>
      <w:proofErr w:type="spellEnd"/>
      <w:r w:rsidRPr="00164844">
        <w:rPr>
          <w:sz w:val="20"/>
        </w:rPr>
        <w:t xml:space="preserve"> estimation methodology is based on the traditional approach to calculat</w:t>
      </w:r>
      <w:r w:rsidR="006653EB">
        <w:rPr>
          <w:sz w:val="20"/>
        </w:rPr>
        <w:t>ing</w:t>
      </w:r>
      <w:r w:rsidRPr="00164844">
        <w:rPr>
          <w:sz w:val="20"/>
        </w:rPr>
        <w:t xml:space="preserve"> the LCOE parameter. The traditional LCOE calculation formula involves taking the net present value of the total cost over the lifetime (by using </w:t>
      </w:r>
      <w:r w:rsidR="006653EB">
        <w:rPr>
          <w:sz w:val="20"/>
        </w:rPr>
        <w:t>a</w:t>
      </w:r>
      <w:r w:rsidRPr="00164844">
        <w:rPr>
          <w:sz w:val="20"/>
        </w:rPr>
        <w:t xml:space="preserve"> discount factor to arrive at the net </w:t>
      </w:r>
      <w:r w:rsidRPr="005B662B">
        <w:rPr>
          <w:sz w:val="20"/>
        </w:rPr>
        <w:t>present value of the cost) and dividing it by the net present value of the total power generation over the project lifetime (1).</w:t>
      </w:r>
    </w:p>
    <w:p w14:paraId="2F1CC590" w14:textId="77777777" w:rsidR="00493A2C" w:rsidRPr="005B662B" w:rsidRDefault="00493A2C" w:rsidP="001A60C2">
      <w:pPr>
        <w:pStyle w:val="Abstracttext"/>
        <w:jc w:val="both"/>
        <w:rPr>
          <w:sz w:val="20"/>
        </w:rPr>
      </w:pPr>
      <m:oMath>
        <m:r>
          <w:rPr>
            <w:rFonts w:ascii="Cambria Math" w:hAnsi="Cambria Math"/>
            <w:sz w:val="20"/>
            <w:szCs w:val="28"/>
          </w:rPr>
          <m:t>LCOE=</m:t>
        </m:r>
        <m:f>
          <m:fPr>
            <m:ctrlPr>
              <w:rPr>
                <w:rFonts w:ascii="Cambria Math" w:hAnsi="Cambria Math"/>
                <w:i/>
                <w:sz w:val="20"/>
                <w:szCs w:val="28"/>
              </w:rPr>
            </m:ctrlPr>
          </m:fPr>
          <m:num>
            <m:r>
              <w:rPr>
                <w:rFonts w:ascii="Cambria Math" w:hAnsi="Cambria Math"/>
                <w:sz w:val="20"/>
                <w:szCs w:val="28"/>
              </w:rPr>
              <m:t>Net Present Value of Costs over Lifetime</m:t>
            </m:r>
          </m:num>
          <m:den>
            <m:r>
              <w:rPr>
                <w:rFonts w:ascii="Cambria Math" w:hAnsi="Cambria Math"/>
                <w:sz w:val="20"/>
                <w:szCs w:val="28"/>
              </w:rPr>
              <m:t>Net Present Value of Energy Produced over Lifetime</m:t>
            </m:r>
          </m:den>
        </m:f>
      </m:oMath>
      <w:r w:rsidR="00A278D5" w:rsidRPr="005B662B">
        <w:rPr>
          <w:sz w:val="20"/>
          <w:szCs w:val="28"/>
        </w:rPr>
        <w:t xml:space="preserve">                                                                             (1)</w:t>
      </w:r>
    </w:p>
    <w:p w14:paraId="7DD3E1C7" w14:textId="77777777" w:rsidR="00147FC8" w:rsidRPr="005B662B" w:rsidRDefault="00164844" w:rsidP="00AD5FAF">
      <w:pPr>
        <w:pStyle w:val="Abstracttext"/>
        <w:jc w:val="both"/>
        <w:rPr>
          <w:sz w:val="20"/>
        </w:rPr>
      </w:pPr>
      <w:bookmarkStart w:id="0" w:name="_Hlk167907882"/>
      <w:r w:rsidRPr="005B662B">
        <w:rPr>
          <w:sz w:val="20"/>
        </w:rPr>
        <w:t xml:space="preserve">In order to estimate the cost component of the electricity cost for national GDP, the calculation of the </w:t>
      </w:r>
      <w:proofErr w:type="spellStart"/>
      <w:r w:rsidRPr="005B662B">
        <w:rPr>
          <w:sz w:val="20"/>
        </w:rPr>
        <w:t>RealLCOE</w:t>
      </w:r>
      <w:proofErr w:type="spellEnd"/>
      <w:r w:rsidRPr="005B662B">
        <w:rPr>
          <w:sz w:val="20"/>
        </w:rPr>
        <w:t xml:space="preserve"> value involves considering the following factors: the ratio of import</w:t>
      </w:r>
      <w:r w:rsidR="006653EB" w:rsidRPr="005B662B">
        <w:rPr>
          <w:sz w:val="20"/>
        </w:rPr>
        <w:t>s</w:t>
      </w:r>
      <w:r w:rsidRPr="005B662B">
        <w:rPr>
          <w:sz w:val="20"/>
        </w:rPr>
        <w:t xml:space="preserve"> and</w:t>
      </w:r>
      <w:r w:rsidR="006653EB" w:rsidRPr="005B662B">
        <w:rPr>
          <w:sz w:val="20"/>
        </w:rPr>
        <w:t xml:space="preserve"> the</w:t>
      </w:r>
      <w:r w:rsidRPr="005B662B">
        <w:rPr>
          <w:sz w:val="20"/>
        </w:rPr>
        <w:t xml:space="preserve"> local share for each of the components of the Net Present Value of Costs over Lifetime, and also an assessment of the </w:t>
      </w:r>
      <w:r w:rsidR="00D12221" w:rsidRPr="005B662B">
        <w:rPr>
          <w:sz w:val="20"/>
        </w:rPr>
        <w:t>localization</w:t>
      </w:r>
      <w:r w:rsidRPr="005B662B">
        <w:rPr>
          <w:sz w:val="20"/>
        </w:rPr>
        <w:t xml:space="preserve"> potential of the technology in the current market. An additional factor considered in estimating the value of </w:t>
      </w:r>
      <w:proofErr w:type="spellStart"/>
      <w:r w:rsidRPr="005B662B">
        <w:rPr>
          <w:sz w:val="20"/>
        </w:rPr>
        <w:t>RealLCOE</w:t>
      </w:r>
      <w:proofErr w:type="spellEnd"/>
      <w:r w:rsidRPr="005B662B">
        <w:rPr>
          <w:sz w:val="20"/>
        </w:rPr>
        <w:t xml:space="preserve"> under the proposed approach is the cost component of the cost of integrating generation facilities into the power system. The general formula for </w:t>
      </w:r>
      <w:proofErr w:type="spellStart"/>
      <w:r w:rsidRPr="005B662B">
        <w:rPr>
          <w:sz w:val="20"/>
        </w:rPr>
        <w:t>RealLCOE</w:t>
      </w:r>
      <w:proofErr w:type="spellEnd"/>
      <w:r w:rsidRPr="005B662B">
        <w:rPr>
          <w:sz w:val="20"/>
        </w:rPr>
        <w:t xml:space="preserve"> can be expressed in terms of LCOE and looks as follows (2).</w:t>
      </w:r>
      <w:bookmarkEnd w:id="0"/>
    </w:p>
    <w:p w14:paraId="44897F89" w14:textId="77777777" w:rsidR="00BF7579" w:rsidRPr="005B662B" w:rsidRDefault="00495AA4" w:rsidP="00AD5FAF">
      <w:pPr>
        <w:pStyle w:val="Abstracttext"/>
        <w:jc w:val="both"/>
        <w:rPr>
          <w:i/>
          <w:sz w:val="20"/>
        </w:rPr>
      </w:pPr>
      <m:oMath>
        <m:r>
          <w:rPr>
            <w:rFonts w:ascii="Cambria Math" w:hAnsi="Cambria Math"/>
            <w:sz w:val="20"/>
            <w:szCs w:val="28"/>
            <w:lang w:val="de-DE"/>
          </w:rPr>
          <m:t>Real</m:t>
        </m:r>
        <m:r>
          <w:rPr>
            <w:rFonts w:ascii="Cambria Math" w:hAnsi="Cambria Math"/>
            <w:sz w:val="20"/>
            <w:szCs w:val="28"/>
          </w:rPr>
          <m:t>LCOE=LCOE-ValueComponent-</m:t>
        </m:r>
        <m:r>
          <w:rPr>
            <w:rFonts w:ascii="Cambria Math" w:hAnsi="Cambria Math"/>
            <w:sz w:val="20"/>
            <w:szCs w:val="28"/>
            <w:lang w:val="de-DE"/>
          </w:rPr>
          <m:t>Locali</m:t>
        </m:r>
        <m:r>
          <w:rPr>
            <w:rFonts w:ascii="Cambria Math" w:hAnsi="Cambria Math"/>
            <w:sz w:val="20"/>
            <w:szCs w:val="28"/>
          </w:rPr>
          <m:t>zationComponent-Integration</m:t>
        </m:r>
      </m:oMath>
      <w:r w:rsidR="00A278D5" w:rsidRPr="005B662B">
        <w:rPr>
          <w:i/>
          <w:sz w:val="20"/>
          <w:szCs w:val="28"/>
        </w:rPr>
        <w:t xml:space="preserve">                       </w:t>
      </w:r>
      <w:r w:rsidR="00A278D5" w:rsidRPr="005B662B">
        <w:rPr>
          <w:sz w:val="20"/>
          <w:szCs w:val="28"/>
        </w:rPr>
        <w:t>(2)</w:t>
      </w:r>
    </w:p>
    <w:p w14:paraId="69EE8881" w14:textId="77777777" w:rsidR="009023A1" w:rsidRPr="00ED0D30" w:rsidRDefault="00164844" w:rsidP="00ED0D30">
      <w:pPr>
        <w:pStyle w:val="Abstracttext"/>
        <w:jc w:val="both"/>
        <w:rPr>
          <w:sz w:val="20"/>
        </w:rPr>
      </w:pPr>
      <w:r w:rsidRPr="005B662B">
        <w:rPr>
          <w:sz w:val="20"/>
        </w:rPr>
        <w:t>As part of formula 2, the ‘</w:t>
      </w:r>
      <w:proofErr w:type="spellStart"/>
      <w:r w:rsidRPr="005B662B">
        <w:rPr>
          <w:sz w:val="20"/>
        </w:rPr>
        <w:t>ValueComponent</w:t>
      </w:r>
      <w:proofErr w:type="spellEnd"/>
      <w:r w:rsidRPr="005B662B">
        <w:rPr>
          <w:sz w:val="20"/>
        </w:rPr>
        <w:t xml:space="preserve">’ reflects the share of the levelized costs incurred in the market and considering the use of fully local supply chains, local </w:t>
      </w:r>
      <w:r w:rsidR="009A6910" w:rsidRPr="005B662B">
        <w:rPr>
          <w:sz w:val="20"/>
        </w:rPr>
        <w:t>labor</w:t>
      </w:r>
      <w:r w:rsidRPr="005B662B">
        <w:rPr>
          <w:sz w:val="20"/>
        </w:rPr>
        <w:t>, financial and material resources, including local fuel. ‘</w:t>
      </w:r>
      <w:proofErr w:type="spellStart"/>
      <w:r w:rsidRPr="005B662B">
        <w:rPr>
          <w:sz w:val="20"/>
        </w:rPr>
        <w:t>LocalizationComponent</w:t>
      </w:r>
      <w:proofErr w:type="spellEnd"/>
      <w:r w:rsidRPr="005B662B">
        <w:rPr>
          <w:sz w:val="20"/>
        </w:rPr>
        <w:t xml:space="preserve">’ reflects the share of levelized costs incurred within the market and considering the localization potential of supply chains, local </w:t>
      </w:r>
      <w:r w:rsidR="009A6910" w:rsidRPr="005B662B">
        <w:rPr>
          <w:sz w:val="20"/>
        </w:rPr>
        <w:t>labor</w:t>
      </w:r>
      <w:r w:rsidRPr="005B662B">
        <w:rPr>
          <w:sz w:val="20"/>
        </w:rPr>
        <w:t>, financial and material resources specific to the market and technology in the period under analysis</w:t>
      </w:r>
      <w:r w:rsidRPr="00ED0D30">
        <w:rPr>
          <w:sz w:val="20"/>
        </w:rPr>
        <w:t xml:space="preserve">. The ‘Integration’ parameter reflects the cost component of the cost of integrating generation facilities into the power system; for the purposes of </w:t>
      </w:r>
      <w:r w:rsidR="005C3F9C" w:rsidRPr="00ED0D30">
        <w:rPr>
          <w:sz w:val="20"/>
        </w:rPr>
        <w:t>the</w:t>
      </w:r>
      <w:r w:rsidRPr="00ED0D30">
        <w:rPr>
          <w:sz w:val="20"/>
        </w:rPr>
        <w:t xml:space="preserve"> paper, the value of the ‘Integration’ parameter is assumed to be comparable to ½ </w:t>
      </w:r>
      <w:proofErr w:type="spellStart"/>
      <w:r w:rsidRPr="00ED0D30">
        <w:rPr>
          <w:sz w:val="20"/>
        </w:rPr>
        <w:t>RealLCOE</w:t>
      </w:r>
      <w:proofErr w:type="spellEnd"/>
      <w:r w:rsidRPr="00ED0D30">
        <w:rPr>
          <w:sz w:val="20"/>
        </w:rPr>
        <w:t xml:space="preserve"> for PV and </w:t>
      </w:r>
      <w:r w:rsidR="006653EB" w:rsidRPr="00ED0D30">
        <w:rPr>
          <w:sz w:val="20"/>
        </w:rPr>
        <w:t>w</w:t>
      </w:r>
      <w:r w:rsidRPr="00ED0D30">
        <w:rPr>
          <w:sz w:val="20"/>
        </w:rPr>
        <w:t>ind power generation facilities.</w:t>
      </w:r>
    </w:p>
    <w:p w14:paraId="7EF79F9E" w14:textId="77777777" w:rsidR="00164844" w:rsidRPr="00ED0D30" w:rsidRDefault="00ED0D30" w:rsidP="00164844">
      <w:pPr>
        <w:pStyle w:val="Abstracttext"/>
        <w:jc w:val="both"/>
        <w:rPr>
          <w:sz w:val="20"/>
        </w:rPr>
      </w:pPr>
      <w:r w:rsidRPr="00ED0D30">
        <w:rPr>
          <w:sz w:val="20"/>
        </w:rPr>
        <w:t>T</w:t>
      </w:r>
      <w:r w:rsidR="00164844" w:rsidRPr="00ED0D30">
        <w:rPr>
          <w:sz w:val="20"/>
        </w:rPr>
        <w:t xml:space="preserve">he complete </w:t>
      </w:r>
      <w:proofErr w:type="spellStart"/>
      <w:r w:rsidR="00164844" w:rsidRPr="00ED0D30">
        <w:rPr>
          <w:sz w:val="20"/>
        </w:rPr>
        <w:t>RealLCOE</w:t>
      </w:r>
      <w:proofErr w:type="spellEnd"/>
      <w:r w:rsidR="00164844" w:rsidRPr="00ED0D30">
        <w:rPr>
          <w:sz w:val="20"/>
        </w:rPr>
        <w:t xml:space="preserve"> formula can be presented as follows (3).</w:t>
      </w:r>
    </w:p>
    <w:p w14:paraId="7CB359AB" w14:textId="77777777" w:rsidR="009E0A2D" w:rsidRPr="00ED0D30" w:rsidRDefault="009E0A2D" w:rsidP="00A278D5">
      <w:pPr>
        <w:pStyle w:val="Abstracttext"/>
        <w:ind w:left="540" w:firstLine="27"/>
        <w:jc w:val="both"/>
        <w:rPr>
          <w:sz w:val="20"/>
          <w:szCs w:val="28"/>
        </w:rPr>
      </w:pPr>
      <m:oMath>
        <m:r>
          <w:rPr>
            <w:rFonts w:ascii="Cambria Math" w:hAnsi="Cambria Math"/>
            <w:sz w:val="20"/>
            <w:szCs w:val="28"/>
            <w:lang w:val="de-DE"/>
          </w:rPr>
          <m:t>Real</m:t>
        </m:r>
        <m:r>
          <w:rPr>
            <w:rFonts w:ascii="Cambria Math" w:hAnsi="Cambria Math"/>
            <w:sz w:val="20"/>
            <w:szCs w:val="28"/>
          </w:rPr>
          <m:t>LCOE=LCOE·</m:t>
        </m:r>
        <m:d>
          <m:dPr>
            <m:begChr m:val="["/>
            <m:endChr m:val="]"/>
            <m:ctrlPr>
              <w:rPr>
                <w:rFonts w:ascii="Cambria Math" w:hAnsi="Cambria Math"/>
                <w:i/>
                <w:sz w:val="20"/>
                <w:szCs w:val="28"/>
              </w:rPr>
            </m:ctrlPr>
          </m:dPr>
          <m:e>
            <m:r>
              <w:rPr>
                <w:rFonts w:ascii="Cambria Math" w:hAnsi="Cambria Math"/>
                <w:sz w:val="20"/>
                <w:szCs w:val="28"/>
              </w:rPr>
              <m:t>1-((</m:t>
            </m:r>
            <m:sSub>
              <m:sSubPr>
                <m:ctrlPr>
                  <w:rPr>
                    <w:rFonts w:ascii="Cambria Math" w:hAnsi="Cambria Math"/>
                    <w:i/>
                    <w:sz w:val="20"/>
                    <w:szCs w:val="28"/>
                  </w:rPr>
                </m:ctrlPr>
              </m:sSubPr>
              <m:e>
                <m:r>
                  <w:rPr>
                    <w:rFonts w:ascii="Cambria Math" w:hAnsi="Cambria Math"/>
                    <w:sz w:val="20"/>
                    <w:szCs w:val="28"/>
                  </w:rPr>
                  <m:t>δ</m:t>
                </m:r>
              </m:e>
              <m:sub>
                <m:r>
                  <w:rPr>
                    <w:rFonts w:ascii="Cambria Math" w:hAnsi="Cambria Math"/>
                    <w:sz w:val="20"/>
                    <w:szCs w:val="28"/>
                    <w:lang w:val="de-DE"/>
                  </w:rPr>
                  <m:t>CAPEX</m:t>
                </m:r>
              </m:sub>
            </m:sSub>
            <m:r>
              <w:rPr>
                <w:rFonts w:ascii="Cambria Math" w:hAnsi="Cambria Math"/>
                <w:sz w:val="20"/>
                <w:szCs w:val="28"/>
              </w:rPr>
              <m:t>∙</m:t>
            </m:r>
            <m:d>
              <m:dPr>
                <m:ctrlPr>
                  <w:rPr>
                    <w:rFonts w:ascii="Cambria Math" w:hAnsi="Cambria Math"/>
                    <w:i/>
                    <w:sz w:val="20"/>
                    <w:szCs w:val="28"/>
                  </w:rPr>
                </m:ctrlPr>
              </m:dPr>
              <m:e>
                <m:sSub>
                  <m:sSubPr>
                    <m:ctrlPr>
                      <w:rPr>
                        <w:rFonts w:ascii="Cambria Math" w:hAnsi="Cambria Math"/>
                        <w:i/>
                        <w:sz w:val="20"/>
                        <w:szCs w:val="28"/>
                      </w:rPr>
                    </m:ctrlPr>
                  </m:sSubPr>
                  <m:e>
                    <m:r>
                      <w:rPr>
                        <w:rFonts w:ascii="Cambria Math" w:hAnsi="Cambria Math"/>
                        <w:sz w:val="20"/>
                        <w:szCs w:val="28"/>
                      </w:rPr>
                      <m:t>L</m:t>
                    </m:r>
                  </m:e>
                  <m:sub>
                    <m:r>
                      <w:rPr>
                        <w:rFonts w:ascii="Cambria Math" w:hAnsi="Cambria Math"/>
                        <w:sz w:val="20"/>
                        <w:szCs w:val="28"/>
                      </w:rPr>
                      <m:t>CAPEX</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LZ</m:t>
                    </m:r>
                  </m:e>
                  <m:sub>
                    <m:r>
                      <w:rPr>
                        <w:rFonts w:ascii="Cambria Math" w:hAnsi="Cambria Math"/>
                        <w:sz w:val="20"/>
                        <w:szCs w:val="28"/>
                      </w:rPr>
                      <m:t>CAPEX</m:t>
                    </m:r>
                  </m:sub>
                </m:sSub>
              </m:e>
            </m:d>
            <m:r>
              <w:rPr>
                <w:rFonts w:ascii="Cambria Math" w:hAnsi="Cambria Math"/>
                <w:sz w:val="20"/>
                <w:szCs w:val="28"/>
              </w:rPr>
              <m:t>+</m:t>
            </m:r>
            <m:d>
              <m:dPr>
                <m:ctrlPr>
                  <w:rPr>
                    <w:rFonts w:ascii="Cambria Math" w:hAnsi="Cambria Math"/>
                    <w:i/>
                    <w:sz w:val="20"/>
                    <w:szCs w:val="28"/>
                  </w:rPr>
                </m:ctrlPr>
              </m:dPr>
              <m:e>
                <m:sSubSup>
                  <m:sSubSupPr>
                    <m:ctrlPr>
                      <w:rPr>
                        <w:rFonts w:ascii="Cambria Math" w:hAnsi="Cambria Math"/>
                        <w:i/>
                        <w:sz w:val="20"/>
                        <w:szCs w:val="28"/>
                      </w:rPr>
                    </m:ctrlPr>
                  </m:sSubSupPr>
                  <m:e>
                    <m:r>
                      <w:rPr>
                        <w:rFonts w:ascii="Cambria Math" w:hAnsi="Cambria Math"/>
                        <w:sz w:val="20"/>
                        <w:szCs w:val="28"/>
                      </w:rPr>
                      <m:t>δ</m:t>
                    </m:r>
                  </m:e>
                  <m:sub>
                    <m:r>
                      <w:rPr>
                        <w:rFonts w:ascii="Cambria Math" w:hAnsi="Cambria Math"/>
                        <w:sz w:val="20"/>
                        <w:szCs w:val="28"/>
                      </w:rPr>
                      <m:t>OM</m:t>
                    </m:r>
                  </m:sub>
                  <m:sup>
                    <m:r>
                      <w:rPr>
                        <w:rFonts w:ascii="Cambria Math" w:hAnsi="Cambria Math"/>
                        <w:sz w:val="20"/>
                        <w:szCs w:val="28"/>
                      </w:rPr>
                      <m:t>fix</m:t>
                    </m:r>
                  </m:sup>
                </m:sSubSup>
                <m:r>
                  <w:rPr>
                    <w:rFonts w:ascii="Cambria Math" w:hAnsi="Cambria Math"/>
                    <w:sz w:val="20"/>
                    <w:szCs w:val="28"/>
                  </w:rPr>
                  <m:t>+</m:t>
                </m:r>
                <m:sSubSup>
                  <m:sSubSupPr>
                    <m:ctrlPr>
                      <w:rPr>
                        <w:rFonts w:ascii="Cambria Math" w:hAnsi="Cambria Math"/>
                        <w:i/>
                        <w:sz w:val="20"/>
                        <w:szCs w:val="28"/>
                      </w:rPr>
                    </m:ctrlPr>
                  </m:sSubSupPr>
                  <m:e>
                    <m:r>
                      <w:rPr>
                        <w:rFonts w:ascii="Cambria Math" w:hAnsi="Cambria Math"/>
                        <w:sz w:val="20"/>
                        <w:szCs w:val="28"/>
                      </w:rPr>
                      <m:t>δ</m:t>
                    </m:r>
                  </m:e>
                  <m:sub>
                    <m:r>
                      <w:rPr>
                        <w:rFonts w:ascii="Cambria Math" w:hAnsi="Cambria Math"/>
                        <w:sz w:val="20"/>
                        <w:szCs w:val="28"/>
                      </w:rPr>
                      <m:t>OM</m:t>
                    </m:r>
                  </m:sub>
                  <m:sup>
                    <m:r>
                      <w:rPr>
                        <w:rFonts w:ascii="Cambria Math" w:hAnsi="Cambria Math"/>
                        <w:sz w:val="20"/>
                        <w:szCs w:val="28"/>
                      </w:rPr>
                      <m:t>var</m:t>
                    </m:r>
                  </m:sup>
                </m:sSubSup>
              </m:e>
            </m:d>
            <m:r>
              <w:rPr>
                <w:rFonts w:ascii="Cambria Math" w:hAnsi="Cambria Math"/>
                <w:sz w:val="20"/>
                <w:szCs w:val="28"/>
              </w:rPr>
              <m:t>∙</m:t>
            </m:r>
            <m:d>
              <m:dPr>
                <m:ctrlPr>
                  <w:rPr>
                    <w:rFonts w:ascii="Cambria Math" w:hAnsi="Cambria Math"/>
                    <w:i/>
                    <w:sz w:val="20"/>
                    <w:szCs w:val="28"/>
                  </w:rPr>
                </m:ctrlPr>
              </m:dPr>
              <m:e>
                <m:sSub>
                  <m:sSubPr>
                    <m:ctrlPr>
                      <w:rPr>
                        <w:rFonts w:ascii="Cambria Math" w:hAnsi="Cambria Math"/>
                        <w:i/>
                        <w:sz w:val="20"/>
                        <w:szCs w:val="28"/>
                      </w:rPr>
                    </m:ctrlPr>
                  </m:sSubPr>
                  <m:e>
                    <m:r>
                      <w:rPr>
                        <w:rFonts w:ascii="Cambria Math" w:hAnsi="Cambria Math"/>
                        <w:sz w:val="20"/>
                        <w:szCs w:val="28"/>
                      </w:rPr>
                      <m:t>L</m:t>
                    </m:r>
                  </m:e>
                  <m:sub>
                    <m:r>
                      <w:rPr>
                        <w:rFonts w:ascii="Cambria Math" w:hAnsi="Cambria Math"/>
                        <w:sz w:val="20"/>
                        <w:szCs w:val="28"/>
                      </w:rPr>
                      <m:t>OM</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LZ</m:t>
                    </m:r>
                  </m:e>
                  <m:sub>
                    <m:r>
                      <w:rPr>
                        <w:rFonts w:ascii="Cambria Math" w:hAnsi="Cambria Math"/>
                        <w:sz w:val="20"/>
                        <w:szCs w:val="28"/>
                      </w:rPr>
                      <m:t>OM</m:t>
                    </m:r>
                  </m:sub>
                </m:sSub>
              </m:e>
            </m:d>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δ</m:t>
                </m:r>
              </m:e>
              <m:sub>
                <m:r>
                  <w:rPr>
                    <w:rFonts w:ascii="Cambria Math" w:hAnsi="Cambria Math"/>
                    <w:sz w:val="20"/>
                    <w:szCs w:val="28"/>
                  </w:rPr>
                  <m:t>Fuel</m:t>
                </m:r>
              </m:sub>
            </m:sSub>
            <m:r>
              <w:rPr>
                <w:rFonts w:ascii="Cambria Math" w:hAnsi="Cambria Math"/>
                <w:sz w:val="20"/>
                <w:szCs w:val="28"/>
              </w:rPr>
              <m:t>∙</m:t>
            </m:r>
            <m:d>
              <m:dPr>
                <m:ctrlPr>
                  <w:rPr>
                    <w:rFonts w:ascii="Cambria Math" w:hAnsi="Cambria Math"/>
                    <w:i/>
                    <w:sz w:val="20"/>
                    <w:szCs w:val="28"/>
                  </w:rPr>
                </m:ctrlPr>
              </m:dPr>
              <m:e>
                <m:sSub>
                  <m:sSubPr>
                    <m:ctrlPr>
                      <w:rPr>
                        <w:rFonts w:ascii="Cambria Math" w:hAnsi="Cambria Math"/>
                        <w:i/>
                        <w:sz w:val="20"/>
                        <w:szCs w:val="28"/>
                      </w:rPr>
                    </m:ctrlPr>
                  </m:sSubPr>
                  <m:e>
                    <m:r>
                      <w:rPr>
                        <w:rFonts w:ascii="Cambria Math" w:hAnsi="Cambria Math"/>
                        <w:sz w:val="20"/>
                        <w:szCs w:val="28"/>
                      </w:rPr>
                      <m:t>L</m:t>
                    </m:r>
                  </m:e>
                  <m:sub>
                    <m:r>
                      <w:rPr>
                        <w:rFonts w:ascii="Cambria Math" w:hAnsi="Cambria Math"/>
                        <w:sz w:val="20"/>
                        <w:szCs w:val="28"/>
                      </w:rPr>
                      <m:t>Fuel</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LZ</m:t>
                    </m:r>
                  </m:e>
                  <m:sub>
                    <m:r>
                      <w:rPr>
                        <w:rFonts w:ascii="Cambria Math" w:hAnsi="Cambria Math"/>
                        <w:sz w:val="20"/>
                        <w:szCs w:val="28"/>
                      </w:rPr>
                      <m:t>Fuel</m:t>
                    </m:r>
                  </m:sub>
                </m:sSub>
              </m:e>
            </m:d>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δ</m:t>
                </m:r>
              </m:e>
              <m:sub>
                <m:r>
                  <w:rPr>
                    <w:rFonts w:ascii="Cambria Math" w:hAnsi="Cambria Math"/>
                    <w:sz w:val="20"/>
                    <w:szCs w:val="28"/>
                  </w:rPr>
                  <m:t>Fin</m:t>
                </m:r>
              </m:sub>
            </m:sSub>
            <m:r>
              <w:rPr>
                <w:rFonts w:ascii="Cambria Math" w:hAnsi="Cambria Math"/>
                <w:sz w:val="20"/>
                <w:szCs w:val="28"/>
              </w:rPr>
              <m:t>∙</m:t>
            </m:r>
            <m:d>
              <m:dPr>
                <m:ctrlPr>
                  <w:rPr>
                    <w:rFonts w:ascii="Cambria Math" w:hAnsi="Cambria Math"/>
                    <w:i/>
                    <w:sz w:val="20"/>
                    <w:szCs w:val="28"/>
                  </w:rPr>
                </m:ctrlPr>
              </m:dPr>
              <m:e>
                <m:sSub>
                  <m:sSubPr>
                    <m:ctrlPr>
                      <w:rPr>
                        <w:rFonts w:ascii="Cambria Math" w:hAnsi="Cambria Math"/>
                        <w:i/>
                        <w:sz w:val="20"/>
                        <w:szCs w:val="28"/>
                      </w:rPr>
                    </m:ctrlPr>
                  </m:sSubPr>
                  <m:e>
                    <m:r>
                      <w:rPr>
                        <w:rFonts w:ascii="Cambria Math" w:hAnsi="Cambria Math"/>
                        <w:sz w:val="20"/>
                        <w:szCs w:val="28"/>
                      </w:rPr>
                      <m:t>L</m:t>
                    </m:r>
                  </m:e>
                  <m:sub>
                    <m:r>
                      <w:rPr>
                        <w:rFonts w:ascii="Cambria Math" w:hAnsi="Cambria Math"/>
                        <w:sz w:val="20"/>
                        <w:szCs w:val="28"/>
                      </w:rPr>
                      <m:t>Fin</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LZ</m:t>
                    </m:r>
                  </m:e>
                  <m:sub>
                    <m:r>
                      <w:rPr>
                        <w:rFonts w:ascii="Cambria Math" w:hAnsi="Cambria Math"/>
                        <w:sz w:val="20"/>
                        <w:szCs w:val="28"/>
                      </w:rPr>
                      <m:t>Fin</m:t>
                    </m:r>
                  </m:sub>
                </m:sSub>
              </m:e>
            </m:d>
            <m:r>
              <w:rPr>
                <w:rFonts w:ascii="Cambria Math" w:hAnsi="Cambria Math"/>
                <w:sz w:val="20"/>
                <w:szCs w:val="28"/>
              </w:rPr>
              <m:t>)</m:t>
            </m:r>
          </m:e>
        </m:d>
        <m:r>
          <w:rPr>
            <w:rFonts w:ascii="Cambria Math" w:hAnsi="Cambria Math"/>
            <w:sz w:val="20"/>
            <w:szCs w:val="28"/>
          </w:rPr>
          <m:t>-Integration</m:t>
        </m:r>
      </m:oMath>
      <w:r w:rsidR="00A278D5" w:rsidRPr="00ED0D30">
        <w:rPr>
          <w:sz w:val="20"/>
          <w:szCs w:val="28"/>
        </w:rPr>
        <w:t xml:space="preserve">                                                                        (3)</w:t>
      </w:r>
    </w:p>
    <w:p w14:paraId="0783FD45" w14:textId="77777777" w:rsidR="00164844" w:rsidRPr="005B662B" w:rsidRDefault="00164844" w:rsidP="00164844">
      <w:pPr>
        <w:pStyle w:val="Abstracttext"/>
        <w:jc w:val="both"/>
        <w:rPr>
          <w:sz w:val="20"/>
        </w:rPr>
      </w:pPr>
      <w:r w:rsidRPr="00ED0D30">
        <w:rPr>
          <w:sz w:val="20"/>
          <w:lang w:val="ru-RU"/>
        </w:rPr>
        <w:t>δ</w:t>
      </w:r>
      <w:r w:rsidR="009A6910" w:rsidRPr="00ED0D30">
        <w:rPr>
          <w:sz w:val="20"/>
          <w:vertAlign w:val="subscript"/>
        </w:rPr>
        <w:t>CAPEX</w:t>
      </w:r>
      <w:r w:rsidRPr="00ED0D30">
        <w:rPr>
          <w:sz w:val="20"/>
        </w:rPr>
        <w:t xml:space="preserve">, </w:t>
      </w:r>
      <w:r w:rsidRPr="00ED0D30">
        <w:rPr>
          <w:sz w:val="20"/>
          <w:lang w:val="ru-RU"/>
        </w:rPr>
        <w:t>δ</w:t>
      </w:r>
      <w:r w:rsidRPr="00ED0D30">
        <w:rPr>
          <w:sz w:val="20"/>
          <w:vertAlign w:val="subscript"/>
        </w:rPr>
        <w:t>OM</w:t>
      </w:r>
      <w:r w:rsidRPr="00ED0D30">
        <w:rPr>
          <w:sz w:val="20"/>
        </w:rPr>
        <w:t xml:space="preserve">, </w:t>
      </w:r>
      <w:r w:rsidRPr="00ED0D30">
        <w:rPr>
          <w:sz w:val="20"/>
          <w:lang w:val="ru-RU"/>
        </w:rPr>
        <w:t>δ</w:t>
      </w:r>
      <w:r w:rsidRPr="00ED0D30">
        <w:rPr>
          <w:sz w:val="20"/>
          <w:vertAlign w:val="subscript"/>
        </w:rPr>
        <w:t>Fuel</w:t>
      </w:r>
      <w:r w:rsidRPr="00ED0D30">
        <w:rPr>
          <w:sz w:val="20"/>
        </w:rPr>
        <w:t xml:space="preserve">, </w:t>
      </w:r>
      <w:r w:rsidRPr="00ED0D30">
        <w:rPr>
          <w:sz w:val="20"/>
          <w:lang w:val="ru-RU"/>
        </w:rPr>
        <w:t>δ</w:t>
      </w:r>
      <w:r w:rsidRPr="00ED0D30">
        <w:rPr>
          <w:sz w:val="20"/>
          <w:vertAlign w:val="subscript"/>
        </w:rPr>
        <w:t>Fin</w:t>
      </w:r>
      <w:r w:rsidRPr="00ED0D30">
        <w:rPr>
          <w:sz w:val="20"/>
        </w:rPr>
        <w:t xml:space="preserve"> – the share of the levelized costs (Capex, fixed and variable part of O&amp;M costs (separately), fuel costs, cost of financing) in the</w:t>
      </w:r>
      <w:r w:rsidRPr="005B662B">
        <w:rPr>
          <w:sz w:val="20"/>
        </w:rPr>
        <w:t xml:space="preserve"> LCOE structure, expressed in relative terms;</w:t>
      </w:r>
    </w:p>
    <w:p w14:paraId="6D97F530" w14:textId="77777777" w:rsidR="00164844" w:rsidRPr="005B662B" w:rsidRDefault="00164844" w:rsidP="00164844">
      <w:pPr>
        <w:pStyle w:val="Abstracttext"/>
        <w:jc w:val="both"/>
        <w:rPr>
          <w:sz w:val="20"/>
        </w:rPr>
      </w:pPr>
      <w:r w:rsidRPr="005B662B">
        <w:rPr>
          <w:sz w:val="20"/>
        </w:rPr>
        <w:t>L</w:t>
      </w:r>
      <w:r w:rsidR="009A6910" w:rsidRPr="005B662B">
        <w:rPr>
          <w:sz w:val="20"/>
          <w:vertAlign w:val="subscript"/>
        </w:rPr>
        <w:t>CAPEX</w:t>
      </w:r>
      <w:r w:rsidRPr="005B662B">
        <w:rPr>
          <w:sz w:val="20"/>
        </w:rPr>
        <w:t>, L</w:t>
      </w:r>
      <w:r w:rsidRPr="005B662B">
        <w:rPr>
          <w:sz w:val="20"/>
          <w:vertAlign w:val="subscript"/>
        </w:rPr>
        <w:t>OM</w:t>
      </w:r>
      <w:r w:rsidRPr="005B662B">
        <w:rPr>
          <w:sz w:val="20"/>
        </w:rPr>
        <w:t xml:space="preserve">, </w:t>
      </w:r>
      <w:proofErr w:type="spellStart"/>
      <w:r w:rsidRPr="005B662B">
        <w:rPr>
          <w:sz w:val="20"/>
        </w:rPr>
        <w:t>L</w:t>
      </w:r>
      <w:r w:rsidRPr="005B662B">
        <w:rPr>
          <w:sz w:val="20"/>
          <w:vertAlign w:val="subscript"/>
        </w:rPr>
        <w:t>Fuel</w:t>
      </w:r>
      <w:proofErr w:type="spellEnd"/>
      <w:r w:rsidRPr="005B662B">
        <w:rPr>
          <w:sz w:val="20"/>
        </w:rPr>
        <w:t xml:space="preserve">, </w:t>
      </w:r>
      <w:proofErr w:type="spellStart"/>
      <w:r w:rsidRPr="005B662B">
        <w:rPr>
          <w:sz w:val="20"/>
        </w:rPr>
        <w:t>L</w:t>
      </w:r>
      <w:r w:rsidRPr="005B662B">
        <w:rPr>
          <w:sz w:val="20"/>
          <w:vertAlign w:val="subscript"/>
        </w:rPr>
        <w:t>Fin</w:t>
      </w:r>
      <w:proofErr w:type="spellEnd"/>
      <w:r w:rsidRPr="005B662B">
        <w:rPr>
          <w:sz w:val="20"/>
          <w:vertAlign w:val="subscript"/>
        </w:rPr>
        <w:t xml:space="preserve"> </w:t>
      </w:r>
      <w:r w:rsidRPr="005B662B">
        <w:rPr>
          <w:sz w:val="20"/>
        </w:rPr>
        <w:t xml:space="preserve">– </w:t>
      </w:r>
      <w:r w:rsidR="00F97CD5" w:rsidRPr="005B662B">
        <w:rPr>
          <w:sz w:val="20"/>
        </w:rPr>
        <w:t xml:space="preserve">the </w:t>
      </w:r>
      <w:r w:rsidRPr="005B662B">
        <w:rPr>
          <w:sz w:val="20"/>
        </w:rPr>
        <w:t xml:space="preserve">percentage of the </w:t>
      </w:r>
      <w:r w:rsidR="009A6910" w:rsidRPr="005B662B">
        <w:rPr>
          <w:sz w:val="20"/>
        </w:rPr>
        <w:t>localized</w:t>
      </w:r>
      <w:r w:rsidRPr="005B662B">
        <w:rPr>
          <w:sz w:val="20"/>
        </w:rPr>
        <w:t xml:space="preserve"> share of costs (Capex, fixed and variable part of O&amp;M costs (aggregated), fuel costs, cost of financing), accounted for as a part of LCOE;</w:t>
      </w:r>
    </w:p>
    <w:p w14:paraId="79A62A52" w14:textId="77777777" w:rsidR="00164844" w:rsidRPr="005B662B" w:rsidRDefault="00164844" w:rsidP="00164844">
      <w:pPr>
        <w:pStyle w:val="Abstracttext"/>
        <w:jc w:val="both"/>
        <w:rPr>
          <w:sz w:val="20"/>
        </w:rPr>
      </w:pPr>
      <w:r w:rsidRPr="005B662B">
        <w:rPr>
          <w:sz w:val="20"/>
        </w:rPr>
        <w:t>LZ</w:t>
      </w:r>
      <w:r w:rsidR="009A6910" w:rsidRPr="005B662B">
        <w:rPr>
          <w:sz w:val="20"/>
          <w:vertAlign w:val="subscript"/>
        </w:rPr>
        <w:t>CAPEX</w:t>
      </w:r>
      <w:r w:rsidRPr="005B662B">
        <w:rPr>
          <w:sz w:val="20"/>
        </w:rPr>
        <w:t>, LZ</w:t>
      </w:r>
      <w:r w:rsidRPr="005B662B">
        <w:rPr>
          <w:sz w:val="20"/>
          <w:vertAlign w:val="subscript"/>
        </w:rPr>
        <w:t>OM</w:t>
      </w:r>
      <w:r w:rsidRPr="005B662B">
        <w:rPr>
          <w:sz w:val="20"/>
        </w:rPr>
        <w:t xml:space="preserve">, </w:t>
      </w:r>
      <w:proofErr w:type="spellStart"/>
      <w:r w:rsidRPr="005B662B">
        <w:rPr>
          <w:sz w:val="20"/>
        </w:rPr>
        <w:t>LZ</w:t>
      </w:r>
      <w:r w:rsidRPr="005B662B">
        <w:rPr>
          <w:sz w:val="20"/>
          <w:vertAlign w:val="subscript"/>
        </w:rPr>
        <w:t>Fuel</w:t>
      </w:r>
      <w:proofErr w:type="spellEnd"/>
      <w:r w:rsidRPr="005B662B">
        <w:rPr>
          <w:sz w:val="20"/>
        </w:rPr>
        <w:t xml:space="preserve">, </w:t>
      </w:r>
      <w:proofErr w:type="spellStart"/>
      <w:r w:rsidRPr="005B662B">
        <w:rPr>
          <w:sz w:val="20"/>
        </w:rPr>
        <w:t>LZ</w:t>
      </w:r>
      <w:r w:rsidRPr="005B662B">
        <w:rPr>
          <w:sz w:val="20"/>
          <w:vertAlign w:val="subscript"/>
        </w:rPr>
        <w:t>Fin</w:t>
      </w:r>
      <w:proofErr w:type="spellEnd"/>
      <w:r w:rsidRPr="005B662B">
        <w:rPr>
          <w:sz w:val="20"/>
          <w:vertAlign w:val="subscript"/>
        </w:rPr>
        <w:t xml:space="preserve"> </w:t>
      </w:r>
      <w:r w:rsidRPr="005B662B">
        <w:rPr>
          <w:sz w:val="20"/>
        </w:rPr>
        <w:t xml:space="preserve">– </w:t>
      </w:r>
      <w:r w:rsidR="00F97CD5" w:rsidRPr="005B662B">
        <w:rPr>
          <w:sz w:val="20"/>
        </w:rPr>
        <w:t xml:space="preserve">the </w:t>
      </w:r>
      <w:r w:rsidRPr="005B662B">
        <w:rPr>
          <w:sz w:val="20"/>
        </w:rPr>
        <w:t xml:space="preserve">cost </w:t>
      </w:r>
      <w:r w:rsidR="00D12221" w:rsidRPr="005B662B">
        <w:rPr>
          <w:sz w:val="20"/>
        </w:rPr>
        <w:t>localization</w:t>
      </w:r>
      <w:r w:rsidRPr="005B662B">
        <w:rPr>
          <w:sz w:val="20"/>
        </w:rPr>
        <w:t xml:space="preserve"> potential (Capex, fixed and variable part of O&amp;M costs (aggregated), fuel costs, cost of financing), expressed in percentage points.</w:t>
      </w:r>
    </w:p>
    <w:p w14:paraId="76B27D9A" w14:textId="77777777" w:rsidR="00164844" w:rsidRDefault="00164844" w:rsidP="00164844">
      <w:pPr>
        <w:pStyle w:val="Abstracttext"/>
        <w:jc w:val="both"/>
        <w:rPr>
          <w:sz w:val="20"/>
        </w:rPr>
      </w:pPr>
      <w:r w:rsidRPr="005B662B">
        <w:rPr>
          <w:sz w:val="20"/>
        </w:rPr>
        <w:t xml:space="preserve">The share of levelized costs in the LCOE structure, </w:t>
      </w:r>
      <w:r w:rsidR="00F97CD5" w:rsidRPr="005B662B">
        <w:rPr>
          <w:sz w:val="20"/>
        </w:rPr>
        <w:t>expressed</w:t>
      </w:r>
      <w:r w:rsidRPr="005B662B">
        <w:rPr>
          <w:sz w:val="20"/>
        </w:rPr>
        <w:t xml:space="preserve"> in relative terms, was calculated according to formula (4) (using the </w:t>
      </w:r>
      <w:r w:rsidR="009A6910" w:rsidRPr="005B662B">
        <w:rPr>
          <w:sz w:val="20"/>
        </w:rPr>
        <w:t xml:space="preserve">CAPEX </w:t>
      </w:r>
      <w:r w:rsidRPr="005B662B">
        <w:rPr>
          <w:sz w:val="20"/>
        </w:rPr>
        <w:t>component as an example).</w:t>
      </w:r>
    </w:p>
    <w:p w14:paraId="388979DA" w14:textId="77777777" w:rsidR="00B35E7E" w:rsidRPr="005519D5" w:rsidRDefault="00F4560C" w:rsidP="00AD5FAF">
      <w:pPr>
        <w:pStyle w:val="Abstracttext"/>
        <w:jc w:val="both"/>
        <w:rPr>
          <w:sz w:val="20"/>
        </w:rPr>
      </w:pPr>
      <m:oMath>
        <m:sSub>
          <m:sSubPr>
            <m:ctrlPr>
              <w:rPr>
                <w:rFonts w:ascii="Cambria Math" w:hAnsi="Cambria Math"/>
                <w:i/>
                <w:sz w:val="20"/>
                <w:szCs w:val="28"/>
              </w:rPr>
            </m:ctrlPr>
          </m:sSubPr>
          <m:e>
            <m:r>
              <w:rPr>
                <w:rFonts w:ascii="Cambria Math" w:hAnsi="Cambria Math"/>
                <w:sz w:val="20"/>
                <w:szCs w:val="28"/>
              </w:rPr>
              <m:t>δ</m:t>
            </m:r>
          </m:e>
          <m:sub>
            <m:r>
              <w:rPr>
                <w:rFonts w:ascii="Cambria Math" w:hAnsi="Cambria Math"/>
                <w:sz w:val="20"/>
                <w:szCs w:val="28"/>
                <w:lang w:val="de-DE"/>
              </w:rPr>
              <m:t>CAPEX</m:t>
            </m:r>
          </m:sub>
        </m:sSub>
        <m:r>
          <w:rPr>
            <w:rFonts w:ascii="Cambria Math" w:hAnsi="Cambria Math"/>
            <w:sz w:val="20"/>
            <w:szCs w:val="28"/>
          </w:rPr>
          <m:t>=</m:t>
        </m:r>
        <m:f>
          <m:fPr>
            <m:ctrlPr>
              <w:rPr>
                <w:rFonts w:ascii="Cambria Math" w:hAnsi="Cambria Math"/>
                <w:i/>
                <w:sz w:val="20"/>
                <w:szCs w:val="28"/>
              </w:rPr>
            </m:ctrlPr>
          </m:fPr>
          <m:num>
            <m:nary>
              <m:naryPr>
                <m:chr m:val="∑"/>
                <m:limLoc m:val="undOvr"/>
                <m:ctrlPr>
                  <w:rPr>
                    <w:rFonts w:ascii="Cambria Math" w:hAnsi="Cambria Math"/>
                    <w:i/>
                    <w:sz w:val="20"/>
                    <w:szCs w:val="28"/>
                  </w:rPr>
                </m:ctrlPr>
              </m:naryPr>
              <m:sub>
                <m:r>
                  <w:rPr>
                    <w:rFonts w:ascii="Cambria Math" w:hAnsi="Cambria Math"/>
                    <w:sz w:val="20"/>
                    <w:szCs w:val="28"/>
                  </w:rPr>
                  <m:t>t=1</m:t>
                </m:r>
              </m:sub>
              <m:sup>
                <m:r>
                  <w:rPr>
                    <w:rFonts w:ascii="Cambria Math" w:hAnsi="Cambria Math"/>
                    <w:sz w:val="20"/>
                    <w:szCs w:val="28"/>
                  </w:rPr>
                  <m:t>LifetimePeriod</m:t>
                </m:r>
              </m:sup>
              <m:e>
                <m:sSub>
                  <m:sSubPr>
                    <m:ctrlPr>
                      <w:rPr>
                        <w:rFonts w:ascii="Cambria Math" w:hAnsi="Cambria Math"/>
                        <w:i/>
                        <w:sz w:val="20"/>
                        <w:szCs w:val="28"/>
                      </w:rPr>
                    </m:ctrlPr>
                  </m:sSubPr>
                  <m:e>
                    <m:r>
                      <w:rPr>
                        <w:rFonts w:ascii="Cambria Math" w:hAnsi="Cambria Math"/>
                        <w:sz w:val="20"/>
                        <w:szCs w:val="28"/>
                      </w:rPr>
                      <m:t>Capex</m:t>
                    </m:r>
                  </m:e>
                  <m:sub>
                    <m:r>
                      <w:rPr>
                        <w:rFonts w:ascii="Cambria Math" w:hAnsi="Cambria Math"/>
                        <w:sz w:val="20"/>
                        <w:szCs w:val="28"/>
                      </w:rPr>
                      <m:t>t</m:t>
                    </m:r>
                  </m:sub>
                </m:sSub>
                <m:r>
                  <w:rPr>
                    <w:rFonts w:ascii="Cambria Math" w:hAnsi="Cambria Math"/>
                    <w:sz w:val="20"/>
                    <w:szCs w:val="28"/>
                  </w:rPr>
                  <m:t>∙</m:t>
                </m:r>
                <m:sSup>
                  <m:sSupPr>
                    <m:ctrlPr>
                      <w:rPr>
                        <w:rFonts w:ascii="Cambria Math" w:hAnsi="Cambria Math"/>
                        <w:i/>
                        <w:sz w:val="20"/>
                        <w:szCs w:val="28"/>
                      </w:rPr>
                    </m:ctrlPr>
                  </m:sSupPr>
                  <m:e>
                    <m:r>
                      <w:rPr>
                        <w:rFonts w:ascii="Cambria Math" w:hAnsi="Cambria Math"/>
                        <w:sz w:val="20"/>
                        <w:szCs w:val="28"/>
                      </w:rPr>
                      <m:t>(1+r)</m:t>
                    </m:r>
                  </m:e>
                  <m:sup>
                    <m:r>
                      <w:rPr>
                        <w:rFonts w:ascii="Cambria Math" w:hAnsi="Cambria Math"/>
                        <w:sz w:val="20"/>
                        <w:szCs w:val="28"/>
                      </w:rPr>
                      <m:t>-t</m:t>
                    </m:r>
                  </m:sup>
                </m:sSup>
              </m:e>
            </m:nary>
          </m:num>
          <m:den>
            <m:r>
              <w:rPr>
                <w:rFonts w:ascii="Cambria Math" w:hAnsi="Cambria Math"/>
                <w:sz w:val="20"/>
                <w:szCs w:val="28"/>
              </w:rPr>
              <m:t>Net Present Value of Energy Produced over Lifetime</m:t>
            </m:r>
          </m:den>
        </m:f>
      </m:oMath>
      <w:r w:rsidR="00A278D5" w:rsidRPr="005519D5">
        <w:rPr>
          <w:sz w:val="20"/>
          <w:szCs w:val="28"/>
        </w:rPr>
        <w:t xml:space="preserve">                                                                           (4)</w:t>
      </w:r>
    </w:p>
    <w:p w14:paraId="0D14723F" w14:textId="77777777" w:rsidR="00B35E7E" w:rsidRPr="005519D5" w:rsidRDefault="00B35E7E" w:rsidP="00AD5FAF">
      <w:pPr>
        <w:pStyle w:val="Abstracttext"/>
        <w:jc w:val="both"/>
        <w:rPr>
          <w:sz w:val="20"/>
        </w:rPr>
      </w:pPr>
    </w:p>
    <w:p w14:paraId="646F8A64" w14:textId="77777777" w:rsidR="00164844" w:rsidRPr="00164844" w:rsidRDefault="00164844" w:rsidP="00164844">
      <w:pPr>
        <w:pStyle w:val="BodyText"/>
        <w:rPr>
          <w:lang w:val="en-US"/>
        </w:rPr>
      </w:pPr>
      <w:r w:rsidRPr="00164844">
        <w:rPr>
          <w:lang w:val="en-US"/>
        </w:rPr>
        <w:t>(1+r)-t – the real time discount rate corresponding to the cost of capital (cost of financing). For the purposes of th</w:t>
      </w:r>
      <w:r w:rsidR="005C3F9C">
        <w:rPr>
          <w:lang w:val="en-US"/>
        </w:rPr>
        <w:t>e</w:t>
      </w:r>
      <w:r w:rsidRPr="00164844">
        <w:rPr>
          <w:lang w:val="en-US"/>
        </w:rPr>
        <w:t xml:space="preserve"> paper, the discount rate (r) is assumed at the level of 7%;</w:t>
      </w:r>
    </w:p>
    <w:p w14:paraId="261CFE50" w14:textId="77777777" w:rsidR="00164844" w:rsidRPr="00164844" w:rsidRDefault="00164844" w:rsidP="00164844">
      <w:pPr>
        <w:pStyle w:val="BodyText"/>
        <w:rPr>
          <w:lang w:val="en-US"/>
        </w:rPr>
      </w:pPr>
      <w:proofErr w:type="spellStart"/>
      <w:r w:rsidRPr="00164844">
        <w:rPr>
          <w:lang w:val="en-US"/>
        </w:rPr>
        <w:t>LifetimePeriod</w:t>
      </w:r>
      <w:proofErr w:type="spellEnd"/>
      <w:r w:rsidRPr="00164844">
        <w:rPr>
          <w:lang w:val="en-US"/>
        </w:rPr>
        <w:t xml:space="preserve"> – is expected lifetimes for each technology across countries are as follows through;</w:t>
      </w:r>
    </w:p>
    <w:p w14:paraId="415510B0" w14:textId="77777777" w:rsidR="00164844" w:rsidRDefault="00164844" w:rsidP="00164844">
      <w:pPr>
        <w:pStyle w:val="BodyText"/>
        <w:rPr>
          <w:lang w:val="en-US"/>
        </w:rPr>
      </w:pPr>
      <w:r w:rsidRPr="00164844">
        <w:rPr>
          <w:lang w:val="en-US"/>
        </w:rPr>
        <w:t xml:space="preserve">t – </w:t>
      </w:r>
      <w:r w:rsidR="00F97CD5">
        <w:rPr>
          <w:lang w:val="en-US"/>
        </w:rPr>
        <w:t xml:space="preserve">the </w:t>
      </w:r>
      <w:r w:rsidRPr="00164844">
        <w:rPr>
          <w:lang w:val="en-US"/>
        </w:rPr>
        <w:t xml:space="preserve">sequence number of the year within </w:t>
      </w:r>
      <w:proofErr w:type="spellStart"/>
      <w:r w:rsidRPr="00164844">
        <w:rPr>
          <w:lang w:val="en-US"/>
        </w:rPr>
        <w:t>LifetimePeriod</w:t>
      </w:r>
      <w:proofErr w:type="spellEnd"/>
      <w:r w:rsidRPr="00164844">
        <w:rPr>
          <w:lang w:val="en-US"/>
        </w:rPr>
        <w:t>.</w:t>
      </w:r>
    </w:p>
    <w:p w14:paraId="776E10AB" w14:textId="77777777" w:rsidR="00036476" w:rsidRPr="00036476" w:rsidRDefault="00036476" w:rsidP="00164844">
      <w:pPr>
        <w:pStyle w:val="BodyText"/>
        <w:rPr>
          <w:lang w:val="en-US"/>
        </w:rPr>
      </w:pPr>
      <w:r w:rsidRPr="00036476">
        <w:rPr>
          <w:lang w:val="en-US"/>
        </w:rPr>
        <w:t xml:space="preserve">The </w:t>
      </w:r>
      <w:proofErr w:type="spellStart"/>
      <w:r w:rsidRPr="00036476">
        <w:rPr>
          <w:lang w:val="en-US"/>
        </w:rPr>
        <w:t>RealLCOE</w:t>
      </w:r>
      <w:proofErr w:type="spellEnd"/>
      <w:r w:rsidRPr="00036476">
        <w:rPr>
          <w:lang w:val="en-US"/>
        </w:rPr>
        <w:t xml:space="preserve"> approach makes it possible to choose the most affordable option to GDP by </w:t>
      </w:r>
      <w:proofErr w:type="gramStart"/>
      <w:r w:rsidRPr="00036476">
        <w:rPr>
          <w:lang w:val="en-US"/>
        </w:rPr>
        <w:t>taking into</w:t>
      </w:r>
      <w:r w:rsidR="00CD6B0E" w:rsidRPr="00CD6B0E">
        <w:rPr>
          <w:lang w:val="en-US"/>
        </w:rPr>
        <w:t xml:space="preserve"> </w:t>
      </w:r>
      <w:r w:rsidRPr="00036476">
        <w:rPr>
          <w:lang w:val="en-US"/>
        </w:rPr>
        <w:t>account</w:t>
      </w:r>
      <w:proofErr w:type="gramEnd"/>
      <w:r w:rsidRPr="00036476">
        <w:rPr>
          <w:lang w:val="en-US"/>
        </w:rPr>
        <w:t xml:space="preserve"> not only the absolute LCOE value, but rather the actual cost to GDP for a particular electricity generation technology in the </w:t>
      </w:r>
      <w:r w:rsidR="00D12221" w:rsidRPr="00036476">
        <w:rPr>
          <w:lang w:val="en-US"/>
        </w:rPr>
        <w:t>analy</w:t>
      </w:r>
      <w:r w:rsidR="00D12221">
        <w:rPr>
          <w:lang w:val="en-US"/>
        </w:rPr>
        <w:t>z</w:t>
      </w:r>
      <w:r w:rsidR="00D12221" w:rsidRPr="00036476">
        <w:rPr>
          <w:lang w:val="en-US"/>
        </w:rPr>
        <w:t>ed</w:t>
      </w:r>
      <w:r w:rsidRPr="00036476">
        <w:rPr>
          <w:lang w:val="en-US"/>
        </w:rPr>
        <w:t xml:space="preserve"> market environment, which helps get the highest multiplicator for</w:t>
      </w:r>
      <w:r w:rsidR="00F97CD5">
        <w:rPr>
          <w:lang w:val="en-US"/>
        </w:rPr>
        <w:t xml:space="preserve"> the</w:t>
      </w:r>
      <w:r w:rsidRPr="00036476">
        <w:rPr>
          <w:lang w:val="en-US"/>
        </w:rPr>
        <w:t xml:space="preserve"> local economic development.</w:t>
      </w:r>
    </w:p>
    <w:p w14:paraId="54825D11" w14:textId="77777777" w:rsidR="00036476" w:rsidRPr="00036476" w:rsidRDefault="00F90C69" w:rsidP="00036476">
      <w:pPr>
        <w:pStyle w:val="BodyText"/>
        <w:rPr>
          <w:lang w:val="en-US"/>
        </w:rPr>
      </w:pPr>
      <w:r w:rsidRPr="005B662B">
        <w:rPr>
          <w:lang w:val="en-US"/>
        </w:rPr>
        <w:t>F</w:t>
      </w:r>
      <w:r w:rsidR="00036476" w:rsidRPr="005B662B">
        <w:rPr>
          <w:lang w:val="en-US"/>
        </w:rPr>
        <w:t>ig</w:t>
      </w:r>
      <w:r w:rsidR="00626E9D" w:rsidRPr="005B662B">
        <w:rPr>
          <w:lang w:val="en-US"/>
        </w:rPr>
        <w:t>.</w:t>
      </w:r>
      <w:r w:rsidR="00C930F4" w:rsidRPr="005B662B">
        <w:rPr>
          <w:lang w:val="en-US"/>
        </w:rPr>
        <w:t xml:space="preserve"> </w:t>
      </w:r>
      <w:r w:rsidR="007E682D" w:rsidRPr="005B662B">
        <w:rPr>
          <w:lang w:val="en-US"/>
        </w:rPr>
        <w:t>3</w:t>
      </w:r>
      <w:r w:rsidR="00036476" w:rsidRPr="005B662B">
        <w:rPr>
          <w:lang w:val="en-US"/>
        </w:rPr>
        <w:t xml:space="preserve"> below illustrates how the change in optimization criteria from least cost to least cost to GDP impacts the merit order of</w:t>
      </w:r>
      <w:r w:rsidR="00036476" w:rsidRPr="00036476">
        <w:rPr>
          <w:lang w:val="en-US"/>
        </w:rPr>
        <w:t xml:space="preserve"> preferred generation technologies for a range of exporting and importing countries taken as an example</w:t>
      </w:r>
      <w:r w:rsidR="00C930F4" w:rsidRPr="00C930F4">
        <w:rPr>
          <w:lang w:val="en-US"/>
        </w:rPr>
        <w:t xml:space="preserve"> </w:t>
      </w:r>
      <w:r w:rsidR="00164844" w:rsidRPr="00164844">
        <w:rPr>
          <w:lang w:val="en-US"/>
        </w:rPr>
        <w:t>(to illustrate the absolute values of LCOE for exporting and importing countries are equated).</w:t>
      </w:r>
    </w:p>
    <w:p w14:paraId="28393336" w14:textId="77777777" w:rsidR="00036476" w:rsidRDefault="00036476" w:rsidP="00036476">
      <w:pPr>
        <w:pStyle w:val="BodyText"/>
        <w:rPr>
          <w:lang w:val="en-US"/>
        </w:rPr>
      </w:pPr>
      <w:r w:rsidRPr="00036476">
        <w:rPr>
          <w:lang w:val="en-US"/>
        </w:rPr>
        <w:t>For example, in Germany the nominal costs for a new lignite power plant may be comparable to a CCGT - 98 USD/MWh vs. 115 USD/MWh, however in “real terms” coal generation is times cheaper compared to gas - 8 USD/MWh vs. 79 USD/MWh as coal uses almost exclusively local resources of fuel,</w:t>
      </w:r>
      <w:r w:rsidR="00C24E01" w:rsidRPr="00C24E01">
        <w:rPr>
          <w:lang w:val="en-US"/>
        </w:rPr>
        <w:t xml:space="preserve"> </w:t>
      </w:r>
      <w:r w:rsidRPr="00036476">
        <w:rPr>
          <w:lang w:val="en-US"/>
        </w:rPr>
        <w:t xml:space="preserve">technology, O&amp;M and financing. Using the same logic, it may seem cheaper for Russia to buy a German gas turbine, but measured by the cost to GDP impact it is more efficient to build a new nuclear power plant based on the Russian design and components (nuclear LCOE is 101 USD/MWh and </w:t>
      </w:r>
      <w:proofErr w:type="spellStart"/>
      <w:r w:rsidRPr="00036476">
        <w:rPr>
          <w:lang w:val="en-US"/>
        </w:rPr>
        <w:t>RealLCOE</w:t>
      </w:r>
      <w:proofErr w:type="spellEnd"/>
      <w:r w:rsidRPr="00036476">
        <w:rPr>
          <w:lang w:val="en-US"/>
        </w:rPr>
        <w:t xml:space="preserve"> is 4 USD/MWh for the domestic market). China outperforms </w:t>
      </w:r>
      <w:r w:rsidR="00F97CD5" w:rsidRPr="00F97CD5">
        <w:rPr>
          <w:lang w:val="en-US"/>
        </w:rPr>
        <w:t xml:space="preserve">all other countries </w:t>
      </w:r>
      <w:r w:rsidRPr="00036476">
        <w:rPr>
          <w:lang w:val="en-US"/>
        </w:rPr>
        <w:t>by localizing supply chains for renewables, so wind generation is very affordable in China even at high VRE integration costs (</w:t>
      </w:r>
      <w:r w:rsidRPr="00626E9D">
        <w:rPr>
          <w:lang w:val="en-US"/>
        </w:rPr>
        <w:t>as high as additional 1.0-2.0 times VRE build costs) o</w:t>
      </w:r>
      <w:r w:rsidRPr="00036476">
        <w:rPr>
          <w:lang w:val="en-US"/>
        </w:rPr>
        <w:t>r a 50% curtailment.</w:t>
      </w:r>
    </w:p>
    <w:p w14:paraId="356E76E2" w14:textId="77777777" w:rsidR="00036476" w:rsidRDefault="00E43920" w:rsidP="00E43920">
      <w:pPr>
        <w:pStyle w:val="BodyText"/>
        <w:ind w:firstLine="0"/>
        <w:jc w:val="center"/>
        <w:rPr>
          <w:lang w:val="en-US"/>
        </w:rPr>
      </w:pPr>
      <w:r>
        <w:rPr>
          <w:noProof/>
          <w:lang w:val="en-US"/>
        </w:rPr>
        <w:drawing>
          <wp:inline distT="0" distB="0" distL="0" distR="0" wp14:anchorId="55E1EAC1" wp14:editId="56F7D570">
            <wp:extent cx="4627400" cy="2758440"/>
            <wp:effectExtent l="0" t="0" r="1905" b="381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7105" cy="2788069"/>
                    </a:xfrm>
                    <a:prstGeom prst="rect">
                      <a:avLst/>
                    </a:prstGeom>
                    <a:noFill/>
                  </pic:spPr>
                </pic:pic>
              </a:graphicData>
            </a:graphic>
          </wp:inline>
        </w:drawing>
      </w:r>
    </w:p>
    <w:p w14:paraId="69D394E4" w14:textId="77777777" w:rsidR="00E26730" w:rsidRPr="00AB5B75" w:rsidRDefault="00F90C69" w:rsidP="00AB5B75">
      <w:pPr>
        <w:pStyle w:val="Caption"/>
        <w:jc w:val="center"/>
        <w:rPr>
          <w:i/>
          <w:lang w:val="en-GB"/>
        </w:rPr>
      </w:pPr>
      <w:r w:rsidRPr="00AD5FAF">
        <w:rPr>
          <w:i/>
        </w:rPr>
        <w:t>F</w:t>
      </w:r>
      <w:r>
        <w:rPr>
          <w:i/>
        </w:rPr>
        <w:t>IG</w:t>
      </w:r>
      <w:r w:rsidRPr="00AD5FAF">
        <w:rPr>
          <w:i/>
        </w:rPr>
        <w:t>.</w:t>
      </w:r>
      <w:r>
        <w:rPr>
          <w:i/>
        </w:rPr>
        <w:t xml:space="preserve"> </w:t>
      </w:r>
      <w:r w:rsidR="007E682D">
        <w:rPr>
          <w:i/>
        </w:rPr>
        <w:t>3</w:t>
      </w:r>
      <w:r>
        <w:rPr>
          <w:i/>
        </w:rPr>
        <w:t xml:space="preserve">. </w:t>
      </w:r>
      <w:r w:rsidR="007C755F" w:rsidRPr="007C755F">
        <w:rPr>
          <w:i/>
          <w:lang w:val="en-GB"/>
        </w:rPr>
        <w:t xml:space="preserve">Cost of electricity based on LCOE and </w:t>
      </w:r>
      <w:proofErr w:type="spellStart"/>
      <w:r w:rsidR="007C755F" w:rsidRPr="007C755F">
        <w:rPr>
          <w:i/>
          <w:lang w:val="en-GB"/>
        </w:rPr>
        <w:t>RealLCOE</w:t>
      </w:r>
      <w:proofErr w:type="spellEnd"/>
      <w:r w:rsidR="007C755F" w:rsidRPr="007C755F">
        <w:rPr>
          <w:i/>
          <w:lang w:val="en-GB"/>
        </w:rPr>
        <w:t xml:space="preserve"> by type of economy</w:t>
      </w:r>
    </w:p>
    <w:p w14:paraId="7503D208" w14:textId="77777777" w:rsidR="00BE56CE" w:rsidRDefault="007C6828" w:rsidP="00466B2A">
      <w:pPr>
        <w:pStyle w:val="Heading2"/>
        <w:numPr>
          <w:ilvl w:val="1"/>
          <w:numId w:val="5"/>
        </w:numPr>
      </w:pPr>
      <w:r w:rsidRPr="007C6828">
        <w:rPr>
          <w:lang w:val="en-US"/>
        </w:rPr>
        <w:t>impact of supply chain localization on RealLCOE for various technologies</w:t>
      </w:r>
    </w:p>
    <w:p w14:paraId="2E9D69A1" w14:textId="77777777" w:rsidR="00036476" w:rsidRPr="00D12221" w:rsidRDefault="00164844" w:rsidP="00FB4A2B">
      <w:pPr>
        <w:pStyle w:val="Abstracttext"/>
        <w:jc w:val="both"/>
        <w:rPr>
          <w:sz w:val="20"/>
        </w:rPr>
      </w:pPr>
      <w:r w:rsidRPr="00164844">
        <w:rPr>
          <w:sz w:val="20"/>
        </w:rPr>
        <w:t>The paper estimates</w:t>
      </w:r>
      <w:r w:rsidR="00F97CD5">
        <w:rPr>
          <w:sz w:val="20"/>
        </w:rPr>
        <w:t xml:space="preserve"> the</w:t>
      </w:r>
      <w:r w:rsidRPr="00164844">
        <w:rPr>
          <w:sz w:val="20"/>
        </w:rPr>
        <w:t xml:space="preserve"> impact of </w:t>
      </w:r>
      <w:r w:rsidR="00F97CD5">
        <w:rPr>
          <w:sz w:val="20"/>
        </w:rPr>
        <w:t xml:space="preserve">the </w:t>
      </w:r>
      <w:r w:rsidRPr="00164844">
        <w:rPr>
          <w:sz w:val="20"/>
        </w:rPr>
        <w:t xml:space="preserve">supply chain localization on </w:t>
      </w:r>
      <w:proofErr w:type="spellStart"/>
      <w:r w:rsidRPr="00164844">
        <w:rPr>
          <w:sz w:val="20"/>
        </w:rPr>
        <w:t>RealLCOE</w:t>
      </w:r>
      <w:proofErr w:type="spellEnd"/>
      <w:r w:rsidRPr="00164844">
        <w:rPr>
          <w:sz w:val="20"/>
        </w:rPr>
        <w:t xml:space="preserve"> for various generating technologies. In order to demonstrate the proposed approach, a number of countries in the Southern and Eastern </w:t>
      </w:r>
      <w:r w:rsidR="00F97CD5" w:rsidRPr="00F97CD5">
        <w:rPr>
          <w:sz w:val="20"/>
        </w:rPr>
        <w:t xml:space="preserve">Africa region are </w:t>
      </w:r>
      <w:r w:rsidR="00D12221" w:rsidRPr="00F97CD5">
        <w:rPr>
          <w:sz w:val="20"/>
        </w:rPr>
        <w:t>analy</w:t>
      </w:r>
      <w:r w:rsidR="00D12221">
        <w:rPr>
          <w:sz w:val="20"/>
        </w:rPr>
        <w:t>ze</w:t>
      </w:r>
      <w:r w:rsidR="00D12221" w:rsidRPr="00F97CD5">
        <w:rPr>
          <w:sz w:val="20"/>
        </w:rPr>
        <w:t>d</w:t>
      </w:r>
      <w:r w:rsidR="00F97CD5" w:rsidRPr="00F97CD5">
        <w:rPr>
          <w:sz w:val="20"/>
        </w:rPr>
        <w:t xml:space="preserve"> and empirically determined the numerical value of the localization possibility by type of technology and by region is empirically determined</w:t>
      </w:r>
      <w:r w:rsidR="00FB4A2B" w:rsidRPr="00B65F2B">
        <w:rPr>
          <w:sz w:val="20"/>
        </w:rPr>
        <w:t>.</w:t>
      </w:r>
      <w:r w:rsidR="00FB4A2B" w:rsidRPr="00B65F2B">
        <w:t xml:space="preserve"> </w:t>
      </w:r>
      <w:r w:rsidR="00FB4A2B" w:rsidRPr="00B65F2B">
        <w:rPr>
          <w:sz w:val="20"/>
        </w:rPr>
        <w:t xml:space="preserve">The localization possibility value is expressed in USD/MWh and determined by experts as the possibility </w:t>
      </w:r>
      <w:r w:rsidR="00FB4A2B" w:rsidRPr="00B65F2B">
        <w:rPr>
          <w:sz w:val="20"/>
          <w:lang w:val="en-GB"/>
        </w:rPr>
        <w:t xml:space="preserve">of reducing the import component for each of the main cost elements forming LCOE (capital expenditures, operational expenditures (excl. fuel costs), fuel costs, cost of financing) with </w:t>
      </w:r>
      <w:r w:rsidR="00FB4A2B" w:rsidRPr="00D12221">
        <w:rPr>
          <w:sz w:val="20"/>
          <w:lang w:val="en-GB"/>
        </w:rPr>
        <w:t>the help of existing or developing internal capabilities of the African regions under consideration</w:t>
      </w:r>
      <w:r w:rsidR="006D6378" w:rsidRPr="00D12221">
        <w:rPr>
          <w:sz w:val="20"/>
          <w:lang w:val="en-GB"/>
        </w:rPr>
        <w:t xml:space="preserve"> </w:t>
      </w:r>
      <w:r w:rsidR="00F90C69" w:rsidRPr="00D12221">
        <w:rPr>
          <w:sz w:val="20"/>
        </w:rPr>
        <w:t xml:space="preserve">(see Fig. </w:t>
      </w:r>
      <w:r w:rsidR="007E682D" w:rsidRPr="00D12221">
        <w:rPr>
          <w:sz w:val="20"/>
        </w:rPr>
        <w:t>4</w:t>
      </w:r>
      <w:r w:rsidR="00F97CD5" w:rsidRPr="00D12221">
        <w:rPr>
          <w:sz w:val="20"/>
        </w:rPr>
        <w:t xml:space="preserve"> below</w:t>
      </w:r>
      <w:r w:rsidR="00F90C69" w:rsidRPr="00D12221">
        <w:rPr>
          <w:sz w:val="20"/>
        </w:rPr>
        <w:t>)</w:t>
      </w:r>
      <w:r w:rsidR="00FB4A2B" w:rsidRPr="00D12221">
        <w:rPr>
          <w:sz w:val="20"/>
          <w:lang w:val="en-GB"/>
        </w:rPr>
        <w:t>.</w:t>
      </w:r>
    </w:p>
    <w:p w14:paraId="67EA0E8B" w14:textId="77777777" w:rsidR="00FB4A2B" w:rsidRDefault="00FB4A2B" w:rsidP="00FB4A2B">
      <w:pPr>
        <w:pStyle w:val="Abstracttext"/>
        <w:jc w:val="both"/>
        <w:rPr>
          <w:sz w:val="20"/>
          <w:lang w:val="en-GB"/>
        </w:rPr>
      </w:pPr>
      <w:r w:rsidRPr="00D12221">
        <w:rPr>
          <w:sz w:val="20"/>
          <w:lang w:val="en-GB"/>
        </w:rPr>
        <w:t>The results</w:t>
      </w:r>
      <w:r w:rsidRPr="00FB4A2B">
        <w:rPr>
          <w:sz w:val="20"/>
          <w:lang w:val="en-GB"/>
        </w:rPr>
        <w:t xml:space="preserve"> of the analysis show that the greatest localization potential is usually formed for fossil generation – up to 90-93% in countries with a rich local resource base for coal and gas and 58-67% for nuclear generation, assuming development of the local construction industry, raw material supply and skilled workforce. </w:t>
      </w:r>
      <w:r w:rsidRPr="00FB4A2B">
        <w:rPr>
          <w:sz w:val="20"/>
          <w:lang w:val="en-GB"/>
        </w:rPr>
        <w:lastRenderedPageBreak/>
        <w:t>Wind and solar have the lowest</w:t>
      </w:r>
      <w:r w:rsidR="00B65F2B" w:rsidRPr="00B65F2B">
        <w:rPr>
          <w:sz w:val="22"/>
          <w:lang w:val="en-GB"/>
        </w:rPr>
        <w:t xml:space="preserve"> </w:t>
      </w:r>
      <w:r w:rsidR="00B65F2B" w:rsidRPr="00B65F2B">
        <w:rPr>
          <w:sz w:val="20"/>
          <w:lang w:val="en-GB"/>
        </w:rPr>
        <w:t>local content share of 27-46% due to a high share of the imported technology cost and a low share of local skilled labour in the operation phase.</w:t>
      </w:r>
    </w:p>
    <w:p w14:paraId="193CC829" w14:textId="77777777" w:rsidR="00B65F2B" w:rsidRPr="00FB4A2B" w:rsidRDefault="00B65F2B" w:rsidP="00B65F2B">
      <w:pPr>
        <w:pStyle w:val="Abstracttext"/>
        <w:jc w:val="both"/>
        <w:rPr>
          <w:sz w:val="20"/>
        </w:rPr>
      </w:pPr>
      <w:r w:rsidRPr="00B65F2B">
        <w:rPr>
          <w:sz w:val="20"/>
        </w:rPr>
        <w:t xml:space="preserve">The estimate of localization limits is essential for estimation of </w:t>
      </w:r>
      <w:proofErr w:type="spellStart"/>
      <w:r w:rsidRPr="00B65F2B">
        <w:rPr>
          <w:sz w:val="20"/>
        </w:rPr>
        <w:t>RealLCOE</w:t>
      </w:r>
      <w:proofErr w:type="spellEnd"/>
      <w:r w:rsidRPr="00B65F2B">
        <w:rPr>
          <w:sz w:val="20"/>
        </w:rPr>
        <w:t xml:space="preserve"> for a particular technology and region.</w:t>
      </w:r>
      <w:r>
        <w:rPr>
          <w:sz w:val="20"/>
        </w:rPr>
        <w:t xml:space="preserve"> </w:t>
      </w:r>
      <w:r w:rsidRPr="00B65F2B">
        <w:rPr>
          <w:sz w:val="20"/>
          <w:lang w:val="en-GB"/>
        </w:rPr>
        <w:t xml:space="preserve">The </w:t>
      </w:r>
      <w:proofErr w:type="spellStart"/>
      <w:r w:rsidRPr="00B65F2B">
        <w:rPr>
          <w:sz w:val="20"/>
          <w:lang w:val="en-GB"/>
        </w:rPr>
        <w:t>RealLCOE</w:t>
      </w:r>
      <w:proofErr w:type="spellEnd"/>
      <w:r w:rsidRPr="00B65F2B">
        <w:rPr>
          <w:sz w:val="20"/>
          <w:lang w:val="en-GB"/>
        </w:rPr>
        <w:t xml:space="preserve"> value may range from 7% to 84% of the nominal LCOE value, influenced by the share of costs for imported financial resources, raw and other materials, </w:t>
      </w:r>
      <w:r>
        <w:rPr>
          <w:sz w:val="20"/>
          <w:lang w:val="en-GB"/>
        </w:rPr>
        <w:t>t</w:t>
      </w:r>
      <w:r w:rsidRPr="00B65F2B">
        <w:rPr>
          <w:sz w:val="20"/>
          <w:lang w:val="en-GB"/>
        </w:rPr>
        <w:t>echnologies, fuel and human resources.</w:t>
      </w:r>
    </w:p>
    <w:p w14:paraId="4BD78251" w14:textId="77777777" w:rsidR="00BE56CE" w:rsidRDefault="00B65F2B" w:rsidP="00C946E5">
      <w:pPr>
        <w:pStyle w:val="BodyText"/>
        <w:rPr>
          <w:lang w:val="en-US"/>
        </w:rPr>
      </w:pPr>
      <w:r w:rsidRPr="00B65F2B">
        <w:rPr>
          <w:lang w:val="en-US"/>
        </w:rPr>
        <w:t xml:space="preserve">Thus, technologies that have the most developed local supply chains (now and </w:t>
      </w:r>
      <w:r w:rsidR="00ED5DC6" w:rsidRPr="00ED5DC6">
        <w:rPr>
          <w:lang w:val="en-US"/>
        </w:rPr>
        <w:t>projected</w:t>
      </w:r>
      <w:r w:rsidRPr="00B65F2B">
        <w:rPr>
          <w:lang w:val="en-US"/>
        </w:rPr>
        <w:t>) of raw and other materials, equipment and components, design, construction and installation, commissioning services, as well as technologies that can be operated and serviced by qualified local personnel and there are specialized secondary and higher education programs and professional retraining programs in this region will have the lowest Cost to GDP value.</w:t>
      </w:r>
    </w:p>
    <w:p w14:paraId="25AF4AD3" w14:textId="77777777" w:rsidR="00036476" w:rsidRDefault="007376D1" w:rsidP="003B4906">
      <w:pPr>
        <w:pStyle w:val="BodyText"/>
        <w:ind w:firstLine="0"/>
        <w:jc w:val="center"/>
        <w:rPr>
          <w:lang w:val="en-US"/>
        </w:rPr>
      </w:pPr>
      <w:r>
        <w:rPr>
          <w:noProof/>
          <w:lang w:val="en-US"/>
        </w:rPr>
        <w:drawing>
          <wp:inline distT="0" distB="0" distL="0" distR="0" wp14:anchorId="7CC41608" wp14:editId="098E23C6">
            <wp:extent cx="780773" cy="4844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4357"/>
                    <a:stretch/>
                  </pic:blipFill>
                  <pic:spPr bwMode="auto">
                    <a:xfrm>
                      <a:off x="0" y="0"/>
                      <a:ext cx="801187" cy="497080"/>
                    </a:xfrm>
                    <a:prstGeom prst="rect">
                      <a:avLst/>
                    </a:prstGeom>
                    <a:noFill/>
                    <a:ln>
                      <a:noFill/>
                    </a:ln>
                    <a:extLst>
                      <a:ext uri="{53640926-AAD7-44D8-BBD7-CCE9431645EC}">
                        <a14:shadowObscured xmlns:a14="http://schemas.microsoft.com/office/drawing/2010/main"/>
                      </a:ext>
                    </a:extLst>
                  </pic:spPr>
                </pic:pic>
              </a:graphicData>
            </a:graphic>
          </wp:inline>
        </w:drawing>
      </w:r>
      <w:r w:rsidR="008A6506">
        <w:rPr>
          <w:noProof/>
          <w:lang w:val="en-US"/>
        </w:rPr>
        <w:drawing>
          <wp:inline distT="0" distB="0" distL="0" distR="0" wp14:anchorId="2CFF27F1" wp14:editId="53AC0731">
            <wp:extent cx="2607129" cy="1457790"/>
            <wp:effectExtent l="0" t="0" r="317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7416" cy="1469134"/>
                    </a:xfrm>
                    <a:prstGeom prst="rect">
                      <a:avLst/>
                    </a:prstGeom>
                    <a:noFill/>
                  </pic:spPr>
                </pic:pic>
              </a:graphicData>
            </a:graphic>
          </wp:inline>
        </w:drawing>
      </w:r>
      <w:r w:rsidR="00094472">
        <w:rPr>
          <w:noProof/>
          <w:lang w:val="en-US"/>
        </w:rPr>
        <w:drawing>
          <wp:inline distT="0" distB="0" distL="0" distR="0" wp14:anchorId="099CB6F3" wp14:editId="5C233B14">
            <wp:extent cx="2216421" cy="2062819"/>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1350" cy="2095327"/>
                    </a:xfrm>
                    <a:prstGeom prst="rect">
                      <a:avLst/>
                    </a:prstGeom>
                    <a:noFill/>
                  </pic:spPr>
                </pic:pic>
              </a:graphicData>
            </a:graphic>
          </wp:inline>
        </w:drawing>
      </w:r>
    </w:p>
    <w:p w14:paraId="50D63B9F" w14:textId="77777777" w:rsidR="00B65F2B" w:rsidRDefault="00B65F2B" w:rsidP="00C946E5">
      <w:pPr>
        <w:pStyle w:val="BodyText"/>
        <w:rPr>
          <w:lang w:val="en-US"/>
        </w:rPr>
      </w:pPr>
    </w:p>
    <w:p w14:paraId="45BA1ABA" w14:textId="77777777" w:rsidR="00B65F2B" w:rsidRDefault="00F90C69" w:rsidP="00B65F2B">
      <w:pPr>
        <w:pStyle w:val="Caption"/>
        <w:jc w:val="center"/>
        <w:rPr>
          <w:i/>
          <w:lang w:val="en-GB"/>
        </w:rPr>
      </w:pPr>
      <w:r w:rsidRPr="00AD5FAF">
        <w:rPr>
          <w:i/>
        </w:rPr>
        <w:t>F</w:t>
      </w:r>
      <w:r>
        <w:rPr>
          <w:i/>
        </w:rPr>
        <w:t>IG</w:t>
      </w:r>
      <w:r w:rsidRPr="00AD5FAF">
        <w:rPr>
          <w:i/>
        </w:rPr>
        <w:t>.</w:t>
      </w:r>
      <w:r>
        <w:rPr>
          <w:i/>
        </w:rPr>
        <w:t xml:space="preserve"> </w:t>
      </w:r>
      <w:r w:rsidR="007E682D">
        <w:rPr>
          <w:i/>
        </w:rPr>
        <w:t>4</w:t>
      </w:r>
      <w:r>
        <w:rPr>
          <w:i/>
        </w:rPr>
        <w:t xml:space="preserve">. </w:t>
      </w:r>
      <w:r w:rsidR="00B65F2B" w:rsidRPr="00B65F2B">
        <w:rPr>
          <w:i/>
          <w:lang w:val="en-GB"/>
        </w:rPr>
        <w:t>Current and future localization level by type of technology and region</w:t>
      </w:r>
      <w:r w:rsidR="00B65F2B">
        <w:rPr>
          <w:i/>
          <w:lang w:val="en-GB"/>
        </w:rPr>
        <w:t xml:space="preserve"> (example of South Africa)</w:t>
      </w:r>
    </w:p>
    <w:p w14:paraId="0FA034DB" w14:textId="77777777" w:rsidR="007A0656" w:rsidRDefault="001011E8" w:rsidP="00466B2A">
      <w:pPr>
        <w:pStyle w:val="Heading2"/>
        <w:numPr>
          <w:ilvl w:val="1"/>
          <w:numId w:val="5"/>
        </w:numPr>
      </w:pPr>
      <w:r>
        <w:t>relevance for nuclear</w:t>
      </w:r>
      <w:r w:rsidR="003748A0" w:rsidRPr="003D6408">
        <w:rPr>
          <w:lang w:val="en-US"/>
        </w:rPr>
        <w:t xml:space="preserve"> aND SMR</w:t>
      </w:r>
      <w:r>
        <w:t xml:space="preserve"> generation</w:t>
      </w:r>
    </w:p>
    <w:p w14:paraId="10185C86" w14:textId="51ABBCE4" w:rsidR="00D26955" w:rsidRPr="009D0B66" w:rsidRDefault="009D0B66" w:rsidP="00D26955">
      <w:pPr>
        <w:pStyle w:val="BodyText"/>
        <w:rPr>
          <w:lang w:val="en-US"/>
        </w:rPr>
      </w:pPr>
      <w:r w:rsidRPr="009D0B66">
        <w:rPr>
          <w:lang w:val="en-US"/>
        </w:rPr>
        <w:t xml:space="preserve">In order to demonstrate the relevance of the proposed approach and to compare generating technologies using the cumulative effects on the national economy, the paper shows the results of the </w:t>
      </w:r>
      <w:r w:rsidRPr="00545D35">
        <w:rPr>
          <w:lang w:val="en-US"/>
        </w:rPr>
        <w:t>South Africa case</w:t>
      </w:r>
      <w:r w:rsidRPr="00545D35">
        <w:t xml:space="preserve">. </w:t>
      </w:r>
      <w:r w:rsidR="00F97CD5" w:rsidRPr="00545D35">
        <w:t xml:space="preserve">The </w:t>
      </w:r>
      <w:r w:rsidR="00F4560C" w:rsidRPr="00545D35">
        <w:rPr>
          <w:lang w:val="en-US"/>
        </w:rPr>
        <w:t>calculation</w:t>
      </w:r>
      <w:r w:rsidRPr="00545D35">
        <w:rPr>
          <w:lang w:val="en-US"/>
        </w:rPr>
        <w:t xml:space="preserve"> results for a wide range of power generation technologies can be seen below (</w:t>
      </w:r>
      <w:r w:rsidRPr="00545D35">
        <w:t>Fig</w:t>
      </w:r>
      <w:r w:rsidRPr="00545D35">
        <w:rPr>
          <w:lang w:val="en-US"/>
        </w:rPr>
        <w:t>. 5)</w:t>
      </w:r>
      <w:r w:rsidR="006D6378" w:rsidRPr="00545D35">
        <w:rPr>
          <w:lang w:val="en-US"/>
        </w:rPr>
        <w:t>.</w:t>
      </w:r>
    </w:p>
    <w:p w14:paraId="11A2458B" w14:textId="77777777" w:rsidR="003A1DD4" w:rsidRPr="0023348C" w:rsidRDefault="00E544B2" w:rsidP="003A1DD4">
      <w:pPr>
        <w:pStyle w:val="BodyText"/>
        <w:ind w:firstLine="0"/>
        <w:jc w:val="center"/>
        <w:rPr>
          <w:highlight w:val="yellow"/>
          <w:lang w:val="ru-RU"/>
        </w:rPr>
      </w:pPr>
      <w:r>
        <w:rPr>
          <w:noProof/>
        </w:rPr>
        <w:drawing>
          <wp:inline distT="0" distB="0" distL="0" distR="0" wp14:anchorId="4E9E4DF3" wp14:editId="2A213B65">
            <wp:extent cx="3989243" cy="2186892"/>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34086" cy="2211475"/>
                    </a:xfrm>
                    <a:prstGeom prst="rect">
                      <a:avLst/>
                    </a:prstGeom>
                  </pic:spPr>
                </pic:pic>
              </a:graphicData>
            </a:graphic>
          </wp:inline>
        </w:drawing>
      </w:r>
    </w:p>
    <w:p w14:paraId="19529634" w14:textId="77777777" w:rsidR="00820D89" w:rsidRPr="003A1DD4" w:rsidRDefault="00F90C69" w:rsidP="00820D89">
      <w:pPr>
        <w:pStyle w:val="Caption"/>
        <w:jc w:val="center"/>
        <w:rPr>
          <w:i/>
        </w:rPr>
      </w:pPr>
      <w:r w:rsidRPr="00AD5FAF">
        <w:rPr>
          <w:i/>
        </w:rPr>
        <w:t>F</w:t>
      </w:r>
      <w:r>
        <w:rPr>
          <w:i/>
        </w:rPr>
        <w:t>IG</w:t>
      </w:r>
      <w:r w:rsidRPr="00AD5FAF">
        <w:rPr>
          <w:i/>
        </w:rPr>
        <w:t>.</w:t>
      </w:r>
      <w:r>
        <w:rPr>
          <w:i/>
        </w:rPr>
        <w:t xml:space="preserve"> </w:t>
      </w:r>
      <w:r w:rsidR="007E682D">
        <w:rPr>
          <w:i/>
        </w:rPr>
        <w:t>5</w:t>
      </w:r>
      <w:r>
        <w:rPr>
          <w:i/>
        </w:rPr>
        <w:t xml:space="preserve">. </w:t>
      </w:r>
      <w:r w:rsidR="00CC1EAC" w:rsidRPr="00E2509B">
        <w:rPr>
          <w:i/>
        </w:rPr>
        <w:t xml:space="preserve">Merit order of </w:t>
      </w:r>
      <w:r w:rsidR="00820D89" w:rsidRPr="00E2509B">
        <w:rPr>
          <w:i/>
          <w:lang w:val="en-GB"/>
        </w:rPr>
        <w:t>power generation</w:t>
      </w:r>
      <w:r w:rsidR="003A1DD4" w:rsidRPr="00E2509B">
        <w:rPr>
          <w:i/>
          <w:lang w:val="en-GB"/>
        </w:rPr>
        <w:t xml:space="preserve"> </w:t>
      </w:r>
      <w:r w:rsidR="00CC1EAC" w:rsidRPr="00E2509B">
        <w:rPr>
          <w:i/>
          <w:lang w:val="en-GB"/>
        </w:rPr>
        <w:t>technolog</w:t>
      </w:r>
      <w:r w:rsidR="00F97CD5">
        <w:rPr>
          <w:i/>
          <w:lang w:val="en-GB"/>
        </w:rPr>
        <w:t>ies</w:t>
      </w:r>
      <w:r w:rsidR="00CC1EAC" w:rsidRPr="00E2509B">
        <w:rPr>
          <w:i/>
          <w:lang w:val="en-GB"/>
        </w:rPr>
        <w:t xml:space="preserve"> by </w:t>
      </w:r>
      <w:proofErr w:type="spellStart"/>
      <w:r w:rsidR="00CC1EAC" w:rsidRPr="00E2509B">
        <w:rPr>
          <w:i/>
          <w:lang w:val="en-GB"/>
        </w:rPr>
        <w:t>RealLCOE</w:t>
      </w:r>
      <w:proofErr w:type="spellEnd"/>
      <w:r w:rsidR="00CC1EAC" w:rsidRPr="00E2509B">
        <w:rPr>
          <w:i/>
          <w:lang w:val="en-GB"/>
        </w:rPr>
        <w:t xml:space="preserve"> </w:t>
      </w:r>
      <w:r w:rsidR="003A1DD4" w:rsidRPr="00E2509B">
        <w:rPr>
          <w:i/>
          <w:lang w:val="en-GB"/>
        </w:rPr>
        <w:t>(</w:t>
      </w:r>
      <w:r w:rsidR="003A1DD4">
        <w:rPr>
          <w:i/>
          <w:lang w:val="en-GB"/>
        </w:rPr>
        <w:t xml:space="preserve">example of South Africa), </w:t>
      </w:r>
      <w:r w:rsidR="003A1DD4">
        <w:rPr>
          <w:i/>
        </w:rPr>
        <w:t>USD/MWh</w:t>
      </w:r>
    </w:p>
    <w:p w14:paraId="1058FEEB" w14:textId="77777777" w:rsidR="009D0B66" w:rsidRPr="009D0B66" w:rsidRDefault="009D0B66" w:rsidP="009D0B66">
      <w:pPr>
        <w:pStyle w:val="BodyText"/>
        <w:rPr>
          <w:lang w:val="en-US"/>
        </w:rPr>
      </w:pPr>
      <w:r w:rsidRPr="009D0B66">
        <w:rPr>
          <w:lang w:val="en-US"/>
        </w:rPr>
        <w:t xml:space="preserve">The values obtained from the calculations demonstrate that both LCOE and </w:t>
      </w:r>
      <w:proofErr w:type="spellStart"/>
      <w:r w:rsidRPr="009D0B66">
        <w:rPr>
          <w:lang w:val="en-US"/>
        </w:rPr>
        <w:t>RealLCOE</w:t>
      </w:r>
      <w:proofErr w:type="spellEnd"/>
      <w:r w:rsidRPr="009D0B66">
        <w:rPr>
          <w:lang w:val="en-US"/>
        </w:rPr>
        <w:t xml:space="preserve"> vary over a wide range of values. However, the variation between the minimum and maximum value for LCOE is 55 USD/MWh and for </w:t>
      </w:r>
      <w:proofErr w:type="spellStart"/>
      <w:r w:rsidRPr="009D0B66">
        <w:rPr>
          <w:lang w:val="en-US"/>
        </w:rPr>
        <w:t>RealLCOE</w:t>
      </w:r>
      <w:proofErr w:type="spellEnd"/>
      <w:r w:rsidRPr="009D0B66">
        <w:rPr>
          <w:lang w:val="en-US"/>
        </w:rPr>
        <w:t xml:space="preserve"> is 92 USD/MWh. A significant difference in the ratio of minimum and maximum values between the two indicators under consideration </w:t>
      </w:r>
      <w:r w:rsidR="00F97CD5" w:rsidRPr="00F97CD5">
        <w:rPr>
          <w:lang w:val="en-US"/>
        </w:rPr>
        <w:t>leads to the formation of different prioritization orders of technologies prioritization when ranking them in ascending or descending order</w:t>
      </w:r>
      <w:r w:rsidRPr="009D0B66">
        <w:rPr>
          <w:lang w:val="en-US"/>
        </w:rPr>
        <w:t xml:space="preserve">. For example, the lowest LCOE value is obtained for </w:t>
      </w:r>
      <w:r w:rsidR="00F97CD5">
        <w:rPr>
          <w:lang w:val="en-US"/>
        </w:rPr>
        <w:t>w</w:t>
      </w:r>
      <w:r w:rsidRPr="009D0B66">
        <w:rPr>
          <w:lang w:val="en-US"/>
        </w:rPr>
        <w:t xml:space="preserve">ind generation, while the lowest </w:t>
      </w:r>
      <w:proofErr w:type="spellStart"/>
      <w:r w:rsidRPr="009D0B66">
        <w:rPr>
          <w:lang w:val="en-US"/>
        </w:rPr>
        <w:t>RealLCOE</w:t>
      </w:r>
      <w:proofErr w:type="spellEnd"/>
      <w:r w:rsidRPr="009D0B66">
        <w:rPr>
          <w:lang w:val="en-US"/>
        </w:rPr>
        <w:t xml:space="preserve"> value is obtained for </w:t>
      </w:r>
      <w:r w:rsidR="00F97CD5">
        <w:rPr>
          <w:lang w:val="en-US"/>
        </w:rPr>
        <w:t>c</w:t>
      </w:r>
      <w:r w:rsidRPr="009D0B66">
        <w:rPr>
          <w:lang w:val="en-US"/>
        </w:rPr>
        <w:t xml:space="preserve">oal generation (Coal LTO – coal power plants with </w:t>
      </w:r>
      <w:r w:rsidR="00F97CD5">
        <w:rPr>
          <w:lang w:val="en-US"/>
        </w:rPr>
        <w:t xml:space="preserve">a </w:t>
      </w:r>
      <w:r w:rsidR="00F97CD5" w:rsidRPr="009D0B66">
        <w:rPr>
          <w:lang w:val="en-US"/>
        </w:rPr>
        <w:t>long-term</w:t>
      </w:r>
      <w:r w:rsidRPr="009D0B66">
        <w:rPr>
          <w:lang w:val="en-US"/>
        </w:rPr>
        <w:t xml:space="preserve"> operation period). Consequently, in the considered region the cheapest generation for the national GDP is new or modernized coal power plants.</w:t>
      </w:r>
    </w:p>
    <w:p w14:paraId="41382F6C" w14:textId="77777777" w:rsidR="009D0B66" w:rsidRPr="00C55241" w:rsidRDefault="009D0B66" w:rsidP="009D0B66">
      <w:pPr>
        <w:pStyle w:val="BodyText"/>
        <w:rPr>
          <w:highlight w:val="yellow"/>
          <w:lang w:val="en-US"/>
        </w:rPr>
      </w:pPr>
      <w:r w:rsidRPr="000B640B">
        <w:rPr>
          <w:lang w:val="en-US"/>
        </w:rPr>
        <w:lastRenderedPageBreak/>
        <w:t xml:space="preserve">It should be noted that for this region, large HPPs and SMRs are equal to or lower than WPPs in terms of the </w:t>
      </w:r>
      <w:proofErr w:type="spellStart"/>
      <w:r w:rsidRPr="000B640B">
        <w:rPr>
          <w:lang w:val="en-US"/>
        </w:rPr>
        <w:t>RealLCOE</w:t>
      </w:r>
      <w:proofErr w:type="spellEnd"/>
      <w:r w:rsidRPr="000B640B">
        <w:rPr>
          <w:lang w:val="en-US"/>
        </w:rPr>
        <w:t xml:space="preserve"> indicator. As the volume and cost of RES integration into the energy system grows, the cost to GDP of solar and wind generation increases, which leads to a decrease in the economic effect of their operation and, accordingly, an increase in the electricity cost to GDP. </w:t>
      </w:r>
      <w:r w:rsidRPr="001F26DF">
        <w:rPr>
          <w:lang w:val="en-US"/>
        </w:rPr>
        <w:t xml:space="preserve">When ranked by </w:t>
      </w:r>
      <w:proofErr w:type="spellStart"/>
      <w:r w:rsidRPr="001F26DF">
        <w:rPr>
          <w:lang w:val="en-US"/>
        </w:rPr>
        <w:t>RealLCOE</w:t>
      </w:r>
      <w:proofErr w:type="spellEnd"/>
      <w:r w:rsidRPr="001F26DF">
        <w:rPr>
          <w:lang w:val="en-US"/>
        </w:rPr>
        <w:t>, nuclear generation is competitively positioned in the medium or low value range, indicating a relatively low cost of electricity for South Africa's GDP - at the level of</w:t>
      </w:r>
      <w:r w:rsidR="00C4714D">
        <w:rPr>
          <w:lang w:val="en-US"/>
        </w:rPr>
        <w:t xml:space="preserve"> the</w:t>
      </w:r>
      <w:r w:rsidRPr="001F26DF">
        <w:rPr>
          <w:lang w:val="en-US"/>
        </w:rPr>
        <w:t xml:space="preserve"> locally-</w:t>
      </w:r>
      <w:r w:rsidR="00B43F4D" w:rsidRPr="001F26DF">
        <w:rPr>
          <w:lang w:val="en-US"/>
        </w:rPr>
        <w:t>fueled</w:t>
      </w:r>
      <w:r w:rsidRPr="001F26DF">
        <w:rPr>
          <w:lang w:val="en-US"/>
        </w:rPr>
        <w:t xml:space="preserve"> coal-fire</w:t>
      </w:r>
      <w:r w:rsidRPr="009D0B66">
        <w:rPr>
          <w:lang w:val="en-US"/>
        </w:rPr>
        <w:t xml:space="preserve">d generation. </w:t>
      </w:r>
      <w:r w:rsidR="00C4714D">
        <w:rPr>
          <w:lang w:val="en-US"/>
        </w:rPr>
        <w:t>The s</w:t>
      </w:r>
      <w:r w:rsidRPr="009D0B66">
        <w:rPr>
          <w:lang w:val="en-US"/>
        </w:rPr>
        <w:t>pecifics</w:t>
      </w:r>
      <w:r w:rsidRPr="009D0B66">
        <w:t xml:space="preserve"> of</w:t>
      </w:r>
      <w:r w:rsidR="00C4714D">
        <w:t xml:space="preserve"> the</w:t>
      </w:r>
      <w:r w:rsidRPr="009D0B66">
        <w:t xml:space="preserve"> SMR position </w:t>
      </w:r>
      <w:r w:rsidR="00C4714D">
        <w:t>in the</w:t>
      </w:r>
      <w:r w:rsidRPr="009D0B66">
        <w:t xml:space="preserve"> merit order ranking (mostly applicable </w:t>
      </w:r>
      <w:r w:rsidR="00C4714D">
        <w:t>to</w:t>
      </w:r>
      <w:r w:rsidRPr="009D0B66">
        <w:t xml:space="preserve"> developing countries) </w:t>
      </w:r>
      <w:r w:rsidR="00B209A4">
        <w:t>consist</w:t>
      </w:r>
      <w:r w:rsidRPr="009D0B66">
        <w:t xml:space="preserve"> in</w:t>
      </w:r>
      <w:r w:rsidR="00B209A4">
        <w:t xml:space="preserve"> a</w:t>
      </w:r>
      <w:r w:rsidRPr="009D0B66">
        <w:t xml:space="preserve"> significantly lower value of </w:t>
      </w:r>
      <w:proofErr w:type="spellStart"/>
      <w:r w:rsidRPr="009D0B66">
        <w:t>RealLCOE</w:t>
      </w:r>
      <w:proofErr w:type="spellEnd"/>
      <w:r w:rsidRPr="009D0B66">
        <w:t xml:space="preserve"> </w:t>
      </w:r>
      <w:r w:rsidR="00B209A4">
        <w:t>relative</w:t>
      </w:r>
      <w:r w:rsidRPr="009D0B66">
        <w:t xml:space="preserve"> to LCOE. </w:t>
      </w:r>
      <w:r w:rsidR="00B209A4">
        <w:t>The m</w:t>
      </w:r>
      <w:r w:rsidRPr="009D0B66">
        <w:t xml:space="preserve">ain reason for </w:t>
      </w:r>
      <w:r w:rsidR="00B209A4">
        <w:t>this</w:t>
      </w:r>
      <w:r w:rsidRPr="009D0B66">
        <w:t xml:space="preserve"> is </w:t>
      </w:r>
      <w:r w:rsidR="00B209A4">
        <w:t xml:space="preserve">the </w:t>
      </w:r>
      <w:r w:rsidRPr="009D0B66">
        <w:t>lowest share of fixed cost</w:t>
      </w:r>
      <w:r w:rsidR="00B209A4">
        <w:t>s</w:t>
      </w:r>
      <w:r w:rsidRPr="009D0B66">
        <w:t xml:space="preserve"> and </w:t>
      </w:r>
      <w:r w:rsidR="00B209A4">
        <w:t xml:space="preserve">the </w:t>
      </w:r>
      <w:r w:rsidRPr="009D0B66">
        <w:t xml:space="preserve">potential </w:t>
      </w:r>
      <w:r w:rsidRPr="009D0B66">
        <w:rPr>
          <w:lang w:val="en-US"/>
        </w:rPr>
        <w:t>effect of</w:t>
      </w:r>
      <w:r w:rsidR="00B209A4">
        <w:rPr>
          <w:lang w:val="en-US"/>
        </w:rPr>
        <w:t xml:space="preserve"> a</w:t>
      </w:r>
      <w:r w:rsidRPr="009D0B66">
        <w:rPr>
          <w:lang w:val="en-US"/>
        </w:rPr>
        <w:t xml:space="preserve"> projects pipeline </w:t>
      </w:r>
      <w:r w:rsidR="00B209A4">
        <w:rPr>
          <w:lang w:val="en-US"/>
        </w:rPr>
        <w:t>on</w:t>
      </w:r>
      <w:r w:rsidRPr="009D0B66">
        <w:rPr>
          <w:lang w:val="en-US"/>
        </w:rPr>
        <w:t xml:space="preserve"> the same site.</w:t>
      </w:r>
    </w:p>
    <w:p w14:paraId="238028F7" w14:textId="77777777" w:rsidR="00AF46FA" w:rsidRPr="00AF46FA" w:rsidRDefault="00B14FED" w:rsidP="00466B2A">
      <w:pPr>
        <w:pStyle w:val="Heading2"/>
        <w:numPr>
          <w:ilvl w:val="1"/>
          <w:numId w:val="5"/>
        </w:numPr>
        <w:rPr>
          <w:lang w:val="en-US"/>
        </w:rPr>
      </w:pPr>
      <w:r w:rsidRPr="00AF46FA">
        <w:rPr>
          <w:lang w:val="en-US"/>
        </w:rPr>
        <w:t>exten</w:t>
      </w:r>
      <w:r w:rsidR="00AF46FA" w:rsidRPr="00AF46FA">
        <w:rPr>
          <w:lang w:val="en-US"/>
        </w:rPr>
        <w:t>ded</w:t>
      </w:r>
      <w:r w:rsidR="00947B02" w:rsidRPr="00AF46FA">
        <w:rPr>
          <w:lang w:val="en-US"/>
        </w:rPr>
        <w:t xml:space="preserve"> </w:t>
      </w:r>
      <w:r w:rsidR="00AF46FA" w:rsidRPr="00AF46FA">
        <w:rPr>
          <w:lang w:val="en-US"/>
        </w:rPr>
        <w:t xml:space="preserve">ASSESSMENT of </w:t>
      </w:r>
      <w:r w:rsidR="006A50C6">
        <w:rPr>
          <w:lang w:val="en-US"/>
        </w:rPr>
        <w:t xml:space="preserve">THE </w:t>
      </w:r>
      <w:r w:rsidRPr="00AF46FA">
        <w:rPr>
          <w:lang w:val="en-US"/>
        </w:rPr>
        <w:t xml:space="preserve">COST-TO-GDP CONCEPT </w:t>
      </w:r>
      <w:r w:rsidR="001011E8" w:rsidRPr="00AF46FA">
        <w:rPr>
          <w:lang w:val="en-US"/>
        </w:rPr>
        <w:t xml:space="preserve">applicability for </w:t>
      </w:r>
      <w:r w:rsidR="00AF46FA" w:rsidRPr="00AF46FA">
        <w:rPr>
          <w:lang w:val="en-US"/>
        </w:rPr>
        <w:t>NUCLEAR</w:t>
      </w:r>
      <w:r w:rsidR="00AF46FA">
        <w:rPr>
          <w:lang w:val="en-US"/>
        </w:rPr>
        <w:t xml:space="preserve"> </w:t>
      </w:r>
      <w:r w:rsidR="00AF46FA" w:rsidRPr="00AF46FA">
        <w:rPr>
          <w:lang w:val="en-US"/>
        </w:rPr>
        <w:t>AND ALTERNATIVE ELECTRICITY GENERAT</w:t>
      </w:r>
      <w:r w:rsidR="00AF46FA">
        <w:rPr>
          <w:lang w:val="en-US"/>
        </w:rPr>
        <w:t>ion technologies</w:t>
      </w:r>
    </w:p>
    <w:p w14:paraId="06B04055" w14:textId="77777777" w:rsidR="006B74FD" w:rsidRPr="00C03879" w:rsidRDefault="00D4153B" w:rsidP="00C03879">
      <w:pPr>
        <w:pStyle w:val="BodyText"/>
        <w:rPr>
          <w:lang w:val="en-US"/>
        </w:rPr>
      </w:pPr>
      <w:r w:rsidRPr="00C03879">
        <w:t xml:space="preserve">The paper estimates </w:t>
      </w:r>
      <w:r w:rsidR="006A50C6">
        <w:t xml:space="preserve">the </w:t>
      </w:r>
      <w:r w:rsidRPr="00C03879">
        <w:rPr>
          <w:lang w:val="en-US"/>
        </w:rPr>
        <w:t xml:space="preserve">applicability </w:t>
      </w:r>
      <w:r w:rsidR="006A50C6">
        <w:rPr>
          <w:lang w:val="en-US"/>
        </w:rPr>
        <w:t xml:space="preserve">of the </w:t>
      </w:r>
      <w:r w:rsidR="004E0EAE" w:rsidRPr="00C03879">
        <w:rPr>
          <w:lang w:val="en-US"/>
        </w:rPr>
        <w:t xml:space="preserve">Cost to GDP concept </w:t>
      </w:r>
      <w:r w:rsidRPr="00C03879">
        <w:rPr>
          <w:lang w:val="en-US"/>
        </w:rPr>
        <w:t xml:space="preserve">for </w:t>
      </w:r>
      <w:r w:rsidR="004E0EAE" w:rsidRPr="00C03879">
        <w:rPr>
          <w:lang w:val="en-US"/>
        </w:rPr>
        <w:t>comparison of different type</w:t>
      </w:r>
      <w:r w:rsidR="00C50796">
        <w:rPr>
          <w:lang w:val="en-US"/>
        </w:rPr>
        <w:t>s of</w:t>
      </w:r>
      <w:r w:rsidR="004E0EAE" w:rsidRPr="00C03879">
        <w:rPr>
          <w:lang w:val="en-US"/>
        </w:rPr>
        <w:t xml:space="preserve"> generation technologies</w:t>
      </w:r>
      <w:r w:rsidRPr="00C03879">
        <w:rPr>
          <w:lang w:val="en-US"/>
        </w:rPr>
        <w:t xml:space="preserve">. </w:t>
      </w:r>
      <w:r w:rsidR="00C03879" w:rsidRPr="00C03879">
        <w:rPr>
          <w:lang w:val="en-US"/>
        </w:rPr>
        <w:t>To assess the applicability of the proposed concept, the comparison was based on three main low-carbon technologies:</w:t>
      </w:r>
      <w:r w:rsidR="00C03879">
        <w:rPr>
          <w:lang w:val="en-US"/>
        </w:rPr>
        <w:t xml:space="preserve"> solar</w:t>
      </w:r>
      <w:r w:rsidR="00C03879" w:rsidRPr="00C03879">
        <w:rPr>
          <w:lang w:val="en-US"/>
        </w:rPr>
        <w:t xml:space="preserve">, </w:t>
      </w:r>
      <w:r w:rsidR="00C03879">
        <w:rPr>
          <w:lang w:val="en-US"/>
        </w:rPr>
        <w:t>wind</w:t>
      </w:r>
      <w:r w:rsidR="00C03879" w:rsidRPr="00C03879">
        <w:rPr>
          <w:lang w:val="en-US"/>
        </w:rPr>
        <w:t xml:space="preserve"> </w:t>
      </w:r>
      <w:r w:rsidR="00C03879">
        <w:rPr>
          <w:lang w:val="en-US"/>
        </w:rPr>
        <w:t>and</w:t>
      </w:r>
      <w:r w:rsidR="00C03879" w:rsidRPr="00C03879">
        <w:rPr>
          <w:lang w:val="en-US"/>
        </w:rPr>
        <w:t xml:space="preserve"> </w:t>
      </w:r>
      <w:r w:rsidR="00C03879">
        <w:rPr>
          <w:lang w:val="en-US"/>
        </w:rPr>
        <w:t>nuclear</w:t>
      </w:r>
      <w:r w:rsidR="00C03879" w:rsidRPr="00C03879">
        <w:rPr>
          <w:lang w:val="en-US"/>
        </w:rPr>
        <w:t xml:space="preserve"> </w:t>
      </w:r>
      <w:r w:rsidR="00C03879">
        <w:rPr>
          <w:lang w:val="en-US"/>
        </w:rPr>
        <w:t>SMR</w:t>
      </w:r>
      <w:r w:rsidR="00C03879" w:rsidRPr="00C03879">
        <w:rPr>
          <w:lang w:val="en-US"/>
        </w:rPr>
        <w:t xml:space="preserve"> </w:t>
      </w:r>
      <w:r w:rsidR="00C03879">
        <w:rPr>
          <w:lang w:val="en-US"/>
        </w:rPr>
        <w:t>generation</w:t>
      </w:r>
      <w:r w:rsidR="00C03879" w:rsidRPr="00C03879">
        <w:rPr>
          <w:lang w:val="en-US"/>
        </w:rPr>
        <w:t>.</w:t>
      </w:r>
      <w:r w:rsidR="00C03879" w:rsidRPr="00C03879">
        <w:t xml:space="preserve"> </w:t>
      </w:r>
      <w:r w:rsidR="00C03879" w:rsidRPr="00C03879">
        <w:rPr>
          <w:lang w:val="en-US"/>
        </w:rPr>
        <w:t>In order to compare</w:t>
      </w:r>
      <w:r w:rsidR="00C50796">
        <w:rPr>
          <w:lang w:val="en-US"/>
        </w:rPr>
        <w:t xml:space="preserve"> the</w:t>
      </w:r>
      <w:r w:rsidR="00C03879" w:rsidRPr="00C03879">
        <w:rPr>
          <w:lang w:val="en-US"/>
        </w:rPr>
        <w:t xml:space="preserve"> effects, alternative calculations are based on three different approaches:</w:t>
      </w:r>
      <w:r w:rsidR="00C03879">
        <w:rPr>
          <w:lang w:val="en-US"/>
        </w:rPr>
        <w:t xml:space="preserve"> classic </w:t>
      </w:r>
      <w:r w:rsidR="0018695B" w:rsidRPr="00C03879">
        <w:rPr>
          <w:lang w:val="en-US"/>
        </w:rPr>
        <w:t xml:space="preserve">LCOE, System LCOE and </w:t>
      </w:r>
      <w:proofErr w:type="spellStart"/>
      <w:r w:rsidR="0018695B" w:rsidRPr="00C03879">
        <w:rPr>
          <w:lang w:val="en-US"/>
        </w:rPr>
        <w:t>RealLCOE</w:t>
      </w:r>
      <w:proofErr w:type="spellEnd"/>
      <w:r w:rsidR="0018695B" w:rsidRPr="00C03879">
        <w:rPr>
          <w:lang w:val="en-US"/>
        </w:rPr>
        <w:t>.</w:t>
      </w:r>
    </w:p>
    <w:p w14:paraId="32A0C3FD" w14:textId="77777777" w:rsidR="00C03879" w:rsidRPr="006C62B6" w:rsidRDefault="006C62B6" w:rsidP="004572B0">
      <w:pPr>
        <w:pStyle w:val="BodyText"/>
        <w:rPr>
          <w:highlight w:val="yellow"/>
          <w:lang w:val="en-US"/>
        </w:rPr>
      </w:pPr>
      <w:r w:rsidRPr="006C62B6">
        <w:rPr>
          <w:lang w:val="en-US"/>
        </w:rPr>
        <w:t xml:space="preserve">Before performing comparative calculations, </w:t>
      </w:r>
      <w:r w:rsidR="00C50796">
        <w:rPr>
          <w:lang w:val="en-US"/>
        </w:rPr>
        <w:t xml:space="preserve">the </w:t>
      </w:r>
      <w:r w:rsidRPr="006C62B6">
        <w:rPr>
          <w:lang w:val="en-US"/>
        </w:rPr>
        <w:t xml:space="preserve">factors that </w:t>
      </w:r>
      <w:r w:rsidR="00C50796">
        <w:rPr>
          <w:lang w:val="en-US"/>
        </w:rPr>
        <w:t xml:space="preserve">are </w:t>
      </w:r>
      <w:r w:rsidRPr="006C62B6">
        <w:rPr>
          <w:lang w:val="en-US"/>
        </w:rPr>
        <w:t>consider</w:t>
      </w:r>
      <w:r w:rsidR="00C50796">
        <w:rPr>
          <w:lang w:val="en-US"/>
        </w:rPr>
        <w:t>ed</w:t>
      </w:r>
      <w:r w:rsidRPr="006C62B6">
        <w:rPr>
          <w:lang w:val="en-US"/>
        </w:rPr>
        <w:t xml:space="preserve"> </w:t>
      </w:r>
      <w:r>
        <w:rPr>
          <w:lang w:val="en-US"/>
        </w:rPr>
        <w:t xml:space="preserve">for </w:t>
      </w:r>
      <w:r w:rsidRPr="006C62B6">
        <w:rPr>
          <w:lang w:val="en-US"/>
        </w:rPr>
        <w:t>the proposed approaches were systematized</w:t>
      </w:r>
      <w:r>
        <w:rPr>
          <w:lang w:val="en-US"/>
        </w:rPr>
        <w:t>.</w:t>
      </w:r>
      <w:r w:rsidRPr="006C62B6">
        <w:t xml:space="preserve"> </w:t>
      </w:r>
      <w:r w:rsidR="00C50796">
        <w:t xml:space="preserve">The </w:t>
      </w:r>
      <w:r w:rsidR="00C50796" w:rsidRPr="006C62B6">
        <w:rPr>
          <w:lang w:val="en-US"/>
        </w:rPr>
        <w:t>comparison</w:t>
      </w:r>
      <w:r w:rsidRPr="006C62B6">
        <w:rPr>
          <w:lang w:val="en-US"/>
        </w:rPr>
        <w:t xml:space="preserve"> </w:t>
      </w:r>
      <w:r w:rsidR="00C50796">
        <w:rPr>
          <w:lang w:val="en-US"/>
        </w:rPr>
        <w:t>in</w:t>
      </w:r>
      <w:r w:rsidRPr="006C62B6">
        <w:rPr>
          <w:lang w:val="en-US"/>
        </w:rPr>
        <w:t xml:space="preserve"> </w:t>
      </w:r>
      <w:r w:rsidRPr="00C50796">
        <w:rPr>
          <w:lang w:val="en-US"/>
        </w:rPr>
        <w:t>Table 1</w:t>
      </w:r>
      <w:r w:rsidRPr="006C62B6">
        <w:rPr>
          <w:lang w:val="en-US"/>
        </w:rPr>
        <w:t xml:space="preserve"> shows that unlike the LCOE and System LCOE approaches, the proposed </w:t>
      </w:r>
      <w:proofErr w:type="spellStart"/>
      <w:r w:rsidRPr="006C62B6">
        <w:rPr>
          <w:lang w:val="en-US"/>
        </w:rPr>
        <w:t>RealLCOE</w:t>
      </w:r>
      <w:proofErr w:type="spellEnd"/>
      <w:r w:rsidRPr="006C62B6">
        <w:rPr>
          <w:lang w:val="en-US"/>
        </w:rPr>
        <w:t xml:space="preserve"> assessment methodology allows all three quantitative factors to be </w:t>
      </w:r>
      <w:proofErr w:type="gramStart"/>
      <w:r w:rsidRPr="006C62B6">
        <w:rPr>
          <w:lang w:val="en-US"/>
        </w:rPr>
        <w:t>taken into account</w:t>
      </w:r>
      <w:proofErr w:type="gramEnd"/>
      <w:r w:rsidRPr="006C62B6">
        <w:rPr>
          <w:lang w:val="en-US"/>
        </w:rPr>
        <w:t>.</w:t>
      </w:r>
      <w:r w:rsidRPr="006C62B6">
        <w:t xml:space="preserve"> </w:t>
      </w:r>
      <w:r w:rsidRPr="006C62B6">
        <w:rPr>
          <w:lang w:val="en-US"/>
        </w:rPr>
        <w:t>These are</w:t>
      </w:r>
      <w:r w:rsidR="00C50796">
        <w:rPr>
          <w:lang w:val="en-US"/>
        </w:rPr>
        <w:t xml:space="preserve"> the</w:t>
      </w:r>
      <w:r w:rsidRPr="006C62B6">
        <w:rPr>
          <w:lang w:val="en-US"/>
        </w:rPr>
        <w:t xml:space="preserve"> factors that affect</w:t>
      </w:r>
      <w:r w:rsidR="00105DA0">
        <w:rPr>
          <w:lang w:val="en-US"/>
        </w:rPr>
        <w:t xml:space="preserve"> </w:t>
      </w:r>
      <w:r w:rsidRPr="006C62B6">
        <w:rPr>
          <w:lang w:val="en-US"/>
        </w:rPr>
        <w:t>the cost of electricity for the economy</w:t>
      </w:r>
      <w:r w:rsidR="00105DA0">
        <w:rPr>
          <w:lang w:val="en-US"/>
        </w:rPr>
        <w:t xml:space="preserve"> </w:t>
      </w:r>
      <w:r w:rsidR="00105DA0" w:rsidRPr="00105DA0">
        <w:rPr>
          <w:lang w:val="en-US"/>
        </w:rPr>
        <w:t xml:space="preserve">– technology </w:t>
      </w:r>
      <w:r w:rsidR="00105DA0">
        <w:rPr>
          <w:lang w:val="en-US"/>
        </w:rPr>
        <w:t>expenditures</w:t>
      </w:r>
      <w:r w:rsidR="00105DA0" w:rsidRPr="00105DA0">
        <w:rPr>
          <w:lang w:val="en-US"/>
        </w:rPr>
        <w:t xml:space="preserve">, integration costs and </w:t>
      </w:r>
      <w:r w:rsidR="00C50796">
        <w:rPr>
          <w:lang w:val="en-US"/>
        </w:rPr>
        <w:t xml:space="preserve">the </w:t>
      </w:r>
      <w:r w:rsidR="00105DA0" w:rsidRPr="00105DA0">
        <w:rPr>
          <w:lang w:val="en-US"/>
        </w:rPr>
        <w:t>share of localization.</w:t>
      </w:r>
    </w:p>
    <w:p w14:paraId="5C8B82D8" w14:textId="77777777" w:rsidR="00870F63" w:rsidRDefault="00661D95" w:rsidP="004572B0">
      <w:pPr>
        <w:pStyle w:val="BodyText"/>
      </w:pPr>
      <w:r>
        <w:t>TABLE</w:t>
      </w:r>
      <w:r w:rsidRPr="008756B4">
        <w:rPr>
          <w:lang w:val="en-US"/>
        </w:rPr>
        <w:t xml:space="preserve"> 1. </w:t>
      </w:r>
      <w:r w:rsidR="003C51CC">
        <w:t xml:space="preserve">FACTORS </w:t>
      </w:r>
      <w:r w:rsidR="00C50796">
        <w:t>AFFECTING THE</w:t>
      </w:r>
      <w:r w:rsidR="003C51CC">
        <w:t xml:space="preserve"> COST</w:t>
      </w:r>
      <w:r w:rsidR="00C50796">
        <w:t xml:space="preserve"> OF</w:t>
      </w:r>
      <w:r w:rsidR="003C51CC">
        <w:t xml:space="preserve"> </w:t>
      </w:r>
      <w:r w:rsidR="003C51CC">
        <w:rPr>
          <w:lang w:val="en-US"/>
        </w:rPr>
        <w:t>ELECTRICITY</w:t>
      </w:r>
      <w:r w:rsidR="003C51CC">
        <w:t xml:space="preserve"> PRODUCTION CONSIDERED WITHIN </w:t>
      </w:r>
      <w:r w:rsidR="00C50796">
        <w:t xml:space="preserve">THE </w:t>
      </w:r>
      <w:r w:rsidR="003C51CC" w:rsidRPr="003C51CC">
        <w:t>ELECTRICITY GENERATION TECHNOLOGIES</w:t>
      </w:r>
      <w:r w:rsidR="003C51CC">
        <w:t xml:space="preserve"> ASSESMENT</w:t>
      </w:r>
    </w:p>
    <w:p w14:paraId="6F2792AD" w14:textId="77777777" w:rsidR="007E682D" w:rsidRPr="003C51CC" w:rsidRDefault="007E682D" w:rsidP="004572B0">
      <w:pPr>
        <w:pStyle w:val="BodyText"/>
        <w:rPr>
          <w:lang w:val="en-US"/>
        </w:rPr>
      </w:pPr>
    </w:p>
    <w:tbl>
      <w:tblPr>
        <w:tblStyle w:val="TableGrid"/>
        <w:tblW w:w="9090" w:type="dxa"/>
        <w:tblBorders>
          <w:left w:val="none" w:sz="0" w:space="0" w:color="auto"/>
          <w:right w:val="none" w:sz="0" w:space="0" w:color="auto"/>
          <w:insideV w:val="none" w:sz="0" w:space="0" w:color="auto"/>
        </w:tblBorders>
        <w:tblLook w:val="04A0" w:firstRow="1" w:lastRow="0" w:firstColumn="1" w:lastColumn="0" w:noHBand="0" w:noVBand="1"/>
      </w:tblPr>
      <w:tblGrid>
        <w:gridCol w:w="4230"/>
        <w:gridCol w:w="1170"/>
        <w:gridCol w:w="1530"/>
        <w:gridCol w:w="2160"/>
      </w:tblGrid>
      <w:tr w:rsidR="00870F63" w14:paraId="2ADE536D" w14:textId="77777777" w:rsidTr="00A56B01">
        <w:tc>
          <w:tcPr>
            <w:tcW w:w="4230" w:type="dxa"/>
            <w:vAlign w:val="center"/>
          </w:tcPr>
          <w:p w14:paraId="5C32DA80" w14:textId="77777777" w:rsidR="00870F63" w:rsidRPr="008D31DC" w:rsidRDefault="00870F63" w:rsidP="008B3211">
            <w:pPr>
              <w:pStyle w:val="BodyText"/>
              <w:ind w:firstLine="0"/>
              <w:jc w:val="left"/>
              <w:rPr>
                <w:lang w:val="en-US"/>
              </w:rPr>
            </w:pPr>
            <w:r>
              <w:rPr>
                <w:lang w:val="en-US"/>
              </w:rPr>
              <w:t xml:space="preserve">Name of </w:t>
            </w:r>
            <w:r w:rsidR="008D31DC">
              <w:rPr>
                <w:lang w:val="en-US"/>
              </w:rPr>
              <w:t>parameters</w:t>
            </w:r>
          </w:p>
        </w:tc>
        <w:tc>
          <w:tcPr>
            <w:tcW w:w="1170" w:type="dxa"/>
            <w:vAlign w:val="center"/>
          </w:tcPr>
          <w:p w14:paraId="25F550D2" w14:textId="77777777" w:rsidR="00870F63" w:rsidRPr="00870F63" w:rsidRDefault="00870F63" w:rsidP="008B3211">
            <w:pPr>
              <w:pStyle w:val="BodyText"/>
              <w:ind w:firstLine="0"/>
              <w:jc w:val="left"/>
              <w:rPr>
                <w:lang w:val="ru-RU"/>
              </w:rPr>
            </w:pPr>
            <w:r>
              <w:rPr>
                <w:lang w:val="en-US"/>
              </w:rPr>
              <w:t>LCOE</w:t>
            </w:r>
          </w:p>
        </w:tc>
        <w:tc>
          <w:tcPr>
            <w:tcW w:w="1530" w:type="dxa"/>
            <w:vAlign w:val="center"/>
          </w:tcPr>
          <w:p w14:paraId="4F2A467B" w14:textId="77777777" w:rsidR="00870F63" w:rsidRPr="007E682D" w:rsidRDefault="00870F63" w:rsidP="008B3211">
            <w:pPr>
              <w:pStyle w:val="BodyText"/>
              <w:ind w:firstLine="0"/>
              <w:jc w:val="left"/>
              <w:rPr>
                <w:lang w:val="en-US"/>
              </w:rPr>
            </w:pPr>
            <w:r>
              <w:rPr>
                <w:lang w:val="en-US"/>
              </w:rPr>
              <w:t>System LCOE</w:t>
            </w:r>
          </w:p>
        </w:tc>
        <w:tc>
          <w:tcPr>
            <w:tcW w:w="2160" w:type="dxa"/>
            <w:vAlign w:val="center"/>
          </w:tcPr>
          <w:p w14:paraId="23DEAD62" w14:textId="77777777" w:rsidR="00C7586A" w:rsidRPr="00C7586A" w:rsidRDefault="00870F63" w:rsidP="008B3211">
            <w:pPr>
              <w:pStyle w:val="BodyText"/>
              <w:ind w:firstLine="0"/>
              <w:jc w:val="left"/>
              <w:rPr>
                <w:lang w:val="en-US"/>
              </w:rPr>
            </w:pPr>
            <w:proofErr w:type="spellStart"/>
            <w:r>
              <w:rPr>
                <w:lang w:val="en-US"/>
              </w:rPr>
              <w:t>RealLCOE</w:t>
            </w:r>
            <w:proofErr w:type="spellEnd"/>
            <w:r w:rsidR="00C7586A" w:rsidRPr="00C7586A">
              <w:rPr>
                <w:lang w:val="en-US"/>
              </w:rPr>
              <w:t xml:space="preserve"> </w:t>
            </w:r>
          </w:p>
          <w:p w14:paraId="30AE5421" w14:textId="77777777" w:rsidR="00870F63" w:rsidRPr="00C7586A" w:rsidRDefault="00C7586A" w:rsidP="008B3211">
            <w:pPr>
              <w:pStyle w:val="BodyText"/>
              <w:ind w:firstLine="0"/>
              <w:jc w:val="left"/>
              <w:rPr>
                <w:lang w:val="en-US"/>
              </w:rPr>
            </w:pPr>
            <w:r w:rsidRPr="00C7586A">
              <w:rPr>
                <w:lang w:val="en-US"/>
              </w:rPr>
              <w:t>(</w:t>
            </w:r>
            <w:r>
              <w:rPr>
                <w:lang w:val="en-US"/>
              </w:rPr>
              <w:t>Cost-to-GDP method)</w:t>
            </w:r>
          </w:p>
        </w:tc>
      </w:tr>
      <w:tr w:rsidR="00870F63" w:rsidRPr="00661D95" w14:paraId="791017C7" w14:textId="77777777" w:rsidTr="00A56B01">
        <w:tc>
          <w:tcPr>
            <w:tcW w:w="4230" w:type="dxa"/>
          </w:tcPr>
          <w:p w14:paraId="2E33437B" w14:textId="77777777" w:rsidR="00870F63" w:rsidRPr="00661D95" w:rsidRDefault="00870F63" w:rsidP="008B3211">
            <w:pPr>
              <w:pStyle w:val="BodyText"/>
              <w:ind w:firstLine="0"/>
              <w:jc w:val="left"/>
              <w:rPr>
                <w:lang w:val="en-US"/>
              </w:rPr>
            </w:pPr>
            <w:r>
              <w:rPr>
                <w:lang w:val="en-US"/>
              </w:rPr>
              <w:t xml:space="preserve">Factor 1 (Technology </w:t>
            </w:r>
            <w:r w:rsidR="00105DA0">
              <w:rPr>
                <w:lang w:val="en-US"/>
              </w:rPr>
              <w:t>expenditures</w:t>
            </w:r>
            <w:r>
              <w:rPr>
                <w:lang w:val="en-US"/>
              </w:rPr>
              <w:t>)</w:t>
            </w:r>
          </w:p>
        </w:tc>
        <w:tc>
          <w:tcPr>
            <w:tcW w:w="1170" w:type="dxa"/>
            <w:vAlign w:val="center"/>
          </w:tcPr>
          <w:p w14:paraId="7FB09913" w14:textId="77777777" w:rsidR="00870F63" w:rsidRDefault="00870F63" w:rsidP="00466B2A">
            <w:pPr>
              <w:pStyle w:val="BodyText"/>
              <w:numPr>
                <w:ilvl w:val="0"/>
                <w:numId w:val="11"/>
              </w:numPr>
              <w:ind w:left="-22" w:firstLine="0"/>
              <w:jc w:val="center"/>
              <w:rPr>
                <w:lang w:val="ru-RU"/>
              </w:rPr>
            </w:pPr>
          </w:p>
        </w:tc>
        <w:tc>
          <w:tcPr>
            <w:tcW w:w="1530" w:type="dxa"/>
            <w:vAlign w:val="center"/>
          </w:tcPr>
          <w:p w14:paraId="34ED7479" w14:textId="77777777" w:rsidR="00870F63" w:rsidRPr="00661D95" w:rsidRDefault="00870F63" w:rsidP="00466B2A">
            <w:pPr>
              <w:pStyle w:val="BodyText"/>
              <w:numPr>
                <w:ilvl w:val="0"/>
                <w:numId w:val="11"/>
              </w:numPr>
              <w:ind w:left="-22" w:firstLine="0"/>
              <w:jc w:val="center"/>
              <w:rPr>
                <w:lang w:val="en-US"/>
              </w:rPr>
            </w:pPr>
          </w:p>
        </w:tc>
        <w:tc>
          <w:tcPr>
            <w:tcW w:w="2160" w:type="dxa"/>
            <w:vAlign w:val="center"/>
          </w:tcPr>
          <w:p w14:paraId="149A287E" w14:textId="77777777" w:rsidR="00870F63" w:rsidRPr="00661D95" w:rsidRDefault="00870F63" w:rsidP="00466B2A">
            <w:pPr>
              <w:pStyle w:val="BodyText"/>
              <w:numPr>
                <w:ilvl w:val="0"/>
                <w:numId w:val="11"/>
              </w:numPr>
              <w:ind w:left="-22" w:firstLine="0"/>
              <w:jc w:val="center"/>
              <w:rPr>
                <w:lang w:val="en-US"/>
              </w:rPr>
            </w:pPr>
          </w:p>
        </w:tc>
      </w:tr>
      <w:tr w:rsidR="00870F63" w:rsidRPr="00661D95" w14:paraId="34ABAF2E" w14:textId="77777777" w:rsidTr="00A56B01">
        <w:tc>
          <w:tcPr>
            <w:tcW w:w="4230" w:type="dxa"/>
          </w:tcPr>
          <w:p w14:paraId="796D1B5C" w14:textId="77777777" w:rsidR="00870F63" w:rsidRPr="00661D95" w:rsidRDefault="00870F63" w:rsidP="008B3211">
            <w:pPr>
              <w:pStyle w:val="BodyText"/>
              <w:ind w:firstLine="0"/>
              <w:jc w:val="left"/>
              <w:rPr>
                <w:lang w:val="en-US"/>
              </w:rPr>
            </w:pPr>
            <w:r>
              <w:rPr>
                <w:lang w:val="en-US"/>
              </w:rPr>
              <w:t>Factor 2 (Integration costs)</w:t>
            </w:r>
            <w:r w:rsidR="0040175B">
              <w:rPr>
                <w:rStyle w:val="FootnoteReference"/>
                <w:lang w:val="en-US"/>
              </w:rPr>
              <w:t xml:space="preserve"> </w:t>
            </w:r>
            <w:r w:rsidR="0040175B">
              <w:rPr>
                <w:rStyle w:val="FootnoteReference"/>
                <w:lang w:val="en-US"/>
              </w:rPr>
              <w:footnoteReference w:id="2"/>
            </w:r>
          </w:p>
        </w:tc>
        <w:tc>
          <w:tcPr>
            <w:tcW w:w="1170" w:type="dxa"/>
            <w:vAlign w:val="center"/>
          </w:tcPr>
          <w:p w14:paraId="69BF922E" w14:textId="77777777" w:rsidR="00870F63" w:rsidRPr="003C51CC" w:rsidRDefault="00870F63" w:rsidP="00466B2A">
            <w:pPr>
              <w:pStyle w:val="BodyText"/>
              <w:numPr>
                <w:ilvl w:val="0"/>
                <w:numId w:val="13"/>
              </w:numPr>
              <w:ind w:left="0" w:firstLine="0"/>
              <w:jc w:val="center"/>
              <w:rPr>
                <w:lang w:val="en-US"/>
              </w:rPr>
            </w:pPr>
          </w:p>
        </w:tc>
        <w:tc>
          <w:tcPr>
            <w:tcW w:w="1530" w:type="dxa"/>
            <w:vAlign w:val="center"/>
          </w:tcPr>
          <w:p w14:paraId="7557CEFE" w14:textId="77777777" w:rsidR="00870F63" w:rsidRPr="003C51CC" w:rsidRDefault="00870F63" w:rsidP="00466B2A">
            <w:pPr>
              <w:pStyle w:val="BodyText"/>
              <w:numPr>
                <w:ilvl w:val="0"/>
                <w:numId w:val="11"/>
              </w:numPr>
              <w:ind w:left="-22" w:firstLine="0"/>
              <w:jc w:val="center"/>
              <w:rPr>
                <w:lang w:val="en-US"/>
              </w:rPr>
            </w:pPr>
          </w:p>
        </w:tc>
        <w:tc>
          <w:tcPr>
            <w:tcW w:w="2160" w:type="dxa"/>
            <w:vAlign w:val="center"/>
          </w:tcPr>
          <w:p w14:paraId="44ACCFC6" w14:textId="77777777" w:rsidR="00870F63" w:rsidRPr="003C51CC" w:rsidRDefault="00870F63" w:rsidP="00466B2A">
            <w:pPr>
              <w:pStyle w:val="BodyText"/>
              <w:numPr>
                <w:ilvl w:val="0"/>
                <w:numId w:val="11"/>
              </w:numPr>
              <w:ind w:left="-22" w:firstLine="0"/>
              <w:jc w:val="center"/>
              <w:rPr>
                <w:lang w:val="en-US"/>
              </w:rPr>
            </w:pPr>
          </w:p>
        </w:tc>
      </w:tr>
      <w:tr w:rsidR="00870F63" w14:paraId="23CB3B5C" w14:textId="77777777" w:rsidTr="00A56B01">
        <w:tc>
          <w:tcPr>
            <w:tcW w:w="4230" w:type="dxa"/>
          </w:tcPr>
          <w:p w14:paraId="396C3FCB" w14:textId="77777777" w:rsidR="00870F63" w:rsidRPr="00661D95" w:rsidRDefault="00870F63" w:rsidP="00870F63">
            <w:pPr>
              <w:pStyle w:val="BodyText"/>
              <w:ind w:firstLine="0"/>
              <w:jc w:val="left"/>
              <w:rPr>
                <w:lang w:val="en-US"/>
              </w:rPr>
            </w:pPr>
            <w:r w:rsidRPr="00870F63">
              <w:rPr>
                <w:lang w:val="en-US"/>
              </w:rPr>
              <w:t>Factor 3</w:t>
            </w:r>
            <w:r>
              <w:rPr>
                <w:lang w:val="en-US"/>
              </w:rPr>
              <w:t xml:space="preserve"> </w:t>
            </w:r>
            <w:r w:rsidRPr="00870F63">
              <w:rPr>
                <w:lang w:val="en-US"/>
              </w:rPr>
              <w:t>(</w:t>
            </w:r>
            <w:r w:rsidR="00A56B01">
              <w:rPr>
                <w:lang w:val="en-US"/>
              </w:rPr>
              <w:t>L</w:t>
            </w:r>
            <w:r w:rsidRPr="00870F63">
              <w:rPr>
                <w:lang w:val="en-US"/>
              </w:rPr>
              <w:t>ocalization</w:t>
            </w:r>
            <w:r w:rsidR="00A56B01">
              <w:rPr>
                <w:lang w:val="en-US"/>
              </w:rPr>
              <w:t xml:space="preserve"> level and share of imports</w:t>
            </w:r>
            <w:r w:rsidRPr="00870F63">
              <w:rPr>
                <w:lang w:val="en-US"/>
              </w:rPr>
              <w:t>)</w:t>
            </w:r>
          </w:p>
        </w:tc>
        <w:tc>
          <w:tcPr>
            <w:tcW w:w="1170" w:type="dxa"/>
            <w:vAlign w:val="center"/>
          </w:tcPr>
          <w:p w14:paraId="08D81E8C" w14:textId="77777777" w:rsidR="00870F63" w:rsidRPr="00C7586A" w:rsidRDefault="00870F63" w:rsidP="00466B2A">
            <w:pPr>
              <w:pStyle w:val="BodyText"/>
              <w:numPr>
                <w:ilvl w:val="0"/>
                <w:numId w:val="13"/>
              </w:numPr>
              <w:ind w:left="0" w:firstLine="0"/>
              <w:jc w:val="center"/>
              <w:rPr>
                <w:lang w:val="en-US"/>
              </w:rPr>
            </w:pPr>
          </w:p>
        </w:tc>
        <w:tc>
          <w:tcPr>
            <w:tcW w:w="1530" w:type="dxa"/>
            <w:vAlign w:val="center"/>
          </w:tcPr>
          <w:p w14:paraId="6618A57E" w14:textId="77777777" w:rsidR="00870F63" w:rsidRPr="00C7586A" w:rsidRDefault="00870F63" w:rsidP="00466B2A">
            <w:pPr>
              <w:pStyle w:val="BodyText"/>
              <w:numPr>
                <w:ilvl w:val="0"/>
                <w:numId w:val="12"/>
              </w:numPr>
              <w:ind w:left="0" w:firstLine="0"/>
              <w:jc w:val="center"/>
              <w:rPr>
                <w:lang w:val="en-US"/>
              </w:rPr>
            </w:pPr>
          </w:p>
        </w:tc>
        <w:tc>
          <w:tcPr>
            <w:tcW w:w="2160" w:type="dxa"/>
            <w:vAlign w:val="center"/>
          </w:tcPr>
          <w:p w14:paraId="5A91BB4C" w14:textId="77777777" w:rsidR="00870F63" w:rsidRPr="00C7586A" w:rsidRDefault="00870F63" w:rsidP="00466B2A">
            <w:pPr>
              <w:pStyle w:val="BodyText"/>
              <w:numPr>
                <w:ilvl w:val="0"/>
                <w:numId w:val="11"/>
              </w:numPr>
              <w:ind w:left="-22" w:firstLine="0"/>
              <w:jc w:val="center"/>
              <w:rPr>
                <w:lang w:val="en-US"/>
              </w:rPr>
            </w:pPr>
          </w:p>
        </w:tc>
      </w:tr>
    </w:tbl>
    <w:p w14:paraId="46B10FB7" w14:textId="77777777" w:rsidR="00452E64" w:rsidRDefault="00452E64" w:rsidP="00452E64">
      <w:pPr>
        <w:pStyle w:val="BodyText"/>
        <w:rPr>
          <w:lang w:val="en-US"/>
        </w:rPr>
      </w:pPr>
      <w:r w:rsidRPr="00452E64">
        <w:rPr>
          <w:lang w:val="en-US"/>
        </w:rPr>
        <w:t>Considering the data in Table 1, calculations were performed</w:t>
      </w:r>
      <w:r w:rsidR="00DF755D" w:rsidRPr="00DF755D">
        <w:t xml:space="preserve"> </w:t>
      </w:r>
      <w:r w:rsidR="00DF755D">
        <w:t>to compare</w:t>
      </w:r>
      <w:r w:rsidR="00DF755D" w:rsidRPr="00DF755D">
        <w:rPr>
          <w:lang w:val="en-US"/>
        </w:rPr>
        <w:t xml:space="preserve"> </w:t>
      </w:r>
      <w:r w:rsidR="00C50796">
        <w:rPr>
          <w:lang w:val="en-US"/>
        </w:rPr>
        <w:t xml:space="preserve">the </w:t>
      </w:r>
      <w:r w:rsidR="00DF755D" w:rsidRPr="00DF755D">
        <w:rPr>
          <w:lang w:val="en-US"/>
        </w:rPr>
        <w:t>concepts for</w:t>
      </w:r>
      <w:r w:rsidR="00C50796">
        <w:rPr>
          <w:lang w:val="en-US"/>
        </w:rPr>
        <w:t xml:space="preserve"> the assessment of the</w:t>
      </w:r>
      <w:r w:rsidR="00DF755D" w:rsidRPr="00DF755D">
        <w:rPr>
          <w:lang w:val="en-US"/>
        </w:rPr>
        <w:t xml:space="preserve"> </w:t>
      </w:r>
      <w:r w:rsidR="00DF755D" w:rsidRPr="00C50796">
        <w:rPr>
          <w:lang w:val="en-US"/>
        </w:rPr>
        <w:t xml:space="preserve">cost of electricity produced by low carbon technologies. </w:t>
      </w:r>
      <w:r w:rsidRPr="00C50796">
        <w:rPr>
          <w:lang w:val="en-US"/>
        </w:rPr>
        <w:t xml:space="preserve">The results of </w:t>
      </w:r>
      <w:r w:rsidR="00C50796" w:rsidRPr="00C50796">
        <w:rPr>
          <w:lang w:val="en-US"/>
        </w:rPr>
        <w:t xml:space="preserve">the </w:t>
      </w:r>
      <w:r w:rsidRPr="00C50796">
        <w:rPr>
          <w:lang w:val="en-US"/>
        </w:rPr>
        <w:t>comparative calculations are shown in Fig. 6.</w:t>
      </w:r>
    </w:p>
    <w:p w14:paraId="11B4AA69" w14:textId="77777777" w:rsidR="00ED0D30" w:rsidRDefault="00ED0D30" w:rsidP="00ED0D30">
      <w:pPr>
        <w:pStyle w:val="BodyText"/>
        <w:rPr>
          <w:lang w:val="en-US"/>
        </w:rPr>
      </w:pPr>
      <w:r w:rsidRPr="00C50796">
        <w:rPr>
          <w:lang w:val="en-US"/>
        </w:rPr>
        <w:t xml:space="preserve">Fig. 6 shows how factors are considered and the results of </w:t>
      </w:r>
      <w:r>
        <w:rPr>
          <w:lang w:val="en-US"/>
        </w:rPr>
        <w:t xml:space="preserve">the </w:t>
      </w:r>
      <w:r w:rsidRPr="00C50796">
        <w:rPr>
          <w:lang w:val="en-US"/>
        </w:rPr>
        <w:t>calculations change when different approaches are applied. Using</w:t>
      </w:r>
      <w:r w:rsidRPr="00031556">
        <w:rPr>
          <w:lang w:val="en-US"/>
        </w:rPr>
        <w:t xml:space="preserve"> the classical </w:t>
      </w:r>
      <w:r>
        <w:rPr>
          <w:lang w:val="en-US"/>
        </w:rPr>
        <w:t>LCOE method</w:t>
      </w:r>
      <w:r w:rsidRPr="00031556">
        <w:rPr>
          <w:lang w:val="en-US"/>
        </w:rPr>
        <w:t>, the s</w:t>
      </w:r>
      <w:r>
        <w:rPr>
          <w:lang w:val="en-US"/>
        </w:rPr>
        <w:t>olar</w:t>
      </w:r>
      <w:r w:rsidRPr="00031556">
        <w:rPr>
          <w:lang w:val="en-US"/>
        </w:rPr>
        <w:t xml:space="preserve"> and wind</w:t>
      </w:r>
      <w:r>
        <w:rPr>
          <w:lang w:val="en-US"/>
        </w:rPr>
        <w:t xml:space="preserve"> technologies</w:t>
      </w:r>
      <w:r w:rsidRPr="00031556">
        <w:rPr>
          <w:lang w:val="en-US"/>
        </w:rPr>
        <w:t xml:space="preserve"> (with the values ​of L</w:t>
      </w:r>
      <w:r>
        <w:rPr>
          <w:lang w:val="en-US"/>
        </w:rPr>
        <w:t>COE</w:t>
      </w:r>
      <w:r w:rsidRPr="00031556">
        <w:rPr>
          <w:lang w:val="en-US"/>
        </w:rPr>
        <w:t xml:space="preserve"> 53</w:t>
      </w:r>
      <w:r>
        <w:rPr>
          <w:lang w:val="en-US"/>
        </w:rPr>
        <w:t> USD/MWh</w:t>
      </w:r>
      <w:r w:rsidRPr="00031556">
        <w:rPr>
          <w:lang w:val="en-US"/>
        </w:rPr>
        <w:t xml:space="preserve"> and 38</w:t>
      </w:r>
      <w:r>
        <w:rPr>
          <w:lang w:val="en-US"/>
        </w:rPr>
        <w:t xml:space="preserve"> USD/MWh</w:t>
      </w:r>
      <w:r w:rsidRPr="00031556">
        <w:rPr>
          <w:lang w:val="en-US"/>
        </w:rPr>
        <w:t xml:space="preserve"> </w:t>
      </w:r>
      <w:r>
        <w:rPr>
          <w:lang w:val="en-US"/>
        </w:rPr>
        <w:t>respectively</w:t>
      </w:r>
      <w:r w:rsidRPr="00031556">
        <w:rPr>
          <w:lang w:val="en-US"/>
        </w:rPr>
        <w:t xml:space="preserve">) are significantly </w:t>
      </w:r>
      <w:r w:rsidRPr="00D12221">
        <w:rPr>
          <w:lang w:val="en-US"/>
        </w:rPr>
        <w:t xml:space="preserve">cheaper </w:t>
      </w:r>
      <w:r w:rsidRPr="00031556">
        <w:rPr>
          <w:lang w:val="en-US"/>
        </w:rPr>
        <w:t>than the</w:t>
      </w:r>
      <w:r>
        <w:rPr>
          <w:lang w:val="en-US"/>
        </w:rPr>
        <w:t xml:space="preserve"> Nuclear SMR</w:t>
      </w:r>
      <w:r w:rsidRPr="00031556">
        <w:rPr>
          <w:lang w:val="en-US"/>
        </w:rPr>
        <w:t xml:space="preserve"> </w:t>
      </w:r>
      <w:r>
        <w:rPr>
          <w:lang w:val="en-US"/>
        </w:rPr>
        <w:t>with</w:t>
      </w:r>
      <w:r w:rsidRPr="00031556">
        <w:rPr>
          <w:lang w:val="en-US"/>
        </w:rPr>
        <w:t xml:space="preserve"> the value of L</w:t>
      </w:r>
      <w:r>
        <w:rPr>
          <w:lang w:val="en-US"/>
        </w:rPr>
        <w:t>COE</w:t>
      </w:r>
      <w:r w:rsidRPr="00031556">
        <w:rPr>
          <w:lang w:val="en-US"/>
        </w:rPr>
        <w:t xml:space="preserve"> 119</w:t>
      </w:r>
      <w:r>
        <w:rPr>
          <w:lang w:val="en-US"/>
        </w:rPr>
        <w:t xml:space="preserve"> USD/MWh</w:t>
      </w:r>
      <w:r w:rsidRPr="00031556">
        <w:rPr>
          <w:lang w:val="en-US"/>
        </w:rPr>
        <w:t>.</w:t>
      </w:r>
      <w:r w:rsidRPr="00031556">
        <w:t xml:space="preserve"> </w:t>
      </w:r>
      <w:r w:rsidRPr="00031556">
        <w:rPr>
          <w:lang w:val="en-US"/>
        </w:rPr>
        <w:t xml:space="preserve">In this case, </w:t>
      </w:r>
      <w:r>
        <w:rPr>
          <w:lang w:val="en-US"/>
        </w:rPr>
        <w:t xml:space="preserve">the </w:t>
      </w:r>
      <w:r w:rsidRPr="00031556">
        <w:rPr>
          <w:lang w:val="en-US"/>
        </w:rPr>
        <w:t>wind</w:t>
      </w:r>
      <w:r>
        <w:rPr>
          <w:lang w:val="en-US"/>
        </w:rPr>
        <w:t xml:space="preserve"> technology</w:t>
      </w:r>
      <w:r w:rsidRPr="00031556">
        <w:rPr>
          <w:lang w:val="en-US"/>
        </w:rPr>
        <w:t xml:space="preserve"> looks</w:t>
      </w:r>
      <w:r>
        <w:rPr>
          <w:lang w:val="en-US"/>
        </w:rPr>
        <w:t xml:space="preserve"> like</w:t>
      </w:r>
      <w:r w:rsidRPr="00031556">
        <w:rPr>
          <w:lang w:val="en-US"/>
        </w:rPr>
        <w:t xml:space="preserve"> </w:t>
      </w:r>
      <w:r>
        <w:rPr>
          <w:lang w:val="en-US"/>
        </w:rPr>
        <w:t>a</w:t>
      </w:r>
      <w:r w:rsidRPr="00031556">
        <w:rPr>
          <w:lang w:val="en-US"/>
        </w:rPr>
        <w:t xml:space="preserve"> cheape</w:t>
      </w:r>
      <w:r>
        <w:rPr>
          <w:lang w:val="en-US"/>
        </w:rPr>
        <w:t>r</w:t>
      </w:r>
      <w:r w:rsidRPr="00031556">
        <w:rPr>
          <w:lang w:val="en-US"/>
        </w:rPr>
        <w:t xml:space="preserve"> technology th</w:t>
      </w:r>
      <w:r>
        <w:rPr>
          <w:lang w:val="en-US"/>
        </w:rPr>
        <w:t>an</w:t>
      </w:r>
      <w:r w:rsidRPr="00031556">
        <w:rPr>
          <w:lang w:val="en-US"/>
        </w:rPr>
        <w:t xml:space="preserve"> the s</w:t>
      </w:r>
      <w:r>
        <w:rPr>
          <w:lang w:val="en-US"/>
        </w:rPr>
        <w:t>olar</w:t>
      </w:r>
      <w:r w:rsidRPr="00031556">
        <w:rPr>
          <w:lang w:val="en-US"/>
        </w:rPr>
        <w:t xml:space="preserve"> and </w:t>
      </w:r>
      <w:r>
        <w:rPr>
          <w:lang w:val="en-US"/>
        </w:rPr>
        <w:t>Nuclear SMR</w:t>
      </w:r>
      <w:r w:rsidRPr="00031556">
        <w:rPr>
          <w:lang w:val="en-US"/>
        </w:rPr>
        <w:t xml:space="preserve"> (</w:t>
      </w:r>
      <w:r w:rsidRPr="00D12221">
        <w:rPr>
          <w:lang w:val="en-US"/>
        </w:rPr>
        <w:t>their cost being more than two times higher</w:t>
      </w:r>
      <w:r w:rsidRPr="00031556">
        <w:rPr>
          <w:lang w:val="en-US"/>
        </w:rPr>
        <w:t>).</w:t>
      </w:r>
    </w:p>
    <w:p w14:paraId="5AFA4A32" w14:textId="77777777" w:rsidR="00ED0D30" w:rsidRDefault="00ED0D30" w:rsidP="00ED0D30">
      <w:pPr>
        <w:pStyle w:val="BodyText"/>
        <w:rPr>
          <w:lang w:val="en-US"/>
        </w:rPr>
      </w:pPr>
      <w:r w:rsidRPr="00DF237C">
        <w:rPr>
          <w:lang w:val="en-US"/>
        </w:rPr>
        <w:t xml:space="preserve">The application of the </w:t>
      </w:r>
      <w:proofErr w:type="spellStart"/>
      <w:r w:rsidRPr="00DF237C">
        <w:rPr>
          <w:lang w:val="en-US"/>
        </w:rPr>
        <w:t>SystemLCOE</w:t>
      </w:r>
      <w:proofErr w:type="spellEnd"/>
      <w:r w:rsidRPr="00DF237C">
        <w:rPr>
          <w:lang w:val="en-US"/>
        </w:rPr>
        <w:t xml:space="preserve"> approach makes it possible to </w:t>
      </w:r>
      <w:proofErr w:type="gramStart"/>
      <w:r w:rsidRPr="00DF237C">
        <w:rPr>
          <w:lang w:val="en-US"/>
        </w:rPr>
        <w:t>take into account</w:t>
      </w:r>
      <w:proofErr w:type="gramEnd"/>
      <w:r w:rsidRPr="00DF237C">
        <w:rPr>
          <w:lang w:val="en-US"/>
        </w:rPr>
        <w:t xml:space="preserve"> the additional cost of </w:t>
      </w:r>
      <w:r w:rsidRPr="00545D35">
        <w:rPr>
          <w:lang w:val="en-US"/>
        </w:rPr>
        <w:t>integrating technologies into the power system. As the VRE generation penetration increases, generation costs grow [18].</w:t>
      </w:r>
      <w:r w:rsidRPr="00545D35">
        <w:t xml:space="preserve"> </w:t>
      </w:r>
      <w:r w:rsidRPr="00545D35">
        <w:rPr>
          <w:lang w:val="en-US"/>
        </w:rPr>
        <w:t>Thus</w:t>
      </w:r>
      <w:r w:rsidRPr="000A269E">
        <w:rPr>
          <w:lang w:val="en-US"/>
        </w:rPr>
        <w:t xml:space="preserve">, according to the </w:t>
      </w:r>
      <w:proofErr w:type="spellStart"/>
      <w:r w:rsidRPr="000A269E">
        <w:rPr>
          <w:lang w:val="en-US"/>
        </w:rPr>
        <w:t>SystemLCOE</w:t>
      </w:r>
      <w:proofErr w:type="spellEnd"/>
      <w:r w:rsidRPr="000A269E">
        <w:rPr>
          <w:lang w:val="en-US"/>
        </w:rPr>
        <w:t xml:space="preserve"> indicator, the technology </w:t>
      </w:r>
      <w:r>
        <w:rPr>
          <w:lang w:val="en-US"/>
        </w:rPr>
        <w:t xml:space="preserve">merit </w:t>
      </w:r>
      <w:r w:rsidRPr="000A269E">
        <w:rPr>
          <w:lang w:val="en-US"/>
        </w:rPr>
        <w:t xml:space="preserve">order </w:t>
      </w:r>
      <w:r>
        <w:rPr>
          <w:lang w:val="en-US"/>
        </w:rPr>
        <w:t>does not change</w:t>
      </w:r>
      <w:r w:rsidRPr="000A269E">
        <w:rPr>
          <w:lang w:val="en-US"/>
        </w:rPr>
        <w:t>,</w:t>
      </w:r>
      <w:r>
        <w:rPr>
          <w:lang w:val="en-US"/>
        </w:rPr>
        <w:t xml:space="preserve"> but</w:t>
      </w:r>
      <w:r w:rsidRPr="000A269E">
        <w:t xml:space="preserve"> </w:t>
      </w:r>
      <w:r w:rsidRPr="000A269E">
        <w:rPr>
          <w:lang w:val="en-US"/>
        </w:rPr>
        <w:t>the difference becomes significantly smaller</w:t>
      </w:r>
      <w:r>
        <w:rPr>
          <w:lang w:val="en-US"/>
        </w:rPr>
        <w:t>.</w:t>
      </w:r>
      <w:r w:rsidRPr="000A269E">
        <w:t xml:space="preserve"> </w:t>
      </w:r>
      <w:proofErr w:type="spellStart"/>
      <w:r w:rsidRPr="000A269E">
        <w:rPr>
          <w:lang w:val="en-US"/>
        </w:rPr>
        <w:t>SystemLCOE</w:t>
      </w:r>
      <w:proofErr w:type="spellEnd"/>
      <w:r w:rsidRPr="000A269E">
        <w:rPr>
          <w:lang w:val="en-US"/>
        </w:rPr>
        <w:t xml:space="preserve"> </w:t>
      </w:r>
      <w:r>
        <w:rPr>
          <w:lang w:val="en-US"/>
        </w:rPr>
        <w:t>of the so</w:t>
      </w:r>
      <w:r w:rsidRPr="000A269E">
        <w:rPr>
          <w:lang w:val="en-US"/>
        </w:rPr>
        <w:t>lar generation technolog</w:t>
      </w:r>
      <w:r>
        <w:rPr>
          <w:lang w:val="en-US"/>
        </w:rPr>
        <w:t>y</w:t>
      </w:r>
      <w:r w:rsidRPr="000A269E">
        <w:rPr>
          <w:lang w:val="en-US"/>
        </w:rPr>
        <w:t xml:space="preserve"> equal</w:t>
      </w:r>
      <w:r>
        <w:rPr>
          <w:lang w:val="en-US"/>
        </w:rPr>
        <w:t>s</w:t>
      </w:r>
      <w:r w:rsidRPr="000A269E">
        <w:rPr>
          <w:lang w:val="en-US"/>
        </w:rPr>
        <w:t xml:space="preserve"> 106</w:t>
      </w:r>
      <w:r>
        <w:rPr>
          <w:lang w:val="en-US"/>
        </w:rPr>
        <w:t xml:space="preserve"> USD/MWh</w:t>
      </w:r>
      <w:r w:rsidRPr="000A269E">
        <w:rPr>
          <w:lang w:val="en-US"/>
        </w:rPr>
        <w:t xml:space="preserve"> </w:t>
      </w:r>
      <w:r>
        <w:rPr>
          <w:lang w:val="en-US"/>
        </w:rPr>
        <w:t>and this is</w:t>
      </w:r>
      <w:r w:rsidRPr="000A269E">
        <w:rPr>
          <w:lang w:val="en-US"/>
        </w:rPr>
        <w:t xml:space="preserve"> comparable to </w:t>
      </w:r>
      <w:r>
        <w:rPr>
          <w:lang w:val="en-US"/>
        </w:rPr>
        <w:t>Nuclear SMR</w:t>
      </w:r>
      <w:r w:rsidRPr="000A269E">
        <w:rPr>
          <w:lang w:val="en-US"/>
        </w:rPr>
        <w:t xml:space="preserve"> with </w:t>
      </w:r>
      <w:r>
        <w:rPr>
          <w:lang w:val="en-US"/>
        </w:rPr>
        <w:t>the</w:t>
      </w:r>
      <w:r w:rsidRPr="000A269E">
        <w:rPr>
          <w:lang w:val="en-US"/>
        </w:rPr>
        <w:t xml:space="preserve"> value of 119</w:t>
      </w:r>
      <w:r>
        <w:rPr>
          <w:lang w:val="en-US"/>
        </w:rPr>
        <w:t xml:space="preserve"> USD/MWh</w:t>
      </w:r>
      <w:r w:rsidRPr="000A269E">
        <w:rPr>
          <w:lang w:val="en-US"/>
        </w:rPr>
        <w:t>.</w:t>
      </w:r>
    </w:p>
    <w:p w14:paraId="4EFD4804" w14:textId="77777777" w:rsidR="00891CCA" w:rsidRPr="00452E64" w:rsidRDefault="00CE40CA" w:rsidP="00452E64">
      <w:pPr>
        <w:pStyle w:val="BodyText"/>
        <w:ind w:firstLine="0"/>
        <w:jc w:val="center"/>
      </w:pPr>
      <w:r>
        <w:rPr>
          <w:noProof/>
        </w:rPr>
        <w:lastRenderedPageBreak/>
        <w:drawing>
          <wp:inline distT="0" distB="0" distL="0" distR="0" wp14:anchorId="57F05C8B" wp14:editId="3B1B2BF2">
            <wp:extent cx="4935341" cy="3063240"/>
            <wp:effectExtent l="0" t="0" r="0" b="381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2219" cy="3079922"/>
                    </a:xfrm>
                    <a:prstGeom prst="rect">
                      <a:avLst/>
                    </a:prstGeom>
                    <a:noFill/>
                  </pic:spPr>
                </pic:pic>
              </a:graphicData>
            </a:graphic>
          </wp:inline>
        </w:drawing>
      </w:r>
    </w:p>
    <w:p w14:paraId="65C091D9" w14:textId="77777777" w:rsidR="000776D1" w:rsidRPr="003A1DD4" w:rsidRDefault="000776D1" w:rsidP="000776D1">
      <w:pPr>
        <w:pStyle w:val="Caption"/>
        <w:jc w:val="center"/>
        <w:rPr>
          <w:i/>
        </w:rPr>
      </w:pPr>
      <w:r w:rsidRPr="00AD5FAF">
        <w:rPr>
          <w:i/>
        </w:rPr>
        <w:t>F</w:t>
      </w:r>
      <w:r>
        <w:rPr>
          <w:i/>
        </w:rPr>
        <w:t>IG</w:t>
      </w:r>
      <w:r w:rsidRPr="00AD5FAF">
        <w:rPr>
          <w:i/>
        </w:rPr>
        <w:t>.</w:t>
      </w:r>
      <w:r>
        <w:rPr>
          <w:i/>
        </w:rPr>
        <w:t xml:space="preserve"> 6. </w:t>
      </w:r>
      <w:r w:rsidR="00F37418">
        <w:rPr>
          <w:i/>
        </w:rPr>
        <w:t xml:space="preserve">Merit order of different </w:t>
      </w:r>
      <w:r w:rsidR="00D33B6D" w:rsidRPr="00D33B6D">
        <w:rPr>
          <w:i/>
          <w:lang w:val="en-GB"/>
        </w:rPr>
        <w:t>electricity</w:t>
      </w:r>
      <w:r w:rsidR="00F37418">
        <w:rPr>
          <w:i/>
          <w:lang w:val="en-GB"/>
        </w:rPr>
        <w:t xml:space="preserve"> sources by methodology</w:t>
      </w:r>
      <w:r>
        <w:rPr>
          <w:i/>
          <w:lang w:val="en-GB"/>
        </w:rPr>
        <w:t xml:space="preserve">, </w:t>
      </w:r>
      <w:r>
        <w:rPr>
          <w:i/>
        </w:rPr>
        <w:t>USD/MWh</w:t>
      </w:r>
    </w:p>
    <w:p w14:paraId="27A82E37" w14:textId="77777777" w:rsidR="00C7586A" w:rsidRDefault="000A269E" w:rsidP="00C7586A">
      <w:pPr>
        <w:pStyle w:val="BodyText"/>
        <w:rPr>
          <w:lang w:val="en-US"/>
        </w:rPr>
      </w:pPr>
      <w:r w:rsidRPr="000A269E">
        <w:rPr>
          <w:lang w:val="en-US"/>
        </w:rPr>
        <w:t xml:space="preserve">The assessment of the proposed </w:t>
      </w:r>
      <w:proofErr w:type="spellStart"/>
      <w:r w:rsidRPr="000A269E">
        <w:rPr>
          <w:lang w:val="en-US"/>
        </w:rPr>
        <w:t>RealLCOE</w:t>
      </w:r>
      <w:proofErr w:type="spellEnd"/>
      <w:r w:rsidRPr="000A269E">
        <w:rPr>
          <w:lang w:val="en-US"/>
        </w:rPr>
        <w:t xml:space="preserve"> approach </w:t>
      </w:r>
      <w:r>
        <w:rPr>
          <w:lang w:val="en-US"/>
        </w:rPr>
        <w:t>considering</w:t>
      </w:r>
      <w:r w:rsidRPr="000A269E">
        <w:rPr>
          <w:lang w:val="en-US"/>
        </w:rPr>
        <w:t xml:space="preserve"> a set of factors that </w:t>
      </w:r>
      <w:proofErr w:type="gramStart"/>
      <w:r w:rsidRPr="000A269E">
        <w:rPr>
          <w:lang w:val="en-US"/>
        </w:rPr>
        <w:t>take into account</w:t>
      </w:r>
      <w:proofErr w:type="gramEnd"/>
      <w:r w:rsidRPr="000A269E">
        <w:rPr>
          <w:lang w:val="en-US"/>
        </w:rPr>
        <w:t xml:space="preserve"> the technology</w:t>
      </w:r>
      <w:r>
        <w:rPr>
          <w:lang w:val="en-US"/>
        </w:rPr>
        <w:t xml:space="preserve"> expenditures</w:t>
      </w:r>
      <w:r w:rsidRPr="000A269E">
        <w:rPr>
          <w:lang w:val="en-US"/>
        </w:rPr>
        <w:t xml:space="preserve">, </w:t>
      </w:r>
      <w:r w:rsidR="00C50796">
        <w:rPr>
          <w:lang w:val="en-US"/>
        </w:rPr>
        <w:t xml:space="preserve">the </w:t>
      </w:r>
      <w:r w:rsidRPr="000A269E">
        <w:rPr>
          <w:lang w:val="en-US"/>
        </w:rPr>
        <w:t xml:space="preserve">cost of integration and the potential for localization of </w:t>
      </w:r>
      <w:r w:rsidR="00C50796">
        <w:rPr>
          <w:lang w:val="en-US"/>
        </w:rPr>
        <w:t xml:space="preserve">the </w:t>
      </w:r>
      <w:r w:rsidRPr="000A269E">
        <w:rPr>
          <w:lang w:val="en-US"/>
        </w:rPr>
        <w:t xml:space="preserve">technology </w:t>
      </w:r>
      <w:r w:rsidR="00C50796">
        <w:rPr>
          <w:lang w:val="en-US"/>
        </w:rPr>
        <w:t>at</w:t>
      </w:r>
      <w:r w:rsidRPr="000A269E">
        <w:rPr>
          <w:lang w:val="en-US"/>
        </w:rPr>
        <w:t xml:space="preserve"> a specific location makes it possible to form </w:t>
      </w:r>
      <w:r>
        <w:rPr>
          <w:lang w:val="en-US"/>
        </w:rPr>
        <w:t>another</w:t>
      </w:r>
      <w:r w:rsidRPr="000A269E">
        <w:rPr>
          <w:lang w:val="en-US"/>
        </w:rPr>
        <w:t xml:space="preserve"> picture.</w:t>
      </w:r>
      <w:r w:rsidRPr="000A269E">
        <w:t xml:space="preserve"> </w:t>
      </w:r>
      <w:r w:rsidRPr="000A269E">
        <w:rPr>
          <w:lang w:val="en-US"/>
        </w:rPr>
        <w:t xml:space="preserve">In this case, the technology </w:t>
      </w:r>
      <w:r>
        <w:rPr>
          <w:lang w:val="en-US"/>
        </w:rPr>
        <w:t xml:space="preserve">merit </w:t>
      </w:r>
      <w:r w:rsidRPr="000A269E">
        <w:rPr>
          <w:lang w:val="en-US"/>
        </w:rPr>
        <w:t>order is changing and solar generation becomes the most expensive technology</w:t>
      </w:r>
      <w:r>
        <w:rPr>
          <w:lang w:val="en-US"/>
        </w:rPr>
        <w:t xml:space="preserve"> – </w:t>
      </w:r>
      <w:r w:rsidR="00C50796">
        <w:rPr>
          <w:lang w:val="en-US"/>
        </w:rPr>
        <w:t xml:space="preserve">the </w:t>
      </w:r>
      <w:proofErr w:type="spellStart"/>
      <w:r>
        <w:rPr>
          <w:lang w:val="en-US"/>
        </w:rPr>
        <w:t>RealLCOE</w:t>
      </w:r>
      <w:proofErr w:type="spellEnd"/>
      <w:r>
        <w:rPr>
          <w:lang w:val="en-US"/>
        </w:rPr>
        <w:t xml:space="preserve"> value is 60</w:t>
      </w:r>
      <w:r w:rsidRPr="000A269E">
        <w:rPr>
          <w:lang w:val="en-US"/>
        </w:rPr>
        <w:t xml:space="preserve"> </w:t>
      </w:r>
      <w:r>
        <w:rPr>
          <w:lang w:val="en-US"/>
        </w:rPr>
        <w:t>USD/MWh.</w:t>
      </w:r>
      <w:r w:rsidR="00C45216" w:rsidRPr="00C45216">
        <w:t xml:space="preserve"> </w:t>
      </w:r>
      <w:r w:rsidR="00C45216" w:rsidRPr="00C45216">
        <w:rPr>
          <w:lang w:val="en-US"/>
        </w:rPr>
        <w:t xml:space="preserve">At the same time, </w:t>
      </w:r>
      <w:proofErr w:type="spellStart"/>
      <w:r w:rsidR="00C45216" w:rsidRPr="00C45216">
        <w:rPr>
          <w:lang w:val="en-US"/>
        </w:rPr>
        <w:t>RealLCOE</w:t>
      </w:r>
      <w:proofErr w:type="spellEnd"/>
      <w:r w:rsidR="00C45216" w:rsidRPr="00C45216">
        <w:rPr>
          <w:lang w:val="en-US"/>
        </w:rPr>
        <w:t xml:space="preserve"> </w:t>
      </w:r>
      <w:r w:rsidR="00C50796">
        <w:rPr>
          <w:lang w:val="en-US"/>
        </w:rPr>
        <w:t>of the</w:t>
      </w:r>
      <w:r w:rsidR="00B02D40">
        <w:rPr>
          <w:lang w:val="en-US"/>
        </w:rPr>
        <w:t xml:space="preserve"> </w:t>
      </w:r>
      <w:r w:rsidR="00AC4B91">
        <w:rPr>
          <w:lang w:val="en-US"/>
        </w:rPr>
        <w:t>N</w:t>
      </w:r>
      <w:r w:rsidR="00C45216">
        <w:rPr>
          <w:lang w:val="en-US"/>
        </w:rPr>
        <w:t xml:space="preserve">uclear SMR </w:t>
      </w:r>
      <w:r w:rsidR="00C45216" w:rsidRPr="00C45216">
        <w:rPr>
          <w:lang w:val="en-US"/>
        </w:rPr>
        <w:t xml:space="preserve">technology corresponds to wind generation and </w:t>
      </w:r>
      <w:r w:rsidR="00C45216">
        <w:rPr>
          <w:lang w:val="en-US"/>
        </w:rPr>
        <w:t xml:space="preserve">this </w:t>
      </w:r>
      <w:r w:rsidR="00C45216" w:rsidRPr="00C45216">
        <w:rPr>
          <w:lang w:val="en-US"/>
        </w:rPr>
        <w:t xml:space="preserve">is more than 30% lower than solar </w:t>
      </w:r>
      <w:r w:rsidR="00C45216" w:rsidRPr="00C50796">
        <w:rPr>
          <w:lang w:val="en-US"/>
        </w:rPr>
        <w:t>generation.</w:t>
      </w:r>
      <w:r w:rsidR="00C7586A" w:rsidRPr="00C50796">
        <w:rPr>
          <w:lang w:val="en-US"/>
        </w:rPr>
        <w:t xml:space="preserve"> </w:t>
      </w:r>
      <w:r w:rsidR="00AC4B91" w:rsidRPr="00C50796">
        <w:rPr>
          <w:lang w:val="en-US"/>
        </w:rPr>
        <w:t>Therefore</w:t>
      </w:r>
      <w:r w:rsidR="00AC4B91" w:rsidRPr="00AC4B91">
        <w:rPr>
          <w:lang w:val="en-US"/>
        </w:rPr>
        <w:t>, using the Cost-to-GDP approach, the ranking of technologies changes significantly, becoming more adequate to real conditions, and nuclear solutions can be objectively compared in terms of price, considering a complex of factors.</w:t>
      </w:r>
    </w:p>
    <w:p w14:paraId="7A01BB89" w14:textId="77777777" w:rsidR="006C276E" w:rsidRDefault="006C276E" w:rsidP="00466B2A">
      <w:pPr>
        <w:pStyle w:val="Heading2"/>
        <w:numPr>
          <w:ilvl w:val="1"/>
          <w:numId w:val="5"/>
        </w:numPr>
        <w:rPr>
          <w:lang w:val="en-US"/>
        </w:rPr>
      </w:pPr>
      <w:r>
        <w:rPr>
          <w:lang w:val="en-US"/>
        </w:rPr>
        <w:t xml:space="preserve">PRACTICAL USE FOR EARLY-STAGE </w:t>
      </w:r>
      <w:r w:rsidRPr="00E822DF">
        <w:rPr>
          <w:lang w:val="en-US"/>
        </w:rPr>
        <w:t>ENERGY AND ECONOMIC PLANNING</w:t>
      </w:r>
    </w:p>
    <w:p w14:paraId="2F846285" w14:textId="4976BCC8" w:rsidR="00616F39" w:rsidRPr="009330AD" w:rsidRDefault="006C276E" w:rsidP="006C276E">
      <w:pPr>
        <w:pStyle w:val="BodyText"/>
        <w:rPr>
          <w:lang w:val="en-US"/>
        </w:rPr>
      </w:pPr>
      <w:r w:rsidRPr="009330AD">
        <w:rPr>
          <w:lang w:val="en-US"/>
        </w:rPr>
        <w:t xml:space="preserve">In practical terms, </w:t>
      </w:r>
      <w:r w:rsidR="00D13216" w:rsidRPr="009330AD">
        <w:rPr>
          <w:lang w:val="en-US"/>
        </w:rPr>
        <w:t xml:space="preserve">the proposed </w:t>
      </w:r>
      <w:proofErr w:type="spellStart"/>
      <w:r w:rsidR="00D13216" w:rsidRPr="009330AD">
        <w:rPr>
          <w:lang w:val="en-US"/>
        </w:rPr>
        <w:t>RealLCOE</w:t>
      </w:r>
      <w:proofErr w:type="spellEnd"/>
      <w:r w:rsidR="00D13216" w:rsidRPr="009330AD">
        <w:rPr>
          <w:lang w:val="en-US"/>
        </w:rPr>
        <w:t xml:space="preserve"> approach </w:t>
      </w:r>
      <w:r w:rsidRPr="009330AD">
        <w:rPr>
          <w:lang w:val="en-US"/>
        </w:rPr>
        <w:t>can be used f</w:t>
      </w:r>
      <w:r w:rsidR="00616F39" w:rsidRPr="009330AD">
        <w:rPr>
          <w:lang w:val="en-US"/>
        </w:rPr>
        <w:t xml:space="preserve">or early-stage technical and economic planning </w:t>
      </w:r>
      <w:r w:rsidR="00F10F2C" w:rsidRPr="009330AD">
        <w:rPr>
          <w:lang w:val="en-US"/>
        </w:rPr>
        <w:t xml:space="preserve">for the purpose of </w:t>
      </w:r>
      <w:r w:rsidR="00616F39" w:rsidRPr="009330AD">
        <w:rPr>
          <w:lang w:val="en-US"/>
        </w:rPr>
        <w:t>compar</w:t>
      </w:r>
      <w:r w:rsidR="00F10F2C" w:rsidRPr="009330AD">
        <w:rPr>
          <w:lang w:val="en-US"/>
        </w:rPr>
        <w:t>ing</w:t>
      </w:r>
      <w:r w:rsidR="00616F39" w:rsidRPr="009330AD">
        <w:rPr>
          <w:lang w:val="en-US"/>
        </w:rPr>
        <w:t xml:space="preserve"> various </w:t>
      </w:r>
      <w:r w:rsidR="003C4A10" w:rsidRPr="009330AD">
        <w:rPr>
          <w:lang w:val="en-US"/>
        </w:rPr>
        <w:t>power</w:t>
      </w:r>
      <w:r w:rsidR="00616F39" w:rsidRPr="009330AD">
        <w:rPr>
          <w:lang w:val="en-US"/>
        </w:rPr>
        <w:t xml:space="preserve"> sources</w:t>
      </w:r>
      <w:r w:rsidR="00F5409D" w:rsidRPr="009330AD">
        <w:rPr>
          <w:lang w:val="en-US"/>
        </w:rPr>
        <w:t>.</w:t>
      </w:r>
      <w:r w:rsidR="003C4A10" w:rsidRPr="009330AD">
        <w:rPr>
          <w:lang w:val="en-US"/>
        </w:rPr>
        <w:t xml:space="preserve"> D</w:t>
      </w:r>
      <w:r w:rsidR="00F5409D" w:rsidRPr="009330AD">
        <w:rPr>
          <w:lang w:val="en-US"/>
        </w:rPr>
        <w:t xml:space="preserve">epending on the priorities of economic development and LCOE </w:t>
      </w:r>
      <w:r w:rsidR="003C4A10" w:rsidRPr="009330AD">
        <w:rPr>
          <w:lang w:val="en-US"/>
        </w:rPr>
        <w:t>to</w:t>
      </w:r>
      <w:r w:rsidR="00F5409D" w:rsidRPr="009330AD">
        <w:rPr>
          <w:lang w:val="en-US"/>
        </w:rPr>
        <w:t xml:space="preserve"> </w:t>
      </w:r>
      <w:proofErr w:type="spellStart"/>
      <w:r w:rsidR="00F5409D" w:rsidRPr="009330AD">
        <w:rPr>
          <w:lang w:val="en-US"/>
        </w:rPr>
        <w:t>RealLCOE</w:t>
      </w:r>
      <w:proofErr w:type="spellEnd"/>
      <w:r w:rsidR="003C4A10" w:rsidRPr="009330AD">
        <w:rPr>
          <w:lang w:val="en-US"/>
        </w:rPr>
        <w:t xml:space="preserve"> ratio</w:t>
      </w:r>
      <w:r w:rsidR="00F5409D" w:rsidRPr="009330AD">
        <w:rPr>
          <w:lang w:val="en-US"/>
        </w:rPr>
        <w:t xml:space="preserve">, different technologies may be </w:t>
      </w:r>
      <w:r w:rsidR="00822F72" w:rsidRPr="009330AD">
        <w:rPr>
          <w:lang w:val="en-US"/>
        </w:rPr>
        <w:t>favored</w:t>
      </w:r>
      <w:r w:rsidR="00F5409D" w:rsidRPr="009330AD">
        <w:rPr>
          <w:lang w:val="en-US"/>
        </w:rPr>
        <w:t>. Fig</w:t>
      </w:r>
      <w:r w:rsidR="00525CA6" w:rsidRPr="009330AD">
        <w:rPr>
          <w:lang w:val="en-US"/>
        </w:rPr>
        <w:t>.</w:t>
      </w:r>
      <w:r w:rsidR="00F5409D" w:rsidRPr="009330AD">
        <w:rPr>
          <w:lang w:val="en-US"/>
        </w:rPr>
        <w:t xml:space="preserve"> 7 illustrates a simplified distribution of </w:t>
      </w:r>
      <w:r w:rsidR="008250FF" w:rsidRPr="009330AD">
        <w:rPr>
          <w:lang w:val="en-US"/>
        </w:rPr>
        <w:t xml:space="preserve">technology applicability </w:t>
      </w:r>
      <w:r w:rsidR="00F5409D" w:rsidRPr="009330AD">
        <w:rPr>
          <w:lang w:val="en-US"/>
        </w:rPr>
        <w:t>depending on the results of the indicator</w:t>
      </w:r>
      <w:r w:rsidR="00E06518" w:rsidRPr="009330AD">
        <w:rPr>
          <w:lang w:val="en-US"/>
        </w:rPr>
        <w:t>s</w:t>
      </w:r>
      <w:r w:rsidR="00F5409D" w:rsidRPr="009330AD">
        <w:rPr>
          <w:lang w:val="en-US"/>
        </w:rPr>
        <w:t xml:space="preserve"> assessment.</w:t>
      </w:r>
    </w:p>
    <w:p w14:paraId="2E40D3CC" w14:textId="61C8A64F" w:rsidR="005D1B22" w:rsidRPr="009330AD" w:rsidRDefault="003C4A10" w:rsidP="00466B2A">
      <w:pPr>
        <w:pStyle w:val="BodyText"/>
        <w:numPr>
          <w:ilvl w:val="0"/>
          <w:numId w:val="15"/>
        </w:numPr>
        <w:ind w:left="900"/>
        <w:rPr>
          <w:lang w:val="en-US"/>
        </w:rPr>
      </w:pPr>
      <w:r w:rsidRPr="009330AD">
        <w:rPr>
          <w:b/>
          <w:lang w:val="en-US"/>
        </w:rPr>
        <w:t>“</w:t>
      </w:r>
      <w:r w:rsidR="0059517E" w:rsidRPr="009330AD">
        <w:rPr>
          <w:b/>
          <w:lang w:val="en-US"/>
        </w:rPr>
        <w:t>Simple-minded</w:t>
      </w:r>
      <w:r w:rsidRPr="009330AD">
        <w:rPr>
          <w:b/>
          <w:lang w:val="en-US"/>
        </w:rPr>
        <w:t>”</w:t>
      </w:r>
      <w:r w:rsidR="00656F42" w:rsidRPr="009330AD">
        <w:rPr>
          <w:b/>
          <w:lang w:val="en-US"/>
        </w:rPr>
        <w:t xml:space="preserve"> cases</w:t>
      </w:r>
      <w:r w:rsidR="003B10B4" w:rsidRPr="009330AD">
        <w:rPr>
          <w:lang w:val="en-US"/>
        </w:rPr>
        <w:t xml:space="preserve"> (quadrant</w:t>
      </w:r>
      <w:r w:rsidRPr="009330AD">
        <w:rPr>
          <w:lang w:val="en-US"/>
        </w:rPr>
        <w:t>s</w:t>
      </w:r>
      <w:r w:rsidR="003B10B4" w:rsidRPr="009330AD">
        <w:rPr>
          <w:lang w:val="en-US"/>
        </w:rPr>
        <w:t xml:space="preserve"> 2 and 3)</w:t>
      </w:r>
      <w:r w:rsidR="00656F42" w:rsidRPr="009330AD">
        <w:rPr>
          <w:lang w:val="en-US"/>
        </w:rPr>
        <w:t>:</w:t>
      </w:r>
      <w:r w:rsidR="00626FAE" w:rsidRPr="009330AD">
        <w:rPr>
          <w:lang w:val="en-US"/>
        </w:rPr>
        <w:t xml:space="preserve"> Quadrant 3 reflects the “safest” and favorable solutions in which the availability of technology can be effectively used for strategic economic development</w:t>
      </w:r>
      <w:r w:rsidRPr="009330AD">
        <w:rPr>
          <w:lang w:val="en-US"/>
        </w:rPr>
        <w:t xml:space="preserve"> at lowest absolute costs and lowest costs to GDP</w:t>
      </w:r>
      <w:r w:rsidR="00626FAE" w:rsidRPr="009330AD">
        <w:rPr>
          <w:lang w:val="en-US"/>
        </w:rPr>
        <w:t>.</w:t>
      </w:r>
      <w:r w:rsidR="00656F42" w:rsidRPr="009330AD">
        <w:rPr>
          <w:lang w:val="en-US"/>
        </w:rPr>
        <w:t xml:space="preserve"> </w:t>
      </w:r>
      <w:r w:rsidRPr="009330AD">
        <w:rPr>
          <w:lang w:val="en-US"/>
        </w:rPr>
        <w:t>Using same logic a</w:t>
      </w:r>
      <w:r w:rsidR="00656F42" w:rsidRPr="009330AD">
        <w:rPr>
          <w:lang w:val="en-US"/>
        </w:rPr>
        <w:t xml:space="preserve">t high nominal (LCOE) and real cost for the economy (quadrant 2), the technology is </w:t>
      </w:r>
      <w:r w:rsidRPr="009330AD">
        <w:rPr>
          <w:lang w:val="en-US"/>
        </w:rPr>
        <w:t xml:space="preserve">clearly </w:t>
      </w:r>
      <w:r w:rsidR="00656F42" w:rsidRPr="009330AD">
        <w:rPr>
          <w:lang w:val="en-US"/>
        </w:rPr>
        <w:t xml:space="preserve">not promising, because in conditions of impossibility of localization such a solution may lead to economic stagnation and strengthening of technological gap in countries with a low development base. </w:t>
      </w:r>
    </w:p>
    <w:p w14:paraId="04C44397" w14:textId="220777B3" w:rsidR="00F5409D" w:rsidRPr="009330AD" w:rsidRDefault="003C4A10" w:rsidP="00466B2A">
      <w:pPr>
        <w:pStyle w:val="BodyText"/>
        <w:numPr>
          <w:ilvl w:val="0"/>
          <w:numId w:val="15"/>
        </w:numPr>
        <w:ind w:left="900"/>
        <w:rPr>
          <w:lang w:val="en-US"/>
        </w:rPr>
      </w:pPr>
      <w:r w:rsidRPr="009330AD">
        <w:rPr>
          <w:b/>
          <w:lang w:val="en-US"/>
        </w:rPr>
        <w:t>“</w:t>
      </w:r>
      <w:r w:rsidR="0059517E" w:rsidRPr="009330AD">
        <w:rPr>
          <w:b/>
          <w:lang w:val="en-US"/>
        </w:rPr>
        <w:t>Complex-minded</w:t>
      </w:r>
      <w:r w:rsidRPr="009330AD">
        <w:rPr>
          <w:b/>
          <w:lang w:val="en-US"/>
        </w:rPr>
        <w:t>”</w:t>
      </w:r>
      <w:r w:rsidR="00656F42" w:rsidRPr="009330AD">
        <w:rPr>
          <w:b/>
          <w:lang w:val="en-US"/>
        </w:rPr>
        <w:t xml:space="preserve"> cases</w:t>
      </w:r>
      <w:r w:rsidR="003B10B4" w:rsidRPr="009330AD">
        <w:rPr>
          <w:b/>
          <w:lang w:val="en-US"/>
        </w:rPr>
        <w:t xml:space="preserve"> </w:t>
      </w:r>
      <w:r w:rsidR="003B10B4" w:rsidRPr="009330AD">
        <w:rPr>
          <w:lang w:val="en-US"/>
        </w:rPr>
        <w:t>(quadrant</w:t>
      </w:r>
      <w:r w:rsidRPr="009330AD">
        <w:rPr>
          <w:lang w:val="en-US"/>
        </w:rPr>
        <w:t>s</w:t>
      </w:r>
      <w:r w:rsidR="003B10B4" w:rsidRPr="009330AD">
        <w:rPr>
          <w:lang w:val="en-US"/>
        </w:rPr>
        <w:t xml:space="preserve"> 1 and 4)</w:t>
      </w:r>
      <w:r w:rsidR="00656F42" w:rsidRPr="009330AD">
        <w:rPr>
          <w:lang w:val="en-US"/>
        </w:rPr>
        <w:t xml:space="preserve">: At low nominal cost and high Cost-to-GDP (quadrant 4), the deployment of cheap and non-localized technology does not produce positive effects for the economy or they are minimal, which creates the risks of resource leakage and increasing import dependence. </w:t>
      </w:r>
      <w:r w:rsidR="00F5409D" w:rsidRPr="009330AD">
        <w:rPr>
          <w:lang w:val="en-US"/>
        </w:rPr>
        <w:t xml:space="preserve">When LCOE is high but Cost-to-GDP is low (quadrant 1), there are </w:t>
      </w:r>
      <w:r w:rsidR="00F817D5" w:rsidRPr="009330AD">
        <w:rPr>
          <w:lang w:val="en-US"/>
        </w:rPr>
        <w:t>opportunities</w:t>
      </w:r>
      <w:r w:rsidR="00D339FF" w:rsidRPr="009330AD">
        <w:rPr>
          <w:lang w:val="en-US"/>
        </w:rPr>
        <w:t xml:space="preserve"> for momentum of economic growth</w:t>
      </w:r>
      <w:r w:rsidR="00F5409D" w:rsidRPr="009330AD">
        <w:rPr>
          <w:lang w:val="en-US"/>
        </w:rPr>
        <w:t xml:space="preserve">. </w:t>
      </w:r>
      <w:r w:rsidR="00940C7F" w:rsidRPr="009330AD">
        <w:rPr>
          <w:lang w:val="en-US"/>
        </w:rPr>
        <w:t xml:space="preserve">In other words, the technology can be beneficial if there are no local resources constraints in the country, including human, engineering, </w:t>
      </w:r>
      <w:r w:rsidR="006D7CA1" w:rsidRPr="009330AD">
        <w:rPr>
          <w:lang w:val="en-US"/>
        </w:rPr>
        <w:t>fuel</w:t>
      </w:r>
      <w:r w:rsidR="00940C7F" w:rsidRPr="009330AD">
        <w:rPr>
          <w:lang w:val="en-US"/>
        </w:rPr>
        <w:t xml:space="preserve"> and other resources.</w:t>
      </w:r>
      <w:r w:rsidR="00F5409D" w:rsidRPr="009330AD">
        <w:rPr>
          <w:lang w:val="en-US"/>
        </w:rPr>
        <w:t xml:space="preserve"> In this option, the technology being evaluated is nominally expensive, but it can have a positive effect on the energy and economic growth.</w:t>
      </w:r>
      <w:r w:rsidR="00E16950" w:rsidRPr="009330AD">
        <w:rPr>
          <w:lang w:val="en-US"/>
        </w:rPr>
        <w:t xml:space="preserve"> </w:t>
      </w:r>
    </w:p>
    <w:p w14:paraId="78619EF7" w14:textId="68E4A25F" w:rsidR="00C91A32" w:rsidRPr="00257400" w:rsidRDefault="00C91A32" w:rsidP="006C276E">
      <w:pPr>
        <w:pStyle w:val="BodyText"/>
        <w:rPr>
          <w:highlight w:val="cyan"/>
          <w:lang w:val="en-US"/>
        </w:rPr>
      </w:pPr>
      <w:bookmarkStart w:id="1" w:name="_GoBack"/>
      <w:bookmarkEnd w:id="1"/>
    </w:p>
    <w:p w14:paraId="10D22AAD" w14:textId="672D5B1B" w:rsidR="00F10F2C" w:rsidRPr="00C91A32" w:rsidRDefault="00E16950" w:rsidP="00C91A32">
      <w:pPr>
        <w:pStyle w:val="BodyText"/>
        <w:jc w:val="center"/>
        <w:rPr>
          <w:lang w:val="en-US"/>
        </w:rPr>
      </w:pPr>
      <w:r>
        <w:rPr>
          <w:noProof/>
          <w:lang w:val="en-US"/>
        </w:rPr>
        <w:lastRenderedPageBreak/>
        <w:drawing>
          <wp:inline distT="0" distB="0" distL="0" distR="0" wp14:anchorId="236CEBB9" wp14:editId="09BFF163">
            <wp:extent cx="4282587" cy="2344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9419" cy="2359141"/>
                    </a:xfrm>
                    <a:prstGeom prst="rect">
                      <a:avLst/>
                    </a:prstGeom>
                    <a:noFill/>
                  </pic:spPr>
                </pic:pic>
              </a:graphicData>
            </a:graphic>
          </wp:inline>
        </w:drawing>
      </w:r>
    </w:p>
    <w:p w14:paraId="69BBFC19" w14:textId="0BAAEA10" w:rsidR="002644B0" w:rsidRPr="003A1DD4" w:rsidRDefault="002644B0" w:rsidP="002644B0">
      <w:pPr>
        <w:pStyle w:val="Caption"/>
        <w:jc w:val="center"/>
        <w:rPr>
          <w:i/>
        </w:rPr>
      </w:pPr>
      <w:r w:rsidRPr="005D1B22">
        <w:rPr>
          <w:i/>
        </w:rPr>
        <w:t xml:space="preserve">FIG. 7. </w:t>
      </w:r>
      <w:r w:rsidR="00F5409D" w:rsidRPr="005D1B22">
        <w:rPr>
          <w:i/>
        </w:rPr>
        <w:t xml:space="preserve">Classification of </w:t>
      </w:r>
      <w:r w:rsidR="008250FF" w:rsidRPr="008250FF">
        <w:rPr>
          <w:i/>
        </w:rPr>
        <w:t>technology applicability options</w:t>
      </w:r>
      <w:r w:rsidR="00F5409D" w:rsidRPr="005D1B22">
        <w:rPr>
          <w:i/>
        </w:rPr>
        <w:t xml:space="preserve"> depending on the LCOE and </w:t>
      </w:r>
      <w:proofErr w:type="spellStart"/>
      <w:r w:rsidR="00F5409D" w:rsidRPr="005D1B22">
        <w:rPr>
          <w:i/>
        </w:rPr>
        <w:t>RealLCOE</w:t>
      </w:r>
      <w:proofErr w:type="spellEnd"/>
      <w:r w:rsidR="00F5409D" w:rsidRPr="005D1B22">
        <w:rPr>
          <w:i/>
        </w:rPr>
        <w:t xml:space="preserve"> estimates</w:t>
      </w:r>
    </w:p>
    <w:p w14:paraId="6BC32F55" w14:textId="77777777" w:rsidR="000A269E" w:rsidRDefault="00C45216" w:rsidP="004572B0">
      <w:pPr>
        <w:pStyle w:val="BodyText"/>
        <w:rPr>
          <w:lang w:val="en-US"/>
        </w:rPr>
      </w:pPr>
      <w:r w:rsidRPr="001E7709">
        <w:rPr>
          <w:lang w:val="en-US"/>
        </w:rPr>
        <w:t>In</w:t>
      </w:r>
      <w:r w:rsidR="00F5409D" w:rsidRPr="001E7709">
        <w:rPr>
          <w:lang w:val="en-US"/>
        </w:rPr>
        <w:t xml:space="preserve"> conclusion</w:t>
      </w:r>
      <w:r w:rsidRPr="001E7709">
        <w:rPr>
          <w:lang w:val="en-US"/>
        </w:rPr>
        <w:t>,</w:t>
      </w:r>
      <w:r w:rsidRPr="00F5409D">
        <w:rPr>
          <w:lang w:val="en-US"/>
        </w:rPr>
        <w:t xml:space="preserve"> the proposed Cost to GDP methodology (with the </w:t>
      </w:r>
      <w:proofErr w:type="spellStart"/>
      <w:r w:rsidRPr="00F5409D">
        <w:rPr>
          <w:lang w:val="en-US"/>
        </w:rPr>
        <w:t>RealLCOE</w:t>
      </w:r>
      <w:proofErr w:type="spellEnd"/>
      <w:r w:rsidRPr="00F5409D">
        <w:rPr>
          <w:lang w:val="en-US"/>
        </w:rPr>
        <w:t xml:space="preserve"> assessment approach), which </w:t>
      </w:r>
      <w:r w:rsidRPr="00C45216">
        <w:rPr>
          <w:lang w:val="en-US"/>
        </w:rPr>
        <w:t xml:space="preserve">is described in the sections above, can be effectively used for preliminary comparative assessment of the cost-effectiveness </w:t>
      </w:r>
      <w:r>
        <w:rPr>
          <w:lang w:val="en-US"/>
        </w:rPr>
        <w:t xml:space="preserve">of </w:t>
      </w:r>
      <w:r w:rsidRPr="00C45216">
        <w:rPr>
          <w:lang w:val="en-US"/>
        </w:rPr>
        <w:t>various low</w:t>
      </w:r>
      <w:r>
        <w:rPr>
          <w:lang w:val="en-US"/>
        </w:rPr>
        <w:t>-</w:t>
      </w:r>
      <w:r w:rsidRPr="00C45216">
        <w:rPr>
          <w:lang w:val="en-US"/>
        </w:rPr>
        <w:t>carb</w:t>
      </w:r>
      <w:r>
        <w:rPr>
          <w:lang w:val="en-US"/>
        </w:rPr>
        <w:t>on</w:t>
      </w:r>
      <w:r w:rsidRPr="00C45216">
        <w:rPr>
          <w:lang w:val="en-US"/>
        </w:rPr>
        <w:t xml:space="preserve"> </w:t>
      </w:r>
      <w:r>
        <w:rPr>
          <w:lang w:val="en-US"/>
        </w:rPr>
        <w:t xml:space="preserve">energy </w:t>
      </w:r>
      <w:r w:rsidRPr="00C45216">
        <w:rPr>
          <w:lang w:val="en-US"/>
        </w:rPr>
        <w:t xml:space="preserve">sources in relation to </w:t>
      </w:r>
      <w:r>
        <w:rPr>
          <w:lang w:val="en-US"/>
        </w:rPr>
        <w:t>Nuclear SMR</w:t>
      </w:r>
      <w:r w:rsidRPr="00C45216">
        <w:rPr>
          <w:lang w:val="en-US"/>
        </w:rPr>
        <w:t xml:space="preserve"> and other technologies.</w:t>
      </w:r>
      <w:r w:rsidRPr="00C45216">
        <w:t xml:space="preserve"> </w:t>
      </w:r>
      <w:r w:rsidRPr="00C45216">
        <w:rPr>
          <w:lang w:val="en-US"/>
        </w:rPr>
        <w:t xml:space="preserve">The complexity and </w:t>
      </w:r>
      <w:r w:rsidR="00C50796">
        <w:rPr>
          <w:lang w:val="en-US"/>
        </w:rPr>
        <w:t xml:space="preserve">the </w:t>
      </w:r>
      <w:r w:rsidRPr="00C45216">
        <w:rPr>
          <w:lang w:val="en-US"/>
        </w:rPr>
        <w:t>objectivity of the proposed approach makes it possible to use it when making strategic decisions on the future energy mix both in the framework of primary discussions and at the level of industry regulators.</w:t>
      </w:r>
    </w:p>
    <w:p w14:paraId="39FBD16E" w14:textId="77777777" w:rsidR="00D26ADA" w:rsidRPr="00C7586A" w:rsidRDefault="00D26ADA" w:rsidP="00537496">
      <w:pPr>
        <w:pStyle w:val="Otherunnumberedheadings"/>
        <w:rPr>
          <w:lang w:val="ru-RU"/>
        </w:rPr>
      </w:pPr>
      <w:r w:rsidRPr="00745B69">
        <w:t>References</w:t>
      </w:r>
    </w:p>
    <w:p w14:paraId="0C9E450D" w14:textId="77777777" w:rsidR="0063714B" w:rsidRPr="00745B69" w:rsidRDefault="0063714B" w:rsidP="00537496">
      <w:pPr>
        <w:pStyle w:val="Referencelist"/>
      </w:pPr>
      <w:r w:rsidRPr="00745B69">
        <w:t xml:space="preserve">Navigating the Future of Small Modular </w:t>
      </w:r>
      <w:r w:rsidR="00745B69" w:rsidRPr="00745B69">
        <w:t>Reactors</w:t>
      </w:r>
      <w:r w:rsidRPr="00745B69">
        <w:t xml:space="preserve"> in Competitive Global Low-Carbon Energy Markets</w:t>
      </w:r>
      <w:r w:rsidR="00745B69" w:rsidRPr="00745B69">
        <w:t>, NNWI, 2023</w:t>
      </w:r>
      <w:r w:rsidR="006812F4">
        <w:t>.</w:t>
      </w:r>
    </w:p>
    <w:p w14:paraId="2ECBC044" w14:textId="77777777" w:rsidR="00191FF8" w:rsidRPr="00191FF8" w:rsidRDefault="00191FF8" w:rsidP="00191FF8">
      <w:pPr>
        <w:pStyle w:val="Referencelist"/>
      </w:pPr>
      <w:r w:rsidRPr="00191FF8">
        <w:t xml:space="preserve">Uganda </w:t>
      </w:r>
      <w:r w:rsidR="00C50796">
        <w:t>L</w:t>
      </w:r>
      <w:r w:rsidRPr="00191FF8">
        <w:t xml:space="preserve">east </w:t>
      </w:r>
      <w:r w:rsidR="00C50796">
        <w:t>C</w:t>
      </w:r>
      <w:r w:rsidRPr="00191FF8">
        <w:t xml:space="preserve">ost </w:t>
      </w:r>
      <w:r w:rsidR="00C50796">
        <w:t>E</w:t>
      </w:r>
      <w:r w:rsidRPr="00191FF8">
        <w:t xml:space="preserve">lectricity </w:t>
      </w:r>
      <w:r w:rsidR="00C50796">
        <w:t>E</w:t>
      </w:r>
      <w:r w:rsidRPr="00191FF8">
        <w:t xml:space="preserve">xpansion </w:t>
      </w:r>
      <w:r w:rsidR="00C50796">
        <w:t>P</w:t>
      </w:r>
      <w:r w:rsidRPr="00191FF8">
        <w:t xml:space="preserve">lan 2020-2030, Electricity regulatory authority of Uganda, </w:t>
      </w:r>
      <w:r w:rsidR="00804163">
        <w:t>2021.</w:t>
      </w:r>
    </w:p>
    <w:p w14:paraId="599BC18D" w14:textId="77777777" w:rsidR="00191FF8" w:rsidRPr="00191FF8" w:rsidRDefault="00191FF8" w:rsidP="00191FF8">
      <w:pPr>
        <w:pStyle w:val="Referencelist"/>
      </w:pPr>
      <w:r w:rsidRPr="00191FF8">
        <w:t xml:space="preserve">Least Cost </w:t>
      </w:r>
      <w:r w:rsidR="00C50796">
        <w:t>E</w:t>
      </w:r>
      <w:r w:rsidRPr="00191FF8">
        <w:t xml:space="preserve">nergy </w:t>
      </w:r>
      <w:r w:rsidR="00C50796">
        <w:t>I</w:t>
      </w:r>
      <w:r w:rsidRPr="00191FF8">
        <w:t xml:space="preserve">nvestment </w:t>
      </w:r>
      <w:r w:rsidR="00C50796">
        <w:t>S</w:t>
      </w:r>
      <w:r w:rsidRPr="00191FF8">
        <w:t xml:space="preserve">tudy for Namibia to 2040, International Rivers, </w:t>
      </w:r>
      <w:proofErr w:type="spellStart"/>
      <w:r w:rsidRPr="00191FF8">
        <w:t>Earthlife</w:t>
      </w:r>
      <w:proofErr w:type="spellEnd"/>
      <w:r w:rsidRPr="00191FF8">
        <w:t xml:space="preserve"> Namibia, </w:t>
      </w:r>
      <w:r w:rsidR="00804163">
        <w:t>2023.</w:t>
      </w:r>
    </w:p>
    <w:p w14:paraId="475D17B0" w14:textId="77777777" w:rsidR="00191FF8" w:rsidRPr="00191FF8" w:rsidRDefault="00191FF8" w:rsidP="00191FF8">
      <w:pPr>
        <w:pStyle w:val="Referencelist"/>
      </w:pPr>
      <w:r w:rsidRPr="00191FF8">
        <w:t xml:space="preserve">Rwanda: Least </w:t>
      </w:r>
      <w:r w:rsidR="00C50796">
        <w:t>C</w:t>
      </w:r>
      <w:r w:rsidRPr="00191FF8">
        <w:t xml:space="preserve">ost </w:t>
      </w:r>
      <w:r w:rsidR="00C50796">
        <w:t>P</w:t>
      </w:r>
      <w:r w:rsidRPr="00191FF8">
        <w:t xml:space="preserve">ower </w:t>
      </w:r>
      <w:r w:rsidR="00C50796">
        <w:t>D</w:t>
      </w:r>
      <w:r w:rsidRPr="00191FF8">
        <w:t xml:space="preserve">evelopment </w:t>
      </w:r>
      <w:r w:rsidR="00C50796">
        <w:t>P</w:t>
      </w:r>
      <w:r w:rsidRPr="00191FF8">
        <w:t xml:space="preserve">lan 2023-2050 (2022-2040), Rwanda Energy Group, </w:t>
      </w:r>
      <w:r w:rsidR="00804163">
        <w:t>2023.</w:t>
      </w:r>
    </w:p>
    <w:p w14:paraId="59629021" w14:textId="77777777" w:rsidR="00191FF8" w:rsidRPr="00191FF8" w:rsidRDefault="00191FF8" w:rsidP="00191FF8">
      <w:pPr>
        <w:pStyle w:val="Referencelist"/>
      </w:pPr>
      <w:r w:rsidRPr="00191FF8">
        <w:t xml:space="preserve">Power </w:t>
      </w:r>
      <w:r w:rsidR="00C50796" w:rsidRPr="00191FF8">
        <w:t xml:space="preserve">Generation Master Plan </w:t>
      </w:r>
      <w:r w:rsidRPr="00191FF8">
        <w:t xml:space="preserve">in Burundi to 2030, AfDB for Ministry of Energy and Mines, </w:t>
      </w:r>
      <w:r w:rsidR="00804163">
        <w:t>2020.</w:t>
      </w:r>
    </w:p>
    <w:p w14:paraId="35402FFC" w14:textId="77777777" w:rsidR="00191FF8" w:rsidRPr="00191FF8" w:rsidRDefault="00191FF8" w:rsidP="00191FF8">
      <w:pPr>
        <w:pStyle w:val="Referencelist"/>
      </w:pPr>
      <w:r w:rsidRPr="00191FF8">
        <w:t xml:space="preserve">Tanzania </w:t>
      </w:r>
      <w:r w:rsidR="00C50796" w:rsidRPr="00191FF8">
        <w:t xml:space="preserve">Power System Master Plan </w:t>
      </w:r>
      <w:r w:rsidRPr="00191FF8">
        <w:t xml:space="preserve">to 2044, Ministry of energy of United Republic of Tanzania, </w:t>
      </w:r>
      <w:r w:rsidR="00804163">
        <w:t>2020.</w:t>
      </w:r>
    </w:p>
    <w:p w14:paraId="7A7DA2E5" w14:textId="77777777" w:rsidR="00191FF8" w:rsidRPr="00191FF8" w:rsidRDefault="00191FF8" w:rsidP="00191FF8">
      <w:pPr>
        <w:pStyle w:val="Referencelist"/>
      </w:pPr>
      <w:r w:rsidRPr="00191FF8">
        <w:t xml:space="preserve">Integrated Master </w:t>
      </w:r>
      <w:r w:rsidR="00C50796">
        <w:t>P</w:t>
      </w:r>
      <w:r w:rsidRPr="00191FF8">
        <w:t xml:space="preserve">lan Mozambique Power </w:t>
      </w:r>
      <w:r w:rsidR="00C50796">
        <w:t>S</w:t>
      </w:r>
      <w:r w:rsidRPr="00191FF8">
        <w:t xml:space="preserve">ystem </w:t>
      </w:r>
      <w:r w:rsidR="00C50796">
        <w:t>D</w:t>
      </w:r>
      <w:r w:rsidRPr="00191FF8">
        <w:t xml:space="preserve">evelopment to 2042, Japan International Cooperation Agency (JICA), </w:t>
      </w:r>
      <w:r w:rsidR="00804163">
        <w:t>2018.</w:t>
      </w:r>
    </w:p>
    <w:p w14:paraId="40DF2EEA" w14:textId="77777777" w:rsidR="00191FF8" w:rsidRDefault="00191FF8" w:rsidP="00191FF8">
      <w:pPr>
        <w:pStyle w:val="Referencelist"/>
      </w:pPr>
      <w:r>
        <w:t xml:space="preserve">Clean Energy Transition in Tanzania, </w:t>
      </w:r>
      <w:proofErr w:type="spellStart"/>
      <w:r>
        <w:t>Multiconsult</w:t>
      </w:r>
      <w:proofErr w:type="spellEnd"/>
      <w:r>
        <w:t>, 2022.</w:t>
      </w:r>
    </w:p>
    <w:p w14:paraId="4D17AD6F" w14:textId="77777777" w:rsidR="00191FF8" w:rsidRDefault="00191FF8" w:rsidP="00191FF8">
      <w:pPr>
        <w:pStyle w:val="Referencelist"/>
      </w:pPr>
      <w:r>
        <w:t xml:space="preserve">South Africa’s Just </w:t>
      </w:r>
      <w:r w:rsidR="00C50796">
        <w:t>E</w:t>
      </w:r>
      <w:r>
        <w:t xml:space="preserve">nergy </w:t>
      </w:r>
      <w:r w:rsidR="00C50796">
        <w:t>T</w:t>
      </w:r>
      <w:r>
        <w:t xml:space="preserve">ransition </w:t>
      </w:r>
      <w:r w:rsidR="00C50796">
        <w:t>I</w:t>
      </w:r>
      <w:r>
        <w:t xml:space="preserve">nvestment </w:t>
      </w:r>
      <w:r w:rsidR="00C50796">
        <w:t>P</w:t>
      </w:r>
      <w:r>
        <w:t xml:space="preserve">lan (JET IP) </w:t>
      </w:r>
      <w:r w:rsidR="00C50796">
        <w:t>f</w:t>
      </w:r>
      <w:r>
        <w:t xml:space="preserve">or the Initial </w:t>
      </w:r>
      <w:r w:rsidR="00C50796">
        <w:t>P</w:t>
      </w:r>
      <w:r>
        <w:t>eriod 2023-2027,</w:t>
      </w:r>
      <w:r w:rsidRPr="00191FF8">
        <w:t xml:space="preserve"> </w:t>
      </w:r>
      <w:r>
        <w:t>The Presidency of the Republic of South Africa, 2022.</w:t>
      </w:r>
    </w:p>
    <w:p w14:paraId="206560C8" w14:textId="77777777" w:rsidR="00804163" w:rsidRDefault="00804163" w:rsidP="00034E4A">
      <w:pPr>
        <w:pStyle w:val="Referencelist"/>
      </w:pPr>
      <w:r>
        <w:t>Integrated Resource Plan for the Power Sector in Zambia, Zambia Ministry of Energy, 2023.</w:t>
      </w:r>
    </w:p>
    <w:p w14:paraId="6C3E89E2" w14:textId="77777777" w:rsidR="00727C01" w:rsidRDefault="00727C01" w:rsidP="00537496">
      <w:pPr>
        <w:pStyle w:val="Referencelist"/>
      </w:pPr>
      <w:r w:rsidRPr="00727C01">
        <w:t>Lazard’s Levelized Cost of Energy Analysis — Version 15.0</w:t>
      </w:r>
      <w:r>
        <w:t>, Lazard, 2021.</w:t>
      </w:r>
      <w:r w:rsidRPr="00727C01">
        <w:t xml:space="preserve"> </w:t>
      </w:r>
    </w:p>
    <w:p w14:paraId="363C89E7" w14:textId="77777777" w:rsidR="006A50C6" w:rsidRDefault="006A50C6" w:rsidP="00537496">
      <w:pPr>
        <w:pStyle w:val="Referencelist"/>
      </w:pPr>
      <w:r>
        <w:t>Planning and Prospects for Renewable Power: Eastern and Southern Africa, IRENA, 2021.</w:t>
      </w:r>
    </w:p>
    <w:p w14:paraId="4B8344D9" w14:textId="77777777" w:rsidR="00191FF8" w:rsidRDefault="00191FF8" w:rsidP="00537496">
      <w:pPr>
        <w:pStyle w:val="Referencelist"/>
      </w:pPr>
      <w:r w:rsidRPr="00191FF8">
        <w:t>Electricity Generation Costs 2020</w:t>
      </w:r>
      <w:r>
        <w:t xml:space="preserve">, </w:t>
      </w:r>
      <w:r w:rsidRPr="00191FF8">
        <w:t>Department for Business, Energy &amp; Industrial Strategy</w:t>
      </w:r>
      <w:r>
        <w:t xml:space="preserve"> </w:t>
      </w:r>
      <w:r w:rsidR="00804163">
        <w:t>of UK Government</w:t>
      </w:r>
      <w:r>
        <w:t>, 2020.</w:t>
      </w:r>
    </w:p>
    <w:p w14:paraId="05F5222F" w14:textId="77777777" w:rsidR="00857B4D" w:rsidRDefault="00857B4D" w:rsidP="00537496">
      <w:pPr>
        <w:pStyle w:val="Referencelist"/>
      </w:pPr>
      <w:r w:rsidRPr="00857B4D">
        <w:t>UECKERDT</w:t>
      </w:r>
      <w:r>
        <w:t>, F.</w:t>
      </w:r>
      <w:r w:rsidRPr="00857B4D">
        <w:t>, HIRTH</w:t>
      </w:r>
      <w:r>
        <w:t>, L.</w:t>
      </w:r>
      <w:r w:rsidRPr="00857B4D">
        <w:t>, LUDERER</w:t>
      </w:r>
      <w:r>
        <w:t>, G.</w:t>
      </w:r>
      <w:r w:rsidRPr="00857B4D">
        <w:t>, EDENHOFER</w:t>
      </w:r>
      <w:r>
        <w:t>, O.,</w:t>
      </w:r>
      <w:r w:rsidRPr="00857B4D">
        <w:t xml:space="preserve"> System LCOE: What are the </w:t>
      </w:r>
      <w:r w:rsidR="00E176DF">
        <w:t>C</w:t>
      </w:r>
      <w:r w:rsidRPr="00857B4D">
        <w:t xml:space="preserve">osts of </w:t>
      </w:r>
      <w:r w:rsidR="00E176DF">
        <w:t>V</w:t>
      </w:r>
      <w:r w:rsidRPr="00857B4D">
        <w:t xml:space="preserve">ariable </w:t>
      </w:r>
      <w:r w:rsidR="00E176DF">
        <w:t>R</w:t>
      </w:r>
      <w:r w:rsidRPr="00857B4D">
        <w:t>enewables,</w:t>
      </w:r>
      <w:r>
        <w:t xml:space="preserve"> </w:t>
      </w:r>
      <w:r w:rsidRPr="00857B4D">
        <w:t>Potsdam-Institute for Climate Impact Research</w:t>
      </w:r>
      <w:r>
        <w:t xml:space="preserve">, </w:t>
      </w:r>
      <w:r w:rsidR="00E176DF">
        <w:t>Germany, 2013.</w:t>
      </w:r>
    </w:p>
    <w:p w14:paraId="282D2763" w14:textId="77777777" w:rsidR="00C861A5" w:rsidRDefault="00C861A5" w:rsidP="00E5574A">
      <w:pPr>
        <w:pStyle w:val="Referencelist"/>
      </w:pPr>
      <w:r>
        <w:t>Projected Costs of Generating Electricity, IEA, NEA, 2020.</w:t>
      </w:r>
    </w:p>
    <w:p w14:paraId="674CD149" w14:textId="77777777" w:rsidR="009E4912" w:rsidRDefault="009E4912" w:rsidP="00E5574A">
      <w:pPr>
        <w:pStyle w:val="Referencelist"/>
      </w:pPr>
      <w:r w:rsidRPr="009E4912">
        <w:t>Measuring Employment Generated by the Nuclear Power Sector</w:t>
      </w:r>
      <w:r w:rsidRPr="00191FF8">
        <w:t>, NEA, 2018.</w:t>
      </w:r>
    </w:p>
    <w:p w14:paraId="0905D2F0" w14:textId="77777777" w:rsidR="00745B69" w:rsidRPr="00745B69" w:rsidRDefault="00745B69" w:rsidP="00E5574A">
      <w:pPr>
        <w:pStyle w:val="Referencelist"/>
      </w:pPr>
      <w:r w:rsidRPr="00745B69">
        <w:t xml:space="preserve">New Just: Paths to Affordable </w:t>
      </w:r>
      <w:r w:rsidR="00C861A5">
        <w:t>E</w:t>
      </w:r>
      <w:r w:rsidRPr="00745B69">
        <w:t xml:space="preserve">nergy Transition in </w:t>
      </w:r>
      <w:r w:rsidR="00AD4053">
        <w:t>E</w:t>
      </w:r>
      <w:r w:rsidRPr="00745B69">
        <w:t>astern and Southern Africa, Kept, 2024</w:t>
      </w:r>
      <w:r w:rsidR="006812F4">
        <w:t>.</w:t>
      </w:r>
    </w:p>
    <w:p w14:paraId="3F79E681" w14:textId="77777777" w:rsidR="00745B69" w:rsidRPr="00745B69" w:rsidRDefault="00745B69" w:rsidP="00537496">
      <w:pPr>
        <w:pStyle w:val="Referencelist"/>
      </w:pPr>
      <w:r w:rsidRPr="00745B69">
        <w:t xml:space="preserve">Full </w:t>
      </w:r>
      <w:r w:rsidR="00C861A5">
        <w:t>C</w:t>
      </w:r>
      <w:r w:rsidRPr="00745B69">
        <w:t xml:space="preserve">ost of VRE </w:t>
      </w:r>
      <w:r w:rsidR="00C861A5">
        <w:t>I</w:t>
      </w:r>
      <w:r w:rsidRPr="00745B69">
        <w:t xml:space="preserve">ntegration into the South UPS of the Russian Federation: </w:t>
      </w:r>
      <w:r w:rsidR="00C861A5">
        <w:t>I</w:t>
      </w:r>
      <w:r w:rsidRPr="00745B69">
        <w:t xml:space="preserve">mpact of </w:t>
      </w:r>
      <w:r w:rsidR="00C861A5">
        <w:t>G</w:t>
      </w:r>
      <w:r w:rsidRPr="00745B69">
        <w:t xml:space="preserve">eospatial </w:t>
      </w:r>
      <w:r w:rsidR="00C861A5">
        <w:t>O</w:t>
      </w:r>
      <w:r w:rsidRPr="00745B69">
        <w:t xml:space="preserve">ptimization </w:t>
      </w:r>
      <w:r w:rsidR="00C861A5">
        <w:t>F</w:t>
      </w:r>
      <w:r w:rsidRPr="00745B69">
        <w:t>actors, Kept, 2022</w:t>
      </w:r>
      <w:r w:rsidR="006812F4">
        <w:t>.</w:t>
      </w:r>
    </w:p>
    <w:p w14:paraId="428CA7DF" w14:textId="77777777" w:rsidR="009E19BC" w:rsidRDefault="009E19BC" w:rsidP="00537496">
      <w:pPr>
        <w:pStyle w:val="BodyText"/>
        <w:ind w:firstLine="0"/>
        <w:jc w:val="left"/>
      </w:pPr>
    </w:p>
    <w:p w14:paraId="2910FB04" w14:textId="77777777" w:rsidR="00D517BF" w:rsidRPr="00A679A5" w:rsidRDefault="00191FF8" w:rsidP="00537496">
      <w:pPr>
        <w:pStyle w:val="BodyText"/>
        <w:ind w:firstLine="0"/>
        <w:jc w:val="left"/>
        <w:rPr>
          <w:lang w:val="en-US"/>
        </w:rPr>
      </w:pPr>
      <w:r>
        <w:t xml:space="preserve"> </w:t>
      </w:r>
    </w:p>
    <w:sectPr w:rsidR="00D517BF" w:rsidRPr="00A679A5"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FF3A" w14:textId="77777777" w:rsidR="00466B2A" w:rsidRDefault="00466B2A">
      <w:r>
        <w:separator/>
      </w:r>
    </w:p>
  </w:endnote>
  <w:endnote w:type="continuationSeparator" w:id="0">
    <w:p w14:paraId="3C25D0EB" w14:textId="77777777" w:rsidR="00466B2A" w:rsidRDefault="0046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E609" w14:textId="77777777" w:rsidR="00AD7F3E" w:rsidRDefault="00AD7F3E">
    <w:pPr>
      <w:pStyle w:val="zyxClassification1"/>
    </w:pPr>
    <w:r>
      <w:fldChar w:fldCharType="begin"/>
    </w:r>
    <w:r>
      <w:instrText xml:space="preserve"> DOCPROPERTY "IaeaClassification"  \* MERGEFORMAT </w:instrText>
    </w:r>
    <w:r>
      <w:fldChar w:fldCharType="end"/>
    </w:r>
  </w:p>
  <w:p w14:paraId="757DBE55" w14:textId="77777777" w:rsidR="00AD7F3E" w:rsidRDefault="00AD7F3E">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89FB" w14:textId="77777777" w:rsidR="00AD7F3E" w:rsidRDefault="00AD7F3E">
    <w:pPr>
      <w:pStyle w:val="zyxClassification1"/>
    </w:pPr>
    <w:r>
      <w:fldChar w:fldCharType="begin"/>
    </w:r>
    <w:r>
      <w:instrText xml:space="preserve"> DOCPROPERTY "IaeaClassification"  \* MERGEFORMAT </w:instrText>
    </w:r>
    <w:r>
      <w:fldChar w:fldCharType="end"/>
    </w:r>
  </w:p>
  <w:p w14:paraId="608F2997" w14:textId="77777777" w:rsidR="00AD7F3E" w:rsidRPr="00037321" w:rsidRDefault="00AD7F3E">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AD7F3E" w14:paraId="07D98B63" w14:textId="77777777">
      <w:trPr>
        <w:cantSplit/>
      </w:trPr>
      <w:tc>
        <w:tcPr>
          <w:tcW w:w="4644" w:type="dxa"/>
        </w:tcPr>
        <w:p w14:paraId="5B3A66EF" w14:textId="77777777" w:rsidR="00AD7F3E" w:rsidRDefault="00AD7F3E">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6A8BBA4F" w14:textId="77777777" w:rsidR="00AD7F3E" w:rsidRDefault="00AD7F3E">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0D776097" w14:textId="77777777" w:rsidR="00AD7F3E" w:rsidRDefault="00AD7F3E">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37C125F2" w14:textId="77777777" w:rsidR="00AD7F3E" w:rsidRDefault="00AD7F3E">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3FC4F99B" w14:textId="77777777" w:rsidR="00AD7F3E" w:rsidRDefault="00AD7F3E">
    <w:r>
      <w:rPr>
        <w:sz w:val="16"/>
      </w:rPr>
      <w:fldChar w:fldCharType="begin"/>
    </w:r>
    <w:r>
      <w:rPr>
        <w:sz w:val="16"/>
      </w:rPr>
      <w:instrText xml:space="preserve"> FILENAME \* MERGEFORMAT </w:instrText>
    </w:r>
    <w:r>
      <w:rPr>
        <w:sz w:val="16"/>
      </w:rPr>
      <w:fldChar w:fldCharType="separate"/>
    </w:r>
    <w:r w:rsidR="0024402E">
      <w:rPr>
        <w:noProof/>
        <w:sz w:val="16"/>
      </w:rPr>
      <w:t>2024-05-29 Conference full paper (Cost to GDP)_v2.docx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4DBB" w14:textId="77777777" w:rsidR="00466B2A" w:rsidRDefault="00466B2A">
      <w:r>
        <w:t>___________________________________________________________________________</w:t>
      </w:r>
    </w:p>
  </w:footnote>
  <w:footnote w:type="continuationSeparator" w:id="0">
    <w:p w14:paraId="3435EA69" w14:textId="77777777" w:rsidR="00466B2A" w:rsidRDefault="00466B2A">
      <w:r>
        <w:t>___________________________________________________________________________</w:t>
      </w:r>
    </w:p>
  </w:footnote>
  <w:footnote w:type="continuationNotice" w:id="1">
    <w:p w14:paraId="12C6E75F" w14:textId="77777777" w:rsidR="00466B2A" w:rsidRDefault="00466B2A"/>
  </w:footnote>
  <w:footnote w:id="2">
    <w:p w14:paraId="78060921" w14:textId="194BF472" w:rsidR="0040175B" w:rsidRPr="009A2AE5" w:rsidRDefault="0040175B" w:rsidP="003C4A10">
      <w:pPr>
        <w:pStyle w:val="FootnoteText"/>
        <w:spacing w:before="0"/>
        <w:ind w:hanging="459"/>
        <w:rPr>
          <w:lang w:val="ru-RU"/>
        </w:rPr>
      </w:pPr>
      <w:r w:rsidRPr="003A0E96">
        <w:rPr>
          <w:rStyle w:val="FootnoteReference"/>
        </w:rPr>
        <w:footnoteRef/>
      </w:r>
      <w:r w:rsidRPr="003A0E96">
        <w:t xml:space="preserve"> </w:t>
      </w:r>
      <w:r w:rsidR="00FF07A7" w:rsidRPr="003A0E96">
        <w:rPr>
          <w:b/>
        </w:rPr>
        <w:t xml:space="preserve">Integration costs </w:t>
      </w:r>
      <w:r w:rsidR="00FF07A7" w:rsidRPr="003A0E96">
        <w:rPr>
          <w:b/>
          <w:lang w:val="en-US"/>
        </w:rPr>
        <w:t>assumptions</w:t>
      </w:r>
      <w:r w:rsidR="00ED0D30" w:rsidRPr="003A0E96">
        <w:rPr>
          <w:b/>
          <w:lang w:val="en-US"/>
        </w:rPr>
        <w:t xml:space="preserve"> </w:t>
      </w:r>
      <w:r w:rsidR="00FF07A7" w:rsidRPr="003A0E96">
        <w:rPr>
          <w:b/>
          <w:lang w:val="en-US"/>
        </w:rPr>
        <w:t>for VRE</w:t>
      </w:r>
      <w:r w:rsidR="00ED0D30" w:rsidRPr="003A0E96">
        <w:rPr>
          <w:lang w:val="en-US"/>
        </w:rPr>
        <w:t>:</w:t>
      </w:r>
      <w:r w:rsidR="00DF1A3A" w:rsidRPr="003A0E96">
        <w:rPr>
          <w:lang w:val="en-US"/>
        </w:rPr>
        <w:t xml:space="preserve"> (a) to </w:t>
      </w:r>
      <w:r w:rsidR="0026555A" w:rsidRPr="003A0E96">
        <w:rPr>
          <w:lang w:val="en-US"/>
        </w:rPr>
        <w:t>estimate the integration costs for VRE (wind and solar) t</w:t>
      </w:r>
      <w:r w:rsidR="00ED0D30" w:rsidRPr="003A0E96">
        <w:rPr>
          <w:lang w:val="en-US"/>
        </w:rPr>
        <w:t xml:space="preserve">he </w:t>
      </w:r>
      <w:proofErr w:type="spellStart"/>
      <w:r w:rsidR="00ED0D30" w:rsidRPr="003A0E96">
        <w:rPr>
          <w:lang w:val="en-US"/>
        </w:rPr>
        <w:t>SystemLCOE</w:t>
      </w:r>
      <w:proofErr w:type="spellEnd"/>
      <w:r w:rsidR="00ED0D30" w:rsidRPr="003A0E96">
        <w:rPr>
          <w:lang w:val="en-US"/>
        </w:rPr>
        <w:t xml:space="preserve"> methodology </w:t>
      </w:r>
      <w:r w:rsidR="003C4A10" w:rsidRPr="003A0E96">
        <w:rPr>
          <w:lang w:val="en-US"/>
        </w:rPr>
        <w:t xml:space="preserve">is used as </w:t>
      </w:r>
      <w:r w:rsidR="0026555A" w:rsidRPr="003A0E96">
        <w:rPr>
          <w:lang w:val="en-US"/>
        </w:rPr>
        <w:t xml:space="preserve">described in the study by </w:t>
      </w:r>
      <w:proofErr w:type="spellStart"/>
      <w:r w:rsidR="0026555A" w:rsidRPr="003A0E96">
        <w:rPr>
          <w:lang w:val="en-US"/>
        </w:rPr>
        <w:t>Ueckerdt</w:t>
      </w:r>
      <w:proofErr w:type="spellEnd"/>
      <w:r w:rsidR="0026555A" w:rsidRPr="003A0E96">
        <w:rPr>
          <w:lang w:val="en-US"/>
        </w:rPr>
        <w:t xml:space="preserve"> and </w:t>
      </w:r>
      <w:proofErr w:type="spellStart"/>
      <w:r w:rsidR="0026555A" w:rsidRPr="003A0E96">
        <w:rPr>
          <w:lang w:val="en-US"/>
        </w:rPr>
        <w:t>Hirth</w:t>
      </w:r>
      <w:proofErr w:type="spellEnd"/>
      <w:r w:rsidR="0026555A" w:rsidRPr="003A0E96">
        <w:rPr>
          <w:lang w:val="en-US"/>
        </w:rPr>
        <w:t xml:space="preserve"> [14]</w:t>
      </w:r>
      <w:r w:rsidR="003A0E96" w:rsidRPr="003A0E96">
        <w:rPr>
          <w:lang w:val="en-US"/>
        </w:rPr>
        <w:t>;</w:t>
      </w:r>
      <w:r w:rsidR="0026555A" w:rsidRPr="003A0E96">
        <w:rPr>
          <w:lang w:val="en-US"/>
        </w:rPr>
        <w:t xml:space="preserve"> (b)</w:t>
      </w:r>
      <w:r w:rsidR="003A0E96" w:rsidRPr="003A0E96">
        <w:rPr>
          <w:lang w:val="en-US"/>
        </w:rPr>
        <w:t xml:space="preserve"> </w:t>
      </w:r>
      <w:r w:rsidR="003C4A10" w:rsidRPr="003A0E96">
        <w:rPr>
          <w:lang w:val="en-US"/>
        </w:rPr>
        <w:t>generally</w:t>
      </w:r>
      <w:r w:rsidR="0026555A" w:rsidRPr="003A0E96">
        <w:rPr>
          <w:lang w:val="en-US"/>
        </w:rPr>
        <w:t xml:space="preserve"> the integration costs differ significantly from power system to power system depending on </w:t>
      </w:r>
      <w:r w:rsidR="003C4A10" w:rsidRPr="003A0E96">
        <w:rPr>
          <w:lang w:val="en-US"/>
        </w:rPr>
        <w:t xml:space="preserve">VRE technology, climatic conditions, </w:t>
      </w:r>
      <w:r w:rsidR="0026555A" w:rsidRPr="003A0E96">
        <w:rPr>
          <w:lang w:val="en-US"/>
        </w:rPr>
        <w:t>energy mix baseline, level of VRE penetration</w:t>
      </w:r>
      <w:r w:rsidR="003C4A10" w:rsidRPr="003A0E96">
        <w:rPr>
          <w:lang w:val="en-US"/>
        </w:rPr>
        <w:t>,</w:t>
      </w:r>
      <w:r w:rsidR="0026555A" w:rsidRPr="003A0E96">
        <w:rPr>
          <w:lang w:val="en-US"/>
        </w:rPr>
        <w:t xml:space="preserve"> electricity demand dynamic, geospatial distribution on VRE and other factors and tend to increase non-linearly upon increase of VRE penetration</w:t>
      </w:r>
      <w:r w:rsidR="003A0E96" w:rsidRPr="003A0E96">
        <w:rPr>
          <w:lang w:val="en-US"/>
        </w:rPr>
        <w:t>;</w:t>
      </w:r>
      <w:r w:rsidR="0026555A" w:rsidRPr="003A0E96">
        <w:rPr>
          <w:lang w:val="en-US"/>
        </w:rPr>
        <w:t xml:space="preserve"> (c) the quantitative estimates by </w:t>
      </w:r>
      <w:proofErr w:type="spellStart"/>
      <w:r w:rsidR="0026555A" w:rsidRPr="003A0E96">
        <w:rPr>
          <w:lang w:val="en-US"/>
        </w:rPr>
        <w:t>Ueckerdt</w:t>
      </w:r>
      <w:proofErr w:type="spellEnd"/>
      <w:r w:rsidR="0026555A" w:rsidRPr="003A0E96">
        <w:rPr>
          <w:lang w:val="en-US"/>
        </w:rPr>
        <w:t xml:space="preserve"> and </w:t>
      </w:r>
      <w:proofErr w:type="spellStart"/>
      <w:r w:rsidR="0026555A" w:rsidRPr="003A0E96">
        <w:rPr>
          <w:lang w:val="en-US"/>
        </w:rPr>
        <w:t>Hirth</w:t>
      </w:r>
      <w:proofErr w:type="spellEnd"/>
      <w:r w:rsidR="0026555A" w:rsidRPr="003A0E96">
        <w:rPr>
          <w:lang w:val="en-US"/>
        </w:rPr>
        <w:t xml:space="preserve"> [14] for Germany and Kept for Russia </w:t>
      </w:r>
      <w:r w:rsidR="003A0E96" w:rsidRPr="003A0E96">
        <w:rPr>
          <w:lang w:val="en-US"/>
        </w:rPr>
        <w:t xml:space="preserve">[18] </w:t>
      </w:r>
      <w:r w:rsidR="0026555A" w:rsidRPr="003A0E96">
        <w:rPr>
          <w:lang w:val="en-US"/>
        </w:rPr>
        <w:t xml:space="preserve">shows that for </w:t>
      </w:r>
      <w:r w:rsidR="003C4A10" w:rsidRPr="003A0E96">
        <w:rPr>
          <w:lang w:val="en-US"/>
        </w:rPr>
        <w:t xml:space="preserve">high </w:t>
      </w:r>
      <w:r w:rsidR="0026555A" w:rsidRPr="003A0E96">
        <w:rPr>
          <w:lang w:val="en-US"/>
        </w:rPr>
        <w:t>VRE penetration level</w:t>
      </w:r>
      <w:r w:rsidR="003C4A10" w:rsidRPr="003A0E96">
        <w:rPr>
          <w:lang w:val="en-US"/>
        </w:rPr>
        <w:t xml:space="preserve">s </w:t>
      </w:r>
      <w:r w:rsidR="003A0E96" w:rsidRPr="003A0E96">
        <w:rPr>
          <w:lang w:val="en-US"/>
        </w:rPr>
        <w:t>from</w:t>
      </w:r>
      <w:r w:rsidR="0026555A" w:rsidRPr="003A0E96">
        <w:rPr>
          <w:lang w:val="en-US"/>
        </w:rPr>
        <w:t xml:space="preserve"> 30% to 70% the </w:t>
      </w:r>
      <w:proofErr w:type="spellStart"/>
      <w:r w:rsidR="0026555A" w:rsidRPr="003A0E96">
        <w:rPr>
          <w:lang w:val="en-US"/>
        </w:rPr>
        <w:t>SystemLCOE</w:t>
      </w:r>
      <w:proofErr w:type="spellEnd"/>
      <w:r w:rsidR="0026555A" w:rsidRPr="003A0E96">
        <w:rPr>
          <w:lang w:val="en-US"/>
        </w:rPr>
        <w:t xml:space="preserve"> may reach x1.25-</w:t>
      </w:r>
      <w:r w:rsidR="003C4A10" w:rsidRPr="003A0E96">
        <w:rPr>
          <w:lang w:val="en-US"/>
        </w:rPr>
        <w:t>3</w:t>
      </w:r>
      <w:r w:rsidR="0026555A" w:rsidRPr="003A0E96">
        <w:rPr>
          <w:lang w:val="en-US"/>
        </w:rPr>
        <w:t xml:space="preserve">.0 to LCOE. </w:t>
      </w:r>
      <w:r w:rsidR="003C4A10" w:rsidRPr="003A0E96">
        <w:rPr>
          <w:lang w:val="en-US"/>
        </w:rPr>
        <w:t>Moreover,</w:t>
      </w:r>
      <w:r w:rsidR="0026555A" w:rsidRPr="003A0E96">
        <w:rPr>
          <w:lang w:val="en-US"/>
        </w:rPr>
        <w:t xml:space="preserve"> </w:t>
      </w:r>
      <w:proofErr w:type="spellStart"/>
      <w:r w:rsidR="0026555A" w:rsidRPr="003A0E96">
        <w:rPr>
          <w:lang w:val="en-US"/>
        </w:rPr>
        <w:t>SystemLCOE</w:t>
      </w:r>
      <w:proofErr w:type="spellEnd"/>
      <w:r w:rsidR="0026555A" w:rsidRPr="003A0E96">
        <w:rPr>
          <w:lang w:val="en-US"/>
        </w:rPr>
        <w:t xml:space="preserve"> </w:t>
      </w:r>
      <w:r w:rsidR="003A0E96" w:rsidRPr="003A0E96">
        <w:rPr>
          <w:lang w:val="en-US"/>
        </w:rPr>
        <w:t>is</w:t>
      </w:r>
      <w:r w:rsidR="003C4A10" w:rsidRPr="003A0E96">
        <w:rPr>
          <w:lang w:val="en-US"/>
        </w:rPr>
        <w:t xml:space="preserve"> higher for</w:t>
      </w:r>
      <w:r w:rsidR="0026555A" w:rsidRPr="003A0E96">
        <w:rPr>
          <w:lang w:val="en-US"/>
        </w:rPr>
        <w:t xml:space="preserve"> emerging markets: in power systems with low basis of energy consumption and high demand growth rate, the cost of integration increases significantly, as it includes the cost of building new generation required due to the low development base and lack of generating capacity</w:t>
      </w:r>
      <w:r w:rsidR="003A0E96" w:rsidRPr="003A0E96">
        <w:rPr>
          <w:lang w:val="en-US"/>
        </w:rPr>
        <w:t>;</w:t>
      </w:r>
      <w:r w:rsidR="003C4A10" w:rsidRPr="003A0E96">
        <w:rPr>
          <w:lang w:val="en-US"/>
        </w:rPr>
        <w:t xml:space="preserve"> (d) </w:t>
      </w:r>
      <w:r w:rsidR="003A0E96" w:rsidRPr="003A0E96">
        <w:rPr>
          <w:lang w:val="en-US"/>
        </w:rPr>
        <w:t>i</w:t>
      </w:r>
      <w:r w:rsidR="003C4A10" w:rsidRPr="003A0E96">
        <w:rPr>
          <w:lang w:val="en-US"/>
        </w:rPr>
        <w:t xml:space="preserve">n this paper, for simplicity reasons, </w:t>
      </w:r>
      <w:proofErr w:type="gramStart"/>
      <w:r w:rsidR="003C4A10" w:rsidRPr="003A0E96">
        <w:rPr>
          <w:lang w:val="en-US"/>
        </w:rPr>
        <w:t>a</w:t>
      </w:r>
      <w:r w:rsidR="003A0E96" w:rsidRPr="003A0E96">
        <w:rPr>
          <w:lang w:val="en-US"/>
        </w:rPr>
        <w:t>n</w:t>
      </w:r>
      <w:proofErr w:type="gramEnd"/>
      <w:r w:rsidR="003C4A10" w:rsidRPr="003A0E96">
        <w:rPr>
          <w:lang w:val="en-US"/>
        </w:rPr>
        <w:t xml:space="preserve"> 1:1 ratio of generation cost to integration cost is used to visualize the concept. Detailed considerations for </w:t>
      </w:r>
      <w:proofErr w:type="spellStart"/>
      <w:r w:rsidR="003C4A10" w:rsidRPr="003A0E96">
        <w:rPr>
          <w:lang w:val="en-US"/>
        </w:rPr>
        <w:t>SystemLCOE</w:t>
      </w:r>
      <w:proofErr w:type="spellEnd"/>
      <w:r w:rsidR="003C4A10" w:rsidRPr="003A0E96">
        <w:rPr>
          <w:lang w:val="en-US"/>
        </w:rPr>
        <w:t xml:space="preserve"> are required to provide site specific estimates (outside of this work)</w:t>
      </w:r>
      <w:r w:rsidR="003A0E96" w:rsidRPr="003A0E96">
        <w:rPr>
          <w:lang w:val="en-US"/>
        </w:rPr>
        <w:t>.</w:t>
      </w:r>
      <w:r w:rsidR="003C4A10" w:rsidRPr="003A0E96">
        <w:rPr>
          <w: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22EE" w14:textId="77777777" w:rsidR="00AD7F3E" w:rsidRDefault="00AD7F3E" w:rsidP="00CF7AF3">
    <w:pPr>
      <w:pStyle w:val="Runninghead"/>
    </w:pPr>
    <w:r>
      <w:tab/>
    </w:r>
    <w:r w:rsidRPr="003042E8">
      <w:t>IAEA-CN-327/122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24E1" w14:textId="77777777" w:rsidR="00AD7F3E" w:rsidRDefault="00AD7F3E" w:rsidP="00B82FA5">
    <w:pPr>
      <w:pStyle w:val="Runninghead"/>
    </w:pPr>
    <w:r w:rsidRPr="003042E8">
      <w:t>ROZHENKO and KARLE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AD7F3E" w14:paraId="2F0E6F0A" w14:textId="77777777">
      <w:trPr>
        <w:cantSplit/>
        <w:trHeight w:val="716"/>
      </w:trPr>
      <w:tc>
        <w:tcPr>
          <w:tcW w:w="979" w:type="dxa"/>
          <w:vMerge w:val="restart"/>
        </w:tcPr>
        <w:p w14:paraId="546B5A7B" w14:textId="77777777" w:rsidR="00AD7F3E" w:rsidRDefault="00AD7F3E">
          <w:pPr>
            <w:spacing w:before="180"/>
            <w:ind w:left="17"/>
          </w:pPr>
        </w:p>
      </w:tc>
      <w:tc>
        <w:tcPr>
          <w:tcW w:w="3638" w:type="dxa"/>
          <w:vAlign w:val="bottom"/>
        </w:tcPr>
        <w:p w14:paraId="357B05EA" w14:textId="77777777" w:rsidR="00AD7F3E" w:rsidRDefault="00AD7F3E">
          <w:pPr>
            <w:spacing w:after="20"/>
          </w:pPr>
        </w:p>
      </w:tc>
      <w:bookmarkStart w:id="2" w:name="DOC_bkmClassification1"/>
      <w:tc>
        <w:tcPr>
          <w:tcW w:w="5702" w:type="dxa"/>
          <w:vMerge w:val="restart"/>
          <w:tcMar>
            <w:right w:w="193" w:type="dxa"/>
          </w:tcMar>
        </w:tcPr>
        <w:p w14:paraId="4B9EA4B2" w14:textId="77777777" w:rsidR="00AD7F3E" w:rsidRDefault="00AD7F3E">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0210D78" w14:textId="77777777" w:rsidR="00AD7F3E" w:rsidRDefault="00AD7F3E">
          <w:pPr>
            <w:pStyle w:val="zyxConfid2Red"/>
          </w:pPr>
          <w:r>
            <w:fldChar w:fldCharType="begin"/>
          </w:r>
          <w:r>
            <w:instrText>DOCPROPERTY "IaeaClassification2"  \* MERGEFORMAT</w:instrText>
          </w:r>
          <w:r>
            <w:fldChar w:fldCharType="end"/>
          </w:r>
        </w:p>
      </w:tc>
    </w:tr>
    <w:tr w:rsidR="00AD7F3E" w14:paraId="7AA4C0C8" w14:textId="77777777">
      <w:trPr>
        <w:cantSplit/>
        <w:trHeight w:val="167"/>
      </w:trPr>
      <w:tc>
        <w:tcPr>
          <w:tcW w:w="979" w:type="dxa"/>
          <w:vMerge/>
        </w:tcPr>
        <w:p w14:paraId="57C6A02F" w14:textId="77777777" w:rsidR="00AD7F3E" w:rsidRDefault="00AD7F3E">
          <w:pPr>
            <w:spacing w:before="57"/>
          </w:pPr>
        </w:p>
      </w:tc>
      <w:tc>
        <w:tcPr>
          <w:tcW w:w="3638" w:type="dxa"/>
          <w:vAlign w:val="bottom"/>
        </w:tcPr>
        <w:p w14:paraId="79FC04D6" w14:textId="77777777" w:rsidR="00AD7F3E" w:rsidRDefault="00AD7F3E">
          <w:pPr>
            <w:pStyle w:val="Heading9"/>
            <w:spacing w:before="0" w:after="10"/>
          </w:pPr>
        </w:p>
      </w:tc>
      <w:tc>
        <w:tcPr>
          <w:tcW w:w="5702" w:type="dxa"/>
          <w:vMerge/>
          <w:vAlign w:val="bottom"/>
        </w:tcPr>
        <w:p w14:paraId="545276CF" w14:textId="77777777" w:rsidR="00AD7F3E" w:rsidRDefault="00AD7F3E">
          <w:pPr>
            <w:pStyle w:val="Heading9"/>
            <w:spacing w:before="0" w:after="10"/>
          </w:pPr>
        </w:p>
      </w:tc>
    </w:tr>
  </w:tbl>
  <w:p w14:paraId="1D84B3D7" w14:textId="77777777" w:rsidR="00AD7F3E" w:rsidRDefault="00AD7F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33C5E"/>
    <w:multiLevelType w:val="hybridMultilevel"/>
    <w:tmpl w:val="2A8C95D8"/>
    <w:lvl w:ilvl="0" w:tplc="5574C19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3687"/>
    <w:multiLevelType w:val="hybridMultilevel"/>
    <w:tmpl w:val="86E6D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B9E0230"/>
    <w:multiLevelType w:val="hybridMultilevel"/>
    <w:tmpl w:val="511C1F56"/>
    <w:lvl w:ilvl="0" w:tplc="5574C198">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0" w15:restartNumberingAfterBreak="0">
    <w:nsid w:val="5E1D4D45"/>
    <w:multiLevelType w:val="hybridMultilevel"/>
    <w:tmpl w:val="457879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658747D3"/>
    <w:multiLevelType w:val="hybridMultilevel"/>
    <w:tmpl w:val="EE48FBBA"/>
    <w:lvl w:ilvl="0" w:tplc="5574C19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64B0750"/>
    <w:multiLevelType w:val="hybridMultilevel"/>
    <w:tmpl w:val="7F50C6A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8"/>
  </w:num>
  <w:num w:numId="2">
    <w:abstractNumId w:val="3"/>
  </w:num>
  <w:num w:numId="3">
    <w:abstractNumId w:val="5"/>
  </w:num>
  <w:num w:numId="4">
    <w:abstractNumId w:val="0"/>
  </w:num>
  <w:num w:numId="5">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3"/>
  </w:num>
  <w:num w:numId="7">
    <w:abstractNumId w:val="1"/>
  </w:num>
  <w:num w:numId="8">
    <w:abstractNumId w:val="2"/>
  </w:num>
  <w:num w:numId="9">
    <w:abstractNumId w:val="6"/>
  </w:num>
  <w:num w:numId="10">
    <w:abstractNumId w:val="9"/>
  </w:num>
  <w:num w:numId="11">
    <w:abstractNumId w:val="7"/>
  </w:num>
  <w:num w:numId="12">
    <w:abstractNumId w:val="4"/>
  </w:num>
  <w:num w:numId="13">
    <w:abstractNumId w:val="11"/>
  </w:num>
  <w:num w:numId="14">
    <w:abstractNumId w:val="1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C91"/>
    <w:rsid w:val="00011644"/>
    <w:rsid w:val="00022545"/>
    <w:rsid w:val="000229AB"/>
    <w:rsid w:val="0002569A"/>
    <w:rsid w:val="00031556"/>
    <w:rsid w:val="00032052"/>
    <w:rsid w:val="000342BF"/>
    <w:rsid w:val="00034456"/>
    <w:rsid w:val="00036476"/>
    <w:rsid w:val="00037321"/>
    <w:rsid w:val="00041B14"/>
    <w:rsid w:val="00041BE0"/>
    <w:rsid w:val="000463E7"/>
    <w:rsid w:val="00046F02"/>
    <w:rsid w:val="00053444"/>
    <w:rsid w:val="0006127D"/>
    <w:rsid w:val="000646C7"/>
    <w:rsid w:val="00075A32"/>
    <w:rsid w:val="00075FF7"/>
    <w:rsid w:val="00076436"/>
    <w:rsid w:val="000776D1"/>
    <w:rsid w:val="00077995"/>
    <w:rsid w:val="00081226"/>
    <w:rsid w:val="00094472"/>
    <w:rsid w:val="000A0299"/>
    <w:rsid w:val="000A269E"/>
    <w:rsid w:val="000A5849"/>
    <w:rsid w:val="000C4C12"/>
    <w:rsid w:val="000C6F25"/>
    <w:rsid w:val="000D2286"/>
    <w:rsid w:val="000E2885"/>
    <w:rsid w:val="000E3A90"/>
    <w:rsid w:val="000F57F5"/>
    <w:rsid w:val="000F7E94"/>
    <w:rsid w:val="001011E8"/>
    <w:rsid w:val="00105DA0"/>
    <w:rsid w:val="001119D6"/>
    <w:rsid w:val="00115AFC"/>
    <w:rsid w:val="00117596"/>
    <w:rsid w:val="00117AE2"/>
    <w:rsid w:val="00125195"/>
    <w:rsid w:val="001308F2"/>
    <w:rsid w:val="001313E8"/>
    <w:rsid w:val="00133EC9"/>
    <w:rsid w:val="00147FC8"/>
    <w:rsid w:val="00152319"/>
    <w:rsid w:val="001632FD"/>
    <w:rsid w:val="00164844"/>
    <w:rsid w:val="00175D72"/>
    <w:rsid w:val="0018695B"/>
    <w:rsid w:val="00191FF8"/>
    <w:rsid w:val="001929E9"/>
    <w:rsid w:val="0019481E"/>
    <w:rsid w:val="001A60C2"/>
    <w:rsid w:val="001C3CBB"/>
    <w:rsid w:val="001C58F5"/>
    <w:rsid w:val="001D5CEE"/>
    <w:rsid w:val="001E100B"/>
    <w:rsid w:val="001E7709"/>
    <w:rsid w:val="001F397D"/>
    <w:rsid w:val="001F6214"/>
    <w:rsid w:val="00200C1E"/>
    <w:rsid w:val="002071D9"/>
    <w:rsid w:val="0021013A"/>
    <w:rsid w:val="00210893"/>
    <w:rsid w:val="0023348C"/>
    <w:rsid w:val="00243A53"/>
    <w:rsid w:val="0024402E"/>
    <w:rsid w:val="00256822"/>
    <w:rsid w:val="00257400"/>
    <w:rsid w:val="00260475"/>
    <w:rsid w:val="002644B0"/>
    <w:rsid w:val="0026525A"/>
    <w:rsid w:val="0026555A"/>
    <w:rsid w:val="00266879"/>
    <w:rsid w:val="00271266"/>
    <w:rsid w:val="00274790"/>
    <w:rsid w:val="00285755"/>
    <w:rsid w:val="00285C8C"/>
    <w:rsid w:val="00297D70"/>
    <w:rsid w:val="002A1215"/>
    <w:rsid w:val="002A1F9C"/>
    <w:rsid w:val="002B29C2"/>
    <w:rsid w:val="002C1C51"/>
    <w:rsid w:val="002C4208"/>
    <w:rsid w:val="002E1FAC"/>
    <w:rsid w:val="002E2074"/>
    <w:rsid w:val="003042E8"/>
    <w:rsid w:val="003055D8"/>
    <w:rsid w:val="00313475"/>
    <w:rsid w:val="003276DB"/>
    <w:rsid w:val="00346225"/>
    <w:rsid w:val="00352DE1"/>
    <w:rsid w:val="00353880"/>
    <w:rsid w:val="003728E6"/>
    <w:rsid w:val="003748A0"/>
    <w:rsid w:val="003757A1"/>
    <w:rsid w:val="00392071"/>
    <w:rsid w:val="0039400B"/>
    <w:rsid w:val="003A0E96"/>
    <w:rsid w:val="003A1DD4"/>
    <w:rsid w:val="003A574D"/>
    <w:rsid w:val="003B10B4"/>
    <w:rsid w:val="003B4906"/>
    <w:rsid w:val="003B5702"/>
    <w:rsid w:val="003B5E0E"/>
    <w:rsid w:val="003C0D36"/>
    <w:rsid w:val="003C18DB"/>
    <w:rsid w:val="003C1EAC"/>
    <w:rsid w:val="003C4A10"/>
    <w:rsid w:val="003C51CC"/>
    <w:rsid w:val="003D255A"/>
    <w:rsid w:val="003D6408"/>
    <w:rsid w:val="003F2EDD"/>
    <w:rsid w:val="0040175B"/>
    <w:rsid w:val="004101AC"/>
    <w:rsid w:val="00416949"/>
    <w:rsid w:val="00424D6B"/>
    <w:rsid w:val="00426C49"/>
    <w:rsid w:val="00430609"/>
    <w:rsid w:val="004334DF"/>
    <w:rsid w:val="004370D8"/>
    <w:rsid w:val="00442290"/>
    <w:rsid w:val="004422FB"/>
    <w:rsid w:val="00450E42"/>
    <w:rsid w:val="00452E64"/>
    <w:rsid w:val="00454F48"/>
    <w:rsid w:val="00455ADE"/>
    <w:rsid w:val="004572B0"/>
    <w:rsid w:val="00466B2A"/>
    <w:rsid w:val="00472C43"/>
    <w:rsid w:val="00476B03"/>
    <w:rsid w:val="00477F70"/>
    <w:rsid w:val="004907CD"/>
    <w:rsid w:val="00493A2C"/>
    <w:rsid w:val="00493EEC"/>
    <w:rsid w:val="00494E4D"/>
    <w:rsid w:val="00495AA4"/>
    <w:rsid w:val="004965B5"/>
    <w:rsid w:val="004A087B"/>
    <w:rsid w:val="004A6864"/>
    <w:rsid w:val="004B418F"/>
    <w:rsid w:val="004C48CB"/>
    <w:rsid w:val="004E0EAE"/>
    <w:rsid w:val="004F7B6A"/>
    <w:rsid w:val="0050608A"/>
    <w:rsid w:val="005112DE"/>
    <w:rsid w:val="00514B97"/>
    <w:rsid w:val="0052300A"/>
    <w:rsid w:val="0052489F"/>
    <w:rsid w:val="00525CA6"/>
    <w:rsid w:val="00537496"/>
    <w:rsid w:val="00544ED3"/>
    <w:rsid w:val="00545D35"/>
    <w:rsid w:val="005519D5"/>
    <w:rsid w:val="005609A3"/>
    <w:rsid w:val="00560F62"/>
    <w:rsid w:val="0057323C"/>
    <w:rsid w:val="0058477B"/>
    <w:rsid w:val="005852AF"/>
    <w:rsid w:val="00586382"/>
    <w:rsid w:val="0058654F"/>
    <w:rsid w:val="0059517E"/>
    <w:rsid w:val="00596ACA"/>
    <w:rsid w:val="005A4F0A"/>
    <w:rsid w:val="005A5A72"/>
    <w:rsid w:val="005B4859"/>
    <w:rsid w:val="005B662B"/>
    <w:rsid w:val="005C3F9C"/>
    <w:rsid w:val="005C6449"/>
    <w:rsid w:val="005D1B22"/>
    <w:rsid w:val="005D2E9B"/>
    <w:rsid w:val="005D7643"/>
    <w:rsid w:val="005E352E"/>
    <w:rsid w:val="005E39BC"/>
    <w:rsid w:val="005F00A0"/>
    <w:rsid w:val="005F62D7"/>
    <w:rsid w:val="005F7D9F"/>
    <w:rsid w:val="00604595"/>
    <w:rsid w:val="00607340"/>
    <w:rsid w:val="00613B6C"/>
    <w:rsid w:val="00616F39"/>
    <w:rsid w:val="00626E9D"/>
    <w:rsid w:val="00626FAE"/>
    <w:rsid w:val="0063714B"/>
    <w:rsid w:val="00641613"/>
    <w:rsid w:val="00647F33"/>
    <w:rsid w:val="00654C7A"/>
    <w:rsid w:val="00656F42"/>
    <w:rsid w:val="00657C55"/>
    <w:rsid w:val="00661D95"/>
    <w:rsid w:val="00662532"/>
    <w:rsid w:val="0066259D"/>
    <w:rsid w:val="006653EB"/>
    <w:rsid w:val="00667726"/>
    <w:rsid w:val="006812F4"/>
    <w:rsid w:val="00686966"/>
    <w:rsid w:val="00687770"/>
    <w:rsid w:val="00694F21"/>
    <w:rsid w:val="006A398A"/>
    <w:rsid w:val="006A50C6"/>
    <w:rsid w:val="006B2274"/>
    <w:rsid w:val="006B3018"/>
    <w:rsid w:val="006B74FD"/>
    <w:rsid w:val="006C1A07"/>
    <w:rsid w:val="006C276E"/>
    <w:rsid w:val="006C37ED"/>
    <w:rsid w:val="006C46EC"/>
    <w:rsid w:val="006C46F9"/>
    <w:rsid w:val="006C62B6"/>
    <w:rsid w:val="006D3A3E"/>
    <w:rsid w:val="006D6378"/>
    <w:rsid w:val="006D711B"/>
    <w:rsid w:val="006D7390"/>
    <w:rsid w:val="006D7CA1"/>
    <w:rsid w:val="006E119B"/>
    <w:rsid w:val="006F6989"/>
    <w:rsid w:val="0070019E"/>
    <w:rsid w:val="00717C6F"/>
    <w:rsid w:val="00727C01"/>
    <w:rsid w:val="00731551"/>
    <w:rsid w:val="007376D1"/>
    <w:rsid w:val="00743A9B"/>
    <w:rsid w:val="007445DA"/>
    <w:rsid w:val="00745B69"/>
    <w:rsid w:val="00754204"/>
    <w:rsid w:val="00771862"/>
    <w:rsid w:val="00780433"/>
    <w:rsid w:val="00786FF5"/>
    <w:rsid w:val="00795448"/>
    <w:rsid w:val="007A0656"/>
    <w:rsid w:val="007B2967"/>
    <w:rsid w:val="007B4FD1"/>
    <w:rsid w:val="007B6D04"/>
    <w:rsid w:val="007C6828"/>
    <w:rsid w:val="007C755F"/>
    <w:rsid w:val="007E0E7E"/>
    <w:rsid w:val="007E682D"/>
    <w:rsid w:val="007F7038"/>
    <w:rsid w:val="00802381"/>
    <w:rsid w:val="00804163"/>
    <w:rsid w:val="00817F79"/>
    <w:rsid w:val="00820167"/>
    <w:rsid w:val="00820D89"/>
    <w:rsid w:val="00822131"/>
    <w:rsid w:val="00822F72"/>
    <w:rsid w:val="008250FF"/>
    <w:rsid w:val="00851DEB"/>
    <w:rsid w:val="00857B4D"/>
    <w:rsid w:val="00870F63"/>
    <w:rsid w:val="00871DD9"/>
    <w:rsid w:val="008756B4"/>
    <w:rsid w:val="00877756"/>
    <w:rsid w:val="00883848"/>
    <w:rsid w:val="00883E02"/>
    <w:rsid w:val="00891CCA"/>
    <w:rsid w:val="00897ED5"/>
    <w:rsid w:val="008A6506"/>
    <w:rsid w:val="008B3F35"/>
    <w:rsid w:val="008B649B"/>
    <w:rsid w:val="008B6BB9"/>
    <w:rsid w:val="008C0B9F"/>
    <w:rsid w:val="008C0CA2"/>
    <w:rsid w:val="008D31DC"/>
    <w:rsid w:val="00901CCF"/>
    <w:rsid w:val="009023A1"/>
    <w:rsid w:val="00902C6B"/>
    <w:rsid w:val="00911543"/>
    <w:rsid w:val="00914C8E"/>
    <w:rsid w:val="0091694D"/>
    <w:rsid w:val="00931B5F"/>
    <w:rsid w:val="009330AD"/>
    <w:rsid w:val="00940C7F"/>
    <w:rsid w:val="009433BE"/>
    <w:rsid w:val="00943B28"/>
    <w:rsid w:val="00947B02"/>
    <w:rsid w:val="009519C9"/>
    <w:rsid w:val="00951FE8"/>
    <w:rsid w:val="00952FEE"/>
    <w:rsid w:val="00962EFD"/>
    <w:rsid w:val="00966C56"/>
    <w:rsid w:val="00973EF0"/>
    <w:rsid w:val="0098488C"/>
    <w:rsid w:val="009A112C"/>
    <w:rsid w:val="009A2AE5"/>
    <w:rsid w:val="009A6910"/>
    <w:rsid w:val="009D0B66"/>
    <w:rsid w:val="009D0B86"/>
    <w:rsid w:val="009E0A2D"/>
    <w:rsid w:val="009E0D5B"/>
    <w:rsid w:val="009E1558"/>
    <w:rsid w:val="009E19BC"/>
    <w:rsid w:val="009E4912"/>
    <w:rsid w:val="009F5633"/>
    <w:rsid w:val="009F5D5B"/>
    <w:rsid w:val="009F6BE8"/>
    <w:rsid w:val="00A0724E"/>
    <w:rsid w:val="00A173DA"/>
    <w:rsid w:val="00A278D5"/>
    <w:rsid w:val="00A30579"/>
    <w:rsid w:val="00A36E58"/>
    <w:rsid w:val="00A41394"/>
    <w:rsid w:val="00A41422"/>
    <w:rsid w:val="00A42898"/>
    <w:rsid w:val="00A56B01"/>
    <w:rsid w:val="00A658D7"/>
    <w:rsid w:val="00A679A5"/>
    <w:rsid w:val="00A76322"/>
    <w:rsid w:val="00A8452E"/>
    <w:rsid w:val="00A960D6"/>
    <w:rsid w:val="00AA37F6"/>
    <w:rsid w:val="00AA3AC3"/>
    <w:rsid w:val="00AA5C15"/>
    <w:rsid w:val="00AA6570"/>
    <w:rsid w:val="00AB5B75"/>
    <w:rsid w:val="00AB6ACE"/>
    <w:rsid w:val="00AC4B91"/>
    <w:rsid w:val="00AC5A3A"/>
    <w:rsid w:val="00AD1997"/>
    <w:rsid w:val="00AD2FD6"/>
    <w:rsid w:val="00AD4053"/>
    <w:rsid w:val="00AD5FAF"/>
    <w:rsid w:val="00AD7BAD"/>
    <w:rsid w:val="00AD7F3E"/>
    <w:rsid w:val="00AF46FA"/>
    <w:rsid w:val="00AF7B6D"/>
    <w:rsid w:val="00B02D40"/>
    <w:rsid w:val="00B10B7B"/>
    <w:rsid w:val="00B12C40"/>
    <w:rsid w:val="00B14FED"/>
    <w:rsid w:val="00B17B48"/>
    <w:rsid w:val="00B209A4"/>
    <w:rsid w:val="00B24541"/>
    <w:rsid w:val="00B24AB9"/>
    <w:rsid w:val="00B25B93"/>
    <w:rsid w:val="00B35E7E"/>
    <w:rsid w:val="00B422E3"/>
    <w:rsid w:val="00B43F4D"/>
    <w:rsid w:val="00B53DF6"/>
    <w:rsid w:val="00B62DA8"/>
    <w:rsid w:val="00B65F2B"/>
    <w:rsid w:val="00B82FA5"/>
    <w:rsid w:val="00B94387"/>
    <w:rsid w:val="00B95D0A"/>
    <w:rsid w:val="00BA0431"/>
    <w:rsid w:val="00BA2287"/>
    <w:rsid w:val="00BB45A4"/>
    <w:rsid w:val="00BB6A1D"/>
    <w:rsid w:val="00BC162F"/>
    <w:rsid w:val="00BC2C71"/>
    <w:rsid w:val="00BC4832"/>
    <w:rsid w:val="00BC62C4"/>
    <w:rsid w:val="00BD0AB8"/>
    <w:rsid w:val="00BD1400"/>
    <w:rsid w:val="00BD36D2"/>
    <w:rsid w:val="00BD5BF1"/>
    <w:rsid w:val="00BD605C"/>
    <w:rsid w:val="00BE2A76"/>
    <w:rsid w:val="00BE56CE"/>
    <w:rsid w:val="00BF7579"/>
    <w:rsid w:val="00C03879"/>
    <w:rsid w:val="00C1122E"/>
    <w:rsid w:val="00C24E01"/>
    <w:rsid w:val="00C43C6F"/>
    <w:rsid w:val="00C45216"/>
    <w:rsid w:val="00C4714D"/>
    <w:rsid w:val="00C50796"/>
    <w:rsid w:val="00C55241"/>
    <w:rsid w:val="00C62BF5"/>
    <w:rsid w:val="00C63DAF"/>
    <w:rsid w:val="00C65E60"/>
    <w:rsid w:val="00C7586A"/>
    <w:rsid w:val="00C76259"/>
    <w:rsid w:val="00C861A5"/>
    <w:rsid w:val="00C866B7"/>
    <w:rsid w:val="00C91A32"/>
    <w:rsid w:val="00C930F4"/>
    <w:rsid w:val="00C946E5"/>
    <w:rsid w:val="00C947F7"/>
    <w:rsid w:val="00C9686B"/>
    <w:rsid w:val="00CA4F9D"/>
    <w:rsid w:val="00CB2F41"/>
    <w:rsid w:val="00CB72F7"/>
    <w:rsid w:val="00CC1EAC"/>
    <w:rsid w:val="00CC785D"/>
    <w:rsid w:val="00CD01C8"/>
    <w:rsid w:val="00CD23AE"/>
    <w:rsid w:val="00CD6B0E"/>
    <w:rsid w:val="00CE40CA"/>
    <w:rsid w:val="00CE5A52"/>
    <w:rsid w:val="00CE7C98"/>
    <w:rsid w:val="00CF1303"/>
    <w:rsid w:val="00CF7AF3"/>
    <w:rsid w:val="00D000BF"/>
    <w:rsid w:val="00D0394C"/>
    <w:rsid w:val="00D12221"/>
    <w:rsid w:val="00D13216"/>
    <w:rsid w:val="00D17902"/>
    <w:rsid w:val="00D22B13"/>
    <w:rsid w:val="00D22B54"/>
    <w:rsid w:val="00D26955"/>
    <w:rsid w:val="00D26ADA"/>
    <w:rsid w:val="00D26EEB"/>
    <w:rsid w:val="00D339FF"/>
    <w:rsid w:val="00D33B6D"/>
    <w:rsid w:val="00D35858"/>
    <w:rsid w:val="00D35A78"/>
    <w:rsid w:val="00D4153B"/>
    <w:rsid w:val="00D462F7"/>
    <w:rsid w:val="00D517BF"/>
    <w:rsid w:val="00D555A1"/>
    <w:rsid w:val="00D64997"/>
    <w:rsid w:val="00D64DC2"/>
    <w:rsid w:val="00D72ADB"/>
    <w:rsid w:val="00D76967"/>
    <w:rsid w:val="00DA46CA"/>
    <w:rsid w:val="00DB032C"/>
    <w:rsid w:val="00DC4EF0"/>
    <w:rsid w:val="00DD4C86"/>
    <w:rsid w:val="00DF1078"/>
    <w:rsid w:val="00DF1A3A"/>
    <w:rsid w:val="00DF21EB"/>
    <w:rsid w:val="00DF237C"/>
    <w:rsid w:val="00DF413E"/>
    <w:rsid w:val="00DF755D"/>
    <w:rsid w:val="00E0630F"/>
    <w:rsid w:val="00E06518"/>
    <w:rsid w:val="00E16950"/>
    <w:rsid w:val="00E176DF"/>
    <w:rsid w:val="00E20E70"/>
    <w:rsid w:val="00E2509B"/>
    <w:rsid w:val="00E25B68"/>
    <w:rsid w:val="00E26730"/>
    <w:rsid w:val="00E42F85"/>
    <w:rsid w:val="00E43920"/>
    <w:rsid w:val="00E504FC"/>
    <w:rsid w:val="00E544B2"/>
    <w:rsid w:val="00E73A31"/>
    <w:rsid w:val="00E7625A"/>
    <w:rsid w:val="00E76E1B"/>
    <w:rsid w:val="00E819E9"/>
    <w:rsid w:val="00E822DF"/>
    <w:rsid w:val="00E84003"/>
    <w:rsid w:val="00EA0ACD"/>
    <w:rsid w:val="00EA1825"/>
    <w:rsid w:val="00EB64EF"/>
    <w:rsid w:val="00EB79FF"/>
    <w:rsid w:val="00EC10FC"/>
    <w:rsid w:val="00EC13E3"/>
    <w:rsid w:val="00ED0D30"/>
    <w:rsid w:val="00ED12CC"/>
    <w:rsid w:val="00ED56AF"/>
    <w:rsid w:val="00ED5DC6"/>
    <w:rsid w:val="00EE0041"/>
    <w:rsid w:val="00EE18B5"/>
    <w:rsid w:val="00EE29B9"/>
    <w:rsid w:val="00EE74D9"/>
    <w:rsid w:val="00EF09F4"/>
    <w:rsid w:val="00F004EE"/>
    <w:rsid w:val="00F10F2C"/>
    <w:rsid w:val="00F20C5C"/>
    <w:rsid w:val="00F30721"/>
    <w:rsid w:val="00F326BD"/>
    <w:rsid w:val="00F37418"/>
    <w:rsid w:val="00F42E23"/>
    <w:rsid w:val="00F4560C"/>
    <w:rsid w:val="00F45EEE"/>
    <w:rsid w:val="00F51E9C"/>
    <w:rsid w:val="00F523CA"/>
    <w:rsid w:val="00F52AEC"/>
    <w:rsid w:val="00F5409D"/>
    <w:rsid w:val="00F73732"/>
    <w:rsid w:val="00F74774"/>
    <w:rsid w:val="00F74A9D"/>
    <w:rsid w:val="00F74E15"/>
    <w:rsid w:val="00F817D5"/>
    <w:rsid w:val="00F90C69"/>
    <w:rsid w:val="00F92A97"/>
    <w:rsid w:val="00F97CD5"/>
    <w:rsid w:val="00FB4A2B"/>
    <w:rsid w:val="00FB5FE8"/>
    <w:rsid w:val="00FE01A1"/>
    <w:rsid w:val="00FF07A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414362"/>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B24541"/>
    <w:rPr>
      <w:sz w:val="16"/>
      <w:szCs w:val="16"/>
    </w:rPr>
  </w:style>
  <w:style w:type="paragraph" w:styleId="CommentText">
    <w:name w:val="annotation text"/>
    <w:basedOn w:val="Normal"/>
    <w:link w:val="CommentTextChar"/>
    <w:uiPriority w:val="49"/>
    <w:locked/>
    <w:rsid w:val="00B24541"/>
    <w:rPr>
      <w:sz w:val="20"/>
    </w:rPr>
  </w:style>
  <w:style w:type="character" w:customStyle="1" w:styleId="CommentTextChar">
    <w:name w:val="Comment Text Char"/>
    <w:basedOn w:val="DefaultParagraphFont"/>
    <w:link w:val="CommentText"/>
    <w:uiPriority w:val="49"/>
    <w:rsid w:val="00B24541"/>
    <w:rPr>
      <w:lang w:eastAsia="en-US"/>
    </w:rPr>
  </w:style>
  <w:style w:type="paragraph" w:styleId="CommentSubject">
    <w:name w:val="annotation subject"/>
    <w:basedOn w:val="CommentText"/>
    <w:next w:val="CommentText"/>
    <w:link w:val="CommentSubjectChar"/>
    <w:uiPriority w:val="49"/>
    <w:locked/>
    <w:rsid w:val="00B24541"/>
    <w:rPr>
      <w:b/>
      <w:bCs/>
    </w:rPr>
  </w:style>
  <w:style w:type="character" w:customStyle="1" w:styleId="CommentSubjectChar">
    <w:name w:val="Comment Subject Char"/>
    <w:basedOn w:val="CommentTextChar"/>
    <w:link w:val="CommentSubject"/>
    <w:uiPriority w:val="49"/>
    <w:rsid w:val="00B24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558782">
      <w:bodyDiv w:val="1"/>
      <w:marLeft w:val="0"/>
      <w:marRight w:val="0"/>
      <w:marTop w:val="0"/>
      <w:marBottom w:val="0"/>
      <w:divBdr>
        <w:top w:val="none" w:sz="0" w:space="0" w:color="auto"/>
        <w:left w:val="none" w:sz="0" w:space="0" w:color="auto"/>
        <w:bottom w:val="none" w:sz="0" w:space="0" w:color="auto"/>
        <w:right w:val="none" w:sz="0" w:space="0" w:color="auto"/>
      </w:divBdr>
    </w:div>
    <w:div w:id="17043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0E482838-1746-457F-8014-8ADE195A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137</TotalTime>
  <Pages>8</Pages>
  <Words>3819</Words>
  <Characters>21776</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IAEA</vt:lpstr>
      <vt:lpstr>IAEA</vt:lpstr>
    </vt:vector>
  </TitlesOfParts>
  <Company>IAEA</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Morozova, Alina</cp:lastModifiedBy>
  <cp:revision>6</cp:revision>
  <cp:lastPrinted>2024-05-31T10:49:00Z</cp:lastPrinted>
  <dcterms:created xsi:type="dcterms:W3CDTF">2024-09-06T13:45:00Z</dcterms:created>
  <dcterms:modified xsi:type="dcterms:W3CDTF">2024-09-06T16:26:00Z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