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D459" w14:textId="3EEB76C5" w:rsidR="00251E92" w:rsidRDefault="00251E92" w:rsidP="00B535F4">
      <w:pPr>
        <w:overflowPunct/>
        <w:autoSpaceDE/>
        <w:autoSpaceDN/>
        <w:adjustRightInd/>
        <w:spacing w:after="60"/>
        <w:textAlignment w:val="auto"/>
        <w:rPr>
          <w:rFonts w:eastAsiaTheme="minorHAnsi"/>
          <w:b/>
          <w:bCs/>
          <w:kern w:val="2"/>
          <w:sz w:val="24"/>
          <w:szCs w:val="24"/>
          <w:lang w:val="en-US"/>
          <w14:ligatures w14:val="standardContextual"/>
        </w:rPr>
      </w:pPr>
    </w:p>
    <w:p w14:paraId="6AD647A7" w14:textId="5C5C6CDD" w:rsidR="009807D1" w:rsidRPr="00106C59" w:rsidRDefault="00CA37CF" w:rsidP="00106C59">
      <w:pPr>
        <w:overflowPunct/>
        <w:autoSpaceDE/>
        <w:autoSpaceDN/>
        <w:adjustRightInd/>
        <w:spacing w:after="60"/>
        <w:jc w:val="center"/>
        <w:textAlignment w:val="auto"/>
        <w:rPr>
          <w:rFonts w:eastAsiaTheme="minorHAnsi"/>
          <w:b/>
          <w:bCs/>
          <w:kern w:val="2"/>
          <w:sz w:val="24"/>
          <w:szCs w:val="24"/>
          <w:lang w:val="en-US"/>
          <w14:ligatures w14:val="standardContextual"/>
        </w:rPr>
      </w:pPr>
      <w:r>
        <w:rPr>
          <w:rFonts w:eastAsiaTheme="minorHAnsi"/>
          <w:b/>
          <w:bCs/>
          <w:kern w:val="2"/>
          <w:sz w:val="24"/>
          <w:szCs w:val="24"/>
          <w:lang w:val="en-US"/>
          <w14:ligatures w14:val="standardContextual"/>
        </w:rPr>
        <w:t>INNOVATIVE FI</w:t>
      </w:r>
      <w:r w:rsidR="00C209A5">
        <w:rPr>
          <w:rFonts w:eastAsiaTheme="minorHAnsi"/>
          <w:b/>
          <w:bCs/>
          <w:kern w:val="2"/>
          <w:sz w:val="24"/>
          <w:szCs w:val="24"/>
          <w:lang w:val="en-US"/>
          <w14:ligatures w14:val="standardContextual"/>
        </w:rPr>
        <w:t xml:space="preserve">NANCING SOLUTION TO </w:t>
      </w:r>
      <w:r w:rsidR="00F31377">
        <w:rPr>
          <w:rFonts w:eastAsiaTheme="minorHAnsi"/>
          <w:b/>
          <w:bCs/>
          <w:kern w:val="2"/>
          <w:sz w:val="24"/>
          <w:szCs w:val="24"/>
          <w:lang w:val="en-US"/>
          <w14:ligatures w14:val="standardContextual"/>
        </w:rPr>
        <w:t>SCALE NUCLEAR INVESTMENTS</w:t>
      </w:r>
    </w:p>
    <w:p w14:paraId="1B7149FA" w14:textId="77777777" w:rsidR="00251E92" w:rsidRPr="00251E92" w:rsidRDefault="00251E92" w:rsidP="00251E92">
      <w:pPr>
        <w:overflowPunct/>
        <w:autoSpaceDE/>
        <w:autoSpaceDN/>
        <w:adjustRightInd/>
        <w:spacing w:after="60"/>
        <w:textAlignment w:val="auto"/>
        <w:rPr>
          <w:rFonts w:ascii="Arial" w:eastAsiaTheme="minorHAnsi" w:hAnsi="Arial" w:cs="Arial"/>
          <w:kern w:val="2"/>
          <w:sz w:val="20"/>
          <w:lang w:val="en-US"/>
          <w14:ligatures w14:val="standardContextual"/>
        </w:rPr>
      </w:pPr>
    </w:p>
    <w:p w14:paraId="4D1B799F" w14:textId="77777777" w:rsidR="00802381" w:rsidRDefault="00802381" w:rsidP="00537496">
      <w:pPr>
        <w:pStyle w:val="Authornameandaffiliation"/>
      </w:pPr>
    </w:p>
    <w:p w14:paraId="32159D0F" w14:textId="03A04276" w:rsidR="003B5E0E" w:rsidRDefault="00203F33" w:rsidP="00537496">
      <w:pPr>
        <w:pStyle w:val="Authornameandaffiliation"/>
      </w:pPr>
      <w:r>
        <w:t>M.</w:t>
      </w:r>
      <w:r w:rsidR="00541D55">
        <w:t>D. KOVACHEV</w:t>
      </w:r>
    </w:p>
    <w:p w14:paraId="02370931" w14:textId="58B1C4CE" w:rsidR="00FF386F" w:rsidRDefault="00541D55" w:rsidP="00537496">
      <w:pPr>
        <w:pStyle w:val="Authornameandaffiliation"/>
      </w:pPr>
      <w:r>
        <w:t>IBNI-SAG member</w:t>
      </w:r>
    </w:p>
    <w:p w14:paraId="14684DE2" w14:textId="686B890C" w:rsidR="00FF386F" w:rsidRPr="006F47B6" w:rsidRDefault="00573A41" w:rsidP="00537496">
      <w:pPr>
        <w:pStyle w:val="Authornameandaffiliation"/>
        <w:rPr>
          <w:lang w:val="pt-BR"/>
        </w:rPr>
      </w:pPr>
      <w:r w:rsidRPr="006F47B6">
        <w:rPr>
          <w:lang w:val="pt-BR"/>
        </w:rPr>
        <w:t>Sofia</w:t>
      </w:r>
      <w:r w:rsidR="00FF386F" w:rsidRPr="006F47B6">
        <w:rPr>
          <w:lang w:val="pt-BR"/>
        </w:rPr>
        <w:t xml:space="preserve">, </w:t>
      </w:r>
      <w:r w:rsidRPr="006F47B6">
        <w:rPr>
          <w:lang w:val="pt-BR"/>
        </w:rPr>
        <w:t>Bulgaria</w:t>
      </w:r>
    </w:p>
    <w:p w14:paraId="0080899C" w14:textId="653518AA" w:rsidR="00FF386F" w:rsidRPr="006F47B6" w:rsidRDefault="00FF386F" w:rsidP="00537496">
      <w:pPr>
        <w:pStyle w:val="Authornameandaffiliation"/>
        <w:rPr>
          <w:lang w:val="pt-BR"/>
        </w:rPr>
      </w:pPr>
      <w:r w:rsidRPr="006F47B6">
        <w:rPr>
          <w:lang w:val="pt-BR"/>
        </w:rPr>
        <w:t xml:space="preserve">Email: </w:t>
      </w:r>
      <w:r w:rsidR="00573A41" w:rsidRPr="006F47B6">
        <w:rPr>
          <w:lang w:val="pt-BR"/>
        </w:rPr>
        <w:t>kovacheffm</w:t>
      </w:r>
      <w:r w:rsidRPr="006F47B6">
        <w:rPr>
          <w:lang w:val="pt-BR"/>
        </w:rPr>
        <w:t>@</w:t>
      </w:r>
      <w:r w:rsidR="00F12F35" w:rsidRPr="006F47B6">
        <w:rPr>
          <w:lang w:val="pt-BR"/>
        </w:rPr>
        <w:t>gmail</w:t>
      </w:r>
      <w:r w:rsidRPr="006F47B6">
        <w:rPr>
          <w:lang w:val="pt-BR"/>
        </w:rPr>
        <w:t>.com</w:t>
      </w:r>
    </w:p>
    <w:p w14:paraId="5E2BDA1F" w14:textId="77777777" w:rsidR="00FF386F" w:rsidRPr="006F47B6" w:rsidRDefault="00FF386F" w:rsidP="00537496">
      <w:pPr>
        <w:pStyle w:val="Authornameandaffiliation"/>
        <w:rPr>
          <w:lang w:val="pt-BR"/>
        </w:rPr>
      </w:pPr>
    </w:p>
    <w:p w14:paraId="535BB6CC" w14:textId="0255DF84" w:rsidR="00FF386F" w:rsidRPr="00FF386F" w:rsidRDefault="00625DA0" w:rsidP="00537496">
      <w:pPr>
        <w:pStyle w:val="Authornameandaffiliation"/>
      </w:pPr>
      <w:r>
        <w:t>F</w:t>
      </w:r>
      <w:r w:rsidR="00FF386F" w:rsidRPr="00FF386F">
        <w:t xml:space="preserve">. </w:t>
      </w:r>
      <w:r>
        <w:t>PEHUET</w:t>
      </w:r>
    </w:p>
    <w:p w14:paraId="008085C2" w14:textId="06D9D8C2" w:rsidR="00FF386F" w:rsidRPr="00FF386F" w:rsidRDefault="007F4192" w:rsidP="00537496">
      <w:pPr>
        <w:pStyle w:val="Authornameandaffiliation"/>
      </w:pPr>
      <w:r>
        <w:t>IBNI-SAG member</w:t>
      </w:r>
    </w:p>
    <w:p w14:paraId="59A9855A" w14:textId="576DA5BC" w:rsidR="00973EF0" w:rsidRDefault="007F4192" w:rsidP="00973EF0">
      <w:pPr>
        <w:pStyle w:val="Authornameandaffiliation"/>
      </w:pPr>
      <w:r>
        <w:t>Paris</w:t>
      </w:r>
      <w:r w:rsidR="00FF386F" w:rsidRPr="00FF386F">
        <w:t xml:space="preserve">, </w:t>
      </w:r>
      <w:r>
        <w:t>F</w:t>
      </w:r>
      <w:r w:rsidR="00973EF0">
        <w:t>rance</w:t>
      </w:r>
    </w:p>
    <w:p w14:paraId="4DD677E8" w14:textId="77777777" w:rsidR="00BB04C0" w:rsidRDefault="00BB04C0" w:rsidP="00973EF0">
      <w:pPr>
        <w:pStyle w:val="Authornameandaffiliation"/>
      </w:pPr>
    </w:p>
    <w:p w14:paraId="3CEB91AD" w14:textId="77777777" w:rsidR="00BB04C0" w:rsidRDefault="00BB04C0" w:rsidP="00973EF0">
      <w:pPr>
        <w:pStyle w:val="Authornameandaffiliation"/>
      </w:pPr>
      <w:r>
        <w:t>D. STEARNS</w:t>
      </w:r>
    </w:p>
    <w:p w14:paraId="6B618BD2" w14:textId="77777777" w:rsidR="00480F70" w:rsidRPr="00FF386F" w:rsidRDefault="00480F70" w:rsidP="007049A2">
      <w:pPr>
        <w:pStyle w:val="Authornameandaffiliation"/>
      </w:pPr>
      <w:r>
        <w:t>IBNI-SAG member</w:t>
      </w:r>
    </w:p>
    <w:p w14:paraId="183DDB05" w14:textId="02A3C3C7" w:rsidR="00480F70" w:rsidRDefault="00AB720D" w:rsidP="007049A2">
      <w:pPr>
        <w:pStyle w:val="Authornameandaffiliation"/>
      </w:pPr>
      <w:r>
        <w:t>London</w:t>
      </w:r>
      <w:r w:rsidR="00480F70" w:rsidRPr="00FF386F">
        <w:t xml:space="preserve">, </w:t>
      </w:r>
      <w:r>
        <w:t>UK</w:t>
      </w:r>
    </w:p>
    <w:p w14:paraId="265B475B" w14:textId="77777777" w:rsidR="00BB04C0" w:rsidRDefault="00BB04C0" w:rsidP="00973EF0">
      <w:pPr>
        <w:pStyle w:val="Authornameandaffiliation"/>
      </w:pPr>
    </w:p>
    <w:p w14:paraId="6922AEA8" w14:textId="77777777" w:rsidR="00480F70" w:rsidRDefault="00BB04C0" w:rsidP="00973EF0">
      <w:pPr>
        <w:pStyle w:val="Authornameandaffiliation"/>
      </w:pPr>
      <w:r>
        <w:t>E. TEPLINSKY</w:t>
      </w:r>
    </w:p>
    <w:p w14:paraId="5F9A5B0B" w14:textId="77777777" w:rsidR="00AB720D" w:rsidRPr="00FF386F" w:rsidRDefault="00AB720D" w:rsidP="007049A2">
      <w:pPr>
        <w:pStyle w:val="Authornameandaffiliation"/>
      </w:pPr>
      <w:r>
        <w:t>IBNI-SAG member</w:t>
      </w:r>
    </w:p>
    <w:p w14:paraId="3FA3A637" w14:textId="1392547A" w:rsidR="00AB720D" w:rsidRDefault="00AB720D" w:rsidP="007049A2">
      <w:pPr>
        <w:pStyle w:val="Authornameandaffiliation"/>
      </w:pPr>
      <w:r>
        <w:t>Washington DC</w:t>
      </w:r>
      <w:r w:rsidRPr="00FF386F">
        <w:t xml:space="preserve">, </w:t>
      </w:r>
      <w:r>
        <w:t>USA</w:t>
      </w:r>
    </w:p>
    <w:p w14:paraId="73BD4716" w14:textId="77777777" w:rsidR="00480F70" w:rsidRDefault="00480F70" w:rsidP="00973EF0">
      <w:pPr>
        <w:pStyle w:val="Authornameandaffiliation"/>
      </w:pPr>
    </w:p>
    <w:p w14:paraId="4901EC94" w14:textId="3F5D0FB4" w:rsidR="00BB04C0" w:rsidRDefault="00BB04C0" w:rsidP="00973EF0">
      <w:pPr>
        <w:pStyle w:val="Authornameandaffiliation"/>
      </w:pPr>
      <w:r>
        <w:t>C. LEIPNER</w:t>
      </w:r>
    </w:p>
    <w:p w14:paraId="055D5D47" w14:textId="77777777" w:rsidR="00FE444B" w:rsidRPr="00FF386F" w:rsidRDefault="00FE444B" w:rsidP="007049A2">
      <w:pPr>
        <w:pStyle w:val="Authornameandaffiliation"/>
      </w:pPr>
      <w:r>
        <w:t>IBNI-SAG member</w:t>
      </w:r>
    </w:p>
    <w:p w14:paraId="69D00FB5" w14:textId="06BD1DBC" w:rsidR="00FE444B" w:rsidRDefault="00A2431A" w:rsidP="007049A2">
      <w:pPr>
        <w:pStyle w:val="Authornameandaffiliation"/>
      </w:pPr>
      <w:r>
        <w:t>Orlando, FL</w:t>
      </w:r>
      <w:r w:rsidR="00FE444B" w:rsidRPr="00FF386F">
        <w:t xml:space="preserve">, </w:t>
      </w:r>
      <w:r>
        <w:t>USA</w:t>
      </w:r>
    </w:p>
    <w:p w14:paraId="5FBA33AD" w14:textId="77777777" w:rsidR="00FE444B" w:rsidRPr="00FF386F" w:rsidRDefault="00FE444B" w:rsidP="00973EF0">
      <w:pPr>
        <w:pStyle w:val="Authornameandaffiliation"/>
      </w:pP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2D637E0C" w14:textId="1D54DC12" w:rsidR="00F96658" w:rsidRPr="00F96658" w:rsidRDefault="00F96658" w:rsidP="00B4114C">
      <w:pPr>
        <w:pStyle w:val="NormalWeb"/>
        <w:shd w:val="clear" w:color="auto" w:fill="FFFFFF"/>
        <w:spacing w:before="0" w:beforeAutospacing="0" w:after="0" w:afterAutospacing="0" w:line="276" w:lineRule="auto"/>
        <w:ind w:firstLine="390"/>
        <w:jc w:val="both"/>
        <w:rPr>
          <w:rFonts w:ascii="UICTFontTextStyleTallBody" w:hAnsi="UICTFontTextStyleTallBody"/>
          <w:sz w:val="18"/>
          <w:szCs w:val="18"/>
        </w:rPr>
      </w:pPr>
      <w:r w:rsidRPr="00E701A3">
        <w:rPr>
          <w:color w:val="555555"/>
          <w:sz w:val="18"/>
          <w:szCs w:val="18"/>
        </w:rPr>
        <w:t>The Conference of the Contracting Parties (COP28) to the UNFCC held in Dubai Nov-Dec 2023 has become the “Nuclear COP” as displayed in the media. The reason for that informal title was the unprecedented reference to nuclear in the Global Stocktake document known as “UAE consensus”. More than 25 countries signed the Ministerial declaration setting the goal for tripling nuclear capacity by 2050 from the current 372 GW. The Nuclear industry as part of the Net Zero Nuclear initiative launched by WNA and ENEC, made Net Zero Nuclear Industry Pledge supported by more than 120 companies.</w:t>
      </w:r>
      <w:r w:rsidR="00097E0D">
        <w:rPr>
          <w:color w:val="555555"/>
          <w:sz w:val="18"/>
          <w:szCs w:val="18"/>
        </w:rPr>
        <w:t xml:space="preserve"> </w:t>
      </w:r>
      <w:r w:rsidRPr="00E701A3">
        <w:rPr>
          <w:color w:val="555555"/>
          <w:sz w:val="18"/>
          <w:szCs w:val="18"/>
        </w:rPr>
        <w:t xml:space="preserve">Achieving these ambitious goals, requires adequate financing mechanisms for scaling nuclear investments. The lending policies of IFIs as the World Bank and other MDBs are lacking behind from the policies in support to all low carbon sources including nuclear. This alignment </w:t>
      </w:r>
      <w:r w:rsidR="00D13F4B" w:rsidRPr="00E701A3">
        <w:rPr>
          <w:color w:val="555555"/>
          <w:sz w:val="18"/>
          <w:szCs w:val="18"/>
        </w:rPr>
        <w:t>stays</w:t>
      </w:r>
      <w:r w:rsidRPr="00E701A3">
        <w:rPr>
          <w:color w:val="555555"/>
          <w:sz w:val="18"/>
          <w:szCs w:val="18"/>
        </w:rPr>
        <w:t xml:space="preserve"> priority for scaling nuclear, however additional innovative financing mechanisms are critical for mobilizing the investments and supporting the nuclear market expansion through the development of enabling infrastructure in countries embarking on nuclear power. This importance has been recently underlined in the IEA Electricity 2024, report</w:t>
      </w:r>
      <w:r w:rsidR="00226EA3">
        <w:rPr>
          <w:color w:val="555555"/>
          <w:sz w:val="18"/>
          <w:szCs w:val="18"/>
        </w:rPr>
        <w:t xml:space="preserve"> [1]</w:t>
      </w:r>
      <w:r w:rsidRPr="00E701A3">
        <w:rPr>
          <w:color w:val="555555"/>
          <w:sz w:val="18"/>
          <w:szCs w:val="18"/>
        </w:rPr>
        <w:t>.</w:t>
      </w:r>
      <w:r w:rsidR="00097E0D">
        <w:rPr>
          <w:color w:val="555555"/>
          <w:sz w:val="18"/>
          <w:szCs w:val="18"/>
        </w:rPr>
        <w:t xml:space="preserve"> </w:t>
      </w:r>
      <w:r w:rsidRPr="00E701A3">
        <w:rPr>
          <w:color w:val="555555"/>
          <w:sz w:val="18"/>
          <w:szCs w:val="18"/>
        </w:rPr>
        <w:t>T</w:t>
      </w:r>
      <w:r w:rsidR="0093624B">
        <w:rPr>
          <w:color w:val="555555"/>
          <w:sz w:val="18"/>
          <w:szCs w:val="18"/>
        </w:rPr>
        <w:t>he</w:t>
      </w:r>
      <w:r w:rsidRPr="00E701A3">
        <w:rPr>
          <w:color w:val="555555"/>
          <w:sz w:val="18"/>
          <w:szCs w:val="18"/>
        </w:rPr>
        <w:t xml:space="preserve"> article </w:t>
      </w:r>
      <w:r w:rsidR="0041217D" w:rsidRPr="00E701A3">
        <w:rPr>
          <w:color w:val="555555"/>
          <w:sz w:val="18"/>
          <w:szCs w:val="18"/>
        </w:rPr>
        <w:t>offers</w:t>
      </w:r>
      <w:r w:rsidRPr="00E701A3">
        <w:rPr>
          <w:color w:val="555555"/>
          <w:sz w:val="18"/>
          <w:szCs w:val="18"/>
        </w:rPr>
        <w:t xml:space="preserve"> </w:t>
      </w:r>
      <w:r w:rsidR="004F33D2">
        <w:rPr>
          <w:color w:val="555555"/>
          <w:sz w:val="18"/>
          <w:szCs w:val="18"/>
        </w:rPr>
        <w:t>analytical view</w:t>
      </w:r>
      <w:r w:rsidRPr="00E701A3">
        <w:rPr>
          <w:color w:val="555555"/>
          <w:sz w:val="18"/>
          <w:szCs w:val="18"/>
        </w:rPr>
        <w:t xml:space="preserve"> based on the initiative to </w:t>
      </w:r>
      <w:r w:rsidR="0093624B" w:rsidRPr="00E701A3">
        <w:rPr>
          <w:color w:val="555555"/>
          <w:sz w:val="18"/>
          <w:szCs w:val="18"/>
        </w:rPr>
        <w:t>set up</w:t>
      </w:r>
      <w:r w:rsidRPr="00E701A3">
        <w:rPr>
          <w:color w:val="555555"/>
          <w:sz w:val="18"/>
          <w:szCs w:val="18"/>
        </w:rPr>
        <w:t xml:space="preserve"> a multilateral international financing institution (“IFI”), named the International Bank for Nuclear Infrastructure (IBNI). The case study elaborates on the use of different financing tools foreseen in IBNI structure to demonstrate the SMR designs in the technology exporting countries as well as developing or adapting the nuclear infrastructure in technology importing countries and ensure the potential order book for serial SMRs deployment. The article will further elaborate on the way the Special Operation Fund is designed to address the funding gaps in countries embarking or expanding nuclear power. In conclusion the study advocates for establishing IBNI as the way to improve nuclear competitiveness and achieving scale.</w:t>
      </w:r>
    </w:p>
    <w:p w14:paraId="03C6D75B" w14:textId="77777777" w:rsidR="00647F33" w:rsidRDefault="00F523CA" w:rsidP="00537496">
      <w:pPr>
        <w:pStyle w:val="Heading2"/>
        <w:numPr>
          <w:ilvl w:val="1"/>
          <w:numId w:val="10"/>
        </w:numPr>
      </w:pPr>
      <w:r>
        <w:t>INTRODUCTION</w:t>
      </w:r>
    </w:p>
    <w:p w14:paraId="5434122F" w14:textId="1587033D" w:rsidR="002C0EAE" w:rsidRPr="002C0EAE" w:rsidRDefault="002C0EAE" w:rsidP="00B4114C">
      <w:pPr>
        <w:overflowPunct/>
        <w:autoSpaceDE/>
        <w:autoSpaceDN/>
        <w:adjustRightInd/>
        <w:spacing w:after="60" w:line="276" w:lineRule="auto"/>
        <w:ind w:firstLine="567"/>
        <w:jc w:val="both"/>
        <w:textAlignment w:val="auto"/>
        <w:rPr>
          <w:rFonts w:eastAsiaTheme="minorHAnsi"/>
          <w:kern w:val="2"/>
          <w:sz w:val="20"/>
          <w:lang w:val="en-US"/>
          <w14:ligatures w14:val="standardContextual"/>
        </w:rPr>
      </w:pPr>
      <w:r w:rsidRPr="002C0EAE">
        <w:rPr>
          <w:rFonts w:eastAsiaTheme="minorHAnsi"/>
          <w:kern w:val="2"/>
          <w:sz w:val="20"/>
          <w:lang w:val="en-US"/>
          <w14:ligatures w14:val="standardContextual"/>
        </w:rPr>
        <w:t xml:space="preserve">The global quest for decarbonization and the transition to cleaner and more sustainable energy sources have brought nuclear power back into the spotlight. The Conference of the Contracting Parties (COP28) held in Dubai in November-December 2023, became known as the "Nuclear COP" due to the Global Stocktake document which for the first time recognizes nuclear as contributor to the need for “deep, rapid and sustained reductions in greenhouse gas emissions in line with 1.5 °C pathways” and calls for global efforts to accelerate zero- and low-emission technologies, including nuclear and other clean technologies  Also a declaration signed by over 20 countries, including the United States, France, UK and Canada pledging to triple the global nuclear capacity by 2050. </w:t>
      </w:r>
    </w:p>
    <w:p w14:paraId="62342FC1" w14:textId="57F37840" w:rsidR="002C0EAE" w:rsidRPr="002C0EAE" w:rsidRDefault="002C0EAE" w:rsidP="00B4114C">
      <w:pPr>
        <w:overflowPunct/>
        <w:autoSpaceDE/>
        <w:autoSpaceDN/>
        <w:adjustRightInd/>
        <w:spacing w:after="60" w:line="276" w:lineRule="auto"/>
        <w:ind w:firstLine="567"/>
        <w:jc w:val="both"/>
        <w:textAlignment w:val="auto"/>
        <w:rPr>
          <w:rFonts w:eastAsiaTheme="minorHAnsi"/>
          <w:kern w:val="2"/>
          <w:sz w:val="20"/>
          <w:lang w:val="en-US"/>
          <w14:ligatures w14:val="standardContextual"/>
        </w:rPr>
      </w:pPr>
      <w:r w:rsidRPr="002C0EAE">
        <w:rPr>
          <w:rFonts w:eastAsiaTheme="minorHAnsi"/>
          <w:kern w:val="2"/>
          <w:sz w:val="20"/>
          <w:lang w:val="en-US"/>
          <w14:ligatures w14:val="standardContextual"/>
        </w:rPr>
        <w:lastRenderedPageBreak/>
        <w:t xml:space="preserve">The increasing recognition of nuclear power's potential to provide a low-carbon and reliable source of electricity has paved the way for discussions around its role in combating climate change and meeting the growing global energy demand. The COP28 declaration, signed by over 25 countries, reflected the shared vision of tripling nuclear capacity by 2050 from the current 372 GW. This ambitious goal </w:t>
      </w:r>
      <w:r w:rsidR="007764AB" w:rsidRPr="002C0EAE">
        <w:rPr>
          <w:rFonts w:eastAsiaTheme="minorHAnsi"/>
          <w:kern w:val="2"/>
          <w:sz w:val="20"/>
          <w:lang w:val="en-US"/>
          <w14:ligatures w14:val="standardContextual"/>
        </w:rPr>
        <w:t>needs</w:t>
      </w:r>
      <w:r w:rsidRPr="002C0EAE">
        <w:rPr>
          <w:rFonts w:eastAsiaTheme="minorHAnsi"/>
          <w:kern w:val="2"/>
          <w:sz w:val="20"/>
          <w:lang w:val="en-US"/>
          <w14:ligatures w14:val="standardContextual"/>
        </w:rPr>
        <w:t xml:space="preserve"> not only technological advancements but also the availability of adequate financing mechanisms to support this nuclear scale up globally.</w:t>
      </w:r>
    </w:p>
    <w:p w14:paraId="629AB408" w14:textId="298635B2" w:rsidR="002C0EAE" w:rsidRPr="005448E2" w:rsidRDefault="002C0EAE" w:rsidP="00B4114C">
      <w:pPr>
        <w:overflowPunct/>
        <w:autoSpaceDE/>
        <w:autoSpaceDN/>
        <w:adjustRightInd/>
        <w:spacing w:after="60" w:line="276" w:lineRule="auto"/>
        <w:ind w:firstLine="567"/>
        <w:jc w:val="both"/>
        <w:textAlignment w:val="auto"/>
        <w:rPr>
          <w:rFonts w:eastAsiaTheme="minorHAnsi"/>
          <w:kern w:val="2"/>
          <w:sz w:val="20"/>
          <w:lang w:val="en-US"/>
          <w14:ligatures w14:val="standardContextual"/>
        </w:rPr>
      </w:pPr>
      <w:r w:rsidRPr="002C0EAE">
        <w:rPr>
          <w:rFonts w:eastAsiaTheme="minorHAnsi"/>
          <w:kern w:val="2"/>
          <w:sz w:val="20"/>
          <w:lang w:val="en-US"/>
          <w14:ligatures w14:val="standardContextual"/>
        </w:rPr>
        <w:t xml:space="preserve">Nuclear power has long been recognized as a viable option for reducing greenhouse gas emissions, providing continuous clean power supply, and ensuring energy security. However, the lending policies of traditional International Financial Institutions (IFIs) and Multilateral Development Banks (MDBs) have not always aligned with the need to support all low carbon sources, including nuclear. This misalignment has created challenges for countries </w:t>
      </w:r>
      <w:r w:rsidR="0086570A" w:rsidRPr="002C0EAE">
        <w:rPr>
          <w:rFonts w:eastAsiaTheme="minorHAnsi"/>
          <w:kern w:val="2"/>
          <w:sz w:val="20"/>
          <w:lang w:val="en-US"/>
          <w14:ligatures w14:val="standardContextual"/>
        </w:rPr>
        <w:t>looking</w:t>
      </w:r>
      <w:r w:rsidRPr="002C0EAE">
        <w:rPr>
          <w:rFonts w:eastAsiaTheme="minorHAnsi"/>
          <w:kern w:val="2"/>
          <w:sz w:val="20"/>
          <w:lang w:val="en-US"/>
          <w14:ligatures w14:val="standardContextual"/>
        </w:rPr>
        <w:t xml:space="preserve"> to invest in nuclear energy projects, especially in emerging markets. </w:t>
      </w:r>
    </w:p>
    <w:p w14:paraId="7480D462" w14:textId="282707A6" w:rsidR="002C0EAE" w:rsidRPr="002C0EAE" w:rsidRDefault="002C0EAE" w:rsidP="00B4114C">
      <w:pPr>
        <w:overflowPunct/>
        <w:autoSpaceDE/>
        <w:autoSpaceDN/>
        <w:adjustRightInd/>
        <w:spacing w:after="60" w:line="276" w:lineRule="auto"/>
        <w:ind w:firstLine="567"/>
        <w:jc w:val="both"/>
        <w:textAlignment w:val="auto"/>
        <w:rPr>
          <w:rFonts w:eastAsiaTheme="minorHAnsi"/>
          <w:kern w:val="2"/>
          <w:sz w:val="20"/>
          <w:lang w:val="en-US"/>
          <w14:ligatures w14:val="standardContextual"/>
        </w:rPr>
      </w:pPr>
      <w:r w:rsidRPr="002C0EAE">
        <w:rPr>
          <w:rFonts w:eastAsiaTheme="minorHAnsi"/>
          <w:kern w:val="2"/>
          <w:sz w:val="20"/>
          <w:lang w:val="en-US"/>
          <w14:ligatures w14:val="standardContextual"/>
        </w:rPr>
        <w:t xml:space="preserve">This study aims to explore the background and significance of the "Nuclear COP" and the UAE consensus, </w:t>
      </w:r>
      <w:r w:rsidR="001F76F1" w:rsidRPr="002C0EAE">
        <w:rPr>
          <w:rFonts w:eastAsiaTheme="minorHAnsi"/>
          <w:kern w:val="2"/>
          <w:sz w:val="20"/>
          <w:lang w:val="en-US"/>
          <w14:ligatures w14:val="standardContextual"/>
        </w:rPr>
        <w:t>considering</w:t>
      </w:r>
      <w:r w:rsidRPr="002C0EAE">
        <w:rPr>
          <w:rFonts w:eastAsiaTheme="minorHAnsi"/>
          <w:kern w:val="2"/>
          <w:sz w:val="20"/>
          <w:lang w:val="en-US"/>
          <w14:ligatures w14:val="standardContextual"/>
        </w:rPr>
        <w:t xml:space="preserve"> the </w:t>
      </w:r>
      <w:r w:rsidR="001F76F1" w:rsidRPr="002C0EAE">
        <w:rPr>
          <w:rFonts w:eastAsiaTheme="minorHAnsi"/>
          <w:kern w:val="2"/>
          <w:sz w:val="20"/>
          <w:lang w:val="en-US"/>
          <w14:ligatures w14:val="standardContextual"/>
        </w:rPr>
        <w:t>goals</w:t>
      </w:r>
      <w:r w:rsidRPr="002C0EAE">
        <w:rPr>
          <w:rFonts w:eastAsiaTheme="minorHAnsi"/>
          <w:kern w:val="2"/>
          <w:sz w:val="20"/>
          <w:lang w:val="en-US"/>
          <w14:ligatures w14:val="standardContextual"/>
        </w:rPr>
        <w:t xml:space="preserve"> and implications of tripling nuclear capacity by 2050. Furthermore, the study </w:t>
      </w:r>
      <w:r w:rsidR="0080385B" w:rsidRPr="002C0EAE">
        <w:rPr>
          <w:rFonts w:eastAsiaTheme="minorHAnsi"/>
          <w:kern w:val="2"/>
          <w:sz w:val="20"/>
          <w:lang w:val="en-US"/>
          <w14:ligatures w14:val="standardContextual"/>
        </w:rPr>
        <w:t>looks</w:t>
      </w:r>
      <w:r w:rsidRPr="002C0EAE">
        <w:rPr>
          <w:rFonts w:eastAsiaTheme="minorHAnsi"/>
          <w:kern w:val="2"/>
          <w:sz w:val="20"/>
          <w:lang w:val="en-US"/>
          <w14:ligatures w14:val="standardContextual"/>
        </w:rPr>
        <w:t xml:space="preserve"> to highlight the importance of innovative financing mechanisms in scaling nuclear investments and enabling infrastructure development, with a specific focus on the establishment of the International Bank for Nuclear Infrastructure (IBNI) as </w:t>
      </w:r>
      <w:r w:rsidR="007764AB" w:rsidRPr="002C0EAE">
        <w:rPr>
          <w:rFonts w:eastAsiaTheme="minorHAnsi"/>
          <w:kern w:val="2"/>
          <w:sz w:val="20"/>
          <w:lang w:val="en-US"/>
          <w14:ligatures w14:val="standardContextual"/>
        </w:rPr>
        <w:t>a significant change</w:t>
      </w:r>
      <w:r w:rsidRPr="002C0EAE">
        <w:rPr>
          <w:rFonts w:eastAsiaTheme="minorHAnsi"/>
          <w:kern w:val="2"/>
          <w:sz w:val="20"/>
          <w:lang w:val="en-US"/>
          <w14:ligatures w14:val="standardContextual"/>
        </w:rPr>
        <w:t xml:space="preserve"> in the financing landscape.</w:t>
      </w:r>
    </w:p>
    <w:p w14:paraId="4EC55B47" w14:textId="1B8816FF" w:rsidR="002C0EAE" w:rsidRPr="002C0EAE" w:rsidRDefault="002C0EAE" w:rsidP="00B4114C">
      <w:pPr>
        <w:overflowPunct/>
        <w:autoSpaceDE/>
        <w:autoSpaceDN/>
        <w:adjustRightInd/>
        <w:spacing w:after="60" w:line="276" w:lineRule="auto"/>
        <w:ind w:firstLine="567"/>
        <w:jc w:val="both"/>
        <w:textAlignment w:val="auto"/>
        <w:rPr>
          <w:rFonts w:eastAsiaTheme="minorHAnsi"/>
          <w:kern w:val="2"/>
          <w:sz w:val="20"/>
          <w:lang w:val="en-US"/>
          <w14:ligatures w14:val="standardContextual"/>
        </w:rPr>
      </w:pPr>
      <w:r w:rsidRPr="002C0EAE">
        <w:rPr>
          <w:rFonts w:eastAsiaTheme="minorHAnsi"/>
          <w:kern w:val="2"/>
          <w:sz w:val="20"/>
          <w:lang w:val="en-US"/>
          <w14:ligatures w14:val="standardContextual"/>
        </w:rPr>
        <w:t xml:space="preserve">By examining the funding </w:t>
      </w:r>
      <w:r w:rsidR="006C7720">
        <w:rPr>
          <w:rFonts w:eastAsiaTheme="minorHAnsi"/>
          <w:kern w:val="2"/>
          <w:sz w:val="20"/>
          <w:lang w:val="en-US"/>
          <w14:ligatures w14:val="standardContextual"/>
        </w:rPr>
        <w:t xml:space="preserve">and financing </w:t>
      </w:r>
      <w:r w:rsidRPr="002C0EAE">
        <w:rPr>
          <w:rFonts w:eastAsiaTheme="minorHAnsi"/>
          <w:kern w:val="2"/>
          <w:sz w:val="20"/>
          <w:lang w:val="en-US"/>
          <w14:ligatures w14:val="standardContextual"/>
        </w:rPr>
        <w:t xml:space="preserve">challenges faced by nuclear projects and the potential role of IBNI's financing tools, this </w:t>
      </w:r>
      <w:r w:rsidR="008F09E1">
        <w:rPr>
          <w:rFonts w:eastAsiaTheme="minorHAnsi"/>
          <w:kern w:val="2"/>
          <w:sz w:val="20"/>
          <w:lang w:val="en-US"/>
          <w14:ligatures w14:val="standardContextual"/>
        </w:rPr>
        <w:t>research</w:t>
      </w:r>
      <w:r w:rsidRPr="002C0EAE">
        <w:rPr>
          <w:rFonts w:eastAsiaTheme="minorHAnsi"/>
          <w:kern w:val="2"/>
          <w:sz w:val="20"/>
          <w:lang w:val="en-US"/>
          <w14:ligatures w14:val="standardContextual"/>
        </w:rPr>
        <w:t xml:space="preserve"> intends to shed light on the significance of aligning financial mechanisms with the evolving needs of the nuclear market. Additionally, the study aims to highlight IBNI's ability to support technology exporting countries in showcasing Small Modular Reactor (SMR) designs and helping technology importing nations in developing and adapting nuclear infrastructure.</w:t>
      </w:r>
    </w:p>
    <w:p w14:paraId="74CD1556" w14:textId="40391CEC" w:rsidR="00E25B68" w:rsidRDefault="00E42D1D" w:rsidP="0026525A">
      <w:pPr>
        <w:pStyle w:val="Heading2"/>
        <w:numPr>
          <w:ilvl w:val="1"/>
          <w:numId w:val="10"/>
        </w:numPr>
      </w:pPr>
      <w:r>
        <w:t>THE GL</w:t>
      </w:r>
      <w:r w:rsidR="00EA1B3F">
        <w:t>oBAL</w:t>
      </w:r>
      <w:r>
        <w:t xml:space="preserve"> </w:t>
      </w:r>
      <w:r w:rsidR="00EA1B3F">
        <w:t>CLIMATE</w:t>
      </w:r>
      <w:r>
        <w:t xml:space="preserve"> AGENDA</w:t>
      </w:r>
      <w:r w:rsidR="00FF26EC">
        <w:t xml:space="preserve"> AND NUCLEAR</w:t>
      </w:r>
    </w:p>
    <w:p w14:paraId="4F696ED5" w14:textId="59A1AAD4" w:rsidR="00B3072F" w:rsidRPr="00DB5C23" w:rsidRDefault="00642514" w:rsidP="00DB5C23">
      <w:pPr>
        <w:pStyle w:val="Heading3"/>
      </w:pPr>
      <w:r>
        <w:t xml:space="preserve">Overview of COP28, the UAE </w:t>
      </w:r>
      <w:r w:rsidR="00071D75">
        <w:t>Consensus</w:t>
      </w:r>
      <w:r>
        <w:t xml:space="preserve"> </w:t>
      </w:r>
      <w:r w:rsidR="00071D75">
        <w:t>and their implications</w:t>
      </w:r>
    </w:p>
    <w:p w14:paraId="1ACDC004" w14:textId="77777777" w:rsidR="00B3072F" w:rsidRPr="00B3072F" w:rsidRDefault="00B3072F" w:rsidP="00492AD2">
      <w:pPr>
        <w:overflowPunct/>
        <w:autoSpaceDE/>
        <w:autoSpaceDN/>
        <w:adjustRightInd/>
        <w:spacing w:after="60" w:line="276" w:lineRule="auto"/>
        <w:ind w:firstLine="567"/>
        <w:jc w:val="both"/>
        <w:textAlignment w:val="auto"/>
        <w:rPr>
          <w:rFonts w:eastAsiaTheme="minorHAnsi"/>
          <w:kern w:val="2"/>
          <w:sz w:val="20"/>
          <w:lang w:val="en-US"/>
          <w14:ligatures w14:val="standardContextual"/>
        </w:rPr>
      </w:pPr>
      <w:r w:rsidRPr="00B3072F">
        <w:rPr>
          <w:rFonts w:eastAsiaTheme="minorHAnsi"/>
          <w:kern w:val="2"/>
          <w:sz w:val="20"/>
          <w:lang w:val="en-US"/>
          <w14:ligatures w14:val="standardContextual"/>
        </w:rPr>
        <w:t>COP28 held in Dubai in 2023 brought together delegates from around the world to discuss and negotiate climate-related issues, with a particular focus on the transition to low-carbon energy sources and the reduction of greenhouse gas emissions. While nuclear power had been a topic of discussion in previous COP meetings, COP28 placed even more emphasis on its potential contribution to sustainable development and climate change mitigation.</w:t>
      </w:r>
    </w:p>
    <w:p w14:paraId="624C1CBD" w14:textId="57878E97" w:rsidR="00B3072F" w:rsidRPr="00B3072F" w:rsidRDefault="00B3072F" w:rsidP="00492AD2">
      <w:pPr>
        <w:overflowPunct/>
        <w:autoSpaceDE/>
        <w:autoSpaceDN/>
        <w:adjustRightInd/>
        <w:spacing w:after="60" w:line="276" w:lineRule="auto"/>
        <w:ind w:firstLine="567"/>
        <w:jc w:val="both"/>
        <w:textAlignment w:val="auto"/>
        <w:rPr>
          <w:rFonts w:eastAsiaTheme="minorHAnsi"/>
          <w:kern w:val="2"/>
          <w:sz w:val="20"/>
          <w:lang w:val="en-US"/>
          <w14:ligatures w14:val="standardContextual"/>
        </w:rPr>
      </w:pPr>
      <w:r w:rsidRPr="00B3072F">
        <w:rPr>
          <w:rFonts w:eastAsiaTheme="minorHAnsi"/>
          <w:kern w:val="2"/>
          <w:sz w:val="20"/>
          <w:lang w:val="en-US"/>
          <w14:ligatures w14:val="standardContextual"/>
        </w:rPr>
        <w:t>The UAE consensus</w:t>
      </w:r>
      <w:r w:rsidR="00B14D05">
        <w:rPr>
          <w:rFonts w:eastAsiaTheme="minorHAnsi"/>
          <w:kern w:val="2"/>
          <w:sz w:val="20"/>
          <w:lang w:val="en-US"/>
          <w14:ligatures w14:val="standardContextual"/>
        </w:rPr>
        <w:t xml:space="preserve"> [1]</w:t>
      </w:r>
      <w:r w:rsidRPr="00B3072F">
        <w:rPr>
          <w:rFonts w:eastAsiaTheme="minorHAnsi"/>
          <w:kern w:val="2"/>
          <w:sz w:val="20"/>
          <w:lang w:val="en-US"/>
          <w14:ligatures w14:val="standardContextual"/>
        </w:rPr>
        <w:t xml:space="preserve"> appeared because of collaborative efforts by all parties </w:t>
      </w:r>
      <w:r w:rsidR="006F47B6" w:rsidRPr="00B3072F">
        <w:rPr>
          <w:rFonts w:eastAsiaTheme="minorHAnsi"/>
          <w:kern w:val="2"/>
          <w:sz w:val="20"/>
          <w:lang w:val="en-US"/>
          <w14:ligatures w14:val="standardContextual"/>
        </w:rPr>
        <w:t>led</w:t>
      </w:r>
      <w:r w:rsidRPr="00B3072F">
        <w:rPr>
          <w:rFonts w:eastAsiaTheme="minorHAnsi"/>
          <w:kern w:val="2"/>
          <w:sz w:val="20"/>
          <w:lang w:val="en-US"/>
          <w14:ligatures w14:val="standardContextual"/>
        </w:rPr>
        <w:t xml:space="preserve"> by the UAE and for the first time reached consensus on placing nuclear among clean energies contributing to climate change mitigation. It highlighted the shared </w:t>
      </w:r>
      <w:r w:rsidR="006F47B6" w:rsidRPr="00B3072F">
        <w:rPr>
          <w:rFonts w:eastAsiaTheme="minorHAnsi"/>
          <w:kern w:val="2"/>
          <w:sz w:val="20"/>
          <w:lang w:val="en-US"/>
          <w14:ligatures w14:val="standardContextual"/>
        </w:rPr>
        <w:t>vision of</w:t>
      </w:r>
      <w:r w:rsidRPr="00B3072F">
        <w:rPr>
          <w:rFonts w:eastAsiaTheme="minorHAnsi"/>
          <w:kern w:val="2"/>
          <w:sz w:val="20"/>
          <w:lang w:val="en-US"/>
          <w14:ligatures w14:val="standardContextual"/>
        </w:rPr>
        <w:t xml:space="preserve"> more than 20</w:t>
      </w:r>
      <w:r w:rsidR="00CE6947">
        <w:rPr>
          <w:rFonts w:eastAsiaTheme="minorHAnsi"/>
          <w:kern w:val="2"/>
          <w:sz w:val="20"/>
          <w:lang w:val="en-US"/>
          <w14:ligatures w14:val="standardContextual"/>
        </w:rPr>
        <w:t xml:space="preserve"> countries</w:t>
      </w:r>
      <w:r w:rsidR="009814FD">
        <w:rPr>
          <w:rFonts w:eastAsiaTheme="minorHAnsi"/>
          <w:kern w:val="2"/>
          <w:sz w:val="20"/>
          <w:lang w:val="en-US"/>
          <w14:ligatures w14:val="standardContextual"/>
        </w:rPr>
        <w:t xml:space="preserve"> which undersign a joint declaration</w:t>
      </w:r>
      <w:r w:rsidRPr="00B3072F">
        <w:rPr>
          <w:rFonts w:eastAsiaTheme="minorHAnsi"/>
          <w:kern w:val="2"/>
          <w:sz w:val="20"/>
          <w:lang w:val="en-US"/>
          <w14:ligatures w14:val="standardContextual"/>
        </w:rPr>
        <w:t xml:space="preserve"> to triple nuclear capacity by 2050</w:t>
      </w:r>
      <w:r w:rsidR="00E46A23">
        <w:rPr>
          <w:rFonts w:eastAsiaTheme="minorHAnsi"/>
          <w:kern w:val="2"/>
          <w:sz w:val="20"/>
          <w:lang w:val="en-US"/>
          <w14:ligatures w14:val="standardContextual"/>
        </w:rPr>
        <w:t xml:space="preserve"> </w:t>
      </w:r>
      <w:r w:rsidR="0031073B">
        <w:rPr>
          <w:rFonts w:eastAsiaTheme="minorHAnsi"/>
          <w:kern w:val="2"/>
          <w:sz w:val="20"/>
          <w:lang w:val="en-US"/>
          <w14:ligatures w14:val="standardContextual"/>
        </w:rPr>
        <w:t>[2]</w:t>
      </w:r>
      <w:r w:rsidRPr="00B3072F">
        <w:rPr>
          <w:rFonts w:eastAsiaTheme="minorHAnsi"/>
          <w:kern w:val="2"/>
          <w:sz w:val="20"/>
          <w:lang w:val="en-US"/>
          <w14:ligatures w14:val="standardContextual"/>
        </w:rPr>
        <w:t>.</w:t>
      </w:r>
    </w:p>
    <w:p w14:paraId="58B1B0AB" w14:textId="77777777" w:rsidR="00B3072F" w:rsidRPr="00B3072F" w:rsidRDefault="00B3072F" w:rsidP="00492AD2">
      <w:pPr>
        <w:overflowPunct/>
        <w:autoSpaceDE/>
        <w:autoSpaceDN/>
        <w:adjustRightInd/>
        <w:spacing w:after="60" w:line="276" w:lineRule="auto"/>
        <w:ind w:firstLine="567"/>
        <w:jc w:val="both"/>
        <w:textAlignment w:val="auto"/>
        <w:rPr>
          <w:rFonts w:eastAsiaTheme="minorHAnsi"/>
          <w:kern w:val="2"/>
          <w:sz w:val="20"/>
          <w:lang w:val="en-US"/>
          <w14:ligatures w14:val="standardContextual"/>
        </w:rPr>
      </w:pPr>
      <w:r w:rsidRPr="00B3072F">
        <w:rPr>
          <w:rFonts w:eastAsiaTheme="minorHAnsi"/>
          <w:kern w:val="2"/>
          <w:sz w:val="20"/>
          <w:lang w:val="en-US"/>
          <w14:ligatures w14:val="standardContextual"/>
        </w:rPr>
        <w:t>The UAE consensus underscored the significance of nuclear power as a reliable, low-carbon energy source. It recognized the need to prioritize investments in nuclear technology to achieve the goals set in the Paris Agreement and to meet the growing global energy demand without adversely impacting the environment. Furthermore, the consensus emphasized the importance of international cooperation, technology exchange, and financing mechanisms to support the expansion of nuclear energy.</w:t>
      </w:r>
    </w:p>
    <w:p w14:paraId="1B4FDA9A" w14:textId="7D687E24" w:rsidR="00B3072F" w:rsidRPr="00B3072F" w:rsidRDefault="00B3072F" w:rsidP="00DB5C23">
      <w:pPr>
        <w:overflowPunct/>
        <w:autoSpaceDE/>
        <w:autoSpaceDN/>
        <w:adjustRightInd/>
        <w:spacing w:after="60" w:line="276" w:lineRule="auto"/>
        <w:ind w:firstLine="567"/>
        <w:jc w:val="both"/>
        <w:textAlignment w:val="auto"/>
        <w:rPr>
          <w:rFonts w:eastAsiaTheme="minorHAnsi"/>
          <w:kern w:val="2"/>
          <w:sz w:val="20"/>
          <w:lang w:val="en-US"/>
          <w14:ligatures w14:val="standardContextual"/>
        </w:rPr>
      </w:pPr>
      <w:r w:rsidRPr="00B3072F">
        <w:rPr>
          <w:rFonts w:eastAsiaTheme="minorHAnsi"/>
          <w:kern w:val="2"/>
          <w:sz w:val="20"/>
          <w:lang w:val="en-US"/>
          <w14:ligatures w14:val="standardContextual"/>
        </w:rPr>
        <w:t>The implications of the UAE consensus are far-reaching. It signals a collective commitment to harnessing the full potential of nuclear power, not only in terms of electricity generation but also in advancing research and development in the nuclear field. This consensus has the potential to stimulate innovation, collaboration, and investment in nuclear energy, ultimately helping countries achieve their climate mitigation goals while ensuring energy security and power reliability.</w:t>
      </w:r>
    </w:p>
    <w:p w14:paraId="61820C14" w14:textId="5CF5F09E" w:rsidR="00B3072F" w:rsidRPr="00B3072F" w:rsidRDefault="00081475" w:rsidP="00F82181">
      <w:pPr>
        <w:pStyle w:val="Heading3"/>
        <w:spacing w:after="60" w:line="276" w:lineRule="auto"/>
        <w:ind w:firstLine="567"/>
        <w:jc w:val="both"/>
        <w:rPr>
          <w:rFonts w:eastAsiaTheme="minorHAnsi"/>
          <w:kern w:val="2"/>
          <w:u w:val="single"/>
          <w:lang w:val="en-US"/>
          <w14:ligatures w14:val="standardContextual"/>
        </w:rPr>
      </w:pPr>
      <w:r>
        <w:t>Tripling Nuclear Capacity by 2050</w:t>
      </w:r>
      <w:r w:rsidR="00D80A3A">
        <w:t>: Challenges and Solutions</w:t>
      </w:r>
    </w:p>
    <w:p w14:paraId="551635B4" w14:textId="77777777" w:rsidR="00B3072F" w:rsidRPr="00B3072F" w:rsidRDefault="00B3072F" w:rsidP="00F82181">
      <w:pPr>
        <w:overflowPunct/>
        <w:autoSpaceDE/>
        <w:autoSpaceDN/>
        <w:adjustRightInd/>
        <w:spacing w:after="60" w:line="276" w:lineRule="auto"/>
        <w:ind w:firstLine="567"/>
        <w:jc w:val="both"/>
        <w:textAlignment w:val="auto"/>
        <w:rPr>
          <w:rFonts w:eastAsiaTheme="minorHAnsi"/>
          <w:kern w:val="2"/>
          <w:sz w:val="20"/>
          <w:lang w:val="en-US"/>
          <w14:ligatures w14:val="standardContextual"/>
        </w:rPr>
      </w:pPr>
    </w:p>
    <w:p w14:paraId="19B38B7E" w14:textId="77777777" w:rsidR="0031414C" w:rsidRDefault="00B3072F" w:rsidP="0031414C">
      <w:pPr>
        <w:overflowPunct/>
        <w:autoSpaceDE/>
        <w:autoSpaceDN/>
        <w:adjustRightInd/>
        <w:spacing w:after="60" w:line="276" w:lineRule="auto"/>
        <w:ind w:firstLine="567"/>
        <w:jc w:val="both"/>
        <w:textAlignment w:val="auto"/>
        <w:rPr>
          <w:rFonts w:eastAsiaTheme="minorHAnsi"/>
          <w:kern w:val="2"/>
          <w:sz w:val="20"/>
          <w:lang w:val="en-US"/>
          <w14:ligatures w14:val="standardContextual"/>
        </w:rPr>
      </w:pPr>
      <w:r w:rsidRPr="00B3072F">
        <w:rPr>
          <w:rFonts w:eastAsiaTheme="minorHAnsi"/>
          <w:kern w:val="2"/>
          <w:sz w:val="20"/>
          <w:lang w:val="en-US"/>
          <w14:ligatures w14:val="standardContextual"/>
        </w:rPr>
        <w:t xml:space="preserve">The </w:t>
      </w:r>
      <w:r w:rsidR="009F023D" w:rsidRPr="00B3072F">
        <w:rPr>
          <w:rFonts w:eastAsiaTheme="minorHAnsi"/>
          <w:kern w:val="2"/>
          <w:sz w:val="20"/>
          <w:lang w:val="en-US"/>
          <w14:ligatures w14:val="standardContextual"/>
        </w:rPr>
        <w:t>goal</w:t>
      </w:r>
      <w:r w:rsidRPr="00B3072F">
        <w:rPr>
          <w:rFonts w:eastAsiaTheme="minorHAnsi"/>
          <w:kern w:val="2"/>
          <w:sz w:val="20"/>
          <w:lang w:val="en-US"/>
          <w14:ligatures w14:val="standardContextual"/>
        </w:rPr>
        <w:t xml:space="preserve"> of tripling nuclear capacity by 2050 is a bold and ambitious </w:t>
      </w:r>
      <w:r w:rsidR="009F023D">
        <w:rPr>
          <w:rFonts w:eastAsiaTheme="minorHAnsi"/>
          <w:kern w:val="2"/>
          <w:sz w:val="20"/>
          <w:lang w:val="en-US"/>
          <w14:ligatures w14:val="standardContextual"/>
        </w:rPr>
        <w:t>target</w:t>
      </w:r>
      <w:r w:rsidRPr="00B3072F">
        <w:rPr>
          <w:rFonts w:eastAsiaTheme="minorHAnsi"/>
          <w:kern w:val="2"/>
          <w:sz w:val="20"/>
          <w:lang w:val="en-US"/>
          <w14:ligatures w14:val="standardContextual"/>
        </w:rPr>
        <w:t xml:space="preserve"> that aligns with the increasing need for clean, reliable, and scalable energy sources. Tripling nuclear capacity would require significant investment, technological advancements, and global cooperation.</w:t>
      </w:r>
    </w:p>
    <w:p w14:paraId="08BB56EC" w14:textId="77777777" w:rsidR="000328CF" w:rsidRDefault="00B3072F" w:rsidP="000328CF">
      <w:pPr>
        <w:overflowPunct/>
        <w:autoSpaceDE/>
        <w:autoSpaceDN/>
        <w:adjustRightInd/>
        <w:spacing w:after="60" w:line="276" w:lineRule="auto"/>
        <w:ind w:firstLine="567"/>
        <w:jc w:val="both"/>
        <w:textAlignment w:val="auto"/>
        <w:rPr>
          <w:rFonts w:eastAsiaTheme="minorHAnsi"/>
          <w:kern w:val="2"/>
          <w:sz w:val="20"/>
          <w:lang w:val="en-US"/>
          <w14:ligatures w14:val="standardContextual"/>
        </w:rPr>
      </w:pPr>
      <w:r w:rsidRPr="00B3072F">
        <w:rPr>
          <w:rFonts w:eastAsiaTheme="minorHAnsi"/>
          <w:kern w:val="2"/>
          <w:sz w:val="20"/>
          <w:lang w:val="en-US"/>
          <w14:ligatures w14:val="standardContextual"/>
        </w:rPr>
        <w:lastRenderedPageBreak/>
        <w:t>While nuclear power offers several advantages, such as its low carbon emissions, small land footprint requirements and the ability to provide continuous and base-load electricity, it also presents challenges. These challenges include the historic high upfront costs of building nuclear infrastructure, concerns regarding waste management and decommissioning, public perception and acceptance, and the availability of financing mechanisms.</w:t>
      </w:r>
    </w:p>
    <w:p w14:paraId="28770A54" w14:textId="461E2EEA" w:rsidR="00B3072F" w:rsidRPr="00B3072F" w:rsidRDefault="00B3072F" w:rsidP="000328CF">
      <w:pPr>
        <w:overflowPunct/>
        <w:autoSpaceDE/>
        <w:autoSpaceDN/>
        <w:adjustRightInd/>
        <w:spacing w:after="60" w:line="276" w:lineRule="auto"/>
        <w:ind w:firstLine="567"/>
        <w:jc w:val="both"/>
        <w:textAlignment w:val="auto"/>
        <w:rPr>
          <w:rFonts w:eastAsiaTheme="minorHAnsi"/>
          <w:kern w:val="2"/>
          <w:sz w:val="20"/>
          <w:lang w:val="en-US"/>
          <w14:ligatures w14:val="standardContextual"/>
        </w:rPr>
      </w:pPr>
      <w:r w:rsidRPr="00B3072F">
        <w:rPr>
          <w:rFonts w:eastAsiaTheme="minorHAnsi"/>
          <w:kern w:val="2"/>
          <w:sz w:val="20"/>
          <w:lang w:val="en-US"/>
          <w14:ligatures w14:val="standardContextual"/>
        </w:rPr>
        <w:t xml:space="preserve">To meet the challenges in tripling nuclear capacity, innovative financing models and mechanisms need to be </w:t>
      </w:r>
      <w:r w:rsidR="0090799C">
        <w:rPr>
          <w:rFonts w:eastAsiaTheme="minorHAnsi"/>
          <w:kern w:val="2"/>
          <w:sz w:val="20"/>
          <w:lang w:val="en-US"/>
          <w14:ligatures w14:val="standardContextual"/>
        </w:rPr>
        <w:t>in place</w:t>
      </w:r>
      <w:r w:rsidRPr="00B3072F">
        <w:rPr>
          <w:rFonts w:eastAsiaTheme="minorHAnsi"/>
          <w:kern w:val="2"/>
          <w:sz w:val="20"/>
          <w:lang w:val="en-US"/>
          <w14:ligatures w14:val="standardContextual"/>
        </w:rPr>
        <w:t>. The establishment of the International Bank for Nuclear Infrastructure (IBNI) is seen as a potential game-changer in this regard. IBNI aims to provide financial support tailored specifically for nuclear investments, facilitating the development of nuclear infrastructure and promoting the adoption of advanced nuclear technologies. IBNI will be a technology-neutral IFI, financing and supporting all nuclear technologies and related supply chain.</w:t>
      </w:r>
    </w:p>
    <w:p w14:paraId="1B297C48" w14:textId="58160D85" w:rsidR="00EE0041" w:rsidRDefault="007502E4" w:rsidP="005B0886">
      <w:pPr>
        <w:pStyle w:val="Heading2"/>
        <w:numPr>
          <w:ilvl w:val="1"/>
          <w:numId w:val="10"/>
        </w:numPr>
      </w:pPr>
      <w:r>
        <w:t xml:space="preserve">FINANCING </w:t>
      </w:r>
      <w:r w:rsidR="00C06246">
        <w:t xml:space="preserve">MECHANISMS EVOLUTION </w:t>
      </w:r>
      <w:r w:rsidR="00481691">
        <w:t>AND INNOVATIVE SOLUTIONS</w:t>
      </w:r>
    </w:p>
    <w:p w14:paraId="7549F72B" w14:textId="00ADAB39" w:rsidR="00A748AE" w:rsidRPr="005448E2" w:rsidRDefault="002A735F" w:rsidP="00A748AE">
      <w:pPr>
        <w:pStyle w:val="Heading3"/>
        <w:spacing w:after="60" w:line="276" w:lineRule="auto"/>
        <w:ind w:firstLine="567"/>
        <w:jc w:val="both"/>
        <w:rPr>
          <w:rFonts w:eastAsiaTheme="minorHAnsi"/>
          <w:kern w:val="2"/>
          <w:u w:val="single"/>
          <w:lang w:val="en-US"/>
          <w14:ligatures w14:val="standardContextual"/>
        </w:rPr>
      </w:pPr>
      <w:r w:rsidRPr="005448E2">
        <w:rPr>
          <w:rFonts w:eastAsiaTheme="minorEastAsia"/>
          <w:bCs/>
          <w:lang w:val="en-US" w:eastAsia="en-GB"/>
        </w:rPr>
        <w:t>Scaling Nuclear Investments</w:t>
      </w:r>
      <w:r w:rsidR="000A22A6">
        <w:t xml:space="preserve">: </w:t>
      </w:r>
      <w:r w:rsidR="009C6266" w:rsidRPr="005448E2">
        <w:rPr>
          <w:rFonts w:eastAsiaTheme="minorEastAsia"/>
          <w:bCs/>
          <w:lang w:val="en-US" w:eastAsia="en-GB"/>
        </w:rPr>
        <w:t>Financing</w:t>
      </w:r>
      <w:r w:rsidR="00865CA9">
        <w:t xml:space="preserve"> </w:t>
      </w:r>
    </w:p>
    <w:p w14:paraId="319C1778" w14:textId="77777777" w:rsidR="00A748AE" w:rsidRPr="00A748AE" w:rsidRDefault="00A748AE" w:rsidP="00A748AE">
      <w:pPr>
        <w:overflowPunct/>
        <w:autoSpaceDE/>
        <w:autoSpaceDN/>
        <w:adjustRightInd/>
        <w:spacing w:after="60"/>
        <w:textAlignment w:val="auto"/>
        <w:rPr>
          <w:rFonts w:eastAsiaTheme="minorHAnsi"/>
          <w:kern w:val="2"/>
          <w:sz w:val="20"/>
          <w:lang w:val="en-US"/>
          <w14:ligatures w14:val="standardContextual"/>
        </w:rPr>
      </w:pPr>
    </w:p>
    <w:p w14:paraId="4C3D312E" w14:textId="067622D5" w:rsidR="00A748AE" w:rsidRDefault="00A748AE" w:rsidP="00D026A6">
      <w:pPr>
        <w:overflowPunct/>
        <w:autoSpaceDE/>
        <w:autoSpaceDN/>
        <w:adjustRightInd/>
        <w:spacing w:after="60" w:line="276" w:lineRule="auto"/>
        <w:ind w:firstLine="567"/>
        <w:jc w:val="both"/>
        <w:textAlignment w:val="auto"/>
        <w:rPr>
          <w:color w:val="212529"/>
          <w:kern w:val="2"/>
          <w:sz w:val="20"/>
          <w:shd w:val="clear" w:color="auto" w:fill="FFFFFF"/>
          <w:lang w:val="en-US"/>
          <w14:ligatures w14:val="standardContextual"/>
        </w:rPr>
      </w:pPr>
      <w:r w:rsidRPr="00A748AE">
        <w:rPr>
          <w:rFonts w:eastAsiaTheme="minorHAnsi"/>
          <w:kern w:val="2"/>
          <w:sz w:val="20"/>
          <w:lang w:val="en-US"/>
          <w14:ligatures w14:val="standardContextual"/>
        </w:rPr>
        <w:t xml:space="preserve">COP28 declaration </w:t>
      </w:r>
      <w:r w:rsidR="00861F19">
        <w:rPr>
          <w:rFonts w:eastAsiaTheme="minorHAnsi"/>
          <w:kern w:val="2"/>
          <w:sz w:val="20"/>
          <w:lang w:val="en-US"/>
          <w14:ligatures w14:val="standardContextual"/>
        </w:rPr>
        <w:t xml:space="preserve">[2] </w:t>
      </w:r>
      <w:r w:rsidRPr="00A748AE">
        <w:rPr>
          <w:rFonts w:eastAsiaTheme="minorHAnsi"/>
          <w:kern w:val="2"/>
          <w:sz w:val="20"/>
          <w:lang w:val="en-US"/>
          <w14:ligatures w14:val="standardContextual"/>
        </w:rPr>
        <w:t>to triple nuclear “</w:t>
      </w:r>
      <w:r w:rsidRPr="00A748AE">
        <w:rPr>
          <w:i/>
          <w:iCs/>
          <w:color w:val="292929"/>
          <w:kern w:val="2"/>
          <w:sz w:val="20"/>
          <w:lang w:val="en-US"/>
          <w14:ligatures w14:val="standardContextual"/>
        </w:rPr>
        <w:t>Invite</w:t>
      </w:r>
      <w:r w:rsidRPr="00A748AE">
        <w:rPr>
          <w:color w:val="292929"/>
          <w:kern w:val="2"/>
          <w:sz w:val="20"/>
          <w:shd w:val="clear" w:color="auto" w:fill="FFFFFF"/>
          <w:lang w:val="en-US"/>
          <w14:ligatures w14:val="standardContextual"/>
        </w:rPr>
        <w:t> shareholders of the World Bank, international financial institutions, and regional development banks to encourage the inclusion of nuclear energy in their organizations’ energy lending policies as needed, and to actively support nuclear power when they have such a mandate”. Similarly the</w:t>
      </w:r>
      <w:r w:rsidR="008C62CA">
        <w:rPr>
          <w:color w:val="292929"/>
          <w:kern w:val="2"/>
          <w:sz w:val="20"/>
          <w:shd w:val="clear" w:color="auto" w:fill="FFFFFF"/>
          <w:lang w:val="en-US"/>
          <w14:ligatures w14:val="standardContextual"/>
        </w:rPr>
        <w:t xml:space="preserve"> IAEA</w:t>
      </w:r>
      <w:r w:rsidRPr="00A748AE">
        <w:rPr>
          <w:color w:val="292929"/>
          <w:kern w:val="2"/>
          <w:sz w:val="20"/>
          <w:shd w:val="clear" w:color="auto" w:fill="FFFFFF"/>
          <w:lang w:val="en-US"/>
          <w14:ligatures w14:val="standardContextual"/>
        </w:rPr>
        <w:t xml:space="preserve"> Nuclear Energy Summit which took place in Brussels, March 2024 adopted Declaration </w:t>
      </w:r>
      <w:r w:rsidR="003271DE">
        <w:rPr>
          <w:color w:val="292929"/>
          <w:kern w:val="2"/>
          <w:sz w:val="20"/>
          <w:shd w:val="clear" w:color="auto" w:fill="FFFFFF"/>
          <w:lang w:val="en-US"/>
          <w14:ligatures w14:val="standardContextual"/>
        </w:rPr>
        <w:t xml:space="preserve">[3] </w:t>
      </w:r>
      <w:r w:rsidRPr="00A748AE">
        <w:rPr>
          <w:color w:val="292929"/>
          <w:kern w:val="2"/>
          <w:sz w:val="20"/>
          <w:shd w:val="clear" w:color="auto" w:fill="FFFFFF"/>
          <w:lang w:val="en-US"/>
          <w14:ligatures w14:val="standardContextual"/>
        </w:rPr>
        <w:t xml:space="preserve">on Nuclear energy which inter </w:t>
      </w:r>
      <w:r w:rsidR="006B6F65">
        <w:rPr>
          <w:color w:val="292929"/>
          <w:kern w:val="2"/>
          <w:sz w:val="20"/>
          <w:shd w:val="clear" w:color="auto" w:fill="FFFFFF"/>
          <w:lang w:val="en-US"/>
          <w14:ligatures w14:val="standardContextual"/>
        </w:rPr>
        <w:t>alia</w:t>
      </w:r>
      <w:r w:rsidRPr="00A748AE">
        <w:rPr>
          <w:color w:val="292929"/>
          <w:kern w:val="2"/>
          <w:sz w:val="20"/>
          <w:shd w:val="clear" w:color="auto" w:fill="FFFFFF"/>
          <w:lang w:val="en-US"/>
          <w14:ligatures w14:val="standardContextual"/>
        </w:rPr>
        <w:t xml:space="preserve"> </w:t>
      </w:r>
      <w:r w:rsidRPr="00A748AE">
        <w:rPr>
          <w:color w:val="212529"/>
          <w:kern w:val="2"/>
          <w:sz w:val="20"/>
          <w:shd w:val="clear" w:color="auto" w:fill="FFFFFF"/>
          <w:lang w:val="en-US"/>
          <w14:ligatures w14:val="standardContextual"/>
        </w:rPr>
        <w:t xml:space="preserve"> </w:t>
      </w:r>
      <w:r w:rsidR="00EC2252">
        <w:rPr>
          <w:color w:val="212529"/>
          <w:kern w:val="2"/>
          <w:sz w:val="20"/>
          <w:shd w:val="clear" w:color="auto" w:fill="FFFFFF"/>
          <w:lang w:val="en-US"/>
          <w14:ligatures w14:val="standardContextual"/>
        </w:rPr>
        <w:t>“</w:t>
      </w:r>
      <w:r w:rsidRPr="00A748AE">
        <w:rPr>
          <w:color w:val="212529"/>
          <w:kern w:val="2"/>
          <w:sz w:val="20"/>
          <w:shd w:val="clear" w:color="auto" w:fill="FFFFFF"/>
          <w:lang w:val="en-US"/>
          <w14:ligatures w14:val="standardContextual"/>
        </w:rPr>
        <w:t>invite multinational development banks, international financial institutions and regional bodies that have the mandate to do so to consider strengthening their support for financing nuclear energy projects and to support the establishment of a financial level playing field for all zero emission sources of energy generation." All these political declarations</w:t>
      </w:r>
      <w:r w:rsidR="00115984">
        <w:rPr>
          <w:color w:val="212529"/>
          <w:kern w:val="2"/>
          <w:sz w:val="20"/>
          <w:shd w:val="clear" w:color="auto" w:fill="FFFFFF"/>
          <w:lang w:val="en-US"/>
          <w14:ligatures w14:val="standardContextual"/>
        </w:rPr>
        <w:t xml:space="preserve"> have</w:t>
      </w:r>
      <w:r w:rsidR="006F47B6">
        <w:rPr>
          <w:color w:val="212529"/>
          <w:kern w:val="2"/>
          <w:sz w:val="20"/>
          <w:shd w:val="clear" w:color="auto" w:fill="FFFFFF"/>
          <w:lang w:val="en-US"/>
          <w14:ligatures w14:val="standardContextual"/>
        </w:rPr>
        <w:t xml:space="preserve"> a</w:t>
      </w:r>
      <w:r w:rsidR="00115984">
        <w:rPr>
          <w:color w:val="212529"/>
          <w:kern w:val="2"/>
          <w:sz w:val="20"/>
          <w:shd w:val="clear" w:color="auto" w:fill="FFFFFF"/>
          <w:lang w:val="en-US"/>
          <w14:ligatures w14:val="standardContextual"/>
        </w:rPr>
        <w:t xml:space="preserve"> </w:t>
      </w:r>
      <w:r w:rsidR="00712D84">
        <w:rPr>
          <w:color w:val="212529"/>
          <w:kern w:val="2"/>
          <w:sz w:val="20"/>
          <w:shd w:val="clear" w:color="auto" w:fill="FFFFFF"/>
          <w:lang w:val="en-US"/>
          <w14:ligatures w14:val="standardContextual"/>
        </w:rPr>
        <w:t>prominent place</w:t>
      </w:r>
      <w:r w:rsidR="00115984">
        <w:rPr>
          <w:color w:val="212529"/>
          <w:kern w:val="2"/>
          <w:sz w:val="20"/>
          <w:shd w:val="clear" w:color="auto" w:fill="FFFFFF"/>
          <w:lang w:val="en-US"/>
          <w14:ligatures w14:val="standardContextual"/>
        </w:rPr>
        <w:t xml:space="preserve"> in shaping the public </w:t>
      </w:r>
      <w:r w:rsidR="005C23FE">
        <w:rPr>
          <w:color w:val="212529"/>
          <w:kern w:val="2"/>
          <w:sz w:val="20"/>
          <w:shd w:val="clear" w:color="auto" w:fill="FFFFFF"/>
          <w:lang w:val="en-US"/>
          <w14:ligatures w14:val="standardContextual"/>
        </w:rPr>
        <w:t>policies in place, however they</w:t>
      </w:r>
      <w:r w:rsidRPr="00A748AE">
        <w:rPr>
          <w:color w:val="212529"/>
          <w:kern w:val="2"/>
          <w:sz w:val="20"/>
          <w:shd w:val="clear" w:color="auto" w:fill="FFFFFF"/>
          <w:lang w:val="en-US"/>
          <w14:ligatures w14:val="standardContextual"/>
        </w:rPr>
        <w:t xml:space="preserve"> should </w:t>
      </w:r>
      <w:bookmarkStart w:id="0" w:name="_Int_DAHfQChf"/>
      <w:r w:rsidR="00712D84">
        <w:rPr>
          <w:color w:val="212529"/>
          <w:kern w:val="2"/>
          <w:sz w:val="20"/>
          <w:shd w:val="clear" w:color="auto" w:fill="FFFFFF"/>
          <w:lang w:val="en-US"/>
          <w14:ligatures w14:val="standardContextual"/>
        </w:rPr>
        <w:t>be further supported</w:t>
      </w:r>
      <w:bookmarkEnd w:id="0"/>
      <w:r w:rsidRPr="00A748AE">
        <w:rPr>
          <w:color w:val="212529"/>
          <w:kern w:val="2"/>
          <w:sz w:val="20"/>
          <w:shd w:val="clear" w:color="auto" w:fill="FFFFFF"/>
          <w:lang w:val="en-US"/>
          <w14:ligatures w14:val="standardContextual"/>
        </w:rPr>
        <w:t xml:space="preserve"> by specific actions.</w:t>
      </w:r>
    </w:p>
    <w:p w14:paraId="0104E747" w14:textId="40392C2C" w:rsidR="00E77939" w:rsidRPr="00E77939" w:rsidRDefault="00E554C6" w:rsidP="00E85022">
      <w:pPr>
        <w:overflowPunct/>
        <w:autoSpaceDE/>
        <w:autoSpaceDN/>
        <w:adjustRightInd/>
        <w:spacing w:line="276" w:lineRule="auto"/>
        <w:jc w:val="both"/>
        <w:textAlignment w:val="auto"/>
        <w:rPr>
          <w:sz w:val="20"/>
          <w:lang w:val="en-US" w:eastAsia="en-GB"/>
        </w:rPr>
      </w:pPr>
      <w:r>
        <w:rPr>
          <w:sz w:val="20"/>
          <w:lang w:val="en-US" w:eastAsia="en-GB"/>
        </w:rPr>
        <w:t xml:space="preserve">The scale of the nuclear market, as </w:t>
      </w:r>
      <w:r w:rsidR="00E77939" w:rsidRPr="00A748AE">
        <w:rPr>
          <w:sz w:val="20"/>
          <w:lang w:val="en-US" w:eastAsia="en-GB"/>
        </w:rPr>
        <w:t>per the IAEA and WNA</w:t>
      </w:r>
      <w:r w:rsidR="00855E06">
        <w:rPr>
          <w:sz w:val="20"/>
          <w:lang w:val="en-US" w:eastAsia="en-GB"/>
        </w:rPr>
        <w:t xml:space="preserve"> is that</w:t>
      </w:r>
      <w:r w:rsidR="00E77939" w:rsidRPr="00A748AE">
        <w:rPr>
          <w:sz w:val="20"/>
          <w:lang w:val="en-US" w:eastAsia="en-GB"/>
        </w:rPr>
        <w:t xml:space="preserve"> currently 31 countries are operating 440 nuclear power plants</w:t>
      </w:r>
      <w:r w:rsidR="00E77939" w:rsidRPr="005448E2">
        <w:rPr>
          <w:sz w:val="20"/>
          <w:lang w:val="en-US" w:eastAsia="en-GB"/>
        </w:rPr>
        <w:t>, 6</w:t>
      </w:r>
      <w:r w:rsidR="00E77939" w:rsidRPr="00A748AE">
        <w:rPr>
          <w:sz w:val="20"/>
          <w:lang w:val="en-US" w:eastAsia="en-GB"/>
        </w:rPr>
        <w:t xml:space="preserve">1 NPP are under </w:t>
      </w:r>
      <w:r w:rsidR="00E85022" w:rsidRPr="00A748AE">
        <w:rPr>
          <w:sz w:val="20"/>
          <w:lang w:val="en-US" w:eastAsia="en-GB"/>
        </w:rPr>
        <w:t>construction and</w:t>
      </w:r>
      <w:r w:rsidR="00E77939" w:rsidRPr="00A748AE">
        <w:rPr>
          <w:sz w:val="20"/>
          <w:lang w:val="en-US" w:eastAsia="en-GB"/>
        </w:rPr>
        <w:t xml:space="preserve"> about another 30 </w:t>
      </w:r>
      <w:r w:rsidR="00E77939" w:rsidRPr="005448E2">
        <w:rPr>
          <w:sz w:val="20"/>
          <w:lang w:val="en-US" w:eastAsia="en-GB"/>
        </w:rPr>
        <w:t xml:space="preserve">countries </w:t>
      </w:r>
      <w:r w:rsidR="00E77939" w:rsidRPr="00A748AE">
        <w:rPr>
          <w:sz w:val="20"/>
          <w:lang w:val="en-US" w:eastAsia="en-GB"/>
        </w:rPr>
        <w:t>are aspiring to introduce nuclear power in their energy mix for the first time also called “</w:t>
      </w:r>
      <w:r w:rsidR="007E1C1B">
        <w:rPr>
          <w:sz w:val="20"/>
          <w:lang w:val="en-US" w:eastAsia="en-GB"/>
        </w:rPr>
        <w:t>nuclear newcomers</w:t>
      </w:r>
      <w:r w:rsidR="00E77939" w:rsidRPr="00A748AE">
        <w:rPr>
          <w:sz w:val="20"/>
          <w:lang w:val="en-US" w:eastAsia="en-GB"/>
        </w:rPr>
        <w:t xml:space="preserve">”. The lead time in creating the necessary nuclear infrastructure and </w:t>
      </w:r>
      <w:r w:rsidR="006F47B6" w:rsidRPr="00A748AE">
        <w:rPr>
          <w:sz w:val="20"/>
          <w:lang w:val="en-US" w:eastAsia="en-GB"/>
        </w:rPr>
        <w:t>commissioning</w:t>
      </w:r>
      <w:r w:rsidR="00E77939" w:rsidRPr="00A748AE">
        <w:rPr>
          <w:sz w:val="20"/>
          <w:lang w:val="en-US" w:eastAsia="en-GB"/>
        </w:rPr>
        <w:t xml:space="preserve"> the first nuclear power plant is considered to be 10-15 years, proven by the recent UAE experience.</w:t>
      </w:r>
      <w:r w:rsidR="00E14707">
        <w:rPr>
          <w:sz w:val="20"/>
          <w:lang w:val="en-US" w:eastAsia="en-GB"/>
        </w:rPr>
        <w:t xml:space="preserve"> Such development timeline can be expected to </w:t>
      </w:r>
      <w:r w:rsidR="006F47B6">
        <w:rPr>
          <w:sz w:val="20"/>
          <w:lang w:val="en-US" w:eastAsia="en-GB"/>
        </w:rPr>
        <w:t>be much</w:t>
      </w:r>
      <w:r w:rsidR="00E14707">
        <w:rPr>
          <w:sz w:val="20"/>
          <w:lang w:val="en-US" w:eastAsia="en-GB"/>
        </w:rPr>
        <w:t xml:space="preserve"> shorter</w:t>
      </w:r>
      <w:r w:rsidR="00A00E78">
        <w:rPr>
          <w:sz w:val="20"/>
          <w:lang w:val="en-US" w:eastAsia="en-GB"/>
        </w:rPr>
        <w:t xml:space="preserve"> with the SMR technologies under deployment.</w:t>
      </w:r>
      <w:r w:rsidR="00E77939" w:rsidRPr="00A748AE">
        <w:rPr>
          <w:sz w:val="20"/>
          <w:lang w:val="en-US" w:eastAsia="en-GB"/>
        </w:rPr>
        <w:t xml:space="preserve"> </w:t>
      </w:r>
    </w:p>
    <w:p w14:paraId="04D92AA6" w14:textId="28CB38BB" w:rsidR="00F97B0E" w:rsidRPr="005448E2" w:rsidRDefault="001119BC" w:rsidP="007049A2">
      <w:pPr>
        <w:pStyle w:val="Heading3"/>
        <w:spacing w:after="60" w:line="276" w:lineRule="auto"/>
        <w:ind w:firstLine="567"/>
        <w:jc w:val="both"/>
        <w:rPr>
          <w:rFonts w:eastAsiaTheme="minorHAnsi"/>
          <w:kern w:val="2"/>
          <w:u w:val="single"/>
          <w:lang w:val="en-US"/>
          <w14:ligatures w14:val="standardContextual"/>
        </w:rPr>
      </w:pPr>
      <w:r>
        <w:rPr>
          <w:rFonts w:eastAsiaTheme="minorEastAsia"/>
          <w:bCs/>
          <w:lang w:val="en-US" w:eastAsia="en-GB"/>
        </w:rPr>
        <w:t>Financial institutions</w:t>
      </w:r>
      <w:r w:rsidR="00985937">
        <w:rPr>
          <w:rFonts w:eastAsiaTheme="minorEastAsia"/>
          <w:bCs/>
          <w:lang w:val="en-US" w:eastAsia="en-GB"/>
        </w:rPr>
        <w:t xml:space="preserve"> lending policies and their evolution</w:t>
      </w:r>
      <w:r w:rsidR="00F97B0E">
        <w:t xml:space="preserve"> </w:t>
      </w:r>
    </w:p>
    <w:p w14:paraId="61AE07CB" w14:textId="77777777" w:rsidR="00A748AE" w:rsidRPr="00A748AE" w:rsidRDefault="00A748AE" w:rsidP="00A748AE">
      <w:pPr>
        <w:overflowPunct/>
        <w:autoSpaceDE/>
        <w:autoSpaceDN/>
        <w:adjustRightInd/>
        <w:spacing w:after="60"/>
        <w:textAlignment w:val="auto"/>
        <w:rPr>
          <w:rFonts w:eastAsiaTheme="minorHAnsi"/>
          <w:kern w:val="2"/>
          <w:sz w:val="20"/>
          <w:lang w:val="en-US"/>
          <w14:ligatures w14:val="standardContextual"/>
        </w:rPr>
      </w:pPr>
    </w:p>
    <w:p w14:paraId="65114DFA" w14:textId="6C607038" w:rsidR="003C4EAB" w:rsidRDefault="00A748AE" w:rsidP="003C4EAB">
      <w:pPr>
        <w:overflowPunct/>
        <w:autoSpaceDE/>
        <w:autoSpaceDN/>
        <w:adjustRightInd/>
        <w:spacing w:after="60" w:line="276" w:lineRule="auto"/>
        <w:ind w:firstLine="567"/>
        <w:jc w:val="both"/>
        <w:textAlignment w:val="auto"/>
        <w:rPr>
          <w:rFonts w:eastAsiaTheme="minorHAnsi"/>
          <w:kern w:val="2"/>
          <w:sz w:val="20"/>
          <w:lang w:val="en-US"/>
          <w14:ligatures w14:val="standardContextual"/>
        </w:rPr>
      </w:pPr>
      <w:r w:rsidRPr="00A748AE">
        <w:rPr>
          <w:rFonts w:eastAsiaTheme="minorHAnsi"/>
          <w:kern w:val="2"/>
          <w:sz w:val="20"/>
          <w:lang w:val="en-US"/>
          <w14:ligatures w14:val="standardContextual"/>
        </w:rPr>
        <w:t xml:space="preserve">The recent lending policy reviews undertaken by </w:t>
      </w:r>
      <w:r w:rsidR="006F47B6" w:rsidRPr="00A748AE">
        <w:rPr>
          <w:rFonts w:eastAsiaTheme="minorHAnsi"/>
          <w:kern w:val="2"/>
          <w:sz w:val="20"/>
          <w:lang w:val="en-US"/>
          <w14:ligatures w14:val="standardContextual"/>
        </w:rPr>
        <w:t>some</w:t>
      </w:r>
      <w:r w:rsidRPr="00A748AE">
        <w:rPr>
          <w:rFonts w:eastAsiaTheme="minorHAnsi"/>
          <w:kern w:val="2"/>
          <w:sz w:val="20"/>
          <w:lang w:val="en-US"/>
          <w14:ligatures w14:val="standardContextual"/>
        </w:rPr>
        <w:t xml:space="preserve"> IFIs has not resulted in </w:t>
      </w:r>
      <w:r w:rsidR="003A01C7">
        <w:rPr>
          <w:rFonts w:eastAsiaTheme="minorHAnsi"/>
          <w:kern w:val="2"/>
          <w:sz w:val="20"/>
          <w:lang w:val="en-US"/>
          <w14:ligatures w14:val="standardContextual"/>
        </w:rPr>
        <w:t>notable change</w:t>
      </w:r>
      <w:r w:rsidRPr="00A748AE">
        <w:rPr>
          <w:rFonts w:eastAsiaTheme="minorHAnsi"/>
          <w:kern w:val="2"/>
          <w:sz w:val="20"/>
          <w:lang w:val="en-US"/>
          <w14:ligatures w14:val="standardContextual"/>
        </w:rPr>
        <w:t xml:space="preserve"> in their position. For example, the European Investment Bank (EIB), with a balance sheet of more than 500 billion €, new leadership announced that SMRs can be of interest to the bank</w:t>
      </w:r>
      <w:r w:rsidR="00140A86">
        <w:rPr>
          <w:rFonts w:eastAsiaTheme="minorHAnsi"/>
          <w:kern w:val="2"/>
          <w:sz w:val="20"/>
          <w:lang w:val="en-US"/>
          <w14:ligatures w14:val="standardContextual"/>
        </w:rPr>
        <w:t xml:space="preserve"> [</w:t>
      </w:r>
      <w:r w:rsidR="003271DE">
        <w:rPr>
          <w:rFonts w:eastAsiaTheme="minorHAnsi"/>
          <w:kern w:val="2"/>
          <w:sz w:val="20"/>
          <w:lang w:val="en-US"/>
          <w14:ligatures w14:val="standardContextual"/>
        </w:rPr>
        <w:t>4].</w:t>
      </w:r>
      <w:r w:rsidRPr="00A748AE">
        <w:rPr>
          <w:rFonts w:eastAsiaTheme="minorHAnsi"/>
          <w:kern w:val="2"/>
          <w:sz w:val="20"/>
          <w:lang w:val="en-US"/>
          <w14:ligatures w14:val="standardContextual"/>
        </w:rPr>
        <w:t xml:space="preserve"> Mrs. Calviño said Europe “needs to be active because cannot be behind the curve” on “modular reactors.” EIB has a nuclear lending policy</w:t>
      </w:r>
      <w:r w:rsidR="00DA1AD3">
        <w:rPr>
          <w:rFonts w:eastAsiaTheme="minorHAnsi"/>
          <w:kern w:val="2"/>
          <w:sz w:val="20"/>
          <w:lang w:val="en-US"/>
          <w14:ligatures w14:val="standardContextual"/>
        </w:rPr>
        <w:t xml:space="preserve"> [</w:t>
      </w:r>
      <w:r w:rsidR="00897351">
        <w:rPr>
          <w:rFonts w:eastAsiaTheme="minorHAnsi"/>
          <w:kern w:val="2"/>
          <w:sz w:val="20"/>
          <w:lang w:val="en-US"/>
          <w14:ligatures w14:val="standardContextual"/>
        </w:rPr>
        <w:t>5</w:t>
      </w:r>
      <w:r w:rsidR="00DA1AD3">
        <w:rPr>
          <w:rFonts w:eastAsiaTheme="minorHAnsi"/>
          <w:kern w:val="2"/>
          <w:sz w:val="20"/>
          <w:lang w:val="en-US"/>
          <w14:ligatures w14:val="standardContextual"/>
        </w:rPr>
        <w:t>]</w:t>
      </w:r>
      <w:r w:rsidRPr="00A748AE">
        <w:rPr>
          <w:rFonts w:eastAsiaTheme="minorHAnsi"/>
          <w:kern w:val="2"/>
          <w:sz w:val="20"/>
          <w:lang w:val="en-US"/>
          <w14:ligatures w14:val="standardContextual"/>
        </w:rPr>
        <w:t xml:space="preserve"> in place however has not approved nuclear project since 1987, partially because of the opposing views of its major shareholders.</w:t>
      </w:r>
    </w:p>
    <w:p w14:paraId="6C6DEC02" w14:textId="3AF91789" w:rsidR="00A748AE" w:rsidRPr="00A748AE" w:rsidRDefault="00A748AE" w:rsidP="003C4EAB">
      <w:pPr>
        <w:overflowPunct/>
        <w:autoSpaceDE/>
        <w:autoSpaceDN/>
        <w:adjustRightInd/>
        <w:spacing w:after="60" w:line="276" w:lineRule="auto"/>
        <w:ind w:firstLine="567"/>
        <w:jc w:val="both"/>
        <w:textAlignment w:val="auto"/>
        <w:rPr>
          <w:rFonts w:eastAsiaTheme="minorHAnsi"/>
          <w:kern w:val="2"/>
          <w:sz w:val="20"/>
          <w:lang w:val="en-US"/>
          <w14:ligatures w14:val="standardContextual"/>
        </w:rPr>
      </w:pPr>
      <w:r w:rsidRPr="00A748AE">
        <w:rPr>
          <w:rFonts w:eastAsiaTheme="minorHAnsi"/>
          <w:kern w:val="2"/>
          <w:sz w:val="20"/>
          <w:lang w:val="en-US"/>
          <w14:ligatures w14:val="standardContextual"/>
        </w:rPr>
        <w:t xml:space="preserve">The European Bank for Development and Reconstruction (EBRD) is currently the single IFI which is dealing partially with nuclear projects as for example nuclear safety upgrading projects and decommissioning, in the role of fund manager for certain countries (Bulgaria, Lithuania, Slovakia and Ukrainian) and environmental remediation programs </w:t>
      </w:r>
      <w:r w:rsidR="009B27E3">
        <w:rPr>
          <w:rFonts w:eastAsiaTheme="minorHAnsi"/>
          <w:kern w:val="2"/>
          <w:sz w:val="20"/>
          <w:lang w:val="en-US"/>
          <w14:ligatures w14:val="standardContextual"/>
        </w:rPr>
        <w:t>related to</w:t>
      </w:r>
      <w:r w:rsidRPr="00A748AE">
        <w:rPr>
          <w:rFonts w:eastAsiaTheme="minorHAnsi"/>
          <w:kern w:val="2"/>
          <w:sz w:val="20"/>
          <w:lang w:val="en-US"/>
          <w14:ligatures w14:val="standardContextual"/>
        </w:rPr>
        <w:t xml:space="preserve"> uranium mining activities</w:t>
      </w:r>
      <w:r w:rsidR="001F0287">
        <w:rPr>
          <w:rFonts w:eastAsiaTheme="minorHAnsi"/>
          <w:kern w:val="2"/>
          <w:sz w:val="20"/>
          <w:lang w:val="en-US"/>
          <w14:ligatures w14:val="standardContextual"/>
        </w:rPr>
        <w:t xml:space="preserve"> legacy</w:t>
      </w:r>
      <w:r w:rsidRPr="00A748AE">
        <w:rPr>
          <w:rFonts w:eastAsiaTheme="minorHAnsi"/>
          <w:kern w:val="2"/>
          <w:sz w:val="20"/>
          <w:lang w:val="en-US"/>
          <w14:ligatures w14:val="standardContextual"/>
        </w:rPr>
        <w:t xml:space="preserve">. The recent review of EBRD energy strategy shows that the Bank will “monitor developments” of nuclear new build projects. </w:t>
      </w:r>
    </w:p>
    <w:p w14:paraId="4D6D77A6" w14:textId="4ABE052F" w:rsidR="008E7541" w:rsidRDefault="00A748AE" w:rsidP="001119BC">
      <w:pPr>
        <w:overflowPunct/>
        <w:autoSpaceDE/>
        <w:autoSpaceDN/>
        <w:adjustRightInd/>
        <w:spacing w:after="60" w:line="276" w:lineRule="auto"/>
        <w:ind w:firstLine="567"/>
        <w:jc w:val="both"/>
        <w:textAlignment w:val="auto"/>
        <w:rPr>
          <w:color w:val="333333"/>
          <w:sz w:val="20"/>
          <w:shd w:val="clear" w:color="auto" w:fill="FFFFFF"/>
          <w:lang w:val="en-US" w:eastAsia="en-GB"/>
        </w:rPr>
      </w:pPr>
      <w:r w:rsidRPr="00A748AE">
        <w:rPr>
          <w:color w:val="212529"/>
          <w:kern w:val="2"/>
          <w:sz w:val="20"/>
          <w:shd w:val="clear" w:color="auto" w:fill="FFFFFF"/>
          <w:lang w:val="en-US"/>
          <w14:ligatures w14:val="standardContextual"/>
        </w:rPr>
        <w:t xml:space="preserve">At the level of export credit agencies of OECD countries several positive developments have </w:t>
      </w:r>
      <w:r w:rsidR="00F84FF7">
        <w:rPr>
          <w:color w:val="212529"/>
          <w:kern w:val="2"/>
          <w:sz w:val="20"/>
          <w:shd w:val="clear" w:color="auto" w:fill="FFFFFF"/>
          <w:lang w:val="en-US"/>
          <w14:ligatures w14:val="standardContextual"/>
        </w:rPr>
        <w:t xml:space="preserve">been </w:t>
      </w:r>
      <w:r w:rsidR="0075235F">
        <w:rPr>
          <w:color w:val="212529"/>
          <w:kern w:val="2"/>
          <w:sz w:val="20"/>
          <w:shd w:val="clear" w:color="auto" w:fill="FFFFFF"/>
          <w:lang w:val="en-US"/>
          <w14:ligatures w14:val="standardContextual"/>
        </w:rPr>
        <w:t xml:space="preserve">reported </w:t>
      </w:r>
      <w:r w:rsidRPr="00A748AE">
        <w:rPr>
          <w:color w:val="212529"/>
          <w:kern w:val="2"/>
          <w:sz w:val="20"/>
          <w:shd w:val="clear" w:color="auto" w:fill="FFFFFF"/>
          <w:lang w:val="en-US"/>
          <w14:ligatures w14:val="standardContextual"/>
        </w:rPr>
        <w:t xml:space="preserve">with regards to financing nuclear new builds, including SMRs. For </w:t>
      </w:r>
      <w:r w:rsidR="006F47B6" w:rsidRPr="00A748AE">
        <w:rPr>
          <w:color w:val="212529"/>
          <w:kern w:val="2"/>
          <w:sz w:val="20"/>
          <w:shd w:val="clear" w:color="auto" w:fill="FFFFFF"/>
          <w:lang w:val="en-US"/>
          <w14:ligatures w14:val="standardContextual"/>
        </w:rPr>
        <w:t>example,</w:t>
      </w:r>
      <w:r w:rsidRPr="00A748AE">
        <w:rPr>
          <w:color w:val="212529"/>
          <w:kern w:val="2"/>
          <w:sz w:val="20"/>
          <w:shd w:val="clear" w:color="auto" w:fill="FFFFFF"/>
          <w:lang w:val="en-US"/>
          <w14:ligatures w14:val="standardContextual"/>
        </w:rPr>
        <w:t xml:space="preserve"> in</w:t>
      </w:r>
      <w:r w:rsidRPr="00A748AE">
        <w:rPr>
          <w:color w:val="333333"/>
          <w:sz w:val="20"/>
          <w:shd w:val="clear" w:color="auto" w:fill="FFFFFF"/>
          <w:lang w:val="en-US" w:eastAsia="en-GB"/>
        </w:rPr>
        <w:t xml:space="preserve"> July 2023, as part of the </w:t>
      </w:r>
      <w:r w:rsidR="00A06F7C" w:rsidRPr="00A748AE">
        <w:rPr>
          <w:color w:val="333333"/>
          <w:sz w:val="20"/>
          <w:shd w:val="clear" w:color="auto" w:fill="FFFFFF"/>
          <w:lang w:val="en-US" w:eastAsia="en-GB"/>
        </w:rPr>
        <w:t>modernization</w:t>
      </w:r>
      <w:r w:rsidRPr="00A748AE">
        <w:rPr>
          <w:color w:val="333333"/>
          <w:sz w:val="20"/>
          <w:shd w:val="clear" w:color="auto" w:fill="FFFFFF"/>
          <w:lang w:val="en-US" w:eastAsia="en-GB"/>
        </w:rPr>
        <w:t xml:space="preserve"> of the OECD Arrangement package reform, the Nuclear Sector Understanding was amended to provide more flexible terms and conditions by increasing the maximum repayment terms allowed (up to 22 years instead of 18 years post plant construction) and adding further repayment flexibilities (frequency, size and pattern or repayment of principal and interest) [6].</w:t>
      </w:r>
      <w:r w:rsidR="00AD08CF">
        <w:rPr>
          <w:color w:val="333333"/>
          <w:sz w:val="20"/>
          <w:shd w:val="clear" w:color="auto" w:fill="FFFFFF"/>
          <w:lang w:val="en-US" w:eastAsia="en-GB"/>
        </w:rPr>
        <w:t xml:space="preserve"> </w:t>
      </w:r>
    </w:p>
    <w:p w14:paraId="5003ECD5" w14:textId="459A20B8" w:rsidR="00A748AE" w:rsidRPr="00A748AE" w:rsidRDefault="00AD08CF" w:rsidP="001119BC">
      <w:pPr>
        <w:overflowPunct/>
        <w:autoSpaceDE/>
        <w:autoSpaceDN/>
        <w:adjustRightInd/>
        <w:spacing w:after="60" w:line="276" w:lineRule="auto"/>
        <w:ind w:firstLine="567"/>
        <w:jc w:val="both"/>
        <w:textAlignment w:val="auto"/>
        <w:rPr>
          <w:color w:val="333333"/>
          <w:sz w:val="20"/>
          <w:shd w:val="clear" w:color="auto" w:fill="FFFFFF"/>
          <w:lang w:val="en-US" w:eastAsia="en-GB"/>
        </w:rPr>
      </w:pPr>
      <w:r w:rsidRPr="00A748AE">
        <w:rPr>
          <w:color w:val="333333"/>
          <w:sz w:val="20"/>
          <w:shd w:val="clear" w:color="auto" w:fill="FFFFFF"/>
          <w:lang w:val="en-US" w:eastAsia="en-GB"/>
        </w:rPr>
        <w:lastRenderedPageBreak/>
        <w:t>These recent developments are steps in the right direction in aligning the instruments to the policy goals and political commitments, however scaling nuclear and tripling the capacity will require further efforts and additional</w:t>
      </w:r>
      <w:r w:rsidR="00046332">
        <w:rPr>
          <w:color w:val="333333"/>
          <w:sz w:val="20"/>
          <w:shd w:val="clear" w:color="auto" w:fill="FFFFFF"/>
          <w:lang w:val="en-US" w:eastAsia="en-GB"/>
        </w:rPr>
        <w:t xml:space="preserve">, </w:t>
      </w:r>
      <w:r w:rsidRPr="00A748AE">
        <w:rPr>
          <w:color w:val="333333"/>
          <w:sz w:val="20"/>
          <w:shd w:val="clear" w:color="auto" w:fill="FFFFFF"/>
          <w:lang w:val="en-US" w:eastAsia="en-GB"/>
        </w:rPr>
        <w:t>innovative funding and financing instruments</w:t>
      </w:r>
      <w:r w:rsidR="00EC09B8">
        <w:rPr>
          <w:color w:val="333333"/>
          <w:sz w:val="20"/>
          <w:shd w:val="clear" w:color="auto" w:fill="FFFFFF"/>
          <w:lang w:val="en-US" w:eastAsia="en-GB"/>
        </w:rPr>
        <w:t>.</w:t>
      </w:r>
    </w:p>
    <w:p w14:paraId="43091C67" w14:textId="49770B8D" w:rsidR="00262F5C" w:rsidRPr="005448E2" w:rsidRDefault="002B6A89" w:rsidP="007049A2">
      <w:pPr>
        <w:pStyle w:val="Heading3"/>
        <w:spacing w:after="60" w:line="276" w:lineRule="auto"/>
        <w:ind w:firstLine="567"/>
        <w:jc w:val="both"/>
        <w:rPr>
          <w:rFonts w:eastAsiaTheme="minorHAnsi"/>
          <w:kern w:val="2"/>
          <w:u w:val="single"/>
          <w:lang w:val="en-US"/>
          <w14:ligatures w14:val="standardContextual"/>
        </w:rPr>
      </w:pPr>
      <w:r>
        <w:rPr>
          <w:rFonts w:eastAsiaTheme="minorEastAsia"/>
          <w:bCs/>
          <w:lang w:val="en-US" w:eastAsia="en-GB"/>
        </w:rPr>
        <w:t>Innovative Financing Mechanisms for scaling nuclear investments</w:t>
      </w:r>
    </w:p>
    <w:p w14:paraId="20660E94" w14:textId="77777777" w:rsidR="005C37FA" w:rsidRDefault="00914376" w:rsidP="00164897">
      <w:pPr>
        <w:overflowPunct/>
        <w:autoSpaceDE/>
        <w:autoSpaceDN/>
        <w:adjustRightInd/>
        <w:spacing w:after="60" w:line="276" w:lineRule="auto"/>
        <w:ind w:firstLine="567"/>
        <w:jc w:val="both"/>
        <w:textAlignment w:val="auto"/>
        <w:rPr>
          <w:color w:val="333333"/>
          <w:sz w:val="20"/>
          <w:shd w:val="clear" w:color="auto" w:fill="FFFFFF"/>
          <w:lang w:val="en-US" w:eastAsia="en-GB"/>
        </w:rPr>
      </w:pPr>
      <w:r>
        <w:rPr>
          <w:color w:val="333333"/>
          <w:sz w:val="20"/>
          <w:shd w:val="clear" w:color="auto" w:fill="FFFFFF"/>
          <w:lang w:val="en-US" w:eastAsia="en-GB"/>
        </w:rPr>
        <w:t xml:space="preserve">The </w:t>
      </w:r>
      <w:r w:rsidR="00A748AE" w:rsidRPr="00A748AE">
        <w:rPr>
          <w:color w:val="333333"/>
          <w:sz w:val="20"/>
          <w:shd w:val="clear" w:color="auto" w:fill="FFFFFF"/>
          <w:lang w:val="en-US" w:eastAsia="en-GB"/>
        </w:rPr>
        <w:t xml:space="preserve">role </w:t>
      </w:r>
      <w:r>
        <w:rPr>
          <w:color w:val="333333"/>
          <w:sz w:val="20"/>
          <w:shd w:val="clear" w:color="auto" w:fill="FFFFFF"/>
          <w:lang w:val="en-US" w:eastAsia="en-GB"/>
        </w:rPr>
        <w:t xml:space="preserve">of </w:t>
      </w:r>
      <w:r w:rsidR="00EC694D">
        <w:rPr>
          <w:color w:val="333333"/>
          <w:sz w:val="20"/>
          <w:shd w:val="clear" w:color="auto" w:fill="FFFFFF"/>
          <w:lang w:val="en-US" w:eastAsia="en-GB"/>
        </w:rPr>
        <w:t>cataly</w:t>
      </w:r>
      <w:r w:rsidR="00BB021F">
        <w:rPr>
          <w:color w:val="333333"/>
          <w:sz w:val="20"/>
          <w:shd w:val="clear" w:color="auto" w:fill="FFFFFF"/>
          <w:lang w:val="en-US" w:eastAsia="en-GB"/>
        </w:rPr>
        <w:t xml:space="preserve">st </w:t>
      </w:r>
      <w:r w:rsidR="0032214C">
        <w:rPr>
          <w:color w:val="333333"/>
          <w:sz w:val="20"/>
          <w:shd w:val="clear" w:color="auto" w:fill="FFFFFF"/>
          <w:lang w:val="en-US" w:eastAsia="en-GB"/>
        </w:rPr>
        <w:t>for scaling nuclear capacity globally</w:t>
      </w:r>
      <w:r>
        <w:rPr>
          <w:color w:val="333333"/>
          <w:sz w:val="20"/>
          <w:shd w:val="clear" w:color="auto" w:fill="FFFFFF"/>
          <w:lang w:val="en-US" w:eastAsia="en-GB"/>
        </w:rPr>
        <w:t xml:space="preserve"> </w:t>
      </w:r>
      <w:r w:rsidR="00A748AE" w:rsidRPr="00A748AE">
        <w:rPr>
          <w:color w:val="333333"/>
          <w:sz w:val="20"/>
          <w:shd w:val="clear" w:color="auto" w:fill="FFFFFF"/>
          <w:lang w:val="en-US" w:eastAsia="en-GB"/>
        </w:rPr>
        <w:t xml:space="preserve">can be played by the proposed International Bank for Nuclear </w:t>
      </w:r>
      <w:r w:rsidR="00DE00D3" w:rsidRPr="00A748AE">
        <w:rPr>
          <w:color w:val="333333"/>
          <w:sz w:val="20"/>
          <w:shd w:val="clear" w:color="auto" w:fill="FFFFFF"/>
          <w:lang w:val="en-US" w:eastAsia="en-GB"/>
        </w:rPr>
        <w:t>Infrastructure</w:t>
      </w:r>
      <w:r w:rsidR="00A748AE" w:rsidRPr="00A748AE">
        <w:rPr>
          <w:color w:val="333333"/>
          <w:sz w:val="20"/>
          <w:shd w:val="clear" w:color="auto" w:fill="FFFFFF"/>
          <w:lang w:val="en-US" w:eastAsia="en-GB"/>
        </w:rPr>
        <w:t xml:space="preserve"> (IBNI). This new international financial institution is intended to use the proven model of MDBs with two important </w:t>
      </w:r>
      <w:r w:rsidR="000E272E">
        <w:rPr>
          <w:color w:val="333333"/>
          <w:sz w:val="20"/>
          <w:shd w:val="clear" w:color="auto" w:fill="FFFFFF"/>
          <w:lang w:val="en-US" w:eastAsia="en-GB"/>
        </w:rPr>
        <w:t>novelties</w:t>
      </w:r>
      <w:r w:rsidR="00A748AE" w:rsidRPr="00A748AE">
        <w:rPr>
          <w:color w:val="333333"/>
          <w:sz w:val="20"/>
          <w:shd w:val="clear" w:color="auto" w:fill="FFFFFF"/>
          <w:lang w:val="en-US" w:eastAsia="en-GB"/>
        </w:rPr>
        <w:t>:</w:t>
      </w:r>
    </w:p>
    <w:p w14:paraId="2DBDAD54" w14:textId="583A6E58" w:rsidR="002552AD" w:rsidRDefault="00EF3259" w:rsidP="00164897">
      <w:pPr>
        <w:numPr>
          <w:ilvl w:val="0"/>
          <w:numId w:val="20"/>
        </w:numPr>
        <w:overflowPunct/>
        <w:autoSpaceDE/>
        <w:autoSpaceDN/>
        <w:adjustRightInd/>
        <w:spacing w:line="276" w:lineRule="auto"/>
        <w:ind w:left="709" w:firstLine="567"/>
        <w:contextualSpacing/>
        <w:jc w:val="both"/>
        <w:textAlignment w:val="auto"/>
        <w:rPr>
          <w:sz w:val="20"/>
        </w:rPr>
      </w:pPr>
      <w:r w:rsidRPr="002552AD">
        <w:rPr>
          <w:color w:val="000000"/>
          <w:sz w:val="20"/>
          <w:lang w:eastAsia="en-GB"/>
        </w:rPr>
        <w:t>It will be solely focused on supporting its member countries (IBNI shareholders), nuclear industries and financial markets </w:t>
      </w:r>
      <w:r w:rsidR="00173D5B" w:rsidRPr="002552AD">
        <w:rPr>
          <w:color w:val="000000"/>
          <w:sz w:val="20"/>
          <w:lang w:eastAsia="en-GB"/>
        </w:rPr>
        <w:t>therein,</w:t>
      </w:r>
      <w:r w:rsidRPr="002552AD">
        <w:rPr>
          <w:color w:val="000000"/>
          <w:sz w:val="20"/>
          <w:lang w:eastAsia="en-GB"/>
        </w:rPr>
        <w:t> in developing nuclear energy infrastructure projects.</w:t>
      </w:r>
    </w:p>
    <w:p w14:paraId="36DC5740" w14:textId="60C2D6F7" w:rsidR="00FD09E9" w:rsidRPr="002552AD" w:rsidRDefault="00EF3259" w:rsidP="00164897">
      <w:pPr>
        <w:numPr>
          <w:ilvl w:val="0"/>
          <w:numId w:val="20"/>
        </w:numPr>
        <w:overflowPunct/>
        <w:autoSpaceDE/>
        <w:autoSpaceDN/>
        <w:adjustRightInd/>
        <w:spacing w:line="276" w:lineRule="auto"/>
        <w:ind w:left="709" w:firstLine="567"/>
        <w:contextualSpacing/>
        <w:jc w:val="both"/>
        <w:textAlignment w:val="auto"/>
        <w:rPr>
          <w:sz w:val="20"/>
        </w:rPr>
      </w:pPr>
      <w:r w:rsidRPr="002552AD">
        <w:rPr>
          <w:color w:val="000000"/>
          <w:sz w:val="20"/>
          <w:lang w:eastAsia="en-GB"/>
        </w:rPr>
        <w:t>It will provide financing and other support available to all its member countries - expected to range across all geographies, income levels and developmental status.</w:t>
      </w:r>
    </w:p>
    <w:p w14:paraId="6417F75E" w14:textId="0A1C594C" w:rsidR="0000121B" w:rsidRDefault="00085538" w:rsidP="00164897">
      <w:pPr>
        <w:spacing w:after="60" w:line="276" w:lineRule="auto"/>
        <w:ind w:firstLine="567"/>
        <w:jc w:val="both"/>
        <w:rPr>
          <w:rFonts w:eastAsiaTheme="minorEastAsia"/>
          <w:color w:val="000000"/>
          <w:sz w:val="20"/>
          <w:lang w:eastAsia="en-GB"/>
        </w:rPr>
      </w:pPr>
      <w:r w:rsidRPr="004D7F6A">
        <w:rPr>
          <w:rFonts w:eastAsiaTheme="minorEastAsia"/>
          <w:color w:val="000000"/>
          <w:sz w:val="20"/>
          <w:lang w:eastAsia="en-GB"/>
        </w:rPr>
        <w:t>IBNI will supplement and enhance</w:t>
      </w:r>
      <w:r w:rsidR="00D84F0F">
        <w:rPr>
          <w:rFonts w:eastAsiaTheme="minorEastAsia"/>
          <w:color w:val="000000"/>
          <w:sz w:val="20"/>
          <w:lang w:eastAsia="en-GB"/>
        </w:rPr>
        <w:t xml:space="preserve">, </w:t>
      </w:r>
      <w:r w:rsidRPr="004D7F6A">
        <w:rPr>
          <w:rFonts w:eastAsiaTheme="minorEastAsia"/>
          <w:color w:val="000000"/>
          <w:sz w:val="20"/>
          <w:lang w:eastAsia="en-GB"/>
        </w:rPr>
        <w:t>not replace</w:t>
      </w:r>
      <w:r w:rsidR="00D84F0F">
        <w:rPr>
          <w:rFonts w:eastAsiaTheme="minorEastAsia"/>
          <w:color w:val="000000"/>
          <w:sz w:val="20"/>
          <w:lang w:eastAsia="en-GB"/>
        </w:rPr>
        <w:t xml:space="preserve"> the</w:t>
      </w:r>
      <w:r w:rsidRPr="004D7F6A">
        <w:rPr>
          <w:rFonts w:eastAsiaTheme="minorEastAsia"/>
          <w:color w:val="000000"/>
          <w:sz w:val="20"/>
          <w:lang w:eastAsia="en-GB"/>
        </w:rPr>
        <w:t> existing nuclear programs and initiatives – </w:t>
      </w:r>
      <w:r w:rsidR="00953E6C" w:rsidRPr="004D7F6A">
        <w:rPr>
          <w:rFonts w:eastAsiaTheme="minorEastAsia"/>
          <w:color w:val="000000"/>
          <w:sz w:val="20"/>
          <w:lang w:eastAsia="en-GB"/>
        </w:rPr>
        <w:t>including</w:t>
      </w:r>
      <w:r w:rsidRPr="004D7F6A">
        <w:rPr>
          <w:rFonts w:eastAsiaTheme="minorEastAsia"/>
          <w:color w:val="000000"/>
          <w:sz w:val="20"/>
          <w:lang w:eastAsia="en-GB"/>
        </w:rPr>
        <w:t> export credits, bilateral development and trade finance, green and sustainable financing and domestic nuclear energy incentive/support initiatives.</w:t>
      </w:r>
      <w:r w:rsidR="00362A78">
        <w:rPr>
          <w:rFonts w:eastAsiaTheme="minorHAnsi"/>
          <w:color w:val="333333"/>
          <w:sz w:val="20"/>
          <w:shd w:val="clear" w:color="auto" w:fill="FFFFFF"/>
          <w:lang w:val="en-US" w:eastAsia="en-GB"/>
        </w:rPr>
        <w:t xml:space="preserve"> </w:t>
      </w:r>
      <w:r w:rsidR="00B07681" w:rsidRPr="00D84F0F">
        <w:rPr>
          <w:rFonts w:eastAsiaTheme="minorEastAsia"/>
          <w:color w:val="000000"/>
          <w:sz w:val="20"/>
          <w:lang w:eastAsia="en-GB"/>
        </w:rPr>
        <w:t>IBNI will</w:t>
      </w:r>
      <w:r w:rsidRPr="00D84F0F">
        <w:rPr>
          <w:rFonts w:eastAsiaTheme="minorEastAsia"/>
          <w:color w:val="000000"/>
          <w:sz w:val="20"/>
          <w:lang w:eastAsia="en-GB"/>
        </w:rPr>
        <w:t> develop in-house the expertise necessary to review and evaluate nuclear projects</w:t>
      </w:r>
      <w:r w:rsidR="00747C46">
        <w:rPr>
          <w:rFonts w:eastAsiaTheme="minorEastAsia"/>
          <w:color w:val="000000"/>
          <w:sz w:val="20"/>
          <w:lang w:eastAsia="en-GB"/>
        </w:rPr>
        <w:t>.</w:t>
      </w:r>
      <w:r w:rsidRPr="00D84F0F">
        <w:rPr>
          <w:rFonts w:eastAsiaTheme="minorEastAsia"/>
          <w:color w:val="000000"/>
          <w:sz w:val="20"/>
          <w:lang w:eastAsia="en-GB"/>
        </w:rPr>
        <w:t xml:space="preserve"> </w:t>
      </w:r>
      <w:r w:rsidR="00747C46">
        <w:rPr>
          <w:rFonts w:eastAsiaTheme="minorEastAsia"/>
          <w:color w:val="000000"/>
          <w:sz w:val="20"/>
          <w:lang w:eastAsia="en-GB"/>
        </w:rPr>
        <w:t>The</w:t>
      </w:r>
      <w:r w:rsidRPr="00D84F0F">
        <w:rPr>
          <w:rFonts w:eastAsiaTheme="minorEastAsia"/>
          <w:color w:val="000000"/>
          <w:sz w:val="20"/>
          <w:lang w:eastAsia="en-GB"/>
        </w:rPr>
        <w:t xml:space="preserve"> experience</w:t>
      </w:r>
      <w:r w:rsidR="00747C46">
        <w:rPr>
          <w:rFonts w:eastAsiaTheme="minorEastAsia"/>
          <w:color w:val="000000"/>
          <w:sz w:val="20"/>
          <w:lang w:eastAsia="en-GB"/>
        </w:rPr>
        <w:t xml:space="preserve"> shows that</w:t>
      </w:r>
      <w:r w:rsidRPr="00D84F0F">
        <w:rPr>
          <w:rFonts w:eastAsiaTheme="minorEastAsia"/>
          <w:color w:val="000000"/>
          <w:sz w:val="20"/>
          <w:lang w:eastAsia="en-GB"/>
        </w:rPr>
        <w:t>, such expertise cannot be acquired and maintained on the long run by commercial banks. IBNI will act as a bridge to the market and an accelerator bringing economic transparency and fairness through benchmarking, standard checking, independent </w:t>
      </w:r>
      <w:r w:rsidR="00CF5419" w:rsidRPr="00D84F0F">
        <w:rPr>
          <w:rFonts w:eastAsiaTheme="minorEastAsia"/>
          <w:color w:val="000000"/>
          <w:sz w:val="20"/>
          <w:lang w:eastAsia="en-GB"/>
        </w:rPr>
        <w:t>reviews of</w:t>
      </w:r>
      <w:r w:rsidRPr="00D84F0F">
        <w:rPr>
          <w:rFonts w:eastAsiaTheme="minorEastAsia"/>
          <w:color w:val="000000"/>
          <w:sz w:val="20"/>
          <w:lang w:eastAsia="en-GB"/>
        </w:rPr>
        <w:t> nuclear infrastructure taking into account best practices.</w:t>
      </w:r>
      <w:r w:rsidR="001B5E04">
        <w:rPr>
          <w:rFonts w:eastAsiaTheme="minorEastAsia"/>
          <w:color w:val="000000"/>
          <w:sz w:val="20"/>
          <w:lang w:eastAsia="en-GB"/>
        </w:rPr>
        <w:t xml:space="preserve"> </w:t>
      </w:r>
      <w:r w:rsidRPr="005C0011">
        <w:rPr>
          <w:rFonts w:eastAsiaTheme="minorEastAsia"/>
          <w:color w:val="000000"/>
          <w:sz w:val="20"/>
          <w:lang w:eastAsia="en-GB"/>
        </w:rPr>
        <w:t>IBNI will have a multiplier effect on nuclear projects </w:t>
      </w:r>
      <w:r w:rsidR="00823C0B" w:rsidRPr="005C0011">
        <w:rPr>
          <w:rFonts w:eastAsiaTheme="minorEastAsia"/>
          <w:color w:val="000000"/>
          <w:sz w:val="20"/>
          <w:lang w:eastAsia="en-GB"/>
        </w:rPr>
        <w:t>financing by</w:t>
      </w:r>
      <w:r w:rsidRPr="005C0011">
        <w:rPr>
          <w:rFonts w:eastAsiaTheme="minorEastAsia"/>
          <w:color w:val="000000"/>
          <w:sz w:val="20"/>
          <w:lang w:eastAsia="en-GB"/>
        </w:rPr>
        <w:t> giving confidence to other financing institutions to co-finance projects and through its own capacity to launch debt on the financial markets.</w:t>
      </w:r>
      <w:r w:rsidR="001B5E04">
        <w:rPr>
          <w:rFonts w:eastAsiaTheme="minorEastAsia"/>
          <w:color w:val="000000"/>
          <w:sz w:val="20"/>
          <w:lang w:eastAsia="en-GB"/>
        </w:rPr>
        <w:t xml:space="preserve"> </w:t>
      </w:r>
      <w:r w:rsidRPr="001B5E04">
        <w:rPr>
          <w:rFonts w:eastAsiaTheme="minorEastAsia"/>
          <w:color w:val="000000"/>
          <w:sz w:val="20"/>
          <w:lang w:eastAsia="en-GB"/>
        </w:rPr>
        <w:t>Over time, IBNI will act as a catalyst to mobilize the financing necessary to developing nuclear at the required scale and pace.</w:t>
      </w:r>
    </w:p>
    <w:p w14:paraId="3B230E69" w14:textId="44571C0B" w:rsidR="00085538" w:rsidRPr="0072162B" w:rsidRDefault="0072162B" w:rsidP="0072162B">
      <w:pPr>
        <w:pStyle w:val="Heading4"/>
        <w:ind w:left="0"/>
      </w:pPr>
      <w:r>
        <w:t>IBNI design principles</w:t>
      </w:r>
    </w:p>
    <w:p w14:paraId="4E62A01D" w14:textId="1E7D34D6" w:rsidR="00085538" w:rsidRDefault="00085538" w:rsidP="00B465CA">
      <w:pPr>
        <w:spacing w:line="276" w:lineRule="auto"/>
        <w:ind w:firstLine="567"/>
        <w:jc w:val="both"/>
        <w:divId w:val="715734853"/>
        <w:rPr>
          <w:rFonts w:eastAsiaTheme="minorEastAsia"/>
          <w:color w:val="000000"/>
          <w:sz w:val="20"/>
          <w:lang w:eastAsia="en-GB"/>
        </w:rPr>
      </w:pPr>
      <w:r w:rsidRPr="00077BF4">
        <w:rPr>
          <w:rFonts w:eastAsiaTheme="minorEastAsia"/>
          <w:color w:val="000000"/>
          <w:sz w:val="20"/>
          <w:lang w:eastAsia="en-GB"/>
        </w:rPr>
        <w:t>IBNI balance sheet support and financing (whether through the</w:t>
      </w:r>
      <w:r w:rsidR="00B36A68">
        <w:rPr>
          <w:rFonts w:eastAsiaTheme="minorEastAsia"/>
          <w:color w:val="000000"/>
          <w:sz w:val="20"/>
          <w:lang w:eastAsia="en-GB"/>
        </w:rPr>
        <w:t xml:space="preserve"> Ordinary Operation Fund</w:t>
      </w:r>
      <w:r w:rsidRPr="00077BF4">
        <w:rPr>
          <w:rFonts w:eastAsiaTheme="minorEastAsia"/>
          <w:color w:val="000000"/>
          <w:sz w:val="20"/>
          <w:lang w:eastAsia="en-GB"/>
        </w:rPr>
        <w:t xml:space="preserve"> </w:t>
      </w:r>
      <w:r w:rsidR="00B878F5">
        <w:rPr>
          <w:rFonts w:eastAsiaTheme="minorEastAsia"/>
          <w:color w:val="000000"/>
          <w:sz w:val="20"/>
          <w:lang w:eastAsia="en-GB"/>
        </w:rPr>
        <w:t>(</w:t>
      </w:r>
      <w:r w:rsidRPr="00077BF4">
        <w:rPr>
          <w:rFonts w:eastAsiaTheme="minorEastAsia"/>
          <w:color w:val="000000"/>
          <w:sz w:val="20"/>
          <w:lang w:eastAsia="en-GB"/>
        </w:rPr>
        <w:t>OOF</w:t>
      </w:r>
      <w:r w:rsidR="00B878F5">
        <w:rPr>
          <w:rFonts w:eastAsiaTheme="minorEastAsia"/>
          <w:color w:val="000000"/>
          <w:sz w:val="20"/>
          <w:lang w:eastAsia="en-GB"/>
        </w:rPr>
        <w:t>)</w:t>
      </w:r>
      <w:r w:rsidRPr="00077BF4">
        <w:rPr>
          <w:rFonts w:eastAsiaTheme="minorEastAsia"/>
          <w:color w:val="000000"/>
          <w:sz w:val="20"/>
          <w:lang w:eastAsia="en-GB"/>
        </w:rPr>
        <w:t xml:space="preserve"> or </w:t>
      </w:r>
      <w:r w:rsidR="00B878F5">
        <w:rPr>
          <w:rFonts w:eastAsiaTheme="minorEastAsia"/>
          <w:color w:val="000000"/>
          <w:sz w:val="20"/>
          <w:lang w:eastAsia="en-GB"/>
        </w:rPr>
        <w:t xml:space="preserve">Special </w:t>
      </w:r>
      <w:r w:rsidR="008F4198">
        <w:rPr>
          <w:rFonts w:eastAsiaTheme="minorEastAsia"/>
          <w:color w:val="000000"/>
          <w:sz w:val="20"/>
          <w:lang w:eastAsia="en-GB"/>
        </w:rPr>
        <w:t>Operations</w:t>
      </w:r>
      <w:r w:rsidR="00B878F5">
        <w:rPr>
          <w:rFonts w:eastAsiaTheme="minorEastAsia"/>
          <w:color w:val="000000"/>
          <w:sz w:val="20"/>
          <w:lang w:eastAsia="en-GB"/>
        </w:rPr>
        <w:t xml:space="preserve"> Fund (</w:t>
      </w:r>
      <w:r w:rsidRPr="00077BF4">
        <w:rPr>
          <w:rFonts w:eastAsiaTheme="minorEastAsia"/>
          <w:color w:val="000000"/>
          <w:sz w:val="20"/>
          <w:lang w:eastAsia="en-GB"/>
        </w:rPr>
        <w:t>SOF</w:t>
      </w:r>
      <w:r w:rsidR="00AC26E2">
        <w:rPr>
          <w:rFonts w:eastAsiaTheme="minorEastAsia"/>
          <w:color w:val="000000"/>
          <w:sz w:val="20"/>
          <w:lang w:eastAsia="en-GB"/>
        </w:rPr>
        <w:t>) [</w:t>
      </w:r>
      <w:r w:rsidR="008E6D0A">
        <w:rPr>
          <w:rFonts w:eastAsiaTheme="minorEastAsia"/>
          <w:color w:val="000000"/>
          <w:sz w:val="20"/>
          <w:lang w:eastAsia="en-GB"/>
        </w:rPr>
        <w:t>8]</w:t>
      </w:r>
      <w:r w:rsidR="00AC1A45">
        <w:rPr>
          <w:rFonts w:eastAsiaTheme="minorEastAsia"/>
          <w:color w:val="000000"/>
          <w:sz w:val="20"/>
          <w:lang w:eastAsia="en-GB"/>
        </w:rPr>
        <w:t>)</w:t>
      </w:r>
      <w:r w:rsidRPr="00077BF4">
        <w:rPr>
          <w:rFonts w:eastAsiaTheme="minorEastAsia"/>
          <w:color w:val="000000"/>
          <w:sz w:val="20"/>
          <w:lang w:eastAsia="en-GB"/>
        </w:rPr>
        <w:t> for an investment proposal represents the culmination of the Bank’s intervention strategy. Prior to deploying financial resources, IBNI would engage in policy dialogue with the Member State and preliminary structuring work with the prospective applicant to ensure that the investment would meet IBNI criteria.</w:t>
      </w:r>
      <w:r w:rsidR="000C1BAA">
        <w:rPr>
          <w:rFonts w:eastAsiaTheme="minorEastAsia"/>
          <w:color w:val="000000"/>
          <w:sz w:val="20"/>
          <w:lang w:eastAsia="en-GB"/>
        </w:rPr>
        <w:t xml:space="preserve"> </w:t>
      </w:r>
      <w:r w:rsidRPr="00F06B7A">
        <w:rPr>
          <w:rFonts w:eastAsiaTheme="minorEastAsia"/>
          <w:color w:val="000000"/>
          <w:sz w:val="20"/>
          <w:lang w:eastAsia="en-GB"/>
        </w:rPr>
        <w:t>IBNI eligibility criteria shall include usual compliance with relevant international and domestic legal commitments, as well as existing IAEA guidelines with respect to nuclear</w:t>
      </w:r>
      <w:r w:rsidR="00077BF4" w:rsidRPr="00F06B7A">
        <w:rPr>
          <w:rFonts w:eastAsiaTheme="minorEastAsia"/>
          <w:color w:val="000000"/>
          <w:sz w:val="20"/>
          <w:lang w:eastAsia="en-GB"/>
        </w:rPr>
        <w:t xml:space="preserve"> safety, security and </w:t>
      </w:r>
      <w:r w:rsidRPr="00F06B7A">
        <w:rPr>
          <w:rFonts w:eastAsiaTheme="minorEastAsia"/>
          <w:color w:val="000000"/>
          <w:sz w:val="20"/>
          <w:lang w:eastAsia="en-GB"/>
        </w:rPr>
        <w:t>safeguards. In addition, IBNI shall develop financial criteria and benchmarks for financial intervention/support. These benchmarks are expected to be developed in close collaboration with other IFIs and the commercial finance market, to ensure financial sustainability and compatibility.</w:t>
      </w:r>
      <w:r w:rsidR="00B465CA">
        <w:rPr>
          <w:rFonts w:eastAsiaTheme="minorEastAsia"/>
          <w:color w:val="000000"/>
          <w:sz w:val="20"/>
          <w:lang w:eastAsia="en-GB"/>
        </w:rPr>
        <w:t xml:space="preserve"> </w:t>
      </w:r>
      <w:r w:rsidRPr="009F235A">
        <w:rPr>
          <w:rFonts w:eastAsiaTheme="minorEastAsia"/>
          <w:color w:val="000000"/>
          <w:sz w:val="20"/>
          <w:lang w:eastAsia="en-GB"/>
        </w:rPr>
        <w:t>Investments that meet IBNI’s full criteria would catalyse</w:t>
      </w:r>
      <w:r w:rsidR="009F235A">
        <w:rPr>
          <w:rFonts w:eastAsiaTheme="minorEastAsia"/>
          <w:color w:val="000000"/>
          <w:sz w:val="20"/>
          <w:lang w:eastAsia="en-GB"/>
        </w:rPr>
        <w:t xml:space="preserve"> the</w:t>
      </w:r>
      <w:r w:rsidRPr="009F235A">
        <w:rPr>
          <w:rFonts w:eastAsiaTheme="minorEastAsia"/>
          <w:color w:val="000000"/>
          <w:sz w:val="20"/>
          <w:lang w:eastAsia="en-GB"/>
        </w:rPr>
        <w:t xml:space="preserve"> market additionality effect, whereby IBNI financing is seen to “crowd in” </w:t>
      </w:r>
      <w:r w:rsidR="00172AAA">
        <w:rPr>
          <w:rFonts w:eastAsiaTheme="minorEastAsia"/>
          <w:color w:val="000000"/>
          <w:sz w:val="20"/>
          <w:lang w:eastAsia="en-GB"/>
        </w:rPr>
        <w:t>private</w:t>
      </w:r>
      <w:r w:rsidRPr="009F235A">
        <w:rPr>
          <w:rFonts w:eastAsiaTheme="minorEastAsia"/>
          <w:color w:val="000000"/>
          <w:sz w:val="20"/>
          <w:lang w:eastAsia="en-GB"/>
        </w:rPr>
        <w:t xml:space="preserve"> finance.</w:t>
      </w:r>
      <w:r w:rsidR="00B465CA">
        <w:rPr>
          <w:rFonts w:eastAsiaTheme="minorEastAsia"/>
          <w:color w:val="000000"/>
          <w:sz w:val="20"/>
          <w:lang w:eastAsia="en-GB"/>
        </w:rPr>
        <w:t xml:space="preserve"> </w:t>
      </w:r>
      <w:r w:rsidRPr="009F235A">
        <w:rPr>
          <w:rFonts w:eastAsiaTheme="minorEastAsia"/>
          <w:color w:val="000000"/>
          <w:sz w:val="20"/>
          <w:lang w:eastAsia="en-GB"/>
        </w:rPr>
        <w:t>IBNI interventions would require careful screening and consideration, as well as ex-post monitoring appropriate for similar risk assets in other IFIs. Metrics are likely to be implemented at national as well as project levels, with respect to economic value added, social and environmental costs/benefits (and other ESG criteria</w:t>
      </w:r>
      <w:r w:rsidR="00811919">
        <w:rPr>
          <w:rFonts w:eastAsiaTheme="minorEastAsia"/>
          <w:color w:val="000000"/>
          <w:sz w:val="20"/>
          <w:lang w:eastAsia="en-GB"/>
        </w:rPr>
        <w:t xml:space="preserve"> and Equator </w:t>
      </w:r>
      <w:r w:rsidR="00E55469">
        <w:rPr>
          <w:rFonts w:eastAsiaTheme="minorEastAsia"/>
          <w:color w:val="000000"/>
          <w:sz w:val="20"/>
          <w:lang w:eastAsia="en-GB"/>
        </w:rPr>
        <w:t>principal</w:t>
      </w:r>
      <w:r w:rsidR="00811919">
        <w:rPr>
          <w:rFonts w:eastAsiaTheme="minorEastAsia"/>
          <w:color w:val="000000"/>
          <w:sz w:val="20"/>
          <w:lang w:eastAsia="en-GB"/>
        </w:rPr>
        <w:t xml:space="preserve"> alignment</w:t>
      </w:r>
      <w:r w:rsidRPr="009F235A">
        <w:rPr>
          <w:rFonts w:eastAsiaTheme="minorEastAsia"/>
          <w:color w:val="000000"/>
          <w:sz w:val="20"/>
          <w:lang w:eastAsia="en-GB"/>
        </w:rPr>
        <w:t xml:space="preserve">), IBNI risk and </w:t>
      </w:r>
      <w:r w:rsidR="00E55469" w:rsidRPr="009F235A">
        <w:rPr>
          <w:rFonts w:eastAsiaTheme="minorEastAsia"/>
          <w:color w:val="000000"/>
          <w:sz w:val="20"/>
          <w:lang w:eastAsia="en-GB"/>
        </w:rPr>
        <w:t>reward</w:t>
      </w:r>
      <w:r w:rsidRPr="009F235A">
        <w:rPr>
          <w:rFonts w:eastAsiaTheme="minorEastAsia"/>
          <w:color w:val="000000"/>
          <w:sz w:val="20"/>
          <w:lang w:eastAsia="en-GB"/>
        </w:rPr>
        <w:t>, and </w:t>
      </w:r>
      <w:proofErr w:type="spellStart"/>
      <w:r w:rsidRPr="009F235A">
        <w:rPr>
          <w:rFonts w:eastAsiaTheme="minorEastAsia"/>
          <w:color w:val="000000"/>
          <w:sz w:val="20"/>
          <w:lang w:eastAsia="en-GB"/>
        </w:rPr>
        <w:t>investability</w:t>
      </w:r>
      <w:proofErr w:type="spellEnd"/>
      <w:r w:rsidRPr="009F235A">
        <w:rPr>
          <w:rFonts w:eastAsiaTheme="minorEastAsia"/>
          <w:color w:val="000000"/>
          <w:sz w:val="20"/>
          <w:lang w:eastAsia="en-GB"/>
        </w:rPr>
        <w:t xml:space="preserve">/bankability of the </w:t>
      </w:r>
      <w:r w:rsidR="00AE38AD">
        <w:rPr>
          <w:rFonts w:eastAsiaTheme="minorEastAsia"/>
          <w:color w:val="000000"/>
          <w:sz w:val="20"/>
          <w:lang w:eastAsia="en-GB"/>
        </w:rPr>
        <w:t>project</w:t>
      </w:r>
      <w:r w:rsidRPr="009F235A">
        <w:rPr>
          <w:rFonts w:eastAsiaTheme="minorEastAsia"/>
          <w:color w:val="000000"/>
          <w:sz w:val="20"/>
          <w:lang w:eastAsia="en-GB"/>
        </w:rPr>
        <w:t>.</w:t>
      </w:r>
    </w:p>
    <w:p w14:paraId="737A4513" w14:textId="18A0AAA6" w:rsidR="004D136B" w:rsidRPr="004D136B" w:rsidRDefault="00FE227C" w:rsidP="004D136B">
      <w:pPr>
        <w:pStyle w:val="Heading4"/>
        <w:ind w:left="0"/>
      </w:pPr>
      <w:r>
        <w:t>IBNI Financing instruments</w:t>
      </w:r>
    </w:p>
    <w:p w14:paraId="576CE715" w14:textId="26797A7D" w:rsidR="00085538" w:rsidRPr="006D23EE" w:rsidRDefault="00085538" w:rsidP="00450BBA">
      <w:pPr>
        <w:spacing w:line="276" w:lineRule="auto"/>
        <w:ind w:firstLine="567"/>
        <w:jc w:val="both"/>
        <w:divId w:val="715734853"/>
        <w:rPr>
          <w:rFonts w:eastAsiaTheme="minorEastAsia"/>
          <w:color w:val="000000"/>
          <w:sz w:val="20"/>
          <w:lang w:eastAsia="en-GB"/>
        </w:rPr>
      </w:pPr>
      <w:r w:rsidRPr="00504FD1">
        <w:rPr>
          <w:rFonts w:eastAsiaTheme="minorEastAsia"/>
          <w:color w:val="000000"/>
          <w:sz w:val="20"/>
          <w:lang w:eastAsia="en-GB"/>
        </w:rPr>
        <w:t>IBNI financing instruments would include a combination of the traditional IFI liquidity and risk products, such as:</w:t>
      </w:r>
      <w:r w:rsidR="00C239E7">
        <w:rPr>
          <w:rFonts w:eastAsiaTheme="minorEastAsia"/>
          <w:color w:val="000000"/>
          <w:sz w:val="20"/>
          <w:lang w:eastAsia="en-GB"/>
        </w:rPr>
        <w:t xml:space="preserve"> </w:t>
      </w:r>
      <w:r w:rsidRPr="00C239E7">
        <w:rPr>
          <w:color w:val="000000"/>
          <w:sz w:val="20"/>
          <w:lang w:eastAsia="en-GB"/>
        </w:rPr>
        <w:t>A/B term loans on a secured, sovereign or corporate basi</w:t>
      </w:r>
      <w:r w:rsidR="003648E6">
        <w:rPr>
          <w:color w:val="000000"/>
          <w:sz w:val="20"/>
          <w:lang w:eastAsia="en-GB"/>
        </w:rPr>
        <w:t xml:space="preserve">s, </w:t>
      </w:r>
      <w:r w:rsidRPr="003648E6">
        <w:rPr>
          <w:color w:val="000000"/>
          <w:sz w:val="20"/>
          <w:lang w:eastAsia="en-GB"/>
        </w:rPr>
        <w:t>Holdco (structurally subordinated) debt and equity</w:t>
      </w:r>
      <w:r w:rsidR="003648E6">
        <w:rPr>
          <w:rFonts w:eastAsiaTheme="minorEastAsia"/>
          <w:color w:val="000000"/>
          <w:sz w:val="20"/>
          <w:lang w:eastAsia="en-GB"/>
        </w:rPr>
        <w:t xml:space="preserve">, </w:t>
      </w:r>
      <w:r w:rsidRPr="003648E6">
        <w:rPr>
          <w:color w:val="000000"/>
          <w:sz w:val="20"/>
          <w:lang w:eastAsia="en-GB"/>
        </w:rPr>
        <w:t>Pre-FID (</w:t>
      </w:r>
      <w:r w:rsidR="00884737">
        <w:rPr>
          <w:color w:val="000000"/>
          <w:sz w:val="20"/>
          <w:lang w:eastAsia="en-GB"/>
        </w:rPr>
        <w:t xml:space="preserve">pre-final investment decision </w:t>
      </w:r>
      <w:r w:rsidRPr="003648E6">
        <w:rPr>
          <w:color w:val="000000"/>
          <w:sz w:val="20"/>
          <w:lang w:eastAsia="en-GB"/>
        </w:rPr>
        <w:t>development) finance</w:t>
      </w:r>
      <w:r w:rsidR="00884737">
        <w:rPr>
          <w:rFonts w:eastAsiaTheme="minorEastAsia"/>
          <w:color w:val="000000"/>
          <w:sz w:val="20"/>
          <w:lang w:eastAsia="en-GB"/>
        </w:rPr>
        <w:t>,</w:t>
      </w:r>
      <w:r w:rsidRPr="00884737">
        <w:rPr>
          <w:color w:val="000000"/>
          <w:sz w:val="20"/>
          <w:lang w:eastAsia="en-GB"/>
        </w:rPr>
        <w:t> Currency, interest rate and commodity hedging</w:t>
      </w:r>
      <w:r w:rsidR="00BF2563">
        <w:rPr>
          <w:rFonts w:eastAsiaTheme="minorEastAsia"/>
          <w:color w:val="000000"/>
          <w:sz w:val="20"/>
          <w:lang w:eastAsia="en-GB"/>
        </w:rPr>
        <w:t xml:space="preserve">, </w:t>
      </w:r>
      <w:r w:rsidRPr="00BF2563">
        <w:rPr>
          <w:color w:val="000000"/>
          <w:sz w:val="20"/>
          <w:lang w:eastAsia="en-GB"/>
        </w:rPr>
        <w:t>Pre-payment finance</w:t>
      </w:r>
      <w:r w:rsidR="00BF2563">
        <w:rPr>
          <w:rFonts w:eastAsiaTheme="minorEastAsia"/>
          <w:color w:val="000000"/>
          <w:sz w:val="20"/>
          <w:lang w:eastAsia="en-GB"/>
        </w:rPr>
        <w:t>,</w:t>
      </w:r>
      <w:r w:rsidRPr="00BF2563">
        <w:rPr>
          <w:color w:val="000000"/>
          <w:sz w:val="20"/>
          <w:lang w:eastAsia="en-GB"/>
        </w:rPr>
        <w:t> Asset-backed finance</w:t>
      </w:r>
      <w:r w:rsidR="006D23EE">
        <w:rPr>
          <w:rFonts w:eastAsiaTheme="minorEastAsia"/>
          <w:color w:val="000000"/>
          <w:sz w:val="20"/>
          <w:lang w:eastAsia="en-GB"/>
        </w:rPr>
        <w:t>,</w:t>
      </w:r>
      <w:r w:rsidRPr="006D23EE">
        <w:rPr>
          <w:color w:val="000000"/>
          <w:sz w:val="20"/>
          <w:lang w:eastAsia="en-GB"/>
        </w:rPr>
        <w:t>Syndicated and club loans</w:t>
      </w:r>
      <w:r w:rsidR="006D23EE">
        <w:rPr>
          <w:rFonts w:eastAsiaTheme="minorEastAsia"/>
          <w:color w:val="000000"/>
          <w:sz w:val="20"/>
          <w:lang w:eastAsia="en-GB"/>
        </w:rPr>
        <w:t xml:space="preserve">, </w:t>
      </w:r>
      <w:r w:rsidRPr="006D23EE">
        <w:rPr>
          <w:color w:val="000000"/>
          <w:sz w:val="20"/>
          <w:lang w:eastAsia="en-GB"/>
        </w:rPr>
        <w:t>Revolving credit facilities</w:t>
      </w:r>
      <w:r w:rsidR="006D23EE">
        <w:rPr>
          <w:rFonts w:eastAsiaTheme="minorEastAsia"/>
          <w:color w:val="000000"/>
          <w:sz w:val="20"/>
          <w:lang w:eastAsia="en-GB"/>
        </w:rPr>
        <w:t xml:space="preserve">, </w:t>
      </w:r>
      <w:r w:rsidRPr="006D23EE">
        <w:rPr>
          <w:color w:val="000000"/>
          <w:sz w:val="20"/>
          <w:lang w:eastAsia="en-GB"/>
        </w:rPr>
        <w:t>Acquisition and refinancing facilities</w:t>
      </w:r>
    </w:p>
    <w:p w14:paraId="01EBC9EA" w14:textId="34E900EC" w:rsidR="00085538" w:rsidRPr="00102418" w:rsidRDefault="00085538" w:rsidP="00450BBA">
      <w:pPr>
        <w:spacing w:line="276" w:lineRule="auto"/>
        <w:ind w:firstLine="567"/>
        <w:jc w:val="both"/>
        <w:divId w:val="715734853"/>
        <w:rPr>
          <w:rFonts w:eastAsiaTheme="minorEastAsia"/>
          <w:color w:val="000000"/>
          <w:sz w:val="20"/>
          <w:lang w:eastAsia="en-GB"/>
        </w:rPr>
      </w:pPr>
      <w:r w:rsidRPr="00653051">
        <w:rPr>
          <w:rFonts w:eastAsiaTheme="minorEastAsia"/>
          <w:color w:val="000000"/>
          <w:sz w:val="20"/>
          <w:lang w:eastAsia="en-GB"/>
        </w:rPr>
        <w:t>IBNI resources and balance sheet (OOF or SOF) would be deployed subject to pre-conditions and usual documentary conditions precedent, such as:</w:t>
      </w:r>
      <w:r w:rsidR="00E128E1">
        <w:rPr>
          <w:rFonts w:eastAsiaTheme="minorEastAsia"/>
          <w:color w:val="000000"/>
          <w:sz w:val="20"/>
          <w:lang w:eastAsia="en-GB"/>
        </w:rPr>
        <w:t xml:space="preserve"> </w:t>
      </w:r>
      <w:r w:rsidRPr="00E128E1">
        <w:rPr>
          <w:color w:val="000000"/>
          <w:sz w:val="20"/>
          <w:lang w:eastAsia="en-GB"/>
        </w:rPr>
        <w:t>Market additionality</w:t>
      </w:r>
      <w:r w:rsidR="00E128E1">
        <w:rPr>
          <w:rFonts w:eastAsiaTheme="minorEastAsia"/>
          <w:color w:val="000000"/>
          <w:sz w:val="20"/>
          <w:lang w:eastAsia="en-GB"/>
        </w:rPr>
        <w:t xml:space="preserve">; </w:t>
      </w:r>
      <w:r w:rsidRPr="00E128E1">
        <w:rPr>
          <w:color w:val="000000"/>
          <w:sz w:val="20"/>
          <w:lang w:eastAsia="en-GB"/>
        </w:rPr>
        <w:t>Value added and other economic criteria</w:t>
      </w:r>
      <w:r w:rsidR="00E128E1">
        <w:rPr>
          <w:rFonts w:eastAsiaTheme="minorEastAsia"/>
          <w:color w:val="000000"/>
          <w:sz w:val="20"/>
          <w:lang w:eastAsia="en-GB"/>
        </w:rPr>
        <w:t xml:space="preserve">; </w:t>
      </w:r>
      <w:r w:rsidRPr="00E128E1">
        <w:rPr>
          <w:color w:val="000000"/>
          <w:sz w:val="20"/>
          <w:lang w:eastAsia="en-GB"/>
        </w:rPr>
        <w:t>ESG criteria</w:t>
      </w:r>
      <w:r w:rsidR="00E128E1">
        <w:rPr>
          <w:rFonts w:eastAsiaTheme="minorEastAsia"/>
          <w:color w:val="000000"/>
          <w:sz w:val="20"/>
          <w:lang w:eastAsia="en-GB"/>
        </w:rPr>
        <w:t xml:space="preserve">; </w:t>
      </w:r>
      <w:r w:rsidRPr="00E128E1">
        <w:rPr>
          <w:color w:val="000000"/>
          <w:sz w:val="20"/>
          <w:lang w:eastAsia="en-GB"/>
        </w:rPr>
        <w:t>Sustainability criteria</w:t>
      </w:r>
      <w:r w:rsidR="0029799A">
        <w:rPr>
          <w:rFonts w:eastAsiaTheme="minorEastAsia"/>
          <w:color w:val="000000"/>
          <w:sz w:val="20"/>
          <w:lang w:eastAsia="en-GB"/>
        </w:rPr>
        <w:t>, 3S criteria</w:t>
      </w:r>
      <w:r w:rsidRPr="0029799A">
        <w:rPr>
          <w:color w:val="000000"/>
          <w:sz w:val="20"/>
          <w:lang w:eastAsia="en-GB"/>
        </w:rPr>
        <w:t> with respect to international obligations and IAEA</w:t>
      </w:r>
      <w:r w:rsidR="00D137CF">
        <w:rPr>
          <w:color w:val="000000"/>
          <w:sz w:val="20"/>
          <w:lang w:eastAsia="en-GB"/>
        </w:rPr>
        <w:t xml:space="preserve"> safety</w:t>
      </w:r>
      <w:r w:rsidRPr="0029799A">
        <w:rPr>
          <w:color w:val="000000"/>
          <w:sz w:val="20"/>
          <w:lang w:eastAsia="en-GB"/>
        </w:rPr>
        <w:t xml:space="preserve"> standards</w:t>
      </w:r>
      <w:r w:rsidR="00D137CF">
        <w:rPr>
          <w:color w:val="000000"/>
          <w:sz w:val="20"/>
          <w:lang w:eastAsia="en-GB"/>
        </w:rPr>
        <w:t xml:space="preserve"> and security guidance.</w:t>
      </w:r>
      <w:r w:rsidR="00F61FE2">
        <w:rPr>
          <w:rFonts w:eastAsiaTheme="minorEastAsia"/>
          <w:color w:val="000000"/>
          <w:sz w:val="20"/>
          <w:lang w:eastAsia="en-GB"/>
        </w:rPr>
        <w:t xml:space="preserve"> </w:t>
      </w:r>
      <w:r w:rsidRPr="00F61FE2">
        <w:rPr>
          <w:rFonts w:eastAsiaTheme="minorEastAsia"/>
          <w:color w:val="000000"/>
          <w:sz w:val="20"/>
          <w:lang w:eastAsia="en-GB"/>
        </w:rPr>
        <w:t xml:space="preserve">On the basis of the above tool kit, IBNI is expected to emerge as a deal hub and aggregator for market financiers to achieve exposure to nuclear investment under acceptable market </w:t>
      </w:r>
      <w:r w:rsidRPr="00F61FE2">
        <w:rPr>
          <w:rFonts w:eastAsiaTheme="minorEastAsia"/>
          <w:color w:val="000000"/>
          <w:sz w:val="20"/>
          <w:lang w:eastAsia="en-GB"/>
        </w:rPr>
        <w:lastRenderedPageBreak/>
        <w:t>standards. </w:t>
      </w:r>
      <w:r w:rsidRPr="00102418">
        <w:rPr>
          <w:rFonts w:eastAsiaTheme="minorEastAsia"/>
          <w:color w:val="000000"/>
          <w:sz w:val="20"/>
          <w:lang w:eastAsia="en-GB"/>
        </w:rPr>
        <w:t>Equally, IBNI would be expected to fund itself (and refinance itself) over time through the Green Bond and ESG finance market, offering corporate and/or structured notes to investors seeking to support nuclear deployment. IBNI bonds would offer high-grade credit quality and istant diversification for investors keen to enter the nuclear market but insufficiently experienced or confident to undertake their own screening and diligence.</w:t>
      </w:r>
    </w:p>
    <w:p w14:paraId="59241897" w14:textId="64A132FF" w:rsidR="00A748AE" w:rsidRPr="00FF1A8A" w:rsidRDefault="002872E1" w:rsidP="005448E2">
      <w:pPr>
        <w:pStyle w:val="Heading4"/>
        <w:ind w:left="0"/>
      </w:pPr>
      <w:r>
        <w:t xml:space="preserve">Expanding the market </w:t>
      </w:r>
      <w:r w:rsidR="00FF1A8A">
        <w:t>–</w:t>
      </w:r>
      <w:r>
        <w:t xml:space="preserve"> </w:t>
      </w:r>
      <w:r w:rsidR="00FF1A8A">
        <w:t>supporting nuclear infrastructure development</w:t>
      </w:r>
    </w:p>
    <w:p w14:paraId="58D04400" w14:textId="60362F5D" w:rsidR="00A748AE" w:rsidRPr="00A247E8" w:rsidRDefault="00510584" w:rsidP="00A247E8">
      <w:pPr>
        <w:spacing w:line="276" w:lineRule="auto"/>
        <w:ind w:firstLine="567"/>
        <w:jc w:val="both"/>
        <w:rPr>
          <w:sz w:val="20"/>
          <w:lang w:eastAsia="en-GB"/>
        </w:rPr>
      </w:pPr>
      <w:r w:rsidRPr="00FF1A8A">
        <w:rPr>
          <w:sz w:val="20"/>
          <w:lang w:eastAsia="en-GB"/>
        </w:rPr>
        <w:t xml:space="preserve">IBNI design foresees instruments to address potential funding gaps in the National Infrastructure for nuclear power and financing gaps for Site Evaluation and Early Works Activities. </w:t>
      </w:r>
      <w:r w:rsidR="0089252A">
        <w:rPr>
          <w:sz w:val="20"/>
          <w:lang w:eastAsia="en-GB"/>
        </w:rPr>
        <w:t xml:space="preserve">Developing </w:t>
      </w:r>
      <w:r w:rsidR="00C0667C">
        <w:rPr>
          <w:sz w:val="20"/>
          <w:lang w:eastAsia="en-GB"/>
        </w:rPr>
        <w:t>soft and hard nuclear infrastructure include</w:t>
      </w:r>
      <w:r w:rsidR="008C74AD">
        <w:rPr>
          <w:sz w:val="20"/>
          <w:lang w:eastAsia="en-GB"/>
        </w:rPr>
        <w:t xml:space="preserve"> adhering</w:t>
      </w:r>
      <w:r w:rsidR="00A06F7C" w:rsidRPr="00FF1A8A">
        <w:rPr>
          <w:sz w:val="20"/>
          <w:lang w:eastAsia="en-GB"/>
        </w:rPr>
        <w:t xml:space="preserve"> to the international nuclear legal regime, establishing key institutions as Independent Nuclear Regulator, Owner/Operator and discharging government coordinating function through </w:t>
      </w:r>
      <w:r w:rsidR="00072A7F" w:rsidRPr="00FF1A8A">
        <w:rPr>
          <w:sz w:val="20"/>
          <w:lang w:eastAsia="en-GB"/>
        </w:rPr>
        <w:t>Nuclear</w:t>
      </w:r>
      <w:r w:rsidR="00A06F7C" w:rsidRPr="00FF1A8A">
        <w:rPr>
          <w:sz w:val="20"/>
          <w:lang w:eastAsia="en-GB"/>
        </w:rPr>
        <w:t xml:space="preserve"> Power </w:t>
      </w:r>
      <w:r w:rsidR="00072A7F" w:rsidRPr="00FF1A8A">
        <w:rPr>
          <w:sz w:val="20"/>
          <w:lang w:eastAsia="en-GB"/>
        </w:rPr>
        <w:t>Implementing</w:t>
      </w:r>
      <w:r w:rsidR="00A06F7C" w:rsidRPr="00FF1A8A">
        <w:rPr>
          <w:sz w:val="20"/>
          <w:lang w:eastAsia="en-GB"/>
        </w:rPr>
        <w:t xml:space="preserve"> Organisation (NEPIO), putting in place national Legal and Regulatory frameworks and many more as </w:t>
      </w:r>
      <w:r w:rsidR="00072A7F" w:rsidRPr="00FF1A8A">
        <w:rPr>
          <w:sz w:val="20"/>
          <w:lang w:eastAsia="en-GB"/>
        </w:rPr>
        <w:t>described</w:t>
      </w:r>
      <w:r w:rsidR="00A06F7C" w:rsidRPr="00FF1A8A">
        <w:rPr>
          <w:sz w:val="20"/>
          <w:lang w:eastAsia="en-GB"/>
        </w:rPr>
        <w:t xml:space="preserve"> in the IAEA publication “Milestones in the development of a National Infrastructure for Nuclear Power” [7]</w:t>
      </w:r>
      <w:r w:rsidR="003A33FF">
        <w:rPr>
          <w:sz w:val="20"/>
          <w:lang w:eastAsia="en-GB"/>
        </w:rPr>
        <w:t xml:space="preserve">. This is </w:t>
      </w:r>
      <w:r w:rsidR="00A06F7C" w:rsidRPr="00FF1A8A">
        <w:rPr>
          <w:sz w:val="20"/>
          <w:lang w:eastAsia="en-GB"/>
        </w:rPr>
        <w:t>necessary prerequisite for responsible introduction of nuclear</w:t>
      </w:r>
      <w:r w:rsidR="001C3D40">
        <w:rPr>
          <w:sz w:val="20"/>
          <w:lang w:eastAsia="en-GB"/>
        </w:rPr>
        <w:t xml:space="preserve"> energy</w:t>
      </w:r>
      <w:r w:rsidR="00A06F7C" w:rsidRPr="00FF1A8A">
        <w:rPr>
          <w:sz w:val="20"/>
          <w:lang w:eastAsia="en-GB"/>
        </w:rPr>
        <w:t>. Funding such soft and hard infrastructure is obligation of the host country, however in several cases vendor countries</w:t>
      </w:r>
      <w:r w:rsidR="00E445DF">
        <w:rPr>
          <w:sz w:val="20"/>
          <w:lang w:eastAsia="en-GB"/>
        </w:rPr>
        <w:t xml:space="preserve"> are </w:t>
      </w:r>
      <w:r w:rsidR="00A06F7C" w:rsidRPr="00FF1A8A">
        <w:rPr>
          <w:sz w:val="20"/>
          <w:lang w:eastAsia="en-GB"/>
        </w:rPr>
        <w:t xml:space="preserve">offering financial support in different forms. </w:t>
      </w:r>
      <w:r w:rsidR="00904B34">
        <w:rPr>
          <w:sz w:val="20"/>
          <w:lang w:eastAsia="en-GB"/>
        </w:rPr>
        <w:t xml:space="preserve">However, the existence of </w:t>
      </w:r>
      <w:r w:rsidR="00E82DD7">
        <w:rPr>
          <w:sz w:val="20"/>
          <w:lang w:eastAsia="en-GB"/>
        </w:rPr>
        <w:t>specialised IFI would ensure</w:t>
      </w:r>
      <w:r w:rsidR="001B5B0F">
        <w:rPr>
          <w:sz w:val="20"/>
          <w:lang w:eastAsia="en-GB"/>
        </w:rPr>
        <w:t xml:space="preserve"> standardisation and harmonisation across the countries</w:t>
      </w:r>
      <w:r w:rsidR="0054551E">
        <w:rPr>
          <w:sz w:val="20"/>
          <w:lang w:eastAsia="en-GB"/>
        </w:rPr>
        <w:t>, important prerequisite for serial SMRs deployment</w:t>
      </w:r>
      <w:r w:rsidR="00A06F7C" w:rsidRPr="00FF1A8A">
        <w:rPr>
          <w:sz w:val="20"/>
          <w:lang w:eastAsia="en-GB"/>
        </w:rPr>
        <w:t>.</w:t>
      </w:r>
      <w:r w:rsidR="00E445DF">
        <w:rPr>
          <w:sz w:val="20"/>
          <w:lang w:eastAsia="en-GB"/>
        </w:rPr>
        <w:t xml:space="preserve"> </w:t>
      </w:r>
      <w:r w:rsidR="006F7674">
        <w:rPr>
          <w:sz w:val="20"/>
          <w:lang w:eastAsia="en-GB"/>
        </w:rPr>
        <w:t xml:space="preserve">The Bank </w:t>
      </w:r>
      <w:r w:rsidR="00867FE8">
        <w:rPr>
          <w:sz w:val="20"/>
          <w:lang w:eastAsia="en-GB"/>
        </w:rPr>
        <w:t xml:space="preserve">can finance Early Works Activities (EWA) including </w:t>
      </w:r>
      <w:r w:rsidR="005E47E4">
        <w:rPr>
          <w:sz w:val="20"/>
          <w:lang w:eastAsia="en-GB"/>
        </w:rPr>
        <w:t xml:space="preserve">site selection on a technology </w:t>
      </w:r>
      <w:r w:rsidR="00FA4E53">
        <w:rPr>
          <w:sz w:val="20"/>
          <w:lang w:eastAsia="en-GB"/>
        </w:rPr>
        <w:t xml:space="preserve">neutral basis. </w:t>
      </w:r>
      <w:r w:rsidR="00E445DF">
        <w:rPr>
          <w:sz w:val="20"/>
          <w:lang w:eastAsia="en-GB"/>
        </w:rPr>
        <w:t>With its SOF</w:t>
      </w:r>
      <w:r w:rsidR="00FA4E53">
        <w:rPr>
          <w:sz w:val="20"/>
          <w:lang w:eastAsia="en-GB"/>
        </w:rPr>
        <w:t xml:space="preserve"> and OOF</w:t>
      </w:r>
      <w:r w:rsidR="00E445DF">
        <w:rPr>
          <w:sz w:val="20"/>
          <w:lang w:eastAsia="en-GB"/>
        </w:rPr>
        <w:t>, IBNI is designed to address those funding</w:t>
      </w:r>
      <w:r w:rsidR="009700C5">
        <w:rPr>
          <w:sz w:val="20"/>
          <w:lang w:eastAsia="en-GB"/>
        </w:rPr>
        <w:t xml:space="preserve"> and financing</w:t>
      </w:r>
      <w:r w:rsidR="00E445DF">
        <w:rPr>
          <w:sz w:val="20"/>
          <w:lang w:eastAsia="en-GB"/>
        </w:rPr>
        <w:t xml:space="preserve"> gaps as required.</w:t>
      </w:r>
    </w:p>
    <w:p w14:paraId="6A38933F" w14:textId="77777777" w:rsidR="00CA7D23" w:rsidRDefault="00CA7D23" w:rsidP="006F203C">
      <w:pPr>
        <w:pStyle w:val="Heading4"/>
      </w:pPr>
      <w:r>
        <w:t>Generic case study 1 – large-scale reactor developer</w:t>
      </w:r>
    </w:p>
    <w:p w14:paraId="1775D159" w14:textId="77777777" w:rsidR="00CA7D23" w:rsidRDefault="00CA7D23" w:rsidP="00EF7349">
      <w:pPr>
        <w:pStyle w:val="BodyText"/>
        <w:rPr>
          <w:lang w:val="en-US"/>
        </w:rPr>
      </w:pPr>
      <w:r>
        <w:rPr>
          <w:lang w:val="en-US"/>
        </w:rPr>
        <w:t xml:space="preserve">When external finance has been sought, the nuclear project development timeline from vendor selection to FID has ranged from 5 to 8 years for most owner/developers in the OECD. In the case of the UAE, the Prime Contract was signed in 2009 and financial close (involving external finance from commercial banks and ECAs) was achieved in 2016. </w:t>
      </w:r>
    </w:p>
    <w:p w14:paraId="1DED07AB" w14:textId="77777777" w:rsidR="00CA7D23" w:rsidRDefault="00CA7D23" w:rsidP="00EF7349">
      <w:pPr>
        <w:pStyle w:val="BodyText"/>
        <w:rPr>
          <w:lang w:val="en-US"/>
        </w:rPr>
      </w:pPr>
      <w:r>
        <w:rPr>
          <w:lang w:val="en-US"/>
        </w:rPr>
        <w:t xml:space="preserve">The common cause for delays to FID are the misestimating of activities, costs and time to de-risk </w:t>
      </w:r>
      <w:proofErr w:type="spellStart"/>
      <w:r>
        <w:rPr>
          <w:lang w:val="en-US"/>
        </w:rPr>
        <w:t>newbuild</w:t>
      </w:r>
      <w:proofErr w:type="spellEnd"/>
      <w:r>
        <w:rPr>
          <w:lang w:val="en-US"/>
        </w:rPr>
        <w:t xml:space="preserve"> projects to a level that is acceptable to external finance (commonly defined as passive, low-cost professional investment and loans). In the right context, development finance is justifiable, but not necessarily available to the owner/developer. </w:t>
      </w:r>
    </w:p>
    <w:p w14:paraId="294BF7C6" w14:textId="77777777" w:rsidR="00CA7D23" w:rsidRDefault="00CA7D23" w:rsidP="00EF7349">
      <w:pPr>
        <w:pStyle w:val="BodyText"/>
        <w:rPr>
          <w:lang w:val="en-US"/>
        </w:rPr>
      </w:pPr>
      <w:r>
        <w:rPr>
          <w:lang w:val="en-US"/>
        </w:rPr>
        <w:t xml:space="preserve">A knowledgeable IFI such as IBNI would provide support during the development phase to enable achievement of the pre-conditions for FID, from framework-level support above the project, to risk reduction and allocation across partners and stakeholders at the project level. IBNI interventions during the development phase would consist of policy-level dialogue, nuclear infrastructure review and assessment, and structuring support at the project level, prior to making available commitments or funding in support of the project. </w:t>
      </w:r>
    </w:p>
    <w:p w14:paraId="626D39CC" w14:textId="77777777" w:rsidR="00CA7D23" w:rsidRDefault="00CA7D23" w:rsidP="00EF7349">
      <w:pPr>
        <w:pStyle w:val="BodyText"/>
        <w:rPr>
          <w:lang w:val="en-US"/>
        </w:rPr>
      </w:pPr>
      <w:r>
        <w:rPr>
          <w:lang w:val="en-US"/>
        </w:rPr>
        <w:t xml:space="preserve">Funding, when appropriate, could consist of pre-FID shareholder loans, subordinated loans, guarantees and secured loans. IBNI facilities could be structured in any combination of tenors and repayment profiles, from early-availability, long-term amortizing loans (“first-in, last-out) to late-availability balloon repayment loans (“last-in, first-out”). </w:t>
      </w:r>
    </w:p>
    <w:p w14:paraId="134F4345" w14:textId="77777777" w:rsidR="00CA7D23" w:rsidRDefault="00CA7D23" w:rsidP="002C6D3B">
      <w:pPr>
        <w:pStyle w:val="Heading4"/>
      </w:pPr>
      <w:r>
        <w:t>Generic case study  – SMR developer</w:t>
      </w:r>
    </w:p>
    <w:p w14:paraId="62D460B7" w14:textId="77777777" w:rsidR="00CA7D23" w:rsidRDefault="00CA7D23" w:rsidP="00EF7349">
      <w:pPr>
        <w:pStyle w:val="BodyText"/>
        <w:rPr>
          <w:lang w:val="en-US"/>
        </w:rPr>
      </w:pPr>
      <w:r>
        <w:rPr>
          <w:lang w:val="en-US"/>
        </w:rPr>
        <w:t>SMR designs face the unique challenge of “economies of multiples”, meaning that full economic value cannot be achieved until a design has been delivered and replicated to a very high level of cost/schedule/performance certainty. SMR developers cannot therefore deliver long-term value unless/until they benefit from an order book that provides the opportunity to achieve learning curve benefits across multiple units. This re</w:t>
      </w:r>
      <w:r>
        <w:rPr>
          <w:lang w:val="en-US"/>
        </w:rPr>
        <w:tab/>
        <w:t xml:space="preserve">quires a client or clients (whether owners, </w:t>
      </w:r>
      <w:proofErr w:type="spellStart"/>
      <w:r>
        <w:rPr>
          <w:lang w:val="en-US"/>
        </w:rPr>
        <w:t>offtakers</w:t>
      </w:r>
      <w:proofErr w:type="spellEnd"/>
      <w:r>
        <w:rPr>
          <w:lang w:val="en-US"/>
        </w:rPr>
        <w:t xml:space="preserve"> or both) to agree to partner on a series of units without meaningful control over economic outcomes for the future fleet.</w:t>
      </w:r>
    </w:p>
    <w:p w14:paraId="088F4498" w14:textId="77777777" w:rsidR="00CA7D23" w:rsidRPr="00A42E67" w:rsidRDefault="00CA7D23" w:rsidP="00EF7349">
      <w:pPr>
        <w:pStyle w:val="BodyText"/>
      </w:pPr>
      <w:r>
        <w:rPr>
          <w:lang w:val="en-US"/>
        </w:rPr>
        <w:t xml:space="preserve">An IFI such as IBNI could approach the challenge at a higher, aggregated level, by assessing value above the individual projects/units, at the fleet level and over the fleet’s lifetime. Such a holistic approach is not available for normal commercial financiers or even individual governments. </w:t>
      </w:r>
    </w:p>
    <w:p w14:paraId="75D14915" w14:textId="3A98F67C" w:rsidR="00CA7D23" w:rsidRDefault="00CA7D23" w:rsidP="00312CB3">
      <w:pPr>
        <w:pStyle w:val="Heading4"/>
      </w:pPr>
      <w:r>
        <w:t xml:space="preserve">Generic case study 3 – SMR </w:t>
      </w:r>
      <w:proofErr w:type="spellStart"/>
      <w:r>
        <w:t>offtaker</w:t>
      </w:r>
      <w:proofErr w:type="spellEnd"/>
    </w:p>
    <w:p w14:paraId="78ED9D31" w14:textId="77777777" w:rsidR="00CA7D23" w:rsidRPr="00A42E67" w:rsidRDefault="00CA7D23" w:rsidP="00EF7349">
      <w:pPr>
        <w:pStyle w:val="BodyText"/>
      </w:pPr>
      <w:r>
        <w:rPr>
          <w:lang w:val="en-US"/>
        </w:rPr>
        <w:lastRenderedPageBreak/>
        <w:t xml:space="preserve">Similarly to the SMR developer in the previous scenario, an SMR </w:t>
      </w:r>
      <w:proofErr w:type="spellStart"/>
      <w:r>
        <w:rPr>
          <w:lang w:val="en-US"/>
        </w:rPr>
        <w:t>offtaker</w:t>
      </w:r>
      <w:proofErr w:type="spellEnd"/>
      <w:r>
        <w:rPr>
          <w:lang w:val="en-US"/>
        </w:rPr>
        <w:t xml:space="preserve"> faces considerable risks in making commitments on units that are not considered “nth-of-a-kind”. The NuScale/UAMPS project abandonment is an example of an </w:t>
      </w:r>
      <w:proofErr w:type="spellStart"/>
      <w:r>
        <w:rPr>
          <w:lang w:val="en-US"/>
        </w:rPr>
        <w:t>offtaker</w:t>
      </w:r>
      <w:proofErr w:type="spellEnd"/>
      <w:r>
        <w:rPr>
          <w:lang w:val="en-US"/>
        </w:rPr>
        <w:t xml:space="preserve"> group realizing they are unable to bear first-of-a-kind project risks beyond a certain threshold. An IFI such as IBNI could however assess the future value of a potential fleet of units (whether with one or several client/</w:t>
      </w:r>
      <w:proofErr w:type="spellStart"/>
      <w:r>
        <w:rPr>
          <w:lang w:val="en-US"/>
        </w:rPr>
        <w:t>offtaker</w:t>
      </w:r>
      <w:proofErr w:type="spellEnd"/>
      <w:r>
        <w:rPr>
          <w:lang w:val="en-US"/>
        </w:rPr>
        <w:t xml:space="preserve"> groups). IBNI could provide tariff protection to the </w:t>
      </w:r>
      <w:proofErr w:type="spellStart"/>
      <w:r>
        <w:rPr>
          <w:lang w:val="en-US"/>
        </w:rPr>
        <w:t>offtaker</w:t>
      </w:r>
      <w:proofErr w:type="spellEnd"/>
      <w:r>
        <w:rPr>
          <w:lang w:val="en-US"/>
        </w:rPr>
        <w:t xml:space="preserve">/s through cost-overrun and/or PPA protection. In combination with other measures (such as government incentives for SMR </w:t>
      </w:r>
      <w:proofErr w:type="spellStart"/>
      <w:r>
        <w:rPr>
          <w:lang w:val="en-US"/>
        </w:rPr>
        <w:t>offtakers</w:t>
      </w:r>
      <w:proofErr w:type="spellEnd"/>
      <w:r>
        <w:rPr>
          <w:lang w:val="en-US"/>
        </w:rPr>
        <w:t xml:space="preserve">), IBNI would fund overruns on the initial units and amortize its excess exposure through clawbacks on ensuing units. By shifting pain/gain-share across projects, </w:t>
      </w:r>
      <w:proofErr w:type="spellStart"/>
      <w:r>
        <w:rPr>
          <w:lang w:val="en-US"/>
        </w:rPr>
        <w:t>offtakers</w:t>
      </w:r>
      <w:proofErr w:type="spellEnd"/>
      <w:r>
        <w:rPr>
          <w:lang w:val="en-US"/>
        </w:rPr>
        <w:t xml:space="preserve"> and owners, IBNI could support SMR designs at a fleet level. The current approach, whereby each first-of-a-kind SMR project must achieve </w:t>
      </w:r>
      <w:proofErr w:type="spellStart"/>
      <w:r>
        <w:rPr>
          <w:lang w:val="en-US"/>
        </w:rPr>
        <w:t>investability</w:t>
      </w:r>
      <w:proofErr w:type="spellEnd"/>
      <w:r>
        <w:rPr>
          <w:lang w:val="en-US"/>
        </w:rPr>
        <w:t xml:space="preserve"> and bankability, sets an unreasonably high standard on an industry that legitimately requires an order book to achieve least-cost economics.</w:t>
      </w:r>
    </w:p>
    <w:p w14:paraId="08952038" w14:textId="77777777" w:rsidR="00F06B6D" w:rsidRPr="00A748AE" w:rsidRDefault="00F06B6D" w:rsidP="00A748AE">
      <w:pPr>
        <w:overflowPunct/>
        <w:autoSpaceDE/>
        <w:autoSpaceDN/>
        <w:adjustRightInd/>
        <w:textAlignment w:val="auto"/>
        <w:rPr>
          <w:sz w:val="20"/>
          <w:lang w:val="en-US" w:eastAsia="en-GB"/>
        </w:rPr>
      </w:pPr>
    </w:p>
    <w:p w14:paraId="6B4DB000" w14:textId="79B17777" w:rsidR="008B6BB9" w:rsidRPr="00EE0041" w:rsidRDefault="0043395C" w:rsidP="00537496">
      <w:pPr>
        <w:pStyle w:val="Heading3"/>
      </w:pPr>
      <w:r>
        <w:t>Conclusion</w:t>
      </w:r>
    </w:p>
    <w:p w14:paraId="04CEC448" w14:textId="76D9CB0A" w:rsidR="00313D82" w:rsidRPr="00A748AE" w:rsidRDefault="000907E4" w:rsidP="00E566E4">
      <w:pPr>
        <w:overflowPunct/>
        <w:autoSpaceDE/>
        <w:autoSpaceDN/>
        <w:adjustRightInd/>
        <w:spacing w:after="60" w:line="276" w:lineRule="auto"/>
        <w:ind w:firstLine="567"/>
        <w:contextualSpacing/>
        <w:jc w:val="both"/>
        <w:textAlignment w:val="auto"/>
        <w:rPr>
          <w:rFonts w:eastAsiaTheme="minorHAnsi"/>
          <w:kern w:val="2"/>
          <w:sz w:val="20"/>
          <w:lang w:val="en-US"/>
          <w14:ligatures w14:val="standardContextual"/>
        </w:rPr>
      </w:pPr>
      <w:r>
        <w:rPr>
          <w:rFonts w:eastAsiaTheme="minorHAnsi"/>
          <w:kern w:val="2"/>
          <w:sz w:val="20"/>
          <w:lang w:val="en-US"/>
          <w14:ligatures w14:val="standardContextual"/>
        </w:rPr>
        <w:t xml:space="preserve">The </w:t>
      </w:r>
      <w:r w:rsidR="00EB2291">
        <w:rPr>
          <w:rFonts w:eastAsiaTheme="minorHAnsi"/>
          <w:kern w:val="2"/>
          <w:sz w:val="20"/>
          <w:lang w:val="en-US"/>
          <w14:ligatures w14:val="standardContextual"/>
        </w:rPr>
        <w:t>initiative</w:t>
      </w:r>
      <w:r>
        <w:rPr>
          <w:rFonts w:eastAsiaTheme="minorHAnsi"/>
          <w:kern w:val="2"/>
          <w:sz w:val="20"/>
          <w:lang w:val="en-US"/>
          <w14:ligatures w14:val="standardContextual"/>
        </w:rPr>
        <w:t xml:space="preserve"> to create </w:t>
      </w:r>
      <w:r w:rsidR="00EB2291">
        <w:rPr>
          <w:rFonts w:eastAsiaTheme="minorHAnsi"/>
          <w:kern w:val="2"/>
          <w:sz w:val="20"/>
          <w:lang w:val="en-US"/>
          <w14:ligatures w14:val="standardContextual"/>
        </w:rPr>
        <w:t>a</w:t>
      </w:r>
      <w:r>
        <w:rPr>
          <w:rFonts w:eastAsiaTheme="minorHAnsi"/>
          <w:kern w:val="2"/>
          <w:sz w:val="20"/>
          <w:lang w:val="en-US"/>
          <w14:ligatures w14:val="standardContextual"/>
        </w:rPr>
        <w:t xml:space="preserve"> new IFI</w:t>
      </w:r>
      <w:r w:rsidR="00EB2291">
        <w:rPr>
          <w:rFonts w:eastAsiaTheme="minorHAnsi"/>
          <w:kern w:val="2"/>
          <w:sz w:val="20"/>
          <w:lang w:val="en-US"/>
          <w14:ligatures w14:val="standardContextual"/>
        </w:rPr>
        <w:t xml:space="preserve"> </w:t>
      </w:r>
      <w:r w:rsidR="006F47B6">
        <w:rPr>
          <w:rFonts w:eastAsiaTheme="minorHAnsi"/>
          <w:kern w:val="2"/>
          <w:sz w:val="20"/>
          <w:lang w:val="en-US"/>
          <w14:ligatures w14:val="standardContextual"/>
        </w:rPr>
        <w:t>addresses</w:t>
      </w:r>
      <w:r w:rsidR="000641BF">
        <w:rPr>
          <w:rFonts w:eastAsiaTheme="minorHAnsi"/>
          <w:kern w:val="2"/>
          <w:sz w:val="20"/>
          <w:lang w:val="en-US"/>
          <w14:ligatures w14:val="standardContextual"/>
        </w:rPr>
        <w:t xml:space="preserve"> the urgency</w:t>
      </w:r>
      <w:r w:rsidR="00675338">
        <w:rPr>
          <w:rFonts w:eastAsiaTheme="minorHAnsi"/>
          <w:kern w:val="2"/>
          <w:sz w:val="20"/>
          <w:lang w:val="en-US"/>
          <w14:ligatures w14:val="standardContextual"/>
        </w:rPr>
        <w:t xml:space="preserve"> of </w:t>
      </w:r>
      <w:r w:rsidR="00835C10">
        <w:rPr>
          <w:rFonts w:eastAsiaTheme="minorHAnsi"/>
          <w:kern w:val="2"/>
          <w:sz w:val="20"/>
          <w:lang w:val="en-US"/>
          <w14:ligatures w14:val="standardContextual"/>
        </w:rPr>
        <w:t>addressing climate change with all available low carbon technologies</w:t>
      </w:r>
      <w:r w:rsidR="00CB1E10">
        <w:rPr>
          <w:rFonts w:eastAsiaTheme="minorHAnsi"/>
          <w:kern w:val="2"/>
          <w:sz w:val="20"/>
          <w:lang w:val="en-US"/>
          <w14:ligatures w14:val="standardContextual"/>
        </w:rPr>
        <w:t xml:space="preserve">. </w:t>
      </w:r>
      <w:r w:rsidR="00B65EFC">
        <w:rPr>
          <w:rFonts w:eastAsiaTheme="minorHAnsi"/>
          <w:kern w:val="2"/>
          <w:sz w:val="20"/>
          <w:lang w:val="en-US"/>
          <w14:ligatures w14:val="standardContextual"/>
        </w:rPr>
        <w:t xml:space="preserve">IBNI will </w:t>
      </w:r>
      <w:r w:rsidR="00313D82" w:rsidRPr="00A748AE">
        <w:rPr>
          <w:rFonts w:eastAsiaTheme="minorHAnsi"/>
          <w:kern w:val="2"/>
          <w:sz w:val="20"/>
          <w:lang w:val="en-US"/>
          <w14:ligatures w14:val="standardContextual"/>
        </w:rPr>
        <w:t>be nuclear specific covering the whole range of nuclear projects and value chain</w:t>
      </w:r>
      <w:r w:rsidR="00B65EFC">
        <w:rPr>
          <w:rFonts w:eastAsiaTheme="minorHAnsi"/>
          <w:kern w:val="2"/>
          <w:sz w:val="20"/>
          <w:lang w:val="en-US"/>
          <w14:ligatures w14:val="standardContextual"/>
        </w:rPr>
        <w:t xml:space="preserve">; </w:t>
      </w:r>
      <w:r w:rsidR="00313D82" w:rsidRPr="00A748AE">
        <w:rPr>
          <w:rFonts w:eastAsiaTheme="minorHAnsi"/>
          <w:kern w:val="2"/>
          <w:sz w:val="20"/>
          <w:lang w:val="en-US"/>
          <w14:ligatures w14:val="standardContextual"/>
        </w:rPr>
        <w:t>It will operate in emerging economies or nuclear newcomers as well as in advanced economies providing technologies.</w:t>
      </w:r>
      <w:r w:rsidR="00E566E4">
        <w:rPr>
          <w:rFonts w:eastAsiaTheme="minorHAnsi"/>
          <w:kern w:val="2"/>
          <w:sz w:val="20"/>
          <w:lang w:val="en-US"/>
          <w14:ligatures w14:val="standardContextual"/>
        </w:rPr>
        <w:t xml:space="preserve"> </w:t>
      </w:r>
      <w:r w:rsidR="00CC62B1">
        <w:rPr>
          <w:rFonts w:eastAsiaTheme="minorHAnsi"/>
          <w:kern w:val="2"/>
          <w:sz w:val="20"/>
          <w:lang w:val="en-US"/>
          <w14:ligatures w14:val="standardContextual"/>
        </w:rPr>
        <w:t>IBNI is designed to fill the exciting gaps and support scaling nuclear globally through</w:t>
      </w:r>
      <w:r w:rsidR="000C3C6A">
        <w:rPr>
          <w:rFonts w:eastAsiaTheme="minorHAnsi"/>
          <w:kern w:val="2"/>
          <w:sz w:val="20"/>
          <w:lang w:val="en-US"/>
          <w14:ligatures w14:val="standardContextual"/>
        </w:rPr>
        <w:t xml:space="preserve">: </w:t>
      </w:r>
      <w:r w:rsidR="00313D82" w:rsidRPr="00A748AE">
        <w:rPr>
          <w:rFonts w:eastAsiaTheme="minorHAnsi"/>
          <w:kern w:val="2"/>
          <w:sz w:val="20"/>
          <w:lang w:val="en-US"/>
          <w14:ligatures w14:val="standardContextual"/>
        </w:rPr>
        <w:t>Strengthening the global nuclear finance expertise and repository of lessons learned</w:t>
      </w:r>
      <w:r w:rsidR="000C3C6A">
        <w:rPr>
          <w:rFonts w:eastAsiaTheme="minorHAnsi"/>
          <w:kern w:val="2"/>
          <w:sz w:val="20"/>
          <w:lang w:val="en-US"/>
          <w14:ligatures w14:val="standardContextual"/>
        </w:rPr>
        <w:t xml:space="preserve">; </w:t>
      </w:r>
      <w:r w:rsidR="00313D82" w:rsidRPr="00A748AE">
        <w:rPr>
          <w:rFonts w:eastAsiaTheme="minorHAnsi"/>
          <w:kern w:val="2"/>
          <w:sz w:val="20"/>
          <w:lang w:val="en-US"/>
          <w14:ligatures w14:val="standardContextual"/>
        </w:rPr>
        <w:t xml:space="preserve">Contributing to the harmonization and </w:t>
      </w:r>
      <w:r w:rsidR="00051C21" w:rsidRPr="00A748AE">
        <w:rPr>
          <w:rFonts w:eastAsiaTheme="minorHAnsi"/>
          <w:kern w:val="2"/>
          <w:sz w:val="20"/>
          <w:lang w:val="en-US"/>
          <w14:ligatures w14:val="standardContextual"/>
        </w:rPr>
        <w:t>standardization</w:t>
      </w:r>
      <w:r w:rsidR="00313D82" w:rsidRPr="00A748AE">
        <w:rPr>
          <w:rFonts w:eastAsiaTheme="minorHAnsi"/>
          <w:kern w:val="2"/>
          <w:sz w:val="20"/>
          <w:lang w:val="en-US"/>
          <w14:ligatures w14:val="standardContextual"/>
        </w:rPr>
        <w:t xml:space="preserve"> of the regulatory and industrial practices</w:t>
      </w:r>
      <w:r w:rsidR="000C3C6A">
        <w:rPr>
          <w:rFonts w:eastAsiaTheme="minorHAnsi"/>
          <w:kern w:val="2"/>
          <w:sz w:val="20"/>
          <w:lang w:val="en-US"/>
          <w14:ligatures w14:val="standardContextual"/>
        </w:rPr>
        <w:t xml:space="preserve">; </w:t>
      </w:r>
      <w:r w:rsidR="00313D82" w:rsidRPr="00A748AE">
        <w:rPr>
          <w:rFonts w:eastAsiaTheme="minorHAnsi"/>
          <w:kern w:val="2"/>
          <w:sz w:val="20"/>
          <w:lang w:val="en-US"/>
          <w14:ligatures w14:val="standardContextual"/>
        </w:rPr>
        <w:t>Accelerating the development of enabling nuclear infrastructure through policy dialog and filling the potential funding gaps</w:t>
      </w:r>
      <w:r w:rsidR="000C3C6A">
        <w:rPr>
          <w:rFonts w:eastAsiaTheme="minorHAnsi"/>
          <w:kern w:val="2"/>
          <w:sz w:val="20"/>
          <w:lang w:val="en-US"/>
          <w14:ligatures w14:val="standardContextual"/>
        </w:rPr>
        <w:t xml:space="preserve">; </w:t>
      </w:r>
      <w:r w:rsidR="00313D82" w:rsidRPr="00A748AE">
        <w:rPr>
          <w:rFonts w:eastAsiaTheme="minorHAnsi"/>
          <w:kern w:val="2"/>
          <w:sz w:val="20"/>
          <w:lang w:val="en-US"/>
          <w14:ligatures w14:val="standardContextual"/>
        </w:rPr>
        <w:t>Acting as point of reference for commercial banks and private investors and additional to</w:t>
      </w:r>
      <w:r w:rsidR="00051C21">
        <w:rPr>
          <w:rFonts w:eastAsiaTheme="minorHAnsi"/>
          <w:kern w:val="2"/>
          <w:sz w:val="20"/>
          <w:lang w:val="en-US"/>
          <w14:ligatures w14:val="standardContextual"/>
        </w:rPr>
        <w:t xml:space="preserve"> crowding in</w:t>
      </w:r>
      <w:r w:rsidR="00313D82" w:rsidRPr="00A748AE">
        <w:rPr>
          <w:rFonts w:eastAsiaTheme="minorHAnsi"/>
          <w:kern w:val="2"/>
          <w:sz w:val="20"/>
          <w:lang w:val="en-US"/>
          <w14:ligatures w14:val="standardContextual"/>
        </w:rPr>
        <w:t xml:space="preserve"> private investments.</w:t>
      </w:r>
    </w:p>
    <w:p w14:paraId="47BD580B" w14:textId="77777777" w:rsidR="00313D82" w:rsidRDefault="00313D82" w:rsidP="00537496">
      <w:pPr>
        <w:pStyle w:val="Authornameandaffiliation"/>
        <w:rPr>
          <w:lang w:val="en-GB"/>
        </w:rPr>
      </w:pPr>
    </w:p>
    <w:p w14:paraId="15F4F300" w14:textId="77777777" w:rsidR="00285755" w:rsidRDefault="00285755" w:rsidP="00537496">
      <w:pPr>
        <w:pStyle w:val="Otherunnumberedheadings"/>
      </w:pPr>
      <w:r w:rsidRPr="00285755">
        <w:t>ACKNOWLEDGEMENTS</w:t>
      </w:r>
    </w:p>
    <w:p w14:paraId="711AF860" w14:textId="6BD4452F" w:rsidR="00D26ADA" w:rsidRDefault="00A02368" w:rsidP="00537496">
      <w:pPr>
        <w:pStyle w:val="BodyText"/>
      </w:pPr>
      <w:r>
        <w:t xml:space="preserve">IBNI is an initiative </w:t>
      </w:r>
      <w:r w:rsidR="001D3E06">
        <w:t>of private individuals, chaired by Daniel Dean</w:t>
      </w:r>
      <w:r w:rsidR="00C93619">
        <w:t xml:space="preserve">. For this article </w:t>
      </w:r>
      <w:r w:rsidR="00096B08">
        <w:t xml:space="preserve">publicly available information about IBNI activities has been used </w:t>
      </w:r>
      <w:r w:rsidR="00543B25">
        <w:t xml:space="preserve">as referenced bellow. Not all </w:t>
      </w:r>
      <w:r w:rsidR="004A4AF6">
        <w:t>IBNI Strategic Advisory Group members have been listed in this publication.</w:t>
      </w:r>
      <w:r w:rsidR="00543B25">
        <w:t xml:space="preserve"> </w:t>
      </w:r>
    </w:p>
    <w:p w14:paraId="32B76F9D" w14:textId="77777777" w:rsidR="00D26ADA" w:rsidRPr="00285755" w:rsidRDefault="00D26ADA" w:rsidP="00537496">
      <w:pPr>
        <w:pStyle w:val="Otherunnumberedheadings"/>
      </w:pPr>
      <w:r>
        <w:t>References</w:t>
      </w:r>
    </w:p>
    <w:p w14:paraId="73FC7936" w14:textId="091DF01D" w:rsidR="00CD4314" w:rsidRPr="00CD4314" w:rsidRDefault="00CD4314" w:rsidP="000E7828">
      <w:pPr>
        <w:pStyle w:val="Referencelist"/>
        <w:rPr>
          <w:rFonts w:eastAsiaTheme="minorHAnsi"/>
          <w:lang w:val="en-US"/>
        </w:rPr>
      </w:pPr>
      <w:r>
        <w:rPr>
          <w:rFonts w:eastAsiaTheme="minorHAnsi"/>
          <w:lang w:val="en-US"/>
        </w:rPr>
        <w:t xml:space="preserve">Electricity 2024 </w:t>
      </w:r>
      <w:r w:rsidR="00F814B7">
        <w:rPr>
          <w:rFonts w:eastAsiaTheme="minorHAnsi"/>
          <w:lang w:val="en-US"/>
        </w:rPr>
        <w:t xml:space="preserve">Analysis and forecast </w:t>
      </w:r>
      <w:r w:rsidR="00390658">
        <w:rPr>
          <w:rFonts w:eastAsiaTheme="minorHAnsi"/>
          <w:lang w:val="en-US"/>
        </w:rPr>
        <w:t xml:space="preserve">to 2026, IEA,  </w:t>
      </w:r>
      <w:hyperlink r:id="rId8" w:history="1">
        <w:r w:rsidR="003C0830" w:rsidRPr="00577891">
          <w:rPr>
            <w:rStyle w:val="Hyperlink"/>
            <w:rFonts w:eastAsiaTheme="minorHAnsi"/>
            <w:lang w:val="en-US"/>
          </w:rPr>
          <w:t>https://iea.blob.core.windows.net/assets/18f3ed24-4b26-4c83-a3d2-8a1be51c8cc8/Electricity2024-Analysisandforecastto2026.pdf</w:t>
        </w:r>
      </w:hyperlink>
      <w:r w:rsidR="003C0830">
        <w:rPr>
          <w:rFonts w:eastAsiaTheme="minorHAnsi"/>
          <w:lang w:val="en-US"/>
        </w:rPr>
        <w:t xml:space="preserve"> </w:t>
      </w:r>
    </w:p>
    <w:p w14:paraId="710A0FA1" w14:textId="112C8524" w:rsidR="003C5424" w:rsidRPr="003C5424" w:rsidRDefault="0031073B" w:rsidP="000E7828">
      <w:pPr>
        <w:pStyle w:val="Referencelist"/>
        <w:rPr>
          <w:rFonts w:eastAsiaTheme="minorHAnsi"/>
          <w:lang w:val="en-US"/>
        </w:rPr>
      </w:pPr>
      <w:r w:rsidRPr="005448E2">
        <w:rPr>
          <w:lang w:val="en-US" w:eastAsia="en-GB"/>
        </w:rPr>
        <w:t xml:space="preserve">Outcome of the first global stocktake. Draft decision -/CMA.5. </w:t>
      </w:r>
      <w:hyperlink r:id="rId9" w:history="1">
        <w:r w:rsidRPr="005448E2">
          <w:rPr>
            <w:rFonts w:eastAsiaTheme="majorEastAsia"/>
            <w:color w:val="0000FF" w:themeColor="hyperlink"/>
            <w:u w:val="single"/>
            <w:lang w:val="en-US"/>
          </w:rPr>
          <w:t>https://unfccc.int/documents/636608</w:t>
        </w:r>
      </w:hyperlink>
    </w:p>
    <w:p w14:paraId="05775066" w14:textId="77777777" w:rsidR="0032271B" w:rsidRDefault="000E7828" w:rsidP="0032271B">
      <w:pPr>
        <w:pStyle w:val="Referencelist"/>
        <w:jc w:val="left"/>
        <w:rPr>
          <w:rFonts w:eastAsiaTheme="minorHAnsi"/>
          <w:lang w:val="en-US" w:eastAsia="en-GB"/>
        </w:rPr>
      </w:pPr>
      <w:r w:rsidRPr="005448E2">
        <w:rPr>
          <w:lang w:val="en-US"/>
        </w:rPr>
        <w:t>Declaration to Triple Nuclear Energy</w:t>
      </w:r>
      <w:r w:rsidRPr="000E7828">
        <w:rPr>
          <w:color w:val="292929"/>
          <w:lang w:val="en-US"/>
        </w:rPr>
        <w:t xml:space="preserve">, </w:t>
      </w:r>
      <w:r w:rsidRPr="005448E2">
        <w:rPr>
          <w:color w:val="292929"/>
          <w:shd w:val="clear" w:color="auto" w:fill="FFFFFF"/>
          <w:lang w:val="en-US"/>
        </w:rPr>
        <w:t>02 December 2023</w:t>
      </w:r>
      <w:r w:rsidRPr="000E7828">
        <w:rPr>
          <w:rFonts w:eastAsiaTheme="minorHAnsi"/>
          <w:lang w:val="en-US"/>
        </w:rPr>
        <w:t xml:space="preserve"> </w:t>
      </w:r>
      <w:hyperlink r:id="rId10" w:history="1">
        <w:r w:rsidRPr="000E7828">
          <w:rPr>
            <w:rFonts w:eastAsiaTheme="minorHAnsi"/>
            <w:color w:val="0000FF" w:themeColor="hyperlink"/>
            <w:u w:val="single"/>
            <w:lang w:val="en-US"/>
          </w:rPr>
          <w:t xml:space="preserve"> h</w:t>
        </w:r>
        <w:r w:rsidRPr="005448E2">
          <w:rPr>
            <w:rFonts w:eastAsiaTheme="minorHAnsi"/>
            <w:color w:val="0000FF" w:themeColor="hyperlink"/>
            <w:u w:val="single"/>
            <w:lang w:val="en-US"/>
          </w:rPr>
          <w:t>ttps://www.energy.gov/articles/cop28-countries-launch-declaration-triple-nuclear-energy-capacity-2050-recognizing-key</w:t>
        </w:r>
      </w:hyperlink>
      <w:r w:rsidR="0032271B">
        <w:rPr>
          <w:rFonts w:eastAsiaTheme="minorHAnsi"/>
          <w:lang w:val="en-US"/>
        </w:rPr>
        <w:t xml:space="preserve"> </w:t>
      </w:r>
    </w:p>
    <w:p w14:paraId="6D8B9190" w14:textId="667CF608" w:rsidR="000E7828" w:rsidRPr="000F6C24" w:rsidRDefault="0032271B" w:rsidP="000F6C24">
      <w:pPr>
        <w:pStyle w:val="Referencelist"/>
        <w:jc w:val="left"/>
        <w:rPr>
          <w:rFonts w:eastAsiaTheme="minorHAnsi"/>
          <w:lang w:val="en-US" w:eastAsia="en-GB"/>
        </w:rPr>
      </w:pPr>
      <w:r w:rsidRPr="00DD4FC0">
        <w:rPr>
          <w:rFonts w:eastAsiaTheme="minorHAnsi"/>
          <w:lang w:val="en-US" w:eastAsia="en-GB"/>
        </w:rPr>
        <w:t>Declaration</w:t>
      </w:r>
      <w:r w:rsidRPr="005448E2">
        <w:rPr>
          <w:rFonts w:eastAsiaTheme="minorHAnsi"/>
          <w:lang w:val="en-US" w:eastAsia="en-GB"/>
        </w:rPr>
        <w:t xml:space="preserve"> on Nuclear Energy</w:t>
      </w:r>
      <w:r w:rsidRPr="000E7828">
        <w:rPr>
          <w:rFonts w:eastAsiaTheme="minorHAnsi"/>
          <w:lang w:val="en-US" w:eastAsia="en-GB"/>
        </w:rPr>
        <w:t xml:space="preserve"> </w:t>
      </w:r>
      <w:hyperlink r:id="rId11" w:history="1">
        <w:r w:rsidRPr="005448E2">
          <w:rPr>
            <w:rStyle w:val="Hyperlink"/>
            <w:rFonts w:eastAsiaTheme="minorHAnsi"/>
            <w:lang w:val="en-US" w:eastAsia="en-GB"/>
          </w:rPr>
          <w:t>https://fdn01.fed.be/84ac04269691863995994892f272c38d/NES_Declaration_on_Nuclear_Energy.pdf</w:t>
        </w:r>
      </w:hyperlink>
      <w:r>
        <w:rPr>
          <w:rFonts w:eastAsiaTheme="minorHAnsi"/>
          <w:lang w:val="en-US" w:eastAsia="en-GB"/>
        </w:rPr>
        <w:t xml:space="preserve"> </w:t>
      </w:r>
    </w:p>
    <w:p w14:paraId="1E5C3AD9" w14:textId="059738FA" w:rsidR="000E7828" w:rsidRPr="000E7828" w:rsidRDefault="000E7828" w:rsidP="000E7828">
      <w:pPr>
        <w:pStyle w:val="Referencelist"/>
        <w:rPr>
          <w:lang w:val="en-US" w:eastAsia="en-GB"/>
        </w:rPr>
      </w:pPr>
      <w:r w:rsidRPr="005448E2">
        <w:rPr>
          <w:rFonts w:eastAsiaTheme="majorEastAsia"/>
          <w:lang w:val="en-US" w:eastAsia="en-GB"/>
        </w:rPr>
        <w:t>EIB shifts on nuclear power under new leadership</w:t>
      </w:r>
      <w:r w:rsidRPr="000E7828">
        <w:rPr>
          <w:lang w:val="en-US" w:eastAsia="en-GB"/>
        </w:rPr>
        <w:t xml:space="preserve"> </w:t>
      </w:r>
      <w:hyperlink r:id="rId12" w:history="1">
        <w:r w:rsidRPr="005448E2">
          <w:rPr>
            <w:color w:val="0000FF" w:themeColor="hyperlink"/>
            <w:u w:val="single"/>
            <w:lang w:val="en-US" w:eastAsia="en-GB"/>
          </w:rPr>
          <w:t>https://www.ft.com/content/418fbd05-b5d3-4cb3-a9e4-648b14694ec2</w:t>
        </w:r>
      </w:hyperlink>
    </w:p>
    <w:p w14:paraId="534A6222" w14:textId="0A1AE03D" w:rsidR="000E7828" w:rsidRPr="000E7828" w:rsidRDefault="000E7828" w:rsidP="00DD4FC0">
      <w:pPr>
        <w:pStyle w:val="Referencelist"/>
        <w:jc w:val="left"/>
        <w:rPr>
          <w:rFonts w:eastAsiaTheme="minorHAnsi"/>
          <w:lang w:val="en-US" w:eastAsia="en-GB"/>
        </w:rPr>
      </w:pPr>
      <w:r w:rsidRPr="005448E2">
        <w:rPr>
          <w:rFonts w:eastAsiaTheme="minorHAnsi"/>
          <w:lang w:val="en-US" w:eastAsia="en-GB"/>
        </w:rPr>
        <w:t>EIB energy lending criteria</w:t>
      </w:r>
      <w:r w:rsidR="003C5424">
        <w:rPr>
          <w:rFonts w:eastAsiaTheme="minorHAnsi"/>
          <w:lang w:val="en-US" w:eastAsia="en-GB"/>
        </w:rPr>
        <w:t xml:space="preserve"> </w:t>
      </w:r>
      <w:r w:rsidRPr="000E7828">
        <w:rPr>
          <w:rFonts w:eastAsiaTheme="minorHAnsi"/>
          <w:lang w:val="en-US" w:eastAsia="en-GB"/>
        </w:rPr>
        <w:t xml:space="preserve">  </w:t>
      </w:r>
      <w:hyperlink r:id="rId13" w:anchor="page41" w:history="1">
        <w:r w:rsidRPr="005448E2">
          <w:rPr>
            <w:rFonts w:eastAsiaTheme="minorHAnsi"/>
            <w:color w:val="0000FF" w:themeColor="hyperlink"/>
            <w:u w:val="single"/>
            <w:lang w:val="en-US" w:eastAsia="en-GB"/>
          </w:rPr>
          <w:t>https://www.eib.org/attachments/strategies/eib_energy_lending_criteria_en.pdf#page41</w:t>
        </w:r>
      </w:hyperlink>
    </w:p>
    <w:p w14:paraId="0B6DC123" w14:textId="5ECF9292" w:rsidR="000E7828" w:rsidRPr="000E7828" w:rsidRDefault="000E7828" w:rsidP="00ED6047">
      <w:pPr>
        <w:pStyle w:val="Referencelist"/>
        <w:jc w:val="left"/>
        <w:rPr>
          <w:rFonts w:eastAsiaTheme="majorEastAsia"/>
          <w:lang w:val="en-US"/>
        </w:rPr>
      </w:pPr>
      <w:r w:rsidRPr="000E7828">
        <w:rPr>
          <w:rFonts w:eastAsiaTheme="majorEastAsia"/>
          <w:lang w:val="en-US"/>
        </w:rPr>
        <w:t>OECD</w:t>
      </w:r>
      <w:r w:rsidR="00D543B1">
        <w:rPr>
          <w:rFonts w:ascii="Georgia" w:hAnsi="Georgia"/>
          <w:b/>
          <w:bCs/>
          <w:color w:val="111111"/>
          <w:kern w:val="36"/>
          <w:sz w:val="41"/>
          <w:szCs w:val="41"/>
          <w:lang w:val="en-US" w:eastAsia="en-GB"/>
        </w:rPr>
        <w:t xml:space="preserve"> </w:t>
      </w:r>
      <w:r w:rsidRPr="005448E2">
        <w:rPr>
          <w:color w:val="111111"/>
          <w:kern w:val="36"/>
          <w:lang w:val="en-US" w:eastAsia="en-GB"/>
        </w:rPr>
        <w:t>Arrangement and Sector Understandings</w:t>
      </w:r>
      <w:r w:rsidRPr="000E7828">
        <w:rPr>
          <w:rFonts w:eastAsiaTheme="majorEastAsia"/>
          <w:lang w:val="en-US"/>
        </w:rPr>
        <w:t xml:space="preserve"> </w:t>
      </w:r>
      <w:hyperlink r:id="rId14" w:history="1">
        <w:r w:rsidRPr="005448E2">
          <w:rPr>
            <w:rFonts w:eastAsiaTheme="majorEastAsia"/>
            <w:color w:val="0000FF" w:themeColor="hyperlink"/>
            <w:u w:val="single"/>
            <w:lang w:val="en-US"/>
          </w:rPr>
          <w:t>https://www.oecd.org/trade/topics/export-credits/arrangement-and-sector-understandings/</w:t>
        </w:r>
      </w:hyperlink>
    </w:p>
    <w:p w14:paraId="32EA165A" w14:textId="77777777" w:rsidR="0004537F" w:rsidRPr="000E7828" w:rsidRDefault="0004537F" w:rsidP="0004537F">
      <w:pPr>
        <w:pStyle w:val="Referencelist"/>
        <w:rPr>
          <w:rFonts w:asciiTheme="minorHAnsi" w:eastAsiaTheme="minorHAnsi" w:hAnsiTheme="minorHAnsi" w:cstheme="minorBidi"/>
          <w:kern w:val="2"/>
          <w:sz w:val="24"/>
          <w:szCs w:val="24"/>
          <w:lang w:val="en-US"/>
          <w14:ligatures w14:val="standardContextual"/>
        </w:rPr>
      </w:pPr>
      <w:r w:rsidRPr="005448E2">
        <w:rPr>
          <w:rFonts w:eastAsiaTheme="minorHAnsi"/>
          <w:kern w:val="2"/>
          <w:lang w:val="en-US"/>
          <w14:ligatures w14:val="standardContextual"/>
        </w:rPr>
        <w:t>Milestones in the developments of a national infrastructure for nuclear power</w:t>
      </w:r>
      <w:r w:rsidRPr="005448E2">
        <w:rPr>
          <w:lang w:val="en-US" w:eastAsia="en-GB"/>
        </w:rPr>
        <w:t xml:space="preserve"> </w:t>
      </w:r>
      <w:hyperlink r:id="rId15" w:history="1">
        <w:r w:rsidRPr="005448E2">
          <w:rPr>
            <w:rFonts w:eastAsiaTheme="minorHAnsi"/>
            <w:lang w:val="en-US" w:eastAsia="en-GB"/>
          </w:rPr>
          <w:t>IAEA Nuclear Energy Series</w:t>
        </w:r>
      </w:hyperlink>
      <w:r w:rsidRPr="005448E2">
        <w:rPr>
          <w:rFonts w:eastAsiaTheme="minorHAnsi"/>
          <w:lang w:val="en-US" w:eastAsia="en-GB"/>
        </w:rPr>
        <w:t> </w:t>
      </w:r>
      <w:r w:rsidRPr="005448E2">
        <w:rPr>
          <w:color w:val="333333"/>
          <w:shd w:val="clear" w:color="auto" w:fill="FFFFFF"/>
          <w:lang w:val="en-US" w:eastAsia="en-GB"/>
        </w:rPr>
        <w:t>No. NG-G-3.1 (Rev. 1)</w:t>
      </w:r>
      <w:r w:rsidRPr="005448E2">
        <w:rPr>
          <w:rFonts w:eastAsiaTheme="minorHAnsi"/>
          <w:kern w:val="2"/>
          <w:lang w:val="en-US"/>
          <w14:ligatures w14:val="standardContextual"/>
        </w:rPr>
        <w:t xml:space="preserve">     </w:t>
      </w:r>
      <w:hyperlink r:id="rId16" w:history="1">
        <w:r w:rsidRPr="005448E2">
          <w:rPr>
            <w:rFonts w:eastAsiaTheme="minorHAnsi"/>
            <w:color w:val="0000FF" w:themeColor="hyperlink"/>
            <w:kern w:val="2"/>
            <w:u w:val="single"/>
            <w:lang w:val="en-US"/>
            <w14:ligatures w14:val="standardContextual"/>
          </w:rPr>
          <w:t>https://www-pub.iaea.org/MTCD/Publications/PDF/Pub1704_web.pdf</w:t>
        </w:r>
      </w:hyperlink>
    </w:p>
    <w:p w14:paraId="3BA56E06" w14:textId="4C13A4A7" w:rsidR="00F45EEE" w:rsidRPr="00662532" w:rsidRDefault="00461B34" w:rsidP="000F4F45">
      <w:pPr>
        <w:pStyle w:val="Referencelist"/>
      </w:pPr>
      <w:r>
        <w:t xml:space="preserve">The International Bank for Nuclear Infrastructure </w:t>
      </w:r>
      <w:hyperlink r:id="rId17" w:history="1">
        <w:r w:rsidR="006375F3" w:rsidRPr="00B04ECE">
          <w:rPr>
            <w:rStyle w:val="Hyperlink"/>
          </w:rPr>
          <w:t>https://nuclearbank-io-sag.org/</w:t>
        </w:r>
      </w:hyperlink>
      <w:r w:rsidR="006375F3">
        <w:t xml:space="preserve"> </w:t>
      </w:r>
    </w:p>
    <w:sectPr w:rsidR="00F45EEE" w:rsidRPr="00662532" w:rsidSect="0026525A">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67A4" w14:textId="77777777" w:rsidR="00142CEF" w:rsidRDefault="00142CEF">
      <w:r>
        <w:separator/>
      </w:r>
    </w:p>
  </w:endnote>
  <w:endnote w:type="continuationSeparator" w:id="0">
    <w:p w14:paraId="46CFFDA6" w14:textId="77777777" w:rsidR="00142CEF" w:rsidRDefault="0014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ICTFontTextStyleTallBody">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A5B2" w14:textId="77777777" w:rsidR="00142CEF" w:rsidRDefault="00142CEF">
      <w:r>
        <w:t>___________________________________________________________________________</w:t>
      </w:r>
    </w:p>
  </w:footnote>
  <w:footnote w:type="continuationSeparator" w:id="0">
    <w:p w14:paraId="788BEF63" w14:textId="77777777" w:rsidR="00142CEF" w:rsidRDefault="00142CEF">
      <w:r>
        <w:t>___________________________________________________________________________</w:t>
      </w:r>
    </w:p>
  </w:footnote>
  <w:footnote w:type="continuationNotice" w:id="1">
    <w:p w14:paraId="5A4BBF21" w14:textId="77777777" w:rsidR="00142CEF" w:rsidRDefault="00142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717BA1BE" w:rsidR="00037321" w:rsidRPr="00CE1B6B" w:rsidRDefault="00C3621F" w:rsidP="00CE1B6B">
    <w:pPr>
      <w:pStyle w:val="Runninghead"/>
    </w:pPr>
    <w:r>
      <w:t>M. D. KOVACHEV</w:t>
    </w:r>
    <w:r w:rsidR="00F16FA0">
      <w:t xml:space="preserve"> </w:t>
    </w:r>
    <w:r w:rsidR="00CE1B6B">
      <w:t>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intelligence2.xml><?xml version="1.0" encoding="utf-8"?>
<int2:intelligence xmlns:int2="http://schemas.microsoft.com/office/intelligence/2020/intelligence" xmlns:oel="http://schemas.microsoft.com/office/2019/extlst">
  <int2:observations>
    <int2:bookmark int2:bookmarkName="_Int_DAHfQChf" int2:invalidationBookmarkName="" int2:hashCode="1MdJa5XZyvtZKj" int2:id="AA2aSac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863DC"/>
    <w:multiLevelType w:val="hybridMultilevel"/>
    <w:tmpl w:val="597EA2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4765C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18048A"/>
    <w:multiLevelType w:val="hybridMultilevel"/>
    <w:tmpl w:val="F6860520"/>
    <w:name w:val="HeadingTemplate222"/>
    <w:lvl w:ilvl="0" w:tplc="03E4BA74">
      <w:start w:val="1"/>
      <w:numFmt w:val="decimal"/>
      <w:pStyle w:val="Referencelist"/>
      <w:lvlText w:val="[%1]"/>
      <w:lvlJc w:val="left"/>
      <w:pPr>
        <w:ind w:left="720" w:hanging="360"/>
      </w:pPr>
      <w:rPr>
        <w:rFonts w:ascii="Times New Roman" w:hAnsi="Times New Roman"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6B475B1"/>
    <w:multiLevelType w:val="hybridMultilevel"/>
    <w:tmpl w:val="8CF284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5DD6B0C"/>
    <w:multiLevelType w:val="hybridMultilevel"/>
    <w:tmpl w:val="9A80CA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9"/>
  </w:num>
  <w:num w:numId="2" w16cid:durableId="59716700">
    <w:abstractNumId w:val="4"/>
  </w:num>
  <w:num w:numId="3" w16cid:durableId="731540123">
    <w:abstractNumId w:val="13"/>
  </w:num>
  <w:num w:numId="4" w16cid:durableId="744034000">
    <w:abstractNumId w:val="13"/>
  </w:num>
  <w:num w:numId="5" w16cid:durableId="1474641089">
    <w:abstractNumId w:val="13"/>
  </w:num>
  <w:num w:numId="6" w16cid:durableId="528497540">
    <w:abstractNumId w:val="6"/>
  </w:num>
  <w:num w:numId="7" w16cid:durableId="176696273">
    <w:abstractNumId w:val="11"/>
  </w:num>
  <w:num w:numId="8" w16cid:durableId="1131169468">
    <w:abstractNumId w:val="15"/>
  </w:num>
  <w:num w:numId="9" w16cid:durableId="1007632637">
    <w:abstractNumId w:val="1"/>
  </w:num>
  <w:num w:numId="10" w16cid:durableId="422917246">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3"/>
  </w:num>
  <w:num w:numId="12" w16cid:durableId="468400009">
    <w:abstractNumId w:val="13"/>
  </w:num>
  <w:num w:numId="13" w16cid:durableId="1927378143">
    <w:abstractNumId w:val="13"/>
  </w:num>
  <w:num w:numId="14" w16cid:durableId="1289622783">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3"/>
  </w:num>
  <w:num w:numId="16" w16cid:durableId="656224632">
    <w:abstractNumId w:val="13"/>
  </w:num>
  <w:num w:numId="17" w16cid:durableId="784034295">
    <w:abstractNumId w:val="13"/>
  </w:num>
  <w:num w:numId="18" w16cid:durableId="1293555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3"/>
  </w:num>
  <w:num w:numId="20" w16cid:durableId="2113888906">
    <w:abstractNumId w:val="2"/>
  </w:num>
  <w:num w:numId="21" w16cid:durableId="1417746791">
    <w:abstractNumId w:val="13"/>
  </w:num>
  <w:num w:numId="22" w16cid:durableId="1720975952">
    <w:abstractNumId w:val="3"/>
  </w:num>
  <w:num w:numId="23" w16cid:durableId="983584939">
    <w:abstractNumId w:val="0"/>
  </w:num>
  <w:num w:numId="24" w16cid:durableId="76482875">
    <w:abstractNumId w:val="12"/>
  </w:num>
  <w:num w:numId="25" w16cid:durableId="1024988134">
    <w:abstractNumId w:val="13"/>
  </w:num>
  <w:num w:numId="26" w16cid:durableId="2000382986">
    <w:abstractNumId w:val="13"/>
  </w:num>
  <w:num w:numId="27" w16cid:durableId="1390575348">
    <w:abstractNumId w:val="13"/>
  </w:num>
  <w:num w:numId="28" w16cid:durableId="621231405">
    <w:abstractNumId w:val="13"/>
  </w:num>
  <w:num w:numId="29" w16cid:durableId="995762299">
    <w:abstractNumId w:val="13"/>
  </w:num>
  <w:num w:numId="30" w16cid:durableId="320278723">
    <w:abstractNumId w:val="8"/>
  </w:num>
  <w:num w:numId="31" w16cid:durableId="1695614948">
    <w:abstractNumId w:val="8"/>
  </w:num>
  <w:num w:numId="32" w16cid:durableId="195823161">
    <w:abstractNumId w:val="13"/>
  </w:num>
  <w:num w:numId="33" w16cid:durableId="640577562">
    <w:abstractNumId w:val="10"/>
  </w:num>
  <w:num w:numId="34" w16cid:durableId="460654319">
    <w:abstractNumId w:val="5"/>
  </w:num>
  <w:num w:numId="35" w16cid:durableId="442261167">
    <w:abstractNumId w:val="7"/>
  </w:num>
  <w:num w:numId="36" w16cid:durableId="2835403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121B"/>
    <w:rsid w:val="00015657"/>
    <w:rsid w:val="000157D4"/>
    <w:rsid w:val="000229AB"/>
    <w:rsid w:val="0002569A"/>
    <w:rsid w:val="000328CF"/>
    <w:rsid w:val="00037321"/>
    <w:rsid w:val="0004537F"/>
    <w:rsid w:val="00046332"/>
    <w:rsid w:val="00051C21"/>
    <w:rsid w:val="000641BF"/>
    <w:rsid w:val="000673C3"/>
    <w:rsid w:val="00071D75"/>
    <w:rsid w:val="00072A7F"/>
    <w:rsid w:val="00077BF4"/>
    <w:rsid w:val="00081475"/>
    <w:rsid w:val="00085538"/>
    <w:rsid w:val="00087A2A"/>
    <w:rsid w:val="000907E4"/>
    <w:rsid w:val="00096B08"/>
    <w:rsid w:val="00097E0D"/>
    <w:rsid w:val="000A0299"/>
    <w:rsid w:val="000A22A6"/>
    <w:rsid w:val="000A6DBB"/>
    <w:rsid w:val="000B0AE7"/>
    <w:rsid w:val="000C1BAA"/>
    <w:rsid w:val="000C3C6A"/>
    <w:rsid w:val="000C6F25"/>
    <w:rsid w:val="000E272E"/>
    <w:rsid w:val="000E7828"/>
    <w:rsid w:val="000F4F45"/>
    <w:rsid w:val="000F6C24"/>
    <w:rsid w:val="000F7E94"/>
    <w:rsid w:val="0010235D"/>
    <w:rsid w:val="00102418"/>
    <w:rsid w:val="00103F56"/>
    <w:rsid w:val="00106C59"/>
    <w:rsid w:val="001119BC"/>
    <w:rsid w:val="001119D6"/>
    <w:rsid w:val="00115984"/>
    <w:rsid w:val="001308F2"/>
    <w:rsid w:val="001313E8"/>
    <w:rsid w:val="00140A86"/>
    <w:rsid w:val="00142CEF"/>
    <w:rsid w:val="00146437"/>
    <w:rsid w:val="00156871"/>
    <w:rsid w:val="00164897"/>
    <w:rsid w:val="00172AAA"/>
    <w:rsid w:val="00173D5B"/>
    <w:rsid w:val="0019779D"/>
    <w:rsid w:val="001B03C7"/>
    <w:rsid w:val="001B5B0F"/>
    <w:rsid w:val="001B5E04"/>
    <w:rsid w:val="001C3D40"/>
    <w:rsid w:val="001C58F5"/>
    <w:rsid w:val="001D1403"/>
    <w:rsid w:val="001D3E06"/>
    <w:rsid w:val="001D5CEE"/>
    <w:rsid w:val="001F0287"/>
    <w:rsid w:val="001F6E2D"/>
    <w:rsid w:val="001F76F1"/>
    <w:rsid w:val="00203F33"/>
    <w:rsid w:val="00206852"/>
    <w:rsid w:val="002071D9"/>
    <w:rsid w:val="00226EA3"/>
    <w:rsid w:val="00251E92"/>
    <w:rsid w:val="002552AD"/>
    <w:rsid w:val="00256822"/>
    <w:rsid w:val="00262F5C"/>
    <w:rsid w:val="0026525A"/>
    <w:rsid w:val="002662A3"/>
    <w:rsid w:val="00274790"/>
    <w:rsid w:val="00284DD1"/>
    <w:rsid w:val="00285755"/>
    <w:rsid w:val="002872E1"/>
    <w:rsid w:val="0029799A"/>
    <w:rsid w:val="002A1F9C"/>
    <w:rsid w:val="002A735F"/>
    <w:rsid w:val="002B29C2"/>
    <w:rsid w:val="002B6A89"/>
    <w:rsid w:val="002C0EAE"/>
    <w:rsid w:val="002C4208"/>
    <w:rsid w:val="002C6D3B"/>
    <w:rsid w:val="002E020F"/>
    <w:rsid w:val="002F2C47"/>
    <w:rsid w:val="00306A02"/>
    <w:rsid w:val="0031073B"/>
    <w:rsid w:val="00312CB3"/>
    <w:rsid w:val="00313D82"/>
    <w:rsid w:val="0031414C"/>
    <w:rsid w:val="0032214C"/>
    <w:rsid w:val="0032271B"/>
    <w:rsid w:val="00326D58"/>
    <w:rsid w:val="003271DE"/>
    <w:rsid w:val="00352DE1"/>
    <w:rsid w:val="003544EE"/>
    <w:rsid w:val="003574AD"/>
    <w:rsid w:val="00362A78"/>
    <w:rsid w:val="003648E6"/>
    <w:rsid w:val="003728E6"/>
    <w:rsid w:val="003751BF"/>
    <w:rsid w:val="0037698B"/>
    <w:rsid w:val="00390658"/>
    <w:rsid w:val="00396D36"/>
    <w:rsid w:val="003A01C7"/>
    <w:rsid w:val="003A1B42"/>
    <w:rsid w:val="003A33FF"/>
    <w:rsid w:val="003A496F"/>
    <w:rsid w:val="003B5E0E"/>
    <w:rsid w:val="003C0830"/>
    <w:rsid w:val="003C4EAB"/>
    <w:rsid w:val="003C5424"/>
    <w:rsid w:val="003D255A"/>
    <w:rsid w:val="003F6DD7"/>
    <w:rsid w:val="004076E5"/>
    <w:rsid w:val="0041217D"/>
    <w:rsid w:val="00416949"/>
    <w:rsid w:val="0043395C"/>
    <w:rsid w:val="004370D8"/>
    <w:rsid w:val="00442B86"/>
    <w:rsid w:val="00450BBA"/>
    <w:rsid w:val="0046117D"/>
    <w:rsid w:val="00461B34"/>
    <w:rsid w:val="00472781"/>
    <w:rsid w:val="00472C43"/>
    <w:rsid w:val="00480F70"/>
    <w:rsid w:val="00481691"/>
    <w:rsid w:val="00492AD2"/>
    <w:rsid w:val="00494CFE"/>
    <w:rsid w:val="004A4AF6"/>
    <w:rsid w:val="004B3E0C"/>
    <w:rsid w:val="004C6DC3"/>
    <w:rsid w:val="004D136B"/>
    <w:rsid w:val="004D7F6A"/>
    <w:rsid w:val="004F2738"/>
    <w:rsid w:val="004F33D2"/>
    <w:rsid w:val="00504FD1"/>
    <w:rsid w:val="00510584"/>
    <w:rsid w:val="00537496"/>
    <w:rsid w:val="00541D55"/>
    <w:rsid w:val="00543B25"/>
    <w:rsid w:val="005448E2"/>
    <w:rsid w:val="00544ED3"/>
    <w:rsid w:val="0054551E"/>
    <w:rsid w:val="00551AA0"/>
    <w:rsid w:val="00573A41"/>
    <w:rsid w:val="0058477B"/>
    <w:rsid w:val="0058654F"/>
    <w:rsid w:val="00596ACA"/>
    <w:rsid w:val="005B0886"/>
    <w:rsid w:val="005C0011"/>
    <w:rsid w:val="005C23FE"/>
    <w:rsid w:val="005C37FA"/>
    <w:rsid w:val="005C5532"/>
    <w:rsid w:val="005E39BC"/>
    <w:rsid w:val="005E47E4"/>
    <w:rsid w:val="005F00A0"/>
    <w:rsid w:val="00602436"/>
    <w:rsid w:val="00625DA0"/>
    <w:rsid w:val="0063654F"/>
    <w:rsid w:val="006375F3"/>
    <w:rsid w:val="00642514"/>
    <w:rsid w:val="00645EAF"/>
    <w:rsid w:val="00647F33"/>
    <w:rsid w:val="00651581"/>
    <w:rsid w:val="00653051"/>
    <w:rsid w:val="00662532"/>
    <w:rsid w:val="0066417A"/>
    <w:rsid w:val="00675338"/>
    <w:rsid w:val="00680F03"/>
    <w:rsid w:val="006916C5"/>
    <w:rsid w:val="006B2274"/>
    <w:rsid w:val="006B6F65"/>
    <w:rsid w:val="006C7720"/>
    <w:rsid w:val="006D23EE"/>
    <w:rsid w:val="006E1CBD"/>
    <w:rsid w:val="006F203C"/>
    <w:rsid w:val="006F47B6"/>
    <w:rsid w:val="006F7674"/>
    <w:rsid w:val="00712D84"/>
    <w:rsid w:val="007142C4"/>
    <w:rsid w:val="00716CAB"/>
    <w:rsid w:val="00717C6F"/>
    <w:rsid w:val="0072162B"/>
    <w:rsid w:val="007445DA"/>
    <w:rsid w:val="00747C46"/>
    <w:rsid w:val="007502E4"/>
    <w:rsid w:val="0075235F"/>
    <w:rsid w:val="00754204"/>
    <w:rsid w:val="007733AB"/>
    <w:rsid w:val="007764AB"/>
    <w:rsid w:val="007848D8"/>
    <w:rsid w:val="00791330"/>
    <w:rsid w:val="007A1825"/>
    <w:rsid w:val="007A4AC7"/>
    <w:rsid w:val="007B4FD1"/>
    <w:rsid w:val="007E1C1B"/>
    <w:rsid w:val="007F4192"/>
    <w:rsid w:val="00800612"/>
    <w:rsid w:val="00802381"/>
    <w:rsid w:val="0080385B"/>
    <w:rsid w:val="00811919"/>
    <w:rsid w:val="00823C0B"/>
    <w:rsid w:val="008272A4"/>
    <w:rsid w:val="00835C10"/>
    <w:rsid w:val="00855E06"/>
    <w:rsid w:val="00861F19"/>
    <w:rsid w:val="0086570A"/>
    <w:rsid w:val="00865CA9"/>
    <w:rsid w:val="00867FE8"/>
    <w:rsid w:val="008758BE"/>
    <w:rsid w:val="00883848"/>
    <w:rsid w:val="00884737"/>
    <w:rsid w:val="0089252A"/>
    <w:rsid w:val="00897351"/>
    <w:rsid w:val="00897ED5"/>
    <w:rsid w:val="008B41E2"/>
    <w:rsid w:val="008B6BB9"/>
    <w:rsid w:val="008C62CA"/>
    <w:rsid w:val="008C74AD"/>
    <w:rsid w:val="008E6D0A"/>
    <w:rsid w:val="008E6D47"/>
    <w:rsid w:val="008E7541"/>
    <w:rsid w:val="008F09E1"/>
    <w:rsid w:val="008F4198"/>
    <w:rsid w:val="008F633C"/>
    <w:rsid w:val="00904B34"/>
    <w:rsid w:val="0090799C"/>
    <w:rsid w:val="00911543"/>
    <w:rsid w:val="00914376"/>
    <w:rsid w:val="0092041B"/>
    <w:rsid w:val="009317D9"/>
    <w:rsid w:val="00933D13"/>
    <w:rsid w:val="0093624B"/>
    <w:rsid w:val="00944FB5"/>
    <w:rsid w:val="009519C9"/>
    <w:rsid w:val="00953E6C"/>
    <w:rsid w:val="00955596"/>
    <w:rsid w:val="009700C5"/>
    <w:rsid w:val="00971050"/>
    <w:rsid w:val="00973EF0"/>
    <w:rsid w:val="009807D1"/>
    <w:rsid w:val="009814FD"/>
    <w:rsid w:val="009816CF"/>
    <w:rsid w:val="00984FD0"/>
    <w:rsid w:val="00985937"/>
    <w:rsid w:val="009A20EE"/>
    <w:rsid w:val="009B27E3"/>
    <w:rsid w:val="009C0AC4"/>
    <w:rsid w:val="009C6266"/>
    <w:rsid w:val="009D0B86"/>
    <w:rsid w:val="009D704B"/>
    <w:rsid w:val="009E0D5B"/>
    <w:rsid w:val="009E1558"/>
    <w:rsid w:val="009F023D"/>
    <w:rsid w:val="009F235A"/>
    <w:rsid w:val="00A00E78"/>
    <w:rsid w:val="00A02368"/>
    <w:rsid w:val="00A05C61"/>
    <w:rsid w:val="00A06F7C"/>
    <w:rsid w:val="00A2431A"/>
    <w:rsid w:val="00A247E8"/>
    <w:rsid w:val="00A3078C"/>
    <w:rsid w:val="00A3120B"/>
    <w:rsid w:val="00A3206D"/>
    <w:rsid w:val="00A35F1F"/>
    <w:rsid w:val="00A42898"/>
    <w:rsid w:val="00A66C3E"/>
    <w:rsid w:val="00A748AE"/>
    <w:rsid w:val="00A8532A"/>
    <w:rsid w:val="00A90C24"/>
    <w:rsid w:val="00AB6ACE"/>
    <w:rsid w:val="00AB720D"/>
    <w:rsid w:val="00AC1A45"/>
    <w:rsid w:val="00AC26E2"/>
    <w:rsid w:val="00AC5A3A"/>
    <w:rsid w:val="00AD08CF"/>
    <w:rsid w:val="00AD6CA6"/>
    <w:rsid w:val="00AE38AD"/>
    <w:rsid w:val="00AE7A01"/>
    <w:rsid w:val="00AF06ED"/>
    <w:rsid w:val="00AF2742"/>
    <w:rsid w:val="00B07681"/>
    <w:rsid w:val="00B14D05"/>
    <w:rsid w:val="00B24FA9"/>
    <w:rsid w:val="00B3072F"/>
    <w:rsid w:val="00B36A68"/>
    <w:rsid w:val="00B4114C"/>
    <w:rsid w:val="00B465CA"/>
    <w:rsid w:val="00B535F4"/>
    <w:rsid w:val="00B65EFC"/>
    <w:rsid w:val="00B742BD"/>
    <w:rsid w:val="00B82FA5"/>
    <w:rsid w:val="00B878F5"/>
    <w:rsid w:val="00BB021F"/>
    <w:rsid w:val="00BB04C0"/>
    <w:rsid w:val="00BB3A2E"/>
    <w:rsid w:val="00BC6656"/>
    <w:rsid w:val="00BD1400"/>
    <w:rsid w:val="00BD605C"/>
    <w:rsid w:val="00BE065D"/>
    <w:rsid w:val="00BE2A76"/>
    <w:rsid w:val="00BF2563"/>
    <w:rsid w:val="00BF3EFD"/>
    <w:rsid w:val="00C06246"/>
    <w:rsid w:val="00C0667C"/>
    <w:rsid w:val="00C209A5"/>
    <w:rsid w:val="00C239E7"/>
    <w:rsid w:val="00C24FBB"/>
    <w:rsid w:val="00C31614"/>
    <w:rsid w:val="00C3455D"/>
    <w:rsid w:val="00C3471F"/>
    <w:rsid w:val="00C3621F"/>
    <w:rsid w:val="00C37AB7"/>
    <w:rsid w:val="00C57CD1"/>
    <w:rsid w:val="00C65E60"/>
    <w:rsid w:val="00C93619"/>
    <w:rsid w:val="00CA37CF"/>
    <w:rsid w:val="00CA6772"/>
    <w:rsid w:val="00CA7D23"/>
    <w:rsid w:val="00CB1E10"/>
    <w:rsid w:val="00CC62B1"/>
    <w:rsid w:val="00CD4314"/>
    <w:rsid w:val="00CE1B6B"/>
    <w:rsid w:val="00CE2684"/>
    <w:rsid w:val="00CE5A52"/>
    <w:rsid w:val="00CE6947"/>
    <w:rsid w:val="00CF5419"/>
    <w:rsid w:val="00CF7AF3"/>
    <w:rsid w:val="00D026A6"/>
    <w:rsid w:val="00D137CF"/>
    <w:rsid w:val="00D13F4B"/>
    <w:rsid w:val="00D26ADA"/>
    <w:rsid w:val="00D35A78"/>
    <w:rsid w:val="00D503AE"/>
    <w:rsid w:val="00D543B1"/>
    <w:rsid w:val="00D555A1"/>
    <w:rsid w:val="00D57CDD"/>
    <w:rsid w:val="00D62B55"/>
    <w:rsid w:val="00D640F6"/>
    <w:rsid w:val="00D64DC2"/>
    <w:rsid w:val="00D80A3A"/>
    <w:rsid w:val="00D84F0F"/>
    <w:rsid w:val="00D908E5"/>
    <w:rsid w:val="00D93A28"/>
    <w:rsid w:val="00DA1AD3"/>
    <w:rsid w:val="00DA2707"/>
    <w:rsid w:val="00DA46CA"/>
    <w:rsid w:val="00DB46C8"/>
    <w:rsid w:val="00DB5C23"/>
    <w:rsid w:val="00DD295C"/>
    <w:rsid w:val="00DD4FC0"/>
    <w:rsid w:val="00DE00D3"/>
    <w:rsid w:val="00DF21EB"/>
    <w:rsid w:val="00E128E1"/>
    <w:rsid w:val="00E14707"/>
    <w:rsid w:val="00E20E70"/>
    <w:rsid w:val="00E25B68"/>
    <w:rsid w:val="00E42209"/>
    <w:rsid w:val="00E42D1D"/>
    <w:rsid w:val="00E445DF"/>
    <w:rsid w:val="00E46A23"/>
    <w:rsid w:val="00E55469"/>
    <w:rsid w:val="00E554C6"/>
    <w:rsid w:val="00E566E4"/>
    <w:rsid w:val="00E701A3"/>
    <w:rsid w:val="00E71E9C"/>
    <w:rsid w:val="00E77939"/>
    <w:rsid w:val="00E82DD7"/>
    <w:rsid w:val="00E84003"/>
    <w:rsid w:val="00E85022"/>
    <w:rsid w:val="00EA1B3F"/>
    <w:rsid w:val="00EB2291"/>
    <w:rsid w:val="00EC09B8"/>
    <w:rsid w:val="00EC10FC"/>
    <w:rsid w:val="00EC2252"/>
    <w:rsid w:val="00EC4CC6"/>
    <w:rsid w:val="00EC694D"/>
    <w:rsid w:val="00ED4F44"/>
    <w:rsid w:val="00ED6047"/>
    <w:rsid w:val="00EE0041"/>
    <w:rsid w:val="00EE29B9"/>
    <w:rsid w:val="00EE5F84"/>
    <w:rsid w:val="00EF3259"/>
    <w:rsid w:val="00F004EE"/>
    <w:rsid w:val="00F06B6D"/>
    <w:rsid w:val="00F06B7A"/>
    <w:rsid w:val="00F12F35"/>
    <w:rsid w:val="00F16FA0"/>
    <w:rsid w:val="00F31377"/>
    <w:rsid w:val="00F35545"/>
    <w:rsid w:val="00F42E23"/>
    <w:rsid w:val="00F45EEE"/>
    <w:rsid w:val="00F51E9C"/>
    <w:rsid w:val="00F523CA"/>
    <w:rsid w:val="00F53538"/>
    <w:rsid w:val="00F61FE2"/>
    <w:rsid w:val="00F74A9D"/>
    <w:rsid w:val="00F814B7"/>
    <w:rsid w:val="00F82181"/>
    <w:rsid w:val="00F84FF7"/>
    <w:rsid w:val="00F96658"/>
    <w:rsid w:val="00F97B0E"/>
    <w:rsid w:val="00FA4E53"/>
    <w:rsid w:val="00FC6AF0"/>
    <w:rsid w:val="00FD09E9"/>
    <w:rsid w:val="00FD33B6"/>
    <w:rsid w:val="00FE227C"/>
    <w:rsid w:val="00FE444B"/>
    <w:rsid w:val="00FE6640"/>
    <w:rsid w:val="00FF1A8A"/>
    <w:rsid w:val="00FF26EC"/>
    <w:rsid w:val="00FF386F"/>
    <w:rsid w:val="00FF6F19"/>
    <w:rsid w:val="00FF7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9" w:qFormat="1"/>
    <w:lsdException w:name="heading 2" w:locked="0" w:uiPriority="4" w:qFormat="1"/>
    <w:lsdException w:name="heading 3" w:locked="0" w:uiPriority="4" w:qFormat="1"/>
    <w:lsdException w:name="heading 4" w:locked="0" w:uiPriority="0" w:qFormat="1"/>
    <w:lsdException w:name="heading 5" w:locked="0" w:uiPriority="9" w:qFormat="1"/>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Strong" w:uiPriority="22" w:qFormat="1"/>
    <w:lsdException w:name="Emphasis" w:uiPriority="20"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uiPriority w:val="9"/>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link w:val="Heading3Char"/>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link w:val="Heading4Char"/>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link w:val="Heading5Char"/>
    <w:uiPriority w:val="9"/>
    <w:qFormat/>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NormalWeb">
    <w:name w:val="Normal (Web)"/>
    <w:basedOn w:val="Normal"/>
    <w:uiPriority w:val="99"/>
    <w:unhideWhenUsed/>
    <w:locked/>
    <w:rsid w:val="00E701A3"/>
    <w:pPr>
      <w:overflowPunct/>
      <w:autoSpaceDE/>
      <w:autoSpaceDN/>
      <w:adjustRightInd/>
      <w:spacing w:before="100" w:beforeAutospacing="1" w:after="100" w:afterAutospacing="1"/>
      <w:textAlignment w:val="auto"/>
    </w:pPr>
    <w:rPr>
      <w:rFonts w:eastAsiaTheme="minorEastAsia"/>
      <w:sz w:val="24"/>
      <w:szCs w:val="24"/>
      <w:lang w:val="en-US" w:eastAsia="en-GB"/>
    </w:rPr>
  </w:style>
  <w:style w:type="character" w:customStyle="1" w:styleId="Heading3Char">
    <w:name w:val="Heading 3 Char"/>
    <w:aliases w:val="2nd level paper heading Char"/>
    <w:basedOn w:val="DefaultParagraphFont"/>
    <w:link w:val="Heading3"/>
    <w:uiPriority w:val="4"/>
    <w:rsid w:val="00D62B55"/>
    <w:rPr>
      <w:b/>
      <w:lang w:eastAsia="en-US"/>
    </w:rPr>
  </w:style>
  <w:style w:type="paragraph" w:styleId="ListParagraph">
    <w:name w:val="List Paragraph"/>
    <w:basedOn w:val="Normal"/>
    <w:uiPriority w:val="34"/>
    <w:qFormat/>
    <w:locked/>
    <w:rsid w:val="00A748AE"/>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 w:val="24"/>
      <w:szCs w:val="24"/>
      <w:lang w:val="en-US"/>
      <w14:ligatures w14:val="standardContextual"/>
    </w:rPr>
  </w:style>
  <w:style w:type="character" w:styleId="Emphasis">
    <w:name w:val="Emphasis"/>
    <w:basedOn w:val="DefaultParagraphFont"/>
    <w:uiPriority w:val="20"/>
    <w:qFormat/>
    <w:locked/>
    <w:rsid w:val="00A748AE"/>
    <w:rPr>
      <w:i/>
      <w:iCs/>
    </w:rPr>
  </w:style>
  <w:style w:type="character" w:customStyle="1" w:styleId="apple-converted-space">
    <w:name w:val="apple-converted-space"/>
    <w:basedOn w:val="DefaultParagraphFont"/>
    <w:rsid w:val="00A748AE"/>
  </w:style>
  <w:style w:type="character" w:customStyle="1" w:styleId="Heading1Char">
    <w:name w:val="Heading 1 Char"/>
    <w:aliases w:val="Paper title Char"/>
    <w:basedOn w:val="DefaultParagraphFont"/>
    <w:link w:val="Heading1"/>
    <w:uiPriority w:val="9"/>
    <w:rsid w:val="000E7828"/>
    <w:rPr>
      <w:rFonts w:ascii="Times New Roman Bold" w:hAnsi="Times New Roman Bold"/>
      <w:b/>
      <w:caps/>
      <w:sz w:val="24"/>
      <w:lang w:val="en-US" w:eastAsia="en-US"/>
    </w:rPr>
  </w:style>
  <w:style w:type="character" w:customStyle="1" w:styleId="Heading5Char">
    <w:name w:val="Heading 5 Char"/>
    <w:basedOn w:val="DefaultParagraphFont"/>
    <w:link w:val="Heading5"/>
    <w:uiPriority w:val="9"/>
    <w:rsid w:val="000E7828"/>
    <w:rPr>
      <w:b/>
      <w:bCs/>
      <w:i/>
      <w:iCs/>
      <w:sz w:val="26"/>
      <w:szCs w:val="26"/>
      <w:lang w:val="en-US" w:eastAsia="en-US"/>
    </w:rPr>
  </w:style>
  <w:style w:type="character" w:styleId="Hyperlink">
    <w:name w:val="Hyperlink"/>
    <w:basedOn w:val="DefaultParagraphFont"/>
    <w:uiPriority w:val="99"/>
    <w:unhideWhenUsed/>
    <w:locked/>
    <w:rsid w:val="000E7828"/>
    <w:rPr>
      <w:color w:val="0000FF" w:themeColor="hyperlink"/>
      <w:u w:val="single"/>
    </w:rPr>
  </w:style>
  <w:style w:type="character" w:styleId="Strong">
    <w:name w:val="Strong"/>
    <w:basedOn w:val="DefaultParagraphFont"/>
    <w:uiPriority w:val="22"/>
    <w:qFormat/>
    <w:locked/>
    <w:rsid w:val="000E7828"/>
    <w:rPr>
      <w:b/>
      <w:bCs/>
    </w:rPr>
  </w:style>
  <w:style w:type="character" w:customStyle="1" w:styleId="headlinetext">
    <w:name w:val="headline__text"/>
    <w:basedOn w:val="DefaultParagraphFont"/>
    <w:rsid w:val="000E7828"/>
  </w:style>
  <w:style w:type="character" w:styleId="UnresolvedMention">
    <w:name w:val="Unresolved Mention"/>
    <w:basedOn w:val="DefaultParagraphFont"/>
    <w:uiPriority w:val="99"/>
    <w:semiHidden/>
    <w:unhideWhenUsed/>
    <w:rsid w:val="00D543B1"/>
    <w:rPr>
      <w:color w:val="605E5C"/>
      <w:shd w:val="clear" w:color="auto" w:fill="E1DFDD"/>
    </w:rPr>
  </w:style>
  <w:style w:type="character" w:customStyle="1" w:styleId="s10">
    <w:name w:val="s10"/>
    <w:basedOn w:val="DefaultParagraphFont"/>
    <w:rsid w:val="00EF3259"/>
  </w:style>
  <w:style w:type="character" w:customStyle="1" w:styleId="s4">
    <w:name w:val="s4"/>
    <w:basedOn w:val="DefaultParagraphFont"/>
    <w:rsid w:val="00EF3259"/>
  </w:style>
  <w:style w:type="character" w:customStyle="1" w:styleId="s11">
    <w:name w:val="s11"/>
    <w:basedOn w:val="DefaultParagraphFont"/>
    <w:rsid w:val="00EF3259"/>
  </w:style>
  <w:style w:type="character" w:customStyle="1" w:styleId="s13">
    <w:name w:val="s13"/>
    <w:basedOn w:val="DefaultParagraphFont"/>
    <w:rsid w:val="00EF3259"/>
  </w:style>
  <w:style w:type="character" w:customStyle="1" w:styleId="s14">
    <w:name w:val="s14"/>
    <w:basedOn w:val="DefaultParagraphFont"/>
    <w:rsid w:val="00085538"/>
  </w:style>
  <w:style w:type="character" w:customStyle="1" w:styleId="Heading4Char">
    <w:name w:val="Heading 4 Char"/>
    <w:aliases w:val="3rd level paper heading Char"/>
    <w:basedOn w:val="DefaultParagraphFont"/>
    <w:link w:val="Heading4"/>
    <w:uiPriority w:val="4"/>
    <w:rsid w:val="007733AB"/>
    <w:rPr>
      <w:i/>
      <w:lang w:val="en-US" w:eastAsia="en-US"/>
    </w:rPr>
  </w:style>
  <w:style w:type="paragraph" w:styleId="Revision">
    <w:name w:val="Revision"/>
    <w:hidden/>
    <w:uiPriority w:val="99"/>
    <w:semiHidden/>
    <w:rsid w:val="006F47B6"/>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734853">
      <w:bodyDiv w:val="1"/>
      <w:marLeft w:val="0"/>
      <w:marRight w:val="0"/>
      <w:marTop w:val="0"/>
      <w:marBottom w:val="0"/>
      <w:divBdr>
        <w:top w:val="none" w:sz="0" w:space="0" w:color="auto"/>
        <w:left w:val="none" w:sz="0" w:space="0" w:color="auto"/>
        <w:bottom w:val="none" w:sz="0" w:space="0" w:color="auto"/>
        <w:right w:val="none" w:sz="0" w:space="0" w:color="auto"/>
      </w:divBdr>
      <w:divsChild>
        <w:div w:id="2070423000">
          <w:marLeft w:val="540"/>
          <w:marRight w:val="0"/>
          <w:marTop w:val="0"/>
          <w:marBottom w:val="0"/>
          <w:divBdr>
            <w:top w:val="none" w:sz="0" w:space="0" w:color="auto"/>
            <w:left w:val="none" w:sz="0" w:space="0" w:color="auto"/>
            <w:bottom w:val="none" w:sz="0" w:space="0" w:color="auto"/>
            <w:right w:val="none" w:sz="0" w:space="0" w:color="auto"/>
          </w:divBdr>
        </w:div>
        <w:div w:id="1919174936">
          <w:marLeft w:val="540"/>
          <w:marRight w:val="0"/>
          <w:marTop w:val="0"/>
          <w:marBottom w:val="0"/>
          <w:divBdr>
            <w:top w:val="none" w:sz="0" w:space="0" w:color="auto"/>
            <w:left w:val="none" w:sz="0" w:space="0" w:color="auto"/>
            <w:bottom w:val="none" w:sz="0" w:space="0" w:color="auto"/>
            <w:right w:val="none" w:sz="0" w:space="0" w:color="auto"/>
          </w:divBdr>
        </w:div>
        <w:div w:id="1117022494">
          <w:marLeft w:val="540"/>
          <w:marRight w:val="0"/>
          <w:marTop w:val="0"/>
          <w:marBottom w:val="0"/>
          <w:divBdr>
            <w:top w:val="none" w:sz="0" w:space="0" w:color="auto"/>
            <w:left w:val="none" w:sz="0" w:space="0" w:color="auto"/>
            <w:bottom w:val="none" w:sz="0" w:space="0" w:color="auto"/>
            <w:right w:val="none" w:sz="0" w:space="0" w:color="auto"/>
          </w:divBdr>
        </w:div>
        <w:div w:id="1323460501">
          <w:marLeft w:val="540"/>
          <w:marRight w:val="0"/>
          <w:marTop w:val="0"/>
          <w:marBottom w:val="0"/>
          <w:divBdr>
            <w:top w:val="none" w:sz="0" w:space="0" w:color="auto"/>
            <w:left w:val="none" w:sz="0" w:space="0" w:color="auto"/>
            <w:bottom w:val="none" w:sz="0" w:space="0" w:color="auto"/>
            <w:right w:val="none" w:sz="0" w:space="0" w:color="auto"/>
          </w:divBdr>
        </w:div>
        <w:div w:id="1788890074">
          <w:marLeft w:val="540"/>
          <w:marRight w:val="0"/>
          <w:marTop w:val="0"/>
          <w:marBottom w:val="0"/>
          <w:divBdr>
            <w:top w:val="none" w:sz="0" w:space="0" w:color="auto"/>
            <w:left w:val="none" w:sz="0" w:space="0" w:color="auto"/>
            <w:bottom w:val="none" w:sz="0" w:space="0" w:color="auto"/>
            <w:right w:val="none" w:sz="0" w:space="0" w:color="auto"/>
          </w:divBdr>
        </w:div>
        <w:div w:id="2108425547">
          <w:marLeft w:val="540"/>
          <w:marRight w:val="0"/>
          <w:marTop w:val="0"/>
          <w:marBottom w:val="0"/>
          <w:divBdr>
            <w:top w:val="none" w:sz="0" w:space="0" w:color="auto"/>
            <w:left w:val="none" w:sz="0" w:space="0" w:color="auto"/>
            <w:bottom w:val="none" w:sz="0" w:space="0" w:color="auto"/>
            <w:right w:val="none" w:sz="0" w:space="0" w:color="auto"/>
          </w:divBdr>
        </w:div>
        <w:div w:id="322318118">
          <w:marLeft w:val="540"/>
          <w:marRight w:val="0"/>
          <w:marTop w:val="0"/>
          <w:marBottom w:val="0"/>
          <w:divBdr>
            <w:top w:val="none" w:sz="0" w:space="0" w:color="auto"/>
            <w:left w:val="none" w:sz="0" w:space="0" w:color="auto"/>
            <w:bottom w:val="none" w:sz="0" w:space="0" w:color="auto"/>
            <w:right w:val="none" w:sz="0" w:space="0" w:color="auto"/>
          </w:divBdr>
        </w:div>
        <w:div w:id="1559172622">
          <w:marLeft w:val="540"/>
          <w:marRight w:val="0"/>
          <w:marTop w:val="0"/>
          <w:marBottom w:val="0"/>
          <w:divBdr>
            <w:top w:val="none" w:sz="0" w:space="0" w:color="auto"/>
            <w:left w:val="none" w:sz="0" w:space="0" w:color="auto"/>
            <w:bottom w:val="none" w:sz="0" w:space="0" w:color="auto"/>
            <w:right w:val="none" w:sz="0" w:space="0" w:color="auto"/>
          </w:divBdr>
        </w:div>
        <w:div w:id="911815193">
          <w:marLeft w:val="540"/>
          <w:marRight w:val="0"/>
          <w:marTop w:val="0"/>
          <w:marBottom w:val="0"/>
          <w:divBdr>
            <w:top w:val="none" w:sz="0" w:space="0" w:color="auto"/>
            <w:left w:val="none" w:sz="0" w:space="0" w:color="auto"/>
            <w:bottom w:val="none" w:sz="0" w:space="0" w:color="auto"/>
            <w:right w:val="none" w:sz="0" w:space="0" w:color="auto"/>
          </w:divBdr>
        </w:div>
        <w:div w:id="1848711909">
          <w:marLeft w:val="540"/>
          <w:marRight w:val="0"/>
          <w:marTop w:val="0"/>
          <w:marBottom w:val="0"/>
          <w:divBdr>
            <w:top w:val="none" w:sz="0" w:space="0" w:color="auto"/>
            <w:left w:val="none" w:sz="0" w:space="0" w:color="auto"/>
            <w:bottom w:val="none" w:sz="0" w:space="0" w:color="auto"/>
            <w:right w:val="none" w:sz="0" w:space="0" w:color="auto"/>
          </w:divBdr>
        </w:div>
        <w:div w:id="1598517365">
          <w:marLeft w:val="540"/>
          <w:marRight w:val="0"/>
          <w:marTop w:val="0"/>
          <w:marBottom w:val="0"/>
          <w:divBdr>
            <w:top w:val="none" w:sz="0" w:space="0" w:color="auto"/>
            <w:left w:val="none" w:sz="0" w:space="0" w:color="auto"/>
            <w:bottom w:val="none" w:sz="0" w:space="0" w:color="auto"/>
            <w:right w:val="none" w:sz="0" w:space="0" w:color="auto"/>
          </w:divBdr>
        </w:div>
        <w:div w:id="1805196178">
          <w:marLeft w:val="540"/>
          <w:marRight w:val="0"/>
          <w:marTop w:val="0"/>
          <w:marBottom w:val="0"/>
          <w:divBdr>
            <w:top w:val="none" w:sz="0" w:space="0" w:color="auto"/>
            <w:left w:val="none" w:sz="0" w:space="0" w:color="auto"/>
            <w:bottom w:val="none" w:sz="0" w:space="0" w:color="auto"/>
            <w:right w:val="none" w:sz="0" w:space="0" w:color="auto"/>
          </w:divBdr>
        </w:div>
        <w:div w:id="1275988259">
          <w:marLeft w:val="540"/>
          <w:marRight w:val="0"/>
          <w:marTop w:val="0"/>
          <w:marBottom w:val="0"/>
          <w:divBdr>
            <w:top w:val="none" w:sz="0" w:space="0" w:color="auto"/>
            <w:left w:val="none" w:sz="0" w:space="0" w:color="auto"/>
            <w:bottom w:val="none" w:sz="0" w:space="0" w:color="auto"/>
            <w:right w:val="none" w:sz="0" w:space="0" w:color="auto"/>
          </w:divBdr>
        </w:div>
        <w:div w:id="501702853">
          <w:marLeft w:val="540"/>
          <w:marRight w:val="0"/>
          <w:marTop w:val="0"/>
          <w:marBottom w:val="0"/>
          <w:divBdr>
            <w:top w:val="none" w:sz="0" w:space="0" w:color="auto"/>
            <w:left w:val="none" w:sz="0" w:space="0" w:color="auto"/>
            <w:bottom w:val="none" w:sz="0" w:space="0" w:color="auto"/>
            <w:right w:val="none" w:sz="0" w:space="0" w:color="auto"/>
          </w:divBdr>
        </w:div>
        <w:div w:id="442844915">
          <w:marLeft w:val="540"/>
          <w:marRight w:val="0"/>
          <w:marTop w:val="0"/>
          <w:marBottom w:val="0"/>
          <w:divBdr>
            <w:top w:val="none" w:sz="0" w:space="0" w:color="auto"/>
            <w:left w:val="none" w:sz="0" w:space="0" w:color="auto"/>
            <w:bottom w:val="none" w:sz="0" w:space="0" w:color="auto"/>
            <w:right w:val="none" w:sz="0" w:space="0" w:color="auto"/>
          </w:divBdr>
        </w:div>
        <w:div w:id="93484175">
          <w:marLeft w:val="540"/>
          <w:marRight w:val="0"/>
          <w:marTop w:val="0"/>
          <w:marBottom w:val="0"/>
          <w:divBdr>
            <w:top w:val="none" w:sz="0" w:space="0" w:color="auto"/>
            <w:left w:val="none" w:sz="0" w:space="0" w:color="auto"/>
            <w:bottom w:val="none" w:sz="0" w:space="0" w:color="auto"/>
            <w:right w:val="none" w:sz="0" w:space="0" w:color="auto"/>
          </w:divBdr>
        </w:div>
      </w:divsChild>
    </w:div>
    <w:div w:id="1711955904">
      <w:bodyDiv w:val="1"/>
      <w:marLeft w:val="0"/>
      <w:marRight w:val="0"/>
      <w:marTop w:val="0"/>
      <w:marBottom w:val="0"/>
      <w:divBdr>
        <w:top w:val="none" w:sz="0" w:space="0" w:color="auto"/>
        <w:left w:val="none" w:sz="0" w:space="0" w:color="auto"/>
        <w:bottom w:val="none" w:sz="0" w:space="0" w:color="auto"/>
        <w:right w:val="none" w:sz="0" w:space="0" w:color="auto"/>
      </w:divBdr>
      <w:divsChild>
        <w:div w:id="2136949385">
          <w:marLeft w:val="540"/>
          <w:marRight w:val="0"/>
          <w:marTop w:val="0"/>
          <w:marBottom w:val="0"/>
          <w:divBdr>
            <w:top w:val="none" w:sz="0" w:space="0" w:color="auto"/>
            <w:left w:val="none" w:sz="0" w:space="0" w:color="auto"/>
            <w:bottom w:val="none" w:sz="0" w:space="0" w:color="auto"/>
            <w:right w:val="none" w:sz="0" w:space="0" w:color="auto"/>
          </w:divBdr>
        </w:div>
        <w:div w:id="194389207">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ea.blob.core.windows.net/assets/18f3ed24-4b26-4c83-a3d2-8a1be51c8cc8/Electricity2024-Analysisandforecastto2026.pdf" TargetMode="External"/><Relationship Id="rId13" Type="http://schemas.openxmlformats.org/officeDocument/2006/relationships/hyperlink" Target="https://www.eib.org/attachments/strategies/eib_energy_lending_criteria_en.pdf"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t.com/content/418fbd05-b5d3-4cb3-a9e4-648b14694ec2" TargetMode="External"/><Relationship Id="rId17" Type="http://schemas.openxmlformats.org/officeDocument/2006/relationships/hyperlink" Target="https://nuclearbank-io-sag.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ub.iaea.org/MTCD/Publications/PDF/Pub1704_web.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dn01.fed.be/84ac04269691863995994892f272c38d/NES_Declaration_on_Nuclear_Energy.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aea.org/publications/search/type/nuclear-energy-series" TargetMode="External"/><Relationship Id="rId23" Type="http://schemas.openxmlformats.org/officeDocument/2006/relationships/footer" Target="footer3.xml"/><Relationship Id="rId10" Type="http://schemas.openxmlformats.org/officeDocument/2006/relationships/hyperlink" Target="%20https://www.energy.gov/articles/cop28-countries-launch-declaration-triple-nuclear-energy-capacity-2050-recognizing-ke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unfccc.int/documents/636608" TargetMode="External"/><Relationship Id="rId14" Type="http://schemas.openxmlformats.org/officeDocument/2006/relationships/hyperlink" Target="https://www.oecd.org/trade/topics/export-credits/arrangement-and-sector-understanding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IAEA%20Blank%20(r01).dotx</Template>
  <TotalTime>3</TotalTime>
  <Pages>6</Pages>
  <Words>3409</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milko kovachev</cp:lastModifiedBy>
  <cp:revision>2</cp:revision>
  <cp:lastPrinted>2024-03-19T13:52:00Z</cp:lastPrinted>
  <dcterms:created xsi:type="dcterms:W3CDTF">2024-06-13T21:41:00Z</dcterms:created>
  <dcterms:modified xsi:type="dcterms:W3CDTF">2024-06-13T21:41:00Z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