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9CFD4" w14:textId="27501BDB" w:rsidR="00880AC4" w:rsidRDefault="00880AC4" w:rsidP="00537496">
      <w:pPr>
        <w:pStyle w:val="Titolo1"/>
      </w:pPr>
      <w:r w:rsidRPr="00880AC4">
        <w:t>Enabling factors for Small Modular Reactors (SMR) uptake in Bolivian future</w:t>
      </w:r>
      <w:r w:rsidR="00516117">
        <w:t xml:space="preserve"> </w:t>
      </w:r>
      <w:r w:rsidRPr="00880AC4">
        <w:t xml:space="preserve">power system </w:t>
      </w:r>
    </w:p>
    <w:p w14:paraId="4D1B799F" w14:textId="77777777" w:rsidR="00802381" w:rsidRDefault="00802381" w:rsidP="00537496">
      <w:pPr>
        <w:pStyle w:val="Authornameandaffiliation"/>
      </w:pPr>
    </w:p>
    <w:p w14:paraId="32159D0F" w14:textId="64A57B36" w:rsidR="003B5E0E" w:rsidRPr="009F56E6" w:rsidRDefault="009F56E6" w:rsidP="00537496">
      <w:pPr>
        <w:pStyle w:val="Authornameandaffiliation"/>
        <w:rPr>
          <w:lang w:val="it-IT"/>
        </w:rPr>
      </w:pPr>
      <w:r w:rsidRPr="009F56E6">
        <w:rPr>
          <w:lang w:val="it-IT"/>
        </w:rPr>
        <w:t>C</w:t>
      </w:r>
      <w:r w:rsidR="00537496" w:rsidRPr="009F56E6">
        <w:rPr>
          <w:lang w:val="it-IT"/>
        </w:rPr>
        <w:t>.</w:t>
      </w:r>
      <w:r w:rsidR="00FF386F" w:rsidRPr="009F56E6">
        <w:rPr>
          <w:lang w:val="it-IT"/>
        </w:rPr>
        <w:t xml:space="preserve"> </w:t>
      </w:r>
      <w:r w:rsidRPr="009F56E6">
        <w:rPr>
          <w:lang w:val="it-IT"/>
        </w:rPr>
        <w:t>MARIANI, N. STEVANATO, S. LORENZI, M.E. RICOTTI</w:t>
      </w:r>
    </w:p>
    <w:p w14:paraId="02370931" w14:textId="4E1625B2" w:rsidR="00FF386F" w:rsidRPr="009F56E6" w:rsidRDefault="009F56E6" w:rsidP="00537496">
      <w:pPr>
        <w:pStyle w:val="Authornameandaffiliation"/>
        <w:rPr>
          <w:lang w:val="it-IT"/>
        </w:rPr>
      </w:pPr>
      <w:r w:rsidRPr="009F56E6">
        <w:rPr>
          <w:lang w:val="it-IT"/>
        </w:rPr>
        <w:t>Politecnico di Milano</w:t>
      </w:r>
    </w:p>
    <w:p w14:paraId="14684DE2" w14:textId="013CC4A6" w:rsidR="00FF386F" w:rsidRPr="009F56E6" w:rsidRDefault="009F56E6" w:rsidP="00537496">
      <w:pPr>
        <w:pStyle w:val="Authornameandaffiliation"/>
        <w:rPr>
          <w:lang w:val="it-IT"/>
        </w:rPr>
      </w:pPr>
      <w:r w:rsidRPr="009F56E6">
        <w:rPr>
          <w:lang w:val="it-IT"/>
        </w:rPr>
        <w:t xml:space="preserve">Milano, </w:t>
      </w:r>
      <w:proofErr w:type="spellStart"/>
      <w:r w:rsidRPr="009F56E6">
        <w:rPr>
          <w:lang w:val="it-IT"/>
        </w:rPr>
        <w:t>Italy</w:t>
      </w:r>
      <w:proofErr w:type="spellEnd"/>
    </w:p>
    <w:p w14:paraId="0080899C" w14:textId="73192FBF" w:rsidR="00FF386F" w:rsidRPr="00C65332" w:rsidRDefault="00FF386F" w:rsidP="00537496">
      <w:pPr>
        <w:pStyle w:val="Authornameandaffiliation"/>
        <w:rPr>
          <w:lang w:val="it-IT"/>
        </w:rPr>
      </w:pPr>
      <w:proofErr w:type="gramStart"/>
      <w:r w:rsidRPr="00C65332">
        <w:rPr>
          <w:lang w:val="it-IT"/>
        </w:rPr>
        <w:t>Email</w:t>
      </w:r>
      <w:proofErr w:type="gramEnd"/>
      <w:r w:rsidRPr="00C65332">
        <w:rPr>
          <w:lang w:val="it-IT"/>
        </w:rPr>
        <w:t xml:space="preserve">: </w:t>
      </w:r>
      <w:r w:rsidR="009F56E6" w:rsidRPr="00C65332">
        <w:rPr>
          <w:lang w:val="it-IT"/>
        </w:rPr>
        <w:t>marco.ricotti</w:t>
      </w:r>
      <w:r w:rsidRPr="00C65332">
        <w:rPr>
          <w:lang w:val="it-IT"/>
        </w:rPr>
        <w:t>@</w:t>
      </w:r>
      <w:r w:rsidR="009F56E6" w:rsidRPr="00C65332">
        <w:rPr>
          <w:lang w:val="it-IT"/>
        </w:rPr>
        <w:t>polimi.it</w:t>
      </w:r>
    </w:p>
    <w:p w14:paraId="5E2BDA1F" w14:textId="77777777" w:rsidR="00FF386F" w:rsidRPr="00C65332" w:rsidRDefault="00FF386F" w:rsidP="00537496">
      <w:pPr>
        <w:pStyle w:val="Authornameandaffiliation"/>
        <w:rPr>
          <w:highlight w:val="yellow"/>
          <w:lang w:val="it-IT"/>
        </w:rPr>
      </w:pPr>
    </w:p>
    <w:p w14:paraId="535BB6CC" w14:textId="70E90984" w:rsidR="00FF386F" w:rsidRPr="00C65332" w:rsidRDefault="00C65332" w:rsidP="00537496">
      <w:pPr>
        <w:pStyle w:val="Authornameandaffiliation"/>
        <w:rPr>
          <w:lang w:val="it-IT"/>
        </w:rPr>
      </w:pPr>
      <w:r w:rsidRPr="00C65332">
        <w:rPr>
          <w:lang w:val="it-IT"/>
        </w:rPr>
        <w:t>H</w:t>
      </w:r>
      <w:r w:rsidRPr="00C65332">
        <w:rPr>
          <w:lang w:val="it-IT"/>
        </w:rPr>
        <w:t xml:space="preserve">. </w:t>
      </w:r>
      <w:r w:rsidRPr="00C65332">
        <w:rPr>
          <w:lang w:val="it-IT"/>
        </w:rPr>
        <w:t>J</w:t>
      </w:r>
      <w:r w:rsidRPr="00C65332">
        <w:rPr>
          <w:lang w:val="it-IT"/>
        </w:rPr>
        <w:t>IMÈNEZ</w:t>
      </w:r>
      <w:r w:rsidRPr="00C65332">
        <w:rPr>
          <w:lang w:val="it-IT"/>
        </w:rPr>
        <w:t xml:space="preserve"> </w:t>
      </w:r>
      <w:proofErr w:type="spellStart"/>
      <w:r w:rsidRPr="00C65332">
        <w:rPr>
          <w:lang w:val="it-IT"/>
        </w:rPr>
        <w:t>R</w:t>
      </w:r>
      <w:r w:rsidRPr="00C65332">
        <w:rPr>
          <w:lang w:val="it-IT"/>
        </w:rPr>
        <w:t xml:space="preserve">IVERA, </w:t>
      </w:r>
      <w:r w:rsidR="009F56E6" w:rsidRPr="00C65332">
        <w:rPr>
          <w:lang w:val="it-IT"/>
        </w:rPr>
        <w:t xml:space="preserve">M. </w:t>
      </w:r>
      <w:proofErr w:type="spellEnd"/>
      <w:r w:rsidR="009F56E6" w:rsidRPr="00C65332">
        <w:rPr>
          <w:lang w:val="it-IT"/>
        </w:rPr>
        <w:t>HERBAS</w:t>
      </w:r>
    </w:p>
    <w:p w14:paraId="1FC1B96E" w14:textId="1594F263" w:rsidR="009F56E6" w:rsidRPr="00416A08" w:rsidRDefault="009F56E6" w:rsidP="00537496">
      <w:pPr>
        <w:pStyle w:val="Authornameandaffiliation"/>
        <w:rPr>
          <w:lang w:val="it-IT"/>
        </w:rPr>
      </w:pPr>
      <w:proofErr w:type="spellStart"/>
      <w:r w:rsidRPr="00416A08">
        <w:rPr>
          <w:lang w:val="it-IT"/>
        </w:rPr>
        <w:t>Agencia</w:t>
      </w:r>
      <w:proofErr w:type="spellEnd"/>
      <w:r w:rsidRPr="00416A08">
        <w:rPr>
          <w:lang w:val="it-IT"/>
        </w:rPr>
        <w:t xml:space="preserve"> Boliviana de Energia </w:t>
      </w:r>
      <w:proofErr w:type="spellStart"/>
      <w:r w:rsidRPr="00416A08">
        <w:rPr>
          <w:lang w:val="it-IT"/>
        </w:rPr>
        <w:t>Nuclear</w:t>
      </w:r>
      <w:proofErr w:type="spellEnd"/>
    </w:p>
    <w:p w14:paraId="5D980831" w14:textId="6AFCE033" w:rsidR="00FF386F" w:rsidRPr="00416A08" w:rsidRDefault="009F56E6" w:rsidP="00537496">
      <w:pPr>
        <w:pStyle w:val="Authornameandaffiliation"/>
        <w:rPr>
          <w:lang w:val="it-IT"/>
        </w:rPr>
      </w:pPr>
      <w:r w:rsidRPr="00416A08">
        <w:rPr>
          <w:lang w:val="it-IT"/>
        </w:rPr>
        <w:t>El Alto, Bolivia</w:t>
      </w:r>
    </w:p>
    <w:p w14:paraId="2C7F19CB" w14:textId="77777777" w:rsidR="00FF386F" w:rsidRPr="00416A08" w:rsidRDefault="00FF386F" w:rsidP="00537496">
      <w:pPr>
        <w:pStyle w:val="Authornameandaffiliation"/>
        <w:rPr>
          <w:lang w:val="it-IT"/>
        </w:rPr>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186755C8" w:rsidR="00647F33" w:rsidRPr="00BD605C" w:rsidRDefault="00514352" w:rsidP="00516117">
      <w:pPr>
        <w:pStyle w:val="Abstracttext"/>
        <w:jc w:val="both"/>
      </w:pPr>
      <w:r w:rsidRPr="00514352">
        <w:t xml:space="preserve">To meet the global climate </w:t>
      </w:r>
      <w:r w:rsidR="0080518B" w:rsidRPr="00514352">
        <w:t>targets and</w:t>
      </w:r>
      <w:r w:rsidRPr="00514352">
        <w:t xml:space="preserve"> reduce the emission of carbon dioxide related to the consumption of fossil fuels for power production, in addition to increasing the penetration of variable renewable energy sources (VRES) in national energy systems, a carbon free and dispatchable energy source is essential to compensate the intermittent nature of VRES. Nuclear reactors represent a relatively safe and carbon-free option that proved to work in synergy with VRES in national energy systems. </w:t>
      </w:r>
      <w:proofErr w:type="gramStart"/>
      <w:r w:rsidRPr="00514352">
        <w:t>In particular</w:t>
      </w:r>
      <w:r w:rsidR="0080518B">
        <w:t xml:space="preserve">, </w:t>
      </w:r>
      <w:r w:rsidRPr="00514352">
        <w:t>due</w:t>
      </w:r>
      <w:proofErr w:type="gramEnd"/>
      <w:r w:rsidRPr="00514352">
        <w:t xml:space="preserve"> to the emergence of the small modular reactors (SMRs) technology, more countries are now exploring the possibility of including nuclear power in their energy mix. Even emerging economies, characterized by an overall lower electricity consumption at national level, and lower purchasing power, see now more suitable use and easier access to the technology due to its smaller capacity and cost compared to previous generation’s reactors. In this work the potential role of SMRs in Bolivia energy strategy to 2035 are investigated by means of the Energy System Optimization Model Calliope. Two scenarios are analyzed: a first</w:t>
      </w:r>
      <w:r w:rsidR="00516117">
        <w:t xml:space="preserve"> one</w:t>
      </w:r>
      <w:r w:rsidRPr="00514352">
        <w:t xml:space="preserve"> to assess the economic feasibility of introducing one or more SMRs into the Bolivian power sector in 2035, and a second </w:t>
      </w:r>
      <w:r w:rsidR="00516117">
        <w:t xml:space="preserve">one </w:t>
      </w:r>
      <w:r w:rsidR="00F76EE7">
        <w:t xml:space="preserve">to test </w:t>
      </w:r>
      <w:r w:rsidRPr="00514352">
        <w:t xml:space="preserve">the competitiveness of nuclear power, evaluating whether the introduction of new renewable sources would compromise the tool’s choice to install SMRs. Finally, a sensitivity analysis revealed the economic thresholds beyond which the integration of nuclear energy is no longer economically competitive. </w:t>
      </w:r>
      <w:proofErr w:type="gramStart"/>
      <w:r w:rsidRPr="00514352">
        <w:t>In particular, with</w:t>
      </w:r>
      <w:proofErr w:type="gramEnd"/>
      <w:r w:rsidRPr="00514352">
        <w:t xml:space="preserve"> an interest rate of 11%, SMRs are not installed, while at lower interest rates, the optimal solution might involve the installation of a single SMR</w:t>
      </w:r>
      <w:r w:rsidR="00647F33" w:rsidRPr="00BD605C">
        <w:t>.</w:t>
      </w:r>
    </w:p>
    <w:p w14:paraId="03C6D75B" w14:textId="77777777" w:rsidR="00647F33" w:rsidRPr="00516117" w:rsidRDefault="00F523CA" w:rsidP="00537496">
      <w:pPr>
        <w:pStyle w:val="Titolo2"/>
        <w:numPr>
          <w:ilvl w:val="1"/>
          <w:numId w:val="10"/>
        </w:numPr>
      </w:pPr>
      <w:r w:rsidRPr="00516117">
        <w:t>INTRODUCTION</w:t>
      </w:r>
    </w:p>
    <w:p w14:paraId="14C635C0" w14:textId="77777777" w:rsidR="00515BEF" w:rsidRPr="00515BEF" w:rsidRDefault="00515BEF" w:rsidP="00AB37DD">
      <w:pPr>
        <w:pStyle w:val="Corpotesto"/>
      </w:pPr>
      <w:r w:rsidRPr="00515BEF">
        <w:t xml:space="preserve">In the global effort to limit average temperature increase well below 2 °C, as agreed by 194 states during the twenty-first edition of the Conference of the Parties (COP21) in Paris in 2015 </w:t>
      </w:r>
      <w:r w:rsidRPr="00515BEF">
        <w:fldChar w:fldCharType="begin"/>
      </w:r>
      <w:r w:rsidRPr="00515BEF">
        <w:instrText xml:space="preserve"> ADDIN ZOTERO_ITEM CSL_CITATION {"citationID":"Cljsk9bo","properties":{"formattedCitation":"[1]","plainCitation":"[1]","noteIndex":0},"citationItems":[{"id":791,"uris":["http://zotero.org/users/9075346/items/Z6JKTAI7"],"itemData":{"id":791,"type":"report","language":"en","publisher":"UNFCCC","source":"Zotero","title":"Report of the Conference of the Parties on its twenty-first session, held in Paris from 30 November to 11 December 2015. Part one: Proceedings","URL":"https://unfccc.int/process-and-meetings/conferences/past-conferences/paris-climate-change-conference-november-2015/cop-21/cop-21-reports","author":[{"family":"UNFCCC","given":""}],"issued":{"date-parts":[["2015"]]}}}],"schema":"https://github.com/citation-style-language/schema/raw/master/csl-citation.json"} </w:instrText>
      </w:r>
      <w:r w:rsidRPr="00515BEF">
        <w:fldChar w:fldCharType="separate"/>
      </w:r>
      <w:r w:rsidRPr="00515BEF">
        <w:t>[1]</w:t>
      </w:r>
      <w:r w:rsidRPr="00515BEF">
        <w:fldChar w:fldCharType="end"/>
      </w:r>
      <w:r w:rsidRPr="00515BEF">
        <w:t xml:space="preserve">, the energy sector covers a crucial role </w:t>
      </w:r>
      <w:r w:rsidRPr="00515BEF">
        <w:fldChar w:fldCharType="begin"/>
      </w:r>
      <w:r w:rsidRPr="00515BEF">
        <w:instrText xml:space="preserve"> ADDIN ZOTERO_ITEM CSL_CITATION {"citationID":"JgMxbGfE","properties":{"formattedCitation":"[2]","plainCitation":"[2]","noteIndex":0},"citationItems":[{"id":789,"uris":["http://zotero.org/users/9075346/items/FXMGM57Z"],"itemData":{"id":789,"type":"report","abstract":"The Synthesis Report (SYR) is a stand-alone synthesis of the most policy-relevant evidence from the scientific, technical, and socio-economic literature assessed in the Sixth Assessment Report (AR6) of the Intergovernmental Panel on Climate Change (IPCC). The SYR distils and integrates the main findings of the three reports of the Working Groups of the IPCC during the AR6, and the three AR6 Special Reports into a concise document. It consists of a Summary for Policymakers and a longer report.","language":"en","note":"edition: First\nDOI: 10.59327/IPCC/AR6-9789291691647","publisher":"Intergovernmental Panel on Climate Change (IPCC)","source":"DOI.org (Crossref)","title":"IPCC, 2023: Climate Change 2023: Synthesis Report. Contribution of Working Groups I, II and III to the Sixth Assessment Report of the Intergovernmental Panel on Climate Change [Core Writing Team, H. Lee and J. Romero (eds.)]. IPCC, Geneva, Switzerland.","title-short":"IPCC, 2023","URL":"https://www.ipcc.ch/report/ar6/syr/","contributor":[{"family":"Lee","given":"Hoesung"}],"author":[{"family":"Calvin","given":"Katherine"},{"family":"Dasgupta","given":"Dipak"},{"family":"Krinner","given":"Gerhard"},{"family":"Mukherji","given":"Aditi"},{"family":"Thorne","given":"Peter W."},{"family":"Trisos","given":"Christopher"},{"family":"Romero","given":"José"},{"family":"Aldunce","given":"Paulina"},{"family":"Barrett","given":"Ko"},{"family":"Blanco","given":"Gabriel"},{"family":"Cheung","given":"William W.L."},{"family":"Connors","given":"Sarah"},{"family":"Denton","given":"Fatima"},{"family":"Diongue-Niang","given":"Aïda"},{"family":"Dodman","given":"David"},{"family":"Garschagen","given":"Matthias"},{"family":"Geden","given":"Oliver"},{"family":"Hayward","given":"Bronwyn"},{"family":"Jones","given":"Christopher"},{"family":"Jotzo","given":"Frank"},{"family":"Krug","given":"Thelma"},{"family":"Lasco","given":"Rodel"},{"family":"Lee","given":"Yune-Yi"},{"family":"Masson-Delmotte","given":"Valérie"},{"family":"Meinshausen","given":"Malte"},{"family":"Mintenbeck","given":"Katja"},{"family":"Mokssit","given":"Abdalah"},{"family":"Otto","given":"Friederike E.L."},{"family":"Pathak","given":"Minal"},{"family":"Pirani","given":"Anna"},{"family":"Poloczanska","given":"Elvira"},{"family":"Pörtner","given":"Hans-Otto"},{"family":"Revi","given":"Aromar"},{"family":"Roberts","given":"Debra C."},{"family":"Roy","given":"Joyashree"},{"family":"Ruane","given":"Alex C."},{"family":"Skea","given":"Jim"},{"family":"Shukla","given":"Priyadarshi R."},{"family":"Slade","given":"Raphael"},{"family":"Slangen","given":"Aimée"},{"family":"Sokona","given":"Youba"},{"family":"Sörensson","given":"Anna A."},{"family":"Tignor","given":"Melinda"},{"family":"Van Vuuren","given":"Detlef"},{"family":"Wei","given":"Yi-Ming"},{"family":"Winkler","given":"Harald"},{"family":"Zhai","given":"Panmao"},{"family":"Zommers","given":"Zinta"},{"family":"Hourcade","given":"Jean-Charles"},{"family":"Johnson","given":"Francis X."},{"family":"Pachauri","given":"Shonali"},{"family":"Simpson","given":"Nicholas P."},{"family":"Singh","given":"Chandni"},{"family":"Thomas","given":"Adelle"},{"family":"Totin","given":"Edmond"},{"family":"Arias","given":"Paola"},{"family":"Bustamante","given":"Mercedes"},{"family":"Elgizouli","given":"Ismail"},{"family":"Flato","given":"Gregory"},{"family":"Howden","given":"Mark"},{"family":"Méndez-Vallejo","given":"Carlos"},{"family":"Pereira","given":"Joy Jacqueline"},{"family":"Pichs-Madruga","given":"Ramón"},{"family":"Rose","given":"Steven K."},{"family":"Saheb","given":"Yamina"},{"family":"Sánchez Rodríguez","given":"Roberto"},{"family":"Ürge-Vorsatz","given":"Diana"},{"family":"Xiao","given":"Cunde"},{"family":"Yassaa","given":"Noureddine"},{"family":"Alegría","given":"Andrés"},{"family":"Armour","given":"Kyle"},{"family":"Bednar-Friedl","given":"Birgit"},{"family":"Blok","given":"Kornelis"},{"family":"Cissé","given":"Guéladio"},{"family":"Dentener","given":"Frank"},{"family":"Eriksen","given":"Siri"},{"family":"Fischer","given":"Erich"},{"family":"Garner","given":"Gregory"},{"family":"Guivarch","given":"Céline"},{"family":"Haasnoot","given":"Marjolijn"},{"family":"Hansen","given":"Gerrit"},{"family":"Hauser","given":"Mathias"},{"family":"Hawkins","given":"Ed"},{"family":"Hermans","given":"Tim"},{"family":"Kopp","given":"Robert"},{"family":"Leprince-Ringuet","given":"Noëmie"},{"family":"Lewis","given":"Jared"},{"family":"Ley","given":"Debora"},{"family":"Ludden","given":"Chloé"},{"family":"Niamir","given":"Leila"},{"family":"Nicholls","given":"Zebedee"},{"family":"Some","given":"Shreya"},{"family":"Szopa","given":"Sophie"},{"family":"Trewin","given":"Blair"},{"family":"Van Der Wijst","given":"Kaj-Ivar"},{"family":"Winter","given":"Gundula"},{"family":"Witting","given":"Maximilian"},{"family":"Birt","given":"Arlene"},{"family":"Ha","given":"Meeyoung"},{"family":"Romero","given":"José"},{"family":"Kim","given":"Jinmi"},{"family":"Haites","given":"Erik F."},{"family":"Jung","given":"Yonghun"},{"family":"Stavins","given":"Robert"},{"family":"Birt","given":"Arlene"},{"family":"Ha","given":"Meeyoung"},{"family":"Orendain","given":"Dan Jezreel A."},{"family":"Ignon","given":"Lance"},{"family":"Park","given":"Semin"},{"family":"Park","given":"Youngin"},{"family":"Reisinger","given":"Andy"},{"family":"Cammaramo","given":"Diego"},{"family":"Fischlin","given":"Andreas"},{"family":"Fuglestvedt","given":"Jan S."},{"family":"Hansen","given":"Gerrit"},{"family":"Ludden","given":"Chloé"},{"family":"Masson-Delmotte","given":"Valérie"},{"family":"Matthews","given":"J.B. Robin"},{"family":"Mintenbeck","given":"Katja"},{"family":"Pirani","given":"Anna"},{"family":"Poloczanska","given":"Elvira"},{"family":"Leprince-Ringuet","given":"Noëmie"},{"family":"Péan","given":"Clotilde"}],"accessed":{"date-parts":[["2024",3,1]]},"issued":{"date-parts":[["2023",7,25]]}}}],"schema":"https://github.com/citation-style-language/schema/raw/master/csl-citation.json"} </w:instrText>
      </w:r>
      <w:r w:rsidRPr="00515BEF">
        <w:fldChar w:fldCharType="separate"/>
      </w:r>
      <w:r w:rsidRPr="00515BEF">
        <w:t>[2]</w:t>
      </w:r>
      <w:r w:rsidRPr="00515BEF">
        <w:fldChar w:fldCharType="end"/>
      </w:r>
      <w:r w:rsidRPr="00515BEF">
        <w:t xml:space="preserve">. In order to transition towards carbon-neutral energy systems, the role of governments is fundamental, as their commitments towards policies that enable the penetration of carbon-free energy supply technologies and phasing out carbon intensive technologies will be determinant </w:t>
      </w:r>
      <w:r w:rsidRPr="00515BEF">
        <w:fldChar w:fldCharType="begin"/>
      </w:r>
      <w:r w:rsidRPr="00515BEF">
        <w:instrText xml:space="preserve"> ADDIN ZOTERO_ITEM CSL_CITATION {"citationID":"MMda9Jfd","properties":{"formattedCitation":"[3]","plainCitation":"[3]","noteIndex":0},"citationItems":[{"id":775,"uris":["http://zotero.org/users/9075346/items/G5EHN2U5"],"itemData":{"id":775,"type":"report","event-place":"Paris","license":"License: CC BY 4.0 (report); CC BY NC SA 4.0 (Annex A)","publisher":"IEA","publisher-place":"Paris","title":"World Energy Outlook 2023","title-short":"WEO2023","URL":"https://www.iea.org/reports/world-energy-outlook-2023","author":[{"family":"International Energy Agency","given":""}],"issued":{"date-parts":[["2023"]]}}}],"schema":"https://github.com/citation-style-language/schema/raw/master/csl-citation.json"} </w:instrText>
      </w:r>
      <w:r w:rsidRPr="00515BEF">
        <w:fldChar w:fldCharType="separate"/>
      </w:r>
      <w:r w:rsidRPr="00515BEF">
        <w:t>[3]</w:t>
      </w:r>
      <w:r w:rsidRPr="00515BEF">
        <w:fldChar w:fldCharType="end"/>
      </w:r>
      <w:r w:rsidRPr="00515BEF">
        <w:t xml:space="preserve">. </w:t>
      </w:r>
    </w:p>
    <w:p w14:paraId="1308B62F" w14:textId="2B3F9DBE" w:rsidR="00515BEF" w:rsidRPr="00515BEF" w:rsidRDefault="00515BEF" w:rsidP="00AB37DD">
      <w:pPr>
        <w:pStyle w:val="Corpotesto"/>
      </w:pPr>
      <w:r w:rsidRPr="00515BEF">
        <w:t xml:space="preserve">Governments should develop and deploy policies that allow national energy systems to quickly and smoothly transition towards carbon-free configurations, taking into account the specific technological characteristics of each technology involved, the specific resource availability of the territory, demographic characteristic of the country and the social acceptability of the solutions </w:t>
      </w:r>
      <w:r w:rsidR="009A00B3">
        <w:fldChar w:fldCharType="begin"/>
      </w:r>
      <w:r w:rsidR="009A00B3">
        <w:instrText xml:space="preserve"> ADDIN ZOTERO_ITEM CSL_CITATION {"citationID":"n4PqSM8H","properties":{"formattedCitation":"[3]","plainCitation":"[3]","noteIndex":0},"citationItems":[{"id":775,"uris":["http://zotero.org/users/9075346/items/G5EHN2U5"],"itemData":{"id":775,"type":"report","event-place":"Paris","license":"License: CC BY 4.0 (report); CC BY NC SA 4.0 (Annex A)","publisher":"IEA","publisher-place":"Paris","title":"World Energy Outlook 2023","title-short":"WEO2023","URL":"https://www.iea.org/reports/world-energy-outlook-2023","author":[{"family":"International Energy Agency","given":""}],"issued":{"date-parts":[["2023"]]}}}],"schema":"https://github.com/citation-style-language/schema/raw/master/csl-citation.json"} </w:instrText>
      </w:r>
      <w:r w:rsidR="009A00B3">
        <w:fldChar w:fldCharType="separate"/>
      </w:r>
      <w:r w:rsidR="009A00B3" w:rsidRPr="009A00B3">
        <w:t>[3]</w:t>
      </w:r>
      <w:r w:rsidR="009A00B3">
        <w:fldChar w:fldCharType="end"/>
      </w:r>
      <w:r w:rsidRPr="00515BEF">
        <w:t>.</w:t>
      </w:r>
    </w:p>
    <w:p w14:paraId="5041DBBA" w14:textId="77777777" w:rsidR="00515BEF" w:rsidRPr="00515BEF" w:rsidRDefault="00515BEF" w:rsidP="00AB37DD">
      <w:pPr>
        <w:pStyle w:val="Corpotesto"/>
      </w:pPr>
      <w:r w:rsidRPr="00515BEF">
        <w:t xml:space="preserve">In order to support governments in shaping energy policies based on scientific evidence, energy system optimization models (ESOM) proved over the years to be a valuable tool </w:t>
      </w:r>
      <w:r w:rsidRPr="00515BEF">
        <w:fldChar w:fldCharType="begin"/>
      </w:r>
      <w:r w:rsidRPr="00515BEF">
        <w:instrText xml:space="preserve"> ADDIN ZOTERO_ITEM CSL_CITATION {"citationID":"CkaRSe3C","properties":{"formattedCitation":"[4]","plainCitation":"[4]","noteIndex":0},"citationItems":[{"id":180,"uris":["http://zotero.org/users/9075346/items/SD9WC9E3"],"itemData":{"id":180,"type":"article-journal","abstract":"Energy system optimization models (ESOMs) are widely used to generate insight that informs energy and environmental policy. Using ESOMs to produce policy-relevant insight requires significant modeler judgement, yet little formal guidance exists on how to conduct analysis with ESOMs. To address this shortcoming, we draw on our collective modelling experience and conduct an extensive literature review to formalize best practice for energy system optimization modelling. We begin by articulating a set of overarching principles that can be used to guide ESOM-based analysis. To help operationalize the guiding principles, we outline and explain critical steps in the modelling process, including how to formulate research questions, set spatio-temporal boundaries, consider appropriate model features, conduct and refine the analysis, quantify uncertainty, and communicate insights. We highlight the need to develop and refine formal guidance on ESOM application, which comes at a critical time as ESOMs are being used to inform national climate targets.","container-title":"Applied Energy","DOI":"10.1016/j.apenergy.2017.03.001","ISSN":"03062619","note":"publisher: Elsevier Ltd","page":"184-198","title":"Formalizing best practice for energy system optimization modelling","volume":"194","author":[{"family":"DeCarolis","given":"Joseph"},{"family":"Daly","given":"Hannah"},{"family":"Dodds","given":"Paul"},{"family":"Keppo","given":"Ilkka"},{"family":"Li","given":"Francis"},{"family":"McDowall","given":"Will"},{"family":"Pye","given":"Steve"},{"family":"Strachan","given":"Neil"},{"family":"Trutnevyte","given":"Evelina"},{"family":"Usher","given":"Will"},{"family":"Winning","given":"Matthew"},{"family":"Yeh","given":"Sonia"},{"family":"Zeyringer","given":"Marianne"}],"issued":{"date-parts":[["2017"]]}}}],"schema":"https://github.com/citation-style-language/schema/raw/master/csl-citation.json"} </w:instrText>
      </w:r>
      <w:r w:rsidRPr="00515BEF">
        <w:fldChar w:fldCharType="separate"/>
      </w:r>
      <w:r w:rsidRPr="00515BEF">
        <w:t>[4]</w:t>
      </w:r>
      <w:r w:rsidRPr="00515BEF">
        <w:fldChar w:fldCharType="end"/>
      </w:r>
      <w:r w:rsidRPr="00515BEF">
        <w:t xml:space="preserve">. </w:t>
      </w:r>
    </w:p>
    <w:p w14:paraId="287AB16E" w14:textId="67E92506" w:rsidR="00F57790" w:rsidRDefault="00515BEF" w:rsidP="008B1E18">
      <w:pPr>
        <w:pStyle w:val="Corpotesto"/>
      </w:pPr>
      <w:r w:rsidRPr="00515BEF">
        <w:t>ESOMs have been used to support development of energy transition policies at different geographical scales and focusing on different aspects of the energy challenge</w:t>
      </w:r>
      <w:r w:rsidR="00E20E89">
        <w:t xml:space="preserve">, from </w:t>
      </w:r>
      <w:r w:rsidR="0007729B">
        <w:t xml:space="preserve">isolated energy systems </w:t>
      </w:r>
      <w:r w:rsidR="0007729B">
        <w:fldChar w:fldCharType="begin"/>
      </w:r>
      <w:r w:rsidR="00500CDE">
        <w:instrText xml:space="preserve"> ADDIN ZOTERO_ITEM CSL_CITATION {"citationID":"aKYhVP2k","properties":{"formattedCitation":"[5], [6]","plainCitation":"[5], [6]","noteIndex":0},"citationItems":[{"id":742,"uris":["http://zotero.org/users/9075346/items/STUNKI7X"],"itemData":{"id":742,"type":"article-journal","abstract":"Access to reliable and sustainable electricity is still precluded for a large share of global population living in rural areas of developing countries, especially in sub-Saharan Africa. Hybrid microgrids are considered a suitable solution for providing affordable and reliable access to electricity to isolated communities. Properly planning and sizing such systems is although an aspect that can greatly influence the sustainability of the intervention, and the arrival to the market of the third generation minigrids poses new challenges to the process. Three main chal­ lenges are identified as pivotal for the proper sizing of new generation microgrids: arrival of the main grid, inappropriateness of Net Present Cost as only objective function in the strategy selection process, and necessity to operate on already existing minigrids. Such aspects are addressed in this work by proposing a methodological advancement to an existing open-source microgrid sizing model: a grid outage model alongside the definition of new constraints and variables for the optimization problem with grid-connected microgrids, a multi-objective optimization option, and a brown-field optimization option. The new version of the model is tested on real life case studies in rural Rwanda (greenfield) and Mozambique (brownfield), proving the profitability of gridconnected and grid-extension solutions for sufficiently low connection distances. Sensitivity analyses are per­ formed to assess variations in system size, cost and CO2 emissions with respect to microgrid and grid connection parameters.","container-title":"Renewable and Sustainable Energy Transition","DOI":"10.1016/j.rset.2023.100053","ISSN":"2667095X","journalAbbreviation":"Renewable and Sustainable Energy Transition","language":"en","page":"100053","source":"DOI.org (Crossref)","title":"Planning third generation minigrids: Multi-objective optimization and brownfield investment approaches in modelling village-scale on-grid and off-grid energy systems","title-short":"Planning third generation minigrids","volume":"3","author":[{"family":"Stevanato","given":"Nicolò"},{"family":"Pellecchia","given":"Gianluca"},{"family":"Sangiorgio","given":"Ivan"},{"family":"Shendrikova","given":"Diana"},{"family":"Soares","given":"Castro Antonio"},{"family":"Mereu","given":"Riccardo"},{"family":"Colombo","given":"Emanuela"}],"issued":{"date-parts":[["2023",8]]}}},{"id":203,"uris":["http://zotero.org/users/9075346/items/NNIK8FSZ"],"itemData":{"id":203,"type":"paper-conference","container-title":"Proceedings of the 7th International Conference on Clean Electrical Power: Renewable Energy Resources Impact (ICCEP 2019)","DOI":"10.1109/ICCEP.2019.8890129","ISBN":"978-1-72811-356-2","page":"246-252","title":"Modelling of an Integrated multi-energy system for a nearly Zero Energy Smart District","volume":"0","author":[{"family":"Pero","given":"Claudio Del"},{"family":"Leonforte","given":"Fabrizio"},{"family":"Lombardi","given":"Francesco"},{"family":"Stevanato","given":"Nicolò"},{"family":"Barbieri","given":"Jacopo"},{"family":"Aste","given":"Niccolò"},{"family":"Huerto","given":"H."},{"family":"Colombo","given":"Emanuela"}],"issued":{"date-parts":[["2019"]]}}}],"schema":"https://github.com/citation-style-language/schema/raw/master/csl-citation.json"} </w:instrText>
      </w:r>
      <w:r w:rsidR="0007729B">
        <w:fldChar w:fldCharType="separate"/>
      </w:r>
      <w:r w:rsidR="00500CDE" w:rsidRPr="00500CDE">
        <w:t>[5], [6]</w:t>
      </w:r>
      <w:r w:rsidR="0007729B">
        <w:fldChar w:fldCharType="end"/>
      </w:r>
      <w:r w:rsidR="00500CDE">
        <w:t xml:space="preserve"> to</w:t>
      </w:r>
      <w:r w:rsidR="00E20E89">
        <w:t xml:space="preserve"> national level</w:t>
      </w:r>
      <w:r w:rsidR="00CF1B2A">
        <w:t xml:space="preserve"> </w:t>
      </w:r>
      <w:r w:rsidR="00CF1B2A">
        <w:fldChar w:fldCharType="begin"/>
      </w:r>
      <w:r w:rsidR="00CF1B2A">
        <w:instrText xml:space="preserve"> ADDIN ZOTERO_ITEM CSL_CITATION {"citationID":"lALenOqP","properties":{"formattedCitation":"[7], [8]","plainCitation":"[7], [8]","noteIndex":0},"citationItems":[{"id":242,"uris":["http://zotero.org/users/9075346/items/IJCMXA3V"],"itemData":{"id":242,"type":"article-journal","abstract":"To support the ongoing transition towards smart and decarbonised energy systems, energy models need to expand their scope and predictive capabilities. To this end, this study proposes a multi-layer modelling methodology that soft-links (i) a stochastic bottom-up load curves estimation model, (ii) a technology-rich energy system optimisation model (Calliope) and (iii) a Multi-Regional Input-Output model (Exiobase v.3), and applies it to investigate the economic and environmental consequences entailed by a massive replacement of traditional gas-fired kitchens with induction kitchens within the Italian residential sector. Two scenarios are considered for the analysis: (i) business as usual (BAU, 2015 energy system configuration), and (ii) national energy strategy (SEN, configuration prospected in 2030). The results show how the intervention produces positive net effects on the primary energy balance of the energy sector only when sustained by adequate shares of renewables, as in the SEN (−1.5 TWh∙y−1); otherwise, increased operation of fossil-fuel plants offsets gas savings (BAU, +2 TWh∙y−1). Nonetheless, feedbacks on other productive sectors entail additional energy consumption and emissions, thus counterpoising positive effects obtained within the energy sector even in the SEN scenario. Still, higher renewables penetration reduces overall additional emissions from 2.07 Mton∙y−1 for BAU to 0.88 Mton∙y−1 for the SEN.","container-title":"Energy","DOI":"10.1016/j.energy.2019.01.004","ISSN":"03605442","note":"publisher: Elsevier Ltd","page":"1249-1260","title":"A multi-layer energy modelling methodology to assess the impact of heat-electricity integration strategies: The case of the residential cooking sector in Italy","volume":"170","author":[{"family":"Lombardi","given":"Francesco"},{"family":"Rocco","given":"Matteo Vincenzo"},{"family":"Colombo","given":"Emanuela"}],"issued":{"date-parts":[["2019"]]}}},{"id":73,"uris":["http://zotero.org/users/9075346/items/HJI93JDI"],"itemData":{"id":73,"type":"article-journal","abstract":"Designing highly renewable power systems involves a number of contested decisions, such as where to locate generation and transmission capacity. Yet, it is common to use a single result from a cost-minimizing energy system model to inform planning. This neglects many more alternative results, which might, for example, avoid problematic concentrations of technology capacity in any one region. To explore such alternatives, we develop a method to generate spatially explicit, practically optimal results (SPORES). Applying SPORES to Italy, we find that only photovoltaic and storage technologies are vital components for decarbonizing the power system by 2050; other decisions, such as locating wind power, allow flexibility of choice. Most alternative configurations are insensitive to cost and demand uncertainty, while dealing with adverse weather requires excess renewable generation and storage capacities. For policymakers, the approach can provide spatially detailed power system transformation options that enable decisions that are socially and politically acceptable. The planning of highly renewable power systems at any scale involves compromise across diverse stakeholders. We develop a method that generates a variety of spatially explicit, alternative system configurations that can be used to balance techno-economic feasibility with social and political goals. The application of our method to Italy reveals flexibility of choice for decisions like where to locate wind power and whether to invest in particular technologies. Technology substitution and complementarity is evident: solar photovoltaic and battery capacities expand together, as do wind and synthetic gas turbine capacities, all of which must notably increase to replace bioenergy's firm capacity. We also see that highly renewable systems rely on regional interconnectivity but that gas infrastructure is only useful at a fraction of current capacity. Our approach can be similarly applied to examine trade-offs in other national systems, as well as those at district and continental scales. We develop a computational method, which shows that there is a flexibility of choice to manage contested decisions arising when planning highly renewable power systems, such as where to locate wind capacity. Within this decision space, problematic technologies, such as bioenergy, are difficult and costly to replace and are not absolute must-haves. Expansion of PV is a must-have, coupled with battery when designed to cope with low-wind conditions. Carbon-neutral gas turbines can contribute to balancing but with a minor role compared with today's use.","container-title":"Joule","DOI":"10.1016/j.joule.2020.08.002","ISSN":"25424351","issue":"10","note":"publisher: Elsevier Inc.","page":"2185-2207","title":"Policy Decision Support for Renewables Deployment through Spatially Explicit Practically Optimal Alternatives","volume":"4","author":[{"family":"Lombardi","given":"Francesco"},{"family":"Pickering","given":"Bryn"},{"family":"Colombo","given":"Emanuela"},{"family":"Pfenninger","given":"Stefan"}],"issued":{"date-parts":[["2020"]]}}}],"schema":"https://github.com/citation-style-language/schema/raw/master/csl-citation.json"} </w:instrText>
      </w:r>
      <w:r w:rsidR="00CF1B2A">
        <w:fldChar w:fldCharType="separate"/>
      </w:r>
      <w:r w:rsidR="00CF1B2A" w:rsidRPr="00CF1B2A">
        <w:t>[7], [8]</w:t>
      </w:r>
      <w:r w:rsidR="00CF1B2A">
        <w:fldChar w:fldCharType="end"/>
      </w:r>
      <w:r w:rsidR="00D063DD">
        <w:t xml:space="preserve"> </w:t>
      </w:r>
      <w:r w:rsidR="00500CDE">
        <w:t xml:space="preserve">and up to continental level </w:t>
      </w:r>
      <w:r w:rsidR="00500CDE">
        <w:fldChar w:fldCharType="begin"/>
      </w:r>
      <w:r w:rsidR="00CF1B2A">
        <w:instrText xml:space="preserve"> ADDIN ZOTERO_ITEM CSL_CITATION {"citationID":"q2xcfCog","properties":{"formattedCitation":"[9], [10]","plainCitation":"[9], [10]","noteIndex":0},"citationItems":[{"id":352,"uris":["http://zotero.org/users/9075346/items/WDPFSRDR"],"itemData":{"id":352,"type":"article-journal","abstract":"Renewable electricity can fully decarbonise the European electricity supply, but large land requirements may cause land-use conflicts. Using a dynamic model that captures renewable fluctuations, I explore the relationship between land requirements and total system cost of different supply-side options in the future. Cost-minimal fully renewable electricity requires some 97,000 km2 (2% of total) land for solar and wind power installations, roughly the size of Portugal, and includes large shares of onshore wind. Replacing onshore wind with offshore wind, utility-scale PV, or rooftop PV reduces land requirements drastically with only small cost penalties. Moving wind power offshore is most cost-effective and reduces land requirements by 50% for a cost penalty of only 5%. Wind power can alternatively be replaced by photovoltaics, leading to a cost penalty of 10% for the same effect. My research shows that fully renewable electricity supply can be designed with very different physical appearances and impacts on landscapes and the population, but at similar cost.","container-title":"PLoS ONE","DOI":"10.1371/journal.pone.0236958","ISSN":"19326203","issue":"8 August","note":"ISBN: 1111111111\nPMID: 32760117","page":"1-19","title":"Supply-side options to reduce land requirements of fully renewable electricity in Europe","volume":"15","author":[{"family":"Trondle","given":"Tim"}],"issued":{"date-parts":[["2020"]]}}},{"id":270,"uris":["http://zotero.org/users/9075346/items/GT88NK5R"],"itemData":{"id":270,"type":"article-journal","abstract":"The operation and economic profitability of modern energy systems is constrained by the availability of renewable energy and water resources. Lower water availability due to climate change, higher demand and increased water consumption for non-energy and energy needs may cause problems in Africa. In most African power systems, hydropower is a dominant renewable energy resource, and interconnection capacities are usually limited or unreliable. This paper describes a new modelling framework for analysing the water-energy nexus in the African Power Pools. This framework includes soft linking between two models: the LISFLOOD model is used to generate hydrological inputs and the Dispa-SET model is used for mid-term hydrothermal coordination and optimal unit commitment and power dispatch over the whole African continent. The results show a good agreement between the model outputs and the historical values, despite data-related limitations. Furthermore, the simulations provide hourly time series of electricity generation at the plant level in a robust way. It appears that some African power pools heavily rely on the availability of freshwater resources, while others are less dependent. In the long term, the dependence of the power system on water resources is likely to increase to meet the increasing electricity demand in Africa.","container-title":"Energy","DOI":"10.1016/j.energy.2021.120623","ISSN":"03605442","page":"120623","title":"Water-energy nexus in African power pools – The Dispa-SET Africa model","volume":"228","author":[{"family":"Pavičević","given":"Matija"},{"family":"Felice","given":"Matteo De"},{"family":"Busch","given":"Sebastian"},{"family":"González","given":"Ignacio Hidalgo"},{"family":"Quoilin","given":"Sylvain"}],"issued":{"date-parts":[["2021"]]}}}],"schema":"https://github.com/citation-style-language/schema/raw/master/csl-citation.json"} </w:instrText>
      </w:r>
      <w:r w:rsidR="00500CDE">
        <w:fldChar w:fldCharType="separate"/>
      </w:r>
      <w:r w:rsidR="00CF1B2A" w:rsidRPr="00CF1B2A">
        <w:t>[9], [10]</w:t>
      </w:r>
      <w:r w:rsidR="00500CDE">
        <w:fldChar w:fldCharType="end"/>
      </w:r>
      <w:r w:rsidRPr="00515BEF">
        <w:t>.</w:t>
      </w:r>
    </w:p>
    <w:p w14:paraId="2F5A41AF" w14:textId="47E10B45" w:rsidR="00B06A20" w:rsidRPr="00B06A20" w:rsidRDefault="008B1E18" w:rsidP="002A2839">
      <w:pPr>
        <w:pStyle w:val="Corpotesto"/>
      </w:pPr>
      <w:r>
        <w:t>But is worth to be noted that, i</w:t>
      </w:r>
      <w:r w:rsidR="00F57790" w:rsidRPr="00B06A20">
        <w:t>n literature, energy scenarios modelled through ESOMs that specifically investigate nuclear energy technologies are limited</w:t>
      </w:r>
      <w:r>
        <w:t xml:space="preserve">, and most of the times, </w:t>
      </w:r>
      <w:r w:rsidR="008F7A50">
        <w:t xml:space="preserve">when nuclear technology is explicitly mentioned, it is for </w:t>
      </w:r>
      <w:r w:rsidR="002A2839">
        <w:t>phase-out of old generators</w:t>
      </w:r>
      <w:r w:rsidR="00F57790" w:rsidRPr="00B06A20">
        <w:t>.</w:t>
      </w:r>
    </w:p>
    <w:p w14:paraId="58A9162C" w14:textId="77777777" w:rsidR="00244475" w:rsidRDefault="00B06A20" w:rsidP="003F043D">
      <w:pPr>
        <w:pStyle w:val="Corpotesto"/>
      </w:pPr>
      <w:r w:rsidRPr="00B06A20">
        <w:t>In recent periods, the global discourse around nuclear power has changed and the possibility to include this energy source in national mixes is becoming more popular</w:t>
      </w:r>
      <w:r w:rsidR="001D40E0">
        <w:t xml:space="preserve"> </w:t>
      </w:r>
      <w:r w:rsidR="001D40E0">
        <w:fldChar w:fldCharType="begin"/>
      </w:r>
      <w:r w:rsidR="001D40E0">
        <w:instrText xml:space="preserve"> ADDIN ZOTERO_ITEM CSL_CITATION {"citationID":"VOLiUQjN","properties":{"formattedCitation":"[11]","plainCitation":"[11]","noteIndex":0},"citationItems":[{"id":926,"uris":["http://zotero.org/users/9075346/items/2V4NYBVH"],"itemData":{"id":926,"type":"book","ISBN":"978-92-64-55926-4","language":"en","note":"DOI: 10.1787/aca1d7ee-en","publisher":"OECD","source":"DOI.org (Crossref)","title":"Nuclear Power and Secure Energy Transitions: From today’s challenges to tomorrow’s clean energy systems","title-short":"Nuclear Power and Secure Energy Transitions","URL":"https://www.oecd-ilibrary.org/energy/nuclear-power-and-secure-energy-transitions_aca1d7ee-en","author":[{"literal":"International Energy Agency"}],"accessed":{"date-parts":[["2024",6,3]]},"issued":{"date-parts":[["2022",8,29]]}}}],"schema":"https://github.com/citation-style-language/schema/raw/master/csl-citation.json"} </w:instrText>
      </w:r>
      <w:r w:rsidR="001D40E0">
        <w:fldChar w:fldCharType="separate"/>
      </w:r>
      <w:r w:rsidR="001D40E0" w:rsidRPr="001D40E0">
        <w:t>[11]</w:t>
      </w:r>
      <w:r w:rsidR="001D40E0">
        <w:fldChar w:fldCharType="end"/>
      </w:r>
      <w:r w:rsidRPr="00B06A20">
        <w:t xml:space="preserve">. This is due to a series of factors. The issues to which nuclear could provide a valid contribution to solve are not </w:t>
      </w:r>
      <w:r w:rsidR="0080518B">
        <w:t>only</w:t>
      </w:r>
      <w:r w:rsidRPr="00B06A20">
        <w:t xml:space="preserve"> of energy security, but rather of carbon neutrality, of energy systems, and nuclear power is being considered as a </w:t>
      </w:r>
      <w:r w:rsidR="0080518B">
        <w:t>low-</w:t>
      </w:r>
      <w:r w:rsidRPr="00B06A20">
        <w:t xml:space="preserve">carbon power production technology to be operated in synergy with VRES. In addition to this, emerging economies, in the past left out of the conversation, are now becoming potential adopters of the technology, the so-called “newcomers”. Finally, also </w:t>
      </w:r>
      <w:r w:rsidRPr="00B06A20">
        <w:lastRenderedPageBreak/>
        <w:t>new technologies are emerging, moving away from the traditional nuclear powerplants, typically with sizes of the order of the GW, making them less attractive due to high capital investment and unsuitable for developing countries, characterized by lower load demands.</w:t>
      </w:r>
      <w:r w:rsidR="00BA4155">
        <w:t xml:space="preserve"> </w:t>
      </w:r>
      <w:r w:rsidR="00BA4155">
        <w:fldChar w:fldCharType="begin"/>
      </w:r>
      <w:r w:rsidR="00244475">
        <w:instrText xml:space="preserve"> ADDIN ZOTERO_ITEM CSL_CITATION {"citationID":"3NKNi32x","properties":{"formattedCitation":"[3], [12], [13]","plainCitation":"[3], [12], [13]","noteIndex":0},"citationItems":[{"id":775,"uris":["http://zotero.org/users/9075346/items/G5EHN2U5"],"itemData":{"id":775,"type":"report","event-place":"Paris","license":"License: CC BY 4.0 (report); CC BY NC SA 4.0 (Annex A)","publisher":"IEA","publisher-place":"Paris","title":"World Energy Outlook 2023","title-short":"WEO2023","URL":"https://www.iea.org/reports/world-energy-outlook-2023","author":[{"family":"International Energy Agency","given":""}],"issued":{"date-parts":[["2023"]]}}},{"id":928,"uris":["http://zotero.org/users/9075346/items/LA2B6JHL"],"itemData":{"id":928,"type":"report","language":"en","source":"Zotero","title":"Small Modular Reactors: Challenges and Opportunities","URL":"https://www.oecd-nea.org/upload/docs/application/pdf/2021-03/7560_smr_report.pdf","author":[{"family":"Nuclear Energy Agency","given":""}],"issued":{"date-parts":[["2021"]]}}},{"id":931,"uris":["http://zotero.org/users/9075346/items/X2F8CUGZ"],"itemData":{"id":931,"type":"report","title":"IAEA Annual Report 2022","URL":"https://www.iaea.org/sites/default/files/gc/gc67-2.pdf","author":[{"family":"IAEA","given":""}],"issued":{"date-parts":[["2022"]]}}}],"schema":"https://github.com/citation-style-language/schema/raw/master/csl-citation.json"} </w:instrText>
      </w:r>
      <w:r w:rsidR="00BA4155">
        <w:fldChar w:fldCharType="separate"/>
      </w:r>
      <w:r w:rsidR="00244475" w:rsidRPr="00244475">
        <w:t>[3], [12], [13]</w:t>
      </w:r>
      <w:r w:rsidR="00BA4155">
        <w:fldChar w:fldCharType="end"/>
      </w:r>
      <w:r w:rsidR="00244475">
        <w:t>.</w:t>
      </w:r>
    </w:p>
    <w:p w14:paraId="00CFAD71" w14:textId="476DC19A" w:rsidR="003F043D" w:rsidRPr="003F043D" w:rsidRDefault="00B06A20" w:rsidP="003F043D">
      <w:pPr>
        <w:pStyle w:val="Corpotesto"/>
        <w:rPr>
          <w:lang w:val="en-US"/>
        </w:rPr>
      </w:pPr>
      <w:r w:rsidRPr="00B06A20">
        <w:t xml:space="preserve">New technologies such Small Modular Reactors (SMRs) are entering the </w:t>
      </w:r>
      <w:proofErr w:type="gramStart"/>
      <w:r w:rsidRPr="00B06A20">
        <w:t>market</w:t>
      </w:r>
      <w:proofErr w:type="gramEnd"/>
      <w:r w:rsidRPr="00B06A20">
        <w:t xml:space="preserve"> and</w:t>
      </w:r>
      <w:r w:rsidR="003F043D">
        <w:t xml:space="preserve"> they can play a key role for a clean energy transition. </w:t>
      </w:r>
      <w:r w:rsidR="003F043D" w:rsidRPr="003F043D">
        <w:rPr>
          <w:lang w:val="en-US"/>
        </w:rPr>
        <w:t>SMRs are nuclear fission reactors with reduce</w:t>
      </w:r>
      <w:r w:rsidR="003F043D">
        <w:rPr>
          <w:lang w:val="en-US"/>
        </w:rPr>
        <w:t>d</w:t>
      </w:r>
      <w:r w:rsidR="003F043D" w:rsidRPr="003F043D">
        <w:rPr>
          <w:lang w:val="en-US"/>
        </w:rPr>
        <w:t xml:space="preserve"> dimensions that can generate </w:t>
      </w:r>
      <w:r w:rsidR="003F043D">
        <w:rPr>
          <w:lang w:val="en-US"/>
        </w:rPr>
        <w:t xml:space="preserve">up to </w:t>
      </w:r>
      <w:r w:rsidR="003F043D" w:rsidRPr="003F043D">
        <w:rPr>
          <w:lang w:val="en-US"/>
        </w:rPr>
        <w:t>300 MWe per unit, becoming attractive even to those countries that lack the grid capacity to allocate large-scale plants.</w:t>
      </w:r>
    </w:p>
    <w:p w14:paraId="211D88CD" w14:textId="77777777" w:rsidR="00045B22" w:rsidRDefault="003F043D" w:rsidP="00045B22">
      <w:pPr>
        <w:pStyle w:val="Corpotesto"/>
        <w:ind w:firstLine="0"/>
        <w:rPr>
          <w:rStyle w:val="Rimandocommento"/>
          <w:lang w:val="en-US"/>
        </w:rPr>
      </w:pPr>
      <w:r w:rsidRPr="003F043D">
        <w:rPr>
          <w:lang w:val="en-US"/>
        </w:rPr>
        <w:t xml:space="preserve">Advantages of reduced dimensions are also </w:t>
      </w:r>
      <w:r>
        <w:rPr>
          <w:lang w:val="en-US"/>
        </w:rPr>
        <w:t>that these reactors can be</w:t>
      </w:r>
      <w:r w:rsidRPr="003F043D">
        <w:rPr>
          <w:lang w:val="en-US"/>
        </w:rPr>
        <w:t xml:space="preserve"> built in factories and the</w:t>
      </w:r>
      <w:r>
        <w:rPr>
          <w:lang w:val="en-US"/>
        </w:rPr>
        <w:t>n shipped and</w:t>
      </w:r>
      <w:r w:rsidRPr="003F043D">
        <w:rPr>
          <w:lang w:val="en-US"/>
        </w:rPr>
        <w:t xml:space="preserve"> assembly on-site which allows to have reduced construction time and consequently reduced costs if compared to conventional nuclear reactors</w:t>
      </w:r>
      <w:r w:rsidR="00915297">
        <w:rPr>
          <w:lang w:val="en-US"/>
        </w:rPr>
        <w:t xml:space="preserve"> </w:t>
      </w:r>
      <w:r w:rsidR="00915297">
        <w:rPr>
          <w:lang w:val="en-US"/>
        </w:rPr>
        <w:fldChar w:fldCharType="begin"/>
      </w:r>
      <w:r w:rsidR="00915297">
        <w:rPr>
          <w:lang w:val="en-US"/>
        </w:rPr>
        <w:instrText xml:space="preserve"> ADDIN ZOTERO_ITEM CSL_CITATION {"citationID":"sMNvHGPN","properties":{"formattedCitation":"[14]","plainCitation":"[14]","noteIndex":0},"citationItems":[{"id":932,"uris":["http://zotero.org/users/9075346/items/W9YD4VBF"],"itemData":{"id":932,"type":"webpage","title":"Small modular reactors (SMR) | IAEA","URL":"https://www.iaea.org/topics/small-modular-reactors","accessed":{"date-parts":[["2024",6,3]]}}}],"schema":"https://github.com/citation-style-language/schema/raw/master/csl-citation.json"} </w:instrText>
      </w:r>
      <w:r w:rsidR="00915297">
        <w:rPr>
          <w:lang w:val="en-US"/>
        </w:rPr>
        <w:fldChar w:fldCharType="separate"/>
      </w:r>
      <w:r w:rsidR="00915297" w:rsidRPr="00915297">
        <w:t>[14]</w:t>
      </w:r>
      <w:r w:rsidR="00915297">
        <w:rPr>
          <w:lang w:val="en-US"/>
        </w:rPr>
        <w:fldChar w:fldCharType="end"/>
      </w:r>
      <w:r w:rsidRPr="003F043D">
        <w:rPr>
          <w:lang w:val="en-US"/>
        </w:rPr>
        <w:t>.</w:t>
      </w:r>
    </w:p>
    <w:p w14:paraId="527C35AE" w14:textId="162B95C6" w:rsidR="008A5A32" w:rsidRPr="00045B22" w:rsidRDefault="00045B22" w:rsidP="00045B22">
      <w:pPr>
        <w:pStyle w:val="Corpotesto"/>
      </w:pPr>
      <w:r>
        <w:t>I</w:t>
      </w:r>
      <w:r w:rsidR="008A5A32" w:rsidRPr="008A5A32">
        <w:t>n this work, we make use of a commonly adopted ESOM to investigate energy transition scenarios for the Bolivian energy landscape, with a time horizon to 2035. The feasibility and economic favourability of introducing</w:t>
      </w:r>
      <w:r w:rsidR="003F043D">
        <w:t xml:space="preserve"> </w:t>
      </w:r>
      <w:r w:rsidR="008A5A32" w:rsidRPr="008A5A32">
        <w:t xml:space="preserve">SMR in synergy with VRES to phase away from </w:t>
      </w:r>
      <w:r w:rsidR="003F043D" w:rsidRPr="008A5A32">
        <w:t>fossil-based</w:t>
      </w:r>
      <w:r w:rsidR="008A5A32" w:rsidRPr="008A5A32">
        <w:t xml:space="preserve"> technologies.</w:t>
      </w:r>
    </w:p>
    <w:p w14:paraId="0F9C767E" w14:textId="751096E4" w:rsidR="00B06A20" w:rsidRPr="00515BEF" w:rsidRDefault="008A5A32" w:rsidP="005B474E">
      <w:pPr>
        <w:pStyle w:val="Corpotesto"/>
      </w:pPr>
      <w:r w:rsidRPr="005B474E">
        <w:t>The rest of this paper is structured as follows:</w:t>
      </w:r>
      <w:r w:rsidR="00AB3719">
        <w:t xml:space="preserve"> Section 2 introduces the </w:t>
      </w:r>
      <w:r w:rsidR="004F6913">
        <w:t xml:space="preserve">methodology and the scenarios used to produce our findings, </w:t>
      </w:r>
      <w:r w:rsidR="005B474E">
        <w:t xml:space="preserve">results are then presented and discussed in Section 3 and </w:t>
      </w:r>
      <w:r w:rsidR="00F502E9">
        <w:t>conclusions are finally drawn in Section 4.</w:t>
      </w:r>
    </w:p>
    <w:p w14:paraId="74CD1556" w14:textId="783FE273" w:rsidR="00E25B68" w:rsidRPr="00516117" w:rsidRDefault="006369F7" w:rsidP="0026525A">
      <w:pPr>
        <w:pStyle w:val="Titolo2"/>
        <w:numPr>
          <w:ilvl w:val="1"/>
          <w:numId w:val="10"/>
        </w:numPr>
      </w:pPr>
      <w:r w:rsidRPr="00516117">
        <w:t>Materials and methods</w:t>
      </w:r>
    </w:p>
    <w:p w14:paraId="55E77120" w14:textId="65B66434" w:rsidR="00AB37DD" w:rsidRDefault="00AB37DD" w:rsidP="00AB37DD">
      <w:pPr>
        <w:pStyle w:val="Corpotesto"/>
      </w:pPr>
      <w:r>
        <w:t xml:space="preserve">In order to explore the role of SMR in Bolivian energy transition strategies, the open-source modelling framework Calliope </w:t>
      </w:r>
      <w:r>
        <w:fldChar w:fldCharType="begin"/>
      </w:r>
      <w:r w:rsidR="00915297">
        <w:instrText xml:space="preserve"> ADDIN ZOTERO_ITEM CSL_CITATION {"citationID":"PmptZhDH","properties":{"formattedCitation":"[15]","plainCitation":"[15]","noteIndex":0},"citationItems":[{"id":182,"uris":["http://zotero.org/users/9075346/items/YVH73THJ"],"itemData":{"id":182,"type":"article-journal","abstract":"Energy system models create coherent quantitative descriptions of how energy is con- verted, transported, and consumed, at scales ranging from urban districts to entire conti- nents. Formulating such models as optimisation problems allows a modeller to asses the effect of constraints, such as limited land availability for wind power deployment, the cost of battery electricity storage, or the elimination of fossil fuels from a country or a city, on the feasibility or cost of the modelled system. These models are particularly important in planning and policy-making for the transformation of the global energy system to address climate change. Calliope is a framework to build energy system models, designed to analyse systems with arbitrarily high spatial and temporal resolution, with a scale-agnostic mathematical formulation permitting analyses ranging from single urban districts to countries and con- tinents. Its formulation of energy system components was influenced by the power nodes modelling framework by Heussen et al. (Heussen, Koch, Ulbig, &amp; Andersson, 2010), but generalised to consider energy carriers other than electricity. Calliope’s key features in- clude the ability to handle high spatial and temporal resolution and to easily run on high-performance computing systems. Its design cleanly separates the general framework (code) from the problem-specific model (data). It provides both a command-line interface and an API for programmatic use, to be useful both for users experienced with Python and those with no Python knowledge. A Calliope model consists of a collection of YAML and CSV files that define technologies, locations, links between locations, resource potentials, and other constraints. Calliope takes these files, constructs an optimisation problem, solves it, and reports results in the form of xarray (xarray, 2018) Datasets, which can easily be saved to NetCDF files for further processing. It uses Pyomo (Pyomo, 2018) as a backend to interface with both open and commercial solvers, currently handling linear and mixed-integer problems, although nonlinear components could be implemented if necessary for new kinds of problems. Cal- liope’s built-in tools allow interactive exploration of results using Plotly (Plotly, 2018), as shown in Figure 1. Calliope has been used in various studies, for example, analyses of the national-scale power systems in Britain (Pfenninger &amp; Keirstead, 2015a) and South Africa (Pfenninger &amp; Keirstead, 2015b), and in methodological development for piecewise linearisation of characteristic technology performance curves for district-scale energy system analysis (Pickering &amp; Choudhary, 2017). Ongoing research projects using Calliope include the effect of increased resilience to uncertain future demand and the interaction between local and national actors in the clean energy transition. Calliope is developed in the open on GitHub (Pfenninger &amp; Pickering, 2018) and each release is archived on Zenodo (Pfenninger &amp; Pickering, n.d.).","container-title":"Journal of Open Source Software","DOI":"10.21105/joss.00825","ISSN":"2475-9066","issue":"29","page":"825","title":"Calliope: a multi-scale energy systems modelling framework","volume":"3","author":[{"family":"Pfenninger","given":"Stefan"},{"family":"Pickering","given":"Bryn"}],"issued":{"date-parts":[["2018"]]}}}],"schema":"https://github.com/citation-style-language/schema/raw/master/csl-citation.json"} </w:instrText>
      </w:r>
      <w:r>
        <w:fldChar w:fldCharType="separate"/>
      </w:r>
      <w:r w:rsidR="00915297" w:rsidRPr="00915297">
        <w:t>[15]</w:t>
      </w:r>
      <w:r>
        <w:fldChar w:fldCharType="end"/>
      </w:r>
      <w:r>
        <w:t xml:space="preserve"> is adopted. Calliope is a bottom-up ESOM with custom geographical resolution, one hour time resolution and one year time horizon. The model minimizes the net present cost (NPC) of the system by acting on two categories of decision variables: the new installed capacity of technology, and the hourly energy dispatch of each technology, meeting an exogenous energy load demand. The framework is used to build </w:t>
      </w:r>
      <w:proofErr w:type="gramStart"/>
      <w:r>
        <w:t>a</w:t>
      </w:r>
      <w:proofErr w:type="gramEnd"/>
      <w:r>
        <w:t xml:space="preserve"> </w:t>
      </w:r>
      <w:r w:rsidRPr="0030297E">
        <w:t>8 nodes</w:t>
      </w:r>
      <w:r>
        <w:t xml:space="preserve"> model of the Bolivian power system, based on the 8 administrative departments (Pando is not considered as not connected to the central system), including existing power plants, transmission lines, and the electric demand of year </w:t>
      </w:r>
      <w:r w:rsidRPr="003866B8">
        <w:t>2022</w:t>
      </w:r>
      <w:r>
        <w:t xml:space="preserve">. The model is then validated in operation mode (only decision variables are hourly energy dispatch values of technologies) against national energy statistics </w:t>
      </w:r>
      <w:r>
        <w:fldChar w:fldCharType="begin"/>
      </w:r>
      <w:r w:rsidR="00915297">
        <w:instrText xml:space="preserve"> ADDIN ZOTERO_ITEM CSL_CITATION {"citationID":"ni6nqynt","properties":{"formattedCitation":"[16]","plainCitation":"[16]","noteIndex":0},"citationItems":[{"id":919,"uris":["http://zotero.org/users/9075346/items/TRK79JYW"],"itemData":{"id":919,"type":"webpage","title":"COMITE NACIONAL DE DESPACHO DE CARGA - CNDC","URL":"https://www.cndc.bo/home/","accessed":{"date-parts":[["2024",4,11]]}}}],"schema":"https://github.com/citation-style-language/schema/raw/master/csl-citation.json"} </w:instrText>
      </w:r>
      <w:r>
        <w:fldChar w:fldCharType="separate"/>
      </w:r>
      <w:r w:rsidR="00915297" w:rsidRPr="00915297">
        <w:t>[16]</w:t>
      </w:r>
      <w:r>
        <w:fldChar w:fldCharType="end"/>
      </w:r>
      <w:r>
        <w:t xml:space="preserve"> to confirm the goodness of the built model, that is then used in planning mode (decision variables are both new unit commitment and hourly dispatch) to investigate energy transition plans to 2035, with a particular focus on the role of SMRs.</w:t>
      </w:r>
    </w:p>
    <w:p w14:paraId="2E878280" w14:textId="77777777" w:rsidR="00202700" w:rsidRDefault="00202700" w:rsidP="00240629">
      <w:pPr>
        <w:pStyle w:val="Titolo3"/>
      </w:pPr>
      <w:r w:rsidRPr="00202700">
        <w:t>Existing Power System (2022)</w:t>
      </w:r>
    </w:p>
    <w:p w14:paraId="36477E9F" w14:textId="4E908882" w:rsidR="00617F24" w:rsidRDefault="00617F24" w:rsidP="00617F24">
      <w:pPr>
        <w:pStyle w:val="Corpotesto"/>
      </w:pPr>
      <w:r w:rsidRPr="00680332">
        <w:t xml:space="preserve">The </w:t>
      </w:r>
      <w:r>
        <w:t xml:space="preserve">Bolivian power system has been modelled in </w:t>
      </w:r>
      <w:r w:rsidR="00AD35B0">
        <w:t>C</w:t>
      </w:r>
      <w:r>
        <w:t>alliope by characterizing supply technologies, transmission lines and the load demand of the year 2022.</w:t>
      </w:r>
    </w:p>
    <w:p w14:paraId="1792C3F2" w14:textId="77777777" w:rsidR="000D7F8E" w:rsidRDefault="000D7F8E" w:rsidP="00617F24">
      <w:pPr>
        <w:pStyle w:val="Titolo4"/>
        <w:ind w:left="0"/>
      </w:pPr>
      <w:r w:rsidRPr="000D7F8E">
        <w:t>Supply Technologies</w:t>
      </w:r>
    </w:p>
    <w:p w14:paraId="5B39C9AF" w14:textId="38B70B67" w:rsidR="00115F34" w:rsidRDefault="004A237A" w:rsidP="00115F34">
      <w:pPr>
        <w:pStyle w:val="Corpotesto"/>
      </w:pPr>
      <w:r w:rsidRPr="008D606A">
        <w:t>As of 2022, the Bolivian power system is composed of</w:t>
      </w:r>
      <w:r w:rsidR="000D3006">
        <w:t xml:space="preserve"> hydroelectric, thermoelectric, Wind and Solar power plants.</w:t>
      </w:r>
      <w:r w:rsidRPr="008D606A">
        <w:t xml:space="preserve"> </w:t>
      </w:r>
      <w:r w:rsidR="008D606A" w:rsidRPr="008D606A">
        <w:t>The hydroelectric park comprises water systems with run-of-the-river power plants</w:t>
      </w:r>
      <w:r w:rsidR="008D606A">
        <w:t xml:space="preserve"> </w:t>
      </w:r>
      <w:r w:rsidR="008D606A" w:rsidRPr="008D606A">
        <w:t xml:space="preserve">(Zongo, </w:t>
      </w:r>
      <w:proofErr w:type="spellStart"/>
      <w:r w:rsidR="008D606A" w:rsidRPr="008D606A">
        <w:t>Taquesi</w:t>
      </w:r>
      <w:proofErr w:type="spellEnd"/>
      <w:r w:rsidR="008D606A" w:rsidRPr="008D606A">
        <w:t xml:space="preserve">, Yura, and </w:t>
      </w:r>
      <w:proofErr w:type="spellStart"/>
      <w:r w:rsidR="008D606A" w:rsidRPr="008D606A">
        <w:t>Quehata</w:t>
      </w:r>
      <w:proofErr w:type="spellEnd"/>
      <w:r w:rsidR="008D606A" w:rsidRPr="008D606A">
        <w:t>) and water systems with reservoir-based power plants</w:t>
      </w:r>
      <w:r w:rsidR="008D606A">
        <w:t xml:space="preserve"> </w:t>
      </w:r>
      <w:r w:rsidR="008D606A" w:rsidRPr="008D606A">
        <w:t>(</w:t>
      </w:r>
      <w:proofErr w:type="spellStart"/>
      <w:r w:rsidR="008D606A" w:rsidRPr="008D606A">
        <w:t>Corani</w:t>
      </w:r>
      <w:proofErr w:type="spellEnd"/>
      <w:r w:rsidR="008D606A" w:rsidRPr="008D606A">
        <w:t xml:space="preserve">, </w:t>
      </w:r>
      <w:proofErr w:type="spellStart"/>
      <w:r w:rsidR="008D606A" w:rsidRPr="008D606A">
        <w:t>Miguillas</w:t>
      </w:r>
      <w:proofErr w:type="spellEnd"/>
      <w:r w:rsidR="008D606A" w:rsidRPr="008D606A">
        <w:t xml:space="preserve">, San Jacinto, and </w:t>
      </w:r>
      <w:proofErr w:type="spellStart"/>
      <w:r w:rsidR="008D606A" w:rsidRPr="008D606A">
        <w:t>Misicuni</w:t>
      </w:r>
      <w:proofErr w:type="spellEnd"/>
      <w:r w:rsidR="008D606A" w:rsidRPr="008D606A">
        <w:t>).</w:t>
      </w:r>
      <w:r w:rsidR="00526CF4">
        <w:t xml:space="preserve"> </w:t>
      </w:r>
      <w:r w:rsidR="008D606A" w:rsidRPr="008D606A">
        <w:t>The thermoelectric park is composed of natural gas open-cycle gas turbines, steam</w:t>
      </w:r>
      <w:r w:rsidR="008D606A">
        <w:t xml:space="preserve"> </w:t>
      </w:r>
      <w:r w:rsidR="008D606A" w:rsidRPr="008D606A">
        <w:t>turbine, natural gas engines, and dual fuel units that use both natural gas and diesel oil.</w:t>
      </w:r>
      <w:r w:rsidR="008D606A">
        <w:t xml:space="preserve"> </w:t>
      </w:r>
      <w:r w:rsidR="008D606A" w:rsidRPr="008D606A">
        <w:t>It includes a combined-cycle steam turbine that harnesses the exhaust gases from two</w:t>
      </w:r>
      <w:r w:rsidR="008D606A">
        <w:t xml:space="preserve"> </w:t>
      </w:r>
      <w:r w:rsidR="008D606A" w:rsidRPr="008D606A">
        <w:t xml:space="preserve">natural gas turbines at the </w:t>
      </w:r>
      <w:proofErr w:type="spellStart"/>
      <w:r w:rsidR="008D606A" w:rsidRPr="008D606A">
        <w:t>Guaracachi</w:t>
      </w:r>
      <w:proofErr w:type="spellEnd"/>
      <w:r w:rsidR="008D606A" w:rsidRPr="008D606A">
        <w:t xml:space="preserve"> Power Plant, combined-cycle units, diesel engines</w:t>
      </w:r>
      <w:r w:rsidR="00526CF4">
        <w:t>. Wind Farms are located in</w:t>
      </w:r>
      <w:r w:rsidR="008D606A">
        <w:t xml:space="preserve"> </w:t>
      </w:r>
      <w:proofErr w:type="spellStart"/>
      <w:r w:rsidR="008D606A" w:rsidRPr="008D606A">
        <w:t>Qollpana</w:t>
      </w:r>
      <w:proofErr w:type="spellEnd"/>
      <w:r w:rsidR="008D606A" w:rsidRPr="008D606A">
        <w:t>, Warnes, San Julián, and El Dorado, and</w:t>
      </w:r>
      <w:r w:rsidR="008D606A">
        <w:t xml:space="preserve"> </w:t>
      </w:r>
      <w:r w:rsidR="008D606A" w:rsidRPr="008D606A">
        <w:t xml:space="preserve">photovoltaic </w:t>
      </w:r>
      <w:r w:rsidR="00526CF4">
        <w:t>farms</w:t>
      </w:r>
      <w:r w:rsidR="008D606A" w:rsidRPr="008D606A">
        <w:t xml:space="preserve"> at the </w:t>
      </w:r>
      <w:proofErr w:type="spellStart"/>
      <w:r w:rsidR="008D606A" w:rsidRPr="008D606A">
        <w:t>Yunchará</w:t>
      </w:r>
      <w:proofErr w:type="spellEnd"/>
      <w:r w:rsidR="008D606A" w:rsidRPr="008D606A">
        <w:t xml:space="preserve">, Uyuni, and Oruro Power Plants </w:t>
      </w:r>
      <w:r w:rsidR="00E21093">
        <w:fldChar w:fldCharType="begin"/>
      </w:r>
      <w:r w:rsidR="00915297">
        <w:instrText xml:space="preserve"> ADDIN ZOTERO_ITEM CSL_CITATION {"citationID":"Cw7HQVmq","properties":{"formattedCitation":"[17]","plainCitation":"[17]","noteIndex":0},"citationItems":[{"id":922,"uris":["http://zotero.org/users/9075346/items/65EJAPAV"],"itemData":{"id":922,"type":"report","publisher":"Comité Nacional de Despacho y Carga","title":"Memoria Anual 2022 - Resultados de la Operacion","URL":"https://www.cndc.bo/home/media/memyres_2022.pdf","author":[{"family":"CNDC","given":""}],"accessed":{"date-parts":[["2024",5,22]]},"issued":{"date-parts":[["2023"]]}}}],"schema":"https://github.com/citation-style-language/schema/raw/master/csl-citation.json"} </w:instrText>
      </w:r>
      <w:r w:rsidR="00E21093">
        <w:fldChar w:fldCharType="separate"/>
      </w:r>
      <w:r w:rsidR="00915297" w:rsidRPr="00915297">
        <w:t>[17]</w:t>
      </w:r>
      <w:r w:rsidR="00E21093">
        <w:fldChar w:fldCharType="end"/>
      </w:r>
      <w:r w:rsidR="008D606A" w:rsidRPr="008D606A">
        <w:t>.</w:t>
      </w:r>
      <w:r w:rsidR="008D606A">
        <w:t xml:space="preserve"> </w:t>
      </w:r>
      <w:r w:rsidR="008D606A" w:rsidRPr="008D606A">
        <w:t>In</w:t>
      </w:r>
      <w:r w:rsidR="00E21093">
        <w:t xml:space="preserve"> </w:t>
      </w:r>
      <w:r w:rsidR="00E21093">
        <w:fldChar w:fldCharType="begin"/>
      </w:r>
      <w:r w:rsidR="00E21093">
        <w:instrText xml:space="preserve"> REF _Ref167715197 \h </w:instrText>
      </w:r>
      <w:r w:rsidR="00E21093">
        <w:fldChar w:fldCharType="separate"/>
      </w:r>
      <w:r w:rsidR="00E21093" w:rsidRPr="003E4F14">
        <w:rPr>
          <w:i/>
          <w:iCs/>
        </w:rPr>
        <w:t xml:space="preserve">FIG. </w:t>
      </w:r>
      <w:r w:rsidR="00E21093">
        <w:rPr>
          <w:i/>
          <w:iCs/>
          <w:noProof/>
        </w:rPr>
        <w:t>1</w:t>
      </w:r>
      <w:r w:rsidR="00E21093">
        <w:fldChar w:fldCharType="end"/>
      </w:r>
      <w:r w:rsidR="008D606A" w:rsidRPr="008D606A">
        <w:t xml:space="preserve"> the capacity installed (referred to the year 2022) is shown, </w:t>
      </w:r>
      <w:proofErr w:type="gramStart"/>
      <w:r w:rsidR="008D606A" w:rsidRPr="008D606A">
        <w:t>taking into</w:t>
      </w:r>
      <w:r w:rsidR="008D606A">
        <w:t xml:space="preserve"> </w:t>
      </w:r>
      <w:r w:rsidR="008D606A" w:rsidRPr="008D606A">
        <w:t>account</w:t>
      </w:r>
      <w:proofErr w:type="gramEnd"/>
      <w:r w:rsidR="008D606A" w:rsidRPr="008D606A">
        <w:t xml:space="preserve"> the different types of power plants</w:t>
      </w:r>
      <w:r w:rsidR="00115F34">
        <w:t>.</w:t>
      </w:r>
    </w:p>
    <w:p w14:paraId="2F458236" w14:textId="77777777" w:rsidR="00AC2A87" w:rsidRDefault="00115F34" w:rsidP="00AC2A87">
      <w:pPr>
        <w:pStyle w:val="Corpotesto"/>
        <w:keepNext/>
      </w:pPr>
      <w:r w:rsidRPr="00115F34">
        <w:rPr>
          <w:noProof/>
        </w:rPr>
        <w:lastRenderedPageBreak/>
        <w:drawing>
          <wp:inline distT="0" distB="0" distL="0" distR="0" wp14:anchorId="7C4BE404" wp14:editId="389CBEE9">
            <wp:extent cx="5136049" cy="2300326"/>
            <wp:effectExtent l="0" t="0" r="7620" b="5080"/>
            <wp:docPr id="181372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400" cy="2303619"/>
                    </a:xfrm>
                    <a:prstGeom prst="rect">
                      <a:avLst/>
                    </a:prstGeom>
                    <a:noFill/>
                    <a:ln>
                      <a:noFill/>
                    </a:ln>
                  </pic:spPr>
                </pic:pic>
              </a:graphicData>
            </a:graphic>
          </wp:inline>
        </w:drawing>
      </w:r>
    </w:p>
    <w:p w14:paraId="0197C030" w14:textId="0C7E49EB" w:rsidR="00AC2A87" w:rsidRDefault="00AC2A87" w:rsidP="003E4F14">
      <w:pPr>
        <w:pStyle w:val="Didascalia"/>
        <w:jc w:val="center"/>
        <w:rPr>
          <w:i/>
          <w:iCs/>
        </w:rPr>
      </w:pPr>
      <w:bookmarkStart w:id="0" w:name="_Ref167715197"/>
      <w:r w:rsidRPr="003E4F14">
        <w:rPr>
          <w:i/>
          <w:iCs/>
        </w:rPr>
        <w:t xml:space="preserve">FIG. </w:t>
      </w:r>
      <w:r w:rsidRPr="003E4F14">
        <w:rPr>
          <w:i/>
          <w:iCs/>
        </w:rPr>
        <w:fldChar w:fldCharType="begin"/>
      </w:r>
      <w:r w:rsidRPr="003E4F14">
        <w:rPr>
          <w:i/>
          <w:iCs/>
        </w:rPr>
        <w:instrText xml:space="preserve"> SEQ FIG. \* ARABIC </w:instrText>
      </w:r>
      <w:r w:rsidRPr="003E4F14">
        <w:rPr>
          <w:i/>
          <w:iCs/>
        </w:rPr>
        <w:fldChar w:fldCharType="separate"/>
      </w:r>
      <w:r w:rsidR="00CF7B54">
        <w:rPr>
          <w:i/>
          <w:iCs/>
          <w:noProof/>
        </w:rPr>
        <w:t>1</w:t>
      </w:r>
      <w:r w:rsidRPr="003E4F14">
        <w:rPr>
          <w:i/>
          <w:iCs/>
        </w:rPr>
        <w:fldChar w:fldCharType="end"/>
      </w:r>
      <w:bookmarkEnd w:id="0"/>
      <w:r w:rsidR="003E4F14" w:rsidRPr="003E4F14">
        <w:rPr>
          <w:i/>
          <w:iCs/>
        </w:rPr>
        <w:t xml:space="preserve">. </w:t>
      </w:r>
      <w:r w:rsidRPr="003E4F14">
        <w:rPr>
          <w:i/>
          <w:iCs/>
        </w:rPr>
        <w:t xml:space="preserve"> </w:t>
      </w:r>
      <w:r w:rsidR="003E4F14" w:rsidRPr="003E4F14">
        <w:rPr>
          <w:i/>
          <w:iCs/>
        </w:rPr>
        <w:t xml:space="preserve">Generation Capacity </w:t>
      </w:r>
      <w:proofErr w:type="gramStart"/>
      <w:r w:rsidR="003E4F14" w:rsidRPr="003E4F14">
        <w:rPr>
          <w:i/>
          <w:iCs/>
        </w:rPr>
        <w:t>By</w:t>
      </w:r>
      <w:proofErr w:type="gramEnd"/>
      <w:r w:rsidR="003E4F14" w:rsidRPr="003E4F14">
        <w:rPr>
          <w:i/>
          <w:iCs/>
        </w:rPr>
        <w:t xml:space="preserve"> Type Of Plant (M</w:t>
      </w:r>
      <w:r w:rsidR="00D40664">
        <w:rPr>
          <w:i/>
          <w:iCs/>
        </w:rPr>
        <w:t>W</w:t>
      </w:r>
      <w:r w:rsidR="003E4F14" w:rsidRPr="003E4F14">
        <w:rPr>
          <w:i/>
          <w:iCs/>
        </w:rPr>
        <w:t>) - Year 2022</w:t>
      </w:r>
      <w:r w:rsidR="00F25179">
        <w:rPr>
          <w:i/>
          <w:iCs/>
        </w:rPr>
        <w:t xml:space="preserve">. Source </w:t>
      </w:r>
      <w:r w:rsidR="00F25179">
        <w:rPr>
          <w:i/>
          <w:iCs/>
        </w:rPr>
        <w:fldChar w:fldCharType="begin"/>
      </w:r>
      <w:r w:rsidR="00915297">
        <w:rPr>
          <w:i/>
          <w:iCs/>
        </w:rPr>
        <w:instrText xml:space="preserve"> ADDIN ZOTERO_ITEM CSL_CITATION {"citationID":"co2zu9D5","properties":{"formattedCitation":"[17]","plainCitation":"[17]","noteIndex":0},"citationItems":[{"id":922,"uris":["http://zotero.org/users/9075346/items/65EJAPAV"],"itemData":{"id":922,"type":"report","publisher":"Comité Nacional de Despacho y Carga","title":"Memoria Anual 2022 - Resultados de la Operacion","URL":"https://www.cndc.bo/home/media/memyres_2022.pdf","author":[{"family":"CNDC","given":""}],"accessed":{"date-parts":[["2024",5,22]]},"issued":{"date-parts":[["2023"]]}}}],"schema":"https://github.com/citation-style-language/schema/raw/master/csl-citation.json"} </w:instrText>
      </w:r>
      <w:r w:rsidR="00F25179">
        <w:rPr>
          <w:i/>
          <w:iCs/>
        </w:rPr>
        <w:fldChar w:fldCharType="separate"/>
      </w:r>
      <w:r w:rsidR="00915297" w:rsidRPr="00915297">
        <w:t>[17]</w:t>
      </w:r>
      <w:r w:rsidR="00F25179">
        <w:rPr>
          <w:i/>
          <w:iCs/>
        </w:rPr>
        <w:fldChar w:fldCharType="end"/>
      </w:r>
    </w:p>
    <w:p w14:paraId="21EE58FB" w14:textId="03B790A2" w:rsidR="00C17743" w:rsidRPr="00C17743" w:rsidRDefault="00C17743" w:rsidP="00C17743">
      <w:pPr>
        <w:pStyle w:val="Corpotesto"/>
      </w:pPr>
      <w:r w:rsidRPr="00C17743">
        <w:t xml:space="preserve">The exact </w:t>
      </w:r>
      <w:r>
        <w:t xml:space="preserve">amount of capacity installed as of 2022 is available on the </w:t>
      </w:r>
      <w:r w:rsidR="00710E9A">
        <w:t>website of the national electricity committee and used in the model.</w:t>
      </w:r>
    </w:p>
    <w:p w14:paraId="7A84AC9B" w14:textId="78051CFA" w:rsidR="00FE7619" w:rsidRDefault="00FE7619" w:rsidP="00617F24">
      <w:pPr>
        <w:pStyle w:val="Titolo4"/>
        <w:ind w:left="0"/>
      </w:pPr>
      <w:r w:rsidRPr="00FE7619">
        <w:t>Transmission Lines</w:t>
      </w:r>
    </w:p>
    <w:p w14:paraId="226177D6" w14:textId="0A8D4AC3" w:rsidR="0052300F" w:rsidRPr="0052300F" w:rsidRDefault="0052300F" w:rsidP="0052300F">
      <w:pPr>
        <w:pStyle w:val="Corpotesto"/>
      </w:pPr>
      <w:proofErr w:type="gramStart"/>
      <w:r w:rsidRPr="0052300F">
        <w:t xml:space="preserve">The Sistema </w:t>
      </w:r>
      <w:proofErr w:type="spellStart"/>
      <w:r w:rsidRPr="0052300F">
        <w:t>Interconectado</w:t>
      </w:r>
      <w:proofErr w:type="spellEnd"/>
      <w:r w:rsidRPr="0052300F">
        <w:t xml:space="preserve"> Nacional (SIN),</w:t>
      </w:r>
      <w:proofErr w:type="gramEnd"/>
      <w:r w:rsidRPr="0052300F">
        <w:t xml:space="preserve"> is an electrical system consisting of generation,</w:t>
      </w:r>
      <w:r>
        <w:t xml:space="preserve"> </w:t>
      </w:r>
      <w:r w:rsidRPr="0052300F">
        <w:t>transmission, and distribution facilities that operate to supply electricity to the</w:t>
      </w:r>
      <w:r>
        <w:t xml:space="preserve"> </w:t>
      </w:r>
      <w:r w:rsidRPr="0052300F">
        <w:t>various departments.</w:t>
      </w:r>
    </w:p>
    <w:p w14:paraId="5BC75836" w14:textId="4F5298D2" w:rsidR="0052300F" w:rsidRPr="0052300F" w:rsidRDefault="0052300F" w:rsidP="0052300F">
      <w:pPr>
        <w:pStyle w:val="Corpotesto"/>
      </w:pPr>
      <w:r w:rsidRPr="0052300F">
        <w:t xml:space="preserve">The Sistema </w:t>
      </w:r>
      <w:proofErr w:type="spellStart"/>
      <w:r w:rsidRPr="0052300F">
        <w:t>Troncal</w:t>
      </w:r>
      <w:proofErr w:type="spellEnd"/>
      <w:r w:rsidRPr="0052300F">
        <w:t xml:space="preserve"> de </w:t>
      </w:r>
      <w:proofErr w:type="spellStart"/>
      <w:r w:rsidRPr="0052300F">
        <w:t>Interconexi</w:t>
      </w:r>
      <w:r w:rsidR="00F76EE7">
        <w:t>o</w:t>
      </w:r>
      <w:r w:rsidRPr="0052300F">
        <w:t>n</w:t>
      </w:r>
      <w:proofErr w:type="spellEnd"/>
      <w:r w:rsidRPr="0052300F">
        <w:t xml:space="preserve"> (STI) is a subpart of the SIN that includes only</w:t>
      </w:r>
      <w:r>
        <w:t xml:space="preserve"> </w:t>
      </w:r>
      <w:r w:rsidRPr="0052300F">
        <w:t>the high-voltage lines in 500, 230, 115 and 69 kV and the associated substations</w:t>
      </w:r>
      <w:r w:rsidR="004E6F6E">
        <w:t xml:space="preserve"> </w:t>
      </w:r>
      <w:r w:rsidR="003E4F14">
        <w:fldChar w:fldCharType="begin"/>
      </w:r>
      <w:r w:rsidR="00915297">
        <w:instrText xml:space="preserve"> ADDIN ZOTERO_ITEM CSL_CITATION {"citationID":"hwBsjkrz","properties":{"formattedCitation":"[17]","plainCitation":"[17]","noteIndex":0},"citationItems":[{"id":922,"uris":["http://zotero.org/users/9075346/items/65EJAPAV"],"itemData":{"id":922,"type":"report","publisher":"Comité Nacional de Despacho y Carga","title":"Memoria Anual 2022 - Resultados de la Operacion","URL":"https://www.cndc.bo/home/media/memyres_2022.pdf","author":[{"family":"CNDC","given":""}],"accessed":{"date-parts":[["2024",5,22]]},"issued":{"date-parts":[["2023"]]}}}],"schema":"https://github.com/citation-style-language/schema/raw/master/csl-citation.json"} </w:instrText>
      </w:r>
      <w:r w:rsidR="003E4F14">
        <w:fldChar w:fldCharType="separate"/>
      </w:r>
      <w:r w:rsidR="00915297" w:rsidRPr="00915297">
        <w:t>[17]</w:t>
      </w:r>
      <w:r w:rsidR="003E4F14">
        <w:fldChar w:fldCharType="end"/>
      </w:r>
      <w:r w:rsidRPr="0052300F">
        <w:t>.</w:t>
      </w:r>
    </w:p>
    <w:p w14:paraId="4050A289" w14:textId="7841D0A5" w:rsidR="001E4464" w:rsidRDefault="0052300F" w:rsidP="0052300F">
      <w:pPr>
        <w:pStyle w:val="Corpotesto"/>
      </w:pPr>
      <w:r w:rsidRPr="0052300F">
        <w:t>Any system that is not linked to the National Interconnected System (SIN) is defined</w:t>
      </w:r>
      <w:r>
        <w:t xml:space="preserve"> </w:t>
      </w:r>
      <w:r w:rsidRPr="0052300F">
        <w:t xml:space="preserve">as an isolated system (Sistema </w:t>
      </w:r>
      <w:proofErr w:type="spellStart"/>
      <w:r w:rsidRPr="0052300F">
        <w:t>Aislado</w:t>
      </w:r>
      <w:proofErr w:type="spellEnd"/>
      <w:r w:rsidRPr="0052300F">
        <w:t>). Electric utilities operating in these systems</w:t>
      </w:r>
      <w:r>
        <w:t xml:space="preserve"> </w:t>
      </w:r>
      <w:r w:rsidRPr="0052300F">
        <w:t>are dependent on locally generated power, and they are primarily situated in the Pando</w:t>
      </w:r>
      <w:r>
        <w:t xml:space="preserve"> </w:t>
      </w:r>
      <w:r w:rsidRPr="0052300F">
        <w:t>region (the only administrative department not connected to the SIN), but can also be</w:t>
      </w:r>
      <w:r>
        <w:t xml:space="preserve"> </w:t>
      </w:r>
      <w:r w:rsidRPr="0052300F">
        <w:t xml:space="preserve">found in various locations in Santa Cruz, Beni, and Tarija </w:t>
      </w:r>
      <w:r w:rsidR="00FE797A">
        <w:fldChar w:fldCharType="begin"/>
      </w:r>
      <w:r w:rsidR="00915297">
        <w:instrText xml:space="preserve"> ADDIN ZOTERO_ITEM CSL_CITATION {"citationID":"tgU45Ivr","properties":{"formattedCitation":"[17]","plainCitation":"[17]","noteIndex":0},"citationItems":[{"id":922,"uris":["http://zotero.org/users/9075346/items/65EJAPAV"],"itemData":{"id":922,"type":"report","publisher":"Comité Nacional de Despacho y Carga","title":"Memoria Anual 2022 - Resultados de la Operacion","URL":"https://www.cndc.bo/home/media/memyres_2022.pdf","author":[{"family":"CNDC","given":""}],"accessed":{"date-parts":[["2024",5,22]]},"issued":{"date-parts":[["2023"]]}}}],"schema":"https://github.com/citation-style-language/schema/raw/master/csl-citation.json"} </w:instrText>
      </w:r>
      <w:r w:rsidR="00FE797A">
        <w:fldChar w:fldCharType="separate"/>
      </w:r>
      <w:r w:rsidR="00915297" w:rsidRPr="00915297">
        <w:t>[17]</w:t>
      </w:r>
      <w:r w:rsidR="00FE797A">
        <w:fldChar w:fldCharType="end"/>
      </w:r>
      <w:r w:rsidRPr="0052300F">
        <w:t>.</w:t>
      </w:r>
      <w:r w:rsidR="00FF324F">
        <w:t xml:space="preserve"> </w:t>
      </w:r>
      <w:r w:rsidR="00FF324F">
        <w:rPr>
          <w:highlight w:val="yellow"/>
        </w:rPr>
        <w:fldChar w:fldCharType="begin"/>
      </w:r>
      <w:r w:rsidR="00FF324F">
        <w:instrText xml:space="preserve"> REF _Ref167715219 \h </w:instrText>
      </w:r>
      <w:r w:rsidR="00FF324F">
        <w:rPr>
          <w:highlight w:val="yellow"/>
        </w:rPr>
      </w:r>
      <w:r w:rsidR="00FF324F">
        <w:rPr>
          <w:highlight w:val="yellow"/>
        </w:rPr>
        <w:fldChar w:fldCharType="separate"/>
      </w:r>
      <w:r w:rsidR="00FF324F">
        <w:t xml:space="preserve">FIG. </w:t>
      </w:r>
      <w:r w:rsidR="00FF324F">
        <w:rPr>
          <w:noProof/>
        </w:rPr>
        <w:t>2</w:t>
      </w:r>
      <w:r w:rsidR="00FF324F">
        <w:rPr>
          <w:highlight w:val="yellow"/>
        </w:rPr>
        <w:fldChar w:fldCharType="end"/>
      </w:r>
      <w:r w:rsidR="001E4464">
        <w:t xml:space="preserve"> shows the transmission line system of the country.</w:t>
      </w:r>
    </w:p>
    <w:p w14:paraId="399D0DE8" w14:textId="77777777" w:rsidR="00120B08" w:rsidRDefault="00120B08" w:rsidP="0052300F">
      <w:pPr>
        <w:pStyle w:val="Corpotesto"/>
      </w:pPr>
    </w:p>
    <w:p w14:paraId="0A7142FA" w14:textId="77777777" w:rsidR="00120B08" w:rsidRDefault="00122A5B" w:rsidP="00120B08">
      <w:pPr>
        <w:pStyle w:val="Corpotesto"/>
        <w:keepNext/>
        <w:jc w:val="center"/>
      </w:pPr>
      <w:r w:rsidRPr="00122A5B">
        <w:rPr>
          <w:noProof/>
        </w:rPr>
        <w:drawing>
          <wp:inline distT="0" distB="0" distL="0" distR="0" wp14:anchorId="2E0CF9DF" wp14:editId="1C64B30C">
            <wp:extent cx="3374020" cy="3688598"/>
            <wp:effectExtent l="0" t="0" r="0" b="7620"/>
            <wp:docPr id="189367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70912" name=""/>
                    <pic:cNvPicPr/>
                  </pic:nvPicPr>
                  <pic:blipFill>
                    <a:blip r:embed="rId9"/>
                    <a:stretch>
                      <a:fillRect/>
                    </a:stretch>
                  </pic:blipFill>
                  <pic:spPr>
                    <a:xfrm>
                      <a:off x="0" y="0"/>
                      <a:ext cx="3377818" cy="3692750"/>
                    </a:xfrm>
                    <a:prstGeom prst="rect">
                      <a:avLst/>
                    </a:prstGeom>
                  </pic:spPr>
                </pic:pic>
              </a:graphicData>
            </a:graphic>
          </wp:inline>
        </w:drawing>
      </w:r>
    </w:p>
    <w:p w14:paraId="0B4C1A08" w14:textId="6E641F4E" w:rsidR="00740A34" w:rsidRPr="009F56E6" w:rsidRDefault="00120B08" w:rsidP="00120B08">
      <w:pPr>
        <w:pStyle w:val="Didascalia"/>
        <w:jc w:val="center"/>
        <w:rPr>
          <w:i/>
          <w:iCs/>
          <w:lang w:val="en-GB"/>
        </w:rPr>
      </w:pPr>
      <w:bookmarkStart w:id="1" w:name="_Ref167715219"/>
      <w:r w:rsidRPr="009F56E6">
        <w:rPr>
          <w:i/>
          <w:iCs/>
        </w:rPr>
        <w:t xml:space="preserve">FIG. </w:t>
      </w:r>
      <w:r w:rsidRPr="009F56E6">
        <w:rPr>
          <w:i/>
          <w:iCs/>
        </w:rPr>
        <w:fldChar w:fldCharType="begin"/>
      </w:r>
      <w:r w:rsidRPr="009F56E6">
        <w:rPr>
          <w:i/>
          <w:iCs/>
        </w:rPr>
        <w:instrText xml:space="preserve"> SEQ FIG. \* ARABIC </w:instrText>
      </w:r>
      <w:r w:rsidRPr="009F56E6">
        <w:rPr>
          <w:i/>
          <w:iCs/>
        </w:rPr>
        <w:fldChar w:fldCharType="separate"/>
      </w:r>
      <w:r w:rsidR="00CF7B54" w:rsidRPr="009F56E6">
        <w:rPr>
          <w:i/>
          <w:iCs/>
          <w:noProof/>
        </w:rPr>
        <w:t>2</w:t>
      </w:r>
      <w:r w:rsidRPr="009F56E6">
        <w:rPr>
          <w:i/>
          <w:iCs/>
        </w:rPr>
        <w:fldChar w:fldCharType="end"/>
      </w:r>
      <w:bookmarkEnd w:id="1"/>
      <w:r w:rsidR="00F25179" w:rsidRPr="009F56E6">
        <w:rPr>
          <w:i/>
          <w:iCs/>
        </w:rPr>
        <w:t>.</w:t>
      </w:r>
      <w:r w:rsidRPr="009F56E6">
        <w:rPr>
          <w:i/>
          <w:iCs/>
        </w:rPr>
        <w:t xml:space="preserve"> Bolivian Transmission System</w:t>
      </w:r>
      <w:r w:rsidR="00F25179" w:rsidRPr="009F56E6">
        <w:rPr>
          <w:i/>
          <w:iCs/>
        </w:rPr>
        <w:t xml:space="preserve">. Source: </w:t>
      </w:r>
      <w:r w:rsidR="00F25179" w:rsidRPr="009F56E6">
        <w:rPr>
          <w:i/>
          <w:iCs/>
        </w:rPr>
        <w:fldChar w:fldCharType="begin"/>
      </w:r>
      <w:r w:rsidR="00915297" w:rsidRPr="009F56E6">
        <w:rPr>
          <w:i/>
          <w:iCs/>
        </w:rPr>
        <w:instrText xml:space="preserve"> ADDIN ZOTERO_ITEM CSL_CITATION {"citationID":"n8PLW7gM","properties":{"formattedCitation":"[17]","plainCitation":"[17]","noteIndex":0},"citationItems":[{"id":922,"uris":["http://zotero.org/users/9075346/items/65EJAPAV"],"itemData":{"id":922,"type":"report","publisher":"Comité Nacional de Despacho y Carga","title":"Memoria Anual 2022 - Resultados de la Operacion","URL":"https://www.cndc.bo/home/media/memyres_2022.pdf","author":[{"family":"CNDC","given":""}],"accessed":{"date-parts":[["2024",5,22]]},"issued":{"date-parts":[["2023"]]}}}],"schema":"https://github.com/citation-style-language/schema/raw/master/csl-citation.json"} </w:instrText>
      </w:r>
      <w:r w:rsidR="00F25179" w:rsidRPr="009F56E6">
        <w:rPr>
          <w:i/>
          <w:iCs/>
        </w:rPr>
        <w:fldChar w:fldCharType="separate"/>
      </w:r>
      <w:r w:rsidR="00915297" w:rsidRPr="009F56E6">
        <w:rPr>
          <w:i/>
          <w:iCs/>
        </w:rPr>
        <w:t>[17]</w:t>
      </w:r>
      <w:r w:rsidR="00F25179" w:rsidRPr="009F56E6">
        <w:rPr>
          <w:i/>
          <w:iCs/>
        </w:rPr>
        <w:fldChar w:fldCharType="end"/>
      </w:r>
    </w:p>
    <w:p w14:paraId="6D6300E4" w14:textId="227E951F" w:rsidR="00617F24" w:rsidRDefault="003C23C7" w:rsidP="00617F24">
      <w:pPr>
        <w:pStyle w:val="Titolo4"/>
        <w:ind w:left="0"/>
      </w:pPr>
      <w:r w:rsidRPr="003C23C7">
        <w:lastRenderedPageBreak/>
        <w:t>Load Demand</w:t>
      </w:r>
    </w:p>
    <w:p w14:paraId="05D24979" w14:textId="59431A0F" w:rsidR="00FD2312" w:rsidRDefault="0064257D" w:rsidP="00FD2312">
      <w:pPr>
        <w:pStyle w:val="Corpotesto"/>
      </w:pPr>
      <w:r w:rsidRPr="007A0378">
        <w:t xml:space="preserve">The demand of the Sistema </w:t>
      </w:r>
      <w:proofErr w:type="spellStart"/>
      <w:r w:rsidRPr="007A0378">
        <w:t>Interconectado</w:t>
      </w:r>
      <w:proofErr w:type="spellEnd"/>
      <w:r w:rsidRPr="007A0378">
        <w:t xml:space="preserve"> Nacional is represented by the demand of</w:t>
      </w:r>
      <w:r w:rsidR="007A0378">
        <w:t xml:space="preserve"> </w:t>
      </w:r>
      <w:r w:rsidRPr="007A0378">
        <w:t>Regulated Consumers, predominantly residential, served by distribution companies, and</w:t>
      </w:r>
      <w:r w:rsidR="007A0378">
        <w:t xml:space="preserve"> </w:t>
      </w:r>
      <w:r w:rsidRPr="007A0378">
        <w:t>by the demand of Unregulated Consumers or Large Consumers.</w:t>
      </w:r>
      <w:r w:rsidR="007A0378">
        <w:t xml:space="preserve"> </w:t>
      </w:r>
      <w:r w:rsidRPr="007A0378">
        <w:t>During the year 2022, the electricity consumption showed a growth of 6.22% compared</w:t>
      </w:r>
      <w:r w:rsidR="007A0378">
        <w:t xml:space="preserve"> </w:t>
      </w:r>
      <w:r w:rsidRPr="007A0378">
        <w:t xml:space="preserve">to the previous year, reaching a value of 10043.5 GWh </w:t>
      </w:r>
      <w:r w:rsidR="00F14285" w:rsidRPr="007A0378">
        <w:fldChar w:fldCharType="begin"/>
      </w:r>
      <w:r w:rsidR="00915297">
        <w:instrText xml:space="preserve"> ADDIN ZOTERO_ITEM CSL_CITATION {"citationID":"I9EIcdLC","properties":{"formattedCitation":"[17]","plainCitation":"[17]","noteIndex":0},"citationItems":[{"id":922,"uris":["http://zotero.org/users/9075346/items/65EJAPAV"],"itemData":{"id":922,"type":"report","publisher":"Comité Nacional de Despacho y Carga","title":"Memoria Anual 2022 - Resultados de la Operacion","URL":"https://www.cndc.bo/home/media/memyres_2022.pdf","author":[{"family":"CNDC","given":""}],"accessed":{"date-parts":[["2024",5,22]]},"issued":{"date-parts":[["2023"]]}}}],"schema":"https://github.com/citation-style-language/schema/raw/master/csl-citation.json"} </w:instrText>
      </w:r>
      <w:r w:rsidR="00F14285" w:rsidRPr="007A0378">
        <w:fldChar w:fldCharType="separate"/>
      </w:r>
      <w:r w:rsidR="00915297" w:rsidRPr="00915297">
        <w:t>[17]</w:t>
      </w:r>
      <w:r w:rsidR="00F14285" w:rsidRPr="007A0378">
        <w:fldChar w:fldCharType="end"/>
      </w:r>
      <w:r w:rsidRPr="007A0378">
        <w:t>.</w:t>
      </w:r>
      <w:r w:rsidR="0073533B">
        <w:t xml:space="preserve"> </w:t>
      </w:r>
    </w:p>
    <w:p w14:paraId="2716F1D0" w14:textId="3A7DC3EE" w:rsidR="00617F24" w:rsidRDefault="00217C8D" w:rsidP="00FD2312">
      <w:pPr>
        <w:pStyle w:val="Corpotesto"/>
      </w:pPr>
      <w:r>
        <w:fldChar w:fldCharType="begin"/>
      </w:r>
      <w:r>
        <w:instrText xml:space="preserve"> REF _Ref167715319 \h </w:instrText>
      </w:r>
      <w:r>
        <w:fldChar w:fldCharType="separate"/>
      </w:r>
      <w:r>
        <w:t xml:space="preserve">FIG. </w:t>
      </w:r>
      <w:r>
        <w:rPr>
          <w:noProof/>
        </w:rPr>
        <w:t>3</w:t>
      </w:r>
      <w:r>
        <w:fldChar w:fldCharType="end"/>
      </w:r>
      <w:r w:rsidR="00C71A0A">
        <w:t xml:space="preserve"> reports the monthly national</w:t>
      </w:r>
      <w:r w:rsidR="00854E5B">
        <w:t xml:space="preserve"> expected and real</w:t>
      </w:r>
      <w:r w:rsidR="00C71A0A">
        <w:t xml:space="preserve"> consumption of electricity, </w:t>
      </w:r>
      <w:r w:rsidR="00854E5B">
        <w:t xml:space="preserve">for year 2022. In the model, a </w:t>
      </w:r>
      <w:proofErr w:type="gramStart"/>
      <w:r w:rsidR="00854E5B">
        <w:t>1 hour</w:t>
      </w:r>
      <w:proofErr w:type="gramEnd"/>
      <w:r w:rsidR="00854E5B">
        <w:t xml:space="preserve"> resolution yearly load demand, openly made available by the national electricity commission, is used. </w:t>
      </w:r>
    </w:p>
    <w:p w14:paraId="6FF8F413" w14:textId="77777777" w:rsidR="001453F9" w:rsidRDefault="001453F9" w:rsidP="00A92DDC">
      <w:pPr>
        <w:pStyle w:val="Corpotesto"/>
        <w:ind w:firstLine="0"/>
      </w:pPr>
    </w:p>
    <w:p w14:paraId="2F632E96" w14:textId="77777777" w:rsidR="001453F9" w:rsidRDefault="001453F9" w:rsidP="001453F9">
      <w:pPr>
        <w:pStyle w:val="Corpotesto"/>
        <w:keepNext/>
        <w:ind w:firstLine="0"/>
        <w:jc w:val="center"/>
      </w:pPr>
      <w:r w:rsidRPr="001453F9">
        <w:rPr>
          <w:noProof/>
        </w:rPr>
        <w:drawing>
          <wp:inline distT="0" distB="0" distL="0" distR="0" wp14:anchorId="3C975012" wp14:editId="13E7A97E">
            <wp:extent cx="5067560" cy="2768742"/>
            <wp:effectExtent l="0" t="0" r="0" b="0"/>
            <wp:docPr id="76676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60347" name=""/>
                    <pic:cNvPicPr/>
                  </pic:nvPicPr>
                  <pic:blipFill>
                    <a:blip r:embed="rId10"/>
                    <a:stretch>
                      <a:fillRect/>
                    </a:stretch>
                  </pic:blipFill>
                  <pic:spPr>
                    <a:xfrm>
                      <a:off x="0" y="0"/>
                      <a:ext cx="5067560" cy="2768742"/>
                    </a:xfrm>
                    <a:prstGeom prst="rect">
                      <a:avLst/>
                    </a:prstGeom>
                  </pic:spPr>
                </pic:pic>
              </a:graphicData>
            </a:graphic>
          </wp:inline>
        </w:drawing>
      </w:r>
    </w:p>
    <w:p w14:paraId="6D8AA7A4" w14:textId="28F24C73" w:rsidR="001453F9" w:rsidRPr="009F56E6" w:rsidRDefault="001453F9" w:rsidP="001453F9">
      <w:pPr>
        <w:pStyle w:val="Didascalia"/>
        <w:jc w:val="center"/>
        <w:rPr>
          <w:i/>
          <w:iCs/>
        </w:rPr>
      </w:pPr>
      <w:bookmarkStart w:id="2" w:name="_Ref167715319"/>
      <w:r w:rsidRPr="009F56E6">
        <w:rPr>
          <w:i/>
          <w:iCs/>
        </w:rPr>
        <w:t xml:space="preserve">FIG. </w:t>
      </w:r>
      <w:r w:rsidRPr="009F56E6">
        <w:rPr>
          <w:i/>
          <w:iCs/>
        </w:rPr>
        <w:fldChar w:fldCharType="begin"/>
      </w:r>
      <w:r w:rsidRPr="009F56E6">
        <w:rPr>
          <w:i/>
          <w:iCs/>
        </w:rPr>
        <w:instrText xml:space="preserve"> SEQ FIG. \* ARABIC </w:instrText>
      </w:r>
      <w:r w:rsidRPr="009F56E6">
        <w:rPr>
          <w:i/>
          <w:iCs/>
        </w:rPr>
        <w:fldChar w:fldCharType="separate"/>
      </w:r>
      <w:r w:rsidR="00CF7B54" w:rsidRPr="009F56E6">
        <w:rPr>
          <w:i/>
          <w:iCs/>
          <w:noProof/>
        </w:rPr>
        <w:t>3</w:t>
      </w:r>
      <w:r w:rsidRPr="009F56E6">
        <w:rPr>
          <w:i/>
          <w:iCs/>
        </w:rPr>
        <w:fldChar w:fldCharType="end"/>
      </w:r>
      <w:bookmarkEnd w:id="2"/>
      <w:r w:rsidR="00CF5313" w:rsidRPr="009F56E6">
        <w:rPr>
          <w:i/>
          <w:iCs/>
        </w:rPr>
        <w:t>. Real and foreseen load demand [GWh] – Year 2022</w:t>
      </w:r>
    </w:p>
    <w:p w14:paraId="421B3B85" w14:textId="77777777" w:rsidR="006D7A84" w:rsidRPr="00617F24" w:rsidRDefault="006D7A84" w:rsidP="00617F24">
      <w:pPr>
        <w:pStyle w:val="Corpotesto"/>
      </w:pPr>
    </w:p>
    <w:p w14:paraId="4E9F4C12" w14:textId="77777777" w:rsidR="00554E70" w:rsidRDefault="00554E70" w:rsidP="00240629">
      <w:pPr>
        <w:pStyle w:val="Titolo3"/>
      </w:pPr>
      <w:r w:rsidRPr="00554E70">
        <w:t>New Technologies and Scenario Definition (2035)</w:t>
      </w:r>
    </w:p>
    <w:p w14:paraId="7A52669E" w14:textId="7EE0F272" w:rsidR="00D40664" w:rsidRDefault="00BF2B7E" w:rsidP="00BF2B7E">
      <w:pPr>
        <w:pStyle w:val="Corpotesto"/>
      </w:pPr>
      <w:proofErr w:type="gramStart"/>
      <w:r>
        <w:t>In order to</w:t>
      </w:r>
      <w:proofErr w:type="gramEnd"/>
      <w:r>
        <w:t xml:space="preserve"> design and plan the national power system in 2035, thanks to ABEN (</w:t>
      </w:r>
      <w:proofErr w:type="spellStart"/>
      <w:r>
        <w:t>Agencia</w:t>
      </w:r>
      <w:proofErr w:type="spellEnd"/>
      <w:r>
        <w:t xml:space="preserve"> </w:t>
      </w:r>
      <w:proofErr w:type="spellStart"/>
      <w:r>
        <w:t>Boliviana</w:t>
      </w:r>
      <w:proofErr w:type="spellEnd"/>
      <w:r>
        <w:t xml:space="preserve"> de </w:t>
      </w:r>
      <w:proofErr w:type="spellStart"/>
      <w:r>
        <w:t>Energia</w:t>
      </w:r>
      <w:proofErr w:type="spellEnd"/>
      <w:r>
        <w:t xml:space="preserve"> </w:t>
      </w:r>
      <w:proofErr w:type="spellStart"/>
      <w:r>
        <w:t>Nucleare</w:t>
      </w:r>
      <w:proofErr w:type="spellEnd"/>
      <w:r>
        <w:t>) a list of power plants under construction, or planned to be constructed, that will be ready and operational in the year 2035, has been obtained and it included as forecasted already existing capacity.</w:t>
      </w:r>
    </w:p>
    <w:p w14:paraId="33E9C4A8" w14:textId="77777777" w:rsidR="00150524" w:rsidRDefault="00150524" w:rsidP="00A16C41">
      <w:pPr>
        <w:pStyle w:val="Corpotesto"/>
      </w:pPr>
    </w:p>
    <w:p w14:paraId="26D827EE" w14:textId="77777777" w:rsidR="00CF58C3" w:rsidRDefault="00A16C41" w:rsidP="00CF58C3">
      <w:pPr>
        <w:pStyle w:val="Corpotesto"/>
      </w:pPr>
      <w:r w:rsidRPr="00A16C41">
        <w:t xml:space="preserve">The 2035 energy demand has been </w:t>
      </w:r>
      <w:proofErr w:type="spellStart"/>
      <w:r w:rsidRPr="00A16C41">
        <w:t>modeled</w:t>
      </w:r>
      <w:proofErr w:type="spellEnd"/>
      <w:r w:rsidRPr="00A16C41">
        <w:t xml:space="preserve"> by considering the foreseen demand growth</w:t>
      </w:r>
      <w:r w:rsidR="00150524">
        <w:t xml:space="preserve"> </w:t>
      </w:r>
      <w:r w:rsidRPr="00A16C41">
        <w:t>by CNDC (</w:t>
      </w:r>
      <w:proofErr w:type="spellStart"/>
      <w:r w:rsidRPr="00A16C41">
        <w:t>Comité</w:t>
      </w:r>
      <w:proofErr w:type="spellEnd"/>
      <w:r w:rsidRPr="00A16C41">
        <w:t xml:space="preserve"> Nacional de </w:t>
      </w:r>
      <w:proofErr w:type="spellStart"/>
      <w:r w:rsidRPr="00A16C41">
        <w:t>Despacho</w:t>
      </w:r>
      <w:proofErr w:type="spellEnd"/>
      <w:r w:rsidRPr="00A16C41">
        <w:t xml:space="preserve"> de </w:t>
      </w:r>
      <w:proofErr w:type="spellStart"/>
      <w:r w:rsidRPr="00A16C41">
        <w:t>Carga</w:t>
      </w:r>
      <w:proofErr w:type="spellEnd"/>
      <w:r w:rsidRPr="00A16C41">
        <w:t>).</w:t>
      </w:r>
      <w:r w:rsidR="00150524">
        <w:t xml:space="preserve"> </w:t>
      </w:r>
      <w:r w:rsidRPr="00A16C41">
        <w:t>By starting from the real energy demand related to the year 2022, and maintaining the</w:t>
      </w:r>
      <w:r w:rsidR="00150524">
        <w:t xml:space="preserve"> </w:t>
      </w:r>
      <w:r w:rsidRPr="00A16C41">
        <w:t>trend in each administrative department, the hourly energy demand has been increased</w:t>
      </w:r>
      <w:r w:rsidR="00150524">
        <w:t xml:space="preserve"> </w:t>
      </w:r>
      <w:r w:rsidRPr="00A16C41">
        <w:t>by 4% each year until 2035.</w:t>
      </w:r>
    </w:p>
    <w:p w14:paraId="579C2AA7" w14:textId="77777777" w:rsidR="00CF58C3" w:rsidRDefault="00CF58C3" w:rsidP="00CF58C3">
      <w:pPr>
        <w:pStyle w:val="Corpotesto"/>
      </w:pPr>
    </w:p>
    <w:p w14:paraId="7761FD33" w14:textId="5B20C739" w:rsidR="00CF58C3" w:rsidRDefault="00CF58C3" w:rsidP="00CF58C3">
      <w:pPr>
        <w:pStyle w:val="Corpotesto"/>
      </w:pPr>
      <w:r>
        <w:t xml:space="preserve">In this phase, the future scenario 2035 was </w:t>
      </w:r>
      <w:proofErr w:type="spellStart"/>
      <w:r>
        <w:t>analyzed</w:t>
      </w:r>
      <w:proofErr w:type="spellEnd"/>
      <w:r>
        <w:t xml:space="preserve"> by using Calliope in planning mode, </w:t>
      </w:r>
      <w:proofErr w:type="gramStart"/>
      <w:r>
        <w:t>in order to</w:t>
      </w:r>
      <w:proofErr w:type="gramEnd"/>
      <w:r>
        <w:t xml:space="preserve"> identify the additional capacity needed to meet the estimated load, with a focus on investigating and optimizing the most sustainable energy scenario from an economic perspective, minimizing the net present cost.</w:t>
      </w:r>
    </w:p>
    <w:p w14:paraId="09DFBCC7" w14:textId="218EA154" w:rsidR="00CF58C3" w:rsidRDefault="00CF58C3" w:rsidP="00CF58C3">
      <w:pPr>
        <w:pStyle w:val="Corpotesto"/>
      </w:pPr>
      <w:r>
        <w:t xml:space="preserve">Nuclear energy is therefore one of the possible energy sources that can be installed to meet energy needs in 2035. In this case, Calliope will decide </w:t>
      </w:r>
      <w:proofErr w:type="gramStart"/>
      <w:r>
        <w:t>whether or not</w:t>
      </w:r>
      <w:proofErr w:type="gramEnd"/>
      <w:r>
        <w:t xml:space="preserve"> to include it in the energy mix on the basis of the most economically </w:t>
      </w:r>
      <w:proofErr w:type="spellStart"/>
      <w:r>
        <w:t>favorable</w:t>
      </w:r>
      <w:proofErr w:type="spellEnd"/>
      <w:r>
        <w:t xml:space="preserve"> solution.</w:t>
      </w:r>
    </w:p>
    <w:p w14:paraId="613A67C0" w14:textId="5CC0D2B4" w:rsidR="00702753" w:rsidRDefault="00702753" w:rsidP="00702753">
      <w:pPr>
        <w:pStyle w:val="Corpotesto"/>
      </w:pPr>
      <w:r>
        <w:t xml:space="preserve">EDF </w:t>
      </w:r>
      <w:proofErr w:type="spellStart"/>
      <w:r>
        <w:t>Nuward</w:t>
      </w:r>
      <w:proofErr w:type="spellEnd"/>
      <w:r>
        <w:t xml:space="preserve"> reactor </w:t>
      </w:r>
      <w:r w:rsidR="003460A7">
        <w:t>is the technology selected in this study to investigate potential role of nuclear power plants in the future Bolivian system</w:t>
      </w:r>
      <w:r w:rsidR="00905664">
        <w:t xml:space="preserve">, and in </w:t>
      </w:r>
      <w:r w:rsidR="00905664">
        <w:fldChar w:fldCharType="begin"/>
      </w:r>
      <w:r w:rsidR="00905664">
        <w:instrText xml:space="preserve"> REF _Ref167715421 \h </w:instrText>
      </w:r>
      <w:r w:rsidR="00905664">
        <w:fldChar w:fldCharType="separate"/>
      </w:r>
      <w:r w:rsidR="00905664">
        <w:t xml:space="preserve">TABLE </w:t>
      </w:r>
      <w:r w:rsidR="00905664">
        <w:rPr>
          <w:noProof/>
        </w:rPr>
        <w:t>1</w:t>
      </w:r>
      <w:r w:rsidR="00905664">
        <w:fldChar w:fldCharType="end"/>
      </w:r>
      <w:r w:rsidR="00905664">
        <w:t xml:space="preserve"> a detail of the parameters used to characterize this technology is reported</w:t>
      </w:r>
      <w:r>
        <w:t>.</w:t>
      </w:r>
    </w:p>
    <w:p w14:paraId="4D93BBBB" w14:textId="77777777" w:rsidR="00915652" w:rsidRDefault="00915652" w:rsidP="00702753">
      <w:pPr>
        <w:pStyle w:val="Corpotesto"/>
      </w:pPr>
    </w:p>
    <w:p w14:paraId="391DFD83" w14:textId="77777777" w:rsidR="00F76EE7" w:rsidRDefault="00F76EE7" w:rsidP="00702753">
      <w:pPr>
        <w:pStyle w:val="Corpotesto"/>
      </w:pPr>
    </w:p>
    <w:p w14:paraId="0A509BC9" w14:textId="389B1458" w:rsidR="00D82D8C" w:rsidRDefault="00D82D8C" w:rsidP="00E678D8">
      <w:pPr>
        <w:pStyle w:val="Didascalia"/>
        <w:keepNext/>
        <w:jc w:val="center"/>
      </w:pPr>
      <w:bookmarkStart w:id="3" w:name="_Ref167715421"/>
      <w:r>
        <w:lastRenderedPageBreak/>
        <w:t xml:space="preserve">TABLE </w:t>
      </w:r>
      <w:r>
        <w:fldChar w:fldCharType="begin"/>
      </w:r>
      <w:r>
        <w:instrText xml:space="preserve"> SEQ TABLE \* ARABIC </w:instrText>
      </w:r>
      <w:r>
        <w:fldChar w:fldCharType="separate"/>
      </w:r>
      <w:r w:rsidR="00905664">
        <w:rPr>
          <w:noProof/>
        </w:rPr>
        <w:t>1</w:t>
      </w:r>
      <w:r>
        <w:fldChar w:fldCharType="end"/>
      </w:r>
      <w:bookmarkEnd w:id="3"/>
      <w:r>
        <w:t>. Technological Characterization of Nuclear Technology</w:t>
      </w:r>
      <w:r w:rsidR="00367247">
        <w:t xml:space="preserve"> </w:t>
      </w:r>
      <w:proofErr w:type="spellStart"/>
      <w:r w:rsidR="00367247">
        <w:t>Nuward</w:t>
      </w:r>
      <w:proofErr w:type="spellEnd"/>
      <w:r w:rsidR="00E678D8">
        <w:t xml:space="preserve"> Reactor in Calliope</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97"/>
      </w:tblGrid>
      <w:tr w:rsidR="00915652" w14:paraId="346E0E4C" w14:textId="77777777" w:rsidTr="00C735B4">
        <w:trPr>
          <w:jc w:val="center"/>
        </w:trPr>
        <w:tc>
          <w:tcPr>
            <w:tcW w:w="1985" w:type="dxa"/>
            <w:tcBorders>
              <w:top w:val="single" w:sz="4" w:space="0" w:color="auto"/>
              <w:bottom w:val="single" w:sz="4" w:space="0" w:color="auto"/>
            </w:tcBorders>
          </w:tcPr>
          <w:p w14:paraId="5ABD0468" w14:textId="64D9DECC" w:rsidR="00915652" w:rsidRDefault="00915652" w:rsidP="00C735B4">
            <w:pPr>
              <w:pStyle w:val="Corpotesto"/>
              <w:ind w:firstLine="0"/>
            </w:pPr>
            <w:r>
              <w:t>Parameter</w:t>
            </w:r>
          </w:p>
        </w:tc>
        <w:tc>
          <w:tcPr>
            <w:tcW w:w="1497" w:type="dxa"/>
            <w:tcBorders>
              <w:top w:val="single" w:sz="4" w:space="0" w:color="auto"/>
              <w:bottom w:val="single" w:sz="4" w:space="0" w:color="auto"/>
            </w:tcBorders>
          </w:tcPr>
          <w:p w14:paraId="205EE6C5" w14:textId="23A521A7" w:rsidR="00915652" w:rsidRDefault="00915652" w:rsidP="00C735B4">
            <w:pPr>
              <w:pStyle w:val="Corpotesto"/>
              <w:ind w:firstLine="0"/>
              <w:jc w:val="center"/>
            </w:pPr>
            <w:r>
              <w:t>Value</w:t>
            </w:r>
          </w:p>
        </w:tc>
      </w:tr>
      <w:tr w:rsidR="00915652" w14:paraId="3E2B863E" w14:textId="77777777" w:rsidTr="00C735B4">
        <w:trPr>
          <w:jc w:val="center"/>
        </w:trPr>
        <w:tc>
          <w:tcPr>
            <w:tcW w:w="1985" w:type="dxa"/>
            <w:tcBorders>
              <w:top w:val="single" w:sz="4" w:space="0" w:color="auto"/>
              <w:bottom w:val="single" w:sz="4" w:space="0" w:color="auto"/>
            </w:tcBorders>
          </w:tcPr>
          <w:p w14:paraId="7D2751DF" w14:textId="695E05C9" w:rsidR="00915652" w:rsidRPr="00663EF8" w:rsidRDefault="005C3C4A" w:rsidP="00C735B4">
            <w:pPr>
              <w:pStyle w:val="Corpotesto"/>
              <w:ind w:firstLine="0"/>
              <w:rPr>
                <w:rStyle w:val="TabletextChar"/>
              </w:rPr>
            </w:pPr>
            <w:r w:rsidRPr="00663EF8">
              <w:rPr>
                <w:rStyle w:val="TabletextChar"/>
              </w:rPr>
              <w:t>Overall Efficiency</w:t>
            </w:r>
          </w:p>
          <w:p w14:paraId="687CD72A" w14:textId="003940CE" w:rsidR="00915652" w:rsidRPr="00663EF8" w:rsidRDefault="005C3C4A" w:rsidP="00C735B4">
            <w:pPr>
              <w:pStyle w:val="Corpotesto"/>
              <w:ind w:firstLine="0"/>
              <w:rPr>
                <w:rStyle w:val="TabletextChar"/>
              </w:rPr>
            </w:pPr>
            <w:r w:rsidRPr="00663EF8">
              <w:rPr>
                <w:rStyle w:val="TabletextChar"/>
              </w:rPr>
              <w:t>Lifetime</w:t>
            </w:r>
          </w:p>
          <w:p w14:paraId="1857498A" w14:textId="02ECA21A" w:rsidR="00915652" w:rsidRPr="00663EF8" w:rsidRDefault="005C3C4A" w:rsidP="00C735B4">
            <w:pPr>
              <w:pStyle w:val="Corpotesto"/>
              <w:ind w:firstLine="0"/>
            </w:pPr>
            <w:r w:rsidRPr="00663EF8">
              <w:t>R</w:t>
            </w:r>
            <w:r>
              <w:t xml:space="preserve">esource </w:t>
            </w:r>
          </w:p>
          <w:p w14:paraId="67AD0075" w14:textId="1A8393D1" w:rsidR="00915652" w:rsidRPr="00663EF8" w:rsidRDefault="00663EF8" w:rsidP="00C735B4">
            <w:pPr>
              <w:pStyle w:val="Corpotesto"/>
              <w:ind w:firstLine="0"/>
            </w:pPr>
            <w:r>
              <w:t>Min Cap Factor</w:t>
            </w:r>
          </w:p>
          <w:p w14:paraId="72F773B9" w14:textId="441EB364" w:rsidR="00915652" w:rsidRPr="003B7D99" w:rsidRDefault="006239A1" w:rsidP="00C735B4">
            <w:pPr>
              <w:pStyle w:val="Corpotesto"/>
              <w:ind w:firstLine="0"/>
            </w:pPr>
            <w:r w:rsidRPr="003B7D99">
              <w:t>Max Installable Units</w:t>
            </w:r>
          </w:p>
          <w:p w14:paraId="1A1F7DA4" w14:textId="71830721" w:rsidR="00915652" w:rsidRPr="003B7D99" w:rsidRDefault="006239A1" w:rsidP="00C735B4">
            <w:pPr>
              <w:pStyle w:val="Corpotesto"/>
              <w:ind w:firstLine="0"/>
            </w:pPr>
            <w:r w:rsidRPr="003B7D99">
              <w:t>Unit Capacity</w:t>
            </w:r>
          </w:p>
          <w:p w14:paraId="4523B2C0" w14:textId="6A4C1AA5" w:rsidR="00915652" w:rsidRPr="003B7D99" w:rsidRDefault="003B7D99" w:rsidP="00C735B4">
            <w:pPr>
              <w:pStyle w:val="Corpotesto"/>
              <w:ind w:firstLine="0"/>
            </w:pPr>
            <w:r w:rsidRPr="003B7D99">
              <w:t>S</w:t>
            </w:r>
            <w:r>
              <w:t xml:space="preserve">pec </w:t>
            </w:r>
            <w:proofErr w:type="spellStart"/>
            <w:r>
              <w:t>Inv</w:t>
            </w:r>
            <w:proofErr w:type="spellEnd"/>
            <w:r>
              <w:t xml:space="preserve"> Cost</w:t>
            </w:r>
          </w:p>
          <w:p w14:paraId="058D561B" w14:textId="4E365397" w:rsidR="00915652" w:rsidRPr="00046A20" w:rsidRDefault="003B7D99" w:rsidP="00C735B4">
            <w:pPr>
              <w:pStyle w:val="Corpotesto"/>
              <w:ind w:firstLine="0"/>
            </w:pPr>
            <w:r w:rsidRPr="00046A20">
              <w:t>Fix O&amp;M</w:t>
            </w:r>
          </w:p>
          <w:p w14:paraId="1A2D01EF" w14:textId="0B7F5017" w:rsidR="00915652" w:rsidRPr="00046A20" w:rsidRDefault="00A81250" w:rsidP="00C735B4">
            <w:pPr>
              <w:pStyle w:val="Corpotesto"/>
              <w:ind w:firstLine="0"/>
            </w:pPr>
            <w:r w:rsidRPr="00046A20">
              <w:t>Var O&amp;M</w:t>
            </w:r>
          </w:p>
          <w:p w14:paraId="35AAF56A" w14:textId="45B47679" w:rsidR="00915652" w:rsidRDefault="008E1C59" w:rsidP="00C735B4">
            <w:pPr>
              <w:pStyle w:val="Corpotesto"/>
              <w:ind w:firstLine="0"/>
            </w:pPr>
            <w:r w:rsidRPr="008E1C59">
              <w:t>Cost of F</w:t>
            </w:r>
            <w:r>
              <w:t>uel</w:t>
            </w:r>
          </w:p>
        </w:tc>
        <w:tc>
          <w:tcPr>
            <w:tcW w:w="1497" w:type="dxa"/>
            <w:tcBorders>
              <w:top w:val="single" w:sz="4" w:space="0" w:color="auto"/>
              <w:bottom w:val="single" w:sz="4" w:space="0" w:color="auto"/>
            </w:tcBorders>
          </w:tcPr>
          <w:p w14:paraId="7A95A298" w14:textId="4F831D6F" w:rsidR="00915652" w:rsidRDefault="005C3C4A" w:rsidP="00C735B4">
            <w:pPr>
              <w:pStyle w:val="Corpotesto"/>
              <w:ind w:firstLine="0"/>
              <w:jc w:val="center"/>
            </w:pPr>
            <w:r>
              <w:t>0.32</w:t>
            </w:r>
          </w:p>
          <w:p w14:paraId="598B9F2C" w14:textId="5B2BE1A5" w:rsidR="00915652" w:rsidRDefault="005C3C4A" w:rsidP="00C735B4">
            <w:pPr>
              <w:pStyle w:val="Corpotesto"/>
              <w:ind w:firstLine="0"/>
              <w:jc w:val="center"/>
            </w:pPr>
            <w:r>
              <w:t>60 years</w:t>
            </w:r>
          </w:p>
          <w:p w14:paraId="5C6641DC" w14:textId="0AA39C2C" w:rsidR="00915652" w:rsidRDefault="00663EF8" w:rsidP="00C735B4">
            <w:pPr>
              <w:pStyle w:val="Corpotesto"/>
              <w:ind w:firstLine="0"/>
              <w:jc w:val="center"/>
            </w:pPr>
            <w:r>
              <w:t>inf</w:t>
            </w:r>
          </w:p>
          <w:p w14:paraId="59F97DD2" w14:textId="1F1B1280" w:rsidR="00915652" w:rsidRDefault="00663EF8" w:rsidP="00C735B4">
            <w:pPr>
              <w:pStyle w:val="Corpotesto"/>
              <w:ind w:firstLine="0"/>
              <w:jc w:val="center"/>
            </w:pPr>
            <w:r>
              <w:t>0.2</w:t>
            </w:r>
          </w:p>
          <w:p w14:paraId="535CC684" w14:textId="13575A39" w:rsidR="00915652" w:rsidRDefault="006239A1" w:rsidP="00C735B4">
            <w:pPr>
              <w:pStyle w:val="Corpotesto"/>
              <w:ind w:firstLine="0"/>
              <w:jc w:val="center"/>
            </w:pPr>
            <w:r>
              <w:t>3</w:t>
            </w:r>
          </w:p>
          <w:p w14:paraId="29389F01" w14:textId="612ECF2B" w:rsidR="00915652" w:rsidRDefault="006239A1" w:rsidP="00C735B4">
            <w:pPr>
              <w:pStyle w:val="Corpotesto"/>
              <w:ind w:firstLine="0"/>
              <w:jc w:val="center"/>
            </w:pPr>
            <w:r>
              <w:t>340 MW</w:t>
            </w:r>
          </w:p>
          <w:p w14:paraId="7C38B629" w14:textId="38C73564" w:rsidR="00915652" w:rsidRDefault="003B7D99" w:rsidP="00C735B4">
            <w:pPr>
              <w:pStyle w:val="Corpotesto"/>
              <w:ind w:firstLine="0"/>
              <w:jc w:val="center"/>
            </w:pPr>
            <w:r>
              <w:t>6000 $/kW</w:t>
            </w:r>
          </w:p>
          <w:p w14:paraId="26B14A11" w14:textId="70987844" w:rsidR="00915652" w:rsidRDefault="003B7D99" w:rsidP="00C735B4">
            <w:pPr>
              <w:pStyle w:val="Corpotesto"/>
              <w:ind w:firstLine="0"/>
              <w:jc w:val="center"/>
            </w:pPr>
            <w:r>
              <w:t>95 $/kW year</w:t>
            </w:r>
          </w:p>
          <w:p w14:paraId="7A733BB9" w14:textId="0935725E" w:rsidR="00915652" w:rsidRDefault="00104B3C" w:rsidP="00C735B4">
            <w:pPr>
              <w:pStyle w:val="Corpotesto"/>
              <w:ind w:firstLine="0"/>
              <w:jc w:val="center"/>
            </w:pPr>
            <w:r>
              <w:t>0.003 $/kWh</w:t>
            </w:r>
          </w:p>
          <w:p w14:paraId="40633619" w14:textId="21EE6C10" w:rsidR="00915652" w:rsidRDefault="008E1C59" w:rsidP="008E1C59">
            <w:pPr>
              <w:pStyle w:val="Corpotesto"/>
              <w:ind w:firstLine="0"/>
              <w:jc w:val="center"/>
            </w:pPr>
            <w:r>
              <w:t>0.001 $/</w:t>
            </w:r>
            <w:proofErr w:type="spellStart"/>
            <w:r>
              <w:t>kWh</w:t>
            </w:r>
            <w:r w:rsidRPr="008E1C59">
              <w:rPr>
                <w:vertAlign w:val="subscript"/>
              </w:rPr>
              <w:t>th</w:t>
            </w:r>
            <w:proofErr w:type="spellEnd"/>
          </w:p>
        </w:tc>
      </w:tr>
    </w:tbl>
    <w:p w14:paraId="328606BB" w14:textId="77777777" w:rsidR="00915652" w:rsidRDefault="00915652" w:rsidP="00702753">
      <w:pPr>
        <w:pStyle w:val="Corpotesto"/>
      </w:pPr>
    </w:p>
    <w:p w14:paraId="46642EB4" w14:textId="65F60A97" w:rsidR="00D82D8C" w:rsidRDefault="00D82D8C" w:rsidP="009D5F3F">
      <w:pPr>
        <w:pStyle w:val="Corpotesto"/>
      </w:pPr>
      <w:r>
        <w:t>The analysis is run considering a Discount Rate of 5%.</w:t>
      </w:r>
      <w:r w:rsidR="00002DB1">
        <w:t xml:space="preserve"> </w:t>
      </w:r>
      <w:r w:rsidR="00002DB1" w:rsidRPr="009D5F3F">
        <w:t>Capital costs were estimated based on typical values of $5000/</w:t>
      </w:r>
      <w:proofErr w:type="spellStart"/>
      <w:r w:rsidR="00002DB1" w:rsidRPr="009D5F3F">
        <w:t>kWe</w:t>
      </w:r>
      <w:proofErr w:type="spellEnd"/>
      <w:r w:rsidR="00002DB1" w:rsidRPr="009D5F3F">
        <w:t xml:space="preserve"> for SMART (SMR</w:t>
      </w:r>
      <w:r w:rsidR="00002DB1">
        <w:t xml:space="preserve"> </w:t>
      </w:r>
      <w:r w:rsidR="00002DB1" w:rsidRPr="009D5F3F">
        <w:t>design by the Korean Atomic Energy Research Institute) and $4000/</w:t>
      </w:r>
      <w:proofErr w:type="spellStart"/>
      <w:r w:rsidR="00002DB1" w:rsidRPr="009D5F3F">
        <w:t>kWe</w:t>
      </w:r>
      <w:proofErr w:type="spellEnd"/>
      <w:r w:rsidR="00002DB1" w:rsidRPr="009D5F3F">
        <w:t xml:space="preserve"> for </w:t>
      </w:r>
      <w:proofErr w:type="spellStart"/>
      <w:r w:rsidR="00002DB1" w:rsidRPr="009D5F3F">
        <w:t>NuScale</w:t>
      </w:r>
      <w:proofErr w:type="spellEnd"/>
      <w:r w:rsidR="00002DB1" w:rsidRPr="009D5F3F">
        <w:t>, at</w:t>
      </w:r>
      <w:r w:rsidR="00002DB1">
        <w:t xml:space="preserve"> </w:t>
      </w:r>
      <w:r w:rsidR="00002DB1" w:rsidRPr="009D5F3F">
        <w:t>the time.</w:t>
      </w:r>
      <w:r w:rsidR="006E517E">
        <w:t xml:space="preserve"> </w:t>
      </w:r>
      <w:r w:rsidR="00002DB1" w:rsidRPr="009D5F3F">
        <w:t>The EIA has estimated an overnight capital cost for a new nuclear reactor to be $5460</w:t>
      </w:r>
      <w:r w:rsidR="00002DB1">
        <w:t xml:space="preserve"> </w:t>
      </w:r>
      <w:proofErr w:type="spellStart"/>
      <w:r w:rsidR="00002DB1" w:rsidRPr="009D5F3F">
        <w:t>kWe</w:t>
      </w:r>
      <w:proofErr w:type="spellEnd"/>
      <w:r w:rsidR="00002DB1" w:rsidRPr="009D5F3F">
        <w:t xml:space="preserve">, adjusted to 2015 USD </w:t>
      </w:r>
      <w:r w:rsidR="00DF1C12">
        <w:fldChar w:fldCharType="begin"/>
      </w:r>
      <w:r w:rsidR="00915297">
        <w:instrText xml:space="preserve"> ADDIN ZOTERO_ITEM CSL_CITATION {"citationID":"Nkf5cyDH","properties":{"formattedCitation":"[18]","plainCitation":"[18]","noteIndex":0},"citationItems":[{"id":923,"uris":["http://zotero.org/users/9075346/items/EMYFZIKV"],"itemData":{"id":923,"type":"article-journal","abstract":"Carbon emission concerns and volatility in fossil fuel resources have renewed world-wide interest in nuclear energy as a solution to growing energy demands. Several large nuclear reactors are currently under construction in the United States, representing the first new construction in over 30 years. Small Modular Reactors (SMRs) have been in design for many years and offer potential technical and economic advantages compared with traditionally larger reactors. Current SMR capital and operational expenses have a wide range of uncertainty. This work evaluates the potential for SMRs in the US, develops a robust techno-economic assessment of SMRs, and leverages the model to evaluate US regulatory fees structures. Modeling includes capital expenses of a factory facility and capital and operational expenses with multiple scenarios explored through a component-level capital cost model. Policy regarding the licensing and regulation of SMRs is under development with proposed annual US regulatory fees evaluated through the developed techno-economic model. Results show regulatory fees are a potential barrier to the economic viability of SMRs with an alternate fee structure proposed and evaluated. The proposed fee structure is based on the re-distribution of fees for all nuclear reactors under a single structure based on reactor thermal power rating.","container-title":"Energy Policy","DOI":"10.1016/j.enpol.2017.01.043","ISSN":"0301-4215","journalAbbreviation":"Energy Policy","page":"395-403","source":"ScienceDirect","title":"Economic evaluation of small modular nuclear reactors and the complications of regulatory fee structures","volume":"104","author":[{"family":"Vegel","given":"Benjamin"},{"family":"Quinn","given":"Jason C."}],"issued":{"date-parts":[["2017",5,1]]}}}],"schema":"https://github.com/citation-style-language/schema/raw/master/csl-citation.json"} </w:instrText>
      </w:r>
      <w:r w:rsidR="00DF1C12">
        <w:fldChar w:fldCharType="separate"/>
      </w:r>
      <w:r w:rsidR="00915297" w:rsidRPr="00915297">
        <w:t>[18]</w:t>
      </w:r>
      <w:r w:rsidR="00DF1C12">
        <w:fldChar w:fldCharType="end"/>
      </w:r>
      <w:r w:rsidR="00002DB1" w:rsidRPr="009D5F3F">
        <w:t>.</w:t>
      </w:r>
      <w:r w:rsidR="006E517E">
        <w:t xml:space="preserve"> </w:t>
      </w:r>
      <w:r w:rsidR="00002DB1" w:rsidRPr="009D5F3F">
        <w:t xml:space="preserve">To consider a worst-case scenario, </w:t>
      </w:r>
      <w:proofErr w:type="gramStart"/>
      <w:r w:rsidR="00002DB1" w:rsidRPr="009D5F3F">
        <w:t>in order to</w:t>
      </w:r>
      <w:proofErr w:type="gramEnd"/>
      <w:r w:rsidR="00002DB1" w:rsidRPr="009D5F3F">
        <w:t xml:space="preserve"> maintain a conservative approach, a value</w:t>
      </w:r>
      <w:r w:rsidR="009D5F3F">
        <w:t xml:space="preserve"> </w:t>
      </w:r>
      <w:r w:rsidR="00002DB1" w:rsidRPr="009D5F3F">
        <w:t>associated with investment costs equal to 6000 $/kWh has been chosen, while the cost of</w:t>
      </w:r>
      <w:r w:rsidR="009D5F3F">
        <w:t xml:space="preserve"> </w:t>
      </w:r>
      <w:r w:rsidR="00002DB1" w:rsidRPr="009D5F3F">
        <w:t>fuel, which also considers mining, conversion, enrichment, and fabrication processes, has</w:t>
      </w:r>
      <w:r w:rsidR="009D5F3F">
        <w:t xml:space="preserve"> </w:t>
      </w:r>
      <w:r w:rsidR="00002DB1" w:rsidRPr="009D5F3F">
        <w:t xml:space="preserve">been calculated </w:t>
      </w:r>
      <w:r w:rsidR="009569E9">
        <w:t>th</w:t>
      </w:r>
      <w:r w:rsidR="00F57800">
        <w:t>rough</w:t>
      </w:r>
      <w:r w:rsidR="00002DB1" w:rsidRPr="009D5F3F">
        <w:t xml:space="preserve"> wise-uranium.org, setting a value for the SMR burnup equal to 35</w:t>
      </w:r>
      <w:r w:rsidR="009D5F3F">
        <w:t xml:space="preserve"> </w:t>
      </w:r>
      <w:proofErr w:type="spellStart"/>
      <w:r w:rsidR="00002DB1" w:rsidRPr="009D5F3F">
        <w:t>GWd</w:t>
      </w:r>
      <w:proofErr w:type="spellEnd"/>
      <w:r w:rsidR="00002DB1" w:rsidRPr="009D5F3F">
        <w:t>/</w:t>
      </w:r>
      <w:proofErr w:type="spellStart"/>
      <w:r w:rsidR="00002DB1" w:rsidRPr="009D5F3F">
        <w:t>tHM</w:t>
      </w:r>
      <w:proofErr w:type="spellEnd"/>
      <w:r w:rsidR="00002DB1" w:rsidRPr="009D5F3F">
        <w:t>.</w:t>
      </w:r>
    </w:p>
    <w:p w14:paraId="453FB55F" w14:textId="265A49DD" w:rsidR="006E517E" w:rsidRDefault="003E1865" w:rsidP="006E517E">
      <w:pPr>
        <w:pStyle w:val="Corpotesto"/>
      </w:pPr>
      <w:r>
        <w:t>A first run of 2035 in operation mode is performed to establish a base case, with only the foreseen technologies. Subsequently, t</w:t>
      </w:r>
      <w:r w:rsidR="006E517E">
        <w:t xml:space="preserve">wo scenarios are proposed to evaluate the role of SMRs in the future of the Bolivian power system. </w:t>
      </w:r>
    </w:p>
    <w:p w14:paraId="2C5AB432" w14:textId="737D8904" w:rsidR="008874AE" w:rsidRDefault="008874AE" w:rsidP="008874AE">
      <w:pPr>
        <w:pStyle w:val="Titolo4"/>
        <w:ind w:left="0"/>
      </w:pPr>
      <w:r>
        <w:t>First Scenario</w:t>
      </w:r>
    </w:p>
    <w:p w14:paraId="09D8361E" w14:textId="1627863F" w:rsidR="00042FB7" w:rsidRPr="00042FB7" w:rsidRDefault="00042FB7" w:rsidP="00042FB7">
      <w:pPr>
        <w:pStyle w:val="Corpotesto"/>
      </w:pPr>
      <w:r w:rsidRPr="00042FB7">
        <w:t xml:space="preserve">The first scenario </w:t>
      </w:r>
      <w:r w:rsidR="007D667C">
        <w:t xml:space="preserve">encompasses the possibility to install only new nuclear power, in terms of SMRs, </w:t>
      </w:r>
      <w:r w:rsidR="00AD0957">
        <w:t>meet</w:t>
      </w:r>
      <w:r w:rsidRPr="00042FB7">
        <w:t xml:space="preserve"> the given </w:t>
      </w:r>
      <w:r w:rsidR="00AD0957">
        <w:t xml:space="preserve">national </w:t>
      </w:r>
      <w:r w:rsidRPr="00042FB7">
        <w:t>load</w:t>
      </w:r>
      <w:r w:rsidR="00AD0957">
        <w:t xml:space="preserve"> of 2035</w:t>
      </w:r>
      <w:r w:rsidRPr="00042FB7">
        <w:t>.</w:t>
      </w:r>
      <w:r>
        <w:t xml:space="preserve"> </w:t>
      </w:r>
      <w:r w:rsidR="00AD0957">
        <w:t xml:space="preserve">The </w:t>
      </w:r>
      <w:r w:rsidR="00D112E1">
        <w:t>model will determine the economically optimal solution (lowest LCOE) in terms of new capacity installed and power production from previously existing and newly installed energy supply technologies, limiting the new nuclear power to a m</w:t>
      </w:r>
      <w:r w:rsidR="00D75768">
        <w:t xml:space="preserve">aximum 3 units (340 MW each, as per </w:t>
      </w:r>
      <w:r w:rsidR="00905664">
        <w:fldChar w:fldCharType="begin"/>
      </w:r>
      <w:r w:rsidR="00905664">
        <w:instrText xml:space="preserve"> REF _Ref167715421 \h </w:instrText>
      </w:r>
      <w:r w:rsidR="00905664">
        <w:fldChar w:fldCharType="separate"/>
      </w:r>
      <w:r w:rsidR="00905664">
        <w:t xml:space="preserve">TABLE </w:t>
      </w:r>
      <w:r w:rsidR="00905664">
        <w:rPr>
          <w:noProof/>
        </w:rPr>
        <w:t>1</w:t>
      </w:r>
      <w:r w:rsidR="00905664">
        <w:fldChar w:fldCharType="end"/>
      </w:r>
      <w:r w:rsidR="00D75768">
        <w:t>)</w:t>
      </w:r>
      <w:r w:rsidR="00C1722D">
        <w:t>.</w:t>
      </w:r>
    </w:p>
    <w:p w14:paraId="0CBBE29E" w14:textId="0C4B9170" w:rsidR="008874AE" w:rsidRDefault="008874AE" w:rsidP="008874AE">
      <w:pPr>
        <w:pStyle w:val="Titolo4"/>
        <w:ind w:left="0"/>
      </w:pPr>
      <w:r>
        <w:t>Second Scenario</w:t>
      </w:r>
    </w:p>
    <w:p w14:paraId="2BA6781D" w14:textId="02D9A325" w:rsidR="008874AE" w:rsidRPr="00D40664" w:rsidRDefault="00C1722D" w:rsidP="00183D07">
      <w:pPr>
        <w:pStyle w:val="Corpotesto"/>
      </w:pPr>
      <w:r>
        <w:t xml:space="preserve">The second </w:t>
      </w:r>
      <w:r w:rsidRPr="00183D07">
        <w:t>scenario</w:t>
      </w:r>
      <w:r w:rsidR="00183D07" w:rsidRPr="00183D07">
        <w:t xml:space="preserve"> </w:t>
      </w:r>
      <w:r w:rsidR="00752B84">
        <w:t xml:space="preserve">allows installation of not only new nuclear power, but as well </w:t>
      </w:r>
      <w:r w:rsidR="00183D07" w:rsidRPr="00183D07">
        <w:t xml:space="preserve">new </w:t>
      </w:r>
      <w:r w:rsidR="00752B84">
        <w:t>wind turbines</w:t>
      </w:r>
      <w:r w:rsidR="00183D07" w:rsidRPr="00183D07">
        <w:t xml:space="preserve"> and</w:t>
      </w:r>
      <w:r w:rsidR="00183D07">
        <w:t xml:space="preserve"> </w:t>
      </w:r>
      <w:r w:rsidR="00183D07" w:rsidRPr="00183D07">
        <w:t xml:space="preserve">photovoltaic systems in addition to </w:t>
      </w:r>
      <w:r w:rsidR="00752B84">
        <w:t>it</w:t>
      </w:r>
      <w:r w:rsidR="00183D07" w:rsidRPr="00183D07">
        <w:t>.</w:t>
      </w:r>
      <w:r w:rsidR="00183D07">
        <w:t xml:space="preserve"> </w:t>
      </w:r>
      <w:r w:rsidR="00183D07" w:rsidRPr="00183D07">
        <w:t>While the same restrictions</w:t>
      </w:r>
      <w:r w:rsidR="00A07354">
        <w:t xml:space="preserve"> of maximum 3 units</w:t>
      </w:r>
      <w:r w:rsidR="00183D07" w:rsidRPr="00183D07">
        <w:t xml:space="preserve"> apply to nuclear power, no restrictions</w:t>
      </w:r>
      <w:r w:rsidR="00183D07">
        <w:t xml:space="preserve"> </w:t>
      </w:r>
      <w:r w:rsidR="00183D07" w:rsidRPr="00183D07">
        <w:t>have been placed on the maximum capacity that can be installed for wind turbines</w:t>
      </w:r>
      <w:r w:rsidR="00183D07">
        <w:t xml:space="preserve"> </w:t>
      </w:r>
      <w:r w:rsidR="00183D07" w:rsidRPr="00183D07">
        <w:t>and solar photovoltaic.</w:t>
      </w:r>
      <w:r w:rsidR="00183D07">
        <w:t xml:space="preserve"> </w:t>
      </w:r>
      <w:r w:rsidR="00183D07" w:rsidRPr="00183D07">
        <w:t>The only restrictions for these renewable technologies are those related to the availability</w:t>
      </w:r>
      <w:r w:rsidR="00183D07">
        <w:t xml:space="preserve"> </w:t>
      </w:r>
      <w:r w:rsidR="00183D07" w:rsidRPr="00183D07">
        <w:t xml:space="preserve">of their resources, </w:t>
      </w:r>
      <w:r w:rsidR="00752B84">
        <w:t xml:space="preserve">obtained via the online tool </w:t>
      </w:r>
      <w:proofErr w:type="spellStart"/>
      <w:r w:rsidR="00752B84" w:rsidRPr="00D33D80">
        <w:rPr>
          <w:i/>
          <w:iCs/>
        </w:rPr>
        <w:t>renewables.ninja</w:t>
      </w:r>
      <w:proofErr w:type="spellEnd"/>
      <w:r w:rsidR="00752B84">
        <w:t xml:space="preserve"> </w:t>
      </w:r>
      <w:r w:rsidR="00D33D80">
        <w:fldChar w:fldCharType="begin"/>
      </w:r>
      <w:r w:rsidR="00915297">
        <w:instrText xml:space="preserve"> ADDIN ZOTERO_ITEM CSL_CITATION {"citationID":"X33Xk9XP","properties":{"formattedCitation":"[19], [20]","plainCitation":"[19], [20]","noteIndex":0},"citationItems":[{"id":462,"uris":["http://zotero.org/users/9075346/items/6A286KEA"],"itemData":{"id":462,"type":"article-journal","abstract":"Reanalysis models are rapidly gaining popularity for simulating wind power output due to their convenience and global coverage. However, they should only be relied upon once thoroughly proven. This paper reports the first international validation of reanalysis for wind energy, testing NASA's MERRA and MERRA-2 in 23 European countries. Both reanalyses suffer significant spatial bias, overestimating wind output by 50% in northwest Europe and underestimating by 30% in the Mediterranean. We derive national correction factors, and show that after calibration national hourly output can be modelled with R2 above 0.95. Our underlying data are made freely available to aid future research. We then assess Europe's wind resources with twenty-year simulations of the current and potential future fleets. Europe's current average capacity factor is 24.2%, with countries ranging from 19.5% (Germany) to 32.4% (Britain). Capacity factors are rising due to improving technology and locations; for example, Britain's wind fleet is now 23% more productive than in 2005. Based on the current planning pipeline, we estimate Europe's average capacity factor could increase by nearly a third to 31.3%. Countries with large stakes in the North Sea will see significant gains, with Britain's average capacity factor rising to 39.4% and Germany's to 29.1%.","container-title":"Energy","DOI":"10.1016/j.energy.2016.08.068","ISSN":"0360-5442","journalAbbreviation":"Energy","language":"en","page":"1224-1239","source":"ScienceDirect","title":"Using bias-corrected reanalysis to simulate current and future wind power output","volume":"114","author":[{"family":"Staffell","given":"Iain"},{"family":"Pfenninger","given":"Stefan"}],"issued":{"date-parts":[["2016",11,1]]}}},{"id":212,"uris":["http://zotero.org/users/9075346/items/VIX4SRMN"],"itemData":{"id":212,"type":"article-journal","abstract":"Solar PV is rapidly growing globally, creating difficult questions around how to efficiently integrate it into national electricity grids. Its time-varying power output is difficult to model credibly because it depends on complex and variable weather systems, leading to difficulty in understanding its potential and limitations. We demonstrate how the MERRA and MERRA-2 global meteorological reanalyses as well as the Meteosat-based CM-SAF SARAH satellite dataset can be used to produce hourly PV simulations across Europe. To validate these simulations, we gather metered time series from more than 1000 PV systems as well as national aggregate output reported by transmission network operators. We find slightly better accuracy from satellite data, but greater stability from reanalysis data. We correct for systematic bias by matching our simulations to the mean bias in modeling individual sites, then examine the long-term patterns, variability and correlation with power demand across Europe, using thirty years of simulated outputs. The results quantify how the increasing deployment of PV substantially changes net power demand and affects system adequacy and ramping requirements, with heterogeneous impacts across different European countries. The simulation code and the hourly simulations for all European countries are available freely via an interactive web platform, www.renewables.ninja.","container-title":"Energy","DOI":"10.1016/j.energy.2016.08.060","ISSN":"03605442","note":"publisher: Elsevier Ltd","page":"1251-1265","title":"Long-term patterns of European PV output using 30 years of validated hourly reanalysis and satellite data","volume":"114","author":[{"family":"Pfenninger","given":"Stefan"},{"family":"Staffell","given":"Iain"}],"issued":{"date-parts":[["2016"]]}}}],"schema":"https://github.com/citation-style-language/schema/raw/master/csl-citation.json"} </w:instrText>
      </w:r>
      <w:r w:rsidR="00D33D80">
        <w:fldChar w:fldCharType="separate"/>
      </w:r>
      <w:r w:rsidR="00915297" w:rsidRPr="00915297">
        <w:t>[19], [20]</w:t>
      </w:r>
      <w:r w:rsidR="00D33D80">
        <w:fldChar w:fldCharType="end"/>
      </w:r>
      <w:r w:rsidR="00183D07" w:rsidRPr="00183D07">
        <w:t>.</w:t>
      </w:r>
      <w:r w:rsidR="00DC4825">
        <w:t xml:space="preserve"> The same optimization will determine the cost-optimal configuration.</w:t>
      </w:r>
    </w:p>
    <w:p w14:paraId="0EFE30F1" w14:textId="25D8C5EA" w:rsidR="00240629" w:rsidRDefault="00EF3F03" w:rsidP="00240629">
      <w:pPr>
        <w:pStyle w:val="Titolo3"/>
      </w:pPr>
      <w:r w:rsidRPr="00EF3F03">
        <w:t>Sensitivity Analysis</w:t>
      </w:r>
    </w:p>
    <w:p w14:paraId="7F891F3A" w14:textId="2C9B914A" w:rsidR="00646B2D" w:rsidRDefault="00C1722D" w:rsidP="00646B2D">
      <w:pPr>
        <w:pStyle w:val="Corpotesto"/>
      </w:pPr>
      <w:r>
        <w:t>To</w:t>
      </w:r>
      <w:r w:rsidR="009D2472">
        <w:t xml:space="preserve"> explore the </w:t>
      </w:r>
      <w:r w:rsidR="00EE06A6">
        <w:t>cost of technology</w:t>
      </w:r>
      <w:r w:rsidR="009D2472">
        <w:t xml:space="preserve"> and </w:t>
      </w:r>
      <w:r w:rsidR="00EE06A6">
        <w:t xml:space="preserve">national </w:t>
      </w:r>
      <w:r w:rsidR="009D2472">
        <w:t>financial conditions</w:t>
      </w:r>
      <w:r w:rsidR="00EE06A6">
        <w:t xml:space="preserve"> that would determine the inclusion or exclusion of nuclear power from the future cost-optimal energy mix, a sensitivity analysis is </w:t>
      </w:r>
      <w:r w:rsidR="00161D30">
        <w:t>performed on</w:t>
      </w:r>
      <w:r w:rsidR="00646B2D" w:rsidRPr="00646B2D">
        <w:t xml:space="preserve"> the</w:t>
      </w:r>
      <w:r w:rsidR="00646B2D">
        <w:t xml:space="preserve"> </w:t>
      </w:r>
      <w:r w:rsidR="00646B2D" w:rsidRPr="00646B2D">
        <w:t>interest rate and the investment costs values</w:t>
      </w:r>
      <w:r w:rsidR="005613C6">
        <w:t>.</w:t>
      </w:r>
    </w:p>
    <w:p w14:paraId="4662F703" w14:textId="4E936CE5" w:rsidR="00F512DA" w:rsidRDefault="00F512DA" w:rsidP="00646B2D">
      <w:pPr>
        <w:pStyle w:val="Corpotesto"/>
      </w:pPr>
      <w:r>
        <w:t xml:space="preserve">Interest rates are varied on the values of 5%, 7%, 9% and 11%, while investment cost of </w:t>
      </w:r>
      <w:r w:rsidR="00D65F6B">
        <w:t xml:space="preserve">SMRs is varied across the values of 6000, 8000, 10000, 12000 and 13000 </w:t>
      </w:r>
      <w:r w:rsidR="005613C6">
        <w:t>$/</w:t>
      </w:r>
      <w:proofErr w:type="spellStart"/>
      <w:r w:rsidR="005613C6">
        <w:t>kW</w:t>
      </w:r>
      <w:r w:rsidR="00F76EE7">
        <w:t>e</w:t>
      </w:r>
      <w:proofErr w:type="spellEnd"/>
      <w:r w:rsidR="005613C6">
        <w:t>.</w:t>
      </w:r>
    </w:p>
    <w:p w14:paraId="018F0A0F" w14:textId="26397E07" w:rsidR="008575BF" w:rsidRDefault="005613C6" w:rsidP="00AE2501">
      <w:pPr>
        <w:pStyle w:val="Corpotesto"/>
      </w:pPr>
      <w:r>
        <w:t xml:space="preserve">This analysis will allow to identify </w:t>
      </w:r>
      <w:r w:rsidRPr="00646B2D">
        <w:t>when the introduction of nuclear power is no longer economically</w:t>
      </w:r>
      <w:r>
        <w:t xml:space="preserve"> </w:t>
      </w:r>
      <w:r w:rsidRPr="00646B2D">
        <w:t>affordable</w:t>
      </w:r>
      <w:r>
        <w:t xml:space="preserve">, according to technology readiness and national </w:t>
      </w:r>
      <w:r w:rsidR="00AE2501">
        <w:t xml:space="preserve">financial conditions and </w:t>
      </w:r>
      <w:r>
        <w:t>policies</w:t>
      </w:r>
      <w:r w:rsidRPr="00646B2D">
        <w:t>.</w:t>
      </w:r>
    </w:p>
    <w:p w14:paraId="1B297C48" w14:textId="4ED3220A" w:rsidR="00EE0041" w:rsidRPr="00516117" w:rsidRDefault="00035C69" w:rsidP="0026525A">
      <w:pPr>
        <w:pStyle w:val="Titolo2"/>
        <w:numPr>
          <w:ilvl w:val="1"/>
          <w:numId w:val="10"/>
        </w:numPr>
      </w:pPr>
      <w:r w:rsidRPr="00516117">
        <w:t>Results</w:t>
      </w:r>
    </w:p>
    <w:p w14:paraId="2191A402" w14:textId="2A72C211" w:rsidR="00EE0041" w:rsidRDefault="00064B61" w:rsidP="00537496">
      <w:pPr>
        <w:pStyle w:val="Corpotesto"/>
      </w:pPr>
      <w:r>
        <w:lastRenderedPageBreak/>
        <w:t xml:space="preserve">The results of the </w:t>
      </w:r>
      <w:r w:rsidR="00107094">
        <w:t>four</w:t>
      </w:r>
      <w:r>
        <w:t xml:space="preserve"> optimizations</w:t>
      </w:r>
      <w:r w:rsidR="00107094">
        <w:t>, 2022 Operation, 2035 Operation, 2035 Planning S1 and S2,</w:t>
      </w:r>
      <w:r>
        <w:t xml:space="preserve"> are hereby reported and discussed.</w:t>
      </w:r>
    </w:p>
    <w:p w14:paraId="6B4DB000" w14:textId="245EF112" w:rsidR="008B6BB9" w:rsidRDefault="005E2BCD" w:rsidP="00232BB6">
      <w:pPr>
        <w:pStyle w:val="Titolo3"/>
        <w:numPr>
          <w:ilvl w:val="2"/>
          <w:numId w:val="34"/>
        </w:numPr>
      </w:pPr>
      <w:r>
        <w:t>2022 Power System Validation</w:t>
      </w:r>
    </w:p>
    <w:p w14:paraId="784BBF5C" w14:textId="4474DC11" w:rsidR="005D09BF" w:rsidRDefault="005D09BF" w:rsidP="005D09BF">
      <w:pPr>
        <w:pStyle w:val="Corpotesto"/>
      </w:pPr>
      <w:r>
        <w:t xml:space="preserve">The results obtained from running the 2022 Power System in operation mode </w:t>
      </w:r>
      <w:r w:rsidR="00C04354">
        <w:t xml:space="preserve">(no possibility to install new </w:t>
      </w:r>
      <w:r w:rsidR="00816D30">
        <w:t>capacity, optimizing dispatch of existing technologies</w:t>
      </w:r>
      <w:r w:rsidR="00C04354">
        <w:t>)</w:t>
      </w:r>
      <w:r w:rsidR="00816D30">
        <w:t xml:space="preserve">, allows to verify the goodness of the built model, that will serve as starting point for the two </w:t>
      </w:r>
      <w:r w:rsidR="00911DD2">
        <w:t xml:space="preserve">future </w:t>
      </w:r>
      <w:r w:rsidR="00816D30">
        <w:t>planning</w:t>
      </w:r>
      <w:r w:rsidR="00911DD2">
        <w:t xml:space="preserve"> scenarios</w:t>
      </w:r>
      <w:r w:rsidR="00430146">
        <w:t xml:space="preserve">, </w:t>
      </w:r>
      <w:r w:rsidR="00430146">
        <w:fldChar w:fldCharType="begin"/>
      </w:r>
      <w:r w:rsidR="00430146">
        <w:instrText xml:space="preserve"> REF _Ref167715552 \h </w:instrText>
      </w:r>
      <w:r w:rsidR="00430146">
        <w:fldChar w:fldCharType="separate"/>
      </w:r>
      <w:r w:rsidR="00430146">
        <w:t xml:space="preserve">FIG. </w:t>
      </w:r>
      <w:r w:rsidR="00430146">
        <w:rPr>
          <w:noProof/>
        </w:rPr>
        <w:t>4</w:t>
      </w:r>
      <w:r w:rsidR="00430146">
        <w:fldChar w:fldCharType="end"/>
      </w:r>
      <w:r w:rsidR="00B47B16">
        <w:t xml:space="preserve"> shows a comparison between annual electricity production as reported by the national electricity committee and the results from the model run</w:t>
      </w:r>
      <w:r w:rsidR="00911DD2">
        <w:t>.</w:t>
      </w:r>
    </w:p>
    <w:p w14:paraId="725EA822" w14:textId="77777777" w:rsidR="00BC3C17" w:rsidRDefault="00BC3C17" w:rsidP="00BC3C17">
      <w:pPr>
        <w:pStyle w:val="Corpotesto"/>
        <w:keepNext/>
        <w:jc w:val="center"/>
      </w:pPr>
      <w:r w:rsidRPr="00BC3C17">
        <w:rPr>
          <w:noProof/>
        </w:rPr>
        <w:drawing>
          <wp:inline distT="0" distB="0" distL="0" distR="0" wp14:anchorId="00973ED2" wp14:editId="28DCBAA6">
            <wp:extent cx="5729605" cy="2343785"/>
            <wp:effectExtent l="0" t="0" r="0" b="0"/>
            <wp:docPr id="872430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605" cy="2343785"/>
                    </a:xfrm>
                    <a:prstGeom prst="rect">
                      <a:avLst/>
                    </a:prstGeom>
                    <a:noFill/>
                    <a:ln>
                      <a:noFill/>
                    </a:ln>
                  </pic:spPr>
                </pic:pic>
              </a:graphicData>
            </a:graphic>
          </wp:inline>
        </w:drawing>
      </w:r>
    </w:p>
    <w:p w14:paraId="252BE874" w14:textId="1C3585F0" w:rsidR="00911DD2" w:rsidRPr="009F56E6" w:rsidRDefault="00BC3C17" w:rsidP="00BC3C17">
      <w:pPr>
        <w:pStyle w:val="Didascalia"/>
        <w:jc w:val="center"/>
        <w:rPr>
          <w:i/>
          <w:iCs/>
        </w:rPr>
      </w:pPr>
      <w:bookmarkStart w:id="4" w:name="_Ref167715552"/>
      <w:r w:rsidRPr="009F56E6">
        <w:rPr>
          <w:i/>
          <w:iCs/>
        </w:rPr>
        <w:t xml:space="preserve">FIG. </w:t>
      </w:r>
      <w:r w:rsidRPr="009F56E6">
        <w:rPr>
          <w:i/>
          <w:iCs/>
        </w:rPr>
        <w:fldChar w:fldCharType="begin"/>
      </w:r>
      <w:r w:rsidRPr="009F56E6">
        <w:rPr>
          <w:i/>
          <w:iCs/>
        </w:rPr>
        <w:instrText xml:space="preserve"> SEQ FIG. \* ARABIC </w:instrText>
      </w:r>
      <w:r w:rsidRPr="009F56E6">
        <w:rPr>
          <w:i/>
          <w:iCs/>
        </w:rPr>
        <w:fldChar w:fldCharType="separate"/>
      </w:r>
      <w:r w:rsidR="00CF7B54" w:rsidRPr="009F56E6">
        <w:rPr>
          <w:i/>
          <w:iCs/>
          <w:noProof/>
        </w:rPr>
        <w:t>4</w:t>
      </w:r>
      <w:r w:rsidRPr="009F56E6">
        <w:rPr>
          <w:i/>
          <w:iCs/>
        </w:rPr>
        <w:fldChar w:fldCharType="end"/>
      </w:r>
      <w:bookmarkEnd w:id="4"/>
      <w:r w:rsidR="0083229E" w:rsidRPr="009F56E6">
        <w:rPr>
          <w:i/>
          <w:iCs/>
        </w:rPr>
        <w:t>. Left: recorded electricity generation in Bolivia in 2022 by source</w:t>
      </w:r>
      <w:r w:rsidR="00BA2F43" w:rsidRPr="009F56E6">
        <w:rPr>
          <w:i/>
          <w:iCs/>
        </w:rPr>
        <w:t xml:space="preserve">: </w:t>
      </w:r>
      <w:r w:rsidR="00F035F4" w:rsidRPr="009F56E6">
        <w:rPr>
          <w:i/>
          <w:iCs/>
        </w:rPr>
        <w:t xml:space="preserve">OCGT: 6%, CCGT: 56.9%, Wind: 4%, Hydro: 27%, Bio: 2.7%, Solar: </w:t>
      </w:r>
      <w:r w:rsidR="00315F14" w:rsidRPr="009F56E6">
        <w:rPr>
          <w:i/>
          <w:iCs/>
        </w:rPr>
        <w:t>3.3%, Others: 0.5%</w:t>
      </w:r>
      <w:r w:rsidR="00BA2F43" w:rsidRPr="009F56E6">
        <w:rPr>
          <w:i/>
          <w:iCs/>
        </w:rPr>
        <w:t>. Right: results from Calliope Operation Bolivia 2022</w:t>
      </w:r>
      <w:r w:rsidR="00315F14" w:rsidRPr="009F56E6">
        <w:rPr>
          <w:i/>
          <w:iCs/>
        </w:rPr>
        <w:t xml:space="preserve">: OCGT: 6%, </w:t>
      </w:r>
      <w:r w:rsidR="00713E24" w:rsidRPr="009F56E6">
        <w:rPr>
          <w:i/>
          <w:iCs/>
        </w:rPr>
        <w:t>CCGT: 56.3% Wind: 3.9% Hydro: 28%, Bio 2%, Solar: 3.5%</w:t>
      </w:r>
      <w:r w:rsidR="00BA2F43" w:rsidRPr="009F56E6">
        <w:rPr>
          <w:i/>
          <w:iCs/>
        </w:rPr>
        <w:t>.</w:t>
      </w:r>
    </w:p>
    <w:p w14:paraId="36ECC105" w14:textId="77777777" w:rsidR="00232BB6" w:rsidRDefault="00232BB6" w:rsidP="00232BB6">
      <w:pPr>
        <w:rPr>
          <w:lang w:val="en-US"/>
        </w:rPr>
      </w:pPr>
    </w:p>
    <w:p w14:paraId="438C9EC2" w14:textId="50444AC8" w:rsidR="00232BB6" w:rsidRPr="00232BB6" w:rsidRDefault="00232BB6" w:rsidP="00232BB6">
      <w:pPr>
        <w:pStyle w:val="Corpotesto"/>
      </w:pPr>
      <w:r w:rsidRPr="00232BB6">
        <w:t xml:space="preserve">The </w:t>
      </w:r>
      <w:r>
        <w:t>results allow to consider the input data and the proposed model suitable for the analysis at hand.</w:t>
      </w:r>
    </w:p>
    <w:p w14:paraId="5B63116F" w14:textId="15928589" w:rsidR="005E2BCD" w:rsidRDefault="005E2BCD" w:rsidP="005E2BCD">
      <w:pPr>
        <w:pStyle w:val="Titolo3"/>
      </w:pPr>
      <w:r>
        <w:t>2035 Power System with Nuclear Scenarios</w:t>
      </w:r>
    </w:p>
    <w:p w14:paraId="20BBC661" w14:textId="4949E318" w:rsidR="000138C0" w:rsidRPr="000138C0" w:rsidRDefault="000138C0" w:rsidP="000138C0">
      <w:pPr>
        <w:pStyle w:val="Corpotesto"/>
      </w:pPr>
      <w:r w:rsidRPr="000138C0">
        <w:t xml:space="preserve">In </w:t>
      </w:r>
      <w:r w:rsidR="00B47B16">
        <w:rPr>
          <w:highlight w:val="yellow"/>
        </w:rPr>
        <w:fldChar w:fldCharType="begin"/>
      </w:r>
      <w:r w:rsidR="00B47B16">
        <w:instrText xml:space="preserve"> REF _Ref167715597 \h </w:instrText>
      </w:r>
      <w:r w:rsidR="00B47B16">
        <w:rPr>
          <w:highlight w:val="yellow"/>
        </w:rPr>
      </w:r>
      <w:r w:rsidR="00B47B16">
        <w:rPr>
          <w:highlight w:val="yellow"/>
        </w:rPr>
        <w:fldChar w:fldCharType="separate"/>
      </w:r>
      <w:r w:rsidR="00B47B16">
        <w:t xml:space="preserve">FIG. </w:t>
      </w:r>
      <w:r w:rsidR="00B47B16">
        <w:rPr>
          <w:noProof/>
        </w:rPr>
        <w:t>5</w:t>
      </w:r>
      <w:r w:rsidR="00B47B16">
        <w:rPr>
          <w:highlight w:val="yellow"/>
        </w:rPr>
        <w:fldChar w:fldCharType="end"/>
      </w:r>
      <w:r w:rsidRPr="000138C0">
        <w:t>, the generation of 2035, optimized in terms of optimal economics</w:t>
      </w:r>
      <w:r>
        <w:t xml:space="preserve"> </w:t>
      </w:r>
      <w:r w:rsidRPr="000138C0">
        <w:t>by Calliope for 2035, is shown.</w:t>
      </w:r>
    </w:p>
    <w:p w14:paraId="758404F5" w14:textId="77777777" w:rsidR="005C687B" w:rsidRDefault="005C687B" w:rsidP="005C687B">
      <w:pPr>
        <w:pStyle w:val="Corpotesto"/>
        <w:keepNext/>
        <w:jc w:val="center"/>
      </w:pPr>
      <w:r w:rsidRPr="005C687B">
        <w:rPr>
          <w:noProof/>
        </w:rPr>
        <w:drawing>
          <wp:inline distT="0" distB="0" distL="0" distR="0" wp14:anchorId="3D972229" wp14:editId="309FFED3">
            <wp:extent cx="2509975" cy="2228127"/>
            <wp:effectExtent l="0" t="0" r="5080" b="1270"/>
            <wp:docPr id="888383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729" cy="2232347"/>
                    </a:xfrm>
                    <a:prstGeom prst="rect">
                      <a:avLst/>
                    </a:prstGeom>
                    <a:noFill/>
                    <a:ln>
                      <a:noFill/>
                    </a:ln>
                  </pic:spPr>
                </pic:pic>
              </a:graphicData>
            </a:graphic>
          </wp:inline>
        </w:drawing>
      </w:r>
    </w:p>
    <w:p w14:paraId="624CE0E2" w14:textId="6534C893" w:rsidR="00232BB6" w:rsidRPr="009F56E6" w:rsidRDefault="005C687B" w:rsidP="005C687B">
      <w:pPr>
        <w:pStyle w:val="Didascalia"/>
        <w:jc w:val="center"/>
        <w:rPr>
          <w:i/>
          <w:iCs/>
        </w:rPr>
      </w:pPr>
      <w:bookmarkStart w:id="5" w:name="_Ref167715597"/>
      <w:r w:rsidRPr="009F56E6">
        <w:rPr>
          <w:i/>
          <w:iCs/>
        </w:rPr>
        <w:t xml:space="preserve">FIG. </w:t>
      </w:r>
      <w:r w:rsidRPr="009F56E6">
        <w:rPr>
          <w:i/>
          <w:iCs/>
        </w:rPr>
        <w:fldChar w:fldCharType="begin"/>
      </w:r>
      <w:r w:rsidRPr="009F56E6">
        <w:rPr>
          <w:i/>
          <w:iCs/>
        </w:rPr>
        <w:instrText xml:space="preserve"> SEQ FIG. \* ARABIC </w:instrText>
      </w:r>
      <w:r w:rsidRPr="009F56E6">
        <w:rPr>
          <w:i/>
          <w:iCs/>
        </w:rPr>
        <w:fldChar w:fldCharType="separate"/>
      </w:r>
      <w:r w:rsidR="00CF7B54" w:rsidRPr="009F56E6">
        <w:rPr>
          <w:i/>
          <w:iCs/>
          <w:noProof/>
        </w:rPr>
        <w:t>5</w:t>
      </w:r>
      <w:r w:rsidRPr="009F56E6">
        <w:rPr>
          <w:i/>
          <w:iCs/>
        </w:rPr>
        <w:fldChar w:fldCharType="end"/>
      </w:r>
      <w:bookmarkEnd w:id="5"/>
      <w:r w:rsidR="00A2582C" w:rsidRPr="009F56E6">
        <w:rPr>
          <w:i/>
          <w:iCs/>
        </w:rPr>
        <w:t>. Total electricity generation by source in the base case 2035.</w:t>
      </w:r>
    </w:p>
    <w:p w14:paraId="17C7C314" w14:textId="77777777" w:rsidR="00232BB6" w:rsidRDefault="00232BB6" w:rsidP="00232BB6">
      <w:pPr>
        <w:pStyle w:val="Titolo4"/>
        <w:ind w:left="0"/>
      </w:pPr>
      <w:r>
        <w:t>First Scenario</w:t>
      </w:r>
    </w:p>
    <w:p w14:paraId="37A67124" w14:textId="615339B5" w:rsidR="00C04084" w:rsidRPr="00C04084" w:rsidRDefault="00C04084" w:rsidP="00C04084">
      <w:pPr>
        <w:pStyle w:val="Corpotesto"/>
      </w:pPr>
      <w:r w:rsidRPr="00C04084">
        <w:t>As a result, the introduction of two SMRs (340 MWe each) was achieved.</w:t>
      </w:r>
      <w:r w:rsidR="00CA5F50">
        <w:t xml:space="preserve"> </w:t>
      </w:r>
      <w:r w:rsidRPr="00C04084">
        <w:t>Thus, among the technologies to be purchased and installed, not only nuclear energy is</w:t>
      </w:r>
      <w:r w:rsidR="00CA5F50">
        <w:t xml:space="preserve"> </w:t>
      </w:r>
      <w:r w:rsidRPr="00C04084">
        <w:t>chosen, but the optimal solution for Calliope is the installation of two SMRs.</w:t>
      </w:r>
    </w:p>
    <w:p w14:paraId="72F642F7" w14:textId="7E2CCFDE" w:rsidR="00C04084" w:rsidRDefault="00C04084" w:rsidP="00C04084">
      <w:pPr>
        <w:pStyle w:val="Corpotesto"/>
      </w:pPr>
      <w:r w:rsidRPr="00C04084">
        <w:lastRenderedPageBreak/>
        <w:t>In this scenario, a drastic reduction in energy production from fossil sources was achieved,</w:t>
      </w:r>
      <w:r w:rsidR="00CA5F50">
        <w:t xml:space="preserve"> </w:t>
      </w:r>
      <w:proofErr w:type="gramStart"/>
      <w:r w:rsidRPr="00C04084">
        <w:t>in particular a</w:t>
      </w:r>
      <w:proofErr w:type="gramEnd"/>
      <w:r w:rsidRPr="00C04084">
        <w:t xml:space="preserve"> sharp decrease in CCGT (which today covers more than 50% of Bolivia’s</w:t>
      </w:r>
      <w:r w:rsidR="00CA5F50">
        <w:t xml:space="preserve"> </w:t>
      </w:r>
      <w:r w:rsidRPr="00C04084">
        <w:t>energy needs) and OCGT in the energy supply</w:t>
      </w:r>
      <w:r w:rsidR="00CF7B54">
        <w:t xml:space="preserve">, as shown in </w:t>
      </w:r>
      <w:r w:rsidR="00CF7B54">
        <w:fldChar w:fldCharType="begin"/>
      </w:r>
      <w:r w:rsidR="00CF7B54">
        <w:instrText xml:space="preserve"> REF _Ref167720626 \h </w:instrText>
      </w:r>
      <w:r w:rsidR="00CF7B54">
        <w:fldChar w:fldCharType="separate"/>
      </w:r>
      <w:r w:rsidR="00CF7B54">
        <w:t xml:space="preserve">FIG. </w:t>
      </w:r>
      <w:r w:rsidR="00CF7B54">
        <w:rPr>
          <w:noProof/>
        </w:rPr>
        <w:t>6</w:t>
      </w:r>
      <w:r w:rsidR="00CF7B54">
        <w:fldChar w:fldCharType="end"/>
      </w:r>
      <w:r w:rsidRPr="00C04084">
        <w:t>.</w:t>
      </w:r>
    </w:p>
    <w:p w14:paraId="244934CC" w14:textId="77777777" w:rsidR="00CA5F50" w:rsidRDefault="00CA5F50" w:rsidP="00C04084">
      <w:pPr>
        <w:pStyle w:val="Corpotesto"/>
      </w:pPr>
    </w:p>
    <w:p w14:paraId="2110ED27" w14:textId="77777777" w:rsidR="00042DD4" w:rsidRDefault="00CA5F50" w:rsidP="00042DD4">
      <w:pPr>
        <w:pStyle w:val="Corpotesto"/>
        <w:keepNext/>
      </w:pPr>
      <w:r w:rsidRPr="000D36BF">
        <w:rPr>
          <w:noProof/>
          <w:lang w:val="en-US"/>
        </w:rPr>
        <w:drawing>
          <wp:inline distT="0" distB="0" distL="0" distR="0" wp14:anchorId="329DB38C" wp14:editId="66FDC239">
            <wp:extent cx="5312780" cy="2732107"/>
            <wp:effectExtent l="0" t="0" r="2540" b="0"/>
            <wp:docPr id="1866126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78"/>
                    <a:stretch/>
                  </pic:blipFill>
                  <pic:spPr bwMode="auto">
                    <a:xfrm>
                      <a:off x="0" y="0"/>
                      <a:ext cx="5329807" cy="2740863"/>
                    </a:xfrm>
                    <a:prstGeom prst="rect">
                      <a:avLst/>
                    </a:prstGeom>
                    <a:noFill/>
                    <a:ln>
                      <a:noFill/>
                    </a:ln>
                    <a:extLst>
                      <a:ext uri="{53640926-AAD7-44D8-BBD7-CCE9431645EC}">
                        <a14:shadowObscured xmlns:a14="http://schemas.microsoft.com/office/drawing/2010/main"/>
                      </a:ext>
                    </a:extLst>
                  </pic:spPr>
                </pic:pic>
              </a:graphicData>
            </a:graphic>
          </wp:inline>
        </w:drawing>
      </w:r>
    </w:p>
    <w:p w14:paraId="26514096" w14:textId="77777777" w:rsidR="00C1722D" w:rsidRDefault="00C1722D" w:rsidP="00042DD4">
      <w:pPr>
        <w:pStyle w:val="Didascalia"/>
        <w:jc w:val="center"/>
        <w:rPr>
          <w:i/>
          <w:iCs/>
        </w:rPr>
      </w:pPr>
      <w:bookmarkStart w:id="6" w:name="_Ref167720626"/>
    </w:p>
    <w:p w14:paraId="4C409CDA" w14:textId="6FC2FC2D" w:rsidR="00CA5F50" w:rsidRPr="009F56E6" w:rsidRDefault="00042DD4" w:rsidP="00042DD4">
      <w:pPr>
        <w:pStyle w:val="Didascalia"/>
        <w:jc w:val="center"/>
        <w:rPr>
          <w:i/>
          <w:iCs/>
        </w:rPr>
      </w:pPr>
      <w:r w:rsidRPr="009F56E6">
        <w:rPr>
          <w:i/>
          <w:iCs/>
        </w:rPr>
        <w:t xml:space="preserve">FIG. </w:t>
      </w:r>
      <w:r w:rsidRPr="009F56E6">
        <w:rPr>
          <w:i/>
          <w:iCs/>
        </w:rPr>
        <w:fldChar w:fldCharType="begin"/>
      </w:r>
      <w:r w:rsidRPr="009F56E6">
        <w:rPr>
          <w:i/>
          <w:iCs/>
        </w:rPr>
        <w:instrText xml:space="preserve"> SEQ FIG. \* ARABIC </w:instrText>
      </w:r>
      <w:r w:rsidRPr="009F56E6">
        <w:rPr>
          <w:i/>
          <w:iCs/>
        </w:rPr>
        <w:fldChar w:fldCharType="separate"/>
      </w:r>
      <w:r w:rsidR="00CF7B54" w:rsidRPr="009F56E6">
        <w:rPr>
          <w:i/>
          <w:iCs/>
          <w:noProof/>
        </w:rPr>
        <w:t>6</w:t>
      </w:r>
      <w:r w:rsidRPr="009F56E6">
        <w:rPr>
          <w:i/>
          <w:iCs/>
        </w:rPr>
        <w:fldChar w:fldCharType="end"/>
      </w:r>
      <w:bookmarkEnd w:id="6"/>
      <w:r w:rsidR="00E57FC5" w:rsidRPr="009F56E6">
        <w:rPr>
          <w:i/>
          <w:iCs/>
        </w:rPr>
        <w:t xml:space="preserve">. </w:t>
      </w:r>
      <w:r w:rsidR="00CF7B54" w:rsidRPr="009F56E6">
        <w:rPr>
          <w:i/>
          <w:iCs/>
        </w:rPr>
        <w:t xml:space="preserve">National Electricity Dispatch </w:t>
      </w:r>
      <w:proofErr w:type="gramStart"/>
      <w:r w:rsidR="00CF7B54" w:rsidRPr="009F56E6">
        <w:rPr>
          <w:i/>
          <w:iCs/>
        </w:rPr>
        <w:t>as a result of</w:t>
      </w:r>
      <w:proofErr w:type="gramEnd"/>
      <w:r w:rsidR="00CF7B54" w:rsidRPr="009F56E6">
        <w:rPr>
          <w:i/>
          <w:iCs/>
        </w:rPr>
        <w:t xml:space="preserve"> Scenario 1 optimization</w:t>
      </w:r>
    </w:p>
    <w:p w14:paraId="01512FA7" w14:textId="77777777" w:rsidR="00232BB6" w:rsidRDefault="00232BB6" w:rsidP="00232BB6">
      <w:pPr>
        <w:pStyle w:val="Titolo4"/>
        <w:ind w:left="0"/>
      </w:pPr>
      <w:r>
        <w:t>Second Scenario</w:t>
      </w:r>
    </w:p>
    <w:p w14:paraId="403874A4" w14:textId="0D67EE02" w:rsidR="00CA5F50" w:rsidRDefault="009A2D91" w:rsidP="009A2D91">
      <w:pPr>
        <w:pStyle w:val="Corpotesto"/>
      </w:pPr>
      <w:r w:rsidRPr="0093550E">
        <w:t>In this scenario, the dispatch is optimized by further reducing energy production by gas</w:t>
      </w:r>
      <w:r w:rsidR="00CD7B3F">
        <w:t xml:space="preserve"> </w:t>
      </w:r>
      <w:r w:rsidRPr="0093550E">
        <w:t>turbines, in particular OCGT which is no longer deemed economically advantageous and</w:t>
      </w:r>
      <w:r w:rsidR="00CD7B3F">
        <w:t xml:space="preserve"> </w:t>
      </w:r>
      <w:r w:rsidRPr="0093550E">
        <w:t>therefore has been excluded from the energy mix.</w:t>
      </w:r>
      <w:r w:rsidR="00CD7B3F">
        <w:t xml:space="preserve"> </w:t>
      </w:r>
      <w:r w:rsidRPr="0093550E">
        <w:t>The utilization of nuclear technology for energy production has been slightly decreased</w:t>
      </w:r>
      <w:r w:rsidR="00CD7B3F">
        <w:t xml:space="preserve"> </w:t>
      </w:r>
      <w:r w:rsidRPr="0093550E">
        <w:t xml:space="preserve">during periods of lower energy demand </w:t>
      </w:r>
      <w:r w:rsidR="00C1722D" w:rsidRPr="0093550E">
        <w:t>to</w:t>
      </w:r>
      <w:r w:rsidRPr="0093550E">
        <w:t xml:space="preserve"> make room for the newly installed</w:t>
      </w:r>
      <w:r w:rsidR="00CD7B3F">
        <w:t xml:space="preserve"> </w:t>
      </w:r>
      <w:r w:rsidRPr="0093550E">
        <w:t>solar panels.</w:t>
      </w:r>
      <w:r w:rsidR="00CD7B3F">
        <w:t xml:space="preserve"> </w:t>
      </w:r>
      <w:r w:rsidR="00662675">
        <w:t>Furthermore</w:t>
      </w:r>
      <w:r w:rsidRPr="0093550E">
        <w:t xml:space="preserve">, </w:t>
      </w:r>
      <w:r w:rsidR="00662675">
        <w:t>no</w:t>
      </w:r>
      <w:r w:rsidRPr="0093550E">
        <w:t xml:space="preserve"> </w:t>
      </w:r>
      <w:r w:rsidR="00662675">
        <w:t>additional</w:t>
      </w:r>
      <w:r w:rsidRPr="0093550E">
        <w:t xml:space="preserve"> wind turbines</w:t>
      </w:r>
      <w:r w:rsidR="00662675">
        <w:t xml:space="preserve"> are installed</w:t>
      </w:r>
      <w:r w:rsidRPr="0093550E">
        <w:t>.</w:t>
      </w:r>
      <w:r w:rsidR="00CF7B54">
        <w:t xml:space="preserve"> The national dispatch is reported in </w:t>
      </w:r>
      <w:r w:rsidR="00CF7B54">
        <w:fldChar w:fldCharType="begin"/>
      </w:r>
      <w:r w:rsidR="00CF7B54">
        <w:instrText xml:space="preserve"> REF _Ref167720680 \h </w:instrText>
      </w:r>
      <w:r w:rsidR="00CF7B54">
        <w:fldChar w:fldCharType="separate"/>
      </w:r>
      <w:r w:rsidR="00CF7B54">
        <w:t xml:space="preserve">FIG. </w:t>
      </w:r>
      <w:r w:rsidR="00CF7B54">
        <w:rPr>
          <w:noProof/>
        </w:rPr>
        <w:t>7</w:t>
      </w:r>
      <w:r w:rsidR="00CF7B54">
        <w:fldChar w:fldCharType="end"/>
      </w:r>
      <w:r w:rsidR="00CF7B54">
        <w:t>.</w:t>
      </w:r>
    </w:p>
    <w:p w14:paraId="0CC7CC53" w14:textId="77777777" w:rsidR="00CF7B54" w:rsidRPr="0093550E" w:rsidRDefault="00CF7B54" w:rsidP="009A2D91">
      <w:pPr>
        <w:pStyle w:val="Corpotesto"/>
      </w:pPr>
    </w:p>
    <w:p w14:paraId="3F7E4F52" w14:textId="77777777" w:rsidR="00CF7B54" w:rsidRDefault="00150F0A" w:rsidP="00CF7B54">
      <w:pPr>
        <w:pStyle w:val="Corpotesto"/>
        <w:keepNext/>
      </w:pPr>
      <w:r w:rsidRPr="00150F0A">
        <w:rPr>
          <w:noProof/>
          <w:lang w:val="en-US"/>
        </w:rPr>
        <w:drawing>
          <wp:inline distT="0" distB="0" distL="0" distR="0" wp14:anchorId="7F81A242" wp14:editId="66A7108C">
            <wp:extent cx="5732145" cy="3118437"/>
            <wp:effectExtent l="0" t="0" r="1905" b="6350"/>
            <wp:docPr id="634559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4771"/>
                    <a:stretch/>
                  </pic:blipFill>
                  <pic:spPr bwMode="auto">
                    <a:xfrm>
                      <a:off x="0" y="0"/>
                      <a:ext cx="5732145" cy="3118437"/>
                    </a:xfrm>
                    <a:prstGeom prst="rect">
                      <a:avLst/>
                    </a:prstGeom>
                    <a:noFill/>
                    <a:ln>
                      <a:noFill/>
                    </a:ln>
                    <a:extLst>
                      <a:ext uri="{53640926-AAD7-44D8-BBD7-CCE9431645EC}">
                        <a14:shadowObscured xmlns:a14="http://schemas.microsoft.com/office/drawing/2010/main"/>
                      </a:ext>
                    </a:extLst>
                  </pic:spPr>
                </pic:pic>
              </a:graphicData>
            </a:graphic>
          </wp:inline>
        </w:drawing>
      </w:r>
    </w:p>
    <w:p w14:paraId="657C61DB" w14:textId="77777777" w:rsidR="00C1722D" w:rsidRDefault="00C1722D" w:rsidP="00CF7B54">
      <w:pPr>
        <w:pStyle w:val="Didascalia"/>
        <w:jc w:val="center"/>
        <w:rPr>
          <w:i/>
          <w:iCs/>
        </w:rPr>
      </w:pPr>
      <w:bookmarkStart w:id="7" w:name="_Ref167720680"/>
    </w:p>
    <w:p w14:paraId="2CDC3AC8" w14:textId="18C8AC08" w:rsidR="00232BB6" w:rsidRPr="009F56E6" w:rsidRDefault="00CF7B54" w:rsidP="00CF7B54">
      <w:pPr>
        <w:pStyle w:val="Didascalia"/>
        <w:jc w:val="center"/>
        <w:rPr>
          <w:i/>
          <w:iCs/>
        </w:rPr>
      </w:pPr>
      <w:r w:rsidRPr="009F56E6">
        <w:rPr>
          <w:i/>
          <w:iCs/>
        </w:rPr>
        <w:t xml:space="preserve">FIG. </w:t>
      </w:r>
      <w:r w:rsidRPr="009F56E6">
        <w:rPr>
          <w:i/>
          <w:iCs/>
        </w:rPr>
        <w:fldChar w:fldCharType="begin"/>
      </w:r>
      <w:r w:rsidRPr="009F56E6">
        <w:rPr>
          <w:i/>
          <w:iCs/>
        </w:rPr>
        <w:instrText xml:space="preserve"> SEQ FIG. \* ARABIC </w:instrText>
      </w:r>
      <w:r w:rsidRPr="009F56E6">
        <w:rPr>
          <w:i/>
          <w:iCs/>
        </w:rPr>
        <w:fldChar w:fldCharType="separate"/>
      </w:r>
      <w:r w:rsidRPr="009F56E6">
        <w:rPr>
          <w:i/>
          <w:iCs/>
          <w:noProof/>
        </w:rPr>
        <w:t>7</w:t>
      </w:r>
      <w:r w:rsidRPr="009F56E6">
        <w:rPr>
          <w:i/>
          <w:iCs/>
        </w:rPr>
        <w:fldChar w:fldCharType="end"/>
      </w:r>
      <w:bookmarkEnd w:id="7"/>
      <w:r w:rsidRPr="009F56E6">
        <w:rPr>
          <w:i/>
          <w:iCs/>
        </w:rPr>
        <w:t xml:space="preserve">. National Electricity Dispatch </w:t>
      </w:r>
      <w:proofErr w:type="gramStart"/>
      <w:r w:rsidRPr="009F56E6">
        <w:rPr>
          <w:i/>
          <w:iCs/>
        </w:rPr>
        <w:t>as a result of</w:t>
      </w:r>
      <w:proofErr w:type="gramEnd"/>
      <w:r w:rsidRPr="009F56E6">
        <w:rPr>
          <w:i/>
          <w:iCs/>
        </w:rPr>
        <w:t xml:space="preserve"> Scenario 2 optimization</w:t>
      </w:r>
    </w:p>
    <w:p w14:paraId="6BEA9ADF" w14:textId="5B9B8407" w:rsidR="005E2BCD" w:rsidRPr="00EE0041" w:rsidRDefault="005E2BCD" w:rsidP="005E2BCD">
      <w:pPr>
        <w:pStyle w:val="Titolo3"/>
      </w:pPr>
      <w:r>
        <w:lastRenderedPageBreak/>
        <w:t>Sensitivity Analysis Results</w:t>
      </w:r>
    </w:p>
    <w:p w14:paraId="140712A4" w14:textId="15A6DC39" w:rsidR="00E5552C" w:rsidRDefault="00BE2FEC" w:rsidP="00445C46">
      <w:pPr>
        <w:pStyle w:val="Corpotesto"/>
      </w:pPr>
      <w:r w:rsidRPr="00BE2FEC">
        <w:t>The analysis has been done by doing multiple optimization runs varying, each time, the</w:t>
      </w:r>
      <w:r>
        <w:t xml:space="preserve"> </w:t>
      </w:r>
      <w:r w:rsidRPr="00BE2FEC">
        <w:t xml:space="preserve">interest rate </w:t>
      </w:r>
      <w:proofErr w:type="gramStart"/>
      <w:r w:rsidRPr="00BE2FEC">
        <w:t xml:space="preserve">and </w:t>
      </w:r>
      <w:r w:rsidR="00445C46">
        <w:t xml:space="preserve"> </w:t>
      </w:r>
      <w:r w:rsidRPr="00BE2FEC">
        <w:t>he</w:t>
      </w:r>
      <w:proofErr w:type="gramEnd"/>
      <w:r w:rsidRPr="00BE2FEC">
        <w:t xml:space="preserve"> investment costs values to see when nuclear power is cut out of the</w:t>
      </w:r>
      <w:r>
        <w:t xml:space="preserve"> </w:t>
      </w:r>
      <w:r w:rsidRPr="00BE2FEC">
        <w:t xml:space="preserve">energy mix, that is when the </w:t>
      </w:r>
      <w:r w:rsidR="00445C46">
        <w:t>i</w:t>
      </w:r>
      <w:r w:rsidRPr="00BE2FEC">
        <w:t>ntroduction of nuclear power is no longer economically</w:t>
      </w:r>
      <w:r>
        <w:t xml:space="preserve"> </w:t>
      </w:r>
      <w:r w:rsidRPr="00BE2FEC">
        <w:t>affordable.</w:t>
      </w:r>
    </w:p>
    <w:p w14:paraId="14731F55" w14:textId="77777777" w:rsidR="00BE2FEC" w:rsidRDefault="00BE2FEC" w:rsidP="00BE2FEC">
      <w:pPr>
        <w:pStyle w:val="Authornameandaffiliation"/>
        <w:rPr>
          <w:lang w:val="en-GB"/>
        </w:rPr>
      </w:pPr>
    </w:p>
    <w:p w14:paraId="40071B50" w14:textId="248B567D" w:rsidR="00D2415E" w:rsidRDefault="00D2415E" w:rsidP="00D2415E">
      <w:pPr>
        <w:pStyle w:val="Didascalia"/>
        <w:keepNext/>
        <w:jc w:val="center"/>
      </w:pPr>
      <w:r>
        <w:t xml:space="preserve">TABLE </w:t>
      </w:r>
      <w:r>
        <w:fldChar w:fldCharType="begin"/>
      </w:r>
      <w:r>
        <w:instrText xml:space="preserve"> SEQ TABLE \* ARABIC </w:instrText>
      </w:r>
      <w:r>
        <w:fldChar w:fldCharType="separate"/>
      </w:r>
      <w:r>
        <w:rPr>
          <w:noProof/>
        </w:rPr>
        <w:t>3</w:t>
      </w:r>
      <w:r>
        <w:fldChar w:fldCharType="end"/>
      </w:r>
      <w:r>
        <w:t>. Results of the sensitivity analysis</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69"/>
        <w:gridCol w:w="1569"/>
        <w:gridCol w:w="1443"/>
        <w:gridCol w:w="1443"/>
        <w:gridCol w:w="1443"/>
      </w:tblGrid>
      <w:tr w:rsidR="00052D9D" w14:paraId="2A77C153" w14:textId="2E375812" w:rsidTr="00A5170B">
        <w:trPr>
          <w:jc w:val="center"/>
        </w:trPr>
        <w:tc>
          <w:tcPr>
            <w:tcW w:w="1560" w:type="dxa"/>
            <w:tcBorders>
              <w:top w:val="single" w:sz="4" w:space="0" w:color="auto"/>
              <w:bottom w:val="single" w:sz="4" w:space="0" w:color="auto"/>
            </w:tcBorders>
          </w:tcPr>
          <w:p w14:paraId="591A123B" w14:textId="132B5551" w:rsidR="00052D9D" w:rsidRPr="00516117" w:rsidRDefault="00052D9D" w:rsidP="007F26C5">
            <w:pPr>
              <w:pStyle w:val="Corpotesto"/>
              <w:ind w:firstLine="0"/>
              <w:rPr>
                <w:b/>
                <w:bCs/>
              </w:rPr>
            </w:pPr>
            <w:r w:rsidRPr="00516117">
              <w:rPr>
                <w:b/>
                <w:bCs/>
              </w:rPr>
              <w:t>Interest Rate</w:t>
            </w:r>
          </w:p>
        </w:tc>
        <w:tc>
          <w:tcPr>
            <w:tcW w:w="7467" w:type="dxa"/>
            <w:gridSpan w:val="5"/>
            <w:tcBorders>
              <w:top w:val="single" w:sz="4" w:space="0" w:color="auto"/>
              <w:bottom w:val="single" w:sz="4" w:space="0" w:color="auto"/>
            </w:tcBorders>
          </w:tcPr>
          <w:p w14:paraId="1C3A873A" w14:textId="48199728" w:rsidR="00052D9D" w:rsidRPr="00516117" w:rsidRDefault="00052D9D" w:rsidP="00052D9D">
            <w:pPr>
              <w:pStyle w:val="Corpotesto"/>
              <w:ind w:firstLine="0"/>
              <w:jc w:val="center"/>
              <w:rPr>
                <w:b/>
                <w:bCs/>
              </w:rPr>
            </w:pPr>
            <w:r w:rsidRPr="00516117">
              <w:rPr>
                <w:b/>
                <w:bCs/>
              </w:rPr>
              <w:t>Investment Cost [</w:t>
            </w:r>
            <w:r w:rsidR="009A7046" w:rsidRPr="00516117">
              <w:rPr>
                <w:b/>
                <w:bCs/>
              </w:rPr>
              <w:t>$/</w:t>
            </w:r>
            <w:proofErr w:type="spellStart"/>
            <w:r w:rsidR="009A7046" w:rsidRPr="00516117">
              <w:rPr>
                <w:b/>
                <w:bCs/>
              </w:rPr>
              <w:t>kW</w:t>
            </w:r>
            <w:r w:rsidR="00C1722D">
              <w:rPr>
                <w:b/>
                <w:bCs/>
              </w:rPr>
              <w:t>e</w:t>
            </w:r>
            <w:proofErr w:type="spellEnd"/>
            <w:r w:rsidRPr="00516117">
              <w:rPr>
                <w:b/>
                <w:bCs/>
              </w:rPr>
              <w:t>]</w:t>
            </w:r>
          </w:p>
        </w:tc>
      </w:tr>
      <w:tr w:rsidR="005573BC" w14:paraId="55FF1B3D" w14:textId="40048133" w:rsidTr="005573BC">
        <w:trPr>
          <w:jc w:val="center"/>
        </w:trPr>
        <w:tc>
          <w:tcPr>
            <w:tcW w:w="1560" w:type="dxa"/>
            <w:tcBorders>
              <w:top w:val="single" w:sz="4" w:space="0" w:color="auto"/>
              <w:bottom w:val="single" w:sz="4" w:space="0" w:color="auto"/>
            </w:tcBorders>
          </w:tcPr>
          <w:p w14:paraId="5D81F1A9" w14:textId="4AB815DB" w:rsidR="005573BC" w:rsidRPr="00516117" w:rsidRDefault="005573BC" w:rsidP="007F26C5">
            <w:pPr>
              <w:pStyle w:val="Corpotesto"/>
              <w:ind w:firstLine="0"/>
              <w:rPr>
                <w:b/>
                <w:bCs/>
              </w:rPr>
            </w:pPr>
          </w:p>
        </w:tc>
        <w:tc>
          <w:tcPr>
            <w:tcW w:w="1569" w:type="dxa"/>
            <w:tcBorders>
              <w:top w:val="single" w:sz="4" w:space="0" w:color="auto"/>
              <w:bottom w:val="single" w:sz="4" w:space="0" w:color="auto"/>
            </w:tcBorders>
          </w:tcPr>
          <w:p w14:paraId="5D20C9D1" w14:textId="7F8CF5E3" w:rsidR="005573BC" w:rsidRPr="00516117" w:rsidRDefault="005573BC" w:rsidP="007F26C5">
            <w:pPr>
              <w:pStyle w:val="Corpotesto"/>
              <w:ind w:firstLine="0"/>
              <w:jc w:val="center"/>
              <w:rPr>
                <w:b/>
                <w:bCs/>
              </w:rPr>
            </w:pPr>
            <w:r w:rsidRPr="00516117">
              <w:rPr>
                <w:b/>
                <w:bCs/>
              </w:rPr>
              <w:t>6000</w:t>
            </w:r>
          </w:p>
        </w:tc>
        <w:tc>
          <w:tcPr>
            <w:tcW w:w="1569" w:type="dxa"/>
            <w:tcBorders>
              <w:top w:val="single" w:sz="4" w:space="0" w:color="auto"/>
              <w:bottom w:val="single" w:sz="4" w:space="0" w:color="auto"/>
            </w:tcBorders>
          </w:tcPr>
          <w:p w14:paraId="4DEB4692" w14:textId="41A8F41C" w:rsidR="005573BC" w:rsidRPr="00516117" w:rsidRDefault="005573BC" w:rsidP="007F26C5">
            <w:pPr>
              <w:pStyle w:val="Corpotesto"/>
              <w:ind w:firstLine="0"/>
              <w:jc w:val="center"/>
              <w:rPr>
                <w:b/>
                <w:bCs/>
              </w:rPr>
            </w:pPr>
            <w:r w:rsidRPr="00516117">
              <w:rPr>
                <w:b/>
                <w:bCs/>
              </w:rPr>
              <w:t>8000</w:t>
            </w:r>
          </w:p>
        </w:tc>
        <w:tc>
          <w:tcPr>
            <w:tcW w:w="1443" w:type="dxa"/>
            <w:tcBorders>
              <w:top w:val="single" w:sz="4" w:space="0" w:color="auto"/>
              <w:bottom w:val="single" w:sz="4" w:space="0" w:color="auto"/>
            </w:tcBorders>
          </w:tcPr>
          <w:p w14:paraId="1A852112" w14:textId="64B78729" w:rsidR="005573BC" w:rsidRPr="00516117" w:rsidRDefault="005573BC" w:rsidP="007F26C5">
            <w:pPr>
              <w:pStyle w:val="Corpotesto"/>
              <w:ind w:firstLine="0"/>
              <w:jc w:val="center"/>
              <w:rPr>
                <w:b/>
                <w:bCs/>
              </w:rPr>
            </w:pPr>
            <w:r w:rsidRPr="00516117">
              <w:rPr>
                <w:b/>
                <w:bCs/>
              </w:rPr>
              <w:t>10000</w:t>
            </w:r>
          </w:p>
        </w:tc>
        <w:tc>
          <w:tcPr>
            <w:tcW w:w="1443" w:type="dxa"/>
            <w:tcBorders>
              <w:top w:val="single" w:sz="4" w:space="0" w:color="auto"/>
              <w:bottom w:val="single" w:sz="4" w:space="0" w:color="auto"/>
            </w:tcBorders>
          </w:tcPr>
          <w:p w14:paraId="499539C1" w14:textId="32DBA5C2" w:rsidR="005573BC" w:rsidRPr="00516117" w:rsidRDefault="005573BC" w:rsidP="007F26C5">
            <w:pPr>
              <w:pStyle w:val="Corpotesto"/>
              <w:ind w:firstLine="0"/>
              <w:jc w:val="center"/>
              <w:rPr>
                <w:b/>
                <w:bCs/>
              </w:rPr>
            </w:pPr>
            <w:r w:rsidRPr="00516117">
              <w:rPr>
                <w:b/>
                <w:bCs/>
              </w:rPr>
              <w:t>12000</w:t>
            </w:r>
          </w:p>
        </w:tc>
        <w:tc>
          <w:tcPr>
            <w:tcW w:w="1443" w:type="dxa"/>
            <w:tcBorders>
              <w:top w:val="single" w:sz="4" w:space="0" w:color="auto"/>
              <w:bottom w:val="single" w:sz="4" w:space="0" w:color="auto"/>
            </w:tcBorders>
          </w:tcPr>
          <w:p w14:paraId="07DD60EA" w14:textId="1319E657" w:rsidR="005573BC" w:rsidRPr="00516117" w:rsidRDefault="005573BC" w:rsidP="007F26C5">
            <w:pPr>
              <w:pStyle w:val="Corpotesto"/>
              <w:ind w:firstLine="0"/>
              <w:jc w:val="center"/>
              <w:rPr>
                <w:b/>
                <w:bCs/>
              </w:rPr>
            </w:pPr>
            <w:r w:rsidRPr="00516117">
              <w:rPr>
                <w:b/>
                <w:bCs/>
              </w:rPr>
              <w:t>13000</w:t>
            </w:r>
          </w:p>
        </w:tc>
      </w:tr>
      <w:tr w:rsidR="005573BC" w14:paraId="0116FF99" w14:textId="176AA372" w:rsidTr="005573BC">
        <w:trPr>
          <w:jc w:val="center"/>
        </w:trPr>
        <w:tc>
          <w:tcPr>
            <w:tcW w:w="1560" w:type="dxa"/>
            <w:tcBorders>
              <w:top w:val="single" w:sz="4" w:space="0" w:color="auto"/>
            </w:tcBorders>
          </w:tcPr>
          <w:p w14:paraId="4F40559B" w14:textId="21C8918E" w:rsidR="005573BC" w:rsidRPr="00516117" w:rsidRDefault="004D25DF" w:rsidP="007F26C5">
            <w:pPr>
              <w:pStyle w:val="Corpotesto"/>
              <w:ind w:firstLine="0"/>
              <w:rPr>
                <w:b/>
                <w:bCs/>
              </w:rPr>
            </w:pPr>
            <w:r w:rsidRPr="00516117">
              <w:rPr>
                <w:rStyle w:val="TabletextChar"/>
                <w:b/>
                <w:bCs/>
              </w:rPr>
              <w:t>5%</w:t>
            </w:r>
          </w:p>
        </w:tc>
        <w:tc>
          <w:tcPr>
            <w:tcW w:w="1569" w:type="dxa"/>
            <w:tcBorders>
              <w:top w:val="single" w:sz="4" w:space="0" w:color="auto"/>
            </w:tcBorders>
          </w:tcPr>
          <w:p w14:paraId="72210DF2" w14:textId="3F6A9D4B" w:rsidR="005573BC" w:rsidRDefault="004D25DF" w:rsidP="007F26C5">
            <w:pPr>
              <w:pStyle w:val="Corpotesto"/>
              <w:ind w:firstLine="0"/>
              <w:jc w:val="center"/>
            </w:pPr>
            <w:r>
              <w:t>2 SMRs</w:t>
            </w:r>
          </w:p>
        </w:tc>
        <w:tc>
          <w:tcPr>
            <w:tcW w:w="1569" w:type="dxa"/>
            <w:tcBorders>
              <w:top w:val="single" w:sz="4" w:space="0" w:color="auto"/>
            </w:tcBorders>
          </w:tcPr>
          <w:p w14:paraId="7920F9AB" w14:textId="6FAE5D7B" w:rsidR="005573BC" w:rsidRDefault="00473763" w:rsidP="007F26C5">
            <w:pPr>
              <w:pStyle w:val="Corpotesto"/>
              <w:ind w:firstLine="0"/>
              <w:jc w:val="center"/>
            </w:pPr>
            <w:r>
              <w:t>2 SMRs</w:t>
            </w:r>
          </w:p>
        </w:tc>
        <w:tc>
          <w:tcPr>
            <w:tcW w:w="1443" w:type="dxa"/>
            <w:tcBorders>
              <w:top w:val="single" w:sz="4" w:space="0" w:color="auto"/>
            </w:tcBorders>
          </w:tcPr>
          <w:p w14:paraId="1A673249" w14:textId="25A39D59" w:rsidR="00B66235" w:rsidRDefault="00B66235" w:rsidP="00B66235">
            <w:pPr>
              <w:pStyle w:val="Corpotesto"/>
              <w:ind w:firstLine="0"/>
              <w:jc w:val="center"/>
            </w:pPr>
            <w:r>
              <w:t>2 SMRs</w:t>
            </w:r>
          </w:p>
        </w:tc>
        <w:tc>
          <w:tcPr>
            <w:tcW w:w="1443" w:type="dxa"/>
            <w:tcBorders>
              <w:top w:val="single" w:sz="4" w:space="0" w:color="auto"/>
            </w:tcBorders>
          </w:tcPr>
          <w:p w14:paraId="0E099510" w14:textId="2E8315E0" w:rsidR="005573BC" w:rsidRDefault="00B66235" w:rsidP="007F26C5">
            <w:pPr>
              <w:pStyle w:val="Corpotesto"/>
              <w:ind w:firstLine="0"/>
              <w:jc w:val="center"/>
            </w:pPr>
            <w:r>
              <w:t>1 SMR</w:t>
            </w:r>
          </w:p>
        </w:tc>
        <w:tc>
          <w:tcPr>
            <w:tcW w:w="1443" w:type="dxa"/>
            <w:tcBorders>
              <w:top w:val="single" w:sz="4" w:space="0" w:color="auto"/>
            </w:tcBorders>
          </w:tcPr>
          <w:p w14:paraId="710CF9BE" w14:textId="469E75CA" w:rsidR="005573BC" w:rsidRDefault="00B66235" w:rsidP="007F26C5">
            <w:pPr>
              <w:pStyle w:val="Corpotesto"/>
              <w:ind w:firstLine="0"/>
              <w:jc w:val="center"/>
            </w:pPr>
            <w:r>
              <w:t>NO</w:t>
            </w:r>
            <w:r w:rsidR="00C1722D">
              <w:t xml:space="preserve"> SMR</w:t>
            </w:r>
          </w:p>
        </w:tc>
      </w:tr>
      <w:tr w:rsidR="005573BC" w14:paraId="6C713FDD" w14:textId="3DD2AA6D" w:rsidTr="005573BC">
        <w:trPr>
          <w:jc w:val="center"/>
        </w:trPr>
        <w:tc>
          <w:tcPr>
            <w:tcW w:w="1560" w:type="dxa"/>
          </w:tcPr>
          <w:p w14:paraId="404B8B35" w14:textId="77777777" w:rsidR="005573BC" w:rsidRPr="00516117" w:rsidRDefault="004D25DF" w:rsidP="007F26C5">
            <w:pPr>
              <w:pStyle w:val="Corpotesto"/>
              <w:ind w:firstLine="0"/>
              <w:rPr>
                <w:b/>
                <w:bCs/>
              </w:rPr>
            </w:pPr>
            <w:r w:rsidRPr="00516117">
              <w:rPr>
                <w:b/>
                <w:bCs/>
              </w:rPr>
              <w:t>7%</w:t>
            </w:r>
          </w:p>
          <w:p w14:paraId="093B7D4C" w14:textId="77777777" w:rsidR="004D25DF" w:rsidRPr="00516117" w:rsidRDefault="004D25DF" w:rsidP="007F26C5">
            <w:pPr>
              <w:pStyle w:val="Corpotesto"/>
              <w:ind w:firstLine="0"/>
              <w:rPr>
                <w:b/>
                <w:bCs/>
              </w:rPr>
            </w:pPr>
            <w:r w:rsidRPr="00516117">
              <w:rPr>
                <w:b/>
                <w:bCs/>
              </w:rPr>
              <w:t>9%</w:t>
            </w:r>
          </w:p>
          <w:p w14:paraId="1CAC295B" w14:textId="77777777" w:rsidR="004D25DF" w:rsidRPr="00516117" w:rsidRDefault="004D25DF" w:rsidP="007F26C5">
            <w:pPr>
              <w:pStyle w:val="Corpotesto"/>
              <w:ind w:firstLine="0"/>
              <w:rPr>
                <w:b/>
                <w:bCs/>
              </w:rPr>
            </w:pPr>
            <w:r w:rsidRPr="00516117">
              <w:rPr>
                <w:b/>
                <w:bCs/>
              </w:rPr>
              <w:t>10%</w:t>
            </w:r>
          </w:p>
          <w:p w14:paraId="6A584867" w14:textId="35FA56BD" w:rsidR="004D25DF" w:rsidRPr="00516117" w:rsidRDefault="004D25DF" w:rsidP="007F26C5">
            <w:pPr>
              <w:pStyle w:val="Corpotesto"/>
              <w:ind w:firstLine="0"/>
              <w:rPr>
                <w:b/>
                <w:bCs/>
              </w:rPr>
            </w:pPr>
            <w:r w:rsidRPr="00516117">
              <w:rPr>
                <w:b/>
                <w:bCs/>
              </w:rPr>
              <w:t>11%</w:t>
            </w:r>
          </w:p>
        </w:tc>
        <w:tc>
          <w:tcPr>
            <w:tcW w:w="1569" w:type="dxa"/>
          </w:tcPr>
          <w:p w14:paraId="4F9093CD" w14:textId="77777777" w:rsidR="005573BC" w:rsidRDefault="006077F3" w:rsidP="007F26C5">
            <w:pPr>
              <w:pStyle w:val="Corpotesto"/>
              <w:ind w:firstLine="0"/>
              <w:jc w:val="center"/>
            </w:pPr>
            <w:r>
              <w:t>2 SMRs</w:t>
            </w:r>
          </w:p>
          <w:p w14:paraId="2DA3AD0F" w14:textId="28026227" w:rsidR="006077F3" w:rsidRDefault="006077F3" w:rsidP="007F26C5">
            <w:pPr>
              <w:pStyle w:val="Corpotesto"/>
              <w:ind w:firstLine="0"/>
              <w:jc w:val="center"/>
            </w:pPr>
            <w:r>
              <w:t>1 SMR</w:t>
            </w:r>
          </w:p>
          <w:p w14:paraId="74FC574F" w14:textId="7E7C3F44" w:rsidR="006077F3" w:rsidRDefault="006077F3" w:rsidP="007F26C5">
            <w:pPr>
              <w:pStyle w:val="Corpotesto"/>
              <w:ind w:firstLine="0"/>
              <w:jc w:val="center"/>
            </w:pPr>
            <w:r>
              <w:t>1 SMR</w:t>
            </w:r>
          </w:p>
          <w:p w14:paraId="57DE7D9F" w14:textId="02B1629F" w:rsidR="006077F3" w:rsidRDefault="006077F3" w:rsidP="007F26C5">
            <w:pPr>
              <w:pStyle w:val="Corpotesto"/>
              <w:ind w:firstLine="0"/>
              <w:jc w:val="center"/>
            </w:pPr>
            <w:r>
              <w:t>NO</w:t>
            </w:r>
            <w:r w:rsidR="00C1722D">
              <w:t xml:space="preserve"> SMR</w:t>
            </w:r>
          </w:p>
        </w:tc>
        <w:tc>
          <w:tcPr>
            <w:tcW w:w="1569" w:type="dxa"/>
          </w:tcPr>
          <w:p w14:paraId="4A6A48B7" w14:textId="77777777" w:rsidR="005573BC" w:rsidRDefault="00473763" w:rsidP="007F26C5">
            <w:pPr>
              <w:pStyle w:val="Corpotesto"/>
              <w:ind w:firstLine="0"/>
              <w:jc w:val="center"/>
            </w:pPr>
            <w:r>
              <w:t>1 SMR</w:t>
            </w:r>
          </w:p>
          <w:p w14:paraId="0D8618C7" w14:textId="46C9E4F7" w:rsidR="00473763" w:rsidRDefault="00473763" w:rsidP="007F26C5">
            <w:pPr>
              <w:pStyle w:val="Corpotesto"/>
              <w:ind w:firstLine="0"/>
              <w:jc w:val="center"/>
            </w:pPr>
            <w:r>
              <w:t>NO</w:t>
            </w:r>
            <w:r w:rsidR="00C1722D">
              <w:t xml:space="preserve"> SMR</w:t>
            </w:r>
          </w:p>
        </w:tc>
        <w:tc>
          <w:tcPr>
            <w:tcW w:w="1443" w:type="dxa"/>
          </w:tcPr>
          <w:p w14:paraId="4E1AA96A" w14:textId="6C942575" w:rsidR="005573BC" w:rsidRDefault="00B66235" w:rsidP="007F26C5">
            <w:pPr>
              <w:pStyle w:val="Corpotesto"/>
              <w:ind w:firstLine="0"/>
              <w:jc w:val="center"/>
            </w:pPr>
            <w:r>
              <w:t>NO</w:t>
            </w:r>
            <w:r w:rsidR="00C1722D">
              <w:t xml:space="preserve"> SMR</w:t>
            </w:r>
          </w:p>
        </w:tc>
        <w:tc>
          <w:tcPr>
            <w:tcW w:w="1443" w:type="dxa"/>
          </w:tcPr>
          <w:p w14:paraId="53B36E45" w14:textId="7B18EAC7" w:rsidR="005573BC" w:rsidRDefault="00B66235" w:rsidP="007F26C5">
            <w:pPr>
              <w:pStyle w:val="Corpotesto"/>
              <w:ind w:firstLine="0"/>
              <w:jc w:val="center"/>
            </w:pPr>
            <w:r>
              <w:t>NO</w:t>
            </w:r>
            <w:r w:rsidR="00C1722D">
              <w:t xml:space="preserve"> SMR</w:t>
            </w:r>
          </w:p>
        </w:tc>
        <w:tc>
          <w:tcPr>
            <w:tcW w:w="1443" w:type="dxa"/>
          </w:tcPr>
          <w:p w14:paraId="55E0F794" w14:textId="5399F0B0" w:rsidR="005573BC" w:rsidRDefault="005573BC" w:rsidP="007F26C5">
            <w:pPr>
              <w:pStyle w:val="Corpotesto"/>
              <w:ind w:firstLine="0"/>
              <w:jc w:val="center"/>
            </w:pPr>
          </w:p>
        </w:tc>
      </w:tr>
    </w:tbl>
    <w:p w14:paraId="608E4993" w14:textId="77777777" w:rsidR="00E5552C" w:rsidRDefault="00E5552C" w:rsidP="00537496">
      <w:pPr>
        <w:pStyle w:val="Authornameandaffiliation"/>
        <w:rPr>
          <w:lang w:val="en-GB"/>
        </w:rPr>
      </w:pPr>
    </w:p>
    <w:p w14:paraId="1B112260" w14:textId="57A65EFB" w:rsidR="00445C46" w:rsidRPr="00445C46" w:rsidRDefault="00445C46" w:rsidP="00445C46">
      <w:pPr>
        <w:pStyle w:val="Corpotesto"/>
      </w:pPr>
      <w:r w:rsidRPr="00445C46">
        <w:t>As can easily be deduced from the results shown in the table above, with an interest rate of</w:t>
      </w:r>
      <w:r>
        <w:t xml:space="preserve"> </w:t>
      </w:r>
      <w:r w:rsidRPr="00445C46">
        <w:t>11%, small modular reactors (SMR) are not installed, regardless of the investment costs,</w:t>
      </w:r>
      <w:r>
        <w:t xml:space="preserve"> </w:t>
      </w:r>
      <w:r w:rsidRPr="00445C46">
        <w:t>because the technology is overall too expensive, and therefore nuclear power is excluded</w:t>
      </w:r>
      <w:r>
        <w:t xml:space="preserve"> </w:t>
      </w:r>
      <w:r w:rsidRPr="00445C46">
        <w:t>from the energy mix as it does not fall among the solutions that allow minimizing the</w:t>
      </w:r>
      <w:r>
        <w:t xml:space="preserve"> </w:t>
      </w:r>
      <w:r w:rsidRPr="00445C46">
        <w:t>total costs.</w:t>
      </w:r>
    </w:p>
    <w:p w14:paraId="3A4E1CE6" w14:textId="12315F51" w:rsidR="00EE529D" w:rsidRDefault="00445C46" w:rsidP="00CF7B54">
      <w:pPr>
        <w:pStyle w:val="Corpotesto"/>
      </w:pPr>
      <w:r w:rsidRPr="00445C46">
        <w:t>In other cases, however, at a fixed interest rate, there are some investment cost values for</w:t>
      </w:r>
      <w:r>
        <w:t xml:space="preserve"> </w:t>
      </w:r>
      <w:r w:rsidRPr="00445C46">
        <w:t>which the installation of two SMRs is not economically advantageous, but installing only</w:t>
      </w:r>
      <w:r>
        <w:t xml:space="preserve"> </w:t>
      </w:r>
      <w:r w:rsidRPr="00445C46">
        <w:t>one nuclear reactor appears to be a better choice.</w:t>
      </w:r>
    </w:p>
    <w:p w14:paraId="11581893" w14:textId="4E5229C6" w:rsidR="003A3E88" w:rsidRPr="00516117" w:rsidRDefault="003A3E88" w:rsidP="003A3E88">
      <w:pPr>
        <w:pStyle w:val="Titolo2"/>
        <w:numPr>
          <w:ilvl w:val="1"/>
          <w:numId w:val="10"/>
        </w:numPr>
      </w:pPr>
      <w:r w:rsidRPr="00516117">
        <w:t>Conclusion</w:t>
      </w:r>
      <w:r w:rsidR="00516117" w:rsidRPr="00516117">
        <w:t>S</w:t>
      </w:r>
    </w:p>
    <w:p w14:paraId="51E90D78" w14:textId="5B5433A2" w:rsidR="00EE529D" w:rsidRPr="003A3E88" w:rsidRDefault="00EE529D" w:rsidP="003A3E88">
      <w:pPr>
        <w:pStyle w:val="Corpotesto"/>
      </w:pPr>
      <w:r w:rsidRPr="003A3E88">
        <w:t>In conclusion</w:t>
      </w:r>
      <w:r w:rsidR="003A3E88">
        <w:t>,</w:t>
      </w:r>
      <w:r w:rsidR="003A3E88" w:rsidRPr="003A3E88">
        <w:t xml:space="preserve"> </w:t>
      </w:r>
      <w:r w:rsidR="003A3E88">
        <w:t>a</w:t>
      </w:r>
      <w:r w:rsidRPr="003A3E88">
        <w:t xml:space="preserve"> first scenario revealed that the best solution to minimize total costs is the installation</w:t>
      </w:r>
      <w:r w:rsidR="003A3E88" w:rsidRPr="003A3E88">
        <w:t xml:space="preserve"> </w:t>
      </w:r>
      <w:r w:rsidRPr="003A3E88">
        <w:t>of two small modular reactors (SMRs). This led to a significant reduction in energy</w:t>
      </w:r>
      <w:r w:rsidR="003A3E88" w:rsidRPr="003A3E88">
        <w:t xml:space="preserve"> </w:t>
      </w:r>
      <w:r w:rsidRPr="003A3E88">
        <w:t>production from fossil sources, particularly combined and open-cycle gas turbines, with a</w:t>
      </w:r>
      <w:r w:rsidR="003A3E88" w:rsidRPr="003A3E88">
        <w:t xml:space="preserve"> </w:t>
      </w:r>
      <w:r w:rsidRPr="003A3E88">
        <w:t>corresponding reduction in CO2 emissions.</w:t>
      </w:r>
    </w:p>
    <w:p w14:paraId="397321DA" w14:textId="59FB648B" w:rsidR="00EE529D" w:rsidRPr="003A3E88" w:rsidRDefault="00EE529D" w:rsidP="003A3E88">
      <w:pPr>
        <w:pStyle w:val="Corpotesto"/>
      </w:pPr>
      <w:r w:rsidRPr="003A3E88">
        <w:t>In a second scenario, new solar and wind power plants were also considered alongside</w:t>
      </w:r>
      <w:r w:rsidR="003A3E88" w:rsidRPr="003A3E88">
        <w:t xml:space="preserve"> </w:t>
      </w:r>
      <w:r w:rsidRPr="003A3E88">
        <w:t>nuclear power. The dispatch was optimized to obtain a further reduction in energy</w:t>
      </w:r>
      <w:r w:rsidR="003A3E88" w:rsidRPr="003A3E88">
        <w:t xml:space="preserve"> p</w:t>
      </w:r>
      <w:r w:rsidRPr="003A3E88">
        <w:t>roduction</w:t>
      </w:r>
      <w:r w:rsidR="003A3E88" w:rsidRPr="003A3E88">
        <w:t xml:space="preserve"> </w:t>
      </w:r>
      <w:r w:rsidRPr="003A3E88">
        <w:t>from gas turbines, and the introduction of solar panels replaced some nuclear</w:t>
      </w:r>
      <w:r w:rsidR="00662675">
        <w:t xml:space="preserve"> </w:t>
      </w:r>
      <w:r w:rsidRPr="003A3E88">
        <w:t>energy during periods of lower demand.</w:t>
      </w:r>
    </w:p>
    <w:p w14:paraId="5566D37A" w14:textId="7A2212EB" w:rsidR="00EE529D" w:rsidRDefault="00EE529D" w:rsidP="003A3E88">
      <w:pPr>
        <w:pStyle w:val="Corpotesto"/>
      </w:pPr>
      <w:r w:rsidRPr="003A3E88">
        <w:t>A sensitivity analysis revealed that, with an interest rate of 11%, SMRs are not economically</w:t>
      </w:r>
      <w:r w:rsidR="003A3E88">
        <w:t xml:space="preserve"> </w:t>
      </w:r>
      <w:r w:rsidRPr="003A3E88">
        <w:t>feasible. However, at different interest rates and investment cost values, installing</w:t>
      </w:r>
      <w:r w:rsidR="003A3E88" w:rsidRPr="003A3E88">
        <w:t xml:space="preserve"> </w:t>
      </w:r>
      <w:r w:rsidRPr="003A3E88">
        <w:t>one nuclear reactor appeared to be a more economically advantageous solution.</w:t>
      </w:r>
    </w:p>
    <w:p w14:paraId="32B76F9D" w14:textId="77777777" w:rsidR="00D26ADA" w:rsidRDefault="00D26ADA" w:rsidP="00537496">
      <w:pPr>
        <w:pStyle w:val="Otherunnumberedheadings"/>
      </w:pPr>
      <w:r>
        <w:t>References</w:t>
      </w:r>
    </w:p>
    <w:p w14:paraId="7B35F523" w14:textId="77777777" w:rsidR="00915297" w:rsidRPr="00915297" w:rsidRDefault="009A00B3" w:rsidP="00915297">
      <w:pPr>
        <w:pStyle w:val="Bibliografia"/>
        <w:rPr>
          <w:sz w:val="18"/>
        </w:rPr>
      </w:pPr>
      <w:r w:rsidRPr="00FB7E1B">
        <w:rPr>
          <w:sz w:val="18"/>
          <w:szCs w:val="18"/>
        </w:rPr>
        <w:fldChar w:fldCharType="begin"/>
      </w:r>
      <w:r w:rsidR="00AB46F4">
        <w:rPr>
          <w:sz w:val="18"/>
          <w:szCs w:val="18"/>
        </w:rPr>
        <w:instrText xml:space="preserve"> ADDIN ZOTERO_BIBL {"uncited":[],"omitted":[],"custom":[]} CSL_BIBLIOGRAPHY </w:instrText>
      </w:r>
      <w:r w:rsidRPr="00FB7E1B">
        <w:rPr>
          <w:sz w:val="18"/>
          <w:szCs w:val="18"/>
        </w:rPr>
        <w:fldChar w:fldCharType="separate"/>
      </w:r>
      <w:r w:rsidR="00915297" w:rsidRPr="00915297">
        <w:rPr>
          <w:sz w:val="18"/>
        </w:rPr>
        <w:t>[1]</w:t>
      </w:r>
      <w:r w:rsidR="00915297" w:rsidRPr="00915297">
        <w:rPr>
          <w:sz w:val="18"/>
        </w:rPr>
        <w:tab/>
        <w:t>UNFCCC, “Report of the Conference of the Parties on its twenty-first session, held in Paris from 30 November to 11 December 2015. Part one: Proceedings,” UNFCCC, 2015. [Online]. Available: https://unfccc.int/process-and-meetings/conferences/past-conferences/paris-climate-change-conference-november-2015/cop-21/cop-21-reports</w:t>
      </w:r>
    </w:p>
    <w:p w14:paraId="600A302E" w14:textId="77777777" w:rsidR="00915297" w:rsidRPr="00915297" w:rsidRDefault="00915297" w:rsidP="00915297">
      <w:pPr>
        <w:pStyle w:val="Bibliografia"/>
        <w:rPr>
          <w:sz w:val="18"/>
        </w:rPr>
      </w:pPr>
      <w:r w:rsidRPr="00045B22">
        <w:rPr>
          <w:sz w:val="18"/>
          <w:lang w:val="fr-FR"/>
        </w:rPr>
        <w:t>[2]</w:t>
      </w:r>
      <w:r w:rsidRPr="00045B22">
        <w:rPr>
          <w:sz w:val="18"/>
          <w:lang w:val="fr-FR"/>
        </w:rPr>
        <w:tab/>
        <w:t xml:space="preserve">K. Calvin </w:t>
      </w:r>
      <w:r w:rsidRPr="00045B22">
        <w:rPr>
          <w:i/>
          <w:iCs/>
          <w:sz w:val="18"/>
          <w:lang w:val="fr-FR"/>
        </w:rPr>
        <w:t>et al.</w:t>
      </w:r>
      <w:r w:rsidRPr="00045B22">
        <w:rPr>
          <w:sz w:val="18"/>
          <w:lang w:val="fr-FR"/>
        </w:rPr>
        <w:t xml:space="preserve">, “IPCC, 2023: Climate Change 2023: Synthesis Report. </w:t>
      </w:r>
      <w:r w:rsidRPr="00915297">
        <w:rPr>
          <w:sz w:val="18"/>
        </w:rPr>
        <w:t>Contribution of Working Groups I, II and III to the Sixth Assessment Report of the Intergovernmental Panel on Climate Change [Core Writing Team, H. Lee and J. Romero (eds.)]. IPCC, Geneva, Switzerland.,” Intergovernmental Panel on Climate Change (IPCC), Jul. 2023. doi: 10.59327/IPCC/AR6-9789291691647.</w:t>
      </w:r>
    </w:p>
    <w:p w14:paraId="01E74748" w14:textId="77777777" w:rsidR="00915297" w:rsidRPr="00045B22" w:rsidRDefault="00915297" w:rsidP="00915297">
      <w:pPr>
        <w:pStyle w:val="Bibliografia"/>
        <w:rPr>
          <w:sz w:val="18"/>
          <w:lang w:val="fr-FR"/>
        </w:rPr>
      </w:pPr>
      <w:r w:rsidRPr="00915297">
        <w:rPr>
          <w:sz w:val="18"/>
        </w:rPr>
        <w:t>[3]</w:t>
      </w:r>
      <w:r w:rsidRPr="00915297">
        <w:rPr>
          <w:sz w:val="18"/>
        </w:rPr>
        <w:tab/>
        <w:t xml:space="preserve">International Energy Agency, “World Energy Outlook 2023,” IEA, Paris, 2023. </w:t>
      </w:r>
      <w:r w:rsidRPr="00045B22">
        <w:rPr>
          <w:sz w:val="18"/>
          <w:lang w:val="fr-FR"/>
        </w:rPr>
        <w:t>[Online]. Available: https://www.iea.org/reports/world-energy-outlook-2023</w:t>
      </w:r>
    </w:p>
    <w:p w14:paraId="20A63E38" w14:textId="77777777" w:rsidR="00915297" w:rsidRPr="00915297" w:rsidRDefault="00915297" w:rsidP="00915297">
      <w:pPr>
        <w:pStyle w:val="Bibliografia"/>
        <w:rPr>
          <w:sz w:val="18"/>
        </w:rPr>
      </w:pPr>
      <w:r w:rsidRPr="00915297">
        <w:rPr>
          <w:sz w:val="18"/>
        </w:rPr>
        <w:t>[4]</w:t>
      </w:r>
      <w:r w:rsidRPr="00915297">
        <w:rPr>
          <w:sz w:val="18"/>
        </w:rPr>
        <w:tab/>
        <w:t xml:space="preserve">J. DeCarolis </w:t>
      </w:r>
      <w:r w:rsidRPr="00915297">
        <w:rPr>
          <w:i/>
          <w:iCs/>
          <w:sz w:val="18"/>
        </w:rPr>
        <w:t>et al.</w:t>
      </w:r>
      <w:r w:rsidRPr="00915297">
        <w:rPr>
          <w:sz w:val="18"/>
        </w:rPr>
        <w:t xml:space="preserve">, “Formalizing best practice for energy system optimization modelling,” </w:t>
      </w:r>
      <w:r w:rsidRPr="00915297">
        <w:rPr>
          <w:i/>
          <w:iCs/>
          <w:sz w:val="18"/>
        </w:rPr>
        <w:t>Applied Energy</w:t>
      </w:r>
      <w:r w:rsidRPr="00915297">
        <w:rPr>
          <w:sz w:val="18"/>
        </w:rPr>
        <w:t>, vol. 194, pp. 184–198, 2017, doi: 10.1016/j.apenergy.2017.03.001.</w:t>
      </w:r>
    </w:p>
    <w:p w14:paraId="24ADB281" w14:textId="77777777" w:rsidR="00915297" w:rsidRPr="00915297" w:rsidRDefault="00915297" w:rsidP="00915297">
      <w:pPr>
        <w:pStyle w:val="Bibliografia"/>
        <w:rPr>
          <w:sz w:val="18"/>
        </w:rPr>
      </w:pPr>
      <w:r w:rsidRPr="00915297">
        <w:rPr>
          <w:sz w:val="18"/>
        </w:rPr>
        <w:t>[5]</w:t>
      </w:r>
      <w:r w:rsidRPr="00915297">
        <w:rPr>
          <w:sz w:val="18"/>
        </w:rPr>
        <w:tab/>
        <w:t xml:space="preserve">N. Stevanato </w:t>
      </w:r>
      <w:r w:rsidRPr="00915297">
        <w:rPr>
          <w:i/>
          <w:iCs/>
          <w:sz w:val="18"/>
        </w:rPr>
        <w:t>et al.</w:t>
      </w:r>
      <w:r w:rsidRPr="00915297">
        <w:rPr>
          <w:sz w:val="18"/>
        </w:rPr>
        <w:t xml:space="preserve">, “Planning third generation minigrids: Multi-objective optimization and brownfield investment approaches in modelling village-scale on-grid and off-grid energy systems,” </w:t>
      </w:r>
      <w:r w:rsidRPr="00915297">
        <w:rPr>
          <w:i/>
          <w:iCs/>
          <w:sz w:val="18"/>
        </w:rPr>
        <w:t>Renewable and Sustainable Energy Transition</w:t>
      </w:r>
      <w:r w:rsidRPr="00915297">
        <w:rPr>
          <w:sz w:val="18"/>
        </w:rPr>
        <w:t>, vol. 3, p. 100053, Aug. 2023, doi: 10.1016/j.rset.2023.100053.</w:t>
      </w:r>
    </w:p>
    <w:p w14:paraId="36A5C645" w14:textId="77777777" w:rsidR="00915297" w:rsidRPr="00915297" w:rsidRDefault="00915297" w:rsidP="00915297">
      <w:pPr>
        <w:pStyle w:val="Bibliografia"/>
        <w:rPr>
          <w:sz w:val="18"/>
        </w:rPr>
      </w:pPr>
      <w:r w:rsidRPr="00915297">
        <w:rPr>
          <w:sz w:val="18"/>
        </w:rPr>
        <w:t>[6]</w:t>
      </w:r>
      <w:r w:rsidRPr="00915297">
        <w:rPr>
          <w:sz w:val="18"/>
        </w:rPr>
        <w:tab/>
        <w:t xml:space="preserve">C. D. Pero </w:t>
      </w:r>
      <w:r w:rsidRPr="00915297">
        <w:rPr>
          <w:i/>
          <w:iCs/>
          <w:sz w:val="18"/>
        </w:rPr>
        <w:t>et al.</w:t>
      </w:r>
      <w:r w:rsidRPr="00915297">
        <w:rPr>
          <w:sz w:val="18"/>
        </w:rPr>
        <w:t xml:space="preserve">, “Modelling of an Integrated multi-energy system for a nearly Zero Energy Smart District,” in </w:t>
      </w:r>
      <w:r w:rsidRPr="00915297">
        <w:rPr>
          <w:i/>
          <w:iCs/>
          <w:sz w:val="18"/>
        </w:rPr>
        <w:t>Proceedings of the 7th International Conference on Clean Electrical Power: Renewable Energy Resources Impact (ICCEP 2019)</w:t>
      </w:r>
      <w:r w:rsidRPr="00915297">
        <w:rPr>
          <w:sz w:val="18"/>
        </w:rPr>
        <w:t>, 2019, pp. 246–252. doi: 10.1109/ICCEP.2019.8890129.</w:t>
      </w:r>
    </w:p>
    <w:p w14:paraId="10B422E1" w14:textId="77777777" w:rsidR="00915297" w:rsidRPr="00915297" w:rsidRDefault="00915297" w:rsidP="00915297">
      <w:pPr>
        <w:pStyle w:val="Bibliografia"/>
        <w:rPr>
          <w:sz w:val="18"/>
        </w:rPr>
      </w:pPr>
      <w:r w:rsidRPr="00915297">
        <w:rPr>
          <w:sz w:val="18"/>
        </w:rPr>
        <w:t>[7]</w:t>
      </w:r>
      <w:r w:rsidRPr="00915297">
        <w:rPr>
          <w:sz w:val="18"/>
        </w:rPr>
        <w:tab/>
        <w:t xml:space="preserve">F. Lombardi, M. V. Rocco, and E. Colombo, “A multi-layer energy modelling methodology to assess the impact of heat-electricity integration strategies: The case of the residential cooking sector in Italy,” </w:t>
      </w:r>
      <w:r w:rsidRPr="00915297">
        <w:rPr>
          <w:i/>
          <w:iCs/>
          <w:sz w:val="18"/>
        </w:rPr>
        <w:t>Energy</w:t>
      </w:r>
      <w:r w:rsidRPr="00915297">
        <w:rPr>
          <w:sz w:val="18"/>
        </w:rPr>
        <w:t>, vol. 170, pp. 1249–1260, 2019, doi: 10.1016/j.energy.2019.01.004.</w:t>
      </w:r>
    </w:p>
    <w:p w14:paraId="69AAD519" w14:textId="77777777" w:rsidR="00915297" w:rsidRPr="00915297" w:rsidRDefault="00915297" w:rsidP="00915297">
      <w:pPr>
        <w:pStyle w:val="Bibliografia"/>
        <w:rPr>
          <w:sz w:val="18"/>
        </w:rPr>
      </w:pPr>
      <w:r w:rsidRPr="00915297">
        <w:rPr>
          <w:sz w:val="18"/>
        </w:rPr>
        <w:lastRenderedPageBreak/>
        <w:t>[8]</w:t>
      </w:r>
      <w:r w:rsidRPr="00915297">
        <w:rPr>
          <w:sz w:val="18"/>
        </w:rPr>
        <w:tab/>
        <w:t xml:space="preserve">F. Lombardi, B. Pickering, E. Colombo, and S. Pfenninger, “Policy Decision Support for Renewables Deployment through Spatially Explicit Practically Optimal Alternatives,” </w:t>
      </w:r>
      <w:r w:rsidRPr="00915297">
        <w:rPr>
          <w:i/>
          <w:iCs/>
          <w:sz w:val="18"/>
        </w:rPr>
        <w:t>Joule</w:t>
      </w:r>
      <w:r w:rsidRPr="00915297">
        <w:rPr>
          <w:sz w:val="18"/>
        </w:rPr>
        <w:t>, vol. 4, no. 10, pp. 2185–2207, 2020, doi: 10.1016/j.joule.2020.08.002.</w:t>
      </w:r>
    </w:p>
    <w:p w14:paraId="59BE053C" w14:textId="77777777" w:rsidR="00915297" w:rsidRPr="00915297" w:rsidRDefault="00915297" w:rsidP="00915297">
      <w:pPr>
        <w:pStyle w:val="Bibliografia"/>
        <w:rPr>
          <w:sz w:val="18"/>
        </w:rPr>
      </w:pPr>
      <w:r w:rsidRPr="00915297">
        <w:rPr>
          <w:sz w:val="18"/>
        </w:rPr>
        <w:t>[9]</w:t>
      </w:r>
      <w:r w:rsidRPr="00915297">
        <w:rPr>
          <w:sz w:val="18"/>
        </w:rPr>
        <w:tab/>
        <w:t xml:space="preserve">T. Trondle, “Supply-side options to reduce land requirements of fully renewable electricity in Europe,” </w:t>
      </w:r>
      <w:r w:rsidRPr="00915297">
        <w:rPr>
          <w:i/>
          <w:iCs/>
          <w:sz w:val="18"/>
        </w:rPr>
        <w:t>PLoS ONE</w:t>
      </w:r>
      <w:r w:rsidRPr="00915297">
        <w:rPr>
          <w:sz w:val="18"/>
        </w:rPr>
        <w:t>, vol. 15, no. 8 August, pp. 1–19, 2020, doi: 10.1371/journal.pone.0236958.</w:t>
      </w:r>
    </w:p>
    <w:p w14:paraId="69DBB0E0" w14:textId="77777777" w:rsidR="00915297" w:rsidRPr="00915297" w:rsidRDefault="00915297" w:rsidP="00915297">
      <w:pPr>
        <w:pStyle w:val="Bibliografia"/>
        <w:rPr>
          <w:sz w:val="18"/>
        </w:rPr>
      </w:pPr>
      <w:r w:rsidRPr="00915297">
        <w:rPr>
          <w:sz w:val="18"/>
        </w:rPr>
        <w:t>[10]</w:t>
      </w:r>
      <w:r w:rsidRPr="00915297">
        <w:rPr>
          <w:sz w:val="18"/>
        </w:rPr>
        <w:tab/>
        <w:t xml:space="preserve">M. Pavičević, M. D. Felice, S. Busch, I. H. González, and S. Quoilin, “Water-energy nexus in African power pools – The Dispa-SET Africa model,” </w:t>
      </w:r>
      <w:r w:rsidRPr="00915297">
        <w:rPr>
          <w:i/>
          <w:iCs/>
          <w:sz w:val="18"/>
        </w:rPr>
        <w:t>Energy</w:t>
      </w:r>
      <w:r w:rsidRPr="00915297">
        <w:rPr>
          <w:sz w:val="18"/>
        </w:rPr>
        <w:t>, vol. 228, p. 120623, 2021, doi: 10.1016/j.energy.2021.120623.</w:t>
      </w:r>
    </w:p>
    <w:p w14:paraId="2C1D78AA" w14:textId="77777777" w:rsidR="00915297" w:rsidRPr="00915297" w:rsidRDefault="00915297" w:rsidP="00915297">
      <w:pPr>
        <w:pStyle w:val="Bibliografia"/>
        <w:rPr>
          <w:sz w:val="18"/>
        </w:rPr>
      </w:pPr>
      <w:r w:rsidRPr="00915297">
        <w:rPr>
          <w:sz w:val="18"/>
        </w:rPr>
        <w:t>[11]</w:t>
      </w:r>
      <w:r w:rsidRPr="00915297">
        <w:rPr>
          <w:sz w:val="18"/>
        </w:rPr>
        <w:tab/>
        <w:t xml:space="preserve">International Energy Agency, </w:t>
      </w:r>
      <w:r w:rsidRPr="00915297">
        <w:rPr>
          <w:i/>
          <w:iCs/>
          <w:sz w:val="18"/>
        </w:rPr>
        <w:t>Nuclear Power and Secure Energy Transitions: From today’s challenges to tomorrow’s clean energy systems</w:t>
      </w:r>
      <w:r w:rsidRPr="00915297">
        <w:rPr>
          <w:sz w:val="18"/>
        </w:rPr>
        <w:t>. OECD, 2022. doi: 10.1787/aca1d7ee-en.</w:t>
      </w:r>
    </w:p>
    <w:p w14:paraId="01AACBD5" w14:textId="77777777" w:rsidR="00915297" w:rsidRPr="00045B22" w:rsidRDefault="00915297" w:rsidP="00915297">
      <w:pPr>
        <w:pStyle w:val="Bibliografia"/>
        <w:rPr>
          <w:sz w:val="18"/>
          <w:lang w:val="fr-FR"/>
        </w:rPr>
      </w:pPr>
      <w:r w:rsidRPr="00915297">
        <w:rPr>
          <w:sz w:val="18"/>
        </w:rPr>
        <w:t>[12]</w:t>
      </w:r>
      <w:r w:rsidRPr="00915297">
        <w:rPr>
          <w:sz w:val="18"/>
        </w:rPr>
        <w:tab/>
        <w:t xml:space="preserve">Nuclear Energy Agency, “Small Modular Reactors: Challenges and Opportunities,” 2021. </w:t>
      </w:r>
      <w:r w:rsidRPr="00045B22">
        <w:rPr>
          <w:sz w:val="18"/>
          <w:lang w:val="fr-FR"/>
        </w:rPr>
        <w:t>[Online]. Available: https://www.oecd-nea.org/upload/docs/application/pdf/2021-03/7560_smr_report.pdf</w:t>
      </w:r>
    </w:p>
    <w:p w14:paraId="105A5517" w14:textId="77777777" w:rsidR="00915297" w:rsidRPr="00045B22" w:rsidRDefault="00915297" w:rsidP="00915297">
      <w:pPr>
        <w:pStyle w:val="Bibliografia"/>
        <w:rPr>
          <w:sz w:val="18"/>
          <w:lang w:val="fr-FR"/>
        </w:rPr>
      </w:pPr>
      <w:r w:rsidRPr="00915297">
        <w:rPr>
          <w:sz w:val="18"/>
        </w:rPr>
        <w:t>[13]</w:t>
      </w:r>
      <w:r w:rsidRPr="00915297">
        <w:rPr>
          <w:sz w:val="18"/>
        </w:rPr>
        <w:tab/>
        <w:t xml:space="preserve">IAEA, “IAEA Annual Report 2022,” 2022. [Online]. </w:t>
      </w:r>
      <w:r w:rsidRPr="00045B22">
        <w:rPr>
          <w:sz w:val="18"/>
          <w:lang w:val="fr-FR"/>
        </w:rPr>
        <w:t>Available: https://www.iaea.org/sites/default/files/gc/gc67-2.pdf</w:t>
      </w:r>
    </w:p>
    <w:p w14:paraId="747F1B5C" w14:textId="77777777" w:rsidR="00915297" w:rsidRPr="00915297" w:rsidRDefault="00915297" w:rsidP="00915297">
      <w:pPr>
        <w:pStyle w:val="Bibliografia"/>
        <w:rPr>
          <w:sz w:val="18"/>
        </w:rPr>
      </w:pPr>
      <w:r w:rsidRPr="00915297">
        <w:rPr>
          <w:sz w:val="18"/>
        </w:rPr>
        <w:t>[14]</w:t>
      </w:r>
      <w:r w:rsidRPr="00915297">
        <w:rPr>
          <w:sz w:val="18"/>
        </w:rPr>
        <w:tab/>
        <w:t>“Small modular reactors (SMR) | IAEA.” Accessed: Jun. 03, 2024. [Online]. Available: https://www.iaea.org/topics/small-modular-reactors</w:t>
      </w:r>
    </w:p>
    <w:p w14:paraId="4B499E9E" w14:textId="77777777" w:rsidR="00915297" w:rsidRPr="00915297" w:rsidRDefault="00915297" w:rsidP="00915297">
      <w:pPr>
        <w:pStyle w:val="Bibliografia"/>
        <w:rPr>
          <w:sz w:val="18"/>
        </w:rPr>
      </w:pPr>
      <w:r w:rsidRPr="00915297">
        <w:rPr>
          <w:sz w:val="18"/>
        </w:rPr>
        <w:t>[15]</w:t>
      </w:r>
      <w:r w:rsidRPr="00915297">
        <w:rPr>
          <w:sz w:val="18"/>
        </w:rPr>
        <w:tab/>
        <w:t xml:space="preserve">S. Pfenninger and B. Pickering, “Calliope: a multi-scale energy systems modelling framework,” </w:t>
      </w:r>
      <w:r w:rsidRPr="00915297">
        <w:rPr>
          <w:i/>
          <w:iCs/>
          <w:sz w:val="18"/>
        </w:rPr>
        <w:t>Journal of Open Source Software</w:t>
      </w:r>
      <w:r w:rsidRPr="00915297">
        <w:rPr>
          <w:sz w:val="18"/>
        </w:rPr>
        <w:t>, vol. 3, no. 29, p. 825, 2018, doi: 10.21105/joss.00825.</w:t>
      </w:r>
    </w:p>
    <w:p w14:paraId="6256F986" w14:textId="77777777" w:rsidR="00915297" w:rsidRPr="00045B22" w:rsidRDefault="00915297" w:rsidP="00915297">
      <w:pPr>
        <w:pStyle w:val="Bibliografia"/>
        <w:rPr>
          <w:sz w:val="18"/>
          <w:lang w:val="fr-FR"/>
        </w:rPr>
      </w:pPr>
      <w:r w:rsidRPr="00045B22">
        <w:rPr>
          <w:sz w:val="18"/>
          <w:lang w:val="fr-FR"/>
        </w:rPr>
        <w:t>[16]</w:t>
      </w:r>
      <w:r w:rsidRPr="00045B22">
        <w:rPr>
          <w:sz w:val="18"/>
          <w:lang w:val="fr-FR"/>
        </w:rPr>
        <w:tab/>
        <w:t>“COMITE NACIONAL DE DESPACHO DE CARGA - CNDC.” Accessed: Apr. 11, 2024. [Online]. Available: https://www.cndc.bo/home/</w:t>
      </w:r>
    </w:p>
    <w:p w14:paraId="3DAF799F" w14:textId="77777777" w:rsidR="00915297" w:rsidRPr="00915297" w:rsidRDefault="00915297" w:rsidP="00915297">
      <w:pPr>
        <w:pStyle w:val="Bibliografia"/>
        <w:rPr>
          <w:sz w:val="18"/>
        </w:rPr>
      </w:pPr>
      <w:r w:rsidRPr="00045B22">
        <w:rPr>
          <w:sz w:val="18"/>
          <w:lang w:val="fr-FR"/>
        </w:rPr>
        <w:t>[17]</w:t>
      </w:r>
      <w:r w:rsidRPr="00045B22">
        <w:rPr>
          <w:sz w:val="18"/>
          <w:lang w:val="fr-FR"/>
        </w:rPr>
        <w:tab/>
        <w:t xml:space="preserve">CNDC, “Memoria Anual 2022 - Resultados de la Operacion,” Comité Nacional de Despacho y Carga, 2023. </w:t>
      </w:r>
      <w:r w:rsidRPr="00915297">
        <w:rPr>
          <w:sz w:val="18"/>
        </w:rPr>
        <w:t>Accessed: May 22, 2024. [Online]. Available: https://www.cndc.bo/home/media/memyres_2022.pdf</w:t>
      </w:r>
    </w:p>
    <w:p w14:paraId="0FD9B0D7" w14:textId="77777777" w:rsidR="00915297" w:rsidRPr="00915297" w:rsidRDefault="00915297" w:rsidP="00915297">
      <w:pPr>
        <w:pStyle w:val="Bibliografia"/>
        <w:rPr>
          <w:sz w:val="18"/>
        </w:rPr>
      </w:pPr>
      <w:r w:rsidRPr="00915297">
        <w:rPr>
          <w:sz w:val="18"/>
        </w:rPr>
        <w:t>[18]</w:t>
      </w:r>
      <w:r w:rsidRPr="00915297">
        <w:rPr>
          <w:sz w:val="18"/>
        </w:rPr>
        <w:tab/>
        <w:t xml:space="preserve">B. Vegel and J. C. Quinn, “Economic evaluation of small modular nuclear reactors and the complications of regulatory fee structures,” </w:t>
      </w:r>
      <w:r w:rsidRPr="00915297">
        <w:rPr>
          <w:i/>
          <w:iCs/>
          <w:sz w:val="18"/>
        </w:rPr>
        <w:t>Energy Policy</w:t>
      </w:r>
      <w:r w:rsidRPr="00915297">
        <w:rPr>
          <w:sz w:val="18"/>
        </w:rPr>
        <w:t>, vol. 104, pp. 395–403, May 2017, doi: 10.1016/j.enpol.2017.01.043.</w:t>
      </w:r>
    </w:p>
    <w:p w14:paraId="2D61E70C" w14:textId="77777777" w:rsidR="00915297" w:rsidRPr="00915297" w:rsidRDefault="00915297" w:rsidP="00915297">
      <w:pPr>
        <w:pStyle w:val="Bibliografia"/>
        <w:rPr>
          <w:sz w:val="18"/>
        </w:rPr>
      </w:pPr>
      <w:r w:rsidRPr="00915297">
        <w:rPr>
          <w:sz w:val="18"/>
        </w:rPr>
        <w:t>[19]</w:t>
      </w:r>
      <w:r w:rsidRPr="00915297">
        <w:rPr>
          <w:sz w:val="18"/>
        </w:rPr>
        <w:tab/>
        <w:t xml:space="preserve">I. Staffell and S. Pfenninger, “Using bias-corrected reanalysis to simulate current and future wind power output,” </w:t>
      </w:r>
      <w:r w:rsidRPr="00915297">
        <w:rPr>
          <w:i/>
          <w:iCs/>
          <w:sz w:val="18"/>
        </w:rPr>
        <w:t>Energy</w:t>
      </w:r>
      <w:r w:rsidRPr="00915297">
        <w:rPr>
          <w:sz w:val="18"/>
        </w:rPr>
        <w:t>, vol. 114, pp. 1224–1239, Nov. 2016, doi: 10.1016/j.energy.2016.08.068.</w:t>
      </w:r>
    </w:p>
    <w:p w14:paraId="1FE98104" w14:textId="77777777" w:rsidR="00915297" w:rsidRPr="00915297" w:rsidRDefault="00915297" w:rsidP="00915297">
      <w:pPr>
        <w:pStyle w:val="Bibliografia"/>
        <w:rPr>
          <w:sz w:val="18"/>
        </w:rPr>
      </w:pPr>
      <w:r w:rsidRPr="00915297">
        <w:rPr>
          <w:sz w:val="18"/>
        </w:rPr>
        <w:t>[20]</w:t>
      </w:r>
      <w:r w:rsidRPr="00915297">
        <w:rPr>
          <w:sz w:val="18"/>
        </w:rPr>
        <w:tab/>
        <w:t xml:space="preserve">S. Pfenninger and I. Staffell, “Long-term patterns of European PV output using 30 years of validated hourly reanalysis and satellite data,” </w:t>
      </w:r>
      <w:r w:rsidRPr="00915297">
        <w:rPr>
          <w:i/>
          <w:iCs/>
          <w:sz w:val="18"/>
        </w:rPr>
        <w:t>Energy</w:t>
      </w:r>
      <w:r w:rsidRPr="00915297">
        <w:rPr>
          <w:sz w:val="18"/>
        </w:rPr>
        <w:t>, vol. 114, pp. 1251–1265, 2016, doi: 10.1016/j.energy.2016.08.060.</w:t>
      </w:r>
    </w:p>
    <w:p w14:paraId="6064CAC9" w14:textId="37D23DCD" w:rsidR="0080518B" w:rsidRPr="0080518B" w:rsidRDefault="009A00B3" w:rsidP="0080518B">
      <w:pPr>
        <w:pStyle w:val="Corpotesto"/>
        <w:rPr>
          <w:sz w:val="18"/>
          <w:szCs w:val="18"/>
        </w:rPr>
      </w:pPr>
      <w:r w:rsidRPr="00FB7E1B">
        <w:rPr>
          <w:sz w:val="18"/>
          <w:szCs w:val="18"/>
        </w:rPr>
        <w:fldChar w:fldCharType="end"/>
      </w:r>
    </w:p>
    <w:sectPr w:rsidR="0080518B" w:rsidRPr="0080518B" w:rsidSect="00D30F16">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9887" w14:textId="77777777" w:rsidR="00615FEA" w:rsidRDefault="00615FEA">
      <w:r>
        <w:separator/>
      </w:r>
    </w:p>
  </w:endnote>
  <w:endnote w:type="continuationSeparator" w:id="0">
    <w:p w14:paraId="2D879EC5" w14:textId="77777777" w:rsidR="00615FEA" w:rsidRDefault="00615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9"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9"/>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0"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9443B" w14:textId="77777777" w:rsidR="00615FEA" w:rsidRDefault="00615FEA">
      <w:r>
        <w:t>___________________________________________________________________________</w:t>
      </w:r>
    </w:p>
  </w:footnote>
  <w:footnote w:type="continuationSeparator" w:id="0">
    <w:p w14:paraId="60ED2999" w14:textId="77777777" w:rsidR="00615FEA" w:rsidRDefault="00615FEA">
      <w:r>
        <w:t>___________________________________________________________________________</w:t>
      </w:r>
    </w:p>
  </w:footnote>
  <w:footnote w:type="continuationNotice" w:id="1">
    <w:p w14:paraId="10D56940" w14:textId="77777777" w:rsidR="00615FEA" w:rsidRDefault="00615F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3D931613" w:rsidR="00CF7AF3" w:rsidRDefault="00CF7AF3" w:rsidP="00CF7AF3">
    <w:pPr>
      <w:pStyle w:val="Runninghead"/>
    </w:pPr>
    <w:r>
      <w:tab/>
      <w:t>IAEA-CN-</w:t>
    </w:r>
    <w:r w:rsidR="00516117">
      <w:t>385</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3B6F4893" w:rsidR="00E20E70" w:rsidRPr="00416A08" w:rsidRDefault="00416A08" w:rsidP="00B82FA5">
    <w:pPr>
      <w:pStyle w:val="Runninghead"/>
      <w:rPr>
        <w:lang w:val="it-IT"/>
      </w:rPr>
    </w:pPr>
    <w:r w:rsidRPr="00416A08">
      <w:rPr>
        <w:lang w:val="it-IT"/>
      </w:rPr>
      <w:t>MARIANI</w:t>
    </w:r>
    <w:r w:rsidR="00AC5A3A" w:rsidRPr="00416A08">
      <w:rPr>
        <w:lang w:val="it-IT"/>
      </w:rPr>
      <w:t xml:space="preserve"> </w:t>
    </w:r>
    <w:r w:rsidRPr="00416A08">
      <w:rPr>
        <w:lang w:val="it-IT"/>
      </w:rPr>
      <w:t>et al.</w:t>
    </w:r>
  </w:p>
  <w:p w14:paraId="2762EF17" w14:textId="2F8417A0" w:rsidR="00037321" w:rsidRPr="00416A08" w:rsidRDefault="00037321" w:rsidP="00037321">
    <w:pPr>
      <w:jc w:val="center"/>
      <w:rPr>
        <w:color w:val="BFBFBF" w:themeColor="background1" w:themeShade="BF"/>
        <w:sz w:val="16"/>
        <w:szCs w:val="16"/>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8"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8"/>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Titolo9"/>
            <w:spacing w:before="0" w:after="10"/>
          </w:pPr>
        </w:p>
      </w:tc>
      <w:tc>
        <w:tcPr>
          <w:tcW w:w="5702" w:type="dxa"/>
          <w:vMerge/>
          <w:vAlign w:val="bottom"/>
        </w:tcPr>
        <w:p w14:paraId="313FA1D9" w14:textId="77777777" w:rsidR="00E20E70" w:rsidRDefault="00E20E70">
          <w:pPr>
            <w:pStyle w:val="Titolo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7"/>
  </w:num>
  <w:num w:numId="2" w16cid:durableId="59716700">
    <w:abstractNumId w:val="4"/>
  </w:num>
  <w:num w:numId="3" w16cid:durableId="731540123">
    <w:abstractNumId w:val="10"/>
  </w:num>
  <w:num w:numId="4" w16cid:durableId="744034000">
    <w:abstractNumId w:val="10"/>
  </w:num>
  <w:num w:numId="5" w16cid:durableId="1474641089">
    <w:abstractNumId w:val="10"/>
  </w:num>
  <w:num w:numId="6" w16cid:durableId="528497540">
    <w:abstractNumId w:val="5"/>
  </w:num>
  <w:num w:numId="7" w16cid:durableId="176696273">
    <w:abstractNumId w:val="8"/>
  </w:num>
  <w:num w:numId="8" w16cid:durableId="1131169468">
    <w:abstractNumId w:val="11"/>
  </w:num>
  <w:num w:numId="9" w16cid:durableId="1007632637">
    <w:abstractNumId w:val="1"/>
  </w:num>
  <w:num w:numId="10" w16cid:durableId="422917246">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0"/>
  </w:num>
  <w:num w:numId="12" w16cid:durableId="468400009">
    <w:abstractNumId w:val="10"/>
  </w:num>
  <w:num w:numId="13" w16cid:durableId="1927378143">
    <w:abstractNumId w:val="10"/>
  </w:num>
  <w:num w:numId="14" w16cid:durableId="1289622783">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0"/>
  </w:num>
  <w:num w:numId="16" w16cid:durableId="656224632">
    <w:abstractNumId w:val="10"/>
  </w:num>
  <w:num w:numId="17" w16cid:durableId="784034295">
    <w:abstractNumId w:val="10"/>
  </w:num>
  <w:num w:numId="18" w16cid:durableId="1293555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0"/>
  </w:num>
  <w:num w:numId="20" w16cid:durableId="2113888906">
    <w:abstractNumId w:val="2"/>
  </w:num>
  <w:num w:numId="21" w16cid:durableId="1417746791">
    <w:abstractNumId w:val="10"/>
  </w:num>
  <w:num w:numId="22" w16cid:durableId="1720975952">
    <w:abstractNumId w:val="3"/>
  </w:num>
  <w:num w:numId="23" w16cid:durableId="983584939">
    <w:abstractNumId w:val="0"/>
  </w:num>
  <w:num w:numId="24" w16cid:durableId="76482875">
    <w:abstractNumId w:val="9"/>
  </w:num>
  <w:num w:numId="25" w16cid:durableId="1024988134">
    <w:abstractNumId w:val="10"/>
  </w:num>
  <w:num w:numId="26" w16cid:durableId="2000382986">
    <w:abstractNumId w:val="10"/>
  </w:num>
  <w:num w:numId="27" w16cid:durableId="1390575348">
    <w:abstractNumId w:val="10"/>
  </w:num>
  <w:num w:numId="28" w16cid:durableId="621231405">
    <w:abstractNumId w:val="10"/>
  </w:num>
  <w:num w:numId="29" w16cid:durableId="995762299">
    <w:abstractNumId w:val="10"/>
  </w:num>
  <w:num w:numId="30" w16cid:durableId="320278723">
    <w:abstractNumId w:val="6"/>
  </w:num>
  <w:num w:numId="31" w16cid:durableId="1695614948">
    <w:abstractNumId w:val="6"/>
  </w:num>
  <w:num w:numId="32" w16cid:durableId="195823161">
    <w:abstractNumId w:val="10"/>
  </w:num>
  <w:num w:numId="33" w16cid:durableId="2067950638">
    <w:abstractNumId w:val="2"/>
  </w:num>
  <w:num w:numId="34" w16cid:durableId="432938631">
    <w:abstractNumId w:val="10"/>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Titolo2"/>
        <w:lvlText w:val="%1%2."/>
        <w:lvlJc w:val="left"/>
        <w:pPr>
          <w:ind w:left="0" w:firstLine="0"/>
        </w:pPr>
        <w:rPr>
          <w:rFonts w:hint="default"/>
          <w:color w:val="auto"/>
        </w:rPr>
      </w:lvl>
    </w:lvlOverride>
    <w:lvlOverride w:ilvl="2">
      <w:startOverride w:val="1"/>
      <w:lvl w:ilvl="2">
        <w:start w:val="1"/>
        <w:numFmt w:val="decimal"/>
        <w:lvlRestart w:val="0"/>
        <w:pStyle w:val="Titolo3"/>
        <w:lvlText w:val="%1%2.%3."/>
        <w:lvlJc w:val="left"/>
        <w:pPr>
          <w:ind w:left="0" w:firstLine="0"/>
        </w:pPr>
        <w:rPr>
          <w:rFonts w:hint="default"/>
        </w:rPr>
      </w:lvl>
    </w:lvlOverride>
    <w:lvlOverride w:ilvl="3">
      <w:startOverride w:val="1"/>
      <w:lvl w:ilvl="3">
        <w:start w:val="1"/>
        <w:numFmt w:val="none"/>
        <w:lvlRestart w:val="0"/>
        <w:pStyle w:val="Titolo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5"/>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DB1"/>
    <w:rsid w:val="000138C0"/>
    <w:rsid w:val="000229AB"/>
    <w:rsid w:val="0002569A"/>
    <w:rsid w:val="000333D5"/>
    <w:rsid w:val="00035C69"/>
    <w:rsid w:val="00037321"/>
    <w:rsid w:val="00042DD4"/>
    <w:rsid w:val="00042FB7"/>
    <w:rsid w:val="00045B22"/>
    <w:rsid w:val="00046A20"/>
    <w:rsid w:val="00052D9D"/>
    <w:rsid w:val="00064B61"/>
    <w:rsid w:val="0007729B"/>
    <w:rsid w:val="000A0299"/>
    <w:rsid w:val="000C630A"/>
    <w:rsid w:val="000C6F25"/>
    <w:rsid w:val="000D3006"/>
    <w:rsid w:val="000D36BF"/>
    <w:rsid w:val="000D7F8E"/>
    <w:rsid w:val="000F7E94"/>
    <w:rsid w:val="001032C7"/>
    <w:rsid w:val="00104B3C"/>
    <w:rsid w:val="00107094"/>
    <w:rsid w:val="001119D6"/>
    <w:rsid w:val="00115F34"/>
    <w:rsid w:val="0012039B"/>
    <w:rsid w:val="00120B08"/>
    <w:rsid w:val="00122A5B"/>
    <w:rsid w:val="00127457"/>
    <w:rsid w:val="001308F2"/>
    <w:rsid w:val="001313E8"/>
    <w:rsid w:val="001453F9"/>
    <w:rsid w:val="00150524"/>
    <w:rsid w:val="00150F0A"/>
    <w:rsid w:val="00161D30"/>
    <w:rsid w:val="00183D07"/>
    <w:rsid w:val="001C58F5"/>
    <w:rsid w:val="001D40E0"/>
    <w:rsid w:val="001D5CEE"/>
    <w:rsid w:val="001E4464"/>
    <w:rsid w:val="00202700"/>
    <w:rsid w:val="002071D9"/>
    <w:rsid w:val="00217C8D"/>
    <w:rsid w:val="00232BB6"/>
    <w:rsid w:val="00240629"/>
    <w:rsid w:val="00244475"/>
    <w:rsid w:val="00244E65"/>
    <w:rsid w:val="00256822"/>
    <w:rsid w:val="0026525A"/>
    <w:rsid w:val="00274790"/>
    <w:rsid w:val="00276ABF"/>
    <w:rsid w:val="00285755"/>
    <w:rsid w:val="002A1F9C"/>
    <w:rsid w:val="002A2839"/>
    <w:rsid w:val="002B29C2"/>
    <w:rsid w:val="002C4208"/>
    <w:rsid w:val="00315F14"/>
    <w:rsid w:val="0032727E"/>
    <w:rsid w:val="003460A7"/>
    <w:rsid w:val="00352DE1"/>
    <w:rsid w:val="003671C2"/>
    <w:rsid w:val="00367247"/>
    <w:rsid w:val="003728E6"/>
    <w:rsid w:val="00373993"/>
    <w:rsid w:val="003A3E88"/>
    <w:rsid w:val="003B5E0E"/>
    <w:rsid w:val="003B7D99"/>
    <w:rsid w:val="003C23C7"/>
    <w:rsid w:val="003D255A"/>
    <w:rsid w:val="003E1865"/>
    <w:rsid w:val="003E4F14"/>
    <w:rsid w:val="003F043D"/>
    <w:rsid w:val="004007BD"/>
    <w:rsid w:val="00416949"/>
    <w:rsid w:val="00416A08"/>
    <w:rsid w:val="00420432"/>
    <w:rsid w:val="00430146"/>
    <w:rsid w:val="004370D8"/>
    <w:rsid w:val="00445C46"/>
    <w:rsid w:val="00462B8A"/>
    <w:rsid w:val="00472C43"/>
    <w:rsid w:val="00473763"/>
    <w:rsid w:val="004824FC"/>
    <w:rsid w:val="004A237A"/>
    <w:rsid w:val="004A53F0"/>
    <w:rsid w:val="004D25DF"/>
    <w:rsid w:val="004E6F6E"/>
    <w:rsid w:val="004F6913"/>
    <w:rsid w:val="00500CDE"/>
    <w:rsid w:val="00514352"/>
    <w:rsid w:val="00515BEF"/>
    <w:rsid w:val="00516117"/>
    <w:rsid w:val="0052300F"/>
    <w:rsid w:val="00525C5E"/>
    <w:rsid w:val="00526CF4"/>
    <w:rsid w:val="0053448F"/>
    <w:rsid w:val="00537496"/>
    <w:rsid w:val="00544ED3"/>
    <w:rsid w:val="00554E70"/>
    <w:rsid w:val="005573BC"/>
    <w:rsid w:val="005613C6"/>
    <w:rsid w:val="0058477B"/>
    <w:rsid w:val="0058654F"/>
    <w:rsid w:val="00596ACA"/>
    <w:rsid w:val="005B474E"/>
    <w:rsid w:val="005C3C4A"/>
    <w:rsid w:val="005C687B"/>
    <w:rsid w:val="005D09BF"/>
    <w:rsid w:val="005E2BCD"/>
    <w:rsid w:val="005E39BC"/>
    <w:rsid w:val="005F00A0"/>
    <w:rsid w:val="00602CF2"/>
    <w:rsid w:val="006077F3"/>
    <w:rsid w:val="00615FEA"/>
    <w:rsid w:val="00616B22"/>
    <w:rsid w:val="00617F24"/>
    <w:rsid w:val="006239A1"/>
    <w:rsid w:val="006369F7"/>
    <w:rsid w:val="0064257D"/>
    <w:rsid w:val="00646B2D"/>
    <w:rsid w:val="00647F33"/>
    <w:rsid w:val="00662532"/>
    <w:rsid w:val="00662675"/>
    <w:rsid w:val="00663EF8"/>
    <w:rsid w:val="0067414D"/>
    <w:rsid w:val="00690573"/>
    <w:rsid w:val="00696906"/>
    <w:rsid w:val="006B2274"/>
    <w:rsid w:val="006D7A84"/>
    <w:rsid w:val="006E517E"/>
    <w:rsid w:val="00702753"/>
    <w:rsid w:val="00710E9A"/>
    <w:rsid w:val="00713E24"/>
    <w:rsid w:val="00717C6F"/>
    <w:rsid w:val="0073533B"/>
    <w:rsid w:val="007409C3"/>
    <w:rsid w:val="00740A34"/>
    <w:rsid w:val="007445DA"/>
    <w:rsid w:val="00752B84"/>
    <w:rsid w:val="00754204"/>
    <w:rsid w:val="007A0378"/>
    <w:rsid w:val="007B4FD1"/>
    <w:rsid w:val="007D667C"/>
    <w:rsid w:val="00802381"/>
    <w:rsid w:val="0080518B"/>
    <w:rsid w:val="00816D30"/>
    <w:rsid w:val="008273DE"/>
    <w:rsid w:val="0083229E"/>
    <w:rsid w:val="00854E5B"/>
    <w:rsid w:val="008575BF"/>
    <w:rsid w:val="00880AC4"/>
    <w:rsid w:val="00883848"/>
    <w:rsid w:val="00886ED7"/>
    <w:rsid w:val="008874AE"/>
    <w:rsid w:val="00897ED5"/>
    <w:rsid w:val="008A5A32"/>
    <w:rsid w:val="008B1E18"/>
    <w:rsid w:val="008B6BB9"/>
    <w:rsid w:val="008D606A"/>
    <w:rsid w:val="008E1C59"/>
    <w:rsid w:val="008F7A50"/>
    <w:rsid w:val="00905664"/>
    <w:rsid w:val="009063F9"/>
    <w:rsid w:val="00911543"/>
    <w:rsid w:val="00911DD2"/>
    <w:rsid w:val="00915297"/>
    <w:rsid w:val="00915652"/>
    <w:rsid w:val="00915E80"/>
    <w:rsid w:val="0093550E"/>
    <w:rsid w:val="00944EB1"/>
    <w:rsid w:val="009519C9"/>
    <w:rsid w:val="009569E9"/>
    <w:rsid w:val="00981BEF"/>
    <w:rsid w:val="00982532"/>
    <w:rsid w:val="00986754"/>
    <w:rsid w:val="009A00B3"/>
    <w:rsid w:val="009A2D91"/>
    <w:rsid w:val="009A7046"/>
    <w:rsid w:val="009B282D"/>
    <w:rsid w:val="009C6AF6"/>
    <w:rsid w:val="009D0B86"/>
    <w:rsid w:val="009D2472"/>
    <w:rsid w:val="009D5F3F"/>
    <w:rsid w:val="009E0D5B"/>
    <w:rsid w:val="009E1558"/>
    <w:rsid w:val="009F56E6"/>
    <w:rsid w:val="00A07354"/>
    <w:rsid w:val="00A16C41"/>
    <w:rsid w:val="00A2582C"/>
    <w:rsid w:val="00A42898"/>
    <w:rsid w:val="00A451AE"/>
    <w:rsid w:val="00A7027E"/>
    <w:rsid w:val="00A81250"/>
    <w:rsid w:val="00A92DDC"/>
    <w:rsid w:val="00AB3719"/>
    <w:rsid w:val="00AB37DD"/>
    <w:rsid w:val="00AB46F4"/>
    <w:rsid w:val="00AB6ACE"/>
    <w:rsid w:val="00AC2A87"/>
    <w:rsid w:val="00AC5A3A"/>
    <w:rsid w:val="00AD0957"/>
    <w:rsid w:val="00AD35B0"/>
    <w:rsid w:val="00AD583B"/>
    <w:rsid w:val="00AD5FF3"/>
    <w:rsid w:val="00AE2501"/>
    <w:rsid w:val="00AE3803"/>
    <w:rsid w:val="00AE68BF"/>
    <w:rsid w:val="00B06A20"/>
    <w:rsid w:val="00B271B5"/>
    <w:rsid w:val="00B47B16"/>
    <w:rsid w:val="00B66235"/>
    <w:rsid w:val="00B72715"/>
    <w:rsid w:val="00B82FA5"/>
    <w:rsid w:val="00BA2F43"/>
    <w:rsid w:val="00BA33BA"/>
    <w:rsid w:val="00BA4155"/>
    <w:rsid w:val="00BC3C17"/>
    <w:rsid w:val="00BD1400"/>
    <w:rsid w:val="00BD605C"/>
    <w:rsid w:val="00BE2A76"/>
    <w:rsid w:val="00BE2FEC"/>
    <w:rsid w:val="00BF2B7E"/>
    <w:rsid w:val="00C00498"/>
    <w:rsid w:val="00C04084"/>
    <w:rsid w:val="00C04354"/>
    <w:rsid w:val="00C13B20"/>
    <w:rsid w:val="00C1722D"/>
    <w:rsid w:val="00C17743"/>
    <w:rsid w:val="00C65332"/>
    <w:rsid w:val="00C65E60"/>
    <w:rsid w:val="00C71A0A"/>
    <w:rsid w:val="00CA1731"/>
    <w:rsid w:val="00CA5F50"/>
    <w:rsid w:val="00CC06B7"/>
    <w:rsid w:val="00CC29A2"/>
    <w:rsid w:val="00CD670A"/>
    <w:rsid w:val="00CD7B3F"/>
    <w:rsid w:val="00CE5A52"/>
    <w:rsid w:val="00CF1B2A"/>
    <w:rsid w:val="00CF5313"/>
    <w:rsid w:val="00CF58C3"/>
    <w:rsid w:val="00CF5E96"/>
    <w:rsid w:val="00CF7AF3"/>
    <w:rsid w:val="00CF7B54"/>
    <w:rsid w:val="00D05655"/>
    <w:rsid w:val="00D063DD"/>
    <w:rsid w:val="00D112E1"/>
    <w:rsid w:val="00D119D7"/>
    <w:rsid w:val="00D2415E"/>
    <w:rsid w:val="00D26ADA"/>
    <w:rsid w:val="00D277A4"/>
    <w:rsid w:val="00D30F16"/>
    <w:rsid w:val="00D33D80"/>
    <w:rsid w:val="00D35A78"/>
    <w:rsid w:val="00D40664"/>
    <w:rsid w:val="00D555A1"/>
    <w:rsid w:val="00D64DC2"/>
    <w:rsid w:val="00D65F6B"/>
    <w:rsid w:val="00D75768"/>
    <w:rsid w:val="00D80813"/>
    <w:rsid w:val="00D82D8C"/>
    <w:rsid w:val="00DA46CA"/>
    <w:rsid w:val="00DC4825"/>
    <w:rsid w:val="00DF1C12"/>
    <w:rsid w:val="00DF1D5B"/>
    <w:rsid w:val="00DF21EB"/>
    <w:rsid w:val="00E20E70"/>
    <w:rsid w:val="00E20E89"/>
    <w:rsid w:val="00E21093"/>
    <w:rsid w:val="00E25B68"/>
    <w:rsid w:val="00E5552C"/>
    <w:rsid w:val="00E560BC"/>
    <w:rsid w:val="00E57FC5"/>
    <w:rsid w:val="00E678D8"/>
    <w:rsid w:val="00E722E1"/>
    <w:rsid w:val="00E84003"/>
    <w:rsid w:val="00E84B06"/>
    <w:rsid w:val="00EC10FC"/>
    <w:rsid w:val="00EE0041"/>
    <w:rsid w:val="00EE06A6"/>
    <w:rsid w:val="00EE29B9"/>
    <w:rsid w:val="00EE4F3C"/>
    <w:rsid w:val="00EE529D"/>
    <w:rsid w:val="00EF0050"/>
    <w:rsid w:val="00EF3F03"/>
    <w:rsid w:val="00F004EE"/>
    <w:rsid w:val="00F035F4"/>
    <w:rsid w:val="00F14285"/>
    <w:rsid w:val="00F25179"/>
    <w:rsid w:val="00F42E23"/>
    <w:rsid w:val="00F45EEE"/>
    <w:rsid w:val="00F502E9"/>
    <w:rsid w:val="00F512DA"/>
    <w:rsid w:val="00F51E9C"/>
    <w:rsid w:val="00F523CA"/>
    <w:rsid w:val="00F57083"/>
    <w:rsid w:val="00F57790"/>
    <w:rsid w:val="00F57800"/>
    <w:rsid w:val="00F70000"/>
    <w:rsid w:val="00F74A9D"/>
    <w:rsid w:val="00F76EE7"/>
    <w:rsid w:val="00F87FB3"/>
    <w:rsid w:val="00FB7E1B"/>
    <w:rsid w:val="00FD2312"/>
    <w:rsid w:val="00FE3577"/>
    <w:rsid w:val="00FE7619"/>
    <w:rsid w:val="00FE797A"/>
    <w:rsid w:val="00FF324F"/>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annotation text" w:uiPriority="0" w:qFormat="1"/>
    <w:lsdException w:name="header" w:locked="0" w:uiPriority="0"/>
    <w:lsdException w:name="footer" w:locked="0" w:uiPriority="99"/>
    <w:lsdException w:name="caption" w:locked="0" w:uiPriority="0"/>
    <w:lsdException w:name="footnote reference" w:locked="0" w:uiPriority="0"/>
    <w:lsdException w:name="annotation reference" w:uiPriority="0" w:qFormat="1"/>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Bibliografia">
    <w:name w:val="Bibliography"/>
    <w:basedOn w:val="Normale"/>
    <w:next w:val="Normale"/>
    <w:uiPriority w:val="37"/>
    <w:unhideWhenUsed/>
    <w:locked/>
    <w:rsid w:val="009A00B3"/>
    <w:pPr>
      <w:tabs>
        <w:tab w:val="left" w:pos="384"/>
      </w:tabs>
      <w:ind w:left="384" w:hanging="384"/>
    </w:pPr>
  </w:style>
  <w:style w:type="character" w:styleId="Rimandocommento">
    <w:name w:val="annotation reference"/>
    <w:qFormat/>
    <w:locked/>
    <w:rsid w:val="00B06A20"/>
    <w:rPr>
      <w:sz w:val="16"/>
      <w:szCs w:val="16"/>
    </w:rPr>
  </w:style>
  <w:style w:type="character" w:customStyle="1" w:styleId="TestocommentoCarattere">
    <w:name w:val="Testo commento Carattere"/>
    <w:link w:val="Testocommento"/>
    <w:qFormat/>
    <w:rsid w:val="00B06A20"/>
    <w:rPr>
      <w:lang w:eastAsia="en-US"/>
    </w:rPr>
  </w:style>
  <w:style w:type="paragraph" w:styleId="Testocommento">
    <w:name w:val="annotation text"/>
    <w:basedOn w:val="Normale"/>
    <w:link w:val="TestocommentoCarattere"/>
    <w:qFormat/>
    <w:locked/>
    <w:rsid w:val="00B06A20"/>
    <w:pPr>
      <w:overflowPunct/>
      <w:autoSpaceDE/>
      <w:autoSpaceDN/>
      <w:adjustRightInd/>
      <w:jc w:val="both"/>
      <w:textAlignment w:val="auto"/>
    </w:pPr>
    <w:rPr>
      <w:sz w:val="20"/>
    </w:rPr>
  </w:style>
  <w:style w:type="character" w:customStyle="1" w:styleId="CommentTextChar1">
    <w:name w:val="Comment Text Char1"/>
    <w:basedOn w:val="Carpredefinitoparagrafo"/>
    <w:uiPriority w:val="49"/>
    <w:rsid w:val="00B06A20"/>
    <w:rPr>
      <w:lang w:eastAsia="en-US"/>
    </w:rPr>
  </w:style>
  <w:style w:type="paragraph" w:styleId="Soggettocommento">
    <w:name w:val="annotation subject"/>
    <w:basedOn w:val="Testocommento"/>
    <w:next w:val="Testocommento"/>
    <w:link w:val="SoggettocommentoCarattere"/>
    <w:uiPriority w:val="49"/>
    <w:locked/>
    <w:rsid w:val="00D80813"/>
    <w:pPr>
      <w:overflowPunct w:val="0"/>
      <w:autoSpaceDE w:val="0"/>
      <w:autoSpaceDN w:val="0"/>
      <w:adjustRightInd w:val="0"/>
      <w:jc w:val="left"/>
      <w:textAlignment w:val="baseline"/>
    </w:pPr>
    <w:rPr>
      <w:b/>
      <w:bCs/>
    </w:rPr>
  </w:style>
  <w:style w:type="character" w:customStyle="1" w:styleId="SoggettocommentoCarattere">
    <w:name w:val="Soggetto commento Carattere"/>
    <w:basedOn w:val="TestocommentoCarattere"/>
    <w:link w:val="Soggettocommento"/>
    <w:uiPriority w:val="49"/>
    <w:rsid w:val="00D80813"/>
    <w:rPr>
      <w:b/>
      <w:bCs/>
      <w:lang w:eastAsia="en-US"/>
    </w:rPr>
  </w:style>
  <w:style w:type="paragraph" w:styleId="NormaleWeb">
    <w:name w:val="Normal (Web)"/>
    <w:basedOn w:val="Normale"/>
    <w:uiPriority w:val="99"/>
    <w:unhideWhenUsed/>
    <w:locked/>
    <w:rsid w:val="0080518B"/>
    <w:pPr>
      <w:overflowPunct/>
      <w:autoSpaceDE/>
      <w:autoSpaceDN/>
      <w:adjustRightInd/>
      <w:spacing w:before="100" w:beforeAutospacing="1" w:after="100" w:afterAutospacing="1"/>
      <w:textAlignment w:val="auto"/>
    </w:pPr>
    <w:rPr>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27275">
      <w:bodyDiv w:val="1"/>
      <w:marLeft w:val="0"/>
      <w:marRight w:val="0"/>
      <w:marTop w:val="0"/>
      <w:marBottom w:val="0"/>
      <w:divBdr>
        <w:top w:val="none" w:sz="0" w:space="0" w:color="auto"/>
        <w:left w:val="none" w:sz="0" w:space="0" w:color="auto"/>
        <w:bottom w:val="none" w:sz="0" w:space="0" w:color="auto"/>
        <w:right w:val="none" w:sz="0" w:space="0" w:color="auto"/>
      </w:divBdr>
    </w:div>
    <w:div w:id="990134561">
      <w:bodyDiv w:val="1"/>
      <w:marLeft w:val="0"/>
      <w:marRight w:val="0"/>
      <w:marTop w:val="0"/>
      <w:marBottom w:val="0"/>
      <w:divBdr>
        <w:top w:val="none" w:sz="0" w:space="0" w:color="auto"/>
        <w:left w:val="none" w:sz="0" w:space="0" w:color="auto"/>
        <w:bottom w:val="none" w:sz="0" w:space="0" w:color="auto"/>
        <w:right w:val="none" w:sz="0" w:space="0" w:color="auto"/>
      </w:divBdr>
    </w:div>
    <w:div w:id="1115249510">
      <w:bodyDiv w:val="1"/>
      <w:marLeft w:val="0"/>
      <w:marRight w:val="0"/>
      <w:marTop w:val="0"/>
      <w:marBottom w:val="0"/>
      <w:divBdr>
        <w:top w:val="none" w:sz="0" w:space="0" w:color="auto"/>
        <w:left w:val="none" w:sz="0" w:space="0" w:color="auto"/>
        <w:bottom w:val="none" w:sz="0" w:space="0" w:color="auto"/>
        <w:right w:val="none" w:sz="0" w:space="0" w:color="auto"/>
      </w:divBdr>
      <w:divsChild>
        <w:div w:id="69472119">
          <w:marLeft w:val="0"/>
          <w:marRight w:val="0"/>
          <w:marTop w:val="0"/>
          <w:marBottom w:val="0"/>
          <w:divBdr>
            <w:top w:val="none" w:sz="0" w:space="0" w:color="auto"/>
            <w:left w:val="none" w:sz="0" w:space="0" w:color="auto"/>
            <w:bottom w:val="none" w:sz="0" w:space="0" w:color="auto"/>
            <w:right w:val="none" w:sz="0" w:space="0" w:color="auto"/>
          </w:divBdr>
        </w:div>
      </w:divsChild>
    </w:div>
    <w:div w:id="1194728313">
      <w:bodyDiv w:val="1"/>
      <w:marLeft w:val="0"/>
      <w:marRight w:val="0"/>
      <w:marTop w:val="0"/>
      <w:marBottom w:val="0"/>
      <w:divBdr>
        <w:top w:val="none" w:sz="0" w:space="0" w:color="auto"/>
        <w:left w:val="none" w:sz="0" w:space="0" w:color="auto"/>
        <w:bottom w:val="none" w:sz="0" w:space="0" w:color="auto"/>
        <w:right w:val="none" w:sz="0" w:space="0" w:color="auto"/>
      </w:divBdr>
      <w:divsChild>
        <w:div w:id="1135685293">
          <w:marLeft w:val="0"/>
          <w:marRight w:val="0"/>
          <w:marTop w:val="0"/>
          <w:marBottom w:val="0"/>
          <w:divBdr>
            <w:top w:val="none" w:sz="0" w:space="0" w:color="auto"/>
            <w:left w:val="none" w:sz="0" w:space="0" w:color="auto"/>
            <w:bottom w:val="none" w:sz="0" w:space="0" w:color="auto"/>
            <w:right w:val="none" w:sz="0" w:space="0" w:color="auto"/>
          </w:divBdr>
        </w:div>
      </w:divsChild>
    </w:div>
    <w:div w:id="2102293157">
      <w:bodyDiv w:val="1"/>
      <w:marLeft w:val="0"/>
      <w:marRight w:val="0"/>
      <w:marTop w:val="0"/>
      <w:marBottom w:val="0"/>
      <w:divBdr>
        <w:top w:val="none" w:sz="0" w:space="0" w:color="auto"/>
        <w:left w:val="none" w:sz="0" w:space="0" w:color="auto"/>
        <w:bottom w:val="none" w:sz="0" w:space="0" w:color="auto"/>
        <w:right w:val="none" w:sz="0" w:space="0" w:color="auto"/>
      </w:divBdr>
      <w:divsChild>
        <w:div w:id="72445135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IEA22</b:Tag>
    <b:SourceType>Report</b:SourceType>
    <b:Guid>{8DF2FF84-A964-AD41-B3E4-161291EA8E1C}</b:Guid>
    <b:Author>
      <b:Author>
        <b:NameList>
          <b:Person>
            <b:Last>IEA</b:Last>
          </b:Person>
        </b:NameList>
      </b:Author>
    </b:Author>
    <b:Title>World Energy Outlook 2022</b:Title>
    <b:Publisher>IEA</b:Publisher>
    <b:Year>2022</b:Year>
    <b:RefOrder>1</b:RefOrder>
  </b:Source>
</b:Sources>
</file>

<file path=customXml/itemProps1.xml><?xml version="1.0" encoding="utf-8"?>
<ds:datastoreItem xmlns:ds="http://schemas.openxmlformats.org/officeDocument/2006/customXml" ds:itemID="{6B57D612-92C8-C541-8D36-DA86D7576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6</TotalTime>
  <Pages>9</Pages>
  <Words>9585</Words>
  <Characters>54635</Characters>
  <Application>Microsoft Office Word</Application>
  <DocSecurity>0</DocSecurity>
  <Lines>455</Lines>
  <Paragraphs>128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64092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Marco Enrico Ricotti</cp:lastModifiedBy>
  <cp:revision>5</cp:revision>
  <cp:lastPrinted>2024-03-19T13:52:00Z</cp:lastPrinted>
  <dcterms:created xsi:type="dcterms:W3CDTF">2024-06-13T21:47:00Z</dcterms:created>
  <dcterms:modified xsi:type="dcterms:W3CDTF">2024-06-14T13:03:00Z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ZOTERO_PREF_1">
    <vt:lpwstr>&lt;data data-version="3" zotero-version="6.0.36"&gt;&lt;session id="HwNc4nkA"/&gt;&lt;style id="http://www.zotero.org/styles/ieee" locale="en-US" hasBibliography="1" bibliographyStyleHasBeenSet="1"/&gt;&lt;prefs&gt;&lt;pref name="fieldType" value="Field"/&gt;&lt;/prefs&gt;&lt;/data&gt;</vt:lpwstr>
  </property>
  <property fmtid="{D5CDD505-2E9C-101B-9397-08002B2CF9AE}" pid="12" name="GrammarlyDocumentId">
    <vt:lpwstr>5520e92f967e1915d6640cfac734e18b2cdbde71fef651ed95b0a55382eac997</vt:lpwstr>
  </property>
</Properties>
</file>