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01F0" w14:textId="639471B2" w:rsidR="00E20E70" w:rsidRPr="00EE29B9" w:rsidRDefault="00875652" w:rsidP="00537496">
      <w:pPr>
        <w:pStyle w:val="Heading1"/>
      </w:pPr>
      <w:r>
        <w:t xml:space="preserve">Flexibility limits </w:t>
      </w:r>
      <w:r w:rsidR="00D02207">
        <w:t>in</w:t>
      </w:r>
      <w:r>
        <w:t xml:space="preserve"> S</w:t>
      </w:r>
      <w:r w:rsidR="00D02207">
        <w:t>mall modular reactor</w:t>
      </w:r>
      <w:r w:rsidR="000F5A07">
        <w:t>s</w:t>
      </w:r>
      <w:r>
        <w:t xml:space="preserve"> </w:t>
      </w:r>
      <w:r w:rsidR="00D02207">
        <w:t>for</w:t>
      </w:r>
      <w:r>
        <w:t xml:space="preserve"> enhanced load following</w:t>
      </w:r>
    </w:p>
    <w:p w14:paraId="4D1B799F" w14:textId="77777777" w:rsidR="00802381" w:rsidRDefault="00802381" w:rsidP="00A416B2">
      <w:pPr>
        <w:pStyle w:val="Authornameandaffiliation"/>
        <w:ind w:left="0"/>
      </w:pPr>
    </w:p>
    <w:p w14:paraId="32159D0F" w14:textId="2CA8F6C7" w:rsidR="003B5E0E" w:rsidRDefault="00162F2D" w:rsidP="00537496">
      <w:pPr>
        <w:pStyle w:val="Authornameandaffiliation"/>
      </w:pPr>
      <w:r>
        <w:t>Shiny Choudhury</w:t>
      </w:r>
    </w:p>
    <w:p w14:paraId="02370931" w14:textId="73322963" w:rsidR="00FF386F" w:rsidRDefault="00162F2D" w:rsidP="00537496">
      <w:pPr>
        <w:pStyle w:val="Authornameandaffiliation"/>
      </w:pPr>
      <w:r>
        <w:t>Mechanical and Aerospace Engineering, UC San Diego</w:t>
      </w:r>
    </w:p>
    <w:p w14:paraId="14684DE2" w14:textId="76FB9D0E" w:rsidR="00FF386F" w:rsidRDefault="00162F2D" w:rsidP="00537496">
      <w:pPr>
        <w:pStyle w:val="Authornameandaffiliation"/>
      </w:pPr>
      <w:r>
        <w:t>La Jolla</w:t>
      </w:r>
      <w:r w:rsidR="00FF386F">
        <w:t xml:space="preserve">, </w:t>
      </w:r>
      <w:r>
        <w:t>USA</w:t>
      </w:r>
    </w:p>
    <w:p w14:paraId="0080899C" w14:textId="0A46303E" w:rsidR="00FF386F" w:rsidRDefault="00FF386F" w:rsidP="00537496">
      <w:pPr>
        <w:pStyle w:val="Authornameandaffiliation"/>
      </w:pPr>
      <w:r>
        <w:t xml:space="preserve">Email: </w:t>
      </w:r>
      <w:r w:rsidR="00162F2D">
        <w:t>schoudhury@ucsd.edu</w:t>
      </w:r>
    </w:p>
    <w:p w14:paraId="5E2BDA1F" w14:textId="77777777" w:rsidR="00FF386F" w:rsidRDefault="00FF386F" w:rsidP="00537496">
      <w:pPr>
        <w:pStyle w:val="Authornameandaffiliation"/>
      </w:pPr>
    </w:p>
    <w:p w14:paraId="535BB6CC" w14:textId="22F85EAD" w:rsidR="00FF386F" w:rsidRPr="00FF386F" w:rsidRDefault="00162F2D" w:rsidP="00537496">
      <w:pPr>
        <w:pStyle w:val="Authornameandaffiliation"/>
      </w:pPr>
      <w:r>
        <w:t>George Tynan</w:t>
      </w:r>
    </w:p>
    <w:p w14:paraId="66F5CD05" w14:textId="77777777" w:rsidR="00162F2D" w:rsidRDefault="00162F2D" w:rsidP="00162F2D">
      <w:pPr>
        <w:pStyle w:val="Authornameandaffiliation"/>
      </w:pPr>
      <w:r>
        <w:t>Mechanical and Aerospace Engineering, UC San Diego</w:t>
      </w:r>
    </w:p>
    <w:p w14:paraId="7EC71F8A" w14:textId="77777777" w:rsidR="00162F2D" w:rsidRDefault="00162F2D" w:rsidP="00162F2D">
      <w:pPr>
        <w:pStyle w:val="Authornameandaffiliation"/>
      </w:pPr>
      <w:r>
        <w:t>La Jolla, USA</w:t>
      </w:r>
    </w:p>
    <w:p w14:paraId="2B48AD4C" w14:textId="77777777" w:rsidR="00162F2D" w:rsidRDefault="00162F2D" w:rsidP="00537496">
      <w:pPr>
        <w:pStyle w:val="Authornameandaffiliation"/>
      </w:pPr>
    </w:p>
    <w:p w14:paraId="3EC6995C" w14:textId="476B833E" w:rsidR="00162F2D" w:rsidRDefault="00162F2D" w:rsidP="00537496">
      <w:pPr>
        <w:pStyle w:val="Authornameandaffiliation"/>
      </w:pPr>
      <w:r>
        <w:t>Michael Davidson</w:t>
      </w:r>
    </w:p>
    <w:p w14:paraId="622336A0" w14:textId="77777777" w:rsidR="000A519E" w:rsidRDefault="000A519E" w:rsidP="000A519E">
      <w:pPr>
        <w:pStyle w:val="Authornameandaffiliation"/>
      </w:pPr>
      <w:r>
        <w:t>Mechanical and Aerospace Engineering, UC San Diego</w:t>
      </w:r>
    </w:p>
    <w:p w14:paraId="2C7F19CB" w14:textId="687F8FE0" w:rsidR="00FF386F" w:rsidRDefault="000A519E" w:rsidP="00A416B2">
      <w:pPr>
        <w:pStyle w:val="Authornameandaffiliation"/>
      </w:pPr>
      <w:r>
        <w:t>La Jolla, USA</w:t>
      </w:r>
    </w:p>
    <w:p w14:paraId="1E36E273" w14:textId="77777777" w:rsidR="00AA3A12" w:rsidRDefault="00AA3A12" w:rsidP="00537496">
      <w:pPr>
        <w:pStyle w:val="Authornameandaffiliation"/>
        <w:rPr>
          <w:b/>
        </w:rPr>
      </w:pPr>
    </w:p>
    <w:p w14:paraId="4F2E62A2" w14:textId="6BC5E745" w:rsidR="00647F33" w:rsidRPr="00A416B2" w:rsidRDefault="00647F33" w:rsidP="00A416B2">
      <w:pPr>
        <w:pStyle w:val="Authornameandaffiliation"/>
        <w:rPr>
          <w:b/>
        </w:rPr>
      </w:pPr>
      <w:r w:rsidRPr="00647F33">
        <w:rPr>
          <w:b/>
        </w:rPr>
        <w:t>Abstract</w:t>
      </w:r>
    </w:p>
    <w:p w14:paraId="1FE6EE11" w14:textId="46D5B920" w:rsidR="00D80AFB" w:rsidRPr="00054D71" w:rsidRDefault="00054D71" w:rsidP="00D80AFB">
      <w:pPr>
        <w:ind w:firstLine="567"/>
        <w:jc w:val="both"/>
        <w:rPr>
          <w:sz w:val="18"/>
          <w:szCs w:val="18"/>
        </w:rPr>
      </w:pPr>
      <w:r w:rsidRPr="00054D71">
        <w:rPr>
          <w:sz w:val="18"/>
          <w:szCs w:val="18"/>
        </w:rPr>
        <w:t>Variable Renewable Energy (VRE) sources like solar and wind have high intermittency</w:t>
      </w:r>
      <w:r w:rsidR="002119AF">
        <w:rPr>
          <w:sz w:val="18"/>
          <w:szCs w:val="18"/>
        </w:rPr>
        <w:t>, and as</w:t>
      </w:r>
      <w:r w:rsidRPr="00054D71">
        <w:rPr>
          <w:sz w:val="18"/>
          <w:szCs w:val="18"/>
        </w:rPr>
        <w:t xml:space="preserve"> their share in the energy mix increases, </w:t>
      </w:r>
      <w:r w:rsidR="007D72B5">
        <w:rPr>
          <w:sz w:val="18"/>
          <w:szCs w:val="18"/>
        </w:rPr>
        <w:t xml:space="preserve">dispatchable </w:t>
      </w:r>
      <w:r w:rsidRPr="00054D71">
        <w:rPr>
          <w:sz w:val="18"/>
          <w:szCs w:val="18"/>
        </w:rPr>
        <w:t>thermal generators</w:t>
      </w:r>
      <w:r w:rsidR="002119AF">
        <w:rPr>
          <w:sz w:val="18"/>
          <w:szCs w:val="18"/>
        </w:rPr>
        <w:t xml:space="preserve"> in the same service area</w:t>
      </w:r>
      <w:r w:rsidRPr="00054D71">
        <w:rPr>
          <w:sz w:val="18"/>
          <w:szCs w:val="18"/>
        </w:rPr>
        <w:t xml:space="preserve">, including nuclear, must adapt </w:t>
      </w:r>
      <w:r w:rsidR="00DE0E2F">
        <w:rPr>
          <w:sz w:val="18"/>
          <w:szCs w:val="18"/>
        </w:rPr>
        <w:t>and</w:t>
      </w:r>
      <w:r w:rsidRPr="00054D71">
        <w:rPr>
          <w:sz w:val="18"/>
          <w:szCs w:val="18"/>
        </w:rPr>
        <w:t xml:space="preserve"> perform </w:t>
      </w:r>
      <w:r>
        <w:rPr>
          <w:sz w:val="18"/>
          <w:szCs w:val="18"/>
        </w:rPr>
        <w:t xml:space="preserve">enhanced load following. </w:t>
      </w:r>
      <w:r w:rsidR="00AC2097" w:rsidRPr="00AC2097">
        <w:rPr>
          <w:sz w:val="18"/>
          <w:szCs w:val="18"/>
        </w:rPr>
        <w:t xml:space="preserve">The French experience and existing literature focus on load-following with nuclear in low VRE </w:t>
      </w:r>
      <w:r w:rsidR="00577C00">
        <w:rPr>
          <w:sz w:val="18"/>
          <w:szCs w:val="18"/>
        </w:rPr>
        <w:t>portfolios</w:t>
      </w:r>
      <w:r w:rsidR="00AC2097" w:rsidRPr="00AC2097">
        <w:rPr>
          <w:sz w:val="18"/>
          <w:szCs w:val="18"/>
        </w:rPr>
        <w:t>, revealing a gap in</w:t>
      </w:r>
      <w:r w:rsidR="00577C00">
        <w:rPr>
          <w:sz w:val="18"/>
          <w:szCs w:val="18"/>
        </w:rPr>
        <w:t xml:space="preserve"> the</w:t>
      </w:r>
      <w:r w:rsidR="00AC2097" w:rsidRPr="00AC2097">
        <w:rPr>
          <w:sz w:val="18"/>
          <w:szCs w:val="18"/>
        </w:rPr>
        <w:t xml:space="preserve"> context of high </w:t>
      </w:r>
      <w:r w:rsidR="000A51EA">
        <w:rPr>
          <w:sz w:val="18"/>
          <w:szCs w:val="18"/>
        </w:rPr>
        <w:t xml:space="preserve">shares of </w:t>
      </w:r>
      <w:r w:rsidR="00AC2097" w:rsidRPr="00AC2097">
        <w:rPr>
          <w:sz w:val="18"/>
          <w:szCs w:val="18"/>
        </w:rPr>
        <w:t xml:space="preserve">VRE. </w:t>
      </w:r>
      <w:r w:rsidR="00101191" w:rsidRPr="00101191">
        <w:rPr>
          <w:sz w:val="18"/>
          <w:szCs w:val="18"/>
        </w:rPr>
        <w:t xml:space="preserve">Further, regulatory operational constraints limit nuclear flexibility by permitting a shift from 100% to 50% and back to 100% of rated power </w:t>
      </w:r>
      <w:r w:rsidR="005F39C2">
        <w:rPr>
          <w:sz w:val="18"/>
          <w:szCs w:val="18"/>
        </w:rPr>
        <w:t xml:space="preserve">only </w:t>
      </w:r>
      <w:r w:rsidR="00101191" w:rsidRPr="00101191">
        <w:rPr>
          <w:sz w:val="18"/>
          <w:szCs w:val="18"/>
        </w:rPr>
        <w:t>once in 24 hours, and for a limited number of cycles.</w:t>
      </w:r>
      <w:r w:rsidR="00AC2097" w:rsidRPr="00AC2097">
        <w:rPr>
          <w:sz w:val="18"/>
          <w:szCs w:val="18"/>
        </w:rPr>
        <w:t xml:space="preserve"> However, nuclear reactors inherently possess a substantial reactivity reserve, enabling them </w:t>
      </w:r>
      <w:r w:rsidR="00F764F5">
        <w:rPr>
          <w:sz w:val="18"/>
          <w:szCs w:val="18"/>
        </w:rPr>
        <w:t xml:space="preserve">for enhanced load-following </w:t>
      </w:r>
      <w:r w:rsidR="00AC2097" w:rsidRPr="00AC2097">
        <w:rPr>
          <w:sz w:val="18"/>
          <w:szCs w:val="18"/>
        </w:rPr>
        <w:t xml:space="preserve">for a significant portion of their </w:t>
      </w:r>
      <w:r w:rsidR="00CC1B3B">
        <w:rPr>
          <w:sz w:val="18"/>
          <w:szCs w:val="18"/>
        </w:rPr>
        <w:t xml:space="preserve">fuel </w:t>
      </w:r>
      <w:r w:rsidR="00AC2097" w:rsidRPr="00AC2097">
        <w:rPr>
          <w:sz w:val="18"/>
          <w:szCs w:val="18"/>
        </w:rPr>
        <w:t>cycle</w:t>
      </w:r>
      <w:r w:rsidR="00577C00">
        <w:rPr>
          <w:sz w:val="18"/>
          <w:szCs w:val="18"/>
        </w:rPr>
        <w:t>s</w:t>
      </w:r>
      <w:r w:rsidR="00AC2097" w:rsidRPr="00AC2097">
        <w:rPr>
          <w:sz w:val="18"/>
          <w:szCs w:val="18"/>
        </w:rPr>
        <w:t>. In th</w:t>
      </w:r>
      <w:r w:rsidR="00577C00">
        <w:rPr>
          <w:sz w:val="18"/>
          <w:szCs w:val="18"/>
        </w:rPr>
        <w:t>at</w:t>
      </w:r>
      <w:r w:rsidR="00AC2097" w:rsidRPr="00AC2097">
        <w:rPr>
          <w:sz w:val="18"/>
          <w:szCs w:val="18"/>
        </w:rPr>
        <w:t xml:space="preserve"> </w:t>
      </w:r>
      <w:r w:rsidR="00536B85">
        <w:rPr>
          <w:sz w:val="18"/>
          <w:szCs w:val="18"/>
        </w:rPr>
        <w:t>regard</w:t>
      </w:r>
      <w:r w:rsidR="00AC2097" w:rsidRPr="00AC2097">
        <w:rPr>
          <w:sz w:val="18"/>
          <w:szCs w:val="18"/>
        </w:rPr>
        <w:t xml:space="preserve">, </w:t>
      </w:r>
      <w:r w:rsidR="00B739A7">
        <w:rPr>
          <w:sz w:val="18"/>
          <w:szCs w:val="18"/>
        </w:rPr>
        <w:t>Small Modular Reactors (</w:t>
      </w:r>
      <w:r w:rsidR="00AC2097" w:rsidRPr="00AC2097">
        <w:rPr>
          <w:sz w:val="18"/>
          <w:szCs w:val="18"/>
        </w:rPr>
        <w:t>SMRs</w:t>
      </w:r>
      <w:r w:rsidR="00B739A7">
        <w:rPr>
          <w:sz w:val="18"/>
          <w:szCs w:val="18"/>
        </w:rPr>
        <w:t>)</w:t>
      </w:r>
      <w:r w:rsidR="00AC2097" w:rsidRPr="00AC2097">
        <w:rPr>
          <w:sz w:val="18"/>
          <w:szCs w:val="18"/>
        </w:rPr>
        <w:t xml:space="preserve"> present an opportunity for </w:t>
      </w:r>
      <w:r w:rsidR="00296ADF">
        <w:rPr>
          <w:sz w:val="18"/>
          <w:szCs w:val="18"/>
        </w:rPr>
        <w:t>enhanced load</w:t>
      </w:r>
      <w:r w:rsidR="00AC2097" w:rsidRPr="00AC2097">
        <w:rPr>
          <w:sz w:val="18"/>
          <w:szCs w:val="18"/>
        </w:rPr>
        <w:t xml:space="preserve">-following </w:t>
      </w:r>
      <w:r w:rsidR="00296ADF">
        <w:rPr>
          <w:sz w:val="18"/>
          <w:szCs w:val="18"/>
        </w:rPr>
        <w:t>owing</w:t>
      </w:r>
      <w:r w:rsidR="00AC2097" w:rsidRPr="00AC2097">
        <w:rPr>
          <w:sz w:val="18"/>
          <w:szCs w:val="18"/>
        </w:rPr>
        <w:t xml:space="preserve"> to their flexibility</w:t>
      </w:r>
      <w:r w:rsidR="00577C00">
        <w:rPr>
          <w:sz w:val="18"/>
          <w:szCs w:val="18"/>
        </w:rPr>
        <w:t xml:space="preserve"> by design</w:t>
      </w:r>
      <w:r w:rsidR="00AC2097" w:rsidRPr="00AC2097">
        <w:rPr>
          <w:sz w:val="18"/>
          <w:szCs w:val="18"/>
        </w:rPr>
        <w:t xml:space="preserve"> and the </w:t>
      </w:r>
      <w:r w:rsidR="00CC1B3B">
        <w:rPr>
          <w:sz w:val="18"/>
          <w:szCs w:val="18"/>
        </w:rPr>
        <w:t xml:space="preserve">multi-module </w:t>
      </w:r>
      <w:r w:rsidR="0083591F">
        <w:rPr>
          <w:sz w:val="18"/>
          <w:szCs w:val="18"/>
        </w:rPr>
        <w:t xml:space="preserve">operation or </w:t>
      </w:r>
      <w:r w:rsidR="00AC2097" w:rsidRPr="0083591F">
        <w:rPr>
          <w:i/>
          <w:iCs/>
          <w:sz w:val="18"/>
          <w:szCs w:val="18"/>
        </w:rPr>
        <w:t>fleet effect</w:t>
      </w:r>
      <w:r w:rsidR="00AC2097" w:rsidRPr="00AC2097">
        <w:rPr>
          <w:sz w:val="18"/>
          <w:szCs w:val="18"/>
        </w:rPr>
        <w:t>.</w:t>
      </w:r>
      <w:r w:rsidR="00A45B58" w:rsidRPr="00054D71">
        <w:rPr>
          <w:sz w:val="18"/>
          <w:szCs w:val="18"/>
        </w:rPr>
        <w:t xml:space="preserve"> </w:t>
      </w:r>
      <w:r w:rsidR="00A20B5D" w:rsidRPr="00054D71">
        <w:rPr>
          <w:sz w:val="18"/>
          <w:szCs w:val="18"/>
        </w:rPr>
        <w:t xml:space="preserve">To </w:t>
      </w:r>
      <w:r w:rsidR="00536B85">
        <w:rPr>
          <w:sz w:val="18"/>
          <w:szCs w:val="18"/>
        </w:rPr>
        <w:t>systematically investigate nuclear flexibility</w:t>
      </w:r>
      <w:r w:rsidR="00A20B5D" w:rsidRPr="00054D71">
        <w:rPr>
          <w:sz w:val="18"/>
          <w:szCs w:val="18"/>
        </w:rPr>
        <w:t>, this study presents e</w:t>
      </w:r>
      <w:r w:rsidR="00CC59DD" w:rsidRPr="00054D71">
        <w:rPr>
          <w:sz w:val="18"/>
          <w:szCs w:val="18"/>
        </w:rPr>
        <w:t>xhaustive</w:t>
      </w:r>
      <w:r w:rsidR="00D80AFB" w:rsidRPr="00054D71">
        <w:rPr>
          <w:sz w:val="18"/>
          <w:szCs w:val="18"/>
        </w:rPr>
        <w:t xml:space="preserve"> </w:t>
      </w:r>
      <w:r w:rsidR="00990B35">
        <w:rPr>
          <w:sz w:val="18"/>
          <w:szCs w:val="18"/>
        </w:rPr>
        <w:t>fuel cycle</w:t>
      </w:r>
      <w:r w:rsidR="00D80AFB" w:rsidRPr="00054D71">
        <w:rPr>
          <w:sz w:val="18"/>
          <w:szCs w:val="18"/>
        </w:rPr>
        <w:t xml:space="preserve"> </w:t>
      </w:r>
      <w:r w:rsidR="009A53FF" w:rsidRPr="00054D71">
        <w:rPr>
          <w:sz w:val="18"/>
          <w:szCs w:val="18"/>
        </w:rPr>
        <w:t>numeric</w:t>
      </w:r>
      <w:r w:rsidR="00990B35">
        <w:rPr>
          <w:sz w:val="18"/>
          <w:szCs w:val="18"/>
        </w:rPr>
        <w:t>s</w:t>
      </w:r>
      <w:r w:rsidR="00D80AFB" w:rsidRPr="00054D71">
        <w:rPr>
          <w:sz w:val="18"/>
          <w:szCs w:val="18"/>
        </w:rPr>
        <w:t xml:space="preserve"> for </w:t>
      </w:r>
      <w:r w:rsidR="00AE24F0">
        <w:rPr>
          <w:sz w:val="18"/>
          <w:szCs w:val="18"/>
        </w:rPr>
        <w:t xml:space="preserve">enhanced </w:t>
      </w:r>
      <w:r w:rsidR="00DD7E41">
        <w:rPr>
          <w:sz w:val="18"/>
          <w:szCs w:val="18"/>
        </w:rPr>
        <w:t>load</w:t>
      </w:r>
      <w:r w:rsidR="00D80AFB" w:rsidRPr="00054D71">
        <w:rPr>
          <w:sz w:val="18"/>
          <w:szCs w:val="18"/>
        </w:rPr>
        <w:t xml:space="preserve">-following from beginning-of-life (BOL) to end-of-life (EOL) </w:t>
      </w:r>
      <w:r w:rsidR="00712316">
        <w:rPr>
          <w:sz w:val="18"/>
          <w:szCs w:val="18"/>
        </w:rPr>
        <w:t xml:space="preserve">of the fuel load </w:t>
      </w:r>
      <w:r w:rsidR="00D80AFB" w:rsidRPr="00054D71">
        <w:rPr>
          <w:sz w:val="18"/>
          <w:szCs w:val="18"/>
        </w:rPr>
        <w:t xml:space="preserve">for </w:t>
      </w:r>
      <w:r w:rsidR="00A20B5D" w:rsidRPr="00054D71">
        <w:rPr>
          <w:sz w:val="18"/>
          <w:szCs w:val="18"/>
        </w:rPr>
        <w:t>PWR-</w:t>
      </w:r>
      <w:r w:rsidR="00536B85">
        <w:rPr>
          <w:sz w:val="18"/>
          <w:szCs w:val="18"/>
        </w:rPr>
        <w:t>gigawatt</w:t>
      </w:r>
      <w:r w:rsidR="00CC59DD" w:rsidRPr="00054D71">
        <w:rPr>
          <w:sz w:val="18"/>
          <w:szCs w:val="18"/>
        </w:rPr>
        <w:t xml:space="preserve">-reactors and </w:t>
      </w:r>
      <w:r w:rsidR="00A20B5D" w:rsidRPr="00054D71">
        <w:rPr>
          <w:sz w:val="18"/>
          <w:szCs w:val="18"/>
        </w:rPr>
        <w:t>PWR-</w:t>
      </w:r>
      <w:r w:rsidR="00D80AFB" w:rsidRPr="00054D71">
        <w:rPr>
          <w:sz w:val="18"/>
          <w:szCs w:val="18"/>
        </w:rPr>
        <w:t xml:space="preserve">SMRs, considering burnup, enrichment, ramp limits, declining reactivity, Xenon poisoning-induced deadtimes, and minimum power levels. </w:t>
      </w:r>
      <w:r w:rsidR="00B73A70" w:rsidRPr="00054D71">
        <w:rPr>
          <w:sz w:val="18"/>
          <w:szCs w:val="18"/>
        </w:rPr>
        <w:t>Insights derived are used as inputs in</w:t>
      </w:r>
      <w:r w:rsidR="00D80AFB" w:rsidRPr="00054D71">
        <w:rPr>
          <w:sz w:val="18"/>
          <w:szCs w:val="18"/>
        </w:rPr>
        <w:t xml:space="preserve"> a modified Unit Commitment model </w:t>
      </w:r>
      <w:r w:rsidR="007D0395">
        <w:rPr>
          <w:sz w:val="18"/>
          <w:szCs w:val="18"/>
        </w:rPr>
        <w:t xml:space="preserve">for accurate nuclear </w:t>
      </w:r>
      <w:r w:rsidR="007528E6">
        <w:rPr>
          <w:sz w:val="18"/>
          <w:szCs w:val="18"/>
        </w:rPr>
        <w:t>representation</w:t>
      </w:r>
      <w:r w:rsidR="00D80AFB" w:rsidRPr="00054D71">
        <w:rPr>
          <w:sz w:val="18"/>
          <w:szCs w:val="18"/>
        </w:rPr>
        <w:t xml:space="preserve">. </w:t>
      </w:r>
      <w:r w:rsidR="000F3E6B" w:rsidRPr="00765239">
        <w:rPr>
          <w:sz w:val="18"/>
          <w:szCs w:val="18"/>
        </w:rPr>
        <w:t>The objective is to establish a constrained operational space within which a nuclear reactor, specifically a GW-class AP1000</w:t>
      </w:r>
      <w:r w:rsidR="000F3E6B">
        <w:rPr>
          <w:sz w:val="18"/>
          <w:szCs w:val="18"/>
        </w:rPr>
        <w:t>,</w:t>
      </w:r>
      <w:r w:rsidR="000F3E6B" w:rsidRPr="00765239">
        <w:rPr>
          <w:sz w:val="18"/>
          <w:szCs w:val="18"/>
        </w:rPr>
        <w:t xml:space="preserve"> </w:t>
      </w:r>
      <w:r w:rsidR="000F3E6B">
        <w:rPr>
          <w:sz w:val="18"/>
          <w:szCs w:val="18"/>
        </w:rPr>
        <w:t>or a fleet of</w:t>
      </w:r>
      <w:r w:rsidR="000F3E6B" w:rsidRPr="00765239">
        <w:rPr>
          <w:sz w:val="18"/>
          <w:szCs w:val="18"/>
        </w:rPr>
        <w:t xml:space="preserve"> </w:t>
      </w:r>
      <w:r w:rsidR="006B3B6B">
        <w:rPr>
          <w:sz w:val="18"/>
          <w:szCs w:val="18"/>
        </w:rPr>
        <w:t xml:space="preserve">the </w:t>
      </w:r>
      <w:r w:rsidR="000F3E6B" w:rsidRPr="00765239">
        <w:rPr>
          <w:sz w:val="18"/>
          <w:szCs w:val="18"/>
        </w:rPr>
        <w:t>newly unveiled AP300 SMR</w:t>
      </w:r>
      <w:r w:rsidR="000F3E6B">
        <w:rPr>
          <w:sz w:val="18"/>
          <w:szCs w:val="18"/>
        </w:rPr>
        <w:t>s</w:t>
      </w:r>
      <w:r w:rsidR="000F3E6B" w:rsidRPr="00765239">
        <w:rPr>
          <w:sz w:val="18"/>
          <w:szCs w:val="18"/>
        </w:rPr>
        <w:t xml:space="preserve">, can perform </w:t>
      </w:r>
      <w:r w:rsidR="000F3E6B">
        <w:rPr>
          <w:sz w:val="18"/>
          <w:szCs w:val="18"/>
        </w:rPr>
        <w:t>enhanced load-following</w:t>
      </w:r>
      <w:r w:rsidR="000F3E6B" w:rsidRPr="00765239">
        <w:rPr>
          <w:sz w:val="18"/>
          <w:szCs w:val="18"/>
        </w:rPr>
        <w:t>.</w:t>
      </w:r>
      <w:r w:rsidR="000F3E6B">
        <w:rPr>
          <w:sz w:val="18"/>
          <w:szCs w:val="18"/>
        </w:rPr>
        <w:t xml:space="preserve"> Our results show that SMRs lead to higher VRE penetration, lesser VRE curtailment, and lower dispatch costs.</w:t>
      </w:r>
      <w:r w:rsidR="002970F2" w:rsidRPr="00054D71">
        <w:rPr>
          <w:sz w:val="18"/>
          <w:szCs w:val="18"/>
        </w:rPr>
        <w:t xml:space="preserve"> SMRs also </w:t>
      </w:r>
      <w:r w:rsidR="00A20B5D" w:rsidRPr="00054D71">
        <w:rPr>
          <w:sz w:val="18"/>
          <w:szCs w:val="18"/>
        </w:rPr>
        <w:t xml:space="preserve">dispatch reactors in </w:t>
      </w:r>
      <w:r w:rsidR="004A635B">
        <w:rPr>
          <w:sz w:val="18"/>
          <w:szCs w:val="18"/>
        </w:rPr>
        <w:t>their</w:t>
      </w:r>
      <w:r w:rsidR="00A20B5D" w:rsidRPr="00054D71">
        <w:rPr>
          <w:sz w:val="18"/>
          <w:szCs w:val="18"/>
        </w:rPr>
        <w:t xml:space="preserve"> fleet </w:t>
      </w:r>
      <w:r w:rsidR="002970F2" w:rsidRPr="00054D71">
        <w:rPr>
          <w:sz w:val="18"/>
          <w:szCs w:val="18"/>
        </w:rPr>
        <w:t>efficiently</w:t>
      </w:r>
      <w:r w:rsidR="00A20B5D" w:rsidRPr="00054D71">
        <w:rPr>
          <w:sz w:val="18"/>
          <w:szCs w:val="18"/>
        </w:rPr>
        <w:t xml:space="preserve">, </w:t>
      </w:r>
      <w:r w:rsidR="00054EF7">
        <w:rPr>
          <w:sz w:val="18"/>
          <w:szCs w:val="18"/>
        </w:rPr>
        <w:t>operating</w:t>
      </w:r>
      <w:r w:rsidR="00A20B5D" w:rsidRPr="00054D71">
        <w:rPr>
          <w:sz w:val="18"/>
          <w:szCs w:val="18"/>
        </w:rPr>
        <w:t xml:space="preserve"> some </w:t>
      </w:r>
      <w:r w:rsidR="001C21CC" w:rsidRPr="00054D71">
        <w:rPr>
          <w:sz w:val="18"/>
          <w:szCs w:val="18"/>
        </w:rPr>
        <w:t xml:space="preserve">reactors as </w:t>
      </w:r>
      <w:r w:rsidR="001C21CC" w:rsidRPr="00054D71">
        <w:rPr>
          <w:i/>
          <w:iCs/>
          <w:sz w:val="18"/>
          <w:szCs w:val="18"/>
        </w:rPr>
        <w:t>must-run</w:t>
      </w:r>
      <w:r w:rsidR="001C21CC" w:rsidRPr="00054D71">
        <w:rPr>
          <w:sz w:val="18"/>
          <w:szCs w:val="18"/>
        </w:rPr>
        <w:t xml:space="preserve"> and others more flexibly to cumulatively result in higher fleet flexibility compared to GW-class reactors. </w:t>
      </w:r>
      <w:r w:rsidR="00D823A3" w:rsidRPr="00054D71">
        <w:rPr>
          <w:sz w:val="18"/>
          <w:szCs w:val="18"/>
        </w:rPr>
        <w:t xml:space="preserve">These results highlight </w:t>
      </w:r>
      <w:r w:rsidR="004F7EE4" w:rsidRPr="00054D71">
        <w:rPr>
          <w:sz w:val="18"/>
          <w:szCs w:val="18"/>
        </w:rPr>
        <w:t>SMRs ability to integrate more flexibly in high</w:t>
      </w:r>
      <w:r w:rsidR="00D823A3" w:rsidRPr="00054D71">
        <w:rPr>
          <w:sz w:val="18"/>
          <w:szCs w:val="18"/>
        </w:rPr>
        <w:t xml:space="preserve"> renewable future grids. </w:t>
      </w:r>
    </w:p>
    <w:p w14:paraId="03C6D75B" w14:textId="214847D9" w:rsidR="00647F33" w:rsidRDefault="00F523CA" w:rsidP="00B83BB4">
      <w:pPr>
        <w:pStyle w:val="Heading2"/>
      </w:pPr>
      <w:r>
        <w:t>INTRODUCTION</w:t>
      </w:r>
    </w:p>
    <w:p w14:paraId="03C77F54" w14:textId="10BE7662" w:rsidR="001E6E6A" w:rsidRDefault="002E3B14" w:rsidP="00BE77DC">
      <w:pPr>
        <w:pStyle w:val="BodyText"/>
      </w:pPr>
      <w:r>
        <w:t xml:space="preserve">As we add high amounts of variable renewable energy (VRE) </w:t>
      </w:r>
      <w:r w:rsidR="00CB7639">
        <w:t xml:space="preserve">into our grids, </w:t>
      </w:r>
      <w:r w:rsidR="006B0BFD">
        <w:t xml:space="preserve">dispatchable </w:t>
      </w:r>
      <w:r w:rsidR="00CB7639">
        <w:t>thermal generators, including nuclear,</w:t>
      </w:r>
      <w:r>
        <w:t xml:space="preserve"> are </w:t>
      </w:r>
      <w:r w:rsidR="009B5425">
        <w:t>required</w:t>
      </w:r>
      <w:r>
        <w:t xml:space="preserve"> to operate </w:t>
      </w:r>
      <w:r w:rsidR="00CB7639">
        <w:t xml:space="preserve">more </w:t>
      </w:r>
      <w:r>
        <w:t>flexibly</w:t>
      </w:r>
      <w:r w:rsidR="009B5425">
        <w:t xml:space="preserve"> </w:t>
      </w:r>
      <w:r w:rsidR="009B5425">
        <w:fldChar w:fldCharType="begin"/>
      </w:r>
      <w:r w:rsidR="009B5425">
        <w:instrText xml:space="preserve"> ADDIN ZOTERO_ITEM CSL_CITATION {"citationID":"0C5dAmuW","properties":{"formattedCitation":"[1]","plainCitation":"[1]","noteIndex":0},"citationItems":[{"id":2147,"uris":["http://zotero.org/users/5694173/items/MSW4TFRM"],"itemData":{"id":2147,"type":"article-journal","abstract":"As part of the German transition towards a low-carbon economy, renewable energies are set to account for more than half of the gross electricity consumption by 2035, resulting in a rising flexibility demand. Flexibility is required to balance fluctuations in the residual load. In addition, uncertainties in the wind and solar power generation cause an increased demand for control reserve. A unit commitment model of the German power system is used to analyze the value of power plant flexibility in systems with high shares of variable renewables. To investigate the value of power plant flexibility, the additional revenue that can be generated by flexibility improvements is calculated. The results indicate, that power plant flexibility has a small positive impact on the power plant's contribution margin in 2014. A future power system configuration according to the German Grid Development Plan would provide sufficient flexibility to integrate high shares of renewables without power plant flexibility being very valuable. However, integrating variable renewables into a system relying on coal-fired and nuclear power stations results in power plants being able to significantly increase their revenue with improved flexibility. Under these circumstances, power plant flexibility has a considerable value.","container-title":"Energy","DOI":"10.1016/j.energy.2017.04.138","ISSN":"0360-5442","journalAbbreviation":"Energy","page":"823-833","source":"ScienceDirect","title":"Value of power plant flexibility in power systems with high shares of variable renewables: A scenario outlook for Germany 2035","title-short":"Value of power plant flexibility in power systems with high shares of variable renewables","volume":"137","author":[{"family":"Kopiske","given":"Jakob"},{"family":"Spieker","given":"Sebastian"},{"family":"Tsatsaronis","given":"George"}],"issued":{"date-parts":[["2017",10,15]]}}}],"schema":"https://github.com/citation-style-language/schema/raw/master/csl-citation.json"} </w:instrText>
      </w:r>
      <w:r w:rsidR="009B5425">
        <w:fldChar w:fldCharType="separate"/>
      </w:r>
      <w:r w:rsidR="009B5425">
        <w:rPr>
          <w:noProof/>
        </w:rPr>
        <w:t>[1]</w:t>
      </w:r>
      <w:r w:rsidR="009B5425">
        <w:fldChar w:fldCharType="end"/>
      </w:r>
      <w:r w:rsidR="009B5425">
        <w:t xml:space="preserve"> </w:t>
      </w:r>
      <w:r w:rsidR="009B5425">
        <w:fldChar w:fldCharType="begin"/>
      </w:r>
      <w:r w:rsidR="009B5425">
        <w:instrText xml:space="preserve"> ADDIN ZOTERO_ITEM CSL_CITATION {"citationID":"1G1nHzFN","properties":{"formattedCitation":"[2]","plainCitation":"[2]","noteIndex":0},"citationItems":[{"id":1501,"uris":["http://zotero.org/users/5694173/items/R3TLNDFT"],"itemData":{"id":1501,"type":"article-journal","abstract":"Nuclear power plants are commonly operated in a “baseload” mode at maximum rated capacity whenever online. However, nuclear power plants are technically capable of flexible operation, including changing power output over time (ramping or load following) and providing frequency regulation and operating reserves. At the same time, flexibility is becoming more valuable as many regions transition to low-carbon power systems with higher shares of variable renewable energy sources such as wind or solar power. We present a novel mixed integer linear programming formulation to more accurately represent the distinct technical operating constraints of nuclear power stations, including impacts of xenon transients in the reactor core and changing core reactivity over the fuel irradiation cycle. This novel representation of nuclear flexibility is integrated into a unit commitment and economic dispatch model for the power system. In a case study using representative utility data from the Southwest United States, we investigate the potential impacts of flexible nuclear operations in a power system with significant solar and wind energy penetration. We find that flexible nuclear operation lowers power system operating costs, increases reactor owner revenues, and substantially reduces curtailment of renewables.","container-title":"Applied Energy","DOI":"10.1016/j.apenergy.2018.03.002","ISSN":"0306-2619","journalAbbreviation":"Applied Energy","language":"en","page":"872-884","source":"ScienceDirect","title":"The benefits of nuclear flexibility in power system operations with renewable energy","volume":"222","author":[{"family":"Jenkins","given":"J. D."},{"family":"Zhou","given":"Z."},{"family":"Ponciroli","given":"R."},{"family":"Vilim","given":"R. B."},{"family":"Ganda","given":"F."},{"family":"Sisternes","given":"F.","non-dropping-particle":"de"},{"family":"Botterud","given":"A."}],"issued":{"date-parts":[["2018",7,15]]}}}],"schema":"https://github.com/citation-style-language/schema/raw/master/csl-citation.json"} </w:instrText>
      </w:r>
      <w:r w:rsidR="009B5425">
        <w:fldChar w:fldCharType="separate"/>
      </w:r>
      <w:r w:rsidR="009B5425">
        <w:rPr>
          <w:noProof/>
        </w:rPr>
        <w:t>[2]</w:t>
      </w:r>
      <w:r w:rsidR="009B5425">
        <w:fldChar w:fldCharType="end"/>
      </w:r>
      <w:r>
        <w:t>.</w:t>
      </w:r>
      <w:r w:rsidR="00CE25B7">
        <w:t xml:space="preserve"> </w:t>
      </w:r>
      <w:r w:rsidR="006B0BFD">
        <w:t>Traditionally</w:t>
      </w:r>
      <w:r w:rsidR="006C1491">
        <w:t xml:space="preserve">, nuclear power plants (NPPs) </w:t>
      </w:r>
      <w:r w:rsidR="006B0BFD">
        <w:t xml:space="preserve">are </w:t>
      </w:r>
      <w:r w:rsidR="009B5425">
        <w:t>predominantly</w:t>
      </w:r>
      <w:r w:rsidR="00CE25B7">
        <w:t xml:space="preserve"> operate</w:t>
      </w:r>
      <w:r w:rsidR="006B0BFD">
        <w:t>d</w:t>
      </w:r>
      <w:r w:rsidR="00CE25B7">
        <w:t xml:space="preserve"> as a baseload</w:t>
      </w:r>
      <w:r w:rsidR="006B3B6B">
        <w:t xml:space="preserve"> generator</w:t>
      </w:r>
      <w:r w:rsidR="00312483">
        <w:t>, but</w:t>
      </w:r>
      <w:r w:rsidR="00CB7639">
        <w:t xml:space="preserve"> </w:t>
      </w:r>
      <w:r w:rsidR="00312483">
        <w:t>t</w:t>
      </w:r>
      <w:r w:rsidR="006E15ED">
        <w:t xml:space="preserve">he French </w:t>
      </w:r>
      <w:r w:rsidR="00312483">
        <w:t>routinely</w:t>
      </w:r>
      <w:r w:rsidR="006E15ED">
        <w:t xml:space="preserve"> </w:t>
      </w:r>
      <w:r w:rsidR="00312483">
        <w:t>operate</w:t>
      </w:r>
      <w:r w:rsidR="006E15ED">
        <w:t xml:space="preserve"> their fleet </w:t>
      </w:r>
      <w:r w:rsidR="009B5425">
        <w:t xml:space="preserve">with significant </w:t>
      </w:r>
      <w:r w:rsidR="00CB7639">
        <w:t>flexib</w:t>
      </w:r>
      <w:r w:rsidR="009B5425">
        <w:t xml:space="preserve">ility </w:t>
      </w:r>
      <w:r w:rsidR="009B5425">
        <w:fldChar w:fldCharType="begin"/>
      </w:r>
      <w:r w:rsidR="009B5425">
        <w:instrText xml:space="preserve"> ADDIN ZOTERO_ITEM CSL_CITATION {"citationID":"hmsc1QxD","properties":{"formattedCitation":"[3]","plainCitation":"[3]","noteIndex":0},"citationItems":[{"id":2004,"uris":["http://zotero.org/users/5694173/items/TE8LSV8D"],"itemData":{"id":2004,"type":"article-journal","abstract":"In the context of power system decarbonisation, higher shares of variable renewables are usually promoted inducing higher flexibility needs. Worthwhile flexibility can be provided by a number of solutions, including baseload power modulation. Nuclear power is usually presented as poorly-flexible, and, as such, a brake to renewable development. This article aims at providing an assessment of nuclear flexibility from a technical viewpoint, based on both a literature review (theory) and industrial feedback of the French nuclear operator (practice). From the confrontation of theory and practice, the actual potential of nuclear power is analysed, both at the reactor scale and the fleet scale. The data shows that, today, nuclear reactors are flexible, and are currently operated in France as such (approximately 40% of the fleet is currently involved in load-following). They also demonstrate that there is a margin to further take advantage of this potential, by increasing the number of reactors involved in load-following operations and the number of operations realised by each reactor.","container-title":"Energy","DOI":"10.1016/j.energy.2018.03.064","ISSN":"0360-5442","journalAbbreviation":"Energy","page":"289-296","source":"ScienceDirect","title":"Nuclear power supply: Going against the misconceptions. Evidence of nuclear flexibility from the French experience","title-short":"Nuclear power supply","volume":"151","author":[{"family":"Cany","given":"C."},{"family":"Mansilla","given":"C."},{"family":"Mathonnière","given":"G."},{"family":"Costa","given":"P.","non-dropping-particle":"da"}],"issued":{"date-parts":[["2018",5,15]]}}}],"schema":"https://github.com/citation-style-language/schema/raw/master/csl-citation.json"} </w:instrText>
      </w:r>
      <w:r w:rsidR="009B5425">
        <w:fldChar w:fldCharType="separate"/>
      </w:r>
      <w:r w:rsidR="009B5425">
        <w:rPr>
          <w:noProof/>
        </w:rPr>
        <w:t>[3]</w:t>
      </w:r>
      <w:r w:rsidR="009B5425">
        <w:fldChar w:fldCharType="end"/>
      </w:r>
      <w:r w:rsidR="006E15ED">
        <w:t xml:space="preserve">. </w:t>
      </w:r>
      <w:r w:rsidR="002E2183">
        <w:t>And a</w:t>
      </w:r>
      <w:r w:rsidR="006C1491">
        <w:t xml:space="preserve">n increasing number of </w:t>
      </w:r>
      <w:r w:rsidR="002E2183">
        <w:t>studies</w:t>
      </w:r>
      <w:r w:rsidR="006C1491">
        <w:t xml:space="preserve"> </w:t>
      </w:r>
      <w:r w:rsidR="00F468E7">
        <w:t xml:space="preserve">show how NPPs can participate in providing flexibility services while remaining </w:t>
      </w:r>
      <w:r w:rsidR="00471BF8">
        <w:t xml:space="preserve">economically </w:t>
      </w:r>
      <w:r w:rsidR="00F468E7">
        <w:t xml:space="preserve">viable and </w:t>
      </w:r>
      <w:r w:rsidR="00A276B5">
        <w:t>avoid</w:t>
      </w:r>
      <w:r w:rsidR="00F468E7">
        <w:t xml:space="preserve"> early retirement</w:t>
      </w:r>
      <w:r w:rsidR="00533856">
        <w:t xml:space="preserve"> </w:t>
      </w:r>
      <w:r w:rsidR="00F468E7">
        <w:fldChar w:fldCharType="begin"/>
      </w:r>
      <w:r w:rsidR="009B5425">
        <w:instrText xml:space="preserve"> ADDIN ZOTERO_ITEM CSL_CITATION {"citationID":"VRCC6jnX","properties":{"formattedCitation":"[2]","plainCitation":"[2]","noteIndex":0},"citationItems":[{"id":1501,"uris":["http://zotero.org/users/5694173/items/R3TLNDFT"],"itemData":{"id":1501,"type":"article-journal","abstract":"Nuclear power plants are commonly operated in a “baseload” mode at maximum rated capacity whenever online. However, nuclear power plants are technically capable of flexible operation, including changing power output over time (ramping or load following) and providing frequency regulation and operating reserves. At the same time, flexibility is becoming more valuable as many regions transition to low-carbon power systems with higher shares of variable renewable energy sources such as wind or solar power. We present a novel mixed integer linear programming formulation to more accurately represent the distinct technical operating constraints of nuclear power stations, including impacts of xenon transients in the reactor core and changing core reactivity over the fuel irradiation cycle. This novel representation of nuclear flexibility is integrated into a unit commitment and economic dispatch model for the power system. In a case study using representative utility data from the Southwest United States, we investigate the potential impacts of flexible nuclear operations in a power system with significant solar and wind energy penetration. We find that flexible nuclear operation lowers power system operating costs, increases reactor owner revenues, and substantially reduces curtailment of renewables.","container-title":"Applied Energy","DOI":"10.1016/j.apenergy.2018.03.002","ISSN":"0306-2619","journalAbbreviation":"Applied Energy","language":"en","page":"872-884","source":"ScienceDirect","title":"The benefits of nuclear flexibility in power system operations with renewable energy","volume":"222","author":[{"family":"Jenkins","given":"J. D."},{"family":"Zhou","given":"Z."},{"family":"Ponciroli","given":"R."},{"family":"Vilim","given":"R. B."},{"family":"Ganda","given":"F."},{"family":"Sisternes","given":"F.","non-dropping-particle":"de"},{"family":"Botterud","given":"A."}],"issued":{"date-parts":[["2018",7,15]]}}}],"schema":"https://github.com/citation-style-language/schema/raw/master/csl-citation.json"} </w:instrText>
      </w:r>
      <w:r w:rsidR="00F468E7">
        <w:fldChar w:fldCharType="separate"/>
      </w:r>
      <w:r w:rsidR="009B5425">
        <w:rPr>
          <w:noProof/>
        </w:rPr>
        <w:t>[2]</w:t>
      </w:r>
      <w:r w:rsidR="00F468E7">
        <w:fldChar w:fldCharType="end"/>
      </w:r>
      <w:r w:rsidR="00F468E7">
        <w:fldChar w:fldCharType="begin"/>
      </w:r>
      <w:r w:rsidR="001E6E6A">
        <w:instrText xml:space="preserve"> ADDIN ZOTERO_ITEM CSL_CITATION {"citationID":"HUfh276M","properties":{"formattedCitation":"[4]","plainCitation":"[4]","noteIndex":0},"citationItems":[{"id":1311,"uris":["http://zotero.org/users/5694173/items/QV7D84E8"],"itemData":{"id":1311,"type":"article-journal","abstract":"This work explores the technical challenges associated with flexible operation for nuclear power plants (NPPs) and evaluates whether a flexible operational mode could improve the profitability of nuclear units by allowing nuclear plant owners/operators to reduce output when prices are low and instead shift capacity to the ancillary services markets. As compared to conventional power plants, NPP flexible operation capabilities are affected by additional physics-induced constraints. Among the most limiting constraints is the negative reactivity insertion following every reactor power drop due to the increased concentration of xenon, a strong neutron poison. In this work, a previously available power system operation model based on mixed-integer linear programming optimization was improved by implementing a dedicated representation of these physics-induced constraints for pressurized water reactors (PWRs). Because the xenon-related constraint involves nonlinear governing dynamics, a dedicated parametric approach was implemented. To evaluate the economic implications of flexible PWR operation, a case study using realistic power system data representative of the southwestern United States was analyzed. The results indicate that flexible operation can increase the revenue of nuclear units while at the same time reducing total electric system operating costs.","container-title":"Nuclear Technology","DOI":"10.1080/00295450.2017.1388668","ISSN":"0029-5450, 1943-7471","issue":"3","journalAbbreviation":"Nuclear Technology","language":"en","page":"189-207","source":"DOI.org (Crossref)","title":"Profitability Evaluation of Load-Following Nuclear Units with Physics-Induced Operational Constraints","volume":"200","author":[{"family":"Ponciroli","given":"R."},{"family":"Wang","given":"Y."},{"family":"Zhou","given":"Z."},{"family":"Botterud","given":"A."},{"family":"Jenkins","given":"J."},{"family":"Vilim","given":"R. B."},{"family":"Ganda","given":"F."}],"issued":{"date-parts":[["2017",12,2]]}}}],"schema":"https://github.com/citation-style-language/schema/raw/master/csl-citation.json"} </w:instrText>
      </w:r>
      <w:r w:rsidR="00F468E7">
        <w:fldChar w:fldCharType="separate"/>
      </w:r>
      <w:r w:rsidR="001E6E6A">
        <w:rPr>
          <w:noProof/>
        </w:rPr>
        <w:t>[4]</w:t>
      </w:r>
      <w:r w:rsidR="00F468E7">
        <w:fldChar w:fldCharType="end"/>
      </w:r>
      <w:r w:rsidR="00533856">
        <w:fldChar w:fldCharType="begin"/>
      </w:r>
      <w:r w:rsidR="001E6E6A">
        <w:instrText xml:space="preserve"> ADDIN ZOTERO_ITEM CSL_CITATION {"citationID":"qjT9EaJp","properties":{"formattedCitation":"[5]","plainCitation":"[5]","noteIndex":0},"citationItems":[{"id":2149,"uris":["http://zotero.org/users/5694173/items/86NB9R7D"],"itemData":{"id":2149,"type":"webpage","title":"Early Nuclear Retirements in Deregulated U.S. Markets - CEEPR","URL":"https://ceepr.mit.edu/early-nuclear-retirements-in-deregulated-u-s-markets/","accessed":{"date-parts":[["2024",5,24]]}}}],"schema":"https://github.com/citation-style-language/schema/raw/master/csl-citation.json"} </w:instrText>
      </w:r>
      <w:r w:rsidR="00533856">
        <w:fldChar w:fldCharType="separate"/>
      </w:r>
      <w:r w:rsidR="001E6E6A">
        <w:rPr>
          <w:noProof/>
        </w:rPr>
        <w:t>[5]</w:t>
      </w:r>
      <w:r w:rsidR="00533856">
        <w:fldChar w:fldCharType="end"/>
      </w:r>
      <w:r w:rsidR="00563003">
        <w:fldChar w:fldCharType="begin"/>
      </w:r>
      <w:r w:rsidR="00563003">
        <w:instrText xml:space="preserve"> ADDIN ZOTERO_ITEM CSL_CITATION {"citationID":"T8rJfIhP","properties":{"formattedCitation":"[6]","plainCitation":"[6]","noteIndex":0},"citationItems":[{"id":1602,"uris":["http://zotero.org/users/5694173/items/FXGYIHL4"],"itemData":{"id":1602,"type":"report","abstract":"The U.S. Department of Energy's Office of Scientific and Technical Information","language":"English","number":"ANL/NSE-21/55","publisher":"Argonne National Lab. (ANL), Argonne, IL (United States)","source":"www.osti.gov","title":"Reactor Power Size Impacts on Nuclear Competitiveness in a Carbon-Constrained Future","URL":"https://www.osti.gov/biblio/1865640","author":[{"family":"Stauff","given":"N."},{"family":"Mann","given":"W. N."},{"family":"Biegel","given":"K."},{"family":"Levin","given":"T."},{"family":"Rader","given":"J. D."},{"family":"Cuadra","given":"A."},{"family":"Kim","given":"S. H."}],"accessed":{"date-parts":[["2022",11,21]]},"issued":{"date-parts":[["2021",9,30]]}}}],"schema":"https://github.com/citation-style-language/schema/raw/master/csl-citation.json"} </w:instrText>
      </w:r>
      <w:r w:rsidR="00563003">
        <w:fldChar w:fldCharType="separate"/>
      </w:r>
      <w:r w:rsidR="00563003">
        <w:rPr>
          <w:noProof/>
        </w:rPr>
        <w:t>[6]</w:t>
      </w:r>
      <w:r w:rsidR="00563003">
        <w:fldChar w:fldCharType="end"/>
      </w:r>
      <w:r w:rsidR="00F468E7">
        <w:t xml:space="preserve">. </w:t>
      </w:r>
    </w:p>
    <w:p w14:paraId="546F7ADB" w14:textId="693D1A8A" w:rsidR="006E15ED" w:rsidRDefault="003D5C2C" w:rsidP="006E15ED">
      <w:pPr>
        <w:pStyle w:val="BodyText"/>
      </w:pPr>
      <w:r>
        <w:t xml:space="preserve">The nuclear industry is heavily regulated, with oversight throughout the lifecycle of a plant, from design and construction to operation and </w:t>
      </w:r>
      <w:r w:rsidR="000D3BF0">
        <w:t xml:space="preserve">decommissioning </w:t>
      </w:r>
      <w:r w:rsidR="000D3BF0">
        <w:fldChar w:fldCharType="begin"/>
      </w:r>
      <w:r w:rsidR="000D3BF0">
        <w:instrText xml:space="preserve"> ADDIN ZOTERO_ITEM CSL_CITATION {"citationID":"AyBz6mtB","properties":{"formattedCitation":"[7]","plainCitation":"[7]","noteIndex":0},"citationItems":[{"id":2163,"uris":["http://zotero.org/users/5694173/items/M323BX76"],"itemData":{"id":2163,"type":"webpage","abstract":"A Short History of Nuclear Regulation, 1946–2009 (NUREG/BR-0175, Revision 2)","container-title":"NRC Web","language":"en-US","title":"A Short History of Nuclear Regulation, 1946–2009 (NUREG/BR-0175, Revision 2)","URL":"https://www.nrc.gov/reading-rm/doc-collections/nuregs/brochures/br0175/index.html","accessed":{"date-parts":[["2024",5,28]]}}}],"schema":"https://github.com/citation-style-language/schema/raw/master/csl-citation.json"} </w:instrText>
      </w:r>
      <w:r w:rsidR="000D3BF0">
        <w:fldChar w:fldCharType="separate"/>
      </w:r>
      <w:r w:rsidR="000D3BF0">
        <w:rPr>
          <w:noProof/>
        </w:rPr>
        <w:t>[7]</w:t>
      </w:r>
      <w:r w:rsidR="000D3BF0">
        <w:fldChar w:fldCharType="end"/>
      </w:r>
      <w:r>
        <w:t>.</w:t>
      </w:r>
      <w:r w:rsidR="009A53FF">
        <w:t xml:space="preserve"> </w:t>
      </w:r>
      <w:r>
        <w:t xml:space="preserve">For example, a Westinghouse AP1000 reactor is allowed to load-follow </w:t>
      </w:r>
      <w:r w:rsidR="006B0BFD">
        <w:t>in</w:t>
      </w:r>
      <w:r>
        <w:t xml:space="preserve"> a predefined mode, reducing power from 100% to 50% and then back to 100% </w:t>
      </w:r>
      <w:r w:rsidR="006B0BFD">
        <w:t xml:space="preserve">only </w:t>
      </w:r>
      <w:r>
        <w:t xml:space="preserve">once a day, </w:t>
      </w:r>
      <w:r w:rsidR="006B0BFD">
        <w:t>for a limited number of cycles in</w:t>
      </w:r>
      <w:r>
        <w:t xml:space="preserve"> a year </w:t>
      </w:r>
      <w:r w:rsidR="001E6E6A">
        <w:fldChar w:fldCharType="begin"/>
      </w:r>
      <w:r w:rsidR="000D3BF0">
        <w:instrText xml:space="preserve"> ADDIN ZOTERO_ITEM CSL_CITATION {"citationID":"9agoyqO0","properties":{"formattedCitation":"[8]","plainCitation":"[8]","noteIndex":0},"citationItems":[{"id":1862,"uris":["http://zotero.org/users/5694173/items/D9MUMDNZ"],"itemData":{"id":1862,"type":"webpage","title":"AP1000 ARIS Specifications","URL":"https://aris.iaea.org/PDF/AP1000.pdf","accessed":{"date-parts":[["2023",5,29]]}}}],"schema":"https://github.com/citation-style-language/schema/raw/master/csl-citation.json"} </w:instrText>
      </w:r>
      <w:r w:rsidR="001E6E6A">
        <w:fldChar w:fldCharType="separate"/>
      </w:r>
      <w:r w:rsidR="000D3BF0">
        <w:rPr>
          <w:noProof/>
        </w:rPr>
        <w:t>[8]</w:t>
      </w:r>
      <w:r w:rsidR="001E6E6A">
        <w:fldChar w:fldCharType="end"/>
      </w:r>
      <w:r w:rsidR="001E6E6A">
        <w:t xml:space="preserve">. </w:t>
      </w:r>
      <w:r w:rsidR="00B0564D">
        <w:t xml:space="preserve">In contrast, French reactors are </w:t>
      </w:r>
      <w:r w:rsidR="006B3B6B">
        <w:t xml:space="preserve">allowed </w:t>
      </w:r>
      <w:r w:rsidR="00B0564D">
        <w:t>to reduce power from 100% to 20% within 30 minutes, twice a day</w:t>
      </w:r>
      <w:r w:rsidR="001E6E6A">
        <w:t xml:space="preserve"> </w:t>
      </w:r>
      <w:r w:rsidR="001E6E6A">
        <w:fldChar w:fldCharType="begin"/>
      </w:r>
      <w:r w:rsidR="000D3BF0">
        <w:instrText xml:space="preserve"> ADDIN ZOTERO_ITEM CSL_CITATION {"citationID":"51Q4AGkT","properties":{"formattedCitation":"[9]","plainCitation":"[9]","noteIndex":0},"citationItems":[{"id":2142,"uris":["http://zotero.org/users/5694173/items/RPPD5XZU"],"itemData":{"id":2142,"type":"report","language":"en","note":"DOI: 10.2172/1665841","number":"NREL/TP--6A50-77088, 1665841, MainId:26034","page":"NREL/TP--6A50-77088, 1665841, MainId:26034","source":"DOI.org (Crossref)","title":"Flexible Nuclear Energy for Clean Energy Systems","URL":"https://www.osti.gov/servlets/purl/1665841/","author":[{"literal":"Joint Institute for Strategic Energy Analysis (JISEA)"},{"literal":"Clean Energy Ministerial (CEM), Clean Energy Future (NICE Future) Initiative"},{"family":"Bragg-Sitton","given":"Shannon"},{"family":"Gorman","given":"John"},{"family":"Burton","given":"Gordon"},{"family":"Moore","given":"Megan"},{"family":"Siddiqui","given":"Ali"},{"family":"Nagasawa","given":"Takeshi"},{"family":"Kamide","given":"Hideki"},{"family":"Shibata","given":"Taiju"},{"family":"Arai","given":"Shiro"},{"family":"Araj","given":"Kamal"},{"family":"Chesire","given":"Edwin"},{"family":"Stone","given":"Tim"},{"family":"Rogers","given":"Philip"},{"family":"Peel","given":"Gareth"},{"family":"Kamide","given":"Hideki"},{"family":"Berthelemy","given":"Michel"},{"family":"Fraser","given":"Peter"},{"family":"Wanner","given":"Brent"},{"family":"Pavarini","given":"Claudia"},{"family":"Alexeeva","given":"Victoria"},{"family":"Marco","given":"Bradley"},{"family":"Hill","given":"Clement"},{"family":"Kilic","given":"Ness"},{"family":"Sim","given":"Ki"},{"family":"Monti","given":"Stefano"},{"family":"Heek","given":"Aliki"},{"family":"Bilbao-Y-Leon","given":"Sama"},{"family":"Rising","given":"Agneta"},{"family":"Feutry","given":"Stéphane"},{"family":"Herzog","given":"Antoine"},{"family":"Throne","given":"David"},{"family":"Korsnick","given":"Maria"},{"family":"Frick","given":"Konor"},{"family":"Paillere","given":"Henri"},{"family":"Forsberg","given":"Charles"},{"family":"Hughes","given":"Caroline"},{"family":"Brown","given":"Maxwell"},{"family":"Omoto","given":"Akira"},{"family":"Cox","given":"Jordan"}],"accessed":{"date-parts":[["2024",5,23]]},"issued":{"date-parts":[["2020",9,1]]}}}],"schema":"https://github.com/citation-style-language/schema/raw/master/csl-citation.json"} </w:instrText>
      </w:r>
      <w:r w:rsidR="001E6E6A">
        <w:fldChar w:fldCharType="separate"/>
      </w:r>
      <w:r w:rsidR="000D3BF0">
        <w:rPr>
          <w:noProof/>
        </w:rPr>
        <w:t>[9]</w:t>
      </w:r>
      <w:r w:rsidR="001E6E6A">
        <w:fldChar w:fldCharType="end"/>
      </w:r>
      <w:r w:rsidR="001E6E6A">
        <w:t>.</w:t>
      </w:r>
      <w:r w:rsidR="004931B4">
        <w:t xml:space="preserve"> </w:t>
      </w:r>
      <w:r w:rsidR="007347D2">
        <w:t xml:space="preserve">These predefined operational modes </w:t>
      </w:r>
      <w:r w:rsidR="002E2183">
        <w:t>influence</w:t>
      </w:r>
      <w:r w:rsidR="007347D2">
        <w:t xml:space="preserve"> the design of reactors and restrict operators from fully leveraging the flexibility of nuclear power plants (NPPs). </w:t>
      </w:r>
      <w:r w:rsidR="00A276B5">
        <w:t>Inevitably</w:t>
      </w:r>
      <w:r w:rsidR="007347D2">
        <w:t xml:space="preserve">, this hinders from maximizing fleet profitability, a growing concern </w:t>
      </w:r>
      <w:r w:rsidR="00A276B5">
        <w:t xml:space="preserve">for nuclear </w:t>
      </w:r>
      <w:r w:rsidR="007347D2">
        <w:t xml:space="preserve">in deregulated markets </w:t>
      </w:r>
      <w:r w:rsidR="00A449BE">
        <w:fldChar w:fldCharType="begin"/>
      </w:r>
      <w:r w:rsidR="00A449BE">
        <w:instrText xml:space="preserve"> ADDIN ZOTERO_ITEM CSL_CITATION {"citationID":"X2L709yD","properties":{"formattedCitation":"[4]","plainCitation":"[4]","noteIndex":0},"citationItems":[{"id":1311,"uris":["http://zotero.org/users/5694173/items/QV7D84E8"],"itemData":{"id":1311,"type":"article-journal","abstract":"This work explores the technical challenges associated with flexible operation for nuclear power plants (NPPs) and evaluates whether a flexible operational mode could improve the profitability of nuclear units by allowing nuclear plant owners/operators to reduce output when prices are low and instead shift capacity to the ancillary services markets. As compared to conventional power plants, NPP flexible operation capabilities are affected by additional physics-induced constraints. Among the most limiting constraints is the negative reactivity insertion following every reactor power drop due to the increased concentration of xenon, a strong neutron poison. In this work, a previously available power system operation model based on mixed-integer linear programming optimization was improved by implementing a dedicated representation of these physics-induced constraints for pressurized water reactors (PWRs). Because the xenon-related constraint involves nonlinear governing dynamics, a dedicated parametric approach was implemented. To evaluate the economic implications of flexible PWR operation, a case study using realistic power system data representative of the southwestern United States was analyzed. The results indicate that flexible operation can increase the revenue of nuclear units while at the same time reducing total electric system operating costs.","container-title":"Nuclear Technology","DOI":"10.1080/00295450.2017.1388668","ISSN":"0029-5450, 1943-7471","issue":"3","journalAbbreviation":"Nuclear Technology","language":"en","page":"189-207","source":"DOI.org (Crossref)","title":"Profitability Evaluation of Load-Following Nuclear Units with Physics-Induced Operational Constraints","volume":"200","author":[{"family":"Ponciroli","given":"R."},{"family":"Wang","given":"Y."},{"family":"Zhou","given":"Z."},{"family":"Botterud","given":"A."},{"family":"Jenkins","given":"J."},{"family":"Vilim","given":"R. B."},{"family":"Ganda","given":"F."}],"issued":{"date-parts":[["2017",12,2]]}}}],"schema":"https://github.com/citation-style-language/schema/raw/master/csl-citation.json"} </w:instrText>
      </w:r>
      <w:r w:rsidR="00A449BE">
        <w:fldChar w:fldCharType="separate"/>
      </w:r>
      <w:r w:rsidR="00A449BE">
        <w:rPr>
          <w:noProof/>
        </w:rPr>
        <w:t>[4]</w:t>
      </w:r>
      <w:r w:rsidR="00A449BE">
        <w:fldChar w:fldCharType="end"/>
      </w:r>
      <w:r w:rsidR="00A449BE">
        <w:t>.</w:t>
      </w:r>
    </w:p>
    <w:p w14:paraId="4306DCAA" w14:textId="648B46F2" w:rsidR="000A30A3" w:rsidRDefault="0052473C" w:rsidP="00B6423C">
      <w:pPr>
        <w:pStyle w:val="BodyText"/>
      </w:pPr>
      <w:r>
        <w:t>High shares of</w:t>
      </w:r>
      <w:r w:rsidR="00BB4F23">
        <w:t xml:space="preserve"> </w:t>
      </w:r>
      <w:r w:rsidR="00B85EA3">
        <w:t xml:space="preserve">VREs </w:t>
      </w:r>
      <w:r w:rsidR="00BB4F23">
        <w:t>i</w:t>
      </w:r>
      <w:r>
        <w:t>n the</w:t>
      </w:r>
      <w:r w:rsidR="00BB4F23">
        <w:t xml:space="preserve"> energy mix</w:t>
      </w:r>
      <w:r>
        <w:t xml:space="preserve"> </w:t>
      </w:r>
      <w:r w:rsidR="008B59AE">
        <w:t>make the net load curve increasingly</w:t>
      </w:r>
      <w:r w:rsidR="006B3B6B">
        <w:t xml:space="preserve"> variable</w:t>
      </w:r>
      <w:r w:rsidR="008B59AE">
        <w:t xml:space="preserve">, </w:t>
      </w:r>
      <w:r w:rsidR="00910D2C">
        <w:t>forcing</w:t>
      </w:r>
      <w:r w:rsidR="006C1491">
        <w:t xml:space="preserve"> NPPs </w:t>
      </w:r>
      <w:r w:rsidR="00910D2C">
        <w:t>to provide</w:t>
      </w:r>
      <w:r w:rsidR="008B59AE">
        <w:t xml:space="preserve"> </w:t>
      </w:r>
      <w:r w:rsidR="000D3BF0">
        <w:t>enhanced</w:t>
      </w:r>
      <w:r w:rsidR="008B59AE">
        <w:t xml:space="preserve"> load following</w:t>
      </w:r>
      <w:r w:rsidR="00BB4F23">
        <w:t xml:space="preserve">. </w:t>
      </w:r>
      <w:r w:rsidR="006B3B6B">
        <w:t xml:space="preserve"> </w:t>
      </w:r>
      <w:r w:rsidR="00AC7868">
        <w:t>Small Modular Reactors (SMRs)</w:t>
      </w:r>
      <w:r w:rsidR="00051813">
        <w:t xml:space="preserve">, </w:t>
      </w:r>
      <w:r w:rsidR="00AC7868">
        <w:t xml:space="preserve">a new class of nuclear </w:t>
      </w:r>
      <w:r w:rsidR="00CB7639">
        <w:t>reactors</w:t>
      </w:r>
      <w:r w:rsidR="00051813">
        <w:t>,</w:t>
      </w:r>
      <w:r w:rsidR="00AE4364">
        <w:t xml:space="preserve"> present an </w:t>
      </w:r>
      <w:r w:rsidR="00354D6A">
        <w:t>opportunity</w:t>
      </w:r>
      <w:r w:rsidR="0063429C">
        <w:t xml:space="preserve"> in that regard</w:t>
      </w:r>
      <w:r w:rsidR="00AE4364">
        <w:t>.</w:t>
      </w:r>
      <w:r w:rsidR="00354D6A">
        <w:t xml:space="preserve"> They </w:t>
      </w:r>
      <w:r w:rsidR="008B59AE">
        <w:t>typically</w:t>
      </w:r>
      <w:r w:rsidR="006B3B6B">
        <w:t xml:space="preserve"> have electrical power output below</w:t>
      </w:r>
      <w:r w:rsidR="008B59AE">
        <w:t xml:space="preserve"> 300M</w:t>
      </w:r>
      <w:r w:rsidR="00A276B5">
        <w:t xml:space="preserve">W, </w:t>
      </w:r>
      <w:r w:rsidR="00CB7639">
        <w:t>come a</w:t>
      </w:r>
      <w:r w:rsidR="00910D2C">
        <w:t>rrange</w:t>
      </w:r>
      <w:r w:rsidR="006B3B6B">
        <w:t>d</w:t>
      </w:r>
      <w:r w:rsidR="00910D2C">
        <w:t xml:space="preserve"> </w:t>
      </w:r>
      <w:r w:rsidR="006B3B6B">
        <w:t>in</w:t>
      </w:r>
      <w:r w:rsidR="00CB7639">
        <w:t xml:space="preserve"> pack of </w:t>
      </w:r>
      <w:r w:rsidR="00B6423C">
        <w:t>modules</w:t>
      </w:r>
      <w:r w:rsidR="00051813">
        <w:t>,</w:t>
      </w:r>
      <w:r w:rsidR="00B6423C">
        <w:t xml:space="preserve"> and</w:t>
      </w:r>
      <w:r w:rsidR="00CB7639">
        <w:t xml:space="preserve"> have a standard design </w:t>
      </w:r>
      <w:r w:rsidR="00B6423C">
        <w:t>that</w:t>
      </w:r>
      <w:r w:rsidR="00CB7639">
        <w:t xml:space="preserve"> can be factory assembled</w:t>
      </w:r>
      <w:r w:rsidR="00E5192D">
        <w:t xml:space="preserve"> </w:t>
      </w:r>
      <w:r w:rsidR="00B1437D">
        <w:fldChar w:fldCharType="begin"/>
      </w:r>
      <w:r w:rsidR="000D3BF0">
        <w:instrText xml:space="preserve"> ADDIN ZOTERO_ITEM CSL_CITATION {"citationID":"Qr3LBLpU","properties":{"formattedCitation":"[10]","plainCitation":"[10]","noteIndex":0},"citationItems":[{"id":1868,"uris":["http://zotero.org/users/5694173/items/DHFCRZDA"],"itemData":{"id":1868,"type":"webpage","title":"NuScale SMR Specifications","URL":"https://aris.iaea.org/PDF/NuScale-NPM200_2020.pdf","accessed":{"date-parts":[["2023",5,29]]}}}],"schema":"https://github.com/citation-style-language/schema/raw/master/csl-citation.json"} </w:instrText>
      </w:r>
      <w:r w:rsidR="00B1437D">
        <w:fldChar w:fldCharType="separate"/>
      </w:r>
      <w:r w:rsidR="000D3BF0">
        <w:rPr>
          <w:noProof/>
        </w:rPr>
        <w:t>[10]</w:t>
      </w:r>
      <w:r w:rsidR="00B1437D">
        <w:fldChar w:fldCharType="end"/>
      </w:r>
      <w:r w:rsidR="00B1437D">
        <w:fldChar w:fldCharType="begin"/>
      </w:r>
      <w:r w:rsidR="000D3BF0">
        <w:instrText xml:space="preserve"> ADDIN ZOTERO_ITEM CSL_CITATION {"citationID":"zK2YBSQC","properties":{"formattedCitation":"[11]","plainCitation":"[11]","noteIndex":0},"citationItems":[{"id":1866,"uris":["http://zotero.org/users/5694173/items/26PCAEQA"],"itemData":{"id":1866,"type":"webpage","title":"Rolls Royce SMR","URL":"https://aris.iaea.org/PDF/UK-SMR_2020.pdf","accessed":{"date-parts":[["2023",5,29]]}}}],"schema":"https://github.com/citation-style-language/schema/raw/master/csl-citation.json"} </w:instrText>
      </w:r>
      <w:r w:rsidR="00B1437D">
        <w:fldChar w:fldCharType="separate"/>
      </w:r>
      <w:r w:rsidR="000D3BF0">
        <w:rPr>
          <w:noProof/>
        </w:rPr>
        <w:t>[11]</w:t>
      </w:r>
      <w:r w:rsidR="00B1437D">
        <w:fldChar w:fldCharType="end"/>
      </w:r>
      <w:r w:rsidR="00B1437D">
        <w:fldChar w:fldCharType="begin"/>
      </w:r>
      <w:r w:rsidR="000D3BF0">
        <w:instrText xml:space="preserve"> ADDIN ZOTERO_ITEM CSL_CITATION {"citationID":"xTrS5Qba","properties":{"formattedCitation":"[12]","plainCitation":"[12]","noteIndex":0},"citationItems":[{"id":2036,"uris":["http://zotero.org/users/5694173/items/JKLEMZ72"],"itemData":{"id":2036,"type":"webpage","title":"Economic Dispatch Optimization of Multi-Unit SMR Site","URL":"https://inldigitallibrary.inl.gov/sites/sti/sti/Sort_62814.pdf","author":[{"family":"Alhadrami","given":"Saeed"},{"family":"Gonzalez","given":"Gabriel"},{"family":"Lindley","given":"Ben"}],"accessed":{"date-parts":[["2024",1,15]]},"issued":{"date-parts":[["2022",8]]}}}],"schema":"https://github.com/citation-style-language/schema/raw/master/csl-citation.json"} </w:instrText>
      </w:r>
      <w:r w:rsidR="00B1437D">
        <w:fldChar w:fldCharType="separate"/>
      </w:r>
      <w:r w:rsidR="000D3BF0">
        <w:rPr>
          <w:noProof/>
        </w:rPr>
        <w:t>[12]</w:t>
      </w:r>
      <w:r w:rsidR="00B1437D">
        <w:fldChar w:fldCharType="end"/>
      </w:r>
      <w:r w:rsidR="006B3B6B">
        <w:t xml:space="preserve"> which are argued to reduce their cost</w:t>
      </w:r>
      <w:r w:rsidR="00B6423C">
        <w:t>. SMRs also project</w:t>
      </w:r>
      <w:r w:rsidR="00CB7639">
        <w:t xml:space="preserve"> longer </w:t>
      </w:r>
      <w:r w:rsidR="008B59AE">
        <w:t>refuelling cycles</w:t>
      </w:r>
      <w:r w:rsidR="00CB7639">
        <w:t xml:space="preserve"> and </w:t>
      </w:r>
      <w:r w:rsidR="00B6423C">
        <w:t>better</w:t>
      </w:r>
      <w:r w:rsidR="00AC7868">
        <w:t xml:space="preserve"> reactor and fleet flexibility</w:t>
      </w:r>
      <w:r w:rsidR="00E5192D">
        <w:t xml:space="preserve"> </w:t>
      </w:r>
      <w:r w:rsidR="00B1437D">
        <w:fldChar w:fldCharType="begin"/>
      </w:r>
      <w:r w:rsidR="000D3BF0">
        <w:instrText xml:space="preserve"> ADDIN ZOTERO_ITEM CSL_CITATION {"citationID":"F62Fy3Qx","properties":{"formattedCitation":"[13]","plainCitation":"[13]","noteIndex":0},"citationItems":[{"id":1680,"uris":["http://zotero.org/users/5694173/items/ZUQBFEY5"],"itemData":{"id":1680,"type":"article-journal","abstract":"Load following is the potential for a power plant to adjust its power output as demand and price for electricity fluctuates throughout the day. In nuclear power plants, this is done by inserting control rods into the reactor pressure vessel. This operation is very inefficient as nuclear power generation is composed almost entirely of fixed and sunk costs; therefore, lowering the power output doesn't significantly reduce generating costs and the plant is thermo-mechanical stressed. A more efficient solution is to maintain the primary circuit at full power and to use the excess power for cogeneration. This paper assesses the technical-economic feasibility of this approach when applied to Small Modular Reactors (SMR) with two cogeneration technologies: algae-biofuel and desalinisation. Multiple SMR are of particular interest due to the fractional nature of their power output. The result shows that the power required by an algae-biofuel plant is not sufficient to justify the load following approach, whereas it is in the case of desalination. The successive economic analysis, based on the real options approach, demonstrates the economic viability of the desalination in several scenarios. In conclusion, the coupling of SMR with a desalination plant is a realistic solution to perform efficient load following.","container-title":"Energy","DOI":"10.1016/j.energy.2014.11.040","ISSN":"0360-5442","journalAbbreviation":"Energy","language":"en","page":"41-54","source":"ScienceDirect","title":"Load following with Small Modular Reactors (SMR): A real options analysis","title-short":"Load following with Small Modular Reactors (SMR)","volume":"80","author":[{"family":"Locatelli","given":"Giorgio"},{"family":"Boarin","given":"Sara"},{"family":"Pellegrino","given":"Francesco"},{"family":"Ricotti","given":"Marco E."}],"issued":{"date-parts":[["2015",2,1]]}}}],"schema":"https://github.com/citation-style-language/schema/raw/master/csl-citation.json"} </w:instrText>
      </w:r>
      <w:r w:rsidR="00B1437D">
        <w:fldChar w:fldCharType="separate"/>
      </w:r>
      <w:r w:rsidR="000D3BF0">
        <w:rPr>
          <w:noProof/>
        </w:rPr>
        <w:t>[13]</w:t>
      </w:r>
      <w:r w:rsidR="00B1437D">
        <w:fldChar w:fldCharType="end"/>
      </w:r>
      <w:r w:rsidR="00AC7868">
        <w:t xml:space="preserve">. </w:t>
      </w:r>
    </w:p>
    <w:p w14:paraId="711D0EA4" w14:textId="46C2E230" w:rsidR="0043214D" w:rsidRDefault="00767ED0" w:rsidP="00B6423C">
      <w:pPr>
        <w:pStyle w:val="BodyText"/>
      </w:pPr>
      <w:r>
        <w:t xml:space="preserve">Unlike gas turbines or </w:t>
      </w:r>
      <w:r w:rsidR="009D2824">
        <w:t>combined cycle</w:t>
      </w:r>
      <w:r>
        <w:t xml:space="preserve"> power plants, </w:t>
      </w:r>
      <w:r w:rsidR="006B0BFD">
        <w:t>NPPs</w:t>
      </w:r>
      <w:r>
        <w:t xml:space="preserve"> have unique physical constraints that must be considered when </w:t>
      </w:r>
      <w:r w:rsidR="006B0BFD">
        <w:t>studied</w:t>
      </w:r>
      <w:r>
        <w:t xml:space="preserve"> </w:t>
      </w:r>
      <w:r w:rsidR="009D2824">
        <w:t>against other dispatchable</w:t>
      </w:r>
      <w:r>
        <w:t xml:space="preserve"> thermal generators in large-scale energy system models.</w:t>
      </w:r>
      <w:r w:rsidR="00756FDA">
        <w:t xml:space="preserve"> </w:t>
      </w:r>
      <w:proofErr w:type="spellStart"/>
      <w:r w:rsidR="006B361C">
        <w:t>Ponciroli</w:t>
      </w:r>
      <w:proofErr w:type="spellEnd"/>
      <w:r w:rsidR="006B361C">
        <w:t xml:space="preserve"> et al. and Jenkin</w:t>
      </w:r>
      <w:r w:rsidR="0069591A">
        <w:t>s</w:t>
      </w:r>
      <w:r w:rsidR="006B361C">
        <w:t xml:space="preserve"> et al. made a case for NPP flexibility </w:t>
      </w:r>
      <w:r w:rsidR="006B0BFD">
        <w:t>with</w:t>
      </w:r>
      <w:r w:rsidR="006B361C">
        <w:t xml:space="preserve"> Xenon poisoning constraints in a parametric fashion </w:t>
      </w:r>
      <w:r w:rsidR="006B361C">
        <w:fldChar w:fldCharType="begin"/>
      </w:r>
      <w:r w:rsidR="006B361C">
        <w:instrText xml:space="preserve"> ADDIN ZOTERO_ITEM CSL_CITATION {"citationID":"s7JKBObK","properties":{"formattedCitation":"[4]","plainCitation":"[4]","noteIndex":0},"citationItems":[{"id":1311,"uris":["http://zotero.org/users/5694173/items/QV7D84E8"],"itemData":{"id":1311,"type":"article-journal","abstract":"This work explores the technical challenges associated with flexible operation for nuclear power plants (NPPs) and evaluates whether a flexible operational mode could improve the profitability of nuclear units by allowing nuclear plant owners/operators to reduce output when prices are low and instead shift capacity to the ancillary services markets. As compared to conventional power plants, NPP flexible operation capabilities are affected by additional physics-induced constraints. Among the most limiting constraints is the negative reactivity insertion following every reactor power drop due to the increased concentration of xenon, a strong neutron poison. In this work, a previously available power system operation model based on mixed-integer linear programming optimization was improved by implementing a dedicated representation of these physics-induced constraints for pressurized water reactors (PWRs). Because the xenon-related constraint involves nonlinear governing dynamics, a dedicated parametric approach was implemented. To evaluate the economic implications of flexible PWR operation, a case study using realistic power system data representative of the southwestern United States was analyzed. The results indicate that flexible operation can increase the revenue of nuclear units while at the same time reducing total electric system operating costs.","container-title":"Nuclear Technology","DOI":"10.1080/00295450.2017.1388668","ISSN":"0029-5450, 1943-7471","issue":"3","journalAbbreviation":"Nuclear Technology","language":"en","page":"189-207","source":"DOI.org (Crossref)","title":"Profitability Evaluation of Load-Following Nuclear Units with Physics-Induced Operational Constraints","volume":"200","author":[{"family":"Ponciroli","given":"R."},{"family":"Wang","given":"Y."},{"family":"Zhou","given":"Z."},{"family":"Botterud","given":"A."},{"family":"Jenkins","given":"J."},{"family":"Vilim","given":"R. B."},{"family":"Ganda","given":"F."}],"issued":{"date-parts":[["2017",12,2]]}}}],"schema":"https://github.com/citation-style-language/schema/raw/master/csl-citation.json"} </w:instrText>
      </w:r>
      <w:r w:rsidR="006B361C">
        <w:fldChar w:fldCharType="separate"/>
      </w:r>
      <w:r w:rsidR="006B361C">
        <w:rPr>
          <w:noProof/>
        </w:rPr>
        <w:t>[4]</w:t>
      </w:r>
      <w:r w:rsidR="006B361C">
        <w:fldChar w:fldCharType="end"/>
      </w:r>
      <w:r w:rsidR="006B361C">
        <w:fldChar w:fldCharType="begin"/>
      </w:r>
      <w:r w:rsidR="006B361C">
        <w:instrText xml:space="preserve"> ADDIN ZOTERO_ITEM CSL_CITATION {"citationID":"MhDQ57aO","properties":{"formattedCitation":"[2]","plainCitation":"[2]","noteIndex":0},"citationItems":[{"id":1501,"uris":["http://zotero.org/users/5694173/items/R3TLNDFT"],"itemData":{"id":1501,"type":"article-journal","abstract":"Nuclear power plants are commonly operated in a “baseload” mode at maximum rated capacity whenever online. However, nuclear power plants are technically capable of flexible operation, including changing power output over time (ramping or load following) and providing frequency regulation and operating reserves. At the same time, flexibility is becoming more valuable as many regions transition to low-carbon power systems with higher shares of variable renewable energy sources such as wind or solar power. We present a novel mixed integer linear programming formulation to more accurately represent the distinct technical operating constraints of nuclear power stations, including impacts of xenon transients in the reactor core and changing core reactivity over the fuel irradiation cycle. This novel representation of nuclear flexibility is integrated into a unit commitment and economic dispatch model for the power system. In a case study using representative utility data from the Southwest United States, we investigate the potential impacts of flexible nuclear operations in a power system with significant solar and wind energy penetration. We find that flexible nuclear operation lowers power system operating costs, increases reactor owner revenues, and substantially reduces curtailment of renewables.","container-title":"Applied Energy","DOI":"10.1016/j.apenergy.2018.03.002","ISSN":"0306-2619","journalAbbreviation":"Applied Energy","language":"en","page":"872-884","source":"ScienceDirect","title":"The benefits of nuclear flexibility in power system operations with renewable energy","volume":"222","author":[{"family":"Jenkins","given":"J. D."},{"family":"Zhou","given":"Z."},{"family":"Ponciroli","given":"R."},{"family":"Vilim","given":"R. B."},{"family":"Ganda","given":"F."},{"family":"Sisternes","given":"F.","non-dropping-particle":"de"},{"family":"Botterud","given":"A."}],"issued":{"date-parts":[["2018",7,15]]}}}],"schema":"https://github.com/citation-style-language/schema/raw/master/csl-citation.json"} </w:instrText>
      </w:r>
      <w:r w:rsidR="006B361C">
        <w:fldChar w:fldCharType="separate"/>
      </w:r>
      <w:r w:rsidR="006B361C">
        <w:rPr>
          <w:noProof/>
        </w:rPr>
        <w:t>[2]</w:t>
      </w:r>
      <w:r w:rsidR="006B361C">
        <w:fldChar w:fldCharType="end"/>
      </w:r>
      <w:r w:rsidR="006B361C">
        <w:t>.</w:t>
      </w:r>
      <w:r w:rsidR="00563003">
        <w:t xml:space="preserve"> </w:t>
      </w:r>
      <w:r w:rsidR="009D25A7" w:rsidRPr="006C1288">
        <w:rPr>
          <w:color w:val="000000" w:themeColor="text1"/>
        </w:rPr>
        <w:t xml:space="preserve">However, both these studies </w:t>
      </w:r>
      <w:r w:rsidR="00CD4906">
        <w:rPr>
          <w:color w:val="000000" w:themeColor="text1"/>
        </w:rPr>
        <w:t xml:space="preserve">intrinsically </w:t>
      </w:r>
      <w:r w:rsidR="009D25A7" w:rsidRPr="006C1288">
        <w:rPr>
          <w:color w:val="000000" w:themeColor="text1"/>
        </w:rPr>
        <w:t xml:space="preserve">assume </w:t>
      </w:r>
      <w:r w:rsidR="00BA337C">
        <w:rPr>
          <w:color w:val="000000" w:themeColor="text1"/>
        </w:rPr>
        <w:t>that</w:t>
      </w:r>
      <w:r w:rsidR="009D25A7" w:rsidRPr="006C1288">
        <w:rPr>
          <w:color w:val="000000" w:themeColor="text1"/>
        </w:rPr>
        <w:t xml:space="preserve"> </w:t>
      </w:r>
      <w:r w:rsidR="00BA337C">
        <w:rPr>
          <w:color w:val="000000" w:themeColor="text1"/>
        </w:rPr>
        <w:t xml:space="preserve">fuel </w:t>
      </w:r>
      <w:r w:rsidR="009D25A7" w:rsidRPr="006C1288">
        <w:rPr>
          <w:color w:val="000000" w:themeColor="text1"/>
        </w:rPr>
        <w:t>degradation</w:t>
      </w:r>
      <w:r w:rsidR="009D2824">
        <w:rPr>
          <w:color w:val="000000" w:themeColor="text1"/>
        </w:rPr>
        <w:t xml:space="preserve"> for flexible NPP operation</w:t>
      </w:r>
      <w:r w:rsidR="009D25A7" w:rsidRPr="006C1288">
        <w:rPr>
          <w:color w:val="000000" w:themeColor="text1"/>
        </w:rPr>
        <w:t xml:space="preserve"> </w:t>
      </w:r>
      <w:r w:rsidR="009D25A7" w:rsidRPr="006C1288">
        <w:rPr>
          <w:color w:val="000000" w:themeColor="text1"/>
        </w:rPr>
        <w:lastRenderedPageBreak/>
        <w:t xml:space="preserve">is </w:t>
      </w:r>
      <w:proofErr w:type="gramStart"/>
      <w:r w:rsidR="009D2824">
        <w:rPr>
          <w:color w:val="000000" w:themeColor="text1"/>
        </w:rPr>
        <w:t>similar to</w:t>
      </w:r>
      <w:proofErr w:type="gramEnd"/>
      <w:r w:rsidR="009D2824">
        <w:rPr>
          <w:color w:val="000000" w:themeColor="text1"/>
        </w:rPr>
        <w:t xml:space="preserve"> full power operation</w:t>
      </w:r>
      <w:r w:rsidR="00BA337C">
        <w:rPr>
          <w:color w:val="000000" w:themeColor="text1"/>
        </w:rPr>
        <w:t>.</w:t>
      </w:r>
      <w:r w:rsidR="009D25A7" w:rsidRPr="006C1288">
        <w:rPr>
          <w:color w:val="000000" w:themeColor="text1"/>
        </w:rPr>
        <w:t xml:space="preserve"> </w:t>
      </w:r>
      <w:proofErr w:type="spellStart"/>
      <w:r w:rsidR="00BA337C">
        <w:t>Alhadhrami</w:t>
      </w:r>
      <w:proofErr w:type="spellEnd"/>
      <w:r w:rsidR="00BA337C">
        <w:t xml:space="preserve"> et al. show that </w:t>
      </w:r>
      <w:r w:rsidR="006B2131" w:rsidRPr="006C1288">
        <w:rPr>
          <w:color w:val="000000" w:themeColor="text1"/>
        </w:rPr>
        <w:t>the refuelling time is extended</w:t>
      </w:r>
      <w:r w:rsidR="00CD4906">
        <w:rPr>
          <w:color w:val="000000" w:themeColor="text1"/>
        </w:rPr>
        <w:t xml:space="preserve"> and staggered with flexible operation</w:t>
      </w:r>
      <w:r w:rsidR="006B2131" w:rsidRPr="006C1288">
        <w:rPr>
          <w:color w:val="000000" w:themeColor="text1"/>
        </w:rPr>
        <w:t xml:space="preserve"> </w:t>
      </w:r>
      <w:r w:rsidR="006C1288" w:rsidRPr="006C1288">
        <w:rPr>
          <w:color w:val="000000" w:themeColor="text1"/>
        </w:rPr>
        <w:t xml:space="preserve">which </w:t>
      </w:r>
      <w:r w:rsidR="00BA337C">
        <w:rPr>
          <w:color w:val="000000" w:themeColor="text1"/>
        </w:rPr>
        <w:t>makes</w:t>
      </w:r>
      <w:r w:rsidR="006C1288" w:rsidRPr="006C1288">
        <w:rPr>
          <w:color w:val="000000" w:themeColor="text1"/>
        </w:rPr>
        <w:t xml:space="preserve"> variations to fuel degradation an important consideration </w:t>
      </w:r>
      <w:r w:rsidR="006C1288" w:rsidRPr="006C1288">
        <w:rPr>
          <w:color w:val="000000" w:themeColor="text1"/>
        </w:rPr>
        <w:fldChar w:fldCharType="begin"/>
      </w:r>
      <w:r w:rsidR="006C1288" w:rsidRPr="006C1288">
        <w:rPr>
          <w:color w:val="000000" w:themeColor="text1"/>
        </w:rPr>
        <w:instrText xml:space="preserve"> ADDIN ZOTERO_ITEM CSL_CITATION {"citationID":"fLf18YsM","properties":{"formattedCitation":"[14]","plainCitation":"[14]","noteIndex":0},"citationItems":[{"id":2167,"uris":["http://zotero.org/users/5694173/items/82FJB7BU"],"itemData":{"id":2167,"type":"article-journal","abstract":"The relevance of nuclear power plant flexible power operation (FPO) is rising due to increased penetration of variable renewables. Small Modular Reactors (SMRs) such as NuScale are envisaged to have multiple units on one site. This provides opportunities for coordinating FPO between units, but also introduces challenges as common services (e.g., refueling equipment) must be shared between units and fuel loadings may be standardized. It is therefore important to quantify whether FPO with SMRs is economically beneficial. This paper quantifies the economics of FPO on different timescales to analyze refueling outages of such multi-unit SMRs. A 24-h price-taker profit maximization of SMR operation is first solved considering revenues from wholesale power and ancillary service (AS) markets. The results are then used to find the most profitable operation strategy over several years for multiple units at the site accounting for the physics and materials limits on NPP operation, including refueling outages. Results show a small but appreciable participation of nuclear into AS, contributing 4% of revenues. Due to the longer fuel cycle, over a decade of operation the units’ refueling outages drifted by 3 months, ultimately leading to refueling during summer.","container-title":"Energy","DOI":"10.1016/j.energy.2023.128107","ISSN":"0360-5442","journalAbbreviation":"Energy","page":"128107","source":"ScienceDirect","title":"Dispatch analysis of flexible power operation with multi-unit small modular reactors","volume":"280","author":[{"family":"Alhadhrami","given":"Saeed"},{"family":"Soto","given":"Gabriel J"},{"family":"Lindley","given":"Ben"}],"issued":{"date-parts":[["2023",10,1]]}}}],"schema":"https://github.com/citation-style-language/schema/raw/master/csl-citation.json"} </w:instrText>
      </w:r>
      <w:r w:rsidR="006C1288" w:rsidRPr="006C1288">
        <w:rPr>
          <w:color w:val="000000" w:themeColor="text1"/>
        </w:rPr>
        <w:fldChar w:fldCharType="separate"/>
      </w:r>
      <w:r w:rsidR="006C1288" w:rsidRPr="006C1288">
        <w:rPr>
          <w:noProof/>
          <w:color w:val="000000" w:themeColor="text1"/>
        </w:rPr>
        <w:t>[14]</w:t>
      </w:r>
      <w:r w:rsidR="006C1288" w:rsidRPr="006C1288">
        <w:rPr>
          <w:color w:val="000000" w:themeColor="text1"/>
        </w:rPr>
        <w:fldChar w:fldCharType="end"/>
      </w:r>
      <w:r w:rsidR="006C1288" w:rsidRPr="006C1288">
        <w:rPr>
          <w:color w:val="000000" w:themeColor="text1"/>
        </w:rPr>
        <w:t>.</w:t>
      </w:r>
    </w:p>
    <w:p w14:paraId="4B131F09" w14:textId="6974D738" w:rsidR="006358B2" w:rsidRPr="000A30A3" w:rsidRDefault="00051813" w:rsidP="00364C22">
      <w:pPr>
        <w:pStyle w:val="BodyText"/>
      </w:pPr>
      <w:r>
        <w:t>In that</w:t>
      </w:r>
      <w:r w:rsidR="008B59AE">
        <w:t xml:space="preserve"> context, the scope of this work is </w:t>
      </w:r>
      <w:r w:rsidR="00756FDA">
        <w:t>twofold</w:t>
      </w:r>
      <w:r w:rsidR="008B59AE">
        <w:t xml:space="preserve">: 1) </w:t>
      </w:r>
      <w:r w:rsidR="00756FDA">
        <w:t xml:space="preserve">Develop a comprehensive techno-economic framework for the flexible operation of light water reactors (LWRs) </w:t>
      </w:r>
      <w:r w:rsidR="00432C45">
        <w:t>by creating</w:t>
      </w:r>
      <w:r w:rsidR="00756FDA">
        <w:t xml:space="preserve"> novel physics-informed constraints to ensure accurate representation of NPPs in </w:t>
      </w:r>
      <w:r w:rsidR="00F347BD">
        <w:t xml:space="preserve">a </w:t>
      </w:r>
      <w:r w:rsidR="00756FDA">
        <w:t>traditional Unit Commitment model</w:t>
      </w:r>
      <w:r w:rsidR="008B59AE">
        <w:t xml:space="preserve"> and </w:t>
      </w:r>
      <w:r w:rsidR="00A570EE">
        <w:t>2</w:t>
      </w:r>
      <w:r w:rsidR="008B59AE">
        <w:t>) Apply the modified UC to study GW-class reactors (Westinghouse AP1000) against SMRs (Westinghouse AP300) and perform flexibility analysis</w:t>
      </w:r>
      <w:r w:rsidR="006164BF">
        <w:t xml:space="preserve"> at the reactor and fleet level</w:t>
      </w:r>
      <w:r w:rsidR="00AD7369">
        <w:t xml:space="preserve"> (i.e. multi-unit)</w:t>
      </w:r>
      <w:r w:rsidR="008B59AE">
        <w:t xml:space="preserve"> in terms of production cost, VRE penetration and VRE curtailment</w:t>
      </w:r>
      <w:r w:rsidR="006164BF">
        <w:t>.</w:t>
      </w:r>
    </w:p>
    <w:p w14:paraId="09D0D5BB" w14:textId="4BC90447" w:rsidR="00B83BB4" w:rsidRDefault="00B83BB4" w:rsidP="001F5646">
      <w:pPr>
        <w:pStyle w:val="Heading2"/>
      </w:pPr>
      <w:r>
        <w:t>Nuclear flexibilit</w:t>
      </w:r>
      <w:r w:rsidR="001F5646">
        <w:t>y</w:t>
      </w:r>
    </w:p>
    <w:p w14:paraId="60C222D2" w14:textId="171B703A" w:rsidR="006E15ED" w:rsidRDefault="006E15ED" w:rsidP="006E15ED">
      <w:pPr>
        <w:pStyle w:val="BodyText"/>
      </w:pPr>
      <w:r>
        <w:t>For LWRs</w:t>
      </w:r>
      <w:r w:rsidR="004F7535">
        <w:t xml:space="preserve">, flexibility can be achieved by </w:t>
      </w:r>
      <w:r w:rsidR="00CD59C6">
        <w:t xml:space="preserve">ramping the </w:t>
      </w:r>
      <w:r w:rsidR="004F7535">
        <w:t xml:space="preserve">core </w:t>
      </w:r>
      <w:r w:rsidR="00CD59C6">
        <w:t>power</w:t>
      </w:r>
      <w:r w:rsidR="004F7535">
        <w:t xml:space="preserve"> or by venting </w:t>
      </w:r>
      <w:r w:rsidR="00033FEF">
        <w:t xml:space="preserve">the </w:t>
      </w:r>
      <w:r>
        <w:t>steam before it reaches the turbine</w:t>
      </w:r>
      <w:r w:rsidR="007200CD">
        <w:t xml:space="preserve"> </w:t>
      </w:r>
      <w:r w:rsidR="004F7535">
        <w:fldChar w:fldCharType="begin"/>
      </w:r>
      <w:r w:rsidR="006C1288">
        <w:instrText xml:space="preserve"> ADDIN ZOTERO_ITEM CSL_CITATION {"citationID":"CEF8f2Fx","properties":{"formattedCitation":"[15]","plainCitation":"[15]","noteIndex":0},"citationItems":[{"id":2152,"uris":["http://zotero.org/users/5694173/items/QR92VIWG"],"itemData":{"id":2152,"type":"article-journal","abstract":"This paper raises the issue of whether nuclear power can play a flexible role within an electricity system. It does not deal with the issue of whether nuclear power should play such a role, but it does examine why in most cases it does not. We introduce the basics of nuclear physics and reactor designs sufficient to cover the technical issues of relevance. We then identify the key technical issues that must be tackled in order to load-follow with nuclear power. We assess the flexibility and load-following ability of current and future promising reactors. We confirm that modern Generation III and III+ are technically capable of flexible operation. To explain why nuclear power is almost exclusively used as baseload generation, we look at power market economics. As a result, we conclude that despite some technical abilities, nuclear power plants are preferentially used for baseload generation for economic reasons and will continue to be used in this way for the foreseeable future.","language":"en","source":"Zotero","title":"Can Nuclear Power Be Flexible?","author":[{"family":"Pouret","given":"Laurent"},{"family":"Nuttall","given":"William J"}]}}],"schema":"https://github.com/citation-style-language/schema/raw/master/csl-citation.json"} </w:instrText>
      </w:r>
      <w:r w:rsidR="004F7535">
        <w:fldChar w:fldCharType="separate"/>
      </w:r>
      <w:r w:rsidR="006C1288">
        <w:rPr>
          <w:noProof/>
        </w:rPr>
        <w:t>[15]</w:t>
      </w:r>
      <w:r w:rsidR="004F7535">
        <w:fldChar w:fldCharType="end"/>
      </w:r>
      <w:r>
        <w:t>.</w:t>
      </w:r>
      <w:r w:rsidR="001D7664">
        <w:t xml:space="preserve"> Core ramping is </w:t>
      </w:r>
      <w:r w:rsidR="00124E18">
        <w:t xml:space="preserve">typically </w:t>
      </w:r>
      <w:r w:rsidR="001D7664">
        <w:t xml:space="preserve">performed using control rods or by varying boron concentration. </w:t>
      </w:r>
      <w:r w:rsidR="00793DFD">
        <w:t>A limitation to c</w:t>
      </w:r>
      <w:r w:rsidR="001D7664">
        <w:t>ore ramping</w:t>
      </w:r>
      <w:r w:rsidR="00876F22">
        <w:t xml:space="preserve"> comes from</w:t>
      </w:r>
      <w:r w:rsidR="001D7664">
        <w:t xml:space="preserve"> the generation of powerful </w:t>
      </w:r>
      <w:r w:rsidR="00EC549D">
        <w:t xml:space="preserve">neutron-absorbing poisons such as Xenon-135 or Xe-135, among others, primarily during ramp-down events </w:t>
      </w:r>
      <w:r w:rsidR="00987E02">
        <w:fldChar w:fldCharType="begin"/>
      </w:r>
      <w:r w:rsidR="006C1288">
        <w:instrText xml:space="preserve"> ADDIN ZOTERO_ITEM CSL_CITATION {"citationID":"GHCGeQRf","properties":{"formattedCitation":"[16]","plainCitation":"[16]","noteIndex":0},"citationItems":[{"id":1560,"uris":["http://zotero.org/users/5694173/items/H77RBEZ8"],"itemData":{"id":1560,"type":"book","call-number":"TK9145 .L28 2001","collection-title":"Addison-Wesley series in nuclear science and engineering","edition":"3rd ed","event-place":"Upper Saddle River, N.J","ISBN":"978-0-201-82498-8","language":"en","number-of-pages":"783","publisher":"Prentice Hall","publisher-place":"Upper Saddle River, N.J","source":"Library of Congress ISBN","title":"Introduction to nuclear engineering","author":[{"family":"Lamarsh","given":"John R."},{"family":"Baratta","given":"Anthony John"}],"issued":{"date-parts":[["2001"]]}}}],"schema":"https://github.com/citation-style-language/schema/raw/master/csl-citation.json"} </w:instrText>
      </w:r>
      <w:r w:rsidR="00987E02">
        <w:fldChar w:fldCharType="separate"/>
      </w:r>
      <w:r w:rsidR="006C1288">
        <w:rPr>
          <w:noProof/>
        </w:rPr>
        <w:t>[16]</w:t>
      </w:r>
      <w:r w:rsidR="00987E02">
        <w:fldChar w:fldCharType="end"/>
      </w:r>
      <w:r w:rsidR="001D7664">
        <w:t xml:space="preserve">. </w:t>
      </w:r>
      <w:r w:rsidR="000E1B41">
        <w:t>Typically</w:t>
      </w:r>
      <w:r w:rsidR="00793DFD">
        <w:t>,</w:t>
      </w:r>
      <w:r w:rsidR="00232B25">
        <w:t xml:space="preserve"> </w:t>
      </w:r>
      <w:r w:rsidR="00F22781">
        <w:t>the effect of Xe-135</w:t>
      </w:r>
      <w:r w:rsidR="00232B25">
        <w:t xml:space="preserve"> is overridden with control rod movement without changing boron concentration </w:t>
      </w:r>
      <w:r w:rsidR="00172C13">
        <w:fldChar w:fldCharType="begin"/>
      </w:r>
      <w:r w:rsidR="006C1288">
        <w:instrText xml:space="preserve"> ADDIN ZOTERO_ITEM CSL_CITATION {"citationID":"m8UgDpC3","properties":{"formattedCitation":"[17]","plainCitation":"[17]","noteIndex":0},"citationItems":[{"id":1740,"uris":["http://zotero.org/users/5694173/items/SZYITEHU"],"itemData":{"id":1740,"type":"article-journal","abstract":"The renaissance of nuclear power brings more attention to advanced reactor designs and their improved performance and flexibility, including their enhanced load follow capability. Reactor control strategy used to perform transients including power changes has impact on the overall control system design. In particular, as the power change is performed within a load follow maneuver, several modifications occur in the core from a neutronic view point: the fuel and moderator temperature change, the xenon concentration and distribution are modified, the power distribution skewed axially, etc. These changes need to be adequately counterbalanced to keep both the core critical and the power distribution acceptable. The traditional approach in PWRs is to compensate for the reactivity change due to the power variation by adjusting the soluble boron concentration and moving a limited number of control rod banks. However, advanced reactors may adopt a different strategy for a variety of reasons. For example, water-cooled reactors that do not use soluble boron in coolant obviously cannot use its adjustment for this purpose. Moreover, Integral Primary System Reactors (IPSRs) using soluble boron, due to their integral design, have a large inventory of primary coolant. Therefore dilution/boration strategy, while in principle an option, becomes expensive for short time changes and leads to large volume of liquid effluent, in particular toward the end of cycle. Therefore, a capability to perform load follow without changing soluble boron concentration is very desirable for a range of reactor designs. International Reactor Innovative and Secure (IRIS) is an advanced medium-size IPSR that has been selected as the reference reactor for the purpose of this study. A capability to perform load follow maneuvers without changing soluble boron concentration has been examined and demonstrated through implementation of the Westinghouse Mechanical Shim (MSHIM) control strategy. A control bank design suited for MSHIM operation has been devised. Nine load follow scenarios covering a wide range of possible operating requirements, including Westinghouse design basis plus others proposed by EPRI for Advanced LWRs, have been successfully performed through the control rod banks movement only, without soluble boron adjustment, and maintaining power peaking factors within the acceptable range. Thus, IRIS provides improved operation by enabling load follow through MSHIM.","container-title":"Nuclear Engineering and Design","DOI":"10.1016/j.nucengdes.2008.06.021","ISSN":"0029-5493","issue":"12","journalAbbreviation":"Nuclear Engineering and Design","language":"en","page":"3240-3252","source":"ScienceDirect","title":"Advanced operational strategy for the IRIS reactor: Load follow through mechanical shim (MSHIM)","title-short":"Advanced operational strategy for the IRIS reactor","volume":"238","author":[{"family":"Franceschini","given":"Fausto"},{"family":"Petrovic","given":"Bojan"}],"issued":{"date-parts":[["2008",12,1]]}}}],"schema":"https://github.com/citation-style-language/schema/raw/master/csl-citation.json"} </w:instrText>
      </w:r>
      <w:r w:rsidR="00172C13">
        <w:fldChar w:fldCharType="separate"/>
      </w:r>
      <w:r w:rsidR="006C1288">
        <w:rPr>
          <w:noProof/>
        </w:rPr>
        <w:t>[17]</w:t>
      </w:r>
      <w:r w:rsidR="00172C13">
        <w:fldChar w:fldCharType="end"/>
      </w:r>
      <w:r w:rsidR="00232B25">
        <w:t xml:space="preserve">. </w:t>
      </w:r>
      <w:r w:rsidR="00D04592">
        <w:t xml:space="preserve">The control rods consist of a mix of highly absorbing </w:t>
      </w:r>
      <w:r w:rsidR="009F2DE9">
        <w:t>‘</w:t>
      </w:r>
      <w:r w:rsidR="00D04592">
        <w:t>black rods</w:t>
      </w:r>
      <w:r w:rsidR="009F2DE9">
        <w:t>’</w:t>
      </w:r>
      <w:r w:rsidR="00D04592">
        <w:t xml:space="preserve"> and partially absorbing </w:t>
      </w:r>
      <w:r w:rsidR="009F2DE9">
        <w:t>‘</w:t>
      </w:r>
      <w:r w:rsidR="00D04592">
        <w:t>grey rods</w:t>
      </w:r>
      <w:r w:rsidR="009F2DE9">
        <w:t>’</w:t>
      </w:r>
      <w:r w:rsidR="00D04592">
        <w:t xml:space="preserve">, each with different neutron absorption cross-sections. By carefully inserting or removing these rods, operators can adjust the population of fissile neutrons and achieve the desired power changes. </w:t>
      </w:r>
      <w:r w:rsidR="00EC549D">
        <w:t xml:space="preserve">However, fission </w:t>
      </w:r>
      <w:r w:rsidR="000E6DE2">
        <w:t>products are trapped within</w:t>
      </w:r>
      <w:r w:rsidR="00EC549D">
        <w:t xml:space="preserve"> </w:t>
      </w:r>
      <w:r w:rsidR="00876F22">
        <w:t>the fuel</w:t>
      </w:r>
      <w:r w:rsidR="00EC549D">
        <w:t xml:space="preserve"> rods through the life of </w:t>
      </w:r>
      <w:r w:rsidR="000E6DE2">
        <w:t>the fuel</w:t>
      </w:r>
      <w:r w:rsidR="00876F22">
        <w:t xml:space="preserve"> assembly</w:t>
      </w:r>
      <w:r w:rsidR="000E6DE2">
        <w:t xml:space="preserve"> </w:t>
      </w:r>
      <w:r w:rsidR="00EC549D">
        <w:t xml:space="preserve">which leads to a reduced range of power </w:t>
      </w:r>
      <w:r w:rsidR="000E6DE2">
        <w:t>manoeuvres as the reactor core ages</w:t>
      </w:r>
      <w:r w:rsidR="00793DFD">
        <w:t>.</w:t>
      </w:r>
      <w:r w:rsidR="00100185">
        <w:t xml:space="preserve"> </w:t>
      </w:r>
    </w:p>
    <w:p w14:paraId="6C04D4B2" w14:textId="266001E3" w:rsidR="00100185" w:rsidRPr="006E15ED" w:rsidRDefault="00100185" w:rsidP="006E15ED">
      <w:pPr>
        <w:pStyle w:val="BodyText"/>
      </w:pPr>
      <w:r>
        <w:t>In this study</w:t>
      </w:r>
      <w:r w:rsidR="00EC549D">
        <w:t xml:space="preserve">, we aim to focus on the </w:t>
      </w:r>
      <w:r>
        <w:t xml:space="preserve">core ramping ability of LWR reactors by developing a stylized </w:t>
      </w:r>
      <w:r w:rsidR="000C6547">
        <w:t>one-point</w:t>
      </w:r>
      <w:r>
        <w:t xml:space="preserve"> reactor model to emulate the decreasing flexibility </w:t>
      </w:r>
      <w:r w:rsidR="0077481A">
        <w:t xml:space="preserve">through a </w:t>
      </w:r>
      <w:r w:rsidR="00EC47EA">
        <w:t>reactor’s</w:t>
      </w:r>
      <w:r w:rsidR="0077481A">
        <w:t xml:space="preserve"> life</w:t>
      </w:r>
      <w:r w:rsidR="000E1B41">
        <w:t>.</w:t>
      </w:r>
      <w:r>
        <w:t xml:space="preserve"> </w:t>
      </w:r>
      <w:r w:rsidR="007143B4">
        <w:t>Using this model</w:t>
      </w:r>
      <w:r w:rsidR="000C6547">
        <w:t>, exhaustive computation</w:t>
      </w:r>
      <w:r w:rsidR="007143B4">
        <w:t>s</w:t>
      </w:r>
      <w:r w:rsidR="000C6547">
        <w:t xml:space="preserve"> o</w:t>
      </w:r>
      <w:r w:rsidR="007143B4">
        <w:t>f</w:t>
      </w:r>
      <w:r w:rsidR="000C6547">
        <w:t xml:space="preserve"> different </w:t>
      </w:r>
      <w:r w:rsidR="007143B4">
        <w:t>power</w:t>
      </w:r>
      <w:r w:rsidR="000C6547">
        <w:t xml:space="preserve"> ramping scenarios </w:t>
      </w:r>
      <w:r w:rsidR="00EC549D">
        <w:t>w</w:t>
      </w:r>
      <w:r w:rsidR="007143B4">
        <w:t>ere</w:t>
      </w:r>
      <w:r w:rsidR="000C6547">
        <w:t xml:space="preserve"> </w:t>
      </w:r>
      <w:r w:rsidR="00B04FA8">
        <w:t>performed. Further</w:t>
      </w:r>
      <w:r>
        <w:t xml:space="preserve">, we explore the fleet effect, where reactors </w:t>
      </w:r>
      <w:r w:rsidR="00E81992">
        <w:t>arranged</w:t>
      </w:r>
      <w:r w:rsidR="007143B4">
        <w:t xml:space="preserve"> </w:t>
      </w:r>
      <w:r>
        <w:t>in packs demonstrate revolving dispatch</w:t>
      </w:r>
      <w:r w:rsidR="00EC549D">
        <w:t>. Some units operate as baseload and have higher burnups, while others</w:t>
      </w:r>
      <w:r>
        <w:t xml:space="preserve"> operate more flexibly</w:t>
      </w:r>
      <w:r w:rsidR="00076230">
        <w:t>, see lower burnups,</w:t>
      </w:r>
      <w:r>
        <w:t xml:space="preserve"> and </w:t>
      </w:r>
      <w:r w:rsidR="006F7D44">
        <w:t>result in longer refuelling cycles</w:t>
      </w:r>
      <w:r>
        <w:t>.</w:t>
      </w:r>
    </w:p>
    <w:p w14:paraId="62ED4AD1" w14:textId="75DC56CB" w:rsidR="00B83BB4" w:rsidRDefault="00B83BB4" w:rsidP="00B83BB4">
      <w:pPr>
        <w:pStyle w:val="Heading3"/>
      </w:pPr>
      <w:r>
        <w:t>Xenon-Poisoning</w:t>
      </w:r>
    </w:p>
    <w:p w14:paraId="4351E231" w14:textId="167A0BA1" w:rsidR="00AE3E55" w:rsidRDefault="0066644F" w:rsidP="00AE3E55">
      <w:pPr>
        <w:pStyle w:val="BodyText"/>
      </w:pPr>
      <w:r>
        <w:t>During power ramp-down</w:t>
      </w:r>
      <w:r w:rsidR="0091565E">
        <w:t>,</w:t>
      </w:r>
      <w:r w:rsidR="007A4498">
        <w:t xml:space="preserve"> </w:t>
      </w:r>
      <w:r w:rsidR="0091565E">
        <w:t>the concentration of Xe</w:t>
      </w:r>
      <w:r w:rsidR="001F606C">
        <w:t>-135</w:t>
      </w:r>
      <w:r w:rsidR="007A4498">
        <w:t xml:space="preserve"> goes up</w:t>
      </w:r>
      <w:r w:rsidR="00543FCB">
        <w:t xml:space="preserve"> due to </w:t>
      </w:r>
      <w:r w:rsidR="00876F22">
        <w:t xml:space="preserve">radioactive decay of the fission product, </w:t>
      </w:r>
      <w:r w:rsidR="00543FCB">
        <w:t>I-13</w:t>
      </w:r>
      <w:r w:rsidR="00876F22">
        <w:t>5</w:t>
      </w:r>
      <w:r w:rsidR="0091565E">
        <w:t>. Xe</w:t>
      </w:r>
      <w:r w:rsidR="00E673AB">
        <w:t>-135</w:t>
      </w:r>
      <w:r w:rsidR="007A4498">
        <w:t xml:space="preserve"> is a powerful neutron absorber or</w:t>
      </w:r>
      <w:r w:rsidR="000D08E2">
        <w:t xml:space="preserve"> a</w:t>
      </w:r>
      <w:r w:rsidR="007A4498">
        <w:t xml:space="preserve"> </w:t>
      </w:r>
      <w:r w:rsidR="007A4498" w:rsidRPr="007A4498">
        <w:rPr>
          <w:i/>
          <w:iCs/>
        </w:rPr>
        <w:t>poison</w:t>
      </w:r>
      <w:r w:rsidR="007A4498">
        <w:t xml:space="preserve">, and its concentration keeps </w:t>
      </w:r>
      <w:r w:rsidR="0091565E">
        <w:t xml:space="preserve">increasing for many hours after </w:t>
      </w:r>
      <w:r w:rsidR="00F73BED">
        <w:t xml:space="preserve">the </w:t>
      </w:r>
      <w:r w:rsidR="0091565E">
        <w:t xml:space="preserve">ramp-down has </w:t>
      </w:r>
      <w:r w:rsidR="00B02DE3">
        <w:t>ended</w:t>
      </w:r>
      <w:r w:rsidR="00554410">
        <w:t xml:space="preserve"> </w:t>
      </w:r>
      <w:r w:rsidR="00554410">
        <w:fldChar w:fldCharType="begin"/>
      </w:r>
      <w:r w:rsidR="006C1288">
        <w:instrText xml:space="preserve"> ADDIN ZOTERO_ITEM CSL_CITATION {"citationID":"KRsmTaqH","properties":{"formattedCitation":"[16]","plainCitation":"[16]","noteIndex":0},"citationItems":[{"id":1560,"uris":["http://zotero.org/users/5694173/items/H77RBEZ8"],"itemData":{"id":1560,"type":"book","call-number":"TK9145 .L28 2001","collection-title":"Addison-Wesley series in nuclear science and engineering","edition":"3rd ed","event-place":"Upper Saddle River, N.J","ISBN":"978-0-201-82498-8","language":"en","number-of-pages":"783","publisher":"Prentice Hall","publisher-place":"Upper Saddle River, N.J","source":"Library of Congress ISBN","title":"Introduction to nuclear engineering","author":[{"family":"Lamarsh","given":"John R."},{"family":"Baratta","given":"Anthony John"}],"issued":{"date-parts":[["2001"]]}}}],"schema":"https://github.com/citation-style-language/schema/raw/master/csl-citation.json"} </w:instrText>
      </w:r>
      <w:r w:rsidR="00554410">
        <w:fldChar w:fldCharType="separate"/>
      </w:r>
      <w:r w:rsidR="006C1288">
        <w:rPr>
          <w:noProof/>
        </w:rPr>
        <w:t>[16]</w:t>
      </w:r>
      <w:r w:rsidR="00554410">
        <w:fldChar w:fldCharType="end"/>
      </w:r>
      <w:r w:rsidR="00554410">
        <w:t>.</w:t>
      </w:r>
      <w:r w:rsidR="00876F22">
        <w:t xml:space="preserve"> </w:t>
      </w:r>
      <w:r w:rsidR="00B02DE3">
        <w:t xml:space="preserve"> </w:t>
      </w:r>
      <w:r w:rsidR="00876F22">
        <w:t xml:space="preserve">This so-called </w:t>
      </w:r>
      <w:r w:rsidR="007A4498">
        <w:rPr>
          <w:i/>
          <w:iCs/>
        </w:rPr>
        <w:t xml:space="preserve">Xenon poisoning </w:t>
      </w:r>
      <w:r w:rsidR="00876F22">
        <w:t xml:space="preserve">arises from </w:t>
      </w:r>
      <w:r w:rsidR="007A4498">
        <w:t>the absorption of fission neutrons by Xe-135 which</w:t>
      </w:r>
      <w:r w:rsidR="00876F22">
        <w:t xml:space="preserve">, </w:t>
      </w:r>
      <w:r w:rsidR="00795D19">
        <w:t xml:space="preserve">and </w:t>
      </w:r>
      <w:r w:rsidR="00876F22">
        <w:t>if it becomes large enough,</w:t>
      </w:r>
      <w:r w:rsidR="007A4498">
        <w:t xml:space="preserve"> makes it difficult to </w:t>
      </w:r>
      <w:r w:rsidR="00876F22">
        <w:t xml:space="preserve">sustain a positive </w:t>
      </w:r>
      <w:r w:rsidR="007A4498">
        <w:t>reactivity</w:t>
      </w:r>
      <w:r w:rsidR="00953542">
        <w:t xml:space="preserve"> within the reactor</w:t>
      </w:r>
      <w:r w:rsidR="00876F22">
        <w:t xml:space="preserve"> core</w:t>
      </w:r>
      <w:r w:rsidR="007A4498">
        <w:t xml:space="preserve">. </w:t>
      </w:r>
      <w:r w:rsidR="00B02DE3">
        <w:t>The peak Xe</w:t>
      </w:r>
      <w:r w:rsidR="00BB267C">
        <w:t>-135</w:t>
      </w:r>
      <w:r w:rsidR="00B02DE3">
        <w:t xml:space="preserve"> concentration </w:t>
      </w:r>
      <w:r w:rsidR="00EC549D">
        <w:t>depends</w:t>
      </w:r>
      <w:r w:rsidR="00B02DE3">
        <w:t xml:space="preserve"> on 1) the power level from which </w:t>
      </w:r>
      <w:r w:rsidR="008A784A">
        <w:t>the ramp-down event begins and 2) the depth of the ramp-down</w:t>
      </w:r>
      <w:r w:rsidR="00B02DE3">
        <w:t>.</w:t>
      </w:r>
      <w:r w:rsidR="00E53EDC">
        <w:t xml:space="preserve"> </w:t>
      </w:r>
      <w:r w:rsidR="00876F22">
        <w:t xml:space="preserve"> </w:t>
      </w:r>
      <w:r w:rsidR="00EB10A8">
        <w:t>This phenomenon</w:t>
      </w:r>
      <w:r w:rsidR="00876F22">
        <w:t xml:space="preserve"> is governed by </w:t>
      </w:r>
      <w:r w:rsidR="00E42E90">
        <w:t>E</w:t>
      </w:r>
      <w:r w:rsidR="00E53EDC">
        <w:t>q</w:t>
      </w:r>
      <w:r w:rsidR="005E1209">
        <w:t>uation.</w:t>
      </w:r>
      <w:r w:rsidR="00E53EDC">
        <w:t xml:space="preserve"> </w:t>
      </w:r>
      <w:r w:rsidR="00F73BED">
        <w:fldChar w:fldCharType="begin"/>
      </w:r>
      <w:r w:rsidR="00F73BED">
        <w:instrText xml:space="preserve"> REF _Ref167710444 \h </w:instrText>
      </w:r>
      <w:r w:rsidR="00F73BED">
        <w:fldChar w:fldCharType="separate"/>
      </w:r>
      <w:r w:rsidR="00FD41EB" w:rsidRPr="00D35244">
        <w:rPr>
          <w:sz w:val="16"/>
          <w:szCs w:val="16"/>
        </w:rPr>
        <w:t>(</w:t>
      </w:r>
      <w:r w:rsidR="00FD41EB">
        <w:rPr>
          <w:noProof/>
          <w:sz w:val="16"/>
          <w:szCs w:val="16"/>
        </w:rPr>
        <w:t>1</w:t>
      </w:r>
      <w:r w:rsidR="00F73BED">
        <w:fldChar w:fldCharType="end"/>
      </w:r>
      <w:r w:rsidR="00F73BED">
        <w:t>)</w:t>
      </w:r>
      <w:r w:rsidR="00BB267C">
        <w:t xml:space="preserve"> and </w:t>
      </w:r>
      <w:r w:rsidR="00F73BED">
        <w:fldChar w:fldCharType="begin"/>
      </w:r>
      <w:r w:rsidR="00F73BED">
        <w:instrText xml:space="preserve"> REF _Ref167710465 \h </w:instrText>
      </w:r>
      <w:r w:rsidR="00F73BED">
        <w:fldChar w:fldCharType="separate"/>
      </w:r>
      <w:r w:rsidR="00FD41EB" w:rsidRPr="00D35244">
        <w:rPr>
          <w:sz w:val="16"/>
          <w:szCs w:val="16"/>
        </w:rPr>
        <w:t>(</w:t>
      </w:r>
      <w:r w:rsidR="00FD41EB">
        <w:rPr>
          <w:noProof/>
          <w:sz w:val="16"/>
          <w:szCs w:val="16"/>
        </w:rPr>
        <w:t>2</w:t>
      </w:r>
      <w:r w:rsidR="00F73BED">
        <w:fldChar w:fldCharType="end"/>
      </w:r>
      <w:r w:rsidR="00F73BED">
        <w:t>)</w:t>
      </w:r>
      <w:r w:rsidR="00876F22">
        <w:t xml:space="preserve">, which </w:t>
      </w:r>
      <w:r w:rsidR="009C60C5">
        <w:t>determine the one-point Xe</w:t>
      </w:r>
      <w:r w:rsidR="009102DD">
        <w:t>-135</w:t>
      </w:r>
      <w:r w:rsidR="009C60C5">
        <w:t xml:space="preserve"> and I</w:t>
      </w:r>
      <w:r w:rsidR="003F6399">
        <w:t>-135 concentration</w:t>
      </w:r>
      <w:r w:rsidR="009C60C5">
        <w:t xml:space="preserve"> evolution</w:t>
      </w:r>
      <w:r w:rsidR="00876F22">
        <w:t xml:space="preserve"> in response to a change in operating power.  </w:t>
      </w:r>
      <w:r w:rsidR="00EC549D">
        <w:t>Eq</w:t>
      </w:r>
      <w:r w:rsidR="003D5882">
        <w:t xml:space="preserve">uation </w:t>
      </w:r>
      <w:r w:rsidR="00BC7AA6">
        <w:fldChar w:fldCharType="begin"/>
      </w:r>
      <w:r w:rsidR="00BC7AA6">
        <w:instrText xml:space="preserve"> REF _Ref167710597 \h </w:instrText>
      </w:r>
      <w:r w:rsidR="00BC7AA6">
        <w:fldChar w:fldCharType="separate"/>
      </w:r>
      <w:r w:rsidR="00FD41EB" w:rsidRPr="00D35244">
        <w:rPr>
          <w:sz w:val="16"/>
          <w:szCs w:val="16"/>
        </w:rPr>
        <w:t>(</w:t>
      </w:r>
      <w:r w:rsidR="00FD41EB">
        <w:rPr>
          <w:noProof/>
          <w:sz w:val="16"/>
          <w:szCs w:val="16"/>
        </w:rPr>
        <w:t>3</w:t>
      </w:r>
      <w:r w:rsidR="00BC7AA6">
        <w:fldChar w:fldCharType="end"/>
      </w:r>
      <w:r w:rsidR="00BC7AA6">
        <w:t xml:space="preserve">) </w:t>
      </w:r>
      <w:r w:rsidR="00876F22">
        <w:t>then describes</w:t>
      </w:r>
      <w:r w:rsidR="00046834">
        <w:t xml:space="preserve"> </w:t>
      </w:r>
      <w:r w:rsidR="00CF3408">
        <w:t xml:space="preserve">the </w:t>
      </w:r>
      <w:r w:rsidR="00876F22">
        <w:t xml:space="preserve">time-varying neutron </w:t>
      </w:r>
      <w:r w:rsidR="009C60C5">
        <w:t>flux within reactor.</w:t>
      </w:r>
      <w:r w:rsidR="00E53EDC">
        <w:t xml:space="preserve"> </w:t>
      </w:r>
    </w:p>
    <w:p w14:paraId="3650A4E7" w14:textId="77777777" w:rsidR="00211273" w:rsidRDefault="00211273" w:rsidP="00AE3E55">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3617"/>
      </w:tblGrid>
      <w:tr w:rsidR="00E53EDC" w:rsidRPr="00D35244" w14:paraId="3580C62A" w14:textId="5C10B09F" w:rsidTr="00D35244">
        <w:tc>
          <w:tcPr>
            <w:tcW w:w="5400" w:type="dxa"/>
          </w:tcPr>
          <w:p w14:paraId="43E4A452" w14:textId="1C4E8167" w:rsidR="00E53EDC" w:rsidRPr="00D35244" w:rsidRDefault="00000000" w:rsidP="00E53EDC">
            <w:pPr>
              <w:pStyle w:val="BodyText"/>
              <w:keepNext/>
              <w:ind w:firstLine="0"/>
              <w:rPr>
                <w:iCs/>
                <w:sz w:val="16"/>
                <w:szCs w:val="16"/>
              </w:rPr>
            </w:pPr>
            <m:oMathPara>
              <m:oMath>
                <m:f>
                  <m:fPr>
                    <m:ctrlPr>
                      <w:rPr>
                        <w:rFonts w:ascii="Cambria Math" w:hAnsi="Cambria Math"/>
                        <w:iCs/>
                        <w:sz w:val="16"/>
                        <w:szCs w:val="16"/>
                      </w:rPr>
                    </m:ctrlPr>
                  </m:fPr>
                  <m:num>
                    <m:r>
                      <m:rPr>
                        <m:sty m:val="p"/>
                      </m:rPr>
                      <w:rPr>
                        <w:rFonts w:ascii="Cambria Math" w:hAnsi="Cambria Math"/>
                        <w:sz w:val="16"/>
                        <w:szCs w:val="16"/>
                      </w:rPr>
                      <m:t>dI</m:t>
                    </m:r>
                  </m:num>
                  <m:den>
                    <m:r>
                      <m:rPr>
                        <m:sty m:val="p"/>
                      </m:rPr>
                      <w:rPr>
                        <w:rFonts w:ascii="Cambria Math" w:hAnsi="Cambria Math"/>
                        <w:sz w:val="16"/>
                        <w:szCs w:val="16"/>
                      </w:rPr>
                      <m:t>dt</m:t>
                    </m:r>
                  </m:den>
                </m:f>
                <m:r>
                  <m:rPr>
                    <m:sty m:val="p"/>
                  </m:rPr>
                  <w:rPr>
                    <w:rFonts w:ascii="Cambria Math" w:hAnsi="Cambria Math"/>
                    <w:sz w:val="16"/>
                    <w:szCs w:val="16"/>
                  </w:rPr>
                  <m:t>=-</m:t>
                </m:r>
                <m:sSub>
                  <m:sSubPr>
                    <m:ctrlPr>
                      <w:rPr>
                        <w:rFonts w:ascii="Cambria Math" w:hAnsi="Cambria Math"/>
                        <w:iCs/>
                        <w:sz w:val="16"/>
                        <w:szCs w:val="16"/>
                      </w:rPr>
                    </m:ctrlPr>
                  </m:sSubPr>
                  <m:e>
                    <m:r>
                      <m:rPr>
                        <m:sty m:val="p"/>
                      </m:rPr>
                      <w:rPr>
                        <w:rFonts w:ascii="Cambria Math" w:hAnsi="Cambria Math"/>
                        <w:sz w:val="16"/>
                        <w:szCs w:val="16"/>
                      </w:rPr>
                      <m:t>λ</m:t>
                    </m:r>
                  </m:e>
                  <m:sub>
                    <m:r>
                      <m:rPr>
                        <m:sty m:val="p"/>
                      </m:rPr>
                      <w:rPr>
                        <w:rFonts w:ascii="Cambria Math" w:hAnsi="Cambria Math"/>
                        <w:sz w:val="16"/>
                        <w:szCs w:val="16"/>
                      </w:rPr>
                      <m:t>I</m:t>
                    </m:r>
                  </m:sub>
                </m:sSub>
                <m:r>
                  <m:rPr>
                    <m:sty m:val="p"/>
                  </m:rPr>
                  <w:rPr>
                    <w:rFonts w:ascii="Cambria Math" w:hAnsi="Cambria Math"/>
                    <w:sz w:val="16"/>
                    <w:szCs w:val="16"/>
                  </w:rPr>
                  <m:t>⋅I(t)+</m:t>
                </m:r>
                <m:sSub>
                  <m:sSubPr>
                    <m:ctrlPr>
                      <w:rPr>
                        <w:rFonts w:ascii="Cambria Math" w:hAnsi="Cambria Math"/>
                        <w:iCs/>
                        <w:sz w:val="16"/>
                        <w:szCs w:val="16"/>
                      </w:rPr>
                    </m:ctrlPr>
                  </m:sSubPr>
                  <m:e>
                    <m:r>
                      <m:rPr>
                        <m:sty m:val="p"/>
                      </m:rPr>
                      <w:rPr>
                        <w:rFonts w:ascii="Cambria Math" w:hAnsi="Cambria Math"/>
                        <w:sz w:val="16"/>
                        <w:szCs w:val="16"/>
                      </w:rPr>
                      <m:t>γ</m:t>
                    </m:r>
                  </m:e>
                  <m:sub>
                    <m:r>
                      <m:rPr>
                        <m:sty m:val="p"/>
                      </m:rPr>
                      <w:rPr>
                        <w:rFonts w:ascii="Cambria Math" w:hAnsi="Cambria Math"/>
                        <w:sz w:val="16"/>
                        <w:szCs w:val="16"/>
                      </w:rPr>
                      <m:t>I</m:t>
                    </m:r>
                  </m:sub>
                </m:sSub>
                <m:r>
                  <m:rPr>
                    <m:sty m:val="p"/>
                  </m:rPr>
                  <w:rPr>
                    <w:rFonts w:ascii="Cambria Math" w:hAnsi="Cambria Math"/>
                    <w:sz w:val="16"/>
                    <w:szCs w:val="16"/>
                  </w:rPr>
                  <m:t>⋅ϕ(t)⋅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Σ</m:t>
                        </m:r>
                      </m:e>
                    </m:acc>
                  </m:e>
                  <m:sub>
                    <m:r>
                      <m:rPr>
                        <m:sty m:val="p"/>
                      </m:rPr>
                      <w:rPr>
                        <w:rFonts w:ascii="Cambria Math" w:hAnsi="Cambria Math"/>
                        <w:sz w:val="16"/>
                        <w:szCs w:val="16"/>
                      </w:rPr>
                      <m:t>f</m:t>
                    </m:r>
                  </m:sub>
                </m:sSub>
                <m:r>
                  <m:rPr>
                    <m:sty m:val="p"/>
                  </m:rPr>
                  <w:rPr>
                    <w:rFonts w:ascii="Cambria Math" w:hAnsi="Cambria Math"/>
                    <w:sz w:val="16"/>
                    <w:szCs w:val="16"/>
                  </w:rPr>
                  <m:t xml:space="preserve"> </m:t>
                </m:r>
              </m:oMath>
            </m:oMathPara>
          </w:p>
        </w:tc>
        <w:tc>
          <w:tcPr>
            <w:tcW w:w="3617" w:type="dxa"/>
          </w:tcPr>
          <w:p w14:paraId="0754AC97" w14:textId="33F7CF17" w:rsidR="00E53EDC" w:rsidRPr="00D35244" w:rsidRDefault="00E53EDC" w:rsidP="00E53EDC">
            <w:pPr>
              <w:pStyle w:val="BodyText"/>
              <w:keepNext/>
              <w:ind w:firstLine="0"/>
              <w:jc w:val="right"/>
              <w:rPr>
                <w:rFonts w:ascii="Times New Roman Bold" w:hAnsi="Times New Roman Bold"/>
                <w:sz w:val="16"/>
                <w:szCs w:val="16"/>
              </w:rPr>
            </w:pPr>
            <w:bookmarkStart w:id="0" w:name="_Ref167710444"/>
            <w:r w:rsidRPr="00D35244">
              <w:rPr>
                <w:sz w:val="16"/>
                <w:szCs w:val="16"/>
              </w:rPr>
              <w:t>(</w:t>
            </w:r>
            <w:r w:rsidRPr="00D35244">
              <w:rPr>
                <w:sz w:val="16"/>
                <w:szCs w:val="16"/>
              </w:rPr>
              <w:fldChar w:fldCharType="begin"/>
            </w:r>
            <w:r w:rsidRPr="00D35244">
              <w:rPr>
                <w:sz w:val="16"/>
                <w:szCs w:val="16"/>
              </w:rPr>
              <w:instrText xml:space="preserve"> SEQ ( \* ARABIC </w:instrText>
            </w:r>
            <w:r w:rsidRPr="00D35244">
              <w:rPr>
                <w:sz w:val="16"/>
                <w:szCs w:val="16"/>
              </w:rPr>
              <w:fldChar w:fldCharType="separate"/>
            </w:r>
            <w:r w:rsidR="00FD41EB">
              <w:rPr>
                <w:noProof/>
                <w:sz w:val="16"/>
                <w:szCs w:val="16"/>
              </w:rPr>
              <w:t>1</w:t>
            </w:r>
            <w:r w:rsidRPr="00D35244">
              <w:rPr>
                <w:sz w:val="16"/>
                <w:szCs w:val="16"/>
              </w:rPr>
              <w:fldChar w:fldCharType="end"/>
            </w:r>
            <w:bookmarkEnd w:id="0"/>
            <w:r w:rsidRPr="00D35244">
              <w:rPr>
                <w:sz w:val="16"/>
                <w:szCs w:val="16"/>
              </w:rPr>
              <w:t>)</w:t>
            </w:r>
          </w:p>
        </w:tc>
      </w:tr>
    </w:tbl>
    <w:p w14:paraId="1A840713" w14:textId="77777777" w:rsidR="00E53EDC" w:rsidRPr="00D35244" w:rsidRDefault="00E53EDC" w:rsidP="0066644F">
      <w:pPr>
        <w:pStyle w:val="BodyTex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67"/>
      </w:tblGrid>
      <w:tr w:rsidR="001C7ED2" w:rsidRPr="00D35244" w14:paraId="635A7EAB" w14:textId="77777777" w:rsidTr="00D35244">
        <w:trPr>
          <w:trHeight w:val="64"/>
        </w:trPr>
        <w:tc>
          <w:tcPr>
            <w:tcW w:w="7650" w:type="dxa"/>
          </w:tcPr>
          <w:p w14:paraId="1FB6B8C8" w14:textId="7703376A" w:rsidR="00595368" w:rsidRPr="00D35244" w:rsidRDefault="00595368" w:rsidP="00D35244">
            <w:pPr>
              <w:pStyle w:val="BodyText"/>
              <w:ind w:firstLine="0"/>
              <w:rPr>
                <w:iCs/>
                <w:sz w:val="16"/>
                <w:szCs w:val="16"/>
              </w:rPr>
            </w:pPr>
            <m:oMathPara>
              <m:oMath>
                <m:r>
                  <w:rPr>
                    <w:rFonts w:ascii="Cambria Math" w:hAnsi="Cambria Math"/>
                    <w:sz w:val="16"/>
                    <w:szCs w:val="16"/>
                  </w:rPr>
                  <m:t xml:space="preserve"> </m:t>
                </m:r>
                <m:f>
                  <m:fPr>
                    <m:ctrlPr>
                      <w:rPr>
                        <w:rFonts w:ascii="Cambria Math" w:hAnsi="Cambria Math"/>
                        <w:iCs/>
                        <w:sz w:val="16"/>
                        <w:szCs w:val="16"/>
                      </w:rPr>
                    </m:ctrlPr>
                  </m:fPr>
                  <m:num>
                    <m:r>
                      <m:rPr>
                        <m:sty m:val="p"/>
                      </m:rPr>
                      <w:rPr>
                        <w:rFonts w:ascii="Cambria Math" w:hAnsi="Cambria Math"/>
                        <w:sz w:val="16"/>
                        <w:szCs w:val="16"/>
                      </w:rPr>
                      <m:t>dXe</m:t>
                    </m:r>
                  </m:num>
                  <m:den>
                    <m:r>
                      <m:rPr>
                        <m:sty m:val="p"/>
                      </m:rPr>
                      <w:rPr>
                        <w:rFonts w:ascii="Cambria Math" w:hAnsi="Cambria Math"/>
                        <w:sz w:val="16"/>
                        <w:szCs w:val="16"/>
                      </w:rPr>
                      <m:t>dt</m:t>
                    </m:r>
                  </m:den>
                </m:f>
                <m:r>
                  <m:rPr>
                    <m:sty m:val="p"/>
                  </m:rPr>
                  <w:rPr>
                    <w:rFonts w:ascii="Cambria Math" w:hAnsi="Cambria Math"/>
                    <w:sz w:val="16"/>
                    <w:szCs w:val="16"/>
                  </w:rPr>
                  <m:t>=+</m:t>
                </m:r>
                <m:sSub>
                  <m:sSubPr>
                    <m:ctrlPr>
                      <w:rPr>
                        <w:rFonts w:ascii="Cambria Math" w:hAnsi="Cambria Math"/>
                        <w:iCs/>
                        <w:sz w:val="16"/>
                        <w:szCs w:val="16"/>
                      </w:rPr>
                    </m:ctrlPr>
                  </m:sSubPr>
                  <m:e>
                    <m:r>
                      <m:rPr>
                        <m:sty m:val="p"/>
                      </m:rPr>
                      <w:rPr>
                        <w:rFonts w:ascii="Cambria Math" w:hAnsi="Cambria Math"/>
                        <w:sz w:val="16"/>
                        <w:szCs w:val="16"/>
                      </w:rPr>
                      <m:t>λ</m:t>
                    </m:r>
                  </m:e>
                  <m:sub>
                    <m:r>
                      <m:rPr>
                        <m:sty m:val="p"/>
                      </m:rPr>
                      <w:rPr>
                        <w:rFonts w:ascii="Cambria Math" w:hAnsi="Cambria Math"/>
                        <w:sz w:val="16"/>
                        <w:szCs w:val="16"/>
                      </w:rPr>
                      <m:t>I</m:t>
                    </m:r>
                  </m:sub>
                </m:sSub>
                <m:r>
                  <m:rPr>
                    <m:sty m:val="p"/>
                  </m:rPr>
                  <w:rPr>
                    <w:rFonts w:ascii="Cambria Math" w:hAnsi="Cambria Math"/>
                    <w:sz w:val="16"/>
                    <w:szCs w:val="16"/>
                  </w:rPr>
                  <m:t>⋅I(t)-</m:t>
                </m:r>
                <m:sSub>
                  <m:sSubPr>
                    <m:ctrlPr>
                      <w:rPr>
                        <w:rFonts w:ascii="Cambria Math" w:hAnsi="Cambria Math"/>
                        <w:iCs/>
                        <w:sz w:val="16"/>
                        <w:szCs w:val="16"/>
                      </w:rPr>
                    </m:ctrlPr>
                  </m:sSubPr>
                  <m:e>
                    <m:r>
                      <m:rPr>
                        <m:sty m:val="p"/>
                      </m:rPr>
                      <w:rPr>
                        <w:rFonts w:ascii="Cambria Math" w:hAnsi="Cambria Math"/>
                        <w:sz w:val="16"/>
                        <w:szCs w:val="16"/>
                      </w:rPr>
                      <m:t>λ</m:t>
                    </m:r>
                  </m:e>
                  <m:sub>
                    <m:r>
                      <m:rPr>
                        <m:sty m:val="p"/>
                      </m:rPr>
                      <w:rPr>
                        <w:rFonts w:ascii="Cambria Math" w:hAnsi="Cambria Math"/>
                        <w:sz w:val="16"/>
                        <w:szCs w:val="16"/>
                      </w:rPr>
                      <m:t>Xe</m:t>
                    </m:r>
                  </m:sub>
                </m:sSub>
                <m:r>
                  <m:rPr>
                    <m:sty m:val="p"/>
                  </m:rPr>
                  <w:rPr>
                    <w:rFonts w:ascii="Cambria Math" w:hAnsi="Cambria Math"/>
                    <w:sz w:val="16"/>
                    <w:szCs w:val="16"/>
                  </w:rPr>
                  <m:t>⋅Xe(t)+</m:t>
                </m:r>
                <m:sSub>
                  <m:sSubPr>
                    <m:ctrlPr>
                      <w:rPr>
                        <w:rFonts w:ascii="Cambria Math" w:hAnsi="Cambria Math"/>
                        <w:iCs/>
                        <w:sz w:val="16"/>
                        <w:szCs w:val="16"/>
                      </w:rPr>
                    </m:ctrlPr>
                  </m:sSubPr>
                  <m:e>
                    <m:r>
                      <m:rPr>
                        <m:sty m:val="p"/>
                      </m:rPr>
                      <w:rPr>
                        <w:rFonts w:ascii="Cambria Math" w:hAnsi="Cambria Math"/>
                        <w:sz w:val="16"/>
                        <w:szCs w:val="16"/>
                      </w:rPr>
                      <m:t>γ</m:t>
                    </m:r>
                  </m:e>
                  <m:sub>
                    <m:r>
                      <m:rPr>
                        <m:sty m:val="p"/>
                      </m:rPr>
                      <w:rPr>
                        <w:rFonts w:ascii="Cambria Math" w:hAnsi="Cambria Math"/>
                        <w:sz w:val="16"/>
                        <w:szCs w:val="16"/>
                      </w:rPr>
                      <m:t>Xe</m:t>
                    </m:r>
                  </m:sub>
                </m:sSub>
                <m:r>
                  <m:rPr>
                    <m:sty m:val="p"/>
                  </m:rPr>
                  <w:rPr>
                    <w:rFonts w:ascii="Cambria Math" w:hAnsi="Cambria Math"/>
                    <w:sz w:val="16"/>
                    <w:szCs w:val="16"/>
                  </w:rPr>
                  <m:t>⋅ϕ(t)⋅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Σ</m:t>
                        </m:r>
                      </m:e>
                    </m:acc>
                  </m:e>
                  <m:sub>
                    <m:r>
                      <m:rPr>
                        <m:sty m:val="p"/>
                      </m:rPr>
                      <w:rPr>
                        <w:rFonts w:ascii="Cambria Math" w:hAnsi="Cambria Math"/>
                        <w:sz w:val="16"/>
                        <w:szCs w:val="16"/>
                      </w:rPr>
                      <m:t>f</m:t>
                    </m:r>
                  </m:sub>
                </m:sSub>
                <m:r>
                  <m:rPr>
                    <m:sty m:val="p"/>
                  </m:rPr>
                  <w:rPr>
                    <w:rFonts w:ascii="Cambria Math" w:hAnsi="Cambria Math"/>
                    <w:sz w:val="16"/>
                    <w:szCs w:val="16"/>
                  </w:rPr>
                  <m:t>-</m:t>
                </m:r>
                <m:sSubSup>
                  <m:sSubSupPr>
                    <m:ctrlPr>
                      <w:rPr>
                        <w:rFonts w:ascii="Cambria Math" w:hAnsi="Cambria Math"/>
                        <w:iCs/>
                        <w:sz w:val="16"/>
                        <w:szCs w:val="16"/>
                      </w:rPr>
                    </m:ctrlPr>
                  </m:sSubSupPr>
                  <m:e>
                    <m:r>
                      <m:rPr>
                        <m:sty m:val="p"/>
                      </m:rPr>
                      <w:rPr>
                        <w:rFonts w:ascii="Cambria Math" w:hAnsi="Cambria Math"/>
                        <w:sz w:val="16"/>
                        <w:szCs w:val="16"/>
                      </w:rPr>
                      <m:t>σ</m:t>
                    </m:r>
                  </m:e>
                  <m:sub>
                    <m:r>
                      <m:rPr>
                        <m:sty m:val="p"/>
                      </m:rPr>
                      <w:rPr>
                        <w:rFonts w:ascii="Cambria Math" w:hAnsi="Cambria Math"/>
                        <w:sz w:val="16"/>
                        <w:szCs w:val="16"/>
                      </w:rPr>
                      <m:t>abs</m:t>
                    </m:r>
                  </m:sub>
                  <m:sup>
                    <m:r>
                      <m:rPr>
                        <m:sty m:val="p"/>
                      </m:rPr>
                      <w:rPr>
                        <w:rFonts w:ascii="Cambria Math" w:hAnsi="Cambria Math"/>
                        <w:sz w:val="16"/>
                        <w:szCs w:val="16"/>
                      </w:rPr>
                      <m:t>Xe</m:t>
                    </m:r>
                  </m:sup>
                </m:sSubSup>
                <m:r>
                  <m:rPr>
                    <m:sty m:val="p"/>
                  </m:rPr>
                  <w:rPr>
                    <w:rFonts w:ascii="Cambria Math" w:hAnsi="Cambria Math"/>
                    <w:sz w:val="16"/>
                    <w:szCs w:val="16"/>
                  </w:rPr>
                  <m:t>⋅ϕ(t)⋅Xe(t)</m:t>
                </m:r>
              </m:oMath>
            </m:oMathPara>
          </w:p>
        </w:tc>
        <w:tc>
          <w:tcPr>
            <w:tcW w:w="1367" w:type="dxa"/>
          </w:tcPr>
          <w:p w14:paraId="3FDB83C2" w14:textId="6421E827" w:rsidR="001C7ED2" w:rsidRPr="00D35244" w:rsidRDefault="00595368" w:rsidP="00595368">
            <w:pPr>
              <w:pStyle w:val="Caption"/>
              <w:jc w:val="right"/>
              <w:rPr>
                <w:rFonts w:ascii="Times New Roman Bold" w:hAnsi="Times New Roman Bold"/>
                <w:sz w:val="16"/>
                <w:szCs w:val="16"/>
              </w:rPr>
            </w:pPr>
            <w:bookmarkStart w:id="1" w:name="_Ref167710465"/>
            <w:r w:rsidRPr="00D35244">
              <w:rPr>
                <w:sz w:val="16"/>
                <w:szCs w:val="16"/>
              </w:rPr>
              <w:t>(</w:t>
            </w:r>
            <w:r w:rsidRPr="00D35244">
              <w:rPr>
                <w:sz w:val="16"/>
                <w:szCs w:val="16"/>
              </w:rPr>
              <w:fldChar w:fldCharType="begin"/>
            </w:r>
            <w:r w:rsidRPr="00D35244">
              <w:rPr>
                <w:sz w:val="16"/>
                <w:szCs w:val="16"/>
              </w:rPr>
              <w:instrText xml:space="preserve"> SEQ ( \* ARABIC </w:instrText>
            </w:r>
            <w:r w:rsidRPr="00D35244">
              <w:rPr>
                <w:sz w:val="16"/>
                <w:szCs w:val="16"/>
              </w:rPr>
              <w:fldChar w:fldCharType="separate"/>
            </w:r>
            <w:r w:rsidR="00FD41EB">
              <w:rPr>
                <w:noProof/>
                <w:sz w:val="16"/>
                <w:szCs w:val="16"/>
              </w:rPr>
              <w:t>2</w:t>
            </w:r>
            <w:r w:rsidRPr="00D35244">
              <w:rPr>
                <w:sz w:val="16"/>
                <w:szCs w:val="16"/>
              </w:rPr>
              <w:fldChar w:fldCharType="end"/>
            </w:r>
            <w:bookmarkEnd w:id="1"/>
            <w:r w:rsidR="001C7ED2" w:rsidRPr="00D35244">
              <w:rPr>
                <w:sz w:val="16"/>
                <w:szCs w:val="16"/>
              </w:rPr>
              <w:t>)</w:t>
            </w:r>
          </w:p>
        </w:tc>
      </w:tr>
    </w:tbl>
    <w:p w14:paraId="6FB7C262" w14:textId="77777777" w:rsidR="00E53EDC" w:rsidRPr="00D35244" w:rsidRDefault="00E53EDC" w:rsidP="00FD6222">
      <w:pPr>
        <w:pStyle w:val="BodyText"/>
        <w:ind w:firstLine="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967"/>
      </w:tblGrid>
      <w:tr w:rsidR="00595368" w:rsidRPr="00D35244" w14:paraId="546FBE1A" w14:textId="77777777" w:rsidTr="008A784A">
        <w:tc>
          <w:tcPr>
            <w:tcW w:w="4050" w:type="dxa"/>
          </w:tcPr>
          <w:p w14:paraId="18581F78" w14:textId="2EFD17D5" w:rsidR="00595368" w:rsidRPr="00D35244" w:rsidRDefault="00595368" w:rsidP="00562F0F">
            <w:pPr>
              <w:pStyle w:val="BodyText"/>
              <w:rPr>
                <w:iCs/>
                <w:sz w:val="16"/>
                <w:szCs w:val="16"/>
              </w:rPr>
            </w:pPr>
            <m:oMathPara>
              <m:oMath>
                <m:r>
                  <w:rPr>
                    <w:rFonts w:ascii="Cambria Math" w:hAnsi="Cambria Math"/>
                    <w:sz w:val="16"/>
                    <w:szCs w:val="16"/>
                  </w:rPr>
                  <m:t xml:space="preserve">             </m:t>
                </m:r>
                <m:r>
                  <m:rPr>
                    <m:sty m:val="p"/>
                  </m:rPr>
                  <w:rPr>
                    <w:rFonts w:ascii="Cambria Math" w:hAnsi="Cambria Math"/>
                    <w:sz w:val="16"/>
                    <w:szCs w:val="16"/>
                  </w:rPr>
                  <m:t xml:space="preserve"> ϕ</m:t>
                </m:r>
                <m:d>
                  <m:dPr>
                    <m:ctrlPr>
                      <w:rPr>
                        <w:rFonts w:ascii="Cambria Math" w:hAnsi="Cambria Math"/>
                        <w:iCs/>
                        <w:sz w:val="16"/>
                        <w:szCs w:val="16"/>
                      </w:rPr>
                    </m:ctrlPr>
                  </m:dPr>
                  <m:e>
                    <m:r>
                      <m:rPr>
                        <m:sty m:val="p"/>
                      </m:rPr>
                      <w:rPr>
                        <w:rFonts w:ascii="Cambria Math" w:hAnsi="Cambria Math"/>
                        <w:sz w:val="16"/>
                        <w:szCs w:val="16"/>
                      </w:rPr>
                      <m:t>t</m:t>
                    </m:r>
                  </m:e>
                </m:d>
                <m:r>
                  <m:rPr>
                    <m:sty m:val="p"/>
                  </m:rPr>
                  <w:rPr>
                    <w:rFonts w:ascii="Cambria Math" w:hAnsi="Cambria Math"/>
                    <w:sz w:val="16"/>
                    <w:szCs w:val="16"/>
                  </w:rPr>
                  <m:t>=</m:t>
                </m:r>
                <m:sSub>
                  <m:sSubPr>
                    <m:ctrlPr>
                      <w:rPr>
                        <w:rFonts w:ascii="Cambria Math" w:hAnsi="Cambria Math"/>
                        <w:iCs/>
                        <w:sz w:val="16"/>
                        <w:szCs w:val="16"/>
                      </w:rPr>
                    </m:ctrlPr>
                  </m:sSubPr>
                  <m:e>
                    <m:r>
                      <m:rPr>
                        <m:sty m:val="p"/>
                      </m:rPr>
                      <w:rPr>
                        <w:rFonts w:ascii="Cambria Math" w:hAnsi="Cambria Math"/>
                        <w:sz w:val="16"/>
                        <w:szCs w:val="16"/>
                      </w:rPr>
                      <m:t>ϕ</m:t>
                    </m:r>
                  </m:e>
                  <m:sub>
                    <m:r>
                      <m:rPr>
                        <m:sty m:val="p"/>
                      </m:rPr>
                      <w:rPr>
                        <w:rFonts w:ascii="Cambria Math" w:hAnsi="Cambria Math"/>
                        <w:sz w:val="16"/>
                        <w:szCs w:val="16"/>
                      </w:rPr>
                      <m:t>0</m:t>
                    </m:r>
                  </m:sub>
                </m:sSub>
                <m:r>
                  <m:rPr>
                    <m:sty m:val="p"/>
                  </m:rPr>
                  <w:rPr>
                    <w:rFonts w:ascii="Cambria Math" w:hAnsi="Cambria Math"/>
                    <w:sz w:val="16"/>
                    <w:szCs w:val="16"/>
                  </w:rPr>
                  <m:t>⋅</m:t>
                </m:r>
                <m:d>
                  <m:dPr>
                    <m:ctrlPr>
                      <w:rPr>
                        <w:rFonts w:ascii="Cambria Math" w:hAnsi="Cambria Math"/>
                        <w:iCs/>
                        <w:sz w:val="16"/>
                        <w:szCs w:val="16"/>
                      </w:rPr>
                    </m:ctrlPr>
                  </m:dPr>
                  <m:e>
                    <m:f>
                      <m:fPr>
                        <m:ctrlPr>
                          <w:rPr>
                            <w:rFonts w:ascii="Cambria Math" w:hAnsi="Cambria Math"/>
                            <w:iCs/>
                            <w:sz w:val="16"/>
                            <w:szCs w:val="16"/>
                          </w:rPr>
                        </m:ctrlPr>
                      </m:fPr>
                      <m:num>
                        <m:r>
                          <m:rPr>
                            <m:sty m:val="p"/>
                          </m:rPr>
                          <w:rPr>
                            <w:rFonts w:ascii="Cambria Math" w:hAnsi="Cambria Math"/>
                            <w:sz w:val="16"/>
                            <w:szCs w:val="16"/>
                          </w:rPr>
                          <m:t>P</m:t>
                        </m:r>
                        <m:d>
                          <m:dPr>
                            <m:ctrlPr>
                              <w:rPr>
                                <w:rFonts w:ascii="Cambria Math" w:hAnsi="Cambria Math"/>
                                <w:iCs/>
                                <w:sz w:val="16"/>
                                <w:szCs w:val="16"/>
                              </w:rPr>
                            </m:ctrlPr>
                          </m:dPr>
                          <m:e>
                            <m:r>
                              <m:rPr>
                                <m:sty m:val="p"/>
                              </m:rPr>
                              <w:rPr>
                                <w:rFonts w:ascii="Cambria Math" w:hAnsi="Cambria Math"/>
                                <w:sz w:val="16"/>
                                <w:szCs w:val="16"/>
                              </w:rPr>
                              <m:t>t</m:t>
                            </m:r>
                          </m:e>
                        </m:d>
                      </m:num>
                      <m:den>
                        <m:sSub>
                          <m:sSubPr>
                            <m:ctrlPr>
                              <w:rPr>
                                <w:rFonts w:ascii="Cambria Math" w:hAnsi="Cambria Math"/>
                                <w:iCs/>
                                <w:sz w:val="16"/>
                                <w:szCs w:val="16"/>
                              </w:rPr>
                            </m:ctrlPr>
                          </m:sSubPr>
                          <m:e>
                            <m:r>
                              <m:rPr>
                                <m:sty m:val="p"/>
                              </m:rPr>
                              <w:rPr>
                                <w:rFonts w:ascii="Cambria Math" w:hAnsi="Cambria Math"/>
                                <w:sz w:val="16"/>
                                <w:szCs w:val="16"/>
                              </w:rPr>
                              <m:t>P</m:t>
                            </m:r>
                          </m:e>
                          <m:sub>
                            <m:r>
                              <w:rPr>
                                <w:rFonts w:ascii="Cambria Math" w:hAnsi="Cambria Math"/>
                                <w:sz w:val="16"/>
                                <w:szCs w:val="16"/>
                              </w:rPr>
                              <m:t>max</m:t>
                            </m:r>
                          </m:sub>
                        </m:sSub>
                      </m:den>
                    </m:f>
                  </m:e>
                </m:d>
              </m:oMath>
            </m:oMathPara>
          </w:p>
        </w:tc>
        <w:tc>
          <w:tcPr>
            <w:tcW w:w="4967" w:type="dxa"/>
          </w:tcPr>
          <w:p w14:paraId="0C62C363" w14:textId="0B7482A5" w:rsidR="00595368" w:rsidRPr="00D35244" w:rsidRDefault="00595368" w:rsidP="00595368">
            <w:pPr>
              <w:pStyle w:val="Caption"/>
              <w:jc w:val="right"/>
              <w:rPr>
                <w:sz w:val="16"/>
                <w:szCs w:val="16"/>
              </w:rPr>
            </w:pPr>
            <w:bookmarkStart w:id="2" w:name="_Ref167710597"/>
            <w:r w:rsidRPr="00D35244">
              <w:rPr>
                <w:sz w:val="16"/>
                <w:szCs w:val="16"/>
              </w:rPr>
              <w:t>(</w:t>
            </w:r>
            <w:r w:rsidRPr="00D35244">
              <w:rPr>
                <w:sz w:val="16"/>
                <w:szCs w:val="16"/>
              </w:rPr>
              <w:fldChar w:fldCharType="begin"/>
            </w:r>
            <w:r w:rsidRPr="00D35244">
              <w:rPr>
                <w:sz w:val="16"/>
                <w:szCs w:val="16"/>
              </w:rPr>
              <w:instrText xml:space="preserve"> SEQ ( \* ARABIC </w:instrText>
            </w:r>
            <w:r w:rsidRPr="00D35244">
              <w:rPr>
                <w:sz w:val="16"/>
                <w:szCs w:val="16"/>
              </w:rPr>
              <w:fldChar w:fldCharType="separate"/>
            </w:r>
            <w:r w:rsidR="00FD41EB">
              <w:rPr>
                <w:noProof/>
                <w:sz w:val="16"/>
                <w:szCs w:val="16"/>
              </w:rPr>
              <w:t>3</w:t>
            </w:r>
            <w:r w:rsidRPr="00D35244">
              <w:rPr>
                <w:sz w:val="16"/>
                <w:szCs w:val="16"/>
              </w:rPr>
              <w:fldChar w:fldCharType="end"/>
            </w:r>
            <w:bookmarkEnd w:id="2"/>
            <w:r w:rsidRPr="00D35244">
              <w:rPr>
                <w:sz w:val="16"/>
                <w:szCs w:val="16"/>
              </w:rPr>
              <w:t>)</w:t>
            </w:r>
          </w:p>
          <w:p w14:paraId="07BC0DF2" w14:textId="77777777" w:rsidR="00595368" w:rsidRPr="00D35244" w:rsidRDefault="00595368" w:rsidP="00595368">
            <w:pPr>
              <w:pStyle w:val="BodyText"/>
              <w:keepNext/>
              <w:ind w:firstLine="0"/>
              <w:jc w:val="right"/>
              <w:rPr>
                <w:sz w:val="16"/>
                <w:szCs w:val="16"/>
              </w:rPr>
            </w:pPr>
          </w:p>
        </w:tc>
      </w:tr>
    </w:tbl>
    <w:p w14:paraId="22ACA861" w14:textId="00DD8927" w:rsidR="00FC3B05" w:rsidRDefault="00876F22" w:rsidP="008B4F99">
      <w:pPr>
        <w:pStyle w:val="BodyText"/>
        <w:ind w:firstLine="0"/>
      </w:pPr>
      <w:r>
        <w:t>The</w:t>
      </w:r>
      <w:r w:rsidR="00DB67B0">
        <w:t xml:space="preserve"> equilibrium concentration of Xe</w:t>
      </w:r>
      <w:r w:rsidR="00BC7AA6">
        <w:t>-135</w:t>
      </w:r>
      <w:r w:rsidR="00DB67B0">
        <w:t xml:space="preserve"> and I</w:t>
      </w:r>
      <w:r w:rsidR="00E72667">
        <w:t>-135</w:t>
      </w:r>
      <w:r w:rsidR="00DB67B0">
        <w:t xml:space="preserve"> is </w:t>
      </w:r>
      <w:r w:rsidR="0088781F">
        <w:t>computed</w:t>
      </w:r>
      <w:r w:rsidR="00DB67B0">
        <w:t xml:space="preserve"> </w:t>
      </w:r>
      <w:r>
        <w:t xml:space="preserve">from the steady-state solution to </w:t>
      </w:r>
      <w:r w:rsidR="00E42E90">
        <w:t>E</w:t>
      </w:r>
      <w:r w:rsidR="00795D19">
        <w:t xml:space="preserve">quations. </w:t>
      </w:r>
      <w:r w:rsidR="00795D19">
        <w:fldChar w:fldCharType="begin"/>
      </w:r>
      <w:r w:rsidR="00795D19">
        <w:instrText xml:space="preserve"> REF _Ref167710444 \h </w:instrText>
      </w:r>
      <w:r w:rsidR="00795D19">
        <w:fldChar w:fldCharType="separate"/>
      </w:r>
      <w:r w:rsidR="00795D19" w:rsidRPr="00D35244">
        <w:rPr>
          <w:sz w:val="16"/>
          <w:szCs w:val="16"/>
        </w:rPr>
        <w:t>(</w:t>
      </w:r>
      <w:r w:rsidR="00795D19">
        <w:rPr>
          <w:noProof/>
          <w:sz w:val="16"/>
          <w:szCs w:val="16"/>
        </w:rPr>
        <w:t>1</w:t>
      </w:r>
      <w:r w:rsidR="00795D19">
        <w:fldChar w:fldCharType="end"/>
      </w:r>
      <w:r w:rsidR="00795D19">
        <w:t xml:space="preserve">) and </w:t>
      </w:r>
      <w:r w:rsidR="00795D19">
        <w:fldChar w:fldCharType="begin"/>
      </w:r>
      <w:r w:rsidR="00795D19">
        <w:instrText xml:space="preserve"> REF _Ref167710465 \h </w:instrText>
      </w:r>
      <w:r w:rsidR="00795D19">
        <w:fldChar w:fldCharType="separate"/>
      </w:r>
      <w:r w:rsidR="00795D19" w:rsidRPr="00D35244">
        <w:rPr>
          <w:sz w:val="16"/>
          <w:szCs w:val="16"/>
        </w:rPr>
        <w:t>(</w:t>
      </w:r>
      <w:r w:rsidR="00795D19">
        <w:rPr>
          <w:noProof/>
          <w:sz w:val="16"/>
          <w:szCs w:val="16"/>
        </w:rPr>
        <w:t>2</w:t>
      </w:r>
      <w:r w:rsidR="00795D19">
        <w:fldChar w:fldCharType="end"/>
      </w:r>
      <w:r w:rsidR="00D02FCE">
        <w:t>) and</w:t>
      </w:r>
      <w:r>
        <w:t xml:space="preserve"> are given by </w:t>
      </w:r>
      <w:r w:rsidR="00DB67B0">
        <w:t>Eq</w:t>
      </w:r>
      <w:r w:rsidR="00BC7AA6">
        <w:t>uation.</w:t>
      </w:r>
      <w:r w:rsidR="001F3829">
        <w:t xml:space="preserve"> </w:t>
      </w:r>
      <w:r w:rsidR="00BC7AA6">
        <w:fldChar w:fldCharType="begin"/>
      </w:r>
      <w:r w:rsidR="00BC7AA6">
        <w:instrText xml:space="preserve"> REF _Ref167710496 \h </w:instrText>
      </w:r>
      <w:r w:rsidR="00BC7AA6">
        <w:fldChar w:fldCharType="separate"/>
      </w:r>
      <w:r w:rsidR="00FD41EB" w:rsidRPr="00D35244">
        <w:rPr>
          <w:sz w:val="16"/>
          <w:szCs w:val="16"/>
        </w:rPr>
        <w:t>(</w:t>
      </w:r>
      <w:r w:rsidR="00FD41EB">
        <w:rPr>
          <w:noProof/>
          <w:sz w:val="16"/>
          <w:szCs w:val="16"/>
        </w:rPr>
        <w:t>4</w:t>
      </w:r>
      <w:r w:rsidR="00BC7AA6">
        <w:fldChar w:fldCharType="end"/>
      </w:r>
      <w:r w:rsidR="00BC7AA6">
        <w:t>)</w:t>
      </w:r>
      <w:r w:rsidR="00DB67B0">
        <w:t xml:space="preserve"> and</w:t>
      </w:r>
      <w:r w:rsidR="00A82F37">
        <w:t xml:space="preserve"> </w:t>
      </w:r>
      <w:r w:rsidR="00A82F37">
        <w:fldChar w:fldCharType="begin"/>
      </w:r>
      <w:r w:rsidR="00A82F37">
        <w:instrText xml:space="preserve"> REF _Ref167710611 \h </w:instrText>
      </w:r>
      <w:r w:rsidR="00A82F37">
        <w:fldChar w:fldCharType="separate"/>
      </w:r>
      <w:r w:rsidR="00FD41EB" w:rsidRPr="00D35244">
        <w:rPr>
          <w:sz w:val="16"/>
          <w:szCs w:val="16"/>
        </w:rPr>
        <w:t>(</w:t>
      </w:r>
      <w:r w:rsidR="00FD41EB">
        <w:rPr>
          <w:noProof/>
          <w:sz w:val="16"/>
          <w:szCs w:val="16"/>
        </w:rPr>
        <w:t>5</w:t>
      </w:r>
      <w:r w:rsidR="00A82F37">
        <w:fldChar w:fldCharType="end"/>
      </w:r>
      <w:r w:rsidR="00A82F37">
        <w:t>)</w:t>
      </w:r>
      <w:r w:rsidR="00DB67B0">
        <w:t>.</w:t>
      </w:r>
      <w:r w:rsidR="00AF4491">
        <w:t xml:space="preserve"> </w:t>
      </w:r>
      <w:r w:rsidR="00E72667">
        <w:t>Xe-135 introduces a negative reactivity in the core</w:t>
      </w:r>
      <w:r w:rsidR="00AF4491">
        <w:t xml:space="preserve">, also </w:t>
      </w:r>
      <w:r w:rsidR="007B6A63">
        <w:t>called</w:t>
      </w:r>
      <w:r w:rsidR="00AF4491">
        <w:t xml:space="preserve"> </w:t>
      </w:r>
      <w:r w:rsidR="00AF4491" w:rsidRPr="00C92332">
        <w:rPr>
          <w:i/>
          <w:iCs/>
        </w:rPr>
        <w:t xml:space="preserve">Xenon </w:t>
      </w:r>
      <w:r w:rsidR="00507DF2" w:rsidRPr="00C92332">
        <w:rPr>
          <w:i/>
          <w:iCs/>
        </w:rPr>
        <w:t>Defect</w:t>
      </w:r>
      <w:r w:rsidR="00E72667">
        <w:t>. It</w:t>
      </w:r>
      <w:r w:rsidR="00AF4491">
        <w:t xml:space="preserve"> is </w:t>
      </w:r>
      <w:r w:rsidR="00076230">
        <w:t>calculated</w:t>
      </w:r>
      <w:r w:rsidR="00AF4491">
        <w:t xml:space="preserve"> </w:t>
      </w:r>
      <w:r w:rsidR="00E72667">
        <w:t xml:space="preserve">using </w:t>
      </w:r>
      <w:r w:rsidR="00AF4491">
        <w:t>from Eq</w:t>
      </w:r>
      <w:r w:rsidR="00E72667">
        <w:t>uation</w:t>
      </w:r>
      <w:r w:rsidR="00AF4491">
        <w:t>.</w:t>
      </w:r>
      <w:r w:rsidR="00E72667">
        <w:fldChar w:fldCharType="begin"/>
      </w:r>
      <w:r w:rsidR="00E72667">
        <w:instrText xml:space="preserve"> REF _Ref167713552 \h </w:instrText>
      </w:r>
      <w:r w:rsidR="00E72667">
        <w:fldChar w:fldCharType="separate"/>
      </w:r>
      <w:r w:rsidR="00FD41EB" w:rsidRPr="00D35244">
        <w:rPr>
          <w:sz w:val="16"/>
          <w:szCs w:val="16"/>
        </w:rPr>
        <w:t>(</w:t>
      </w:r>
      <w:r w:rsidR="00FD41EB">
        <w:rPr>
          <w:noProof/>
          <w:sz w:val="16"/>
          <w:szCs w:val="16"/>
        </w:rPr>
        <w:t>6</w:t>
      </w:r>
      <w:r w:rsidR="00E72667">
        <w:fldChar w:fldCharType="end"/>
      </w:r>
      <w:r w:rsidR="00E72667">
        <w:t>)</w:t>
      </w:r>
      <w:r w:rsidR="00AF4491">
        <w:t xml:space="preserve"> </w:t>
      </w:r>
      <w:r w:rsidR="008A784A">
        <w:t xml:space="preserve">in </w:t>
      </w:r>
      <w:r w:rsidR="00266BD1" w:rsidRPr="00B33BD8">
        <w:rPr>
          <w:i/>
          <w:iCs/>
        </w:rPr>
        <w:t xml:space="preserve">per cent </w:t>
      </w:r>
      <w:proofErr w:type="spellStart"/>
      <w:r w:rsidR="00266BD1" w:rsidRPr="00B33BD8">
        <w:rPr>
          <w:i/>
          <w:iCs/>
        </w:rPr>
        <w:t>mille</w:t>
      </w:r>
      <w:proofErr w:type="spellEnd"/>
      <w:r w:rsidR="00266BD1">
        <w:t xml:space="preserve"> or </w:t>
      </w:r>
      <w:proofErr w:type="spellStart"/>
      <w:r w:rsidR="008A784A">
        <w:t>pcm</w:t>
      </w:r>
      <w:proofErr w:type="spellEnd"/>
      <w:r w:rsidR="00AF4491">
        <w:t xml:space="preserve">.  </w:t>
      </w:r>
    </w:p>
    <w:p w14:paraId="44C64BF9" w14:textId="77777777" w:rsidR="00211273" w:rsidRDefault="00211273" w:rsidP="008B4F99">
      <w:pPr>
        <w:pStyle w:val="BodyText"/>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607"/>
      </w:tblGrid>
      <w:tr w:rsidR="006D0E77" w14:paraId="441C7D06" w14:textId="77777777" w:rsidTr="00342F42">
        <w:tc>
          <w:tcPr>
            <w:tcW w:w="4410" w:type="dxa"/>
          </w:tcPr>
          <w:p w14:paraId="4985A7AF" w14:textId="4426F943" w:rsidR="006D0E77" w:rsidRPr="00D35244" w:rsidRDefault="00342F42" w:rsidP="0066644F">
            <w:pPr>
              <w:pStyle w:val="BodyText"/>
              <w:ind w:firstLine="0"/>
              <w:rPr>
                <w:iCs/>
                <w:sz w:val="16"/>
                <w:szCs w:val="16"/>
              </w:rPr>
            </w:pPr>
            <m:oMathPara>
              <m:oMath>
                <m:r>
                  <w:rPr>
                    <w:rFonts w:ascii="Cambria Math" w:hAnsi="Cambria Math"/>
                    <w:sz w:val="16"/>
                    <w:szCs w:val="16"/>
                  </w:rPr>
                  <m:t xml:space="preserve"> </m:t>
                </m:r>
                <m:sSub>
                  <m:sSubPr>
                    <m:ctrlPr>
                      <w:rPr>
                        <w:rFonts w:ascii="Cambria Math" w:hAnsi="Cambria Math"/>
                        <w:iCs/>
                        <w:sz w:val="16"/>
                        <w:szCs w:val="16"/>
                      </w:rPr>
                    </m:ctrlPr>
                  </m:sSubPr>
                  <m:e>
                    <m:r>
                      <m:rPr>
                        <m:sty m:val="p"/>
                      </m:rPr>
                      <w:rPr>
                        <w:rFonts w:ascii="Cambria Math" w:hAnsi="Cambria Math"/>
                        <w:sz w:val="16"/>
                        <w:szCs w:val="16"/>
                      </w:rPr>
                      <m:t>I</m:t>
                    </m:r>
                  </m:e>
                  <m:sub>
                    <m:r>
                      <m:rPr>
                        <m:sty m:val="p"/>
                      </m:rPr>
                      <w:rPr>
                        <w:rFonts w:ascii="Cambria Math" w:hAnsi="Cambria Math"/>
                        <w:sz w:val="16"/>
                        <w:szCs w:val="16"/>
                      </w:rPr>
                      <m:t>eq</m:t>
                    </m:r>
                  </m:sub>
                </m:sSub>
                <m:r>
                  <m:rPr>
                    <m:sty m:val="p"/>
                  </m:rPr>
                  <w:rPr>
                    <w:rFonts w:ascii="Cambria Math" w:hAnsi="Cambria Math"/>
                    <w:sz w:val="16"/>
                    <w:szCs w:val="16"/>
                  </w:rPr>
                  <m:t>=</m:t>
                </m:r>
                <m:f>
                  <m:fPr>
                    <m:ctrlPr>
                      <w:rPr>
                        <w:rFonts w:ascii="Cambria Math" w:hAnsi="Cambria Math"/>
                        <w:iCs/>
                        <w:sz w:val="16"/>
                        <w:szCs w:val="16"/>
                      </w:rPr>
                    </m:ctrlPr>
                  </m:fPr>
                  <m:num>
                    <m:sSub>
                      <m:sSubPr>
                        <m:ctrlPr>
                          <w:rPr>
                            <w:rFonts w:ascii="Cambria Math" w:hAnsi="Cambria Math"/>
                            <w:iCs/>
                            <w:sz w:val="16"/>
                            <w:szCs w:val="16"/>
                          </w:rPr>
                        </m:ctrlPr>
                      </m:sSubPr>
                      <m:e>
                        <m:r>
                          <m:rPr>
                            <m:sty m:val="p"/>
                          </m:rPr>
                          <w:rPr>
                            <w:rFonts w:ascii="Cambria Math" w:hAnsi="Cambria Math"/>
                            <w:sz w:val="16"/>
                            <w:szCs w:val="16"/>
                          </w:rPr>
                          <m:t>γ</m:t>
                        </m:r>
                      </m:e>
                      <m:sub>
                        <m:r>
                          <m:rPr>
                            <m:sty m:val="p"/>
                          </m:rPr>
                          <w:rPr>
                            <w:rFonts w:ascii="Cambria Math" w:hAnsi="Cambria Math"/>
                            <w:sz w:val="16"/>
                            <w:szCs w:val="16"/>
                          </w:rPr>
                          <m:t>I</m:t>
                        </m:r>
                      </m:sub>
                    </m:sSub>
                    <m:r>
                      <m:rPr>
                        <m:sty m:val="p"/>
                      </m:rPr>
                      <w:rPr>
                        <w:rFonts w:ascii="Cambria Math" w:hAnsi="Cambria Math"/>
                        <w:sz w:val="16"/>
                        <w:szCs w:val="16"/>
                      </w:rPr>
                      <m:t>⋅</m:t>
                    </m:r>
                    <m:sSub>
                      <m:sSubPr>
                        <m:ctrlPr>
                          <w:rPr>
                            <w:rFonts w:ascii="Cambria Math" w:hAnsi="Cambria Math"/>
                            <w:iCs/>
                            <w:sz w:val="16"/>
                            <w:szCs w:val="16"/>
                          </w:rPr>
                        </m:ctrlPr>
                      </m:sSubPr>
                      <m:e>
                        <m:r>
                          <m:rPr>
                            <m:sty m:val="p"/>
                          </m:rPr>
                          <w:rPr>
                            <w:rFonts w:ascii="Cambria Math" w:hAnsi="Cambria Math"/>
                            <w:sz w:val="16"/>
                            <w:szCs w:val="16"/>
                          </w:rPr>
                          <m:t>ϕ</m:t>
                        </m:r>
                      </m:e>
                      <m:sub>
                        <m:r>
                          <m:rPr>
                            <m:sty m:val="p"/>
                          </m:rPr>
                          <w:rPr>
                            <w:rFonts w:ascii="Cambria Math" w:hAnsi="Cambria Math"/>
                            <w:sz w:val="16"/>
                            <w:szCs w:val="16"/>
                          </w:rPr>
                          <m:t>0</m:t>
                        </m:r>
                      </m:sub>
                    </m:sSub>
                    <m:r>
                      <m:rPr>
                        <m:sty m:val="p"/>
                      </m:rPr>
                      <w:rPr>
                        <w:rFonts w:ascii="Cambria Math" w:hAnsi="Cambria Math"/>
                        <w:sz w:val="16"/>
                        <w:szCs w:val="16"/>
                      </w:rPr>
                      <m: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Σ</m:t>
                            </m:r>
                          </m:e>
                        </m:acc>
                      </m:e>
                      <m:sub>
                        <m:r>
                          <m:rPr>
                            <m:sty m:val="p"/>
                          </m:rPr>
                          <w:rPr>
                            <w:rFonts w:ascii="Cambria Math" w:hAnsi="Cambria Math"/>
                            <w:sz w:val="16"/>
                            <w:szCs w:val="16"/>
                          </w:rPr>
                          <m:t>f</m:t>
                        </m:r>
                      </m:sub>
                    </m:sSub>
                  </m:num>
                  <m:den>
                    <m:sSub>
                      <m:sSubPr>
                        <m:ctrlPr>
                          <w:rPr>
                            <w:rFonts w:ascii="Cambria Math" w:hAnsi="Cambria Math"/>
                            <w:iCs/>
                            <w:sz w:val="16"/>
                            <w:szCs w:val="16"/>
                          </w:rPr>
                        </m:ctrlPr>
                      </m:sSubPr>
                      <m:e>
                        <m:r>
                          <m:rPr>
                            <m:sty m:val="p"/>
                          </m:rPr>
                          <w:rPr>
                            <w:rFonts w:ascii="Cambria Math" w:hAnsi="Cambria Math"/>
                            <w:sz w:val="16"/>
                            <w:szCs w:val="16"/>
                          </w:rPr>
                          <m:t>λ</m:t>
                        </m:r>
                      </m:e>
                      <m:sub>
                        <m:r>
                          <m:rPr>
                            <m:sty m:val="p"/>
                          </m:rPr>
                          <w:rPr>
                            <w:rFonts w:ascii="Cambria Math" w:hAnsi="Cambria Math"/>
                            <w:sz w:val="16"/>
                            <w:szCs w:val="16"/>
                          </w:rPr>
                          <m:t>I</m:t>
                        </m:r>
                      </m:sub>
                    </m:sSub>
                  </m:den>
                </m:f>
              </m:oMath>
            </m:oMathPara>
          </w:p>
        </w:tc>
        <w:tc>
          <w:tcPr>
            <w:tcW w:w="4607" w:type="dxa"/>
          </w:tcPr>
          <w:p w14:paraId="18B23408" w14:textId="7369A472" w:rsidR="006D0E77" w:rsidRPr="00D35244" w:rsidRDefault="006D0E77" w:rsidP="006D0E77">
            <w:pPr>
              <w:pStyle w:val="Caption"/>
              <w:jc w:val="right"/>
              <w:rPr>
                <w:sz w:val="16"/>
                <w:szCs w:val="16"/>
              </w:rPr>
            </w:pPr>
            <w:bookmarkStart w:id="3" w:name="_Ref167710496"/>
            <w:r w:rsidRPr="00D35244">
              <w:rPr>
                <w:sz w:val="16"/>
                <w:szCs w:val="16"/>
              </w:rPr>
              <w:t>(</w:t>
            </w:r>
            <w:r w:rsidRPr="00D35244">
              <w:rPr>
                <w:sz w:val="16"/>
                <w:szCs w:val="16"/>
              </w:rPr>
              <w:fldChar w:fldCharType="begin"/>
            </w:r>
            <w:r w:rsidRPr="00D35244">
              <w:rPr>
                <w:sz w:val="16"/>
                <w:szCs w:val="16"/>
              </w:rPr>
              <w:instrText xml:space="preserve"> SEQ ( \* ARABIC </w:instrText>
            </w:r>
            <w:r w:rsidRPr="00D35244">
              <w:rPr>
                <w:sz w:val="16"/>
                <w:szCs w:val="16"/>
              </w:rPr>
              <w:fldChar w:fldCharType="separate"/>
            </w:r>
            <w:r w:rsidR="00FD41EB">
              <w:rPr>
                <w:noProof/>
                <w:sz w:val="16"/>
                <w:szCs w:val="16"/>
              </w:rPr>
              <w:t>4</w:t>
            </w:r>
            <w:r w:rsidRPr="00D35244">
              <w:rPr>
                <w:sz w:val="16"/>
                <w:szCs w:val="16"/>
              </w:rPr>
              <w:fldChar w:fldCharType="end"/>
            </w:r>
            <w:bookmarkEnd w:id="3"/>
            <w:r w:rsidRPr="00D35244">
              <w:rPr>
                <w:sz w:val="16"/>
                <w:szCs w:val="16"/>
              </w:rPr>
              <w:t>)</w:t>
            </w:r>
          </w:p>
          <w:p w14:paraId="277EBCC4" w14:textId="77777777" w:rsidR="006D0E77" w:rsidRPr="00D35244" w:rsidRDefault="006D0E77" w:rsidP="0066644F">
            <w:pPr>
              <w:pStyle w:val="BodyText"/>
              <w:ind w:firstLine="0"/>
              <w:rPr>
                <w:sz w:val="16"/>
                <w:szCs w:val="16"/>
              </w:rPr>
            </w:pPr>
          </w:p>
        </w:tc>
      </w:tr>
      <w:tr w:rsidR="006D0E77" w14:paraId="3DD7E71F" w14:textId="77777777" w:rsidTr="00342F42">
        <w:tc>
          <w:tcPr>
            <w:tcW w:w="4410" w:type="dxa"/>
          </w:tcPr>
          <w:p w14:paraId="13F53682" w14:textId="61452DA9" w:rsidR="006D0E77" w:rsidRPr="00D35244" w:rsidRDefault="006D0E77" w:rsidP="0066644F">
            <w:pPr>
              <w:pStyle w:val="BodyText"/>
              <w:ind w:firstLine="0"/>
              <w:rPr>
                <w:iCs/>
                <w:sz w:val="16"/>
                <w:szCs w:val="16"/>
              </w:rPr>
            </w:pPr>
            <m:oMathPara>
              <m:oMath>
                <m:r>
                  <w:rPr>
                    <w:rFonts w:ascii="Cambria Math" w:hAnsi="Cambria Math"/>
                    <w:sz w:val="16"/>
                    <w:szCs w:val="16"/>
                  </w:rPr>
                  <m:t xml:space="preserve">                </m:t>
                </m:r>
                <m:r>
                  <m:rPr>
                    <m:sty m:val="p"/>
                  </m:rPr>
                  <w:rPr>
                    <w:rFonts w:ascii="Cambria Math" w:hAnsi="Cambria Math"/>
                    <w:sz w:val="16"/>
                    <w:szCs w:val="16"/>
                  </w:rPr>
                  <m:t>X</m:t>
                </m:r>
                <m:sSub>
                  <m:sSubPr>
                    <m:ctrlPr>
                      <w:rPr>
                        <w:rFonts w:ascii="Cambria Math" w:hAnsi="Cambria Math"/>
                        <w:iCs/>
                        <w:sz w:val="16"/>
                        <w:szCs w:val="16"/>
                      </w:rPr>
                    </m:ctrlPr>
                  </m:sSubPr>
                  <m:e>
                    <m:r>
                      <m:rPr>
                        <m:sty m:val="p"/>
                      </m:rPr>
                      <w:rPr>
                        <w:rFonts w:ascii="Cambria Math" w:hAnsi="Cambria Math"/>
                        <w:sz w:val="16"/>
                        <w:szCs w:val="16"/>
                      </w:rPr>
                      <m:t>e</m:t>
                    </m:r>
                  </m:e>
                  <m:sub>
                    <m:r>
                      <m:rPr>
                        <m:sty m:val="p"/>
                      </m:rPr>
                      <w:rPr>
                        <w:rFonts w:ascii="Cambria Math" w:hAnsi="Cambria Math"/>
                        <w:sz w:val="16"/>
                        <w:szCs w:val="16"/>
                      </w:rPr>
                      <m:t>eq</m:t>
                    </m:r>
                  </m:sub>
                </m:sSub>
                <m:r>
                  <m:rPr>
                    <m:sty m:val="p"/>
                  </m:rPr>
                  <w:rPr>
                    <w:rFonts w:ascii="Cambria Math" w:hAnsi="Cambria Math"/>
                    <w:sz w:val="16"/>
                    <w:szCs w:val="16"/>
                  </w:rPr>
                  <m:t>=</m:t>
                </m:r>
                <m:f>
                  <m:fPr>
                    <m:ctrlPr>
                      <w:rPr>
                        <w:rFonts w:ascii="Cambria Math" w:hAnsi="Cambria Math"/>
                        <w:iCs/>
                        <w:sz w:val="16"/>
                        <w:szCs w:val="16"/>
                      </w:rPr>
                    </m:ctrlPr>
                  </m:fPr>
                  <m:num>
                    <m:sSub>
                      <m:sSubPr>
                        <m:ctrlPr>
                          <w:rPr>
                            <w:rFonts w:ascii="Cambria Math" w:hAnsi="Cambria Math"/>
                            <w:iCs/>
                            <w:sz w:val="16"/>
                            <w:szCs w:val="16"/>
                          </w:rPr>
                        </m:ctrlPr>
                      </m:sSubPr>
                      <m:e>
                        <m:r>
                          <m:rPr>
                            <m:sty m:val="p"/>
                          </m:rPr>
                          <w:rPr>
                            <w:rFonts w:ascii="Cambria Math" w:hAnsi="Cambria Math"/>
                            <w:sz w:val="16"/>
                            <w:szCs w:val="16"/>
                          </w:rPr>
                          <m:t>ϕ</m:t>
                        </m:r>
                      </m:e>
                      <m:sub>
                        <m:r>
                          <m:rPr>
                            <m:sty m:val="p"/>
                          </m:rPr>
                          <w:rPr>
                            <w:rFonts w:ascii="Cambria Math" w:hAnsi="Cambria Math"/>
                            <w:sz w:val="16"/>
                            <w:szCs w:val="16"/>
                          </w:rPr>
                          <m:t>0</m:t>
                        </m:r>
                      </m:sub>
                    </m:sSub>
                    <m:r>
                      <m:rPr>
                        <m:sty m:val="p"/>
                      </m:rPr>
                      <w:rPr>
                        <w:rFonts w:ascii="Cambria Math" w:hAnsi="Cambria Math"/>
                        <w:sz w:val="16"/>
                        <w:szCs w:val="16"/>
                      </w:rPr>
                      <m:t>⋅</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Σ</m:t>
                            </m:r>
                          </m:e>
                        </m:acc>
                      </m:e>
                      <m:sub>
                        <m:r>
                          <m:rPr>
                            <m:sty m:val="p"/>
                          </m:rPr>
                          <w:rPr>
                            <w:rFonts w:ascii="Cambria Math" w:hAnsi="Cambria Math"/>
                            <w:sz w:val="16"/>
                            <w:szCs w:val="16"/>
                          </w:rPr>
                          <m:t>f</m:t>
                        </m:r>
                      </m:sub>
                    </m:sSub>
                    <m:r>
                      <m:rPr>
                        <m:sty m:val="p"/>
                      </m:rPr>
                      <w:rPr>
                        <w:rFonts w:ascii="Cambria Math" w:hAnsi="Cambria Math"/>
                        <w:sz w:val="16"/>
                        <w:szCs w:val="16"/>
                      </w:rPr>
                      <m:t>⋅</m:t>
                    </m:r>
                    <m:d>
                      <m:dPr>
                        <m:ctrlPr>
                          <w:rPr>
                            <w:rFonts w:ascii="Cambria Math" w:hAnsi="Cambria Math"/>
                            <w:iCs/>
                            <w:sz w:val="16"/>
                            <w:szCs w:val="16"/>
                          </w:rPr>
                        </m:ctrlPr>
                      </m:dPr>
                      <m:e>
                        <m:sSub>
                          <m:sSubPr>
                            <m:ctrlPr>
                              <w:rPr>
                                <w:rFonts w:ascii="Cambria Math" w:hAnsi="Cambria Math"/>
                                <w:iCs/>
                                <w:sz w:val="16"/>
                                <w:szCs w:val="16"/>
                              </w:rPr>
                            </m:ctrlPr>
                          </m:sSubPr>
                          <m:e>
                            <m:r>
                              <m:rPr>
                                <m:sty m:val="p"/>
                              </m:rPr>
                              <w:rPr>
                                <w:rFonts w:ascii="Cambria Math" w:hAnsi="Cambria Math"/>
                                <w:sz w:val="16"/>
                                <w:szCs w:val="16"/>
                              </w:rPr>
                              <m:t>γ</m:t>
                            </m:r>
                          </m:e>
                          <m:sub>
                            <m:r>
                              <m:rPr>
                                <m:sty m:val="p"/>
                              </m:rPr>
                              <w:rPr>
                                <w:rFonts w:ascii="Cambria Math" w:hAnsi="Cambria Math"/>
                                <w:sz w:val="16"/>
                                <w:szCs w:val="16"/>
                              </w:rPr>
                              <m:t>I</m:t>
                            </m:r>
                          </m:sub>
                        </m:sSub>
                        <m:r>
                          <m:rPr>
                            <m:sty m:val="p"/>
                          </m:rPr>
                          <w:rPr>
                            <w:rFonts w:ascii="Cambria Math" w:hAnsi="Cambria Math"/>
                            <w:sz w:val="16"/>
                            <w:szCs w:val="16"/>
                          </w:rPr>
                          <m:t>+</m:t>
                        </m:r>
                        <m:sSub>
                          <m:sSubPr>
                            <m:ctrlPr>
                              <w:rPr>
                                <w:rFonts w:ascii="Cambria Math" w:hAnsi="Cambria Math"/>
                                <w:iCs/>
                                <w:sz w:val="16"/>
                                <w:szCs w:val="16"/>
                              </w:rPr>
                            </m:ctrlPr>
                          </m:sSubPr>
                          <m:e>
                            <m:r>
                              <m:rPr>
                                <m:sty m:val="p"/>
                              </m:rPr>
                              <w:rPr>
                                <w:rFonts w:ascii="Cambria Math" w:hAnsi="Cambria Math"/>
                                <w:sz w:val="16"/>
                                <w:szCs w:val="16"/>
                              </w:rPr>
                              <m:t>γ</m:t>
                            </m:r>
                          </m:e>
                          <m:sub>
                            <m:r>
                              <m:rPr>
                                <m:sty m:val="p"/>
                              </m:rPr>
                              <w:rPr>
                                <w:rFonts w:ascii="Cambria Math" w:hAnsi="Cambria Math"/>
                                <w:sz w:val="16"/>
                                <w:szCs w:val="16"/>
                              </w:rPr>
                              <m:t>Xe</m:t>
                            </m:r>
                          </m:sub>
                        </m:sSub>
                      </m:e>
                    </m:d>
                  </m:num>
                  <m:den>
                    <m:sSub>
                      <m:sSubPr>
                        <m:ctrlPr>
                          <w:rPr>
                            <w:rFonts w:ascii="Cambria Math" w:hAnsi="Cambria Math"/>
                            <w:iCs/>
                            <w:sz w:val="16"/>
                            <w:szCs w:val="16"/>
                          </w:rPr>
                        </m:ctrlPr>
                      </m:sSubPr>
                      <m:e>
                        <m:r>
                          <m:rPr>
                            <m:sty m:val="p"/>
                          </m:rPr>
                          <w:rPr>
                            <w:rFonts w:ascii="Cambria Math" w:hAnsi="Cambria Math"/>
                            <w:sz w:val="16"/>
                            <w:szCs w:val="16"/>
                          </w:rPr>
                          <m:t>λ</m:t>
                        </m:r>
                      </m:e>
                      <m:sub>
                        <m:r>
                          <m:rPr>
                            <m:sty m:val="p"/>
                          </m:rPr>
                          <w:rPr>
                            <w:rFonts w:ascii="Cambria Math" w:hAnsi="Cambria Math"/>
                            <w:sz w:val="16"/>
                            <w:szCs w:val="16"/>
                          </w:rPr>
                          <m:t>Xe</m:t>
                        </m:r>
                      </m:sub>
                    </m:sSub>
                    <m:r>
                      <m:rPr>
                        <m:sty m:val="p"/>
                      </m:rPr>
                      <w:rPr>
                        <w:rFonts w:ascii="Cambria Math" w:hAnsi="Cambria Math"/>
                        <w:sz w:val="16"/>
                        <w:szCs w:val="16"/>
                      </w:rPr>
                      <m:t>+</m:t>
                    </m:r>
                    <m:sSubSup>
                      <m:sSubSupPr>
                        <m:ctrlPr>
                          <w:rPr>
                            <w:rFonts w:ascii="Cambria Math" w:hAnsi="Cambria Math"/>
                            <w:iCs/>
                            <w:sz w:val="16"/>
                            <w:szCs w:val="16"/>
                          </w:rPr>
                        </m:ctrlPr>
                      </m:sSubSupPr>
                      <m:e>
                        <m:r>
                          <m:rPr>
                            <m:sty m:val="p"/>
                          </m:rPr>
                          <w:rPr>
                            <w:rFonts w:ascii="Cambria Math" w:hAnsi="Cambria Math"/>
                            <w:sz w:val="16"/>
                            <w:szCs w:val="16"/>
                          </w:rPr>
                          <m:t>σ</m:t>
                        </m:r>
                      </m:e>
                      <m:sub>
                        <m:r>
                          <m:rPr>
                            <m:sty m:val="p"/>
                          </m:rPr>
                          <w:rPr>
                            <w:rFonts w:ascii="Cambria Math" w:hAnsi="Cambria Math"/>
                            <w:sz w:val="16"/>
                            <w:szCs w:val="16"/>
                          </w:rPr>
                          <m:t>abs</m:t>
                        </m:r>
                      </m:sub>
                      <m:sup>
                        <m:r>
                          <m:rPr>
                            <m:sty m:val="p"/>
                          </m:rPr>
                          <w:rPr>
                            <w:rFonts w:ascii="Cambria Math" w:hAnsi="Cambria Math"/>
                            <w:sz w:val="16"/>
                            <w:szCs w:val="16"/>
                          </w:rPr>
                          <m:t>Xe</m:t>
                        </m:r>
                      </m:sup>
                    </m:sSubSup>
                    <m:r>
                      <m:rPr>
                        <m:sty m:val="p"/>
                      </m:rPr>
                      <w:rPr>
                        <w:rFonts w:ascii="Cambria Math" w:hAnsi="Cambria Math"/>
                        <w:sz w:val="16"/>
                        <w:szCs w:val="16"/>
                      </w:rPr>
                      <m:t>⋅</m:t>
                    </m:r>
                    <m:sSub>
                      <m:sSubPr>
                        <m:ctrlPr>
                          <w:rPr>
                            <w:rFonts w:ascii="Cambria Math" w:hAnsi="Cambria Math"/>
                            <w:iCs/>
                            <w:sz w:val="16"/>
                            <w:szCs w:val="16"/>
                          </w:rPr>
                        </m:ctrlPr>
                      </m:sSubPr>
                      <m:e>
                        <m:r>
                          <m:rPr>
                            <m:sty m:val="p"/>
                          </m:rPr>
                          <w:rPr>
                            <w:rFonts w:ascii="Cambria Math" w:hAnsi="Cambria Math"/>
                            <w:sz w:val="16"/>
                            <w:szCs w:val="16"/>
                          </w:rPr>
                          <m:t>ϕ</m:t>
                        </m:r>
                      </m:e>
                      <m:sub>
                        <m:r>
                          <m:rPr>
                            <m:sty m:val="p"/>
                          </m:rPr>
                          <w:rPr>
                            <w:rFonts w:ascii="Cambria Math" w:hAnsi="Cambria Math"/>
                            <w:sz w:val="16"/>
                            <w:szCs w:val="16"/>
                          </w:rPr>
                          <m:t>0</m:t>
                        </m:r>
                      </m:sub>
                    </m:sSub>
                  </m:den>
                </m:f>
              </m:oMath>
            </m:oMathPara>
          </w:p>
        </w:tc>
        <w:tc>
          <w:tcPr>
            <w:tcW w:w="4607" w:type="dxa"/>
          </w:tcPr>
          <w:p w14:paraId="4138DF36" w14:textId="3EC4BCC8" w:rsidR="006D0E77" w:rsidRPr="00D35244" w:rsidRDefault="006D0E77" w:rsidP="006D0E77">
            <w:pPr>
              <w:pStyle w:val="Caption"/>
              <w:jc w:val="right"/>
              <w:rPr>
                <w:sz w:val="16"/>
                <w:szCs w:val="16"/>
              </w:rPr>
            </w:pPr>
            <w:bookmarkStart w:id="4" w:name="_Ref167710611"/>
            <w:bookmarkStart w:id="5" w:name="_Ref167713865"/>
            <w:r w:rsidRPr="00D35244">
              <w:rPr>
                <w:sz w:val="16"/>
                <w:szCs w:val="16"/>
              </w:rPr>
              <w:t>(</w:t>
            </w:r>
            <w:r w:rsidRPr="00D35244">
              <w:rPr>
                <w:sz w:val="16"/>
                <w:szCs w:val="16"/>
              </w:rPr>
              <w:fldChar w:fldCharType="begin"/>
            </w:r>
            <w:r w:rsidRPr="00D35244">
              <w:rPr>
                <w:sz w:val="16"/>
                <w:szCs w:val="16"/>
              </w:rPr>
              <w:instrText xml:space="preserve"> SEQ ( \* ARABIC </w:instrText>
            </w:r>
            <w:r w:rsidRPr="00D35244">
              <w:rPr>
                <w:sz w:val="16"/>
                <w:szCs w:val="16"/>
              </w:rPr>
              <w:fldChar w:fldCharType="separate"/>
            </w:r>
            <w:r w:rsidR="00FD41EB">
              <w:rPr>
                <w:noProof/>
                <w:sz w:val="16"/>
                <w:szCs w:val="16"/>
              </w:rPr>
              <w:t>5</w:t>
            </w:r>
            <w:r w:rsidRPr="00D35244">
              <w:rPr>
                <w:sz w:val="16"/>
                <w:szCs w:val="16"/>
              </w:rPr>
              <w:fldChar w:fldCharType="end"/>
            </w:r>
            <w:bookmarkEnd w:id="4"/>
            <w:r w:rsidRPr="00D35244">
              <w:rPr>
                <w:sz w:val="16"/>
                <w:szCs w:val="16"/>
              </w:rPr>
              <w:t>)</w:t>
            </w:r>
            <w:bookmarkEnd w:id="5"/>
          </w:p>
        </w:tc>
      </w:tr>
      <w:tr w:rsidR="00810FC5" w14:paraId="1E9243AE" w14:textId="77777777" w:rsidTr="00342F42">
        <w:tc>
          <w:tcPr>
            <w:tcW w:w="4410" w:type="dxa"/>
          </w:tcPr>
          <w:p w14:paraId="679D0417" w14:textId="6E4D4218" w:rsidR="00810FC5" w:rsidRPr="00D35244" w:rsidRDefault="00000000" w:rsidP="00211273">
            <w:pPr>
              <w:pStyle w:val="BodyText"/>
              <w:rPr>
                <w:iCs/>
                <w:sz w:val="16"/>
                <w:szCs w:val="16"/>
              </w:rPr>
            </w:pPr>
            <m:oMathPara>
              <m:oMath>
                <m:sSub>
                  <m:sSubPr>
                    <m:ctrlPr>
                      <w:rPr>
                        <w:rFonts w:ascii="Cambria Math" w:hAnsi="Cambria Math"/>
                        <w:iCs/>
                        <w:sz w:val="16"/>
                        <w:szCs w:val="16"/>
                      </w:rPr>
                    </m:ctrlPr>
                  </m:sSubPr>
                  <m:e>
                    <m:r>
                      <m:rPr>
                        <m:sty m:val="p"/>
                      </m:rPr>
                      <w:rPr>
                        <w:rFonts w:ascii="Cambria Math" w:hAnsi="Cambria Math"/>
                        <w:sz w:val="16"/>
                        <w:szCs w:val="16"/>
                      </w:rPr>
                      <m:t xml:space="preserve">                  ρ</m:t>
                    </m:r>
                  </m:e>
                  <m:sub>
                    <m:r>
                      <m:rPr>
                        <m:sty m:val="p"/>
                      </m:rPr>
                      <w:rPr>
                        <w:rFonts w:ascii="Cambria Math" w:hAnsi="Cambria Math"/>
                        <w:sz w:val="16"/>
                        <w:szCs w:val="16"/>
                      </w:rPr>
                      <m:t>Xe</m:t>
                    </m:r>
                  </m:sub>
                </m:sSub>
                <m:r>
                  <m:rPr>
                    <m:sty m:val="p"/>
                  </m:rPr>
                  <w:rPr>
                    <w:rFonts w:ascii="Cambria Math" w:hAnsi="Cambria Math"/>
                    <w:sz w:val="16"/>
                    <w:szCs w:val="16"/>
                  </w:rPr>
                  <m:t>(t)≅</m:t>
                </m:r>
                <m:f>
                  <m:fPr>
                    <m:ctrlPr>
                      <w:rPr>
                        <w:rFonts w:ascii="Cambria Math" w:hAnsi="Cambria Math"/>
                        <w:iCs/>
                        <w:sz w:val="16"/>
                        <w:szCs w:val="16"/>
                      </w:rPr>
                    </m:ctrlPr>
                  </m:fPr>
                  <m:num>
                    <m:sSubSup>
                      <m:sSubSupPr>
                        <m:ctrlPr>
                          <w:rPr>
                            <w:rFonts w:ascii="Cambria Math" w:hAnsi="Cambria Math"/>
                            <w:iCs/>
                            <w:sz w:val="16"/>
                            <w:szCs w:val="16"/>
                          </w:rPr>
                        </m:ctrlPr>
                      </m:sSubSupPr>
                      <m:e>
                        <m:r>
                          <m:rPr>
                            <m:sty m:val="p"/>
                          </m:rPr>
                          <w:rPr>
                            <w:rFonts w:ascii="Cambria Math" w:hAnsi="Cambria Math"/>
                            <w:sz w:val="16"/>
                            <w:szCs w:val="16"/>
                          </w:rPr>
                          <m:t>σ</m:t>
                        </m:r>
                      </m:e>
                      <m:sub>
                        <m:r>
                          <m:rPr>
                            <m:sty m:val="p"/>
                          </m:rPr>
                          <w:rPr>
                            <w:rFonts w:ascii="Cambria Math" w:hAnsi="Cambria Math"/>
                            <w:sz w:val="16"/>
                            <w:szCs w:val="16"/>
                          </w:rPr>
                          <m:t>abs</m:t>
                        </m:r>
                      </m:sub>
                      <m:sup>
                        <m:r>
                          <m:rPr>
                            <m:sty m:val="p"/>
                          </m:rPr>
                          <w:rPr>
                            <w:rFonts w:ascii="Cambria Math" w:hAnsi="Cambria Math"/>
                            <w:sz w:val="16"/>
                            <w:szCs w:val="16"/>
                          </w:rPr>
                          <m:t>Xe</m:t>
                        </m:r>
                      </m:sup>
                    </m:sSubSup>
                    <m:r>
                      <m:rPr>
                        <m:sty m:val="p"/>
                      </m:rPr>
                      <w:rPr>
                        <w:rFonts w:ascii="Cambria Math" w:hAnsi="Cambria Math"/>
                        <w:sz w:val="16"/>
                        <w:szCs w:val="16"/>
                      </w:rPr>
                      <m:t>⋅Xe(t)</m:t>
                    </m:r>
                  </m:num>
                  <m:den>
                    <m:r>
                      <m:rPr>
                        <m:sty m:val="p"/>
                      </m:rPr>
                      <w:rPr>
                        <w:rFonts w:ascii="Cambria Math" w:hAnsi="Cambria Math"/>
                        <w:sz w:val="16"/>
                        <w:szCs w:val="16"/>
                      </w:rPr>
                      <m:t>v</m:t>
                    </m:r>
                    <m:sSub>
                      <m:sSubPr>
                        <m:ctrlPr>
                          <w:rPr>
                            <w:rFonts w:ascii="Cambria Math" w:hAnsi="Cambria Math"/>
                            <w:iCs/>
                            <w:sz w:val="16"/>
                            <w:szCs w:val="16"/>
                          </w:rPr>
                        </m:ctrlPr>
                      </m:sSubPr>
                      <m:e>
                        <m:acc>
                          <m:accPr>
                            <m:chr m:val="̅"/>
                            <m:ctrlPr>
                              <w:rPr>
                                <w:rFonts w:ascii="Cambria Math" w:hAnsi="Cambria Math"/>
                                <w:iCs/>
                                <w:sz w:val="16"/>
                                <w:szCs w:val="16"/>
                              </w:rPr>
                            </m:ctrlPr>
                          </m:accPr>
                          <m:e>
                            <m:r>
                              <m:rPr>
                                <m:sty m:val="p"/>
                              </m:rPr>
                              <w:rPr>
                                <w:rFonts w:ascii="Cambria Math" w:hAnsi="Cambria Math"/>
                                <w:sz w:val="16"/>
                                <w:szCs w:val="16"/>
                              </w:rPr>
                              <m:t>Σ</m:t>
                            </m:r>
                          </m:e>
                        </m:acc>
                      </m:e>
                      <m:sub>
                        <m:r>
                          <m:rPr>
                            <m:sty m:val="p"/>
                          </m:rPr>
                          <w:rPr>
                            <w:rFonts w:ascii="Cambria Math" w:hAnsi="Cambria Math"/>
                            <w:sz w:val="16"/>
                            <w:szCs w:val="16"/>
                          </w:rPr>
                          <m:t>f</m:t>
                        </m:r>
                      </m:sub>
                    </m:sSub>
                  </m:den>
                </m:f>
                <m:r>
                  <m:rPr>
                    <m:sty m:val="p"/>
                  </m:rPr>
                  <w:rPr>
                    <w:rFonts w:ascii="Cambria Math" w:hAnsi="Cambria Math"/>
                    <w:sz w:val="16"/>
                    <w:szCs w:val="16"/>
                  </w:rPr>
                  <m:t>×</m:t>
                </m:r>
                <m:sSup>
                  <m:sSupPr>
                    <m:ctrlPr>
                      <w:rPr>
                        <w:rFonts w:ascii="Cambria Math" w:hAnsi="Cambria Math"/>
                        <w:iCs/>
                        <w:sz w:val="16"/>
                        <w:szCs w:val="16"/>
                      </w:rPr>
                    </m:ctrlPr>
                  </m:sSupPr>
                  <m:e>
                    <m:r>
                      <m:rPr>
                        <m:sty m:val="p"/>
                      </m:rPr>
                      <w:rPr>
                        <w:rFonts w:ascii="Cambria Math" w:hAnsi="Cambria Math"/>
                        <w:sz w:val="16"/>
                        <w:szCs w:val="16"/>
                      </w:rPr>
                      <m:t>10</m:t>
                    </m:r>
                  </m:e>
                  <m:sup>
                    <m:r>
                      <m:rPr>
                        <m:sty m:val="p"/>
                      </m:rPr>
                      <w:rPr>
                        <w:rFonts w:ascii="Cambria Math" w:hAnsi="Cambria Math"/>
                        <w:sz w:val="16"/>
                        <w:szCs w:val="16"/>
                      </w:rPr>
                      <m:t>5</m:t>
                    </m:r>
                  </m:sup>
                </m:sSup>
              </m:oMath>
            </m:oMathPara>
          </w:p>
        </w:tc>
        <w:tc>
          <w:tcPr>
            <w:tcW w:w="4607" w:type="dxa"/>
          </w:tcPr>
          <w:p w14:paraId="50E36320" w14:textId="621E0D8E" w:rsidR="00810FC5" w:rsidRPr="00D35244" w:rsidRDefault="00810FC5" w:rsidP="00810FC5">
            <w:pPr>
              <w:pStyle w:val="Caption"/>
              <w:jc w:val="right"/>
              <w:rPr>
                <w:sz w:val="16"/>
                <w:szCs w:val="16"/>
              </w:rPr>
            </w:pPr>
            <w:bookmarkStart w:id="6" w:name="_Ref167713552"/>
            <w:r w:rsidRPr="00D35244">
              <w:rPr>
                <w:sz w:val="16"/>
                <w:szCs w:val="16"/>
              </w:rPr>
              <w:t>(</w:t>
            </w:r>
            <w:r w:rsidRPr="00D35244">
              <w:rPr>
                <w:sz w:val="16"/>
                <w:szCs w:val="16"/>
              </w:rPr>
              <w:fldChar w:fldCharType="begin"/>
            </w:r>
            <w:r w:rsidRPr="00D35244">
              <w:rPr>
                <w:sz w:val="16"/>
                <w:szCs w:val="16"/>
              </w:rPr>
              <w:instrText xml:space="preserve"> SEQ ( \* ARABIC </w:instrText>
            </w:r>
            <w:r w:rsidRPr="00D35244">
              <w:rPr>
                <w:sz w:val="16"/>
                <w:szCs w:val="16"/>
              </w:rPr>
              <w:fldChar w:fldCharType="separate"/>
            </w:r>
            <w:r w:rsidR="00FD41EB">
              <w:rPr>
                <w:noProof/>
                <w:sz w:val="16"/>
                <w:szCs w:val="16"/>
              </w:rPr>
              <w:t>6</w:t>
            </w:r>
            <w:r w:rsidRPr="00D35244">
              <w:rPr>
                <w:sz w:val="16"/>
                <w:szCs w:val="16"/>
              </w:rPr>
              <w:fldChar w:fldCharType="end"/>
            </w:r>
            <w:bookmarkEnd w:id="6"/>
            <w:r w:rsidRPr="00D35244">
              <w:rPr>
                <w:sz w:val="16"/>
                <w:szCs w:val="16"/>
              </w:rPr>
              <w:t>)</w:t>
            </w:r>
          </w:p>
          <w:p w14:paraId="0DB2C73E" w14:textId="77777777" w:rsidR="00810FC5" w:rsidRPr="00D35244" w:rsidRDefault="00810FC5" w:rsidP="00810FC5">
            <w:pPr>
              <w:pStyle w:val="Caption"/>
              <w:keepNext/>
              <w:jc w:val="right"/>
              <w:rPr>
                <w:sz w:val="16"/>
                <w:szCs w:val="16"/>
              </w:rPr>
            </w:pPr>
          </w:p>
        </w:tc>
      </w:tr>
    </w:tbl>
    <w:p w14:paraId="4270ECC6" w14:textId="4DE34C86" w:rsidR="00AC64C9" w:rsidRDefault="00B43866" w:rsidP="008E7490">
      <w:pPr>
        <w:pStyle w:val="BodyText"/>
        <w:ind w:firstLine="360"/>
      </w:pPr>
      <w:r>
        <w:lastRenderedPageBreak/>
        <w:t xml:space="preserve">To </w:t>
      </w:r>
      <w:r w:rsidR="00FA36DF">
        <w:t>derive</w:t>
      </w:r>
      <w:r>
        <w:t xml:space="preserve"> an operational space within which the reactors can operate flexibly</w:t>
      </w:r>
      <w:r w:rsidR="00EC549D">
        <w:t xml:space="preserve">, a careful accounting </w:t>
      </w:r>
      <w:r w:rsidR="00FF5314">
        <w:t>of the</w:t>
      </w:r>
      <w:r w:rsidR="00EC549D">
        <w:t xml:space="preserve"> </w:t>
      </w:r>
      <w:r w:rsidR="00EC549D" w:rsidRPr="00790750">
        <w:rPr>
          <w:i/>
          <w:iCs/>
        </w:rPr>
        <w:t>Xenon defect</w:t>
      </w:r>
      <w:r>
        <w:t xml:space="preserve"> </w:t>
      </w:r>
      <w:r w:rsidR="003D2FF9">
        <w:t xml:space="preserve">(due to Xenon poisoning) </w:t>
      </w:r>
      <w:r>
        <w:t>alongside the available reactivity margin</w:t>
      </w:r>
      <w:r w:rsidR="00071859">
        <w:t xml:space="preserve"> (explained in </w:t>
      </w:r>
      <w:r w:rsidR="00EC61FA">
        <w:t>Section.</w:t>
      </w:r>
      <w:r w:rsidR="00F62A31">
        <w:t xml:space="preserve"> </w:t>
      </w:r>
      <w:r w:rsidR="00F62A31">
        <w:fldChar w:fldCharType="begin"/>
      </w:r>
      <w:r w:rsidR="00F62A31">
        <w:instrText xml:space="preserve"> REF _Ref167713701 \r \h </w:instrText>
      </w:r>
      <w:r w:rsidR="00F62A31">
        <w:fldChar w:fldCharType="separate"/>
      </w:r>
      <w:r w:rsidR="00FD41EB">
        <w:t>2.2</w:t>
      </w:r>
      <w:r w:rsidR="00F62A31">
        <w:fldChar w:fldCharType="end"/>
      </w:r>
      <w:r w:rsidR="00071859">
        <w:t>)</w:t>
      </w:r>
      <w:r>
        <w:t xml:space="preserve"> is </w:t>
      </w:r>
      <w:r w:rsidR="00FA36DF">
        <w:t>necessary</w:t>
      </w:r>
      <w:r>
        <w:t>. To that end</w:t>
      </w:r>
      <w:r w:rsidR="00EC549D">
        <w:t xml:space="preserve">, </w:t>
      </w:r>
      <w:r w:rsidR="0066606C">
        <w:t xml:space="preserve">starting from these equilibrium values, </w:t>
      </w:r>
      <w:r w:rsidR="00EC549D">
        <w:t>several ramping scenarios were</w:t>
      </w:r>
      <w:r>
        <w:t xml:space="preserve"> simulated</w:t>
      </w:r>
      <w:r w:rsidR="0066606C">
        <w:t xml:space="preserve"> for different P(t) trajectories, </w:t>
      </w:r>
      <w:r>
        <w:t xml:space="preserve">to observe the </w:t>
      </w:r>
      <w:r w:rsidRPr="00FD6860">
        <w:rPr>
          <w:i/>
          <w:iCs/>
        </w:rPr>
        <w:t>Xenon defect</w:t>
      </w:r>
      <w:r>
        <w:t xml:space="preserve"> evolution</w:t>
      </w:r>
      <w:r w:rsidR="0066606C">
        <w:t xml:space="preserve">.  A </w:t>
      </w:r>
      <w:r w:rsidR="0097144B">
        <w:t xml:space="preserve">few </w:t>
      </w:r>
      <w:r w:rsidR="0066606C">
        <w:t xml:space="preserve">representative </w:t>
      </w:r>
      <w:r w:rsidR="00C32A13">
        <w:t>scenarios</w:t>
      </w:r>
      <w:r w:rsidR="0097144B">
        <w:t xml:space="preserve"> shown in </w:t>
      </w:r>
      <w:r w:rsidR="00AB5B0D" w:rsidRPr="00AB5B0D">
        <w:fldChar w:fldCharType="begin"/>
      </w:r>
      <w:r w:rsidR="00AB5B0D" w:rsidRPr="00AB5B0D">
        <w:instrText xml:space="preserve"> REF _Ref167714156 \h  \* MERGEFORMAT </w:instrText>
      </w:r>
      <w:r w:rsidR="00AB5B0D" w:rsidRPr="00AB5B0D">
        <w:fldChar w:fldCharType="separate"/>
      </w:r>
      <w:r w:rsidR="00FD41EB" w:rsidRPr="00FD41EB">
        <w:t xml:space="preserve">Figure </w:t>
      </w:r>
      <w:r w:rsidR="00FD41EB" w:rsidRPr="00FD41EB">
        <w:rPr>
          <w:noProof/>
        </w:rPr>
        <w:t>2</w:t>
      </w:r>
      <w:r w:rsidR="00AB5B0D" w:rsidRPr="00AB5B0D">
        <w:fldChar w:fldCharType="end"/>
      </w:r>
      <w:r w:rsidR="00AB5B0D" w:rsidRPr="00AB5B0D">
        <w:t>)</w:t>
      </w:r>
      <w:r w:rsidRPr="00AB5B0D">
        <w:t>.</w:t>
      </w:r>
      <w:r w:rsidR="00071859">
        <w:t xml:space="preserve"> </w:t>
      </w:r>
      <w:r w:rsidR="00F37182">
        <w:t>The p</w:t>
      </w:r>
      <w:r w:rsidR="00FA36DF">
        <w:t>rimary</w:t>
      </w:r>
      <w:r w:rsidR="00E02C99">
        <w:t xml:space="preserve"> conclusions drawn f</w:t>
      </w:r>
      <w:r w:rsidR="00071859">
        <w:t>rom</w:t>
      </w:r>
      <w:r w:rsidR="00E02C99">
        <w:t xml:space="preserve"> </w:t>
      </w:r>
      <w:r w:rsidR="0066606C">
        <w:t xml:space="preserve">these solutions </w:t>
      </w:r>
      <w:r w:rsidR="003D69C9">
        <w:t>are</w:t>
      </w:r>
      <w:r w:rsidR="00E02C99">
        <w:t>:</w:t>
      </w:r>
    </w:p>
    <w:p w14:paraId="7DF70B22" w14:textId="01EB48E0" w:rsidR="005471C8" w:rsidRDefault="005471C8" w:rsidP="00BF4B99">
      <w:pPr>
        <w:pStyle w:val="BodyText"/>
        <w:numPr>
          <w:ilvl w:val="0"/>
          <w:numId w:val="33"/>
        </w:numPr>
      </w:pPr>
      <w:r>
        <w:t>Xe</w:t>
      </w:r>
      <w:r w:rsidR="00CA01D3">
        <w:t>-135</w:t>
      </w:r>
      <w:r>
        <w:t xml:space="preserve"> concentration decreases initially during </w:t>
      </w:r>
      <w:r w:rsidR="00EC549D">
        <w:t>ramp-up</w:t>
      </w:r>
      <w:r>
        <w:t xml:space="preserve"> and then increases to equilibrium concentration at that </w:t>
      </w:r>
      <w:r w:rsidR="00D50D24">
        <w:t>flux level computed using Equation.</w:t>
      </w:r>
      <w:r w:rsidR="00BB3320">
        <w:t xml:space="preserve"> </w:t>
      </w:r>
      <w:r w:rsidR="00D50D24">
        <w:fldChar w:fldCharType="begin"/>
      </w:r>
      <w:r w:rsidR="00D50D24">
        <w:instrText xml:space="preserve"> REF _Ref167713865 \h </w:instrText>
      </w:r>
      <w:r w:rsidR="00D50D24">
        <w:fldChar w:fldCharType="separate"/>
      </w:r>
      <w:r w:rsidR="00FD41EB" w:rsidRPr="00D35244">
        <w:rPr>
          <w:sz w:val="16"/>
          <w:szCs w:val="16"/>
        </w:rPr>
        <w:t>(</w:t>
      </w:r>
      <w:r w:rsidR="00FD41EB">
        <w:rPr>
          <w:noProof/>
          <w:sz w:val="16"/>
          <w:szCs w:val="16"/>
        </w:rPr>
        <w:t>5</w:t>
      </w:r>
      <w:r w:rsidR="00FD41EB" w:rsidRPr="00D35244">
        <w:rPr>
          <w:sz w:val="16"/>
          <w:szCs w:val="16"/>
        </w:rPr>
        <w:t>)</w:t>
      </w:r>
      <w:r w:rsidR="00D50D24">
        <w:fldChar w:fldCharType="end"/>
      </w:r>
      <w:r w:rsidR="00071859">
        <w:t>.</w:t>
      </w:r>
    </w:p>
    <w:p w14:paraId="3CAF483C" w14:textId="1ED5D21B" w:rsidR="00275F72" w:rsidRDefault="00275F72" w:rsidP="00275F72">
      <w:pPr>
        <w:pStyle w:val="BodyText"/>
        <w:numPr>
          <w:ilvl w:val="0"/>
          <w:numId w:val="33"/>
        </w:numPr>
      </w:pPr>
      <w:r>
        <w:t xml:space="preserve">Xe-135 concentration increases during ramp-down and then decreases to equilibrium concentration at that flux level computed using Equation. </w:t>
      </w:r>
      <w:r>
        <w:fldChar w:fldCharType="begin"/>
      </w:r>
      <w:r>
        <w:instrText xml:space="preserve"> REF _Ref167713865 \h </w:instrText>
      </w:r>
      <w:r>
        <w:fldChar w:fldCharType="separate"/>
      </w:r>
      <w:r w:rsidR="00FD41EB" w:rsidRPr="00D35244">
        <w:rPr>
          <w:sz w:val="16"/>
          <w:szCs w:val="16"/>
        </w:rPr>
        <w:t>(</w:t>
      </w:r>
      <w:r w:rsidR="00FD41EB">
        <w:rPr>
          <w:noProof/>
          <w:sz w:val="16"/>
          <w:szCs w:val="16"/>
        </w:rPr>
        <w:t>5</w:t>
      </w:r>
      <w:r w:rsidR="00FD41EB" w:rsidRPr="00D35244">
        <w:rPr>
          <w:sz w:val="16"/>
          <w:szCs w:val="16"/>
        </w:rPr>
        <w:t>)</w:t>
      </w:r>
      <w:r>
        <w:fldChar w:fldCharType="end"/>
      </w:r>
      <w:r>
        <w:t>.</w:t>
      </w:r>
    </w:p>
    <w:p w14:paraId="250F171A" w14:textId="7EE24E25" w:rsidR="00BF4B99" w:rsidRDefault="00076230" w:rsidP="00BF4B99">
      <w:pPr>
        <w:pStyle w:val="BodyText"/>
        <w:numPr>
          <w:ilvl w:val="0"/>
          <w:numId w:val="33"/>
        </w:numPr>
      </w:pPr>
      <w:r>
        <w:t>The</w:t>
      </w:r>
      <w:r w:rsidR="00CB3B08">
        <w:t xml:space="preserve"> peak</w:t>
      </w:r>
      <w:r>
        <w:t xml:space="preserve"> Xe</w:t>
      </w:r>
      <w:r w:rsidR="00CA01D3">
        <w:t>-135</w:t>
      </w:r>
      <w:r>
        <w:t xml:space="preserve"> concentration depends on the power level from which the ramp-down </w:t>
      </w:r>
      <w:r w:rsidR="007734E2">
        <w:t>starts,</w:t>
      </w:r>
      <w:r>
        <w:t xml:space="preserve"> the higher the power level, the </w:t>
      </w:r>
      <w:r w:rsidR="001959B8">
        <w:t>higher the Xe</w:t>
      </w:r>
      <w:r w:rsidR="00CA01D3">
        <w:t>-135</w:t>
      </w:r>
      <w:r w:rsidR="00CB3B08">
        <w:t xml:space="preserve"> peak</w:t>
      </w:r>
      <w:r w:rsidR="001959B8">
        <w:t xml:space="preserve"> </w:t>
      </w:r>
      <w:r w:rsidR="00071859">
        <w:t>concentration</w:t>
      </w:r>
      <w:r w:rsidR="001959B8">
        <w:t>.</w:t>
      </w:r>
    </w:p>
    <w:p w14:paraId="52AA0E58" w14:textId="41CC4095" w:rsidR="001959B8" w:rsidRDefault="00A00806" w:rsidP="001959B8">
      <w:pPr>
        <w:pStyle w:val="BodyText"/>
        <w:numPr>
          <w:ilvl w:val="0"/>
          <w:numId w:val="33"/>
        </w:numPr>
      </w:pPr>
      <w:r>
        <w:t xml:space="preserve">Peak </w:t>
      </w:r>
      <w:r w:rsidR="001959B8">
        <w:t>Xe</w:t>
      </w:r>
      <w:r w:rsidR="00CB3B08">
        <w:t>-135</w:t>
      </w:r>
      <w:r w:rsidR="001959B8">
        <w:t xml:space="preserve"> concentration depends on the depth of the </w:t>
      </w:r>
      <w:r w:rsidR="00076230">
        <w:t>ramp-down</w:t>
      </w:r>
      <w:r w:rsidR="001959B8">
        <w:t xml:space="preserve"> </w:t>
      </w:r>
      <w:r w:rsidR="00CB3B08">
        <w:t>scenario</w:t>
      </w:r>
      <w:r w:rsidR="00071859">
        <w:t>.</w:t>
      </w:r>
    </w:p>
    <w:p w14:paraId="2165F763" w14:textId="04A2D1C0" w:rsidR="009634B9" w:rsidRDefault="00CB3B08" w:rsidP="00FE0019">
      <w:pPr>
        <w:pStyle w:val="BodyText"/>
        <w:numPr>
          <w:ilvl w:val="0"/>
          <w:numId w:val="33"/>
        </w:numPr>
      </w:pPr>
      <w:r>
        <w:t xml:space="preserve">Peak </w:t>
      </w:r>
      <w:r w:rsidR="00E02C99">
        <w:t>Xe</w:t>
      </w:r>
      <w:r>
        <w:t>-135</w:t>
      </w:r>
      <w:r w:rsidR="00E02C99">
        <w:t xml:space="preserve"> concentration and subsequent </w:t>
      </w:r>
      <w:r w:rsidR="00E02C99" w:rsidRPr="00CB3B08">
        <w:rPr>
          <w:i/>
          <w:iCs/>
        </w:rPr>
        <w:t>Xenon defect</w:t>
      </w:r>
      <w:r w:rsidR="00E02C99">
        <w:t xml:space="preserve"> </w:t>
      </w:r>
      <w:r w:rsidR="00076230">
        <w:t>are</w:t>
      </w:r>
      <w:r w:rsidR="00E02C99">
        <w:t xml:space="preserve"> higher for higher ramp </w:t>
      </w:r>
      <w:r w:rsidR="00071859">
        <w:t>rates.</w:t>
      </w:r>
    </w:p>
    <w:bookmarkStart w:id="7" w:name="_Ref167713701"/>
    <w:p w14:paraId="0D958BCD" w14:textId="77777777" w:rsidR="00AF5C53" w:rsidRDefault="00000000" w:rsidP="00B83BB4">
      <w:pPr>
        <w:pStyle w:val="Heading3"/>
      </w:pPr>
      <m:oMath>
        <m:sSub>
          <m:sSubPr>
            <m:ctrlPr>
              <w:rPr>
                <w:rFonts w:ascii="Cambria Math" w:hAnsi="Cambria Math"/>
                <w:i/>
              </w:rPr>
            </m:ctrlPr>
          </m:sSubPr>
          <m:e>
            <m:r>
              <m:rPr>
                <m:sty m:val="bi"/>
              </m:rPr>
              <w:rPr>
                <w:rFonts w:ascii="Cambria Math" w:hAnsi="Cambria Math"/>
              </w:rPr>
              <m:t>k</m:t>
            </m:r>
          </m:e>
          <m:sub>
            <m:r>
              <m:rPr>
                <m:sty m:val="bi"/>
              </m:rPr>
              <w:rPr>
                <w:rFonts w:ascii="Cambria Math" w:hAnsi="Cambria Math"/>
              </w:rPr>
              <m:t>eff</m:t>
            </m:r>
          </m:sub>
        </m:sSub>
      </m:oMath>
      <w:r w:rsidR="00B83BB4">
        <w:t xml:space="preserve"> degradation</w:t>
      </w:r>
      <w:bookmarkEnd w:id="7"/>
    </w:p>
    <w:p w14:paraId="12C82F3F" w14:textId="23FB82BB" w:rsidR="00ED0DA0" w:rsidRPr="00712316" w:rsidRDefault="0066606C" w:rsidP="00063EF4">
      <w:pPr>
        <w:pStyle w:val="BodyText"/>
      </w:pPr>
      <w:r>
        <w:t>The</w:t>
      </w:r>
      <w:r w:rsidR="00B76152">
        <w:t xml:space="preserve"> extent of operational flexibility </w:t>
      </w:r>
      <w:r w:rsidR="00B640A3">
        <w:t xml:space="preserve">achievable </w:t>
      </w:r>
      <w:r w:rsidR="00B76152">
        <w:t>within the reactor is determined by the reactivity margin available to</w:t>
      </w:r>
      <w:r w:rsidR="0055716F">
        <w:t xml:space="preserve"> ensure that</w:t>
      </w:r>
      <w:r w:rsidR="00FA38AE">
        <w:t xml:space="preserve"> </w:t>
      </w:r>
      <w:r>
        <w:t xml:space="preserve">the time-varying </w:t>
      </w:r>
      <w:r w:rsidR="008D6C8F">
        <w:t>ramping-induced</w:t>
      </w:r>
      <w:r w:rsidR="00223A46">
        <w:t xml:space="preserve"> </w:t>
      </w:r>
      <w:r w:rsidR="00FA38AE" w:rsidRPr="00CB7091">
        <w:rPr>
          <w:i/>
          <w:iCs/>
        </w:rPr>
        <w:t>Xenon defect</w:t>
      </w:r>
      <w:r w:rsidR="00FA38AE">
        <w:t xml:space="preserve"> can be overridden</w:t>
      </w:r>
      <w:r>
        <w:t xml:space="preserve"> by the positive reactivity provided by the remaining fissile concentration in the fuel rods</w:t>
      </w:r>
      <w:r w:rsidR="0055716F">
        <w:t>.</w:t>
      </w:r>
      <w:r w:rsidR="00B76152">
        <w:t xml:space="preserve"> </w:t>
      </w:r>
      <w:r w:rsidR="00333504">
        <w:t xml:space="preserve">The reactivity margin is computed with the effective multiplication factor ( </w:t>
      </w:r>
      <m:oMath>
        <m:sSub>
          <m:sSubPr>
            <m:ctrlPr>
              <w:rPr>
                <w:rFonts w:ascii="Cambria Math" w:hAnsi="Cambria Math"/>
              </w:rPr>
            </m:ctrlPr>
          </m:sSubPr>
          <m:e>
            <m:r>
              <m:rPr>
                <m:sty m:val="p"/>
              </m:rPr>
              <w:rPr>
                <w:rFonts w:ascii="Cambria Math" w:hAnsi="Cambria Math"/>
              </w:rPr>
              <m:t>k</m:t>
            </m:r>
          </m:e>
          <m:sub>
            <m:r>
              <m:rPr>
                <m:nor/>
              </m:rPr>
              <m:t xml:space="preserve">eff </m:t>
            </m:r>
          </m:sub>
        </m:sSub>
      </m:oMath>
      <w:r w:rsidR="00333504">
        <w:t xml:space="preserve">)  at different stages of </w:t>
      </w:r>
      <w:r w:rsidR="008D6C8F">
        <w:t>the</w:t>
      </w:r>
      <w:r w:rsidR="00333504">
        <w:t xml:space="preserve"> </w:t>
      </w:r>
      <w:r w:rsidR="00ED0DA0">
        <w:t>fuel</w:t>
      </w:r>
      <w:r w:rsidR="00333504">
        <w:t xml:space="preserve"> cycle </w:t>
      </w:r>
      <w:r w:rsidR="00AF5C06">
        <w:t xml:space="preserve">defined </w:t>
      </w:r>
      <w:r w:rsidR="008D6C8F">
        <w:t>by</w:t>
      </w:r>
      <w:r w:rsidR="00AF5C06">
        <w:t xml:space="preserve"> </w:t>
      </w:r>
      <w:r w:rsidR="008D6C8F">
        <w:t xml:space="preserve">Equation. </w:t>
      </w:r>
      <w:r w:rsidR="008D6C8F">
        <w:fldChar w:fldCharType="begin"/>
      </w:r>
      <w:r w:rsidR="008D6C8F">
        <w:instrText xml:space="preserve"> REF _Ref167718067 \h </w:instrText>
      </w:r>
      <w:r w:rsidR="008D6C8F">
        <w:fldChar w:fldCharType="separate"/>
      </w:r>
      <w:r w:rsidR="00FD41EB">
        <w:t>(</w:t>
      </w:r>
      <w:r w:rsidR="00FD41EB">
        <w:rPr>
          <w:noProof/>
        </w:rPr>
        <w:t>7</w:t>
      </w:r>
      <w:r w:rsidR="00FD41EB">
        <w:t>)</w:t>
      </w:r>
      <w:r w:rsidR="008D6C8F">
        <w:fldChar w:fldCharType="end"/>
      </w:r>
      <w:r w:rsidR="008D6C8F">
        <w:t xml:space="preserve"> </w:t>
      </w:r>
      <w:r w:rsidR="008E18AD">
        <w:fldChar w:fldCharType="begin"/>
      </w:r>
      <w:r w:rsidR="008E18AD">
        <w:instrText xml:space="preserve"> ADDIN ZOTERO_ITEM CSL_CITATION {"citationID":"V8aeCCNA","properties":{"formattedCitation":"[4]","plainCitation":"[4]","noteIndex":0},"citationItems":[{"id":1311,"uris":["http://zotero.org/users/5694173/items/QV7D84E8"],"itemData":{"id":1311,"type":"article-journal","abstract":"This work explores the technical challenges associated with flexible operation for nuclear power plants (NPPs) and evaluates whether a flexible operational mode could improve the profitability of nuclear units by allowing nuclear plant owners/operators to reduce output when prices are low and instead shift capacity to the ancillary services markets. As compared to conventional power plants, NPP flexible operation capabilities are affected by additional physics-induced constraints. Among the most limiting constraints is the negative reactivity insertion following every reactor power drop due to the increased concentration of xenon, a strong neutron poison. In this work, a previously available power system operation model based on mixed-integer linear programming optimization was improved by implementing a dedicated representation of these physics-induced constraints for pressurized water reactors (PWRs). Because the xenon-related constraint involves nonlinear governing dynamics, a dedicated parametric approach was implemented. To evaluate the economic implications of flexible PWR operation, a case study using realistic power system data representative of the southwestern United States was analyzed. The results indicate that flexible operation can increase the revenue of nuclear units while at the same time reducing total electric system operating costs.","container-title":"Nuclear Technology","DOI":"10.1080/00295450.2017.1388668","ISSN":"0029-5450, 1943-7471","issue":"3","journalAbbreviation":"Nuclear Technology","language":"en","page":"189-207","source":"DOI.org (Crossref)","title":"Profitability Evaluation of Load-Following Nuclear Units with Physics-Induced Operational Constraints","volume":"200","author":[{"family":"Ponciroli","given":"R."},{"family":"Wang","given":"Y."},{"family":"Zhou","given":"Z."},{"family":"Botterud","given":"A."},{"family":"Jenkins","given":"J."},{"family":"Vilim","given":"R. B."},{"family":"Ganda","given":"F."}],"issued":{"date-parts":[["2017",12,2]]}}}],"schema":"https://github.com/citation-style-language/schema/raw/master/csl-citation.json"} </w:instrText>
      </w:r>
      <w:r w:rsidR="008E18AD">
        <w:fldChar w:fldCharType="separate"/>
      </w:r>
      <w:r w:rsidR="008E18AD">
        <w:rPr>
          <w:noProof/>
        </w:rPr>
        <w:t>[4]</w:t>
      </w:r>
      <w:r w:rsidR="008E18AD">
        <w:fldChar w:fldCharType="end"/>
      </w:r>
      <w:r w:rsidR="005721C9">
        <w:t>.</w:t>
      </w:r>
      <w:r w:rsidR="00350096">
        <w:t xml:space="preserve"> At full power operation, the fuel rods </w:t>
      </w:r>
      <w:r w:rsidR="00905D58">
        <w:t>experience</w:t>
      </w:r>
      <w:r w:rsidR="00350096">
        <w:t xml:space="preserve"> </w:t>
      </w:r>
      <w:r>
        <w:t xml:space="preserve">a higher rate of </w:t>
      </w:r>
      <w:r w:rsidR="00905D58">
        <w:t>burnup</w:t>
      </w:r>
      <w:r w:rsidR="00927EBA">
        <w:t>, while with</w:t>
      </w:r>
      <w:r w:rsidR="00350096">
        <w:t xml:space="preserve"> flexible operation, depending on how flexibly or inflexibly the reactor operates</w:t>
      </w:r>
      <w:r w:rsidR="00076230">
        <w:t>, the burnup</w:t>
      </w:r>
      <w:r>
        <w:t xml:space="preserve"> rate</w:t>
      </w:r>
      <w:r w:rsidR="00076230">
        <w:t xml:space="preserve"> will vary,</w:t>
      </w:r>
      <w:r w:rsidR="00350096">
        <w:t xml:space="preserve"> and </w:t>
      </w:r>
      <w:r w:rsidR="00ED0DA0">
        <w:t>experience</w:t>
      </w:r>
      <w:r w:rsidR="00350096">
        <w:t xml:space="preserve"> </w:t>
      </w:r>
      <w:r w:rsidR="00905D58">
        <w:t xml:space="preserve">a </w:t>
      </w:r>
      <w:r w:rsidR="00350096">
        <w:t xml:space="preserve">degradation of </w:t>
      </w:r>
      <w:r w:rsidR="00905D58">
        <w:t>the reactivity margin</w:t>
      </w:r>
      <w:r>
        <w:t xml:space="preserve"> that is proportional to the k</w:t>
      </w:r>
      <w:r>
        <w:rPr>
          <w:vertAlign w:val="subscript"/>
        </w:rPr>
        <w:t>eff</w:t>
      </w:r>
      <w:r>
        <w:t xml:space="preserve"> history of the fuel assembly</w:t>
      </w:r>
      <w:r w:rsidR="00350096">
        <w:t>.</w:t>
      </w:r>
      <w:r w:rsidR="00712316">
        <w:t xml:space="preserve"> The parameter k</w:t>
      </w:r>
      <w:r w:rsidR="00712316">
        <w:rPr>
          <w:vertAlign w:val="subscript"/>
        </w:rPr>
        <w:t>eff</w:t>
      </w:r>
      <w:r w:rsidR="00712316">
        <w:t xml:space="preserve"> therefore begins at a specified initial value at the Beginning-of-Life (BOL) of the fuel assembly</w:t>
      </w:r>
      <w:r w:rsidR="006661E3">
        <w:t xml:space="preserve"> (which is proportional to the fuel enrichment).  It</w:t>
      </w:r>
      <w:r w:rsidR="00712316">
        <w:t xml:space="preserve"> then gradually decreases as fissile nuclei are consumed, ultimately reaching its minimum value at the End-of-Life (EOL) of the fuel.</w:t>
      </w:r>
    </w:p>
    <w:p w14:paraId="0D4ED20E" w14:textId="6183E963" w:rsidR="00613E4B" w:rsidRDefault="00350096" w:rsidP="00CD48F0">
      <w:pPr>
        <w:pStyle w:val="BodyText"/>
      </w:pPr>
      <w:r>
        <w:t xml:space="preserve">This degradation </w:t>
      </w:r>
      <w:r w:rsidR="001912AF">
        <w:t xml:space="preserve">in this </w:t>
      </w:r>
      <w:r w:rsidR="00BD15DF">
        <w:t>s</w:t>
      </w:r>
      <w:r w:rsidR="001912AF">
        <w:t xml:space="preserve">tudy </w:t>
      </w:r>
      <w:r>
        <w:t xml:space="preserve">is </w:t>
      </w:r>
      <w:r w:rsidR="00274231">
        <w:t>modelled</w:t>
      </w:r>
      <w:r w:rsidR="00076230">
        <w:t xml:space="preserve"> with a simple recursive relation,</w:t>
      </w:r>
      <w:r>
        <w:t xml:space="preserve"> as shown in E</w:t>
      </w:r>
      <w:r w:rsidR="00A36529">
        <w:t>quation.</w:t>
      </w:r>
      <w:r w:rsidR="00CD0CB0">
        <w:t xml:space="preserve"> </w:t>
      </w:r>
      <w:r w:rsidR="00A36529">
        <w:fldChar w:fldCharType="begin"/>
      </w:r>
      <w:r w:rsidR="00A36529">
        <w:instrText xml:space="preserve"> REF _Ref167718204 \h </w:instrText>
      </w:r>
      <w:r w:rsidR="00A36529">
        <w:fldChar w:fldCharType="separate"/>
      </w:r>
      <w:r w:rsidR="00FD41EB">
        <w:t>(</w:t>
      </w:r>
      <w:r w:rsidR="00FD41EB">
        <w:rPr>
          <w:noProof/>
        </w:rPr>
        <w:t>8</w:t>
      </w:r>
      <w:r w:rsidR="00FD41EB">
        <w:t>)</w:t>
      </w:r>
      <w:r w:rsidR="00A36529">
        <w:fldChar w:fldCharType="end"/>
      </w:r>
      <w:r w:rsidR="00A36529">
        <w:t xml:space="preserve">, </w:t>
      </w:r>
      <w:r>
        <w:t xml:space="preserve">where </w:t>
      </w:r>
      <m:oMath>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eff,n</m:t>
            </m:r>
          </m:sub>
        </m:sSub>
      </m:oMath>
      <w:r>
        <w:t xml:space="preserve"> is </w:t>
      </w:r>
      <w:r w:rsidR="00905D58">
        <w:t>the multiplication factor</w:t>
      </w:r>
      <w:r>
        <w:t xml:space="preserve"> for day n, and </w:t>
      </w:r>
      <m:oMath>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eff,n+1</m:t>
            </m:r>
          </m:sub>
        </m:sSub>
      </m:oMath>
      <w:r>
        <w:t xml:space="preserve"> is the </w:t>
      </w:r>
      <w:r w:rsidR="00BC7CAD">
        <w:t>multiplication factor</w:t>
      </w:r>
      <w:r>
        <w:t xml:space="preserve"> on day n+1. </w:t>
      </w:r>
      <m:oMath>
        <m:sSub>
          <m:sSubPr>
            <m:ctrlPr>
              <w:rPr>
                <w:rFonts w:ascii="Cambria Math" w:hAnsi="Cambria Math"/>
                <w:iCs/>
              </w:rPr>
            </m:ctrlPr>
          </m:sSubPr>
          <m:e>
            <m:r>
              <m:rPr>
                <m:sty m:val="p"/>
              </m:rPr>
              <w:rPr>
                <w:rFonts w:ascii="Cambria Math" w:hAnsi="Cambria Math"/>
              </w:rPr>
              <m:t>α</m:t>
            </m:r>
          </m:e>
          <m:sub>
            <m:r>
              <m:rPr>
                <m:sty m:val="p"/>
              </m:rPr>
              <w:rPr>
                <w:rFonts w:ascii="Cambria Math" w:hAnsi="Cambria Math"/>
              </w:rPr>
              <m:t>n</m:t>
            </m:r>
          </m:sub>
        </m:sSub>
      </m:oMath>
      <w:r>
        <w:t xml:space="preserve"> can be </w:t>
      </w:r>
      <w:r w:rsidR="00905D58">
        <w:t>interpreted</w:t>
      </w:r>
      <w:r>
        <w:t xml:space="preserve"> as the capacity factor for the reactor on day </w:t>
      </w:r>
      <w:r w:rsidR="00905D58">
        <w:t>n and</w:t>
      </w:r>
      <w:r>
        <w:t xml:space="preserve"> indicates how flexibly</w:t>
      </w:r>
      <w:r w:rsidR="003268A1">
        <w:t xml:space="preserve"> (&lt;1) or inflexibly (~1)</w:t>
      </w:r>
      <w:r>
        <w:t xml:space="preserve"> the reactor operated</w:t>
      </w:r>
      <w:r w:rsidR="00026908">
        <w:t>.</w:t>
      </w:r>
      <w:r w:rsidR="00ED0DA0">
        <w:t xml:space="preserve"> </w:t>
      </w:r>
      <m:oMath>
        <m:sSub>
          <m:sSubPr>
            <m:ctrlPr>
              <w:rPr>
                <w:rFonts w:ascii="Cambria Math" w:hAnsi="Cambria Math"/>
                <w:iCs/>
              </w:rPr>
            </m:ctrlPr>
          </m:sSubPr>
          <m:e>
            <m:r>
              <m:rPr>
                <m:sty m:val="p"/>
              </m:rPr>
              <w:rPr>
                <w:rFonts w:ascii="Cambria Math" w:hAnsi="Cambria Math"/>
              </w:rPr>
              <m:t>α</m:t>
            </m:r>
          </m:e>
          <m:sub>
            <m:r>
              <m:rPr>
                <m:sty m:val="p"/>
              </m:rPr>
              <w:rPr>
                <w:rFonts w:ascii="Cambria Math" w:hAnsi="Cambria Math"/>
              </w:rPr>
              <m:t>n</m:t>
            </m:r>
          </m:sub>
        </m:sSub>
      </m:oMath>
      <w:r w:rsidR="00ED0DA0">
        <w:t xml:space="preserve"> </w:t>
      </w:r>
      <w:r>
        <w:t xml:space="preserve">is used to scale the full power degradation rate </w:t>
      </w:r>
      <w:r w:rsidRPr="00905D58">
        <w:rPr>
          <w:i/>
          <w:iCs/>
        </w:rPr>
        <w:t>m</w:t>
      </w:r>
      <w:r>
        <w:t xml:space="preserve"> </w:t>
      </w:r>
      <w:r w:rsidR="00303B24">
        <w:t>and</w:t>
      </w:r>
      <w:r>
        <w:t xml:space="preserve"> update the </w:t>
      </w:r>
      <m:oMath>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eff,n+1</m:t>
            </m:r>
          </m:sub>
        </m:sSub>
      </m:oMath>
      <w:r>
        <w:t>. This way</w:t>
      </w:r>
      <w:r w:rsidR="00076230">
        <w:t>,</w:t>
      </w:r>
      <w:r>
        <w:t xml:space="preserve"> we can</w:t>
      </w:r>
      <w:r w:rsidR="008C7193">
        <w:t xml:space="preserve"> approximate the available reactivity margin based on how the reactor participates in the dispatch.</w:t>
      </w:r>
      <w:r w:rsidR="00C95539">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427"/>
      </w:tblGrid>
      <w:tr w:rsidR="00052EDD" w14:paraId="55C17B23" w14:textId="77777777" w:rsidTr="00A60353">
        <w:tc>
          <w:tcPr>
            <w:tcW w:w="4590" w:type="dxa"/>
          </w:tcPr>
          <w:p w14:paraId="3C513FDF" w14:textId="7EF253CD" w:rsidR="00052EDD" w:rsidRPr="00D35244" w:rsidRDefault="00052EDD" w:rsidP="003442B9">
            <w:pPr>
              <w:pStyle w:val="BodyText"/>
              <w:rPr>
                <w:sz w:val="16"/>
                <w:szCs w:val="16"/>
              </w:rPr>
            </w:pPr>
            <m:oMathPara>
              <m:oMath>
                <m:r>
                  <m:rPr>
                    <m:sty m:val="p"/>
                  </m:rPr>
                  <w:rPr>
                    <w:rFonts w:ascii="Cambria Math" w:hAnsi="Cambria Math"/>
                    <w:sz w:val="16"/>
                    <w:szCs w:val="16"/>
                  </w:rPr>
                  <m:t>Δ</m:t>
                </m:r>
                <m:sSub>
                  <m:sSubPr>
                    <m:ctrlPr>
                      <w:rPr>
                        <w:rFonts w:ascii="Cambria Math" w:hAnsi="Cambria Math"/>
                        <w:sz w:val="16"/>
                        <w:szCs w:val="16"/>
                      </w:rPr>
                    </m:ctrlPr>
                  </m:sSubPr>
                  <m:e>
                    <m:r>
                      <m:rPr>
                        <m:sty m:val="p"/>
                      </m:rPr>
                      <w:rPr>
                        <w:rFonts w:ascii="Cambria Math" w:hAnsi="Cambria Math"/>
                        <w:sz w:val="16"/>
                        <w:szCs w:val="16"/>
                      </w:rPr>
                      <m:t>ρ</m:t>
                    </m:r>
                  </m:e>
                  <m:sub>
                    <m:r>
                      <m:rPr>
                        <m:nor/>
                      </m:rPr>
                      <w:rPr>
                        <w:sz w:val="16"/>
                        <w:szCs w:val="16"/>
                      </w:rPr>
                      <m:t>marg</m:t>
                    </m:r>
                    <m:r>
                      <m:rPr>
                        <m:nor/>
                      </m:rPr>
                      <w:rPr>
                        <w:rFonts w:ascii="Cambria Math"/>
                        <w:sz w:val="16"/>
                        <w:szCs w:val="16"/>
                      </w:rPr>
                      <m:t>,n</m:t>
                    </m:r>
                    <m:r>
                      <m:rPr>
                        <m:nor/>
                      </m:rPr>
                      <w:rPr>
                        <w:sz w:val="16"/>
                        <w:szCs w:val="16"/>
                      </w:rPr>
                      <m:t xml:space="preserve"> </m:t>
                    </m:r>
                  </m:sub>
                </m:sSub>
                <m:r>
                  <m:rPr>
                    <m:sty m:val="p"/>
                  </m:rPr>
                  <w:rPr>
                    <w:rFonts w:ascii="Cambria Math" w:hAnsi="Cambria Math"/>
                    <w:sz w:val="16"/>
                    <w:szCs w:val="16"/>
                  </w:rPr>
                  <m:t>=</m:t>
                </m:r>
                <m:f>
                  <m:fPr>
                    <m:ctrlPr>
                      <w:rPr>
                        <w:rFonts w:ascii="Cambria Math" w:hAnsi="Cambria Math"/>
                        <w:sz w:val="16"/>
                        <w:szCs w:val="16"/>
                      </w:rPr>
                    </m:ctrlPr>
                  </m:fPr>
                  <m:num>
                    <m:sSub>
                      <m:sSubPr>
                        <m:ctrlPr>
                          <w:rPr>
                            <w:rFonts w:ascii="Cambria Math" w:hAnsi="Cambria Math"/>
                            <w:sz w:val="16"/>
                            <w:szCs w:val="16"/>
                          </w:rPr>
                        </m:ctrlPr>
                      </m:sSubPr>
                      <m:e>
                        <m:r>
                          <m:rPr>
                            <m:sty m:val="p"/>
                          </m:rPr>
                          <w:rPr>
                            <w:rFonts w:ascii="Cambria Math" w:hAnsi="Cambria Math"/>
                            <w:sz w:val="16"/>
                            <w:szCs w:val="16"/>
                          </w:rPr>
                          <m:t>k</m:t>
                        </m:r>
                      </m:e>
                      <m:sub>
                        <m:r>
                          <m:rPr>
                            <m:nor/>
                          </m:rPr>
                          <w:rPr>
                            <w:sz w:val="16"/>
                            <w:szCs w:val="16"/>
                          </w:rPr>
                          <m:t>eff</m:t>
                        </m:r>
                        <m:r>
                          <m:rPr>
                            <m:nor/>
                          </m:rPr>
                          <w:rPr>
                            <w:rFonts w:ascii="Cambria Math"/>
                            <w:sz w:val="16"/>
                            <w:szCs w:val="16"/>
                          </w:rPr>
                          <m:t>,n</m:t>
                        </m:r>
                        <m:r>
                          <m:rPr>
                            <m:nor/>
                          </m:rPr>
                          <w:rPr>
                            <w:sz w:val="16"/>
                            <w:szCs w:val="16"/>
                          </w:rPr>
                          <m:t xml:space="preserve"> </m:t>
                        </m:r>
                      </m:sub>
                    </m:sSub>
                    <m:r>
                      <m:rPr>
                        <m:sty m:val="p"/>
                      </m:rPr>
                      <w:rPr>
                        <w:rFonts w:ascii="Cambria Math" w:hAnsi="Cambria Math"/>
                        <w:sz w:val="16"/>
                        <w:szCs w:val="16"/>
                      </w:rPr>
                      <m:t>-1</m:t>
                    </m:r>
                  </m:num>
                  <m:den>
                    <m:sSub>
                      <m:sSubPr>
                        <m:ctrlPr>
                          <w:rPr>
                            <w:rFonts w:ascii="Cambria Math" w:hAnsi="Cambria Math"/>
                            <w:sz w:val="16"/>
                            <w:szCs w:val="16"/>
                          </w:rPr>
                        </m:ctrlPr>
                      </m:sSubPr>
                      <m:e>
                        <m:r>
                          <m:rPr>
                            <m:sty m:val="p"/>
                          </m:rPr>
                          <w:rPr>
                            <w:rFonts w:ascii="Cambria Math" w:hAnsi="Cambria Math"/>
                            <w:sz w:val="16"/>
                            <w:szCs w:val="16"/>
                          </w:rPr>
                          <m:t>k</m:t>
                        </m:r>
                      </m:e>
                      <m:sub>
                        <m:r>
                          <m:rPr>
                            <m:nor/>
                          </m:rPr>
                          <w:rPr>
                            <w:sz w:val="16"/>
                            <w:szCs w:val="16"/>
                          </w:rPr>
                          <m:t>eff</m:t>
                        </m:r>
                        <m:r>
                          <m:rPr>
                            <m:nor/>
                          </m:rPr>
                          <w:rPr>
                            <w:rFonts w:ascii="Cambria Math"/>
                            <w:sz w:val="16"/>
                            <w:szCs w:val="16"/>
                          </w:rPr>
                          <m:t>,n</m:t>
                        </m:r>
                        <m:r>
                          <m:rPr>
                            <m:nor/>
                          </m:rPr>
                          <w:rPr>
                            <w:sz w:val="16"/>
                            <w:szCs w:val="16"/>
                          </w:rPr>
                          <m:t xml:space="preserve"> </m:t>
                        </m:r>
                      </m:sub>
                    </m:sSub>
                  </m:den>
                </m:f>
                <m:r>
                  <m:rPr>
                    <m:sty m:val="p"/>
                  </m:rPr>
                  <w:rPr>
                    <w:rFonts w:ascii="Cambria Math" w:hAnsi="Cambria Math"/>
                    <w:sz w:val="16"/>
                    <w:szCs w:val="16"/>
                  </w:rPr>
                  <m:t>×</m:t>
                </m:r>
                <m:sSup>
                  <m:sSupPr>
                    <m:ctrlPr>
                      <w:rPr>
                        <w:rFonts w:ascii="Cambria Math" w:hAnsi="Cambria Math"/>
                        <w:sz w:val="16"/>
                        <w:szCs w:val="16"/>
                      </w:rPr>
                    </m:ctrlPr>
                  </m:sSupPr>
                  <m:e>
                    <m:r>
                      <m:rPr>
                        <m:sty m:val="p"/>
                      </m:rPr>
                      <w:rPr>
                        <w:rFonts w:ascii="Cambria Math" w:hAnsi="Cambria Math"/>
                        <w:sz w:val="16"/>
                        <w:szCs w:val="16"/>
                      </w:rPr>
                      <m:t>10</m:t>
                    </m:r>
                  </m:e>
                  <m:sup>
                    <m:r>
                      <m:rPr>
                        <m:sty m:val="p"/>
                      </m:rPr>
                      <w:rPr>
                        <w:rFonts w:ascii="Cambria Math" w:hAnsi="Cambria Math"/>
                        <w:sz w:val="16"/>
                        <w:szCs w:val="16"/>
                      </w:rPr>
                      <m:t>5</m:t>
                    </m:r>
                  </m:sup>
                </m:sSup>
              </m:oMath>
            </m:oMathPara>
          </w:p>
          <w:p w14:paraId="140C1499" w14:textId="77777777" w:rsidR="00052EDD" w:rsidRPr="00D35244" w:rsidRDefault="00052EDD" w:rsidP="003442B9">
            <w:pPr>
              <w:pStyle w:val="BodyText"/>
              <w:ind w:firstLine="0"/>
              <w:rPr>
                <w:sz w:val="16"/>
                <w:szCs w:val="16"/>
              </w:rPr>
            </w:pPr>
          </w:p>
        </w:tc>
        <w:tc>
          <w:tcPr>
            <w:tcW w:w="4427" w:type="dxa"/>
          </w:tcPr>
          <w:p w14:paraId="2E7EE91B" w14:textId="5B7A1694" w:rsidR="00052EDD" w:rsidRDefault="00052EDD" w:rsidP="003442B9">
            <w:pPr>
              <w:pStyle w:val="Caption"/>
              <w:jc w:val="right"/>
            </w:pPr>
            <w:bookmarkStart w:id="8" w:name="_Ref167718067"/>
            <w:r>
              <w:t>(</w:t>
            </w:r>
            <w:r>
              <w:fldChar w:fldCharType="begin"/>
            </w:r>
            <w:r>
              <w:instrText xml:space="preserve"> SEQ ( \* ARABIC </w:instrText>
            </w:r>
            <w:r>
              <w:fldChar w:fldCharType="separate"/>
            </w:r>
            <w:r w:rsidR="00FD41EB">
              <w:rPr>
                <w:noProof/>
              </w:rPr>
              <w:t>7</w:t>
            </w:r>
            <w:r>
              <w:fldChar w:fldCharType="end"/>
            </w:r>
            <w:r>
              <w:t>)</w:t>
            </w:r>
            <w:bookmarkEnd w:id="8"/>
          </w:p>
        </w:tc>
      </w:tr>
      <w:tr w:rsidR="00205ECB" w14:paraId="3B77DB83" w14:textId="77777777" w:rsidTr="00A60353">
        <w:tc>
          <w:tcPr>
            <w:tcW w:w="4590" w:type="dxa"/>
          </w:tcPr>
          <w:p w14:paraId="649B1C0E" w14:textId="3DBB8CBA" w:rsidR="00205ECB" w:rsidRPr="00D35244" w:rsidRDefault="00000000" w:rsidP="00205ECB">
            <w:pPr>
              <w:pStyle w:val="BodyText"/>
              <w:rPr>
                <w:iCs/>
                <w:sz w:val="16"/>
                <w:szCs w:val="16"/>
              </w:rPr>
            </w:pPr>
            <m:oMathPara>
              <m:oMath>
                <m:sSub>
                  <m:sSubPr>
                    <m:ctrlPr>
                      <w:rPr>
                        <w:rFonts w:ascii="Cambria Math" w:hAnsi="Cambria Math"/>
                        <w:iCs/>
                        <w:sz w:val="16"/>
                        <w:szCs w:val="16"/>
                      </w:rPr>
                    </m:ctrlPr>
                  </m:sSubPr>
                  <m:e>
                    <m:r>
                      <m:rPr>
                        <m:sty m:val="p"/>
                      </m:rPr>
                      <w:rPr>
                        <w:rFonts w:ascii="Cambria Math" w:hAnsi="Cambria Math"/>
                        <w:sz w:val="16"/>
                        <w:szCs w:val="16"/>
                      </w:rPr>
                      <m:t>k</m:t>
                    </m:r>
                  </m:e>
                  <m:sub>
                    <m:r>
                      <m:rPr>
                        <m:sty m:val="p"/>
                      </m:rPr>
                      <w:rPr>
                        <w:rFonts w:ascii="Cambria Math" w:hAnsi="Cambria Math"/>
                        <w:sz w:val="16"/>
                        <w:szCs w:val="16"/>
                      </w:rPr>
                      <m:t>eff,n+1</m:t>
                    </m:r>
                  </m:sub>
                </m:sSub>
                <m:r>
                  <m:rPr>
                    <m:sty m:val="p"/>
                  </m:rPr>
                  <w:rPr>
                    <w:rFonts w:ascii="Cambria Math" w:hAnsi="Cambria Math"/>
                    <w:sz w:val="16"/>
                    <w:szCs w:val="16"/>
                  </w:rPr>
                  <m:t>=-</m:t>
                </m:r>
                <m:r>
                  <w:rPr>
                    <w:rFonts w:ascii="Cambria Math" w:hAnsi="Cambria Math"/>
                    <w:sz w:val="16"/>
                    <w:szCs w:val="16"/>
                  </w:rPr>
                  <m:t>m</m:t>
                </m:r>
                <m:r>
                  <m:rPr>
                    <m:sty m:val="p"/>
                  </m:rPr>
                  <w:rPr>
                    <w:rFonts w:ascii="Cambria Math" w:hAnsi="Cambria Math"/>
                    <w:sz w:val="16"/>
                    <w:szCs w:val="16"/>
                  </w:rPr>
                  <m:t>*</m:t>
                </m:r>
                <m:sSub>
                  <m:sSubPr>
                    <m:ctrlPr>
                      <w:rPr>
                        <w:rFonts w:ascii="Cambria Math" w:hAnsi="Cambria Math"/>
                        <w:iCs/>
                        <w:sz w:val="16"/>
                        <w:szCs w:val="16"/>
                      </w:rPr>
                    </m:ctrlPr>
                  </m:sSubPr>
                  <m:e>
                    <m:r>
                      <m:rPr>
                        <m:sty m:val="p"/>
                      </m:rPr>
                      <w:rPr>
                        <w:rFonts w:ascii="Cambria Math" w:hAnsi="Cambria Math"/>
                        <w:sz w:val="16"/>
                        <w:szCs w:val="16"/>
                      </w:rPr>
                      <m:t>α</m:t>
                    </m:r>
                  </m:e>
                  <m:sub>
                    <m:r>
                      <m:rPr>
                        <m:sty m:val="p"/>
                      </m:rPr>
                      <w:rPr>
                        <w:rFonts w:ascii="Cambria Math" w:hAnsi="Cambria Math"/>
                        <w:sz w:val="16"/>
                        <w:szCs w:val="16"/>
                      </w:rPr>
                      <m:t>n</m:t>
                    </m:r>
                  </m:sub>
                </m:sSub>
                <m:r>
                  <m:rPr>
                    <m:sty m:val="p"/>
                  </m:rPr>
                  <w:rPr>
                    <w:rFonts w:ascii="Cambria Math" w:hAnsi="Cambria Math"/>
                    <w:sz w:val="16"/>
                    <w:szCs w:val="16"/>
                  </w:rPr>
                  <m:t>+</m:t>
                </m:r>
                <m:sSub>
                  <m:sSubPr>
                    <m:ctrlPr>
                      <w:rPr>
                        <w:rFonts w:ascii="Cambria Math" w:hAnsi="Cambria Math"/>
                        <w:iCs/>
                        <w:sz w:val="16"/>
                        <w:szCs w:val="16"/>
                      </w:rPr>
                    </m:ctrlPr>
                  </m:sSubPr>
                  <m:e>
                    <m:r>
                      <m:rPr>
                        <m:sty m:val="p"/>
                      </m:rPr>
                      <w:rPr>
                        <w:rFonts w:ascii="Cambria Math" w:hAnsi="Cambria Math"/>
                        <w:sz w:val="16"/>
                        <w:szCs w:val="16"/>
                      </w:rPr>
                      <m:t>k</m:t>
                    </m:r>
                  </m:e>
                  <m:sub>
                    <m:r>
                      <m:rPr>
                        <m:sty m:val="p"/>
                      </m:rPr>
                      <w:rPr>
                        <w:rFonts w:ascii="Cambria Math" w:hAnsi="Cambria Math"/>
                        <w:sz w:val="16"/>
                        <w:szCs w:val="16"/>
                      </w:rPr>
                      <m:t>eff,n</m:t>
                    </m:r>
                  </m:sub>
                </m:sSub>
              </m:oMath>
            </m:oMathPara>
          </w:p>
          <w:p w14:paraId="7F683C5E" w14:textId="77777777" w:rsidR="00205ECB" w:rsidRPr="00D35244" w:rsidRDefault="00205ECB" w:rsidP="003442B9">
            <w:pPr>
              <w:pStyle w:val="BodyText"/>
              <w:rPr>
                <w:sz w:val="16"/>
                <w:szCs w:val="16"/>
              </w:rPr>
            </w:pPr>
          </w:p>
        </w:tc>
        <w:tc>
          <w:tcPr>
            <w:tcW w:w="4427" w:type="dxa"/>
          </w:tcPr>
          <w:p w14:paraId="5CE0E9D8" w14:textId="3BDE77E2" w:rsidR="00205ECB" w:rsidRDefault="00205ECB" w:rsidP="003442B9">
            <w:pPr>
              <w:pStyle w:val="Caption"/>
              <w:jc w:val="right"/>
            </w:pPr>
            <w:bookmarkStart w:id="9" w:name="_Ref167718204"/>
            <w:r>
              <w:t>(</w:t>
            </w:r>
            <w:r>
              <w:fldChar w:fldCharType="begin"/>
            </w:r>
            <w:r>
              <w:instrText xml:space="preserve"> SEQ ( \* ARABIC </w:instrText>
            </w:r>
            <w:r>
              <w:fldChar w:fldCharType="separate"/>
            </w:r>
            <w:r w:rsidR="00FD41EB">
              <w:rPr>
                <w:noProof/>
              </w:rPr>
              <w:t>8</w:t>
            </w:r>
            <w:r>
              <w:fldChar w:fldCharType="end"/>
            </w:r>
            <w:r>
              <w:t>)</w:t>
            </w:r>
            <w:bookmarkEnd w:id="9"/>
          </w:p>
        </w:tc>
      </w:tr>
      <w:tr w:rsidR="00205ECB" w14:paraId="251D7CA2" w14:textId="77777777" w:rsidTr="00A60353">
        <w:tc>
          <w:tcPr>
            <w:tcW w:w="4590" w:type="dxa"/>
          </w:tcPr>
          <w:p w14:paraId="715FC147" w14:textId="1E484231" w:rsidR="00205ECB" w:rsidRPr="00D35244" w:rsidRDefault="00000000" w:rsidP="00063EF4">
            <w:pPr>
              <w:pStyle w:val="BodyText"/>
              <w:ind w:firstLine="0"/>
              <w:rPr>
                <w:iCs/>
                <w:sz w:val="16"/>
                <w:szCs w:val="16"/>
              </w:rPr>
            </w:pPr>
            <m:oMathPara>
              <m:oMath>
                <m:sSub>
                  <m:sSubPr>
                    <m:ctrlPr>
                      <w:rPr>
                        <w:rFonts w:ascii="Cambria Math" w:hAnsi="Cambria Math"/>
                        <w:iCs/>
                        <w:sz w:val="16"/>
                        <w:szCs w:val="16"/>
                      </w:rPr>
                    </m:ctrlPr>
                  </m:sSubPr>
                  <m:e>
                    <m:r>
                      <m:rPr>
                        <m:sty m:val="p"/>
                      </m:rPr>
                      <w:rPr>
                        <w:rFonts w:ascii="Cambria Math" w:hAnsi="Cambria Math"/>
                        <w:sz w:val="16"/>
                        <w:szCs w:val="16"/>
                      </w:rPr>
                      <m:t>α</m:t>
                    </m:r>
                  </m:e>
                  <m:sub>
                    <m:r>
                      <m:rPr>
                        <m:sty m:val="p"/>
                      </m:rPr>
                      <w:rPr>
                        <w:rFonts w:ascii="Cambria Math" w:hAnsi="Cambria Math"/>
                        <w:sz w:val="16"/>
                        <w:szCs w:val="16"/>
                      </w:rPr>
                      <m:t>n</m:t>
                    </m:r>
                  </m:sub>
                </m:sSub>
                <m:r>
                  <m:rPr>
                    <m:sty m:val="p"/>
                  </m:rPr>
                  <w:rPr>
                    <w:rFonts w:ascii="Cambria Math" w:hAnsi="Cambria Math"/>
                    <w:sz w:val="16"/>
                    <w:szCs w:val="16"/>
                  </w:rPr>
                  <m:t>=</m:t>
                </m:r>
                <m:f>
                  <m:fPr>
                    <m:ctrlPr>
                      <w:rPr>
                        <w:rFonts w:ascii="Cambria Math" w:hAnsi="Cambria Math"/>
                        <w:iCs/>
                        <w:sz w:val="16"/>
                        <w:szCs w:val="16"/>
                      </w:rPr>
                    </m:ctrlPr>
                  </m:fPr>
                  <m:num>
                    <m:nary>
                      <m:naryPr>
                        <m:chr m:val="∑"/>
                        <m:limLoc m:val="undOvr"/>
                        <m:grow m:val="1"/>
                        <m:ctrlPr>
                          <w:rPr>
                            <w:rFonts w:ascii="Cambria Math" w:hAnsi="Cambria Math"/>
                            <w:iCs/>
                            <w:sz w:val="16"/>
                            <w:szCs w:val="16"/>
                          </w:rPr>
                        </m:ctrlPr>
                      </m:naryPr>
                      <m:sub>
                        <m:r>
                          <m:rPr>
                            <m:sty m:val="p"/>
                          </m:rPr>
                          <w:rPr>
                            <w:rFonts w:ascii="Cambria Math" w:hAnsi="Cambria Math"/>
                            <w:sz w:val="16"/>
                            <w:szCs w:val="16"/>
                          </w:rPr>
                          <m:t>i=1</m:t>
                        </m:r>
                      </m:sub>
                      <m:sup>
                        <m:r>
                          <m:rPr>
                            <m:sty m:val="p"/>
                          </m:rPr>
                          <w:rPr>
                            <w:rFonts w:ascii="Cambria Math" w:hAnsi="Cambria Math"/>
                            <w:sz w:val="16"/>
                            <w:szCs w:val="16"/>
                          </w:rPr>
                          <m:t>24</m:t>
                        </m:r>
                      </m:sup>
                      <m:e>
                        <m:r>
                          <m:rPr>
                            <m:sty m:val="p"/>
                          </m:rPr>
                          <w:rPr>
                            <w:rFonts w:ascii="Cambria Math" w:hAnsi="Cambria Math"/>
                            <w:sz w:val="16"/>
                            <w:szCs w:val="16"/>
                          </w:rPr>
                          <m:t> </m:t>
                        </m:r>
                      </m:e>
                    </m:nary>
                    <m:sSub>
                      <m:sSubPr>
                        <m:ctrlPr>
                          <w:rPr>
                            <w:rFonts w:ascii="Cambria Math" w:hAnsi="Cambria Math"/>
                            <w:iCs/>
                            <w:sz w:val="16"/>
                            <w:szCs w:val="16"/>
                          </w:rPr>
                        </m:ctrlPr>
                      </m:sSubPr>
                      <m:e>
                        <m:r>
                          <m:rPr>
                            <m:sty m:val="p"/>
                          </m:rPr>
                          <w:rPr>
                            <w:rFonts w:ascii="Cambria Math" w:hAnsi="Cambria Math"/>
                            <w:sz w:val="16"/>
                            <w:szCs w:val="16"/>
                          </w:rPr>
                          <m:t>P</m:t>
                        </m:r>
                      </m:e>
                      <m:sub>
                        <m:r>
                          <m:rPr>
                            <m:sty m:val="p"/>
                          </m:rPr>
                          <w:rPr>
                            <w:rFonts w:ascii="Cambria Math" w:hAnsi="Cambria Math"/>
                            <w:sz w:val="16"/>
                            <w:szCs w:val="16"/>
                          </w:rPr>
                          <m:t>i</m:t>
                        </m:r>
                      </m:sub>
                    </m:sSub>
                  </m:num>
                  <m:den>
                    <m:nary>
                      <m:naryPr>
                        <m:chr m:val="∑"/>
                        <m:limLoc m:val="undOvr"/>
                        <m:grow m:val="1"/>
                        <m:ctrlPr>
                          <w:rPr>
                            <w:rFonts w:ascii="Cambria Math" w:hAnsi="Cambria Math"/>
                            <w:iCs/>
                            <w:sz w:val="16"/>
                            <w:szCs w:val="16"/>
                          </w:rPr>
                        </m:ctrlPr>
                      </m:naryPr>
                      <m:sub>
                        <m:r>
                          <m:rPr>
                            <m:sty m:val="p"/>
                          </m:rPr>
                          <w:rPr>
                            <w:rFonts w:ascii="Cambria Math" w:hAnsi="Cambria Math"/>
                            <w:sz w:val="16"/>
                            <w:szCs w:val="16"/>
                          </w:rPr>
                          <m:t>i=1</m:t>
                        </m:r>
                      </m:sub>
                      <m:sup>
                        <m:r>
                          <m:rPr>
                            <m:sty m:val="p"/>
                          </m:rPr>
                          <w:rPr>
                            <w:rFonts w:ascii="Cambria Math" w:hAnsi="Cambria Math"/>
                            <w:sz w:val="16"/>
                            <w:szCs w:val="16"/>
                          </w:rPr>
                          <m:t>24</m:t>
                        </m:r>
                      </m:sup>
                      <m:e>
                        <m:r>
                          <m:rPr>
                            <m:sty m:val="p"/>
                          </m:rPr>
                          <w:rPr>
                            <w:rFonts w:ascii="Cambria Math" w:hAnsi="Cambria Math"/>
                            <w:sz w:val="16"/>
                            <w:szCs w:val="16"/>
                          </w:rPr>
                          <m:t> </m:t>
                        </m:r>
                      </m:e>
                    </m:nary>
                    <m:sSub>
                      <m:sSubPr>
                        <m:ctrlPr>
                          <w:rPr>
                            <w:rFonts w:ascii="Cambria Math" w:hAnsi="Cambria Math"/>
                            <w:iCs/>
                            <w:sz w:val="16"/>
                            <w:szCs w:val="16"/>
                          </w:rPr>
                        </m:ctrlPr>
                      </m:sSubPr>
                      <m:e>
                        <m:r>
                          <m:rPr>
                            <m:sty m:val="p"/>
                          </m:rPr>
                          <w:rPr>
                            <w:rFonts w:ascii="Cambria Math" w:hAnsi="Cambria Math"/>
                            <w:sz w:val="16"/>
                            <w:szCs w:val="16"/>
                          </w:rPr>
                          <m:t>P</m:t>
                        </m:r>
                      </m:e>
                      <m:sub>
                        <m:r>
                          <m:rPr>
                            <m:sty m:val="p"/>
                          </m:rPr>
                          <w:rPr>
                            <w:rFonts w:ascii="Cambria Math" w:hAnsi="Cambria Math"/>
                            <w:sz w:val="16"/>
                            <w:szCs w:val="16"/>
                          </w:rPr>
                          <m:t>max</m:t>
                        </m:r>
                      </m:sub>
                    </m:sSub>
                  </m:den>
                </m:f>
              </m:oMath>
            </m:oMathPara>
          </w:p>
        </w:tc>
        <w:tc>
          <w:tcPr>
            <w:tcW w:w="4427" w:type="dxa"/>
          </w:tcPr>
          <w:p w14:paraId="0186A2BA" w14:textId="1AC6FC61" w:rsidR="00205ECB" w:rsidRDefault="00205ECB" w:rsidP="003442B9">
            <w:pPr>
              <w:pStyle w:val="Caption"/>
              <w:jc w:val="right"/>
            </w:pPr>
            <w:r>
              <w:t>(</w:t>
            </w:r>
            <w:r>
              <w:fldChar w:fldCharType="begin"/>
            </w:r>
            <w:r>
              <w:instrText xml:space="preserve"> SEQ ( \* ARABIC </w:instrText>
            </w:r>
            <w:r>
              <w:fldChar w:fldCharType="separate"/>
            </w:r>
            <w:r w:rsidR="00FD41EB">
              <w:rPr>
                <w:noProof/>
              </w:rPr>
              <w:t>9</w:t>
            </w:r>
            <w:r>
              <w:fldChar w:fldCharType="end"/>
            </w:r>
            <w:r>
              <w:t>)</w:t>
            </w:r>
          </w:p>
        </w:tc>
      </w:tr>
    </w:tbl>
    <w:p w14:paraId="03A1EE3F" w14:textId="4FAFEE40" w:rsidR="00EE6305" w:rsidRDefault="00EE6305" w:rsidP="00AB3E66">
      <w:pPr>
        <w:pStyle w:val="BodyText"/>
      </w:pPr>
      <w:r>
        <w:t xml:space="preserve">At full power operation the </w:t>
      </w:r>
      <w:r w:rsidR="00A025F0">
        <w:t xml:space="preserve">Westinghouse </w:t>
      </w:r>
      <w:r>
        <w:t xml:space="preserve">AP1000 can operate for 18 months before </w:t>
      </w:r>
      <w:r w:rsidR="001A3E00">
        <w:t xml:space="preserve">needing </w:t>
      </w:r>
      <w:r>
        <w:t>refuelling</w:t>
      </w:r>
      <w:r w:rsidR="001A3E00">
        <w:t>,</w:t>
      </w:r>
      <w:r w:rsidR="00FC56FB">
        <w:t xml:space="preserve"> which becomes necessary when</w:t>
      </w:r>
      <w:r>
        <w:t xml:space="preserve"> </w:t>
      </w:r>
      <m:oMath>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eff</m:t>
            </m:r>
          </m:sub>
        </m:sSub>
        <m:r>
          <m:rPr>
            <m:sty m:val="p"/>
          </m:rPr>
          <w:rPr>
            <w:rFonts w:ascii="Cambria Math" w:hAnsi="Cambria Math"/>
          </w:rPr>
          <m:t>=</m:t>
        </m:r>
        <m:r>
          <w:rPr>
            <w:rFonts w:ascii="Cambria Math" w:hAnsi="Cambria Math"/>
          </w:rPr>
          <m:t>1</m:t>
        </m:r>
      </m:oMath>
      <w:r>
        <w:fldChar w:fldCharType="begin"/>
      </w:r>
      <w:r w:rsidR="000D3BF0">
        <w:instrText xml:space="preserve"> ADDIN ZOTERO_ITEM CSL_CITATION {"citationID":"sJyLLj0i","properties":{"formattedCitation":"[8]","plainCitation":"[8]","noteIndex":0},"citationItems":[{"id":1862,"uris":["http://zotero.org/users/5694173/items/D9MUMDNZ"],"itemData":{"id":1862,"type":"webpage","title":"AP1000 ARIS Specifications","URL":"https://aris.iaea.org/PDF/AP1000.pdf","accessed":{"date-parts":[["2023",5,29]]}}}],"schema":"https://github.com/citation-style-language/schema/raw/master/csl-citation.json"} </w:instrText>
      </w:r>
      <w:r>
        <w:fldChar w:fldCharType="separate"/>
      </w:r>
      <w:r w:rsidR="000D3BF0">
        <w:rPr>
          <w:noProof/>
        </w:rPr>
        <w:t>[8]</w:t>
      </w:r>
      <w:r>
        <w:fldChar w:fldCharType="end"/>
      </w:r>
      <w:r>
        <w:t xml:space="preserve">. </w:t>
      </w:r>
      <w:r w:rsidR="001A3E00">
        <w:t>With</w:t>
      </w:r>
      <w:r w:rsidR="00C910B2">
        <w:t xml:space="preserve"> flexible operation, the refuelling </w:t>
      </w:r>
      <w:r w:rsidR="004066BD">
        <w:t>timeline</w:t>
      </w:r>
      <w:r w:rsidR="00C910B2">
        <w:t xml:space="preserve"> is extended</w:t>
      </w:r>
      <w:r w:rsidR="00821222">
        <w:t xml:space="preserve"> </w:t>
      </w:r>
      <w:r w:rsidR="002639C1">
        <w:t>consistent</w:t>
      </w:r>
      <w:r w:rsidR="00821222">
        <w:t xml:space="preserve"> </w:t>
      </w:r>
      <w:r w:rsidR="002639C1">
        <w:t>with</w:t>
      </w:r>
      <w:r w:rsidR="00821222">
        <w:t xml:space="preserve"> our </w:t>
      </w:r>
      <w:r w:rsidR="002639C1">
        <w:t>formalism</w:t>
      </w:r>
      <w:r w:rsidR="00C910B2">
        <w:t xml:space="preserve"> </w:t>
      </w:r>
      <w:r w:rsidR="00821222">
        <w:t>(</w:t>
      </w:r>
      <w:r w:rsidR="00C910B2">
        <w:t>illustrated in</w:t>
      </w:r>
      <w:r w:rsidR="00821222">
        <w:t xml:space="preserve"> </w:t>
      </w:r>
      <w:r w:rsidR="00821222">
        <w:fldChar w:fldCharType="begin"/>
      </w:r>
      <w:r w:rsidR="00821222">
        <w:instrText xml:space="preserve"> REF _Ref167718421 \h </w:instrText>
      </w:r>
      <w:r w:rsidR="00821222">
        <w:fldChar w:fldCharType="separate"/>
      </w:r>
      <w:r w:rsidR="00FD41EB">
        <w:t xml:space="preserve">Figure </w:t>
      </w:r>
      <w:r w:rsidR="00FD41EB">
        <w:rPr>
          <w:noProof/>
        </w:rPr>
        <w:t>1</w:t>
      </w:r>
      <w:r w:rsidR="00821222">
        <w:fldChar w:fldCharType="end"/>
      </w:r>
      <w:r w:rsidR="00821222">
        <w:t>).</w:t>
      </w:r>
    </w:p>
    <w:p w14:paraId="0E24B476" w14:textId="77777777" w:rsidR="00BB2496" w:rsidRDefault="005805D5" w:rsidP="00BB2496">
      <w:pPr>
        <w:pStyle w:val="BodyText"/>
        <w:keepNext/>
        <w:jc w:val="center"/>
      </w:pPr>
      <w:r>
        <w:rPr>
          <w:noProof/>
        </w:rPr>
        <w:drawing>
          <wp:inline distT="0" distB="0" distL="0" distR="0" wp14:anchorId="54B3F5ED" wp14:editId="02039D65">
            <wp:extent cx="2715768" cy="2039112"/>
            <wp:effectExtent l="0" t="0" r="0" b="0"/>
            <wp:docPr id="62296756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967567" name="Picture 62296756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5768" cy="2039112"/>
                    </a:xfrm>
                    <a:prstGeom prst="rect">
                      <a:avLst/>
                    </a:prstGeom>
                  </pic:spPr>
                </pic:pic>
              </a:graphicData>
            </a:graphic>
          </wp:inline>
        </w:drawing>
      </w:r>
    </w:p>
    <w:p w14:paraId="351AE496" w14:textId="0CB06C4A" w:rsidR="00F83E42" w:rsidRDefault="00BB2496" w:rsidP="00BB2496">
      <w:pPr>
        <w:pStyle w:val="Caption"/>
        <w:jc w:val="center"/>
      </w:pPr>
      <w:bookmarkStart w:id="10" w:name="_Ref167718421"/>
      <w:r>
        <w:t xml:space="preserve">Figure </w:t>
      </w:r>
      <w:r>
        <w:fldChar w:fldCharType="begin"/>
      </w:r>
      <w:r>
        <w:instrText xml:space="preserve"> SEQ Figure \* ARABIC </w:instrText>
      </w:r>
      <w:r>
        <w:fldChar w:fldCharType="separate"/>
      </w:r>
      <w:r w:rsidR="00FD41EB">
        <w:rPr>
          <w:noProof/>
        </w:rPr>
        <w:t>1</w:t>
      </w:r>
      <w:r>
        <w:fldChar w:fldCharType="end"/>
      </w:r>
      <w:bookmarkEnd w:id="10"/>
      <w:r>
        <w:t xml:space="preserve">. </w:t>
      </w:r>
      <m:oMath>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eff</m:t>
            </m:r>
          </m:sub>
        </m:sSub>
      </m:oMath>
      <w:r>
        <w:t xml:space="preserve"> degradation at full power operation and flexible power operation (illustrative).</w:t>
      </w:r>
    </w:p>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54"/>
      </w:tblGrid>
      <w:tr w:rsidR="00672194" w14:paraId="124EDDCA" w14:textId="31F295D8" w:rsidTr="00B23228">
        <w:trPr>
          <w:trHeight w:val="368"/>
        </w:trPr>
        <w:tc>
          <w:tcPr>
            <w:tcW w:w="4673" w:type="dxa"/>
          </w:tcPr>
          <w:p w14:paraId="48D9AA4E" w14:textId="77777777" w:rsidR="00835FEA" w:rsidRDefault="00FA384B" w:rsidP="00835FEA">
            <w:pPr>
              <w:pStyle w:val="BodyText"/>
              <w:keepNext/>
              <w:ind w:firstLine="0"/>
              <w:jc w:val="center"/>
            </w:pPr>
            <w:r w:rsidRPr="00265A99">
              <w:rPr>
                <w:noProof/>
              </w:rPr>
              <w:lastRenderedPageBreak/>
              <w:drawing>
                <wp:inline distT="0" distB="0" distL="0" distR="0" wp14:anchorId="5BAB0FA0" wp14:editId="7F5903FD">
                  <wp:extent cx="2578608" cy="1444752"/>
                  <wp:effectExtent l="0" t="0" r="0" b="3175"/>
                  <wp:docPr id="1617921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21694" name=""/>
                          <pic:cNvPicPr/>
                        </pic:nvPicPr>
                        <pic:blipFill>
                          <a:blip r:embed="rId11"/>
                          <a:stretch>
                            <a:fillRect/>
                          </a:stretch>
                        </pic:blipFill>
                        <pic:spPr>
                          <a:xfrm>
                            <a:off x="0" y="0"/>
                            <a:ext cx="2578608" cy="1444752"/>
                          </a:xfrm>
                          <a:prstGeom prst="rect">
                            <a:avLst/>
                          </a:prstGeom>
                        </pic:spPr>
                      </pic:pic>
                    </a:graphicData>
                  </a:graphic>
                </wp:inline>
              </w:drawing>
            </w:r>
          </w:p>
          <w:p w14:paraId="7C90A901" w14:textId="6200A7C0" w:rsidR="00FA384B" w:rsidRDefault="00835FEA" w:rsidP="00835FEA">
            <w:pPr>
              <w:pStyle w:val="Caption"/>
              <w:jc w:val="center"/>
            </w:pPr>
            <w:r>
              <w:t>[</w:t>
            </w:r>
            <w:r>
              <w:fldChar w:fldCharType="begin"/>
            </w:r>
            <w:r>
              <w:instrText xml:space="preserve"> SEQ [ \* alphabetic </w:instrText>
            </w:r>
            <w:r>
              <w:fldChar w:fldCharType="separate"/>
            </w:r>
            <w:r w:rsidR="00FD41EB">
              <w:rPr>
                <w:noProof/>
              </w:rPr>
              <w:t>a</w:t>
            </w:r>
            <w:r>
              <w:fldChar w:fldCharType="end"/>
            </w:r>
            <w:r>
              <w:t>]</w:t>
            </w:r>
          </w:p>
          <w:p w14:paraId="54B080ED" w14:textId="2A07CF5C" w:rsidR="00FA384B" w:rsidRDefault="00FA384B" w:rsidP="003442B9">
            <w:pPr>
              <w:pStyle w:val="Caption"/>
              <w:jc w:val="center"/>
            </w:pPr>
          </w:p>
        </w:tc>
        <w:tc>
          <w:tcPr>
            <w:tcW w:w="4354" w:type="dxa"/>
          </w:tcPr>
          <w:p w14:paraId="6A5D9B94" w14:textId="77777777" w:rsidR="00835FEA" w:rsidRDefault="00672194" w:rsidP="00835FEA">
            <w:pPr>
              <w:pStyle w:val="BodyText"/>
              <w:keepNext/>
              <w:ind w:firstLine="0"/>
              <w:jc w:val="center"/>
            </w:pPr>
            <w:r w:rsidRPr="00672194">
              <w:rPr>
                <w:noProof/>
              </w:rPr>
              <w:drawing>
                <wp:inline distT="0" distB="0" distL="0" distR="0" wp14:anchorId="2B8CC23A" wp14:editId="14FAF414">
                  <wp:extent cx="2578608" cy="1444752"/>
                  <wp:effectExtent l="0" t="0" r="0" b="3175"/>
                  <wp:docPr id="11121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1022" name=""/>
                          <pic:cNvPicPr/>
                        </pic:nvPicPr>
                        <pic:blipFill>
                          <a:blip r:embed="rId12"/>
                          <a:stretch>
                            <a:fillRect/>
                          </a:stretch>
                        </pic:blipFill>
                        <pic:spPr>
                          <a:xfrm>
                            <a:off x="0" y="0"/>
                            <a:ext cx="2578608" cy="1444752"/>
                          </a:xfrm>
                          <a:prstGeom prst="rect">
                            <a:avLst/>
                          </a:prstGeom>
                        </pic:spPr>
                      </pic:pic>
                    </a:graphicData>
                  </a:graphic>
                </wp:inline>
              </w:drawing>
            </w:r>
          </w:p>
          <w:p w14:paraId="426B5663" w14:textId="33AB2145" w:rsidR="00FA384B" w:rsidRPr="00265A99" w:rsidRDefault="00835FEA" w:rsidP="00835FEA">
            <w:pPr>
              <w:pStyle w:val="Caption"/>
              <w:jc w:val="center"/>
            </w:pPr>
            <w:r>
              <w:t>[</w:t>
            </w:r>
            <w:r>
              <w:fldChar w:fldCharType="begin"/>
            </w:r>
            <w:r>
              <w:instrText xml:space="preserve"> SEQ [ \* alphabetic </w:instrText>
            </w:r>
            <w:r>
              <w:fldChar w:fldCharType="separate"/>
            </w:r>
            <w:r w:rsidR="00FD41EB">
              <w:rPr>
                <w:noProof/>
              </w:rPr>
              <w:t>b</w:t>
            </w:r>
            <w:r>
              <w:fldChar w:fldCharType="end"/>
            </w:r>
            <w:r>
              <w:t>]</w:t>
            </w:r>
          </w:p>
        </w:tc>
      </w:tr>
      <w:tr w:rsidR="00672194" w14:paraId="61F59045" w14:textId="2ADDE26B" w:rsidTr="00B23228">
        <w:trPr>
          <w:trHeight w:val="381"/>
        </w:trPr>
        <w:tc>
          <w:tcPr>
            <w:tcW w:w="4673" w:type="dxa"/>
          </w:tcPr>
          <w:p w14:paraId="2E0BB0A6" w14:textId="77777777" w:rsidR="00835FEA" w:rsidRDefault="00FA384B" w:rsidP="00835FEA">
            <w:pPr>
              <w:pStyle w:val="BodyText"/>
              <w:keepNext/>
              <w:ind w:firstLine="0"/>
              <w:jc w:val="center"/>
            </w:pPr>
            <w:r w:rsidRPr="002A2BCE">
              <w:rPr>
                <w:noProof/>
              </w:rPr>
              <w:drawing>
                <wp:inline distT="0" distB="0" distL="0" distR="0" wp14:anchorId="565F6925" wp14:editId="7A72692C">
                  <wp:extent cx="2615184" cy="1463040"/>
                  <wp:effectExtent l="0" t="0" r="1270" b="0"/>
                  <wp:docPr id="90510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10216" name=""/>
                          <pic:cNvPicPr/>
                        </pic:nvPicPr>
                        <pic:blipFill>
                          <a:blip r:embed="rId13"/>
                          <a:stretch>
                            <a:fillRect/>
                          </a:stretch>
                        </pic:blipFill>
                        <pic:spPr>
                          <a:xfrm>
                            <a:off x="0" y="0"/>
                            <a:ext cx="2615184" cy="1463040"/>
                          </a:xfrm>
                          <a:prstGeom prst="rect">
                            <a:avLst/>
                          </a:prstGeom>
                        </pic:spPr>
                      </pic:pic>
                    </a:graphicData>
                  </a:graphic>
                </wp:inline>
              </w:drawing>
            </w:r>
          </w:p>
          <w:p w14:paraId="76C440C4" w14:textId="75DC5B7E" w:rsidR="00FA384B" w:rsidRDefault="00835FEA" w:rsidP="00976A29">
            <w:pPr>
              <w:pStyle w:val="Caption"/>
              <w:jc w:val="center"/>
            </w:pPr>
            <w:r>
              <w:t>[</w:t>
            </w:r>
            <w:r>
              <w:fldChar w:fldCharType="begin"/>
            </w:r>
            <w:r>
              <w:instrText xml:space="preserve"> SEQ [ \* alphabetic </w:instrText>
            </w:r>
            <w:r>
              <w:fldChar w:fldCharType="separate"/>
            </w:r>
            <w:r w:rsidR="00FD41EB">
              <w:rPr>
                <w:noProof/>
              </w:rPr>
              <w:t>c</w:t>
            </w:r>
            <w:r>
              <w:fldChar w:fldCharType="end"/>
            </w:r>
            <w:r>
              <w:t>]</w:t>
            </w:r>
          </w:p>
        </w:tc>
        <w:tc>
          <w:tcPr>
            <w:tcW w:w="4354" w:type="dxa"/>
          </w:tcPr>
          <w:p w14:paraId="50E59ED2" w14:textId="77777777" w:rsidR="00835FEA" w:rsidRDefault="00672194" w:rsidP="00835FEA">
            <w:pPr>
              <w:pStyle w:val="BodyText"/>
              <w:keepNext/>
              <w:ind w:firstLine="0"/>
              <w:jc w:val="center"/>
            </w:pPr>
            <w:r w:rsidRPr="00672194">
              <w:rPr>
                <w:noProof/>
              </w:rPr>
              <w:drawing>
                <wp:inline distT="0" distB="0" distL="0" distR="0" wp14:anchorId="7BF748B8" wp14:editId="1239A8E2">
                  <wp:extent cx="2532888" cy="1417320"/>
                  <wp:effectExtent l="0" t="0" r="0" b="5080"/>
                  <wp:docPr id="1366411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11615" name=""/>
                          <pic:cNvPicPr/>
                        </pic:nvPicPr>
                        <pic:blipFill>
                          <a:blip r:embed="rId14"/>
                          <a:stretch>
                            <a:fillRect/>
                          </a:stretch>
                        </pic:blipFill>
                        <pic:spPr>
                          <a:xfrm>
                            <a:off x="0" y="0"/>
                            <a:ext cx="2532888" cy="1417320"/>
                          </a:xfrm>
                          <a:prstGeom prst="rect">
                            <a:avLst/>
                          </a:prstGeom>
                        </pic:spPr>
                      </pic:pic>
                    </a:graphicData>
                  </a:graphic>
                </wp:inline>
              </w:drawing>
            </w:r>
          </w:p>
          <w:p w14:paraId="1D43DD2B" w14:textId="4D1AE679" w:rsidR="00FA384B" w:rsidRPr="002A2BCE" w:rsidRDefault="00835FEA" w:rsidP="00835FEA">
            <w:pPr>
              <w:pStyle w:val="Caption"/>
              <w:jc w:val="center"/>
            </w:pPr>
            <w:r>
              <w:t>[</w:t>
            </w:r>
            <w:r>
              <w:fldChar w:fldCharType="begin"/>
            </w:r>
            <w:r>
              <w:instrText xml:space="preserve"> SEQ [ \* alphabetic </w:instrText>
            </w:r>
            <w:r>
              <w:fldChar w:fldCharType="separate"/>
            </w:r>
            <w:r w:rsidR="00FD41EB">
              <w:rPr>
                <w:noProof/>
              </w:rPr>
              <w:t>d</w:t>
            </w:r>
            <w:r>
              <w:fldChar w:fldCharType="end"/>
            </w:r>
            <w:r>
              <w:t>]</w:t>
            </w:r>
          </w:p>
        </w:tc>
      </w:tr>
    </w:tbl>
    <w:p w14:paraId="33AA3E1B" w14:textId="37FC40F9" w:rsidR="00274231" w:rsidRPr="00CD7A20" w:rsidRDefault="007F6124" w:rsidP="00CD7A20">
      <w:pPr>
        <w:pStyle w:val="Caption"/>
        <w:jc w:val="both"/>
        <w:rPr>
          <w:color w:val="000000" w:themeColor="text1"/>
          <w:sz w:val="16"/>
          <w:szCs w:val="16"/>
        </w:rPr>
      </w:pPr>
      <w:bookmarkStart w:id="11" w:name="_Ref167714156"/>
      <w:r w:rsidRPr="007E28FD">
        <w:rPr>
          <w:sz w:val="16"/>
          <w:szCs w:val="16"/>
        </w:rPr>
        <w:t xml:space="preserve">Figure </w:t>
      </w:r>
      <w:r w:rsidR="00AF131C" w:rsidRPr="007E28FD">
        <w:rPr>
          <w:sz w:val="16"/>
          <w:szCs w:val="16"/>
        </w:rPr>
        <w:fldChar w:fldCharType="begin"/>
      </w:r>
      <w:r w:rsidR="00AF131C" w:rsidRPr="007E28FD">
        <w:rPr>
          <w:sz w:val="16"/>
          <w:szCs w:val="16"/>
        </w:rPr>
        <w:instrText xml:space="preserve"> SEQ Figure \* ARABIC </w:instrText>
      </w:r>
      <w:r w:rsidR="00AF131C" w:rsidRPr="007E28FD">
        <w:rPr>
          <w:sz w:val="16"/>
          <w:szCs w:val="16"/>
        </w:rPr>
        <w:fldChar w:fldCharType="separate"/>
      </w:r>
      <w:r w:rsidR="00FD41EB">
        <w:rPr>
          <w:noProof/>
          <w:sz w:val="16"/>
          <w:szCs w:val="16"/>
        </w:rPr>
        <w:t>2</w:t>
      </w:r>
      <w:r w:rsidR="00AF131C" w:rsidRPr="007E28FD">
        <w:rPr>
          <w:sz w:val="16"/>
          <w:szCs w:val="16"/>
        </w:rPr>
        <w:fldChar w:fldCharType="end"/>
      </w:r>
      <w:bookmarkEnd w:id="11"/>
      <w:r w:rsidRPr="007E28FD">
        <w:rPr>
          <w:sz w:val="16"/>
          <w:szCs w:val="16"/>
        </w:rPr>
        <w:t xml:space="preserve">. </w:t>
      </w:r>
      <w:r w:rsidR="00CA607C" w:rsidRPr="007E28FD">
        <w:rPr>
          <w:sz w:val="16"/>
          <w:szCs w:val="16"/>
        </w:rPr>
        <w:t>Different r</w:t>
      </w:r>
      <w:r w:rsidRPr="007E28FD">
        <w:rPr>
          <w:sz w:val="16"/>
          <w:szCs w:val="16"/>
        </w:rPr>
        <w:t>amp scenarios and subsequent Xe</w:t>
      </w:r>
      <w:r w:rsidR="001A3E00">
        <w:rPr>
          <w:sz w:val="16"/>
          <w:szCs w:val="16"/>
        </w:rPr>
        <w:t>-135</w:t>
      </w:r>
      <w:r w:rsidRPr="007E28FD">
        <w:rPr>
          <w:sz w:val="16"/>
          <w:szCs w:val="16"/>
        </w:rPr>
        <w:t xml:space="preserve"> and I</w:t>
      </w:r>
      <w:r w:rsidR="001A3E00">
        <w:rPr>
          <w:sz w:val="16"/>
          <w:szCs w:val="16"/>
        </w:rPr>
        <w:t>-135</w:t>
      </w:r>
      <w:r w:rsidRPr="007E28FD">
        <w:rPr>
          <w:sz w:val="16"/>
          <w:szCs w:val="16"/>
        </w:rPr>
        <w:t xml:space="preserve"> evolution. </w:t>
      </w:r>
      <w:r w:rsidR="00587DA1" w:rsidRPr="007E28FD">
        <w:rPr>
          <w:color w:val="000000" w:themeColor="text1"/>
          <w:sz w:val="16"/>
          <w:szCs w:val="16"/>
        </w:rPr>
        <w:t>[a] Ramp down from 100% to 50% power at 20%/hr</w:t>
      </w:r>
      <w:r w:rsidR="00942823" w:rsidRPr="007E28FD">
        <w:rPr>
          <w:color w:val="000000" w:themeColor="text1"/>
          <w:sz w:val="16"/>
          <w:szCs w:val="16"/>
        </w:rPr>
        <w:t>, [</w:t>
      </w:r>
      <w:r w:rsidR="004066BD">
        <w:rPr>
          <w:color w:val="000000" w:themeColor="text1"/>
          <w:sz w:val="16"/>
          <w:szCs w:val="16"/>
        </w:rPr>
        <w:t>b</w:t>
      </w:r>
      <w:r w:rsidR="00942823" w:rsidRPr="007E28FD">
        <w:rPr>
          <w:color w:val="000000" w:themeColor="text1"/>
          <w:sz w:val="16"/>
          <w:szCs w:val="16"/>
        </w:rPr>
        <w:t xml:space="preserve">] </w:t>
      </w:r>
      <w:r w:rsidR="004066BD" w:rsidRPr="007E28FD">
        <w:rPr>
          <w:color w:val="000000" w:themeColor="text1"/>
          <w:sz w:val="16"/>
          <w:szCs w:val="16"/>
        </w:rPr>
        <w:t>Ramp up from 50% to 100% power at 20%/hr</w:t>
      </w:r>
      <w:r w:rsidR="004066BD">
        <w:rPr>
          <w:color w:val="000000" w:themeColor="text1"/>
          <w:sz w:val="16"/>
          <w:szCs w:val="16"/>
        </w:rPr>
        <w:t xml:space="preserve">, [c] </w:t>
      </w:r>
      <w:r w:rsidR="00942823" w:rsidRPr="007E28FD">
        <w:rPr>
          <w:color w:val="000000" w:themeColor="text1"/>
          <w:sz w:val="16"/>
          <w:szCs w:val="16"/>
        </w:rPr>
        <w:t>Ramp down and up from 100% to 50% and back to 100% power at a ramp rate of 20%/hr, [</w:t>
      </w:r>
      <w:r w:rsidR="004066BD">
        <w:rPr>
          <w:color w:val="000000" w:themeColor="text1"/>
          <w:sz w:val="16"/>
          <w:szCs w:val="16"/>
        </w:rPr>
        <w:t>d</w:t>
      </w:r>
      <w:r w:rsidR="00AF131C" w:rsidRPr="007E28FD">
        <w:rPr>
          <w:color w:val="000000" w:themeColor="text1"/>
          <w:sz w:val="16"/>
          <w:szCs w:val="16"/>
        </w:rPr>
        <w:t>] Ramp up from 50% to 100% and back to 50% at 20%/hr</w:t>
      </w:r>
      <w:r w:rsidR="002142D2">
        <w:rPr>
          <w:color w:val="000000" w:themeColor="text1"/>
          <w:sz w:val="16"/>
          <w:szCs w:val="16"/>
        </w:rPr>
        <w:t>.</w:t>
      </w:r>
    </w:p>
    <w:p w14:paraId="47CF34B9" w14:textId="35FBEAE6" w:rsidR="007628B0" w:rsidRDefault="001379A1" w:rsidP="004C6060">
      <w:pPr>
        <w:pStyle w:val="Heading2"/>
      </w:pPr>
      <w:r>
        <w:t>METHODS</w:t>
      </w:r>
    </w:p>
    <w:p w14:paraId="7D2FCECE" w14:textId="38199DF7" w:rsidR="00816F05" w:rsidRDefault="00106F15" w:rsidP="00B77877">
      <w:pPr>
        <w:pStyle w:val="BodyText"/>
      </w:pPr>
      <w:r>
        <w:t xml:space="preserve">Power plants have numerous technical constraints, such as minimum output levels, up and downtime, start-up and shutdown time, ramp-up/down rates, etc., which need </w:t>
      </w:r>
      <w:r w:rsidR="0066606C">
        <w:t xml:space="preserve">to be </w:t>
      </w:r>
      <w:proofErr w:type="gramStart"/>
      <w:r w:rsidR="0066606C">
        <w:t>taken into account</w:t>
      </w:r>
      <w:proofErr w:type="gramEnd"/>
      <w:r w:rsidR="0066606C">
        <w:t xml:space="preserve"> </w:t>
      </w:r>
      <w:r w:rsidR="00DA7931">
        <w:t>before</w:t>
      </w:r>
      <w:r>
        <w:t xml:space="preserve"> </w:t>
      </w:r>
      <w:r w:rsidR="0066606C">
        <w:t xml:space="preserve">making a decision on </w:t>
      </w:r>
      <w:r>
        <w:t>commit</w:t>
      </w:r>
      <w:r w:rsidR="0066606C">
        <w:t>ment</w:t>
      </w:r>
      <w:r>
        <w:t xml:space="preserve"> for generation. </w:t>
      </w:r>
      <w:r w:rsidR="00D065C4">
        <w:t>Unit Commitment (UC), a mixed integer linear programming (MILP) optimization model</w:t>
      </w:r>
      <w:r w:rsidR="0066606C">
        <w:t>,</w:t>
      </w:r>
      <w:r w:rsidR="00D065C4">
        <w:t xml:space="preserve"> is widely used for such scheduling </w:t>
      </w:r>
      <w:r w:rsidR="00D065C4">
        <w:fldChar w:fldCharType="begin"/>
      </w:r>
      <w:r w:rsidR="00D065C4">
        <w:instrText xml:space="preserve"> ADDIN ZOTERO_ITEM CSL_CITATION {"citationID":"B7MNIS2I","properties":{"formattedCitation":"[18]","plainCitation":"[18]","noteIndex":0},"citationItems":[{"id":1756,"uris":["http://zotero.org/users/5694173/items/F88ILG8X"],"itemData":{"id":1756,"type":"article-journal","abstract":"We provide a comprehensive overview of mixed integer programming formulations for the unit commitment (UC) problem. UC formulations have been an especially active area of research over the past twelve years, due to their practical importance in power grid operations, and this paper serves as a capstone for this line of work. We additionally provide publicly available reference implementations of all formulations examined. We computationally test existing and novel UC formulations on a suite of instances drawn from both academic and real-world data sources. Driven by our computational experience from this and previous work, we contribute some additional formulations for both generator production upper bounds and piecewise linear production costs. By composing new UC formulations using existing components found in the literature and new components introduced in this paper, we demonstrate that performance can be signiﬁcantly improved – and in the process, we identify a new state-of-the-art UC formulation.","container-title":"INFORMS Journal on Computing","DOI":"10.1287/ijoc.2019.0944","ISSN":"1091-9856, 1526-5528","journalAbbreviation":"INFORMS Journal on Computing","language":"en","page":"ijoc.2019.0944","source":"DOI.org (Crossref)","title":"On Mixed-Integer Programming Formulations for the Unit Commitment Problem","author":[{"family":"Knueven","given":"Bernard"},{"family":"Ostrowski","given":"James"},{"family":"Watson","given":"Jean-Paul"}],"issued":{"date-parts":[["2020",6,25]]}}}],"schema":"https://github.com/citation-style-language/schema/raw/master/csl-citation.json"} </w:instrText>
      </w:r>
      <w:r w:rsidR="00D065C4">
        <w:fldChar w:fldCharType="separate"/>
      </w:r>
      <w:r w:rsidR="00D065C4">
        <w:rPr>
          <w:noProof/>
        </w:rPr>
        <w:t>[18]</w:t>
      </w:r>
      <w:r w:rsidR="00D065C4">
        <w:fldChar w:fldCharType="end"/>
      </w:r>
      <w:r w:rsidR="00D065C4">
        <w:t xml:space="preserve">. </w:t>
      </w:r>
      <w:r w:rsidR="00B72B68">
        <w:t>UC</w:t>
      </w:r>
      <w:r w:rsidR="000E2DDF">
        <w:t xml:space="preserve"> coordinates the generation schedule of a set of power plants </w:t>
      </w:r>
      <w:r w:rsidR="00DA77F1">
        <w:t>s</w:t>
      </w:r>
      <w:r w:rsidR="00EA76AC">
        <w:t>uch</w:t>
      </w:r>
      <w:r w:rsidR="000E2DDF">
        <w:t xml:space="preserve"> that the objective is met at the lowest</w:t>
      </w:r>
      <w:r w:rsidR="00B77877">
        <w:t xml:space="preserve"> </w:t>
      </w:r>
      <w:r w:rsidR="000E2DDF">
        <w:t xml:space="preserve">operation </w:t>
      </w:r>
      <w:r w:rsidR="00B77877">
        <w:t>cost</w:t>
      </w:r>
      <w:r w:rsidR="00C35124">
        <w:t xml:space="preserve"> while all technical constraints are met</w:t>
      </w:r>
      <w:r w:rsidR="00B77877">
        <w:t>.</w:t>
      </w:r>
      <w:r w:rsidR="002C0EB9">
        <w:t xml:space="preserve"> </w:t>
      </w:r>
      <w:r w:rsidR="005C108C">
        <w:t xml:space="preserve">Power plant operators are provided with </w:t>
      </w:r>
      <w:r w:rsidR="009D1F44">
        <w:t>the</w:t>
      </w:r>
      <w:r w:rsidR="005C108C">
        <w:t xml:space="preserve"> commitment schedule ahead of time</w:t>
      </w:r>
      <w:r w:rsidR="00DA77F1">
        <w:t>,</w:t>
      </w:r>
      <w:r w:rsidR="005C108C">
        <w:t xml:space="preserve"> and any </w:t>
      </w:r>
      <w:r w:rsidR="005C774E">
        <w:t>un</w:t>
      </w:r>
      <w:r w:rsidR="005C108C">
        <w:t xml:space="preserve">certainty in demand or renewable generation </w:t>
      </w:r>
      <w:r w:rsidR="009D1F44">
        <w:t>are</w:t>
      </w:r>
      <w:r w:rsidR="005C108C">
        <w:t xml:space="preserve"> offset by including reserve </w:t>
      </w:r>
      <w:r w:rsidR="009928FA">
        <w:t>margins</w:t>
      </w:r>
      <w:r w:rsidR="005C108C">
        <w:t xml:space="preserve"> </w:t>
      </w:r>
      <w:r w:rsidR="00B06BF6">
        <w:t xml:space="preserve">on top of </w:t>
      </w:r>
      <w:r w:rsidR="00B27F7E">
        <w:t xml:space="preserve">the </w:t>
      </w:r>
      <w:r w:rsidR="005C108C">
        <w:t>generation commitments</w:t>
      </w:r>
      <w:r w:rsidR="005C774E">
        <w:t xml:space="preserve"> </w:t>
      </w:r>
      <w:r w:rsidR="005C774E">
        <w:fldChar w:fldCharType="begin"/>
      </w:r>
      <w:r w:rsidR="006C1288">
        <w:instrText xml:space="preserve"> ADDIN ZOTERO_ITEM CSL_CITATION {"citationID":"kePRwn9Y","properties":{"formattedCitation":"[19]","plainCitation":"[19]","noteIndex":0},"citationItems":[{"id":2155,"uris":["http://zotero.org/users/5694173/items/XVXICQ73"],"itemData":{"id":2155,"type":"article-journal","abstract":"As more non-dispatchable renewable resources are integrated into the grid, it will become increasingly difficult to predict the transfer capabilities and the network congestion. At the same time, renewable resources require operators to acquire more operating reserves. With today's deterministic reserve requirements unable to ensure optimal reserve locations, improvements to reserve policies are needed to ensure reserve deliverability while maintaining a reliable system at least cost. This paper proposes a daily reserve zone determination procedure, which is able to reflect system operating conditions by utilizing probabilistic power flows. A statistical clustering algorithm is used to cluster buses together to produce the zones; the algorithm uses a centrality measurement, which is based on weighted power transfer distribution factors. The proposed method is validated by testing it on a modified IEEE 118-bus system for multiple days; the proposed method is compared against existing reserve zone partitioning procedures. While the proposed reserve zone determination method is a heuristic, it is shown to be effective and it is a computationally tractable method. The proposed method can be used on its own and can be used along with stochastic programming techniques that implicitly determine reserves.","container-title":"IEEE Transactions on Power Systems","DOI":"10.1109/TPWRS.2014.2328605","ISSN":"1558-0679","issue":"2","note":"event-title: IEEE Transactions on Power Systems","page":"612-620","source":"IEEE Xplore","title":"Dynamic Reserve Zones for Day-Ahead Unit Commitment With Renewable Resources","volume":"30","author":[{"family":"Wang","given":"Fengyu"},{"family":"Hedman","given":"Kory W."}],"issued":{"date-parts":[["2015",3]]}}}],"schema":"https://github.com/citation-style-language/schema/raw/master/csl-citation.json"} </w:instrText>
      </w:r>
      <w:r w:rsidR="005C774E">
        <w:fldChar w:fldCharType="separate"/>
      </w:r>
      <w:r w:rsidR="006C1288">
        <w:rPr>
          <w:noProof/>
        </w:rPr>
        <w:t>[19]</w:t>
      </w:r>
      <w:r w:rsidR="005C774E">
        <w:fldChar w:fldCharType="end"/>
      </w:r>
      <w:r w:rsidR="005C108C">
        <w:t>.</w:t>
      </w:r>
    </w:p>
    <w:p w14:paraId="39825AF4" w14:textId="2F519B4F" w:rsidR="00A333B6" w:rsidRDefault="00A333B6" w:rsidP="00B77877">
      <w:pPr>
        <w:pStyle w:val="BodyText"/>
      </w:pPr>
      <w:r>
        <w:t>Traditionally</w:t>
      </w:r>
      <w:r w:rsidR="00DA77F1">
        <w:t>, NPPs in energy system models include regulation-imposed operational constraints, start-up, shutdown costs,</w:t>
      </w:r>
      <w:r>
        <w:t xml:space="preserve"> and variable cost</w:t>
      </w:r>
      <w:r w:rsidR="00215139">
        <w:t>s</w:t>
      </w:r>
      <w:r w:rsidR="001D6D22">
        <w:t xml:space="preserve"> </w:t>
      </w:r>
      <w:r w:rsidR="001D6D22">
        <w:fldChar w:fldCharType="begin"/>
      </w:r>
      <w:r w:rsidR="001D6D22">
        <w:instrText xml:space="preserve"> ADDIN ZOTERO_ITEM CSL_CITATION {"citationID":"yr8j40tz","properties":{"formattedCitation":"[6]","plainCitation":"[6]","noteIndex":0},"citationItems":[{"id":1602,"uris":["http://zotero.org/users/5694173/items/FXGYIHL4"],"itemData":{"id":1602,"type":"report","abstract":"The U.S. Department of Energy's Office of Scientific and Technical Information","language":"English","number":"ANL/NSE-21/55","publisher":"Argonne National Lab. (ANL), Argonne, IL (United States)","source":"www.osti.gov","title":"Reactor Power Size Impacts on Nuclear Competitiveness in a Carbon-Constrained Future","URL":"https://www.osti.gov/biblio/1865640","author":[{"family":"Stauff","given":"N."},{"family":"Mann","given":"W. N."},{"family":"Biegel","given":"K."},{"family":"Levin","given":"T."},{"family":"Rader","given":"J. D."},{"family":"Cuadra","given":"A."},{"family":"Kim","given":"S. H."}],"accessed":{"date-parts":[["2022",11,21]]},"issued":{"date-parts":[["2021",9,30]]}}}],"schema":"https://github.com/citation-style-language/schema/raw/master/csl-citation.json"} </w:instrText>
      </w:r>
      <w:r w:rsidR="001D6D22">
        <w:fldChar w:fldCharType="separate"/>
      </w:r>
      <w:r w:rsidR="001D6D22">
        <w:rPr>
          <w:noProof/>
        </w:rPr>
        <w:t>[6]</w:t>
      </w:r>
      <w:r w:rsidR="001D6D22">
        <w:fldChar w:fldCharType="end"/>
      </w:r>
      <w:r>
        <w:t>.</w:t>
      </w:r>
      <w:r w:rsidR="004B3D0F">
        <w:t xml:space="preserve"> This representation </w:t>
      </w:r>
      <w:r w:rsidR="0066606C">
        <w:t xml:space="preserve">has often ignored </w:t>
      </w:r>
      <w:r w:rsidR="004B3D0F">
        <w:t>the full range of flexibility for NPPs</w:t>
      </w:r>
      <w:r w:rsidR="00215139">
        <w:t xml:space="preserve"> at </w:t>
      </w:r>
      <w:r w:rsidR="003355FB">
        <w:t>BOL</w:t>
      </w:r>
      <w:r w:rsidR="004B3D0F">
        <w:t xml:space="preserve"> and the decreasing flexibility at the EO</w:t>
      </w:r>
      <w:r w:rsidR="00B5190E">
        <w:t>L</w:t>
      </w:r>
      <w:r w:rsidR="004B3D0F">
        <w:t xml:space="preserve">. </w:t>
      </w:r>
      <w:r w:rsidR="00F074E8">
        <w:t xml:space="preserve">These observations motivate this present work, in which nuclear fuel burnup and the subsequent Xenon poisoning-induced minimum power level and deadtimes </w:t>
      </w:r>
      <w:r w:rsidR="00DA77F1">
        <w:t>are added to the traditional UC model</w:t>
      </w:r>
      <w:r w:rsidR="005C7AAF">
        <w:t>.</w:t>
      </w:r>
      <w:r w:rsidR="00A107C8">
        <w:t xml:space="preserve"> </w:t>
      </w:r>
    </w:p>
    <w:p w14:paraId="1D94104A" w14:textId="62470617" w:rsidR="00B83BB4" w:rsidRDefault="00010029" w:rsidP="00B83BB4">
      <w:pPr>
        <w:pStyle w:val="Heading3"/>
      </w:pPr>
      <w:r>
        <w:t xml:space="preserve">NPP constraints </w:t>
      </w:r>
    </w:p>
    <w:p w14:paraId="28B7975D" w14:textId="20652FE2" w:rsidR="009535D7" w:rsidRDefault="00430F85" w:rsidP="004C598C">
      <w:pPr>
        <w:pStyle w:val="BodyText"/>
      </w:pPr>
      <w:r>
        <w:t>At</w:t>
      </w:r>
      <w:r w:rsidR="00BC6F1C">
        <w:t xml:space="preserve"> BOL NPPs have considerable reactivity margin to </w:t>
      </w:r>
      <w:r w:rsidR="00C062F6">
        <w:t xml:space="preserve">overcome the </w:t>
      </w:r>
      <w:r w:rsidR="00AC0F3F">
        <w:t>peak</w:t>
      </w:r>
      <w:r w:rsidR="00BC6F1C">
        <w:t xml:space="preserve"> </w:t>
      </w:r>
      <w:r w:rsidR="00BC6F1C">
        <w:rPr>
          <w:i/>
          <w:iCs/>
        </w:rPr>
        <w:t>Xenon Defect</w:t>
      </w:r>
      <w:r w:rsidR="00BC6F1C">
        <w:t xml:space="preserve">. As operational </w:t>
      </w:r>
      <w:r w:rsidR="00A97545">
        <w:t>life</w:t>
      </w:r>
      <w:r w:rsidR="00BC6F1C">
        <w:t xml:space="preserve"> goes on, the reactivity margin decreases, and certain ramp depths may induce </w:t>
      </w:r>
      <w:r w:rsidR="00A97545">
        <w:t>d</w:t>
      </w:r>
      <w:r w:rsidR="00BC6F1C">
        <w:t xml:space="preserve">eadtimes (where </w:t>
      </w:r>
      <w:r w:rsidR="007535F7">
        <w:t>an increase in power</w:t>
      </w:r>
      <w:r w:rsidR="006B74F6">
        <w:t xml:space="preserve"> output</w:t>
      </w:r>
      <w:r w:rsidR="00BC6F1C">
        <w:t xml:space="preserve"> is not possible before </w:t>
      </w:r>
      <w:r w:rsidR="006B74F6">
        <w:t xml:space="preserve">a </w:t>
      </w:r>
      <w:r w:rsidR="00BC6F1C">
        <w:t>certain amount of Xe-135 has decayed out).</w:t>
      </w:r>
      <w:r w:rsidR="00BC6F1C">
        <w:rPr>
          <w:i/>
          <w:iCs/>
        </w:rPr>
        <w:t xml:space="preserve"> </w:t>
      </w:r>
      <w:r w:rsidR="00F5634F">
        <w:t xml:space="preserve">To </w:t>
      </w:r>
      <w:r w:rsidR="008E2F72">
        <w:t>that end</w:t>
      </w:r>
      <w:r w:rsidR="00C062F6">
        <w:t>,</w:t>
      </w:r>
      <w:r w:rsidR="008E2F72">
        <w:t xml:space="preserve"> if </w:t>
      </w:r>
      <w:r w:rsidR="007F2EDC">
        <w:t xml:space="preserve">an </w:t>
      </w:r>
      <w:r w:rsidR="008E2F72">
        <w:t>NPP stay</w:t>
      </w:r>
      <w:r w:rsidR="008D751C">
        <w:t>s</w:t>
      </w:r>
      <w:r w:rsidR="008E2F72">
        <w:t xml:space="preserve"> within </w:t>
      </w:r>
      <w:r w:rsidR="006B74F6">
        <w:t>the</w:t>
      </w:r>
      <w:r w:rsidR="008E2F72">
        <w:t xml:space="preserve"> </w:t>
      </w:r>
      <w:r w:rsidR="007F2EDC">
        <w:t xml:space="preserve">precomputed </w:t>
      </w:r>
      <w:r w:rsidR="008E2F72">
        <w:t>power range</w:t>
      </w:r>
      <w:r w:rsidR="00C71349">
        <w:t xml:space="preserve"> </w:t>
      </w:r>
      <w:r w:rsidR="00C062F6">
        <w:t xml:space="preserve">that </w:t>
      </w:r>
      <w:r w:rsidR="006B74F6">
        <w:t>avoid</w:t>
      </w:r>
      <w:r w:rsidR="00C062F6">
        <w:t>s an</w:t>
      </w:r>
      <w:r w:rsidR="006B74F6">
        <w:t xml:space="preserve"> </w:t>
      </w:r>
      <w:r w:rsidR="008D751C">
        <w:t>unmanageable</w:t>
      </w:r>
      <w:r w:rsidR="006B74F6">
        <w:t xml:space="preserve"> </w:t>
      </w:r>
      <w:r w:rsidR="006B74F6" w:rsidRPr="00C71349">
        <w:rPr>
          <w:i/>
          <w:iCs/>
        </w:rPr>
        <w:t xml:space="preserve">Xenon </w:t>
      </w:r>
      <w:r w:rsidR="00C71349" w:rsidRPr="00C71349">
        <w:rPr>
          <w:i/>
          <w:iCs/>
        </w:rPr>
        <w:t>D</w:t>
      </w:r>
      <w:r w:rsidR="006B74F6" w:rsidRPr="00C71349">
        <w:rPr>
          <w:i/>
          <w:iCs/>
        </w:rPr>
        <w:t>efect</w:t>
      </w:r>
      <w:r w:rsidR="006B74F6">
        <w:t xml:space="preserve"> that exceeds the available reactivity margin</w:t>
      </w:r>
      <w:r w:rsidR="00F81EB0">
        <w:t xml:space="preserve">, </w:t>
      </w:r>
      <w:r w:rsidR="00C062F6">
        <w:t xml:space="preserve">it </w:t>
      </w:r>
      <w:r w:rsidR="008E2F72">
        <w:t xml:space="preserve">may operate flexibly without any Xe-135 </w:t>
      </w:r>
      <w:r w:rsidR="006A5903">
        <w:t xml:space="preserve">poisoning </w:t>
      </w:r>
      <w:r w:rsidR="008E2F72">
        <w:t xml:space="preserve">induced deadtime. </w:t>
      </w:r>
      <w:r w:rsidR="00C062F6">
        <w:t xml:space="preserve"> Conversely, if the reactivity margin has decreased due to the partial burnup of the fissile material within the fuel, power ramping transients can potentially induce sufficiently large Xe poisoning </w:t>
      </w:r>
      <w:proofErr w:type="gramStart"/>
      <w:r w:rsidR="00C062F6">
        <w:t>so as to</w:t>
      </w:r>
      <w:proofErr w:type="gramEnd"/>
      <w:r w:rsidR="00C062F6">
        <w:t xml:space="preserve"> prevent further reactor operation until the Xe poisoning transient has decayed sufficiently. </w:t>
      </w:r>
    </w:p>
    <w:p w14:paraId="40FF2CBE" w14:textId="42216315" w:rsidR="00F5634F" w:rsidRDefault="007F2EDC" w:rsidP="00293807">
      <w:pPr>
        <w:pStyle w:val="BodyText"/>
      </w:pPr>
      <w:r>
        <w:t xml:space="preserve">This study does not </w:t>
      </w:r>
      <w:r w:rsidR="00B62A76">
        <w:t>include</w:t>
      </w:r>
      <w:r>
        <w:t xml:space="preserve"> wear and tear of mechanical parts, nor does it take thermal reactivity feedback into account.</w:t>
      </w:r>
      <w:r w:rsidR="00494226">
        <w:t xml:space="preserve"> A precise account of those </w:t>
      </w:r>
      <w:r w:rsidR="00B62A76">
        <w:t>would benefit in understanding flexibility more precisely</w:t>
      </w:r>
      <w:r w:rsidR="005F1D4A">
        <w:t>.</w:t>
      </w:r>
      <w:r w:rsidR="00494226">
        <w:t xml:space="preserve"> </w:t>
      </w:r>
      <w:r w:rsidR="005F1D4A">
        <w:t>However,</w:t>
      </w:r>
      <w:r w:rsidR="00494226">
        <w:t xml:space="preserve"> we assume that once a ramp event has </w:t>
      </w:r>
      <w:r w:rsidR="00B62A76">
        <w:t>ended</w:t>
      </w:r>
      <w:r w:rsidR="00494226">
        <w:t xml:space="preserve"> a minimum stable time has to elapse before another ramp event is started</w:t>
      </w:r>
      <w:r w:rsidR="005F1D4A">
        <w:t xml:space="preserve"> </w:t>
      </w:r>
      <w:r w:rsidR="005F1D4A">
        <w:lastRenderedPageBreak/>
        <w:t>and in no scenario minimum power level can go below 20% rated power</w:t>
      </w:r>
      <w:r w:rsidR="00494226">
        <w:t>.</w:t>
      </w:r>
      <w:r>
        <w:t xml:space="preserve"> </w:t>
      </w:r>
      <w:r w:rsidR="00BF1047">
        <w:t>More details of our treatment of the reactivity-margin/</w:t>
      </w:r>
      <w:r w:rsidR="00BF1047" w:rsidRPr="00F81EB0">
        <w:rPr>
          <w:i/>
          <w:iCs/>
        </w:rPr>
        <w:t>Xe</w:t>
      </w:r>
      <w:r w:rsidR="00F81EB0" w:rsidRPr="00F81EB0">
        <w:rPr>
          <w:i/>
          <w:iCs/>
        </w:rPr>
        <w:t>non</w:t>
      </w:r>
      <w:r w:rsidR="00BF1047" w:rsidRPr="00F81EB0">
        <w:rPr>
          <w:i/>
          <w:iCs/>
        </w:rPr>
        <w:t>-defect</w:t>
      </w:r>
      <w:r w:rsidR="00BF1047">
        <w:t xml:space="preserve"> </w:t>
      </w:r>
      <w:r w:rsidR="006F2C8C">
        <w:t>trade-offs</w:t>
      </w:r>
      <w:r w:rsidR="00BF1047">
        <w:t xml:space="preserve"> </w:t>
      </w:r>
      <w:r w:rsidR="007D2844">
        <w:t>are</w:t>
      </w:r>
      <w:r w:rsidR="00BF1047">
        <w:t xml:space="preserve"> discussed below:</w:t>
      </w:r>
    </w:p>
    <w:p w14:paraId="5BE15875" w14:textId="1EE6051F" w:rsidR="00F5634F" w:rsidRDefault="00F5634F" w:rsidP="007400EF">
      <w:pPr>
        <w:pStyle w:val="Heading4"/>
      </w:pPr>
      <w:r>
        <w:t>Minimum power level</w:t>
      </w:r>
    </w:p>
    <w:p w14:paraId="5100BB11" w14:textId="3B2D35E0" w:rsidR="00DE55A8" w:rsidRPr="007400EF" w:rsidRDefault="0061728B" w:rsidP="008F4A02">
      <w:pPr>
        <w:pStyle w:val="BodyText"/>
      </w:pPr>
      <w:r>
        <w:rPr>
          <w:lang w:val="en-US"/>
        </w:rPr>
        <w:t xml:space="preserve">The minimum power levels NPPs can ramp </w:t>
      </w:r>
      <w:r w:rsidR="004920EC">
        <w:rPr>
          <w:lang w:val="en-US"/>
        </w:rPr>
        <w:t xml:space="preserve">down </w:t>
      </w:r>
      <w:r>
        <w:rPr>
          <w:lang w:val="en-US"/>
        </w:rPr>
        <w:t>to while avoiding Xe</w:t>
      </w:r>
      <w:r w:rsidR="00797413">
        <w:rPr>
          <w:lang w:val="en-US"/>
        </w:rPr>
        <w:t>-135</w:t>
      </w:r>
      <w:r>
        <w:rPr>
          <w:lang w:val="en-US"/>
        </w:rPr>
        <w:t xml:space="preserve"> </w:t>
      </w:r>
      <w:r w:rsidR="00DA77F1">
        <w:rPr>
          <w:lang w:val="en-US"/>
        </w:rPr>
        <w:t>poisoning-induced</w:t>
      </w:r>
      <w:r>
        <w:rPr>
          <w:lang w:val="en-US"/>
        </w:rPr>
        <w:t xml:space="preserve"> deadtimes are computed based on the</w:t>
      </w:r>
      <w:r w:rsidR="007F18A2">
        <w:rPr>
          <w:lang w:val="en-US"/>
        </w:rPr>
        <w:t xml:space="preserve"> state </w:t>
      </w:r>
      <w:r>
        <w:rPr>
          <w:lang w:val="en-US"/>
        </w:rPr>
        <w:t xml:space="preserve">of the reactor as indicated by the </w:t>
      </w:r>
      <m:oMath>
        <m:sSub>
          <m:sSubPr>
            <m:ctrlPr>
              <w:rPr>
                <w:rFonts w:ascii="Cambria Math" w:hAnsi="Cambria Math"/>
              </w:rPr>
            </m:ctrlPr>
          </m:sSubPr>
          <m:e>
            <m:r>
              <w:rPr>
                <w:rFonts w:ascii="Cambria Math" w:hAnsi="Cambria Math"/>
              </w:rPr>
              <m:t>k</m:t>
            </m:r>
          </m:e>
          <m:sub>
            <m:r>
              <w:rPr>
                <w:rFonts w:ascii="Cambria Math" w:hAnsi="Cambria Math"/>
              </w:rPr>
              <m:t>eff</m:t>
            </m:r>
          </m:sub>
        </m:sSub>
      </m:oMath>
      <w:r>
        <w:t xml:space="preserve"> value</w:t>
      </w:r>
      <w:r w:rsidR="001007B9">
        <w:t xml:space="preserve"> at any given time in the fuel lifetime</w:t>
      </w:r>
      <w:r>
        <w:t>.</w:t>
      </w:r>
      <w:r w:rsidR="00C4049A">
        <w:t xml:space="preserve"> </w:t>
      </w:r>
      <w:r w:rsidR="008661DA">
        <w:t xml:space="preserve">A table summarizing the ramp down from 100% power to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min</m:t>
            </m:r>
          </m:sub>
        </m:sSub>
      </m:oMath>
      <w:r w:rsidR="008661DA">
        <w:t xml:space="preserve"> while keeping ramp rate constant at 20%</w:t>
      </w:r>
      <w:r w:rsidR="00D32D95">
        <w:t>/hr</w:t>
      </w:r>
      <w:r w:rsidR="008661DA">
        <w:t xml:space="preserve"> vs the peak </w:t>
      </w:r>
      <w:r w:rsidR="008661DA" w:rsidRPr="00CB4EC5">
        <w:rPr>
          <w:i/>
          <w:iCs/>
        </w:rPr>
        <w:t xml:space="preserve">Xenon </w:t>
      </w:r>
      <w:r w:rsidR="008661DA" w:rsidRPr="002E3459">
        <w:rPr>
          <w:i/>
          <w:iCs/>
        </w:rPr>
        <w:t>defect</w:t>
      </w:r>
      <w:r w:rsidR="00113395" w:rsidRPr="00113395">
        <w:t xml:space="preserve"> (</w:t>
      </w:r>
      <m:oMath>
        <m:sSub>
          <m:sSubPr>
            <m:ctrlPr>
              <w:rPr>
                <w:rFonts w:ascii="Cambria Math" w:hAnsi="Cambria Math"/>
              </w:rPr>
            </m:ctrlPr>
          </m:sSubPr>
          <m:e>
            <m:r>
              <m:rPr>
                <m:sty m:val="p"/>
              </m:rPr>
              <w:rPr>
                <w:rFonts w:ascii="Cambria Math" w:hAnsi="Cambria Math"/>
              </w:rPr>
              <m:t>ρ</m:t>
            </m:r>
          </m:e>
          <m:sub>
            <m:r>
              <m:rPr>
                <m:sty m:val="p"/>
              </m:rPr>
              <w:rPr>
                <w:rFonts w:ascii="Cambria Math" w:hAnsi="Cambria Math"/>
              </w:rPr>
              <m:t>Xe,max</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min</m:t>
                </m:r>
              </m:sub>
            </m:sSub>
          </m:e>
        </m:d>
      </m:oMath>
      <w:r w:rsidR="00113395" w:rsidRPr="00113395">
        <w:t>)</w:t>
      </w:r>
      <w:r w:rsidR="008661DA">
        <w:t xml:space="preserve"> value is </w:t>
      </w:r>
      <w:r w:rsidR="00AD19D3">
        <w:t xml:space="preserve">then </w:t>
      </w:r>
      <w:r w:rsidR="008661DA">
        <w:t xml:space="preserve">built. </w:t>
      </w:r>
      <w:r w:rsidR="00C4049A">
        <w:t xml:space="preserve">Before </w:t>
      </w:r>
      <w:r w:rsidR="00070F93">
        <w:t>running the UC</w:t>
      </w:r>
      <w:r w:rsidR="00C4049A">
        <w:t xml:space="preserve"> for each </w:t>
      </w:r>
      <w:r w:rsidR="00070F93">
        <w:t>day,</w:t>
      </w:r>
      <w:r w:rsidR="00C4049A">
        <w:t xml:space="preserve"> the minimum power levels are determined according to Eq</w:t>
      </w:r>
      <w:r w:rsidR="000261D2">
        <w:t>uation.</w:t>
      </w:r>
      <w:r w:rsidR="008901C3">
        <w:t xml:space="preserve"> </w:t>
      </w:r>
      <w:r w:rsidR="000261D2">
        <w:fldChar w:fldCharType="begin"/>
      </w:r>
      <w:r w:rsidR="000261D2">
        <w:instrText xml:space="preserve"> REF _Ref167727135 \h </w:instrText>
      </w:r>
      <w:r w:rsidR="000261D2">
        <w:fldChar w:fldCharType="separate"/>
      </w:r>
      <w:r w:rsidR="00FD41EB" w:rsidRPr="001A34D4">
        <w:rPr>
          <w:iCs/>
          <w:sz w:val="16"/>
          <w:szCs w:val="16"/>
        </w:rPr>
        <w:t>(</w:t>
      </w:r>
      <w:r w:rsidR="00FD41EB">
        <w:rPr>
          <w:i/>
          <w:iCs/>
          <w:noProof/>
          <w:sz w:val="16"/>
          <w:szCs w:val="16"/>
        </w:rPr>
        <w:t>10</w:t>
      </w:r>
      <w:r w:rsidR="00FD41EB" w:rsidRPr="001A34D4">
        <w:rPr>
          <w:sz w:val="16"/>
          <w:szCs w:val="16"/>
        </w:rPr>
        <w:t>)</w:t>
      </w:r>
      <w:r w:rsidR="000261D2">
        <w:fldChar w:fldCharType="end"/>
      </w:r>
      <w:r w:rsidR="004361A7">
        <w:t xml:space="preserve">. </w:t>
      </w:r>
      <w:r w:rsidR="009739DC">
        <w:t>If the</w:t>
      </w:r>
      <w:r w:rsidR="008F313B">
        <w:t xml:space="preserve"> reactor stays within th</w:t>
      </w:r>
      <w:r w:rsidR="00F65528">
        <w:t>is</w:t>
      </w:r>
      <w:r w:rsidR="00A15D2F">
        <w:t xml:space="preserve"> range of</w:t>
      </w:r>
      <w:r w:rsidR="008F313B">
        <w:t xml:space="preserve">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max</m:t>
            </m:r>
          </m:sub>
        </m:sSub>
      </m:oMath>
      <w:r w:rsidR="008F313B">
        <w:t xml:space="preserve">,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min</m:t>
            </m:r>
          </m:sub>
        </m:sSub>
      </m:oMath>
      <w:r w:rsidR="008F313B">
        <w:t xml:space="preserve">] values, it can ramp up and down without any deadtime since there is enough reactivity margin to override </w:t>
      </w:r>
      <w:r w:rsidR="00A15D2F">
        <w:t xml:space="preserve">the resulting </w:t>
      </w:r>
      <w:r w:rsidR="008F313B">
        <w:t xml:space="preserve">peak </w:t>
      </w:r>
      <w:r w:rsidR="00070F93">
        <w:rPr>
          <w:i/>
          <w:iCs/>
        </w:rPr>
        <w:t>X</w:t>
      </w:r>
      <w:r w:rsidR="008F313B" w:rsidRPr="00070F93">
        <w:rPr>
          <w:i/>
          <w:iCs/>
        </w:rPr>
        <w:t>enon defect</w:t>
      </w:r>
      <w:r w:rsidR="007400EF">
        <w:t>.</w:t>
      </w:r>
      <w:r w:rsidR="00FE227A">
        <w:t xml:space="preserve"> </w:t>
      </w:r>
      <w:r w:rsidR="00FE227A">
        <w:fldChar w:fldCharType="begin"/>
      </w:r>
      <w:r w:rsidR="00FE227A">
        <w:instrText xml:space="preserve"> REF _Ref167727191 \h </w:instrText>
      </w:r>
      <w:r w:rsidR="00FE227A">
        <w:fldChar w:fldCharType="separate"/>
      </w:r>
      <w:r w:rsidR="00FD41EB">
        <w:t xml:space="preserve">Figure </w:t>
      </w:r>
      <w:r w:rsidR="00FD41EB">
        <w:rPr>
          <w:noProof/>
        </w:rPr>
        <w:t>3</w:t>
      </w:r>
      <w:r w:rsidR="00FE227A">
        <w:fldChar w:fldCharType="end"/>
      </w:r>
      <w:r w:rsidR="00FE227A">
        <w:t xml:space="preserve">. </w:t>
      </w:r>
      <w:r w:rsidR="00A15D2F">
        <w:t>s</w:t>
      </w:r>
      <w:r w:rsidR="00FE227A">
        <w:t>hows the evolving</w:t>
      </w:r>
      <w:r w:rsidR="007400EF">
        <w:t xml:space="preserve"> </w:t>
      </w:r>
      <m:oMath>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min</m:t>
            </m:r>
          </m:sub>
        </m:sSub>
      </m:oMath>
      <w:r w:rsidR="00FE227A">
        <w:t xml:space="preserve"> for AP1000 and AP300 from BOL to EOL, at full power operation.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5"/>
        <w:gridCol w:w="557"/>
      </w:tblGrid>
      <w:tr w:rsidR="00D12E98" w:rsidRPr="001A34D4" w14:paraId="28D0C8A2" w14:textId="77777777" w:rsidTr="007A0A4C">
        <w:tc>
          <w:tcPr>
            <w:tcW w:w="8465" w:type="dxa"/>
          </w:tcPr>
          <w:p w14:paraId="6948014D" w14:textId="00E8D5A6" w:rsidR="00197950" w:rsidRPr="00CD48F0" w:rsidRDefault="00000000" w:rsidP="00CD48F0">
            <w:pPr>
              <w:pStyle w:val="Heading4"/>
              <w:keepNext/>
              <w:numPr>
                <w:ilvl w:val="0"/>
                <w:numId w:val="0"/>
              </w:numPr>
              <w:rPr>
                <w:i w:val="0"/>
                <w:sz w:val="16"/>
                <w:szCs w:val="16"/>
              </w:rPr>
            </w:pPr>
            <m:oMathPara>
              <m:oMath>
                <m:sSub>
                  <m:sSubPr>
                    <m:ctrlPr>
                      <w:rPr>
                        <w:rFonts w:ascii="Cambria Math" w:hAnsi="Cambria Math"/>
                        <w:i w:val="0"/>
                        <w:sz w:val="16"/>
                        <w:szCs w:val="16"/>
                      </w:rPr>
                    </m:ctrlPr>
                  </m:sSubPr>
                  <m:e>
                    <m:r>
                      <w:rPr>
                        <w:rFonts w:ascii="Cambria Math" w:hAnsi="Cambria Math"/>
                        <w:sz w:val="16"/>
                        <w:szCs w:val="16"/>
                      </w:rPr>
                      <m:t>argmin</m:t>
                    </m:r>
                  </m:e>
                  <m:sub>
                    <m:sSub>
                      <m:sSubPr>
                        <m:ctrlPr>
                          <w:rPr>
                            <w:rFonts w:ascii="Cambria Math" w:hAnsi="Cambria Math"/>
                            <w:i w:val="0"/>
                            <w:sz w:val="16"/>
                            <w:szCs w:val="16"/>
                          </w:rPr>
                        </m:ctrlPr>
                      </m:sSubPr>
                      <m:e>
                        <m:r>
                          <w:rPr>
                            <w:rFonts w:ascii="Cambria Math" w:hAnsi="Cambria Math"/>
                            <w:sz w:val="16"/>
                            <w:szCs w:val="16"/>
                          </w:rPr>
                          <m:t>P</m:t>
                        </m:r>
                      </m:e>
                      <m:sub>
                        <m:r>
                          <w:rPr>
                            <w:rFonts w:ascii="Cambria Math" w:hAnsi="Cambria Math"/>
                            <w:sz w:val="16"/>
                            <w:szCs w:val="16"/>
                          </w:rPr>
                          <m:t>min</m:t>
                        </m:r>
                      </m:sub>
                    </m:sSub>
                  </m:sub>
                </m:sSub>
                <m:d>
                  <m:dPr>
                    <m:begChr m:val="["/>
                    <m:endChr m:val="]"/>
                    <m:ctrlPr>
                      <w:rPr>
                        <w:rFonts w:ascii="Cambria Math" w:hAnsi="Cambria Math"/>
                        <w:i w:val="0"/>
                        <w:sz w:val="16"/>
                        <w:szCs w:val="16"/>
                      </w:rPr>
                    </m:ctrlPr>
                  </m:dPr>
                  <m:e>
                    <m:r>
                      <w:rPr>
                        <w:rFonts w:ascii="Cambria Math" w:hAnsi="Cambria Math"/>
                        <w:sz w:val="16"/>
                        <w:szCs w:val="16"/>
                      </w:rPr>
                      <m:t>Δ</m:t>
                    </m:r>
                    <m:sSub>
                      <m:sSubPr>
                        <m:ctrlPr>
                          <w:rPr>
                            <w:rFonts w:ascii="Cambria Math" w:hAnsi="Cambria Math"/>
                            <w:i w:val="0"/>
                            <w:sz w:val="16"/>
                            <w:szCs w:val="16"/>
                          </w:rPr>
                        </m:ctrlPr>
                      </m:sSubPr>
                      <m:e>
                        <m:r>
                          <w:rPr>
                            <w:rFonts w:ascii="Cambria Math" w:hAnsi="Cambria Math"/>
                            <w:sz w:val="16"/>
                            <w:szCs w:val="16"/>
                          </w:rPr>
                          <m:t>ρ</m:t>
                        </m:r>
                      </m:e>
                      <m:sub>
                        <m:r>
                          <w:rPr>
                            <w:rFonts w:ascii="Cambria Math" w:hAnsi="Cambria Math"/>
                            <w:sz w:val="16"/>
                            <w:szCs w:val="16"/>
                          </w:rPr>
                          <m:t>marg</m:t>
                        </m:r>
                      </m:sub>
                    </m:sSub>
                    <m:d>
                      <m:dPr>
                        <m:ctrlPr>
                          <w:rPr>
                            <w:rFonts w:ascii="Cambria Math" w:hAnsi="Cambria Math"/>
                            <w:i w:val="0"/>
                            <w:sz w:val="16"/>
                            <w:szCs w:val="16"/>
                          </w:rPr>
                        </m:ctrlPr>
                      </m:dPr>
                      <m:e>
                        <m:r>
                          <w:rPr>
                            <w:rFonts w:ascii="Cambria Math" w:hAnsi="Cambria Math"/>
                            <w:sz w:val="16"/>
                            <w:szCs w:val="16"/>
                          </w:rPr>
                          <m:t>j</m:t>
                        </m:r>
                      </m:e>
                    </m:d>
                    <m:r>
                      <w:rPr>
                        <w:rFonts w:ascii="Cambria Math" w:hAnsi="Cambria Math"/>
                        <w:sz w:val="16"/>
                        <w:szCs w:val="16"/>
                      </w:rPr>
                      <m:t>-</m:t>
                    </m:r>
                    <m:sSub>
                      <m:sSubPr>
                        <m:ctrlPr>
                          <w:rPr>
                            <w:rFonts w:ascii="Cambria Math" w:hAnsi="Cambria Math"/>
                            <w:i w:val="0"/>
                            <w:sz w:val="16"/>
                            <w:szCs w:val="16"/>
                          </w:rPr>
                        </m:ctrlPr>
                      </m:sSubPr>
                      <m:e>
                        <m:r>
                          <w:rPr>
                            <w:rFonts w:ascii="Cambria Math" w:hAnsi="Cambria Math"/>
                            <w:sz w:val="16"/>
                            <w:szCs w:val="16"/>
                          </w:rPr>
                          <m:t>ρ</m:t>
                        </m:r>
                      </m:e>
                      <m:sub>
                        <m:r>
                          <w:rPr>
                            <w:rFonts w:ascii="Cambria Math" w:hAnsi="Cambria Math"/>
                            <w:sz w:val="16"/>
                            <w:szCs w:val="16"/>
                          </w:rPr>
                          <m:t>Xe,max</m:t>
                        </m:r>
                      </m:sub>
                    </m:sSub>
                    <m:d>
                      <m:dPr>
                        <m:ctrlPr>
                          <w:rPr>
                            <w:rFonts w:ascii="Cambria Math" w:hAnsi="Cambria Math"/>
                            <w:i w:val="0"/>
                            <w:sz w:val="16"/>
                            <w:szCs w:val="16"/>
                          </w:rPr>
                        </m:ctrlPr>
                      </m:dPr>
                      <m:e>
                        <m:sSub>
                          <m:sSubPr>
                            <m:ctrlPr>
                              <w:rPr>
                                <w:rFonts w:ascii="Cambria Math" w:hAnsi="Cambria Math"/>
                                <w:i w:val="0"/>
                                <w:sz w:val="16"/>
                                <w:szCs w:val="16"/>
                              </w:rPr>
                            </m:ctrlPr>
                          </m:sSubPr>
                          <m:e>
                            <m:r>
                              <w:rPr>
                                <w:rFonts w:ascii="Cambria Math" w:hAnsi="Cambria Math"/>
                                <w:sz w:val="16"/>
                                <w:szCs w:val="16"/>
                              </w:rPr>
                              <m:t>P</m:t>
                            </m:r>
                          </m:e>
                          <m:sub>
                            <m:r>
                              <w:rPr>
                                <w:rFonts w:ascii="Cambria Math" w:hAnsi="Cambria Math"/>
                                <w:sz w:val="16"/>
                                <w:szCs w:val="16"/>
                              </w:rPr>
                              <m:t>min</m:t>
                            </m:r>
                          </m:sub>
                        </m:sSub>
                      </m:e>
                    </m:d>
                    <m:r>
                      <w:rPr>
                        <w:rFonts w:ascii="Cambria Math" w:hAnsi="Cambria Math"/>
                        <w:sz w:val="16"/>
                        <w:szCs w:val="16"/>
                      </w:rPr>
                      <m:t>&gt;0 &amp; min</m:t>
                    </m:r>
                    <m:d>
                      <m:dPr>
                        <m:ctrlPr>
                          <w:rPr>
                            <w:rFonts w:ascii="Cambria Math" w:hAnsi="Cambria Math"/>
                            <w:i w:val="0"/>
                            <w:sz w:val="16"/>
                            <w:szCs w:val="16"/>
                          </w:rPr>
                        </m:ctrlPr>
                      </m:dPr>
                      <m:e>
                        <m:r>
                          <w:rPr>
                            <w:rFonts w:ascii="Cambria Math" w:hAnsi="Cambria Math"/>
                            <w:sz w:val="16"/>
                            <w:szCs w:val="16"/>
                          </w:rPr>
                          <m:t>Δ</m:t>
                        </m:r>
                        <m:sSub>
                          <m:sSubPr>
                            <m:ctrlPr>
                              <w:rPr>
                                <w:rFonts w:ascii="Cambria Math" w:hAnsi="Cambria Math"/>
                                <w:i w:val="0"/>
                                <w:sz w:val="16"/>
                                <w:szCs w:val="16"/>
                              </w:rPr>
                            </m:ctrlPr>
                          </m:sSubPr>
                          <m:e>
                            <m:r>
                              <w:rPr>
                                <w:rFonts w:ascii="Cambria Math" w:hAnsi="Cambria Math"/>
                                <w:sz w:val="16"/>
                                <w:szCs w:val="16"/>
                              </w:rPr>
                              <m:t>ρ</m:t>
                            </m:r>
                          </m:e>
                          <m:sub>
                            <m:r>
                              <w:rPr>
                                <w:rFonts w:ascii="Cambria Math" w:hAnsi="Cambria Math"/>
                                <w:sz w:val="16"/>
                                <w:szCs w:val="16"/>
                              </w:rPr>
                              <m:t>marg</m:t>
                            </m:r>
                          </m:sub>
                        </m:sSub>
                        <m:d>
                          <m:dPr>
                            <m:ctrlPr>
                              <w:rPr>
                                <w:rFonts w:ascii="Cambria Math" w:hAnsi="Cambria Math"/>
                                <w:i w:val="0"/>
                                <w:sz w:val="16"/>
                                <w:szCs w:val="16"/>
                              </w:rPr>
                            </m:ctrlPr>
                          </m:dPr>
                          <m:e>
                            <m:r>
                              <w:rPr>
                                <w:rFonts w:ascii="Cambria Math" w:hAnsi="Cambria Math"/>
                                <w:sz w:val="16"/>
                                <w:szCs w:val="16"/>
                              </w:rPr>
                              <m:t>j</m:t>
                            </m:r>
                          </m:e>
                        </m:d>
                        <m:r>
                          <w:rPr>
                            <w:rFonts w:ascii="Cambria Math" w:hAnsi="Cambria Math"/>
                            <w:sz w:val="16"/>
                            <w:szCs w:val="16"/>
                          </w:rPr>
                          <m:t>-</m:t>
                        </m:r>
                        <m:sSub>
                          <m:sSubPr>
                            <m:ctrlPr>
                              <w:rPr>
                                <w:rFonts w:ascii="Cambria Math" w:hAnsi="Cambria Math"/>
                                <w:i w:val="0"/>
                                <w:sz w:val="16"/>
                                <w:szCs w:val="16"/>
                              </w:rPr>
                            </m:ctrlPr>
                          </m:sSubPr>
                          <m:e>
                            <m:r>
                              <w:rPr>
                                <w:rFonts w:ascii="Cambria Math" w:hAnsi="Cambria Math"/>
                                <w:sz w:val="16"/>
                                <w:szCs w:val="16"/>
                              </w:rPr>
                              <m:t>ρ</m:t>
                            </m:r>
                          </m:e>
                          <m:sub>
                            <m:r>
                              <w:rPr>
                                <w:rFonts w:ascii="Cambria Math" w:hAnsi="Cambria Math"/>
                                <w:sz w:val="16"/>
                                <w:szCs w:val="16"/>
                              </w:rPr>
                              <m:t>Xe,max</m:t>
                            </m:r>
                          </m:sub>
                        </m:sSub>
                        <m:d>
                          <m:dPr>
                            <m:ctrlPr>
                              <w:rPr>
                                <w:rFonts w:ascii="Cambria Math" w:hAnsi="Cambria Math"/>
                                <w:i w:val="0"/>
                                <w:sz w:val="16"/>
                                <w:szCs w:val="16"/>
                              </w:rPr>
                            </m:ctrlPr>
                          </m:dPr>
                          <m:e>
                            <m:sSub>
                              <m:sSubPr>
                                <m:ctrlPr>
                                  <w:rPr>
                                    <w:rFonts w:ascii="Cambria Math" w:hAnsi="Cambria Math"/>
                                    <w:i w:val="0"/>
                                    <w:sz w:val="16"/>
                                    <w:szCs w:val="16"/>
                                  </w:rPr>
                                </m:ctrlPr>
                              </m:sSubPr>
                              <m:e>
                                <m:r>
                                  <w:rPr>
                                    <w:rFonts w:ascii="Cambria Math" w:hAnsi="Cambria Math"/>
                                    <w:sz w:val="16"/>
                                    <w:szCs w:val="16"/>
                                  </w:rPr>
                                  <m:t>P</m:t>
                                </m:r>
                              </m:e>
                              <m:sub>
                                <m:r>
                                  <w:rPr>
                                    <w:rFonts w:ascii="Cambria Math" w:hAnsi="Cambria Math"/>
                                    <w:sz w:val="16"/>
                                    <w:szCs w:val="16"/>
                                  </w:rPr>
                                  <m:t>min</m:t>
                                </m:r>
                              </m:sub>
                            </m:sSub>
                          </m:e>
                        </m:d>
                      </m:e>
                    </m:d>
                  </m:e>
                </m:d>
              </m:oMath>
            </m:oMathPara>
          </w:p>
        </w:tc>
        <w:tc>
          <w:tcPr>
            <w:tcW w:w="557" w:type="dxa"/>
          </w:tcPr>
          <w:p w14:paraId="0A66E7A1" w14:textId="6D3742D8" w:rsidR="00D12E98" w:rsidRPr="00D97533" w:rsidRDefault="00D12E98" w:rsidP="00D12E98">
            <w:pPr>
              <w:pStyle w:val="Heading4"/>
              <w:numPr>
                <w:ilvl w:val="0"/>
                <w:numId w:val="0"/>
              </w:numPr>
              <w:jc w:val="right"/>
              <w:rPr>
                <w:i w:val="0"/>
                <w:sz w:val="16"/>
                <w:szCs w:val="16"/>
              </w:rPr>
            </w:pPr>
            <w:bookmarkStart w:id="12" w:name="_Ref167727135"/>
            <w:r w:rsidRPr="001A34D4">
              <w:rPr>
                <w:i w:val="0"/>
                <w:iCs/>
                <w:sz w:val="16"/>
                <w:szCs w:val="16"/>
              </w:rPr>
              <w:t>(</w:t>
            </w:r>
            <w:r w:rsidRPr="001A34D4">
              <w:rPr>
                <w:i w:val="0"/>
                <w:iCs/>
                <w:sz w:val="16"/>
                <w:szCs w:val="16"/>
              </w:rPr>
              <w:fldChar w:fldCharType="begin"/>
            </w:r>
            <w:r w:rsidRPr="001A34D4">
              <w:rPr>
                <w:i w:val="0"/>
                <w:iCs/>
                <w:sz w:val="16"/>
                <w:szCs w:val="16"/>
              </w:rPr>
              <w:instrText xml:space="preserve"> SEQ ( \* ARABIC </w:instrText>
            </w:r>
            <w:r w:rsidRPr="001A34D4">
              <w:rPr>
                <w:i w:val="0"/>
                <w:iCs/>
                <w:sz w:val="16"/>
                <w:szCs w:val="16"/>
              </w:rPr>
              <w:fldChar w:fldCharType="separate"/>
            </w:r>
            <w:r w:rsidR="00FD41EB">
              <w:rPr>
                <w:i w:val="0"/>
                <w:iCs/>
                <w:noProof/>
                <w:sz w:val="16"/>
                <w:szCs w:val="16"/>
              </w:rPr>
              <w:t>10</w:t>
            </w:r>
            <w:r w:rsidRPr="001A34D4">
              <w:rPr>
                <w:i w:val="0"/>
                <w:iCs/>
                <w:sz w:val="16"/>
                <w:szCs w:val="16"/>
              </w:rPr>
              <w:fldChar w:fldCharType="end"/>
            </w:r>
            <w:bookmarkEnd w:id="12"/>
            <w:r w:rsidR="00D97533">
              <w:rPr>
                <w:i w:val="0"/>
                <w:sz w:val="16"/>
                <w:szCs w:val="16"/>
              </w:rPr>
              <w:t>)</w:t>
            </w:r>
          </w:p>
        </w:tc>
      </w:tr>
    </w:tbl>
    <w:p w14:paraId="201C6F32" w14:textId="77777777" w:rsidR="00CD48F0" w:rsidRDefault="00CD48F0" w:rsidP="00197950">
      <w:pPr>
        <w:pStyle w:val="BodyText"/>
        <w:keepNext/>
        <w:ind w:firstLine="0"/>
        <w:jc w:val="center"/>
      </w:pPr>
    </w:p>
    <w:p w14:paraId="5DC440B1" w14:textId="4910AF28" w:rsidR="009A17E2" w:rsidRDefault="005D0422" w:rsidP="00197950">
      <w:pPr>
        <w:pStyle w:val="BodyText"/>
        <w:keepNext/>
        <w:ind w:firstLine="0"/>
        <w:jc w:val="center"/>
      </w:pPr>
      <w:r>
        <w:rPr>
          <w:noProof/>
        </w:rPr>
        <w:drawing>
          <wp:inline distT="0" distB="0" distL="0" distR="0" wp14:anchorId="3C2FB081" wp14:editId="33742846">
            <wp:extent cx="5577840" cy="1673352"/>
            <wp:effectExtent l="0" t="0" r="0" b="0"/>
            <wp:docPr id="6560114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011429" name="Picture 65601142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77840" cy="1673352"/>
                    </a:xfrm>
                    <a:prstGeom prst="rect">
                      <a:avLst/>
                    </a:prstGeom>
                  </pic:spPr>
                </pic:pic>
              </a:graphicData>
            </a:graphic>
          </wp:inline>
        </w:drawing>
      </w:r>
    </w:p>
    <w:p w14:paraId="798FFDD8" w14:textId="24A69C9A" w:rsidR="005D0422" w:rsidRDefault="009A17E2" w:rsidP="009A17E2">
      <w:pPr>
        <w:pStyle w:val="Caption"/>
        <w:jc w:val="both"/>
      </w:pPr>
      <w:bookmarkStart w:id="13" w:name="_Ref167727191"/>
      <w:r>
        <w:t xml:space="preserve">Figure </w:t>
      </w:r>
      <w:r>
        <w:fldChar w:fldCharType="begin"/>
      </w:r>
      <w:r>
        <w:instrText xml:space="preserve"> SEQ Figure \* ARABIC </w:instrText>
      </w:r>
      <w:r>
        <w:fldChar w:fldCharType="separate"/>
      </w:r>
      <w:r w:rsidR="00FD41EB">
        <w:rPr>
          <w:noProof/>
        </w:rPr>
        <w:t>3</w:t>
      </w:r>
      <w:r>
        <w:fldChar w:fldCharType="end"/>
      </w:r>
      <w:bookmarkEnd w:id="13"/>
      <w:r>
        <w:t>. Derived Minimum power table from BOL to EOL assuming full power operation for AP1000</w:t>
      </w:r>
      <w:r w:rsidR="00535E3E">
        <w:t xml:space="preserve"> </w:t>
      </w:r>
      <w:r>
        <w:t>(left) and AP300 (right).</w:t>
      </w:r>
    </w:p>
    <w:p w14:paraId="282716CF" w14:textId="72C67EFF" w:rsidR="000F5762" w:rsidRDefault="000F5762" w:rsidP="000F5762">
      <w:pPr>
        <w:pStyle w:val="Heading4"/>
      </w:pPr>
      <w:r>
        <w:t>Deadtime after shutdown</w:t>
      </w:r>
    </w:p>
    <w:p w14:paraId="034731B5" w14:textId="1BF6291B" w:rsidR="00EC7B83" w:rsidRDefault="00B7319E" w:rsidP="007F18A2">
      <w:pPr>
        <w:pStyle w:val="Caption"/>
        <w:ind w:firstLine="567"/>
        <w:jc w:val="both"/>
        <w:rPr>
          <w:sz w:val="20"/>
        </w:rPr>
      </w:pPr>
      <w:r>
        <w:rPr>
          <w:sz w:val="20"/>
        </w:rPr>
        <w:t>During</w:t>
      </w:r>
      <w:r w:rsidR="00FF4464" w:rsidRPr="0085474F">
        <w:rPr>
          <w:sz w:val="20"/>
        </w:rPr>
        <w:t xml:space="preserve"> reactor shut down, </w:t>
      </w:r>
      <w:r w:rsidR="006805C8" w:rsidRPr="0085474F">
        <w:rPr>
          <w:sz w:val="20"/>
        </w:rPr>
        <w:t xml:space="preserve">there </w:t>
      </w:r>
      <w:r w:rsidR="00EB7AB3">
        <w:rPr>
          <w:sz w:val="20"/>
        </w:rPr>
        <w:t>is</w:t>
      </w:r>
      <w:r w:rsidR="006805C8" w:rsidRPr="0085474F">
        <w:rPr>
          <w:sz w:val="20"/>
        </w:rPr>
        <w:t xml:space="preserve"> no Xe-135 sink from burnup</w:t>
      </w:r>
      <w:r w:rsidR="000E03BD" w:rsidRPr="0085474F">
        <w:rPr>
          <w:sz w:val="20"/>
        </w:rPr>
        <w:t xml:space="preserve"> or </w:t>
      </w:r>
      <w:r>
        <w:rPr>
          <w:sz w:val="20"/>
        </w:rPr>
        <w:t>source</w:t>
      </w:r>
      <w:r w:rsidR="000E03BD" w:rsidRPr="0085474F">
        <w:rPr>
          <w:sz w:val="20"/>
        </w:rPr>
        <w:t xml:space="preserve"> from fission</w:t>
      </w:r>
      <w:r w:rsidR="006805C8" w:rsidRPr="0085474F">
        <w:rPr>
          <w:sz w:val="20"/>
        </w:rPr>
        <w:t>, only generation</w:t>
      </w:r>
      <w:r w:rsidR="000E03BD" w:rsidRPr="0085474F">
        <w:rPr>
          <w:sz w:val="20"/>
        </w:rPr>
        <w:t xml:space="preserve"> due to I-135 decay</w:t>
      </w:r>
      <w:r w:rsidR="006805C8" w:rsidRPr="0085474F">
        <w:rPr>
          <w:sz w:val="20"/>
        </w:rPr>
        <w:t>.</w:t>
      </w:r>
      <w:r w:rsidR="00FF4464" w:rsidRPr="0085474F">
        <w:rPr>
          <w:sz w:val="20"/>
        </w:rPr>
        <w:t xml:space="preserve">  </w:t>
      </w:r>
      <w:r w:rsidR="007F18A2">
        <w:rPr>
          <w:sz w:val="20"/>
        </w:rPr>
        <w:t>Consequently, the</w:t>
      </w:r>
      <w:r w:rsidR="00436C15" w:rsidRPr="0085474F">
        <w:rPr>
          <w:sz w:val="20"/>
        </w:rPr>
        <w:t xml:space="preserve"> peak </w:t>
      </w:r>
      <w:r w:rsidR="00436C15" w:rsidRPr="0085474F">
        <w:rPr>
          <w:i/>
          <w:iCs/>
          <w:sz w:val="20"/>
        </w:rPr>
        <w:t xml:space="preserve">Xenon Defect </w:t>
      </w:r>
      <w:r w:rsidR="00436C15" w:rsidRPr="0085474F">
        <w:rPr>
          <w:sz w:val="20"/>
        </w:rPr>
        <w:t xml:space="preserve">depends on the I-135 concentration which </w:t>
      </w:r>
      <w:r w:rsidR="00180606" w:rsidRPr="0085474F">
        <w:rPr>
          <w:sz w:val="20"/>
        </w:rPr>
        <w:t>in turn</w:t>
      </w:r>
      <w:r w:rsidR="00436C15" w:rsidRPr="0085474F">
        <w:rPr>
          <w:sz w:val="20"/>
        </w:rPr>
        <w:t xml:space="preserve"> depends on the power level before shutdown</w:t>
      </w:r>
      <w:r w:rsidR="00E71552">
        <w:rPr>
          <w:sz w:val="20"/>
        </w:rPr>
        <w:t xml:space="preserve">, illustrated in </w:t>
      </w:r>
      <w:r w:rsidR="0066091F">
        <w:rPr>
          <w:sz w:val="20"/>
        </w:rPr>
        <w:fldChar w:fldCharType="begin"/>
      </w:r>
      <w:r w:rsidR="0066091F">
        <w:rPr>
          <w:sz w:val="20"/>
        </w:rPr>
        <w:instrText xml:space="preserve"> REF _Ref168485850 \h </w:instrText>
      </w:r>
      <w:r w:rsidR="0066091F">
        <w:rPr>
          <w:sz w:val="20"/>
        </w:rPr>
      </w:r>
      <w:r w:rsidR="0066091F">
        <w:rPr>
          <w:sz w:val="20"/>
        </w:rPr>
        <w:fldChar w:fldCharType="separate"/>
      </w:r>
      <w:r w:rsidR="00FD41EB">
        <w:t xml:space="preserve">Figure </w:t>
      </w:r>
      <w:r w:rsidR="00FD41EB">
        <w:rPr>
          <w:noProof/>
        </w:rPr>
        <w:t>4</w:t>
      </w:r>
      <w:r w:rsidR="0066091F">
        <w:rPr>
          <w:sz w:val="20"/>
        </w:rPr>
        <w:fldChar w:fldCharType="end"/>
      </w:r>
      <w:r w:rsidR="0066091F">
        <w:rPr>
          <w:sz w:val="20"/>
        </w:rPr>
        <w:t xml:space="preserve"> (right)</w:t>
      </w:r>
      <w:r w:rsidR="00436C15" w:rsidRPr="0085474F">
        <w:rPr>
          <w:sz w:val="20"/>
        </w:rPr>
        <w:t>.</w:t>
      </w:r>
      <w:r w:rsidR="00436C15" w:rsidRPr="0085474F">
        <w:rPr>
          <w:i/>
          <w:iCs/>
          <w:sz w:val="20"/>
        </w:rPr>
        <w:t xml:space="preserve"> </w:t>
      </w:r>
      <w:r w:rsidR="00103BF2" w:rsidRPr="0085474F">
        <w:rPr>
          <w:sz w:val="20"/>
        </w:rPr>
        <w:t>During dispatch decisions, often for least cost dispatch</w:t>
      </w:r>
      <w:r w:rsidR="0096594A">
        <w:rPr>
          <w:sz w:val="20"/>
        </w:rPr>
        <w:t>,</w:t>
      </w:r>
      <w:r w:rsidR="00103BF2" w:rsidRPr="0085474F">
        <w:rPr>
          <w:sz w:val="20"/>
        </w:rPr>
        <w:t xml:space="preserve"> reactors may need to shut</w:t>
      </w:r>
      <w:r w:rsidR="007F18A2">
        <w:rPr>
          <w:sz w:val="20"/>
        </w:rPr>
        <w:t xml:space="preserve"> </w:t>
      </w:r>
      <w:r w:rsidR="00103BF2" w:rsidRPr="0085474F">
        <w:rPr>
          <w:sz w:val="20"/>
        </w:rPr>
        <w:t>down.</w:t>
      </w:r>
      <w:r w:rsidR="00EC7B83" w:rsidRPr="0085474F">
        <w:rPr>
          <w:sz w:val="20"/>
        </w:rPr>
        <w:t xml:space="preserve"> </w:t>
      </w:r>
      <w:r w:rsidR="00FF36B4">
        <w:rPr>
          <w:sz w:val="20"/>
        </w:rPr>
        <w:t>After such a shutdown decision</w:t>
      </w:r>
      <w:r w:rsidR="00331FBD">
        <w:rPr>
          <w:sz w:val="20"/>
        </w:rPr>
        <w:t xml:space="preserve">, if the reactor needs to restart, then depending on the reactivity margin available, a minimum dead </w:t>
      </w:r>
      <w:r w:rsidR="00EC7B83" w:rsidRPr="0085474F">
        <w:rPr>
          <w:sz w:val="20"/>
        </w:rPr>
        <w:t xml:space="preserve">time is imposed before power can be </w:t>
      </w:r>
      <w:r w:rsidR="00331FBD">
        <w:rPr>
          <w:sz w:val="20"/>
        </w:rPr>
        <w:t>ramped up</w:t>
      </w:r>
      <w:r w:rsidR="00EC7B83" w:rsidRPr="0085474F">
        <w:rPr>
          <w:sz w:val="20"/>
        </w:rPr>
        <w:t>. Th</w:t>
      </w:r>
      <w:r w:rsidR="00B270EF">
        <w:rPr>
          <w:sz w:val="20"/>
        </w:rPr>
        <w:t>e</w:t>
      </w:r>
      <w:r w:rsidR="00EC7B83" w:rsidRPr="0085474F">
        <w:rPr>
          <w:sz w:val="20"/>
        </w:rPr>
        <w:t xml:space="preserve"> </w:t>
      </w:r>
      <w:r w:rsidR="00B270EF">
        <w:rPr>
          <w:sz w:val="20"/>
        </w:rPr>
        <w:t>d</w:t>
      </w:r>
      <w:r w:rsidR="00EC7B83" w:rsidRPr="0085474F">
        <w:rPr>
          <w:sz w:val="20"/>
        </w:rPr>
        <w:t xml:space="preserve">eadtime is dependent on the </w:t>
      </w:r>
      <m:oMath>
        <m:sSub>
          <m:sSubPr>
            <m:ctrlPr>
              <w:rPr>
                <w:rFonts w:ascii="Cambria Math" w:hAnsi="Cambria Math"/>
                <w:sz w:val="20"/>
              </w:rPr>
            </m:ctrlPr>
          </m:sSubPr>
          <m:e>
            <m:r>
              <w:rPr>
                <w:rFonts w:ascii="Cambria Math" w:hAnsi="Cambria Math"/>
                <w:sz w:val="20"/>
              </w:rPr>
              <m:t>k</m:t>
            </m:r>
          </m:e>
          <m:sub>
            <m:r>
              <w:rPr>
                <w:rFonts w:ascii="Cambria Math" w:hAnsi="Cambria Math"/>
                <w:sz w:val="20"/>
              </w:rPr>
              <m:t>eff</m:t>
            </m:r>
          </m:sub>
        </m:sSub>
      </m:oMath>
      <w:r w:rsidR="00EC7B83" w:rsidRPr="0085474F">
        <w:rPr>
          <w:sz w:val="20"/>
        </w:rPr>
        <w:t xml:space="preserve"> </w:t>
      </w:r>
      <w:r w:rsidR="00B270EF">
        <w:rPr>
          <w:sz w:val="20"/>
        </w:rPr>
        <w:t xml:space="preserve">value </w:t>
      </w:r>
      <w:r w:rsidR="00EC7B83" w:rsidRPr="0085474F">
        <w:rPr>
          <w:sz w:val="20"/>
        </w:rPr>
        <w:t>of the reactor and</w:t>
      </w:r>
      <w:r w:rsidR="0096594A">
        <w:rPr>
          <w:sz w:val="20"/>
        </w:rPr>
        <w:t xml:space="preserve"> is</w:t>
      </w:r>
      <w:r w:rsidR="00EC7B83" w:rsidRPr="0085474F">
        <w:rPr>
          <w:sz w:val="20"/>
        </w:rPr>
        <w:t xml:space="preserve"> computed as shown in</w:t>
      </w:r>
      <w:r w:rsidR="0085474F">
        <w:rPr>
          <w:sz w:val="20"/>
        </w:rPr>
        <w:t xml:space="preserve"> </w:t>
      </w:r>
      <w:r w:rsidR="009A4824">
        <w:rPr>
          <w:sz w:val="20"/>
        </w:rPr>
        <w:fldChar w:fldCharType="begin"/>
      </w:r>
      <w:r w:rsidR="009A4824">
        <w:rPr>
          <w:sz w:val="20"/>
        </w:rPr>
        <w:instrText xml:space="preserve"> REF _Ref168485850 \h </w:instrText>
      </w:r>
      <w:r w:rsidR="009A4824">
        <w:rPr>
          <w:sz w:val="20"/>
        </w:rPr>
      </w:r>
      <w:r w:rsidR="009A4824">
        <w:rPr>
          <w:sz w:val="20"/>
        </w:rPr>
        <w:fldChar w:fldCharType="separate"/>
      </w:r>
      <w:r w:rsidR="00FD41EB">
        <w:t xml:space="preserve">Figure </w:t>
      </w:r>
      <w:r w:rsidR="00FD41EB">
        <w:rPr>
          <w:noProof/>
        </w:rPr>
        <w:t>4</w:t>
      </w:r>
      <w:r w:rsidR="009A4824">
        <w:rPr>
          <w:sz w:val="20"/>
        </w:rPr>
        <w:fldChar w:fldCharType="end"/>
      </w:r>
      <w:r w:rsidR="009F5046">
        <w:rPr>
          <w:sz w:val="20"/>
        </w:rPr>
        <w:t xml:space="preserve"> (left)</w:t>
      </w:r>
      <w:r w:rsidR="008B6D26">
        <w:rPr>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411"/>
      </w:tblGrid>
      <w:tr w:rsidR="00B40486" w14:paraId="029B6929" w14:textId="77777777" w:rsidTr="000B2DFF">
        <w:tc>
          <w:tcPr>
            <w:tcW w:w="4140" w:type="dxa"/>
          </w:tcPr>
          <w:p w14:paraId="3B27EB13" w14:textId="444335DC" w:rsidR="00B40486" w:rsidRDefault="00E056D4" w:rsidP="00B40486">
            <w:pPr>
              <w:rPr>
                <w:lang w:val="en-US"/>
              </w:rPr>
            </w:pPr>
            <w:r>
              <w:rPr>
                <w:noProof/>
              </w:rPr>
              <w:drawing>
                <wp:inline distT="0" distB="0" distL="0" distR="0" wp14:anchorId="6176190E" wp14:editId="0AAC09A7">
                  <wp:extent cx="2788920" cy="1536192"/>
                  <wp:effectExtent l="0" t="0" r="5080" b="635"/>
                  <wp:docPr id="128812395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51169" name="Picture 79785116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88920" cy="1536192"/>
                          </a:xfrm>
                          <a:prstGeom prst="rect">
                            <a:avLst/>
                          </a:prstGeom>
                        </pic:spPr>
                      </pic:pic>
                    </a:graphicData>
                  </a:graphic>
                </wp:inline>
              </w:drawing>
            </w:r>
          </w:p>
        </w:tc>
        <w:tc>
          <w:tcPr>
            <w:tcW w:w="4877" w:type="dxa"/>
          </w:tcPr>
          <w:p w14:paraId="057207A1" w14:textId="3A8F8BFA" w:rsidR="00B40486" w:rsidRDefault="00E056D4" w:rsidP="00B270EF">
            <w:pPr>
              <w:keepNext/>
              <w:rPr>
                <w:lang w:val="en-US"/>
              </w:rPr>
            </w:pPr>
            <w:r w:rsidRPr="00AA7E75">
              <w:rPr>
                <w:noProof/>
                <w:lang w:val="en-US"/>
              </w:rPr>
              <w:drawing>
                <wp:inline distT="0" distB="0" distL="0" distR="0" wp14:anchorId="2FF9CC4A" wp14:editId="1D1EFDE3">
                  <wp:extent cx="2432304" cy="1563624"/>
                  <wp:effectExtent l="0" t="0" r="0" b="0"/>
                  <wp:docPr id="1600286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857924" name=""/>
                          <pic:cNvPicPr/>
                        </pic:nvPicPr>
                        <pic:blipFill>
                          <a:blip r:embed="rId17"/>
                          <a:stretch>
                            <a:fillRect/>
                          </a:stretch>
                        </pic:blipFill>
                        <pic:spPr>
                          <a:xfrm>
                            <a:off x="0" y="0"/>
                            <a:ext cx="2432304" cy="1563624"/>
                          </a:xfrm>
                          <a:prstGeom prst="rect">
                            <a:avLst/>
                          </a:prstGeom>
                        </pic:spPr>
                      </pic:pic>
                    </a:graphicData>
                  </a:graphic>
                </wp:inline>
              </w:drawing>
            </w:r>
          </w:p>
        </w:tc>
      </w:tr>
    </w:tbl>
    <w:p w14:paraId="230F13DA" w14:textId="2478DF13" w:rsidR="00E056D4" w:rsidRPr="00E056D4" w:rsidRDefault="00B270EF" w:rsidP="00E056D4">
      <w:pPr>
        <w:pStyle w:val="BodyText"/>
      </w:pPr>
      <w:bookmarkStart w:id="14" w:name="_Ref168485850"/>
      <w:r>
        <w:t xml:space="preserve">Figure </w:t>
      </w:r>
      <w:r>
        <w:fldChar w:fldCharType="begin"/>
      </w:r>
      <w:r>
        <w:instrText xml:space="preserve"> SEQ Figure \* ARABIC </w:instrText>
      </w:r>
      <w:r>
        <w:fldChar w:fldCharType="separate"/>
      </w:r>
      <w:r w:rsidR="00FD41EB">
        <w:rPr>
          <w:noProof/>
        </w:rPr>
        <w:t>4</w:t>
      </w:r>
      <w:r>
        <w:fldChar w:fldCharType="end"/>
      </w:r>
      <w:bookmarkEnd w:id="14"/>
      <w:r>
        <w:t>.</w:t>
      </w:r>
      <w:r w:rsidR="008B6D26">
        <w:t xml:space="preserve"> Deadtime after shutdown computation illustration (left).</w:t>
      </w:r>
      <w:r w:rsidR="00225F35">
        <w:t xml:space="preserve"> </w:t>
      </w:r>
      <w:r w:rsidR="00225F35" w:rsidRPr="00225F35">
        <w:rPr>
          <w:i/>
          <w:iCs/>
        </w:rPr>
        <w:t>Xenon Defect</w:t>
      </w:r>
      <w:r>
        <w:t xml:space="preserve"> </w:t>
      </w:r>
      <m:oMath>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Xe</m:t>
            </m:r>
          </m:sub>
        </m:sSub>
        <m:r>
          <w:rPr>
            <w:rFonts w:ascii="Cambria Math" w:hAnsi="Cambria Math"/>
          </w:rPr>
          <m:t>)</m:t>
        </m:r>
      </m:oMath>
      <w:r w:rsidR="00F62B83">
        <w:rPr>
          <w:lang w:val="en-US"/>
        </w:rPr>
        <w:t xml:space="preserve"> </w:t>
      </w:r>
      <w:r>
        <w:rPr>
          <w:lang w:val="en-US"/>
        </w:rPr>
        <w:t>evolution after shutdown from 100%, 80%,</w:t>
      </w:r>
      <w:r w:rsidR="008B6D26">
        <w:rPr>
          <w:lang w:val="en-US"/>
        </w:rPr>
        <w:t xml:space="preserve"> </w:t>
      </w:r>
      <w:r>
        <w:rPr>
          <w:lang w:val="en-US"/>
        </w:rPr>
        <w:t>50% and 10% power</w:t>
      </w:r>
      <w:r w:rsidR="008B6D26">
        <w:rPr>
          <w:lang w:val="en-US"/>
        </w:rPr>
        <w:t xml:space="preserve"> (right)</w:t>
      </w:r>
      <w:r>
        <w:t xml:space="preserve">. </w:t>
      </w:r>
    </w:p>
    <w:p w14:paraId="2DC8A143" w14:textId="7340FF81" w:rsidR="001532AE" w:rsidRDefault="001532AE" w:rsidP="001532AE">
      <w:pPr>
        <w:pStyle w:val="Heading2"/>
      </w:pPr>
      <w:r>
        <w:t>SCENARIO DESCRIPTION</w:t>
      </w:r>
    </w:p>
    <w:p w14:paraId="31E5E2E8" w14:textId="6127D11B" w:rsidR="00C40551" w:rsidRDefault="00A92C0B" w:rsidP="000B2DFF">
      <w:pPr>
        <w:pStyle w:val="BodyText"/>
      </w:pPr>
      <w:r>
        <w:t xml:space="preserve">An energy mix consisting of solar, wind, nuclear, and storage is initiated to demonstrate the modified UC with </w:t>
      </w:r>
      <w:r w:rsidR="00FA6627">
        <w:t>the new</w:t>
      </w:r>
      <w:r>
        <w:t xml:space="preserve"> NPP constraints. Dispatch is solved one day at a time,</w:t>
      </w:r>
      <w:r w:rsidR="00763439">
        <w:t xml:space="preserve"> with reactor</w:t>
      </w:r>
      <w:r w:rsidR="0047726E">
        <w:t xml:space="preserve"> multiplication factor (</w:t>
      </w:r>
      <m:oMath>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eff</m:t>
            </m:r>
          </m:sub>
        </m:sSub>
      </m:oMath>
      <w:r w:rsidR="0047726E">
        <w:t>)</w:t>
      </w:r>
      <w:r w:rsidR="00763439">
        <w:t xml:space="preserve"> transfer at the end of each day.</w:t>
      </w:r>
      <w:r w:rsidR="00DD2E3F">
        <w:t xml:space="preserve"> </w:t>
      </w:r>
      <w:r w:rsidR="00B270EF">
        <w:t>The v</w:t>
      </w:r>
      <w:r w:rsidR="00DA4FE5">
        <w:t>alue of</w:t>
      </w:r>
      <w:r w:rsidR="004239F5">
        <w:t xml:space="preserve"> </w:t>
      </w:r>
      <w:bookmarkStart w:id="15" w:name="OLE_LINK1"/>
      <w:bookmarkStart w:id="16" w:name="OLE_LINK2"/>
      <m:oMath>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eff</m:t>
            </m:r>
          </m:sub>
        </m:sSub>
      </m:oMath>
      <w:bookmarkEnd w:id="15"/>
      <w:bookmarkEnd w:id="16"/>
      <w:r w:rsidR="00DA4FE5">
        <w:t xml:space="preserve"> </w:t>
      </w:r>
      <w:r w:rsidR="00DD2E3F">
        <w:t>fo</w:t>
      </w:r>
      <w:r w:rsidR="00BF663B">
        <w:t>r</w:t>
      </w:r>
      <w:r w:rsidR="00DD2E3F">
        <w:t xml:space="preserve"> each reactor </w:t>
      </w:r>
      <w:r w:rsidR="00DA4FE5">
        <w:t xml:space="preserve">on a given day </w:t>
      </w:r>
      <w:r>
        <w:t>determines</w:t>
      </w:r>
      <w:r w:rsidR="00763439">
        <w:t xml:space="preserve"> the minimum power levels </w:t>
      </w:r>
      <w:r w:rsidR="00763439">
        <w:lastRenderedPageBreak/>
        <w:t xml:space="preserve">and the deadtime </w:t>
      </w:r>
      <w:r w:rsidR="004239F5">
        <w:t xml:space="preserve">imposed </w:t>
      </w:r>
      <w:r w:rsidR="00763439">
        <w:t>after shutdow</w:t>
      </w:r>
      <w:r w:rsidR="004239F5">
        <w:t>n</w:t>
      </w:r>
      <w:r w:rsidR="006D6137">
        <w:t xml:space="preserve">, </w:t>
      </w:r>
      <w:r w:rsidR="00DB03A1">
        <w:t>as is</w:t>
      </w:r>
      <w:r w:rsidR="006D6137">
        <w:t xml:space="preserve"> updated </w:t>
      </w:r>
      <w:r w:rsidR="00DB03A1">
        <w:t>daily to provide a constraint on the allowable level of Xe poisoning and associated deadtime</w:t>
      </w:r>
      <w:r w:rsidR="00763439">
        <w:t>.</w:t>
      </w:r>
      <w:r>
        <w:t xml:space="preserve"> Demand data and solar and wind variability are obtained for ERCOT for the year 2020 from gridstatus.io</w:t>
      </w:r>
      <w:r w:rsidR="00DD2E3F">
        <w:t xml:space="preserve"> </w:t>
      </w:r>
      <w:r>
        <w:fldChar w:fldCharType="begin"/>
      </w:r>
      <w:r w:rsidR="006C1288">
        <w:instrText xml:space="preserve"> ADDIN ZOTERO_ITEM CSL_CITATION {"citationID":"vnv7ewke","properties":{"formattedCitation":"[20]","plainCitation":"[20]","noteIndex":0},"citationItems":[{"id":2145,"uris":["http://zotero.org/users/5694173/items/RFU3M7HG"],"itemData":{"id":2145,"type":"webpage","abstract":"Stay informed on the real-time status of the US Electric Grid with comprehensive monitoring and data.","language":"en","title":"Grid Status","URL":"https://www.gridstatus.io/","accessed":{"date-parts":[["2024",5,24]]},"issued":{"date-parts":[["2024",5,24]]}}}],"schema":"https://github.com/citation-style-language/schema/raw/master/csl-citation.json"} </w:instrText>
      </w:r>
      <w:r>
        <w:fldChar w:fldCharType="separate"/>
      </w:r>
      <w:r w:rsidR="006C1288">
        <w:rPr>
          <w:noProof/>
        </w:rPr>
        <w:t>[20]</w:t>
      </w:r>
      <w:r>
        <w:fldChar w:fldCharType="end"/>
      </w:r>
      <w:r>
        <w:t>.</w:t>
      </w:r>
      <w:r w:rsidR="009F5413">
        <w:t xml:space="preserve"> Four</w:t>
      </w:r>
      <w:r>
        <w:t xml:space="preserve"> separate scenarios are designed </w:t>
      </w:r>
      <w:r w:rsidR="00746FFB">
        <w:t xml:space="preserve">for flexibility analysis </w:t>
      </w:r>
      <w:r>
        <w:t>between GW class AP1000 reactors and the newly unveiled AP300 reactors.</w:t>
      </w:r>
      <w:r w:rsidR="009F5413">
        <w:t xml:space="preserve"> </w:t>
      </w:r>
      <w:r w:rsidR="003320F1">
        <w:t xml:space="preserve">For </w:t>
      </w:r>
      <w:r w:rsidR="00722292">
        <w:t xml:space="preserve">the </w:t>
      </w:r>
      <w:r w:rsidR="003320F1">
        <w:t xml:space="preserve">demonstration of </w:t>
      </w:r>
      <w:r w:rsidR="00232DA5">
        <w:t>our</w:t>
      </w:r>
      <w:r w:rsidR="003320F1">
        <w:t xml:space="preserve"> framework, demand is scaled down</w:t>
      </w:r>
      <w:r w:rsidR="00722292">
        <w:t xml:space="preserve"> </w:t>
      </w:r>
      <w:r w:rsidR="002B5212">
        <w:t>to 30%</w:t>
      </w:r>
      <w:r w:rsidR="003320F1">
        <w:t xml:space="preserve"> and hourly capacity factors for solar and wind are computed using annual generation</w:t>
      </w:r>
      <w:r w:rsidR="002B5212">
        <w:t xml:space="preserve"> and installed VRE capacities</w:t>
      </w:r>
      <w:r w:rsidR="003320F1">
        <w:t xml:space="preserve">. </w:t>
      </w:r>
      <w:r w:rsidR="009F5413">
        <w:t xml:space="preserve">The </w:t>
      </w:r>
      <w:r w:rsidR="00DD2E3F">
        <w:t xml:space="preserve">net </w:t>
      </w:r>
      <w:r w:rsidR="009F5413">
        <w:t xml:space="preserve">nuclear capacity in all the scenarios </w:t>
      </w:r>
      <w:r w:rsidR="00DD2E3F">
        <w:t>is</w:t>
      </w:r>
      <w:r w:rsidR="009F5413">
        <w:t xml:space="preserve"> </w:t>
      </w:r>
      <w:r w:rsidR="00DB03A1">
        <w:t>held fixed at</w:t>
      </w:r>
      <w:r w:rsidR="009F5413">
        <w:t xml:space="preserve"> 3000 MW, which translates to 3 AP1000</w:t>
      </w:r>
      <w:r w:rsidR="00B270EF">
        <w:t>s compared to</w:t>
      </w:r>
      <w:r w:rsidR="009F5413">
        <w:t xml:space="preserve"> 10 AP300s.</w:t>
      </w:r>
      <w:r w:rsidR="00B05867">
        <w:t xml:space="preserve"> </w:t>
      </w:r>
      <w:r w:rsidR="00E57542">
        <w:t>Further</w:t>
      </w:r>
      <w:r w:rsidR="00BA739A">
        <w:t>, 4400 MW of Wind, 1100 MW of Solar</w:t>
      </w:r>
      <w:r w:rsidR="004F7EE4">
        <w:t>, and 2750 MW of Storage with a 10-hour duration are</w:t>
      </w:r>
      <w:r w:rsidR="00BA739A">
        <w:t xml:space="preserve"> kept constant in all scenarios. </w:t>
      </w:r>
      <w:r w:rsidR="00B01946">
        <w:t xml:space="preserve">This VRE capacity mix is representative of </w:t>
      </w:r>
      <w:r w:rsidR="00DB03A1">
        <w:t xml:space="preserve">the </w:t>
      </w:r>
      <w:r w:rsidR="00B01946">
        <w:t xml:space="preserve">high wind capacity in ERCOT. </w:t>
      </w:r>
      <w:r w:rsidR="00746FFB">
        <w:t>Finally,</w:t>
      </w:r>
      <w:r w:rsidR="00E57542">
        <w:t xml:space="preserve"> we </w:t>
      </w:r>
      <w:r w:rsidR="00DB03A1">
        <w:t xml:space="preserve">impose </w:t>
      </w:r>
      <w:r w:rsidR="00E57542">
        <w:t xml:space="preserve">a 20%/hr ramp </w:t>
      </w:r>
      <w:r w:rsidR="00746FFB">
        <w:t xml:space="preserve">up/down </w:t>
      </w:r>
      <w:r w:rsidR="00E57542">
        <w:t>rate for AP1000</w:t>
      </w:r>
      <w:r w:rsidR="00EC3871">
        <w:t xml:space="preserve"> </w:t>
      </w:r>
      <w:r w:rsidR="00E57542">
        <w:t>and 40%/h</w:t>
      </w:r>
      <w:r w:rsidR="00746FFB">
        <w:t>r</w:t>
      </w:r>
      <w:r w:rsidR="00E57542">
        <w:t xml:space="preserve"> for AP300, a minimum downtime of 2 hours for Rankine cycle power transient, and </w:t>
      </w:r>
      <w:r w:rsidR="00746FFB">
        <w:t>constant</w:t>
      </w:r>
      <w:r w:rsidR="00E57542">
        <w:t xml:space="preserve"> Variable cost and </w:t>
      </w:r>
      <w:r w:rsidR="00E83600">
        <w:t>Start-up</w:t>
      </w:r>
      <w:r w:rsidR="00E57542">
        <w:t xml:space="preserve"> cost across AP1000 and AP300 for </w:t>
      </w:r>
      <w:r w:rsidR="00E83600">
        <w:t>comparison</w:t>
      </w:r>
      <w:r w:rsidR="00E57542">
        <w:t xml:space="preserve">. </w:t>
      </w:r>
      <w:r w:rsidR="00DB03A1">
        <w:t xml:space="preserve"> </w:t>
      </w:r>
      <w:proofErr w:type="gramStart"/>
      <w:r w:rsidR="00DB03A1">
        <w:t>In order to</w:t>
      </w:r>
      <w:proofErr w:type="gramEnd"/>
      <w:r w:rsidR="00DB03A1">
        <w:t xml:space="preserve"> study the </w:t>
      </w:r>
      <w:r w:rsidR="007D2844">
        <w:t>effect</w:t>
      </w:r>
      <w:r w:rsidR="00DB03A1">
        <w:t xml:space="preserve"> of initial fuel enrichment, we examine cases with keff</w:t>
      </w:r>
      <w:r w:rsidR="007D2844">
        <w:t xml:space="preserve"> </w:t>
      </w:r>
      <w:r w:rsidR="00DB03A1">
        <w:t>(</w:t>
      </w:r>
      <w:r w:rsidR="007D2844">
        <w:t>n</w:t>
      </w:r>
      <w:r w:rsidR="00DB03A1">
        <w:t>=</w:t>
      </w:r>
      <w:r w:rsidR="007D2844">
        <w:t>1) =</w:t>
      </w:r>
      <w:r w:rsidR="00DB03A1">
        <w:t>1.1, and keff</w:t>
      </w:r>
      <w:r w:rsidR="007D2844">
        <w:t xml:space="preserve"> </w:t>
      </w:r>
      <w:r w:rsidR="00DB03A1">
        <w:t>(</w:t>
      </w:r>
      <w:r w:rsidR="007D2844">
        <w:t>n</w:t>
      </w:r>
      <w:r w:rsidR="00DB03A1">
        <w:t>=</w:t>
      </w:r>
      <w:r w:rsidR="009A56F4">
        <w:t>1) =</w:t>
      </w:r>
      <w:r w:rsidR="00DB03A1">
        <w:t>1.205.  The four s</w:t>
      </w:r>
      <w:r w:rsidR="00DF5748">
        <w:t xml:space="preserve">cenarios </w:t>
      </w:r>
      <w:r w:rsidR="00DB03A1">
        <w:t>studied here then have</w:t>
      </w:r>
      <w:r w:rsidR="00DF5748">
        <w:t>:</w:t>
      </w:r>
    </w:p>
    <w:p w14:paraId="21224CCB" w14:textId="028A790B" w:rsidR="00DF5748" w:rsidRPr="0055090A" w:rsidRDefault="00DF5748" w:rsidP="009A56F4">
      <w:pPr>
        <w:pStyle w:val="ListEmdash"/>
        <w:rPr>
          <w:iCs/>
        </w:rPr>
      </w:pPr>
      <w:r>
        <w:t>AP300 BOL:</w:t>
      </w:r>
      <w:r w:rsidR="00BA53FC">
        <w:t xml:space="preserve"> All 10 reactors start with </w:t>
      </w:r>
      <m:oMath>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eff</m:t>
            </m:r>
          </m:sub>
        </m:sSub>
        <m:r>
          <m:rPr>
            <m:sty m:val="p"/>
          </m:rPr>
          <w:rPr>
            <w:rFonts w:ascii="Cambria Math" w:hAnsi="Cambria Math"/>
          </w:rPr>
          <m:t>=1.205</m:t>
        </m:r>
      </m:oMath>
    </w:p>
    <w:p w14:paraId="0EAEAE1C" w14:textId="44E39A59" w:rsidR="00DF5748" w:rsidRPr="0055090A" w:rsidRDefault="00DF5748" w:rsidP="009A56F4">
      <w:pPr>
        <w:pStyle w:val="ListEmdash"/>
        <w:rPr>
          <w:iCs/>
        </w:rPr>
      </w:pPr>
      <w:r w:rsidRPr="0055090A">
        <w:rPr>
          <w:iCs/>
        </w:rPr>
        <w:t>AP300 EOL:</w:t>
      </w:r>
      <w:r w:rsidR="00BA53FC" w:rsidRPr="0055090A">
        <w:rPr>
          <w:iCs/>
        </w:rPr>
        <w:t xml:space="preserve"> All 10 reactors start with </w:t>
      </w:r>
      <m:oMath>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eff</m:t>
            </m:r>
          </m:sub>
        </m:sSub>
        <m:r>
          <m:rPr>
            <m:sty m:val="p"/>
          </m:rPr>
          <w:rPr>
            <w:rFonts w:ascii="Cambria Math" w:hAnsi="Cambria Math"/>
          </w:rPr>
          <m:t>=1.1</m:t>
        </m:r>
      </m:oMath>
    </w:p>
    <w:p w14:paraId="75A83D93" w14:textId="1A0FAAC4" w:rsidR="00DF5748" w:rsidRPr="0055090A" w:rsidRDefault="00DF5748" w:rsidP="009A56F4">
      <w:pPr>
        <w:pStyle w:val="ListEmdash"/>
        <w:rPr>
          <w:iCs/>
        </w:rPr>
      </w:pPr>
      <w:r w:rsidRPr="0055090A">
        <w:rPr>
          <w:iCs/>
        </w:rPr>
        <w:t>AP1000 BOL:</w:t>
      </w:r>
      <w:r w:rsidR="00BA53FC" w:rsidRPr="0055090A">
        <w:rPr>
          <w:iCs/>
        </w:rPr>
        <w:t xml:space="preserve"> All 3 reactors start with </w:t>
      </w:r>
      <m:oMath>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eff</m:t>
            </m:r>
          </m:sub>
        </m:sSub>
        <m:r>
          <m:rPr>
            <m:sty m:val="p"/>
          </m:rPr>
          <w:rPr>
            <w:rFonts w:ascii="Cambria Math" w:hAnsi="Cambria Math"/>
          </w:rPr>
          <m:t>=1.205</m:t>
        </m:r>
      </m:oMath>
    </w:p>
    <w:p w14:paraId="6EBC2E24" w14:textId="08A09FD4" w:rsidR="009A56F4" w:rsidRPr="009A56F4" w:rsidRDefault="00DF5748" w:rsidP="009A56F4">
      <w:pPr>
        <w:pStyle w:val="ListEmdash"/>
        <w:rPr>
          <w:iCs/>
        </w:rPr>
      </w:pPr>
      <w:r w:rsidRPr="0055090A">
        <w:rPr>
          <w:iCs/>
        </w:rPr>
        <w:t>AP1000 EOL:</w:t>
      </w:r>
      <w:r w:rsidR="00BA53FC" w:rsidRPr="0055090A">
        <w:rPr>
          <w:iCs/>
        </w:rPr>
        <w:t xml:space="preserve"> All 3 reactors start with </w:t>
      </w:r>
      <m:oMath>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eff</m:t>
            </m:r>
          </m:sub>
        </m:sSub>
        <m:r>
          <m:rPr>
            <m:sty m:val="p"/>
          </m:rPr>
          <w:rPr>
            <w:rFonts w:ascii="Cambria Math" w:hAnsi="Cambria Math"/>
          </w:rPr>
          <m:t>=1.1</m:t>
        </m:r>
      </m:oMath>
    </w:p>
    <w:p w14:paraId="7D9AB736" w14:textId="13EAC20E" w:rsidR="001532AE" w:rsidRDefault="001532AE" w:rsidP="001532AE">
      <w:pPr>
        <w:pStyle w:val="Heading2"/>
      </w:pPr>
      <w:r>
        <w:t>RESULTS</w:t>
      </w:r>
    </w:p>
    <w:p w14:paraId="204982B1" w14:textId="7A7356B6" w:rsidR="00196482" w:rsidRDefault="007128BF" w:rsidP="00CD48F0">
      <w:pPr>
        <w:pStyle w:val="BodyText"/>
      </w:pPr>
      <w:r w:rsidRPr="00DE4DFE">
        <w:t xml:space="preserve">The </w:t>
      </w:r>
      <w:r w:rsidR="00BB2C9D">
        <w:t>UC</w:t>
      </w:r>
      <w:r w:rsidRPr="00DE4DFE">
        <w:t xml:space="preserve"> results presented in this paper are derived from </w:t>
      </w:r>
      <w:r w:rsidR="00DB03A1">
        <w:t>the</w:t>
      </w:r>
      <w:r w:rsidRPr="00DE4DFE">
        <w:t xml:space="preserve"> simplified scenario</w:t>
      </w:r>
      <w:r w:rsidR="00CF444D">
        <w:t xml:space="preserve"> </w:t>
      </w:r>
      <w:r w:rsidR="00984BDA">
        <w:t>explained</w:t>
      </w:r>
      <w:r w:rsidR="00CF444D">
        <w:t xml:space="preserve"> above</w:t>
      </w:r>
      <w:r w:rsidRPr="00DE4DFE">
        <w:t>. A comprehensive journal article, which will provide detailed optimization methods, constraints, scenario design, and in-depth conclusions</w:t>
      </w:r>
      <w:r w:rsidR="00B45351">
        <w:t xml:space="preserve"> (beyond the scope of this work)</w:t>
      </w:r>
      <w:r w:rsidRPr="00DE4DFE">
        <w:t xml:space="preserve">, </w:t>
      </w:r>
      <w:r w:rsidR="00204A5C">
        <w:t>will be published elsewhere</w:t>
      </w:r>
      <w:r w:rsidRPr="00DE4DFE">
        <w:t>.</w:t>
      </w:r>
      <w:r w:rsidR="000153A1">
        <w:t xml:space="preserve"> The modified UC was implemented on all 4-scenarios starting from day 1 to day 365, one day at a time with </w:t>
      </w:r>
      <w:r w:rsidR="00FD7092">
        <w:t xml:space="preserve">individual </w:t>
      </w:r>
      <w:r w:rsidR="008F2449">
        <w:t xml:space="preserve">reactor </w:t>
      </w:r>
      <m:oMath>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eff</m:t>
            </m:r>
          </m:sub>
        </m:sSub>
      </m:oMath>
      <w:r w:rsidR="00BF663B">
        <w:t xml:space="preserve"> value</w:t>
      </w:r>
      <w:r w:rsidR="000153A1">
        <w:t xml:space="preserve"> transfer</w:t>
      </w:r>
      <w:r w:rsidR="00204A5C">
        <w:t xml:space="preserve">red from the previous </w:t>
      </w:r>
      <w:r w:rsidR="00313367">
        <w:t>day’s</w:t>
      </w:r>
      <w:r w:rsidR="00204A5C">
        <w:t xml:space="preserve"> operational conditions</w:t>
      </w:r>
      <w:r w:rsidR="000153A1">
        <w:t>.</w:t>
      </w:r>
      <w:r>
        <w:t xml:space="preserve"> </w:t>
      </w:r>
      <w:r w:rsidR="00BD0F59">
        <w:fldChar w:fldCharType="begin"/>
      </w:r>
      <w:r w:rsidR="00BD0F59">
        <w:instrText xml:space="preserve"> REF _Ref167729478 \h </w:instrText>
      </w:r>
      <w:r w:rsidR="00BD0F59">
        <w:fldChar w:fldCharType="separate"/>
      </w:r>
      <w:r w:rsidR="00FD41EB">
        <w:t xml:space="preserve">Table </w:t>
      </w:r>
      <w:r w:rsidR="00FD41EB">
        <w:rPr>
          <w:noProof/>
        </w:rPr>
        <w:t>1</w:t>
      </w:r>
      <w:r w:rsidR="00BD0F59">
        <w:fldChar w:fldCharType="end"/>
      </w:r>
      <w:r w:rsidR="00BD0F59">
        <w:t xml:space="preserve">. summarizes the </w:t>
      </w:r>
      <w:r w:rsidR="00204A5C">
        <w:t xml:space="preserve">results over a </w:t>
      </w:r>
      <w:r w:rsidR="00313367">
        <w:t>one-year</w:t>
      </w:r>
      <w:r w:rsidR="00204A5C">
        <w:t xml:space="preserve"> </w:t>
      </w:r>
      <w:r w:rsidR="00313367">
        <w:t>operation</w:t>
      </w:r>
      <w:r w:rsidR="00204A5C">
        <w:t xml:space="preserve"> period</w:t>
      </w:r>
      <w:r w:rsidR="00BD0F59">
        <w:t xml:space="preserve">. </w:t>
      </w:r>
      <w:r w:rsidR="00313367">
        <w:t>We observe that s</w:t>
      </w:r>
      <w:r w:rsidR="0079495A" w:rsidRPr="00B81C96">
        <w:t xml:space="preserve">tarting from the </w:t>
      </w:r>
      <w:r w:rsidR="00BE7006">
        <w:t xml:space="preserve">fresh fuel </w:t>
      </w:r>
      <w:r w:rsidR="00313367">
        <w:t xml:space="preserve">at </w:t>
      </w:r>
      <w:r w:rsidR="0055090A">
        <w:t>BOL</w:t>
      </w:r>
      <w:r w:rsidR="0079495A" w:rsidRPr="00B81C96">
        <w:t xml:space="preserve">, both the AP1000 and AP300 reactors </w:t>
      </w:r>
      <w:r w:rsidR="0055090A">
        <w:t>have</w:t>
      </w:r>
      <w:r w:rsidR="0079495A" w:rsidRPr="00B81C96">
        <w:t xml:space="preserve"> sufficient flexibility to support high penetration of </w:t>
      </w:r>
      <w:r w:rsidR="0079495A">
        <w:t>VRE.</w:t>
      </w:r>
      <w:r w:rsidR="0079495A" w:rsidRPr="00B81C96">
        <w:t xml:space="preserve"> </w:t>
      </w:r>
      <w:r w:rsidR="00BE7006">
        <w:t>Even</w:t>
      </w:r>
      <w:r w:rsidR="00204A5C">
        <w:t xml:space="preserve"> in this condition,</w:t>
      </w:r>
      <w:r w:rsidR="0079495A" w:rsidRPr="00B81C96">
        <w:t xml:space="preserve"> the AP300 fleet results in </w:t>
      </w:r>
      <w:r w:rsidR="00BE7006">
        <w:t>smaller</w:t>
      </w:r>
      <w:r w:rsidR="0079495A" w:rsidRPr="00B81C96">
        <w:t xml:space="preserve"> VRE curtailment, higher penetration of wind and solar power, and reduced nuclear generation compared to the AP1000.</w:t>
      </w:r>
      <w:r w:rsidR="0079495A">
        <w:t xml:space="preserve"> Further, the </w:t>
      </w:r>
      <w:r w:rsidR="00B83625">
        <w:t>annual</w:t>
      </w:r>
      <w:r w:rsidR="0079495A">
        <w:t xml:space="preserve"> production cost for the AP300 </w:t>
      </w:r>
      <w:r w:rsidR="00BE7006">
        <w:t>scenario</w:t>
      </w:r>
      <w:r w:rsidR="0079495A">
        <w:t xml:space="preserve"> is lower</w:t>
      </w:r>
      <w:r w:rsidR="008D0482">
        <w:t xml:space="preserve">, which is consistent with the lesser generation observed for </w:t>
      </w:r>
      <w:r w:rsidR="00AC3733">
        <w:t>AP300</w:t>
      </w:r>
      <w:r w:rsidR="008D0482">
        <w:t>.</w:t>
      </w:r>
    </w:p>
    <w:p w14:paraId="4F71963B" w14:textId="77777777" w:rsidR="0062432B" w:rsidRDefault="0062432B" w:rsidP="0062432B">
      <w:pPr>
        <w:pStyle w:val="BodyText"/>
        <w:keepNext/>
        <w:jc w:val="center"/>
      </w:pPr>
      <w:r>
        <w:rPr>
          <w:noProof/>
        </w:rPr>
        <w:drawing>
          <wp:inline distT="0" distB="0" distL="0" distR="0" wp14:anchorId="4E6256AA" wp14:editId="0CCD3410">
            <wp:extent cx="3785616" cy="3785616"/>
            <wp:effectExtent l="0" t="0" r="0" b="0"/>
            <wp:docPr id="1663818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81832" name="Picture 16638183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85616" cy="3785616"/>
                    </a:xfrm>
                    <a:prstGeom prst="rect">
                      <a:avLst/>
                    </a:prstGeom>
                  </pic:spPr>
                </pic:pic>
              </a:graphicData>
            </a:graphic>
          </wp:inline>
        </w:drawing>
      </w:r>
    </w:p>
    <w:p w14:paraId="3CBD9107" w14:textId="3A59AC86" w:rsidR="0062432B" w:rsidRDefault="0062432B" w:rsidP="0079495A">
      <w:pPr>
        <w:pStyle w:val="Caption"/>
        <w:jc w:val="center"/>
      </w:pPr>
      <w:bookmarkStart w:id="17" w:name="_Ref167729390"/>
      <w:r>
        <w:t xml:space="preserve">Figure </w:t>
      </w:r>
      <w:r>
        <w:fldChar w:fldCharType="begin"/>
      </w:r>
      <w:r>
        <w:instrText xml:space="preserve"> SEQ Figure \* ARABIC </w:instrText>
      </w:r>
      <w:r>
        <w:fldChar w:fldCharType="separate"/>
      </w:r>
      <w:r w:rsidR="00FD41EB">
        <w:rPr>
          <w:noProof/>
        </w:rPr>
        <w:t>5</w:t>
      </w:r>
      <w:r>
        <w:fldChar w:fldCharType="end"/>
      </w:r>
      <w:bookmarkEnd w:id="17"/>
      <w:r>
        <w:t xml:space="preserve">. </w:t>
      </w:r>
      <w:r w:rsidRPr="00BF5726">
        <w:t xml:space="preserve">Generation </w:t>
      </w:r>
      <w:proofErr w:type="spellStart"/>
      <w:r w:rsidRPr="00BF5726">
        <w:t>stackplot</w:t>
      </w:r>
      <w:proofErr w:type="spellEnd"/>
      <w:r w:rsidRPr="00BF5726">
        <w:t xml:space="preserve"> for all scenarios in the final 400 hours</w:t>
      </w:r>
    </w:p>
    <w:p w14:paraId="7EC9C0DC" w14:textId="74BAE9D8" w:rsidR="0062432B" w:rsidRDefault="00B63DF3" w:rsidP="00CD48F0">
      <w:pPr>
        <w:pStyle w:val="BodyText"/>
      </w:pPr>
      <w:r>
        <w:lastRenderedPageBreak/>
        <w:t>When all reactor</w:t>
      </w:r>
      <w:r w:rsidR="009B6139">
        <w:t>s</w:t>
      </w:r>
      <w:r>
        <w:t xml:space="preserve"> start from EOL, we </w:t>
      </w:r>
      <w:r w:rsidR="00950D64">
        <w:t>observe that</w:t>
      </w:r>
      <w:r>
        <w:t xml:space="preserve"> </w:t>
      </w:r>
      <w:r w:rsidR="00950D64">
        <w:t xml:space="preserve">the </w:t>
      </w:r>
      <w:r w:rsidR="00EB4E97">
        <w:t>generation from</w:t>
      </w:r>
      <w:r>
        <w:t xml:space="preserve"> </w:t>
      </w:r>
      <w:r w:rsidR="00EB4E97">
        <w:t xml:space="preserve">both </w:t>
      </w:r>
      <w:r>
        <w:t xml:space="preserve">AP300 </w:t>
      </w:r>
      <w:r w:rsidR="00EB4E97">
        <w:t xml:space="preserve">and </w:t>
      </w:r>
      <w:r>
        <w:t>AP1000 units become increasingly inflexible and, during some hours,</w:t>
      </w:r>
      <w:r w:rsidR="00E12F08">
        <w:t xml:space="preserve"> nuclear energy</w:t>
      </w:r>
      <w:r w:rsidR="00950D64">
        <w:t xml:space="preserve"> is curtailed </w:t>
      </w:r>
      <w:r w:rsidR="00EB4E97">
        <w:t>on top of</w:t>
      </w:r>
      <w:r w:rsidR="00E12F08">
        <w:t xml:space="preserve"> curtailing all the VRE that could </w:t>
      </w:r>
      <w:r w:rsidR="0079495A">
        <w:t xml:space="preserve">have </w:t>
      </w:r>
      <w:r w:rsidR="00136604">
        <w:t>been utilized</w:t>
      </w:r>
      <w:r w:rsidR="00E12F08">
        <w:t xml:space="preserve">. </w:t>
      </w:r>
      <w:r w:rsidR="00B44785">
        <w:t>AP300</w:t>
      </w:r>
      <w:r w:rsidR="00502A8C">
        <w:t>, however, still exhibits fleet-level</w:t>
      </w:r>
      <w:r w:rsidR="00B44785">
        <w:t xml:space="preserve"> flexibility even though individual units have become inflexible.</w:t>
      </w:r>
      <w:r w:rsidR="0079495A">
        <w:t xml:space="preserve"> Towards EOL, reactors operate either at full power or need to be shut down. Due to smaller </w:t>
      </w:r>
      <w:r w:rsidR="003A1B3F">
        <w:t>unit size</w:t>
      </w:r>
      <w:r w:rsidR="00B86963">
        <w:t>s, AP300 reactors are shut more frequentl</w:t>
      </w:r>
      <w:r w:rsidR="003A1B3F">
        <w:t xml:space="preserve">y while still </w:t>
      </w:r>
      <w:r w:rsidR="00204A5C">
        <w:t xml:space="preserve">meeting optimum UC </w:t>
      </w:r>
      <w:r w:rsidR="003A1B3F">
        <w:t xml:space="preserve">dispatch. However, </w:t>
      </w:r>
      <w:r w:rsidR="00204A5C">
        <w:t xml:space="preserve">the </w:t>
      </w:r>
      <w:r w:rsidR="003A1B3F">
        <w:t>AP1000 units</w:t>
      </w:r>
      <w:r w:rsidR="00B86963">
        <w:t>, if shut down,</w:t>
      </w:r>
      <w:r w:rsidR="003A1B3F">
        <w:t xml:space="preserve"> will face long</w:t>
      </w:r>
      <w:r w:rsidR="00204A5C">
        <w:t>er</w:t>
      </w:r>
      <w:r w:rsidR="003A1B3F">
        <w:t xml:space="preserve"> </w:t>
      </w:r>
      <w:r w:rsidR="00B86963">
        <w:t>deadtimes</w:t>
      </w:r>
      <w:r w:rsidR="003A1B3F">
        <w:t xml:space="preserve"> and may not be able to come online as </w:t>
      </w:r>
      <w:r w:rsidR="00EB4E97">
        <w:t xml:space="preserve">fast as </w:t>
      </w:r>
      <w:r w:rsidR="00471130">
        <w:t xml:space="preserve">needed, hence they stay online even while </w:t>
      </w:r>
      <w:r w:rsidR="00321D9E">
        <w:t>over-generating</w:t>
      </w:r>
      <w:r w:rsidR="003A1B3F">
        <w:t>.</w:t>
      </w:r>
      <w:r w:rsidR="00B44785">
        <w:t xml:space="preserve"> </w:t>
      </w:r>
      <w:r w:rsidR="00321D9E">
        <w:fldChar w:fldCharType="begin"/>
      </w:r>
      <w:r w:rsidR="00321D9E">
        <w:instrText xml:space="preserve"> REF _Ref167729390 \h </w:instrText>
      </w:r>
      <w:r w:rsidR="00321D9E">
        <w:fldChar w:fldCharType="separate"/>
      </w:r>
      <w:r w:rsidR="00FD41EB">
        <w:t xml:space="preserve">Figure </w:t>
      </w:r>
      <w:r w:rsidR="00FD41EB">
        <w:rPr>
          <w:noProof/>
        </w:rPr>
        <w:t>5</w:t>
      </w:r>
      <w:r w:rsidR="00321D9E">
        <w:fldChar w:fldCharType="end"/>
      </w:r>
      <w:r w:rsidR="00321D9E">
        <w:t xml:space="preserve"> </w:t>
      </w:r>
      <w:r w:rsidR="0092684E">
        <w:t xml:space="preserve">highlights the dispatch for all scenarios and all generators, including storage charging and discharging for the last 400 hours of the year in all scenarios. </w:t>
      </w:r>
    </w:p>
    <w:p w14:paraId="59147567" w14:textId="77777777" w:rsidR="00CD48F0" w:rsidRDefault="00CD48F0" w:rsidP="00CD48F0">
      <w:pPr>
        <w:pStyle w:val="BodyText"/>
      </w:pPr>
    </w:p>
    <w:p w14:paraId="1CF8A758" w14:textId="42DED0C8" w:rsidR="0062432B" w:rsidRDefault="0062432B" w:rsidP="0062432B">
      <w:pPr>
        <w:pStyle w:val="Caption"/>
        <w:keepNext/>
        <w:jc w:val="center"/>
      </w:pPr>
      <w:bookmarkStart w:id="18" w:name="_Ref167729478"/>
      <w:r>
        <w:t xml:space="preserve">Table </w:t>
      </w:r>
      <w:r>
        <w:fldChar w:fldCharType="begin"/>
      </w:r>
      <w:r>
        <w:instrText xml:space="preserve"> SEQ Table \* ARABIC </w:instrText>
      </w:r>
      <w:r>
        <w:fldChar w:fldCharType="separate"/>
      </w:r>
      <w:r w:rsidR="00FD41EB">
        <w:rPr>
          <w:noProof/>
        </w:rPr>
        <w:t>1</w:t>
      </w:r>
      <w:r>
        <w:fldChar w:fldCharType="end"/>
      </w:r>
      <w:bookmarkEnd w:id="18"/>
      <w:r>
        <w:t xml:space="preserve">. Summary table for </w:t>
      </w:r>
      <w:r w:rsidR="007004CE">
        <w:t>annual dispatch for all 4</w:t>
      </w:r>
      <w:r>
        <w:t xml:space="preserve"> scenarios</w:t>
      </w:r>
    </w:p>
    <w:tbl>
      <w:tblPr>
        <w:tblStyle w:val="TableGrid"/>
        <w:tblW w:w="0" w:type="auto"/>
        <w:jc w:val="center"/>
        <w:tblBorders>
          <w:left w:val="none" w:sz="0" w:space="0" w:color="auto"/>
          <w:right w:val="none" w:sz="0" w:space="0" w:color="auto"/>
          <w:insideH w:val="single" w:sz="6" w:space="0" w:color="auto"/>
          <w:insideV w:val="none" w:sz="0" w:space="0" w:color="auto"/>
        </w:tblBorders>
        <w:tblLook w:val="04A0" w:firstRow="1" w:lastRow="0" w:firstColumn="1" w:lastColumn="0" w:noHBand="0" w:noVBand="1"/>
      </w:tblPr>
      <w:tblGrid>
        <w:gridCol w:w="2181"/>
        <w:gridCol w:w="1596"/>
        <w:gridCol w:w="1516"/>
        <w:gridCol w:w="1214"/>
        <w:gridCol w:w="1630"/>
      </w:tblGrid>
      <w:tr w:rsidR="0062432B" w14:paraId="24075E5F" w14:textId="77777777" w:rsidTr="00F45FE4">
        <w:trPr>
          <w:trHeight w:val="288"/>
          <w:jc w:val="center"/>
        </w:trPr>
        <w:tc>
          <w:tcPr>
            <w:tcW w:w="2181" w:type="dxa"/>
            <w:vMerge w:val="restart"/>
          </w:tcPr>
          <w:p w14:paraId="0A389258" w14:textId="77777777" w:rsidR="0062432B" w:rsidRPr="00D35FE1" w:rsidRDefault="0062432B" w:rsidP="00991BCE">
            <w:pPr>
              <w:pStyle w:val="BodyText"/>
              <w:ind w:firstLine="0"/>
              <w:rPr>
                <w:b/>
                <w:bCs/>
                <w:sz w:val="18"/>
                <w:szCs w:val="18"/>
              </w:rPr>
            </w:pPr>
            <w:r w:rsidRPr="00D35FE1">
              <w:rPr>
                <w:b/>
                <w:bCs/>
                <w:sz w:val="18"/>
                <w:szCs w:val="18"/>
              </w:rPr>
              <w:t>High-Wind Scenario</w:t>
            </w:r>
          </w:p>
        </w:tc>
        <w:tc>
          <w:tcPr>
            <w:tcW w:w="3112" w:type="dxa"/>
            <w:gridSpan w:val="2"/>
          </w:tcPr>
          <w:p w14:paraId="3752F65D" w14:textId="77777777" w:rsidR="0062432B" w:rsidRPr="00D35FE1" w:rsidRDefault="0062432B" w:rsidP="00991BCE">
            <w:pPr>
              <w:pStyle w:val="BodyText"/>
              <w:ind w:firstLine="0"/>
              <w:jc w:val="center"/>
              <w:rPr>
                <w:b/>
                <w:bCs/>
                <w:sz w:val="18"/>
                <w:szCs w:val="18"/>
              </w:rPr>
            </w:pPr>
            <w:r w:rsidRPr="00D35FE1">
              <w:rPr>
                <w:b/>
                <w:bCs/>
                <w:sz w:val="18"/>
                <w:szCs w:val="18"/>
              </w:rPr>
              <w:t>Beginning of Life (BOL)</w:t>
            </w:r>
          </w:p>
        </w:tc>
        <w:tc>
          <w:tcPr>
            <w:tcW w:w="2844" w:type="dxa"/>
            <w:gridSpan w:val="2"/>
          </w:tcPr>
          <w:p w14:paraId="04C210B3" w14:textId="77777777" w:rsidR="0062432B" w:rsidRPr="00D35FE1" w:rsidRDefault="0062432B" w:rsidP="00991BCE">
            <w:pPr>
              <w:pStyle w:val="BodyText"/>
              <w:ind w:firstLine="0"/>
              <w:jc w:val="center"/>
              <w:rPr>
                <w:b/>
                <w:bCs/>
                <w:sz w:val="18"/>
                <w:szCs w:val="18"/>
              </w:rPr>
            </w:pPr>
            <w:r w:rsidRPr="00D35FE1">
              <w:rPr>
                <w:b/>
                <w:bCs/>
                <w:sz w:val="18"/>
                <w:szCs w:val="18"/>
              </w:rPr>
              <w:t>End of Life (EOL)</w:t>
            </w:r>
          </w:p>
        </w:tc>
      </w:tr>
      <w:tr w:rsidR="0062432B" w14:paraId="5F5B1B0F" w14:textId="77777777" w:rsidTr="00F45FE4">
        <w:trPr>
          <w:trHeight w:val="160"/>
          <w:jc w:val="center"/>
        </w:trPr>
        <w:tc>
          <w:tcPr>
            <w:tcW w:w="2181" w:type="dxa"/>
            <w:vMerge/>
          </w:tcPr>
          <w:p w14:paraId="49BC36F5" w14:textId="77777777" w:rsidR="0062432B" w:rsidRPr="00D35FE1" w:rsidRDefault="0062432B" w:rsidP="00991BCE">
            <w:pPr>
              <w:pStyle w:val="BodyText"/>
              <w:ind w:firstLine="0"/>
              <w:rPr>
                <w:rStyle w:val="TabletextChar"/>
                <w:sz w:val="18"/>
                <w:szCs w:val="18"/>
              </w:rPr>
            </w:pPr>
          </w:p>
        </w:tc>
        <w:tc>
          <w:tcPr>
            <w:tcW w:w="1596" w:type="dxa"/>
          </w:tcPr>
          <w:p w14:paraId="549523AD" w14:textId="77777777" w:rsidR="0062432B" w:rsidRPr="00D35FE1" w:rsidRDefault="0062432B" w:rsidP="00991BCE">
            <w:pPr>
              <w:pStyle w:val="BodyText"/>
              <w:ind w:firstLine="0"/>
              <w:jc w:val="center"/>
              <w:rPr>
                <w:b/>
                <w:bCs/>
                <w:sz w:val="18"/>
                <w:szCs w:val="18"/>
              </w:rPr>
            </w:pPr>
            <w:r w:rsidRPr="00D35FE1">
              <w:rPr>
                <w:b/>
                <w:bCs/>
                <w:sz w:val="18"/>
                <w:szCs w:val="18"/>
              </w:rPr>
              <w:t>AP300</w:t>
            </w:r>
          </w:p>
        </w:tc>
        <w:tc>
          <w:tcPr>
            <w:tcW w:w="1515" w:type="dxa"/>
          </w:tcPr>
          <w:p w14:paraId="78869968" w14:textId="77777777" w:rsidR="0062432B" w:rsidRPr="00D35FE1" w:rsidRDefault="0062432B" w:rsidP="00991BCE">
            <w:pPr>
              <w:pStyle w:val="BodyText"/>
              <w:ind w:firstLine="0"/>
              <w:jc w:val="center"/>
              <w:rPr>
                <w:b/>
                <w:bCs/>
                <w:sz w:val="18"/>
                <w:szCs w:val="18"/>
              </w:rPr>
            </w:pPr>
            <w:r w:rsidRPr="00D35FE1">
              <w:rPr>
                <w:b/>
                <w:bCs/>
                <w:sz w:val="18"/>
                <w:szCs w:val="18"/>
              </w:rPr>
              <w:t>AP1000</w:t>
            </w:r>
          </w:p>
        </w:tc>
        <w:tc>
          <w:tcPr>
            <w:tcW w:w="1214" w:type="dxa"/>
          </w:tcPr>
          <w:p w14:paraId="5EB82AC2" w14:textId="77777777" w:rsidR="0062432B" w:rsidRPr="00D35FE1" w:rsidRDefault="0062432B" w:rsidP="00991BCE">
            <w:pPr>
              <w:pStyle w:val="BodyText"/>
              <w:ind w:firstLine="0"/>
              <w:jc w:val="center"/>
              <w:rPr>
                <w:b/>
                <w:bCs/>
                <w:sz w:val="18"/>
                <w:szCs w:val="18"/>
              </w:rPr>
            </w:pPr>
            <w:r w:rsidRPr="00D35FE1">
              <w:rPr>
                <w:b/>
                <w:bCs/>
                <w:sz w:val="18"/>
                <w:szCs w:val="18"/>
              </w:rPr>
              <w:t>AP300</w:t>
            </w:r>
          </w:p>
        </w:tc>
        <w:tc>
          <w:tcPr>
            <w:tcW w:w="1630" w:type="dxa"/>
          </w:tcPr>
          <w:p w14:paraId="5A4D379B" w14:textId="77777777" w:rsidR="0062432B" w:rsidRPr="00D35FE1" w:rsidRDefault="0062432B" w:rsidP="00991BCE">
            <w:pPr>
              <w:pStyle w:val="BodyText"/>
              <w:ind w:firstLine="0"/>
              <w:jc w:val="center"/>
              <w:rPr>
                <w:b/>
                <w:bCs/>
                <w:sz w:val="18"/>
                <w:szCs w:val="18"/>
              </w:rPr>
            </w:pPr>
            <w:r w:rsidRPr="00D35FE1">
              <w:rPr>
                <w:b/>
                <w:bCs/>
                <w:sz w:val="18"/>
                <w:szCs w:val="18"/>
              </w:rPr>
              <w:t>AP1000</w:t>
            </w:r>
          </w:p>
        </w:tc>
      </w:tr>
      <w:tr w:rsidR="0062432B" w14:paraId="7EEE2567" w14:textId="77777777" w:rsidTr="00F45FE4">
        <w:trPr>
          <w:trHeight w:val="288"/>
          <w:jc w:val="center"/>
        </w:trPr>
        <w:tc>
          <w:tcPr>
            <w:tcW w:w="2181" w:type="dxa"/>
          </w:tcPr>
          <w:p w14:paraId="452A01EA" w14:textId="77777777" w:rsidR="0062432B" w:rsidRPr="00D35FE1" w:rsidRDefault="0062432B" w:rsidP="00991BCE">
            <w:pPr>
              <w:pStyle w:val="BodyText"/>
              <w:ind w:firstLine="0"/>
              <w:rPr>
                <w:b/>
                <w:bCs/>
                <w:sz w:val="18"/>
                <w:szCs w:val="18"/>
              </w:rPr>
            </w:pPr>
            <w:r w:rsidRPr="00D35FE1">
              <w:rPr>
                <w:rStyle w:val="TabletextChar"/>
                <w:b/>
                <w:bCs/>
                <w:sz w:val="18"/>
                <w:szCs w:val="18"/>
              </w:rPr>
              <w:t>Production Cost (Mn$)</w:t>
            </w:r>
          </w:p>
        </w:tc>
        <w:tc>
          <w:tcPr>
            <w:tcW w:w="1596" w:type="dxa"/>
          </w:tcPr>
          <w:p w14:paraId="77984452" w14:textId="77777777" w:rsidR="0062432B" w:rsidRPr="00D35FE1" w:rsidRDefault="0062432B" w:rsidP="00991BCE">
            <w:pPr>
              <w:pStyle w:val="BodyText"/>
              <w:ind w:firstLine="0"/>
              <w:jc w:val="center"/>
              <w:rPr>
                <w:sz w:val="18"/>
                <w:szCs w:val="18"/>
              </w:rPr>
            </w:pPr>
            <w:r w:rsidRPr="00D35FE1">
              <w:rPr>
                <w:sz w:val="18"/>
                <w:szCs w:val="18"/>
              </w:rPr>
              <w:t>46.14</w:t>
            </w:r>
          </w:p>
        </w:tc>
        <w:tc>
          <w:tcPr>
            <w:tcW w:w="1515" w:type="dxa"/>
          </w:tcPr>
          <w:p w14:paraId="27820796" w14:textId="77777777" w:rsidR="0062432B" w:rsidRPr="00D35FE1" w:rsidRDefault="0062432B" w:rsidP="00991BCE">
            <w:pPr>
              <w:pStyle w:val="BodyText"/>
              <w:ind w:firstLine="0"/>
              <w:jc w:val="center"/>
              <w:rPr>
                <w:sz w:val="18"/>
                <w:szCs w:val="18"/>
              </w:rPr>
            </w:pPr>
            <w:r w:rsidRPr="00D35FE1">
              <w:rPr>
                <w:sz w:val="18"/>
                <w:szCs w:val="18"/>
              </w:rPr>
              <w:t>47.54</w:t>
            </w:r>
          </w:p>
        </w:tc>
        <w:tc>
          <w:tcPr>
            <w:tcW w:w="1214" w:type="dxa"/>
          </w:tcPr>
          <w:p w14:paraId="4269BA77" w14:textId="77777777" w:rsidR="0062432B" w:rsidRPr="00D35FE1" w:rsidRDefault="0062432B" w:rsidP="00991BCE">
            <w:pPr>
              <w:pStyle w:val="BodyText"/>
              <w:ind w:firstLine="0"/>
              <w:jc w:val="center"/>
              <w:rPr>
                <w:sz w:val="18"/>
                <w:szCs w:val="18"/>
              </w:rPr>
            </w:pPr>
            <w:r w:rsidRPr="00D35FE1">
              <w:rPr>
                <w:sz w:val="18"/>
                <w:szCs w:val="18"/>
              </w:rPr>
              <w:t>52.03</w:t>
            </w:r>
          </w:p>
        </w:tc>
        <w:tc>
          <w:tcPr>
            <w:tcW w:w="1630" w:type="dxa"/>
          </w:tcPr>
          <w:p w14:paraId="6D23512D" w14:textId="77777777" w:rsidR="0062432B" w:rsidRPr="00D35FE1" w:rsidRDefault="0062432B" w:rsidP="00991BCE">
            <w:pPr>
              <w:pStyle w:val="BodyText"/>
              <w:ind w:firstLine="0"/>
              <w:jc w:val="center"/>
              <w:rPr>
                <w:sz w:val="18"/>
                <w:szCs w:val="18"/>
              </w:rPr>
            </w:pPr>
            <w:r w:rsidRPr="00D35FE1">
              <w:rPr>
                <w:sz w:val="18"/>
                <w:szCs w:val="18"/>
              </w:rPr>
              <w:t>57.59</w:t>
            </w:r>
          </w:p>
        </w:tc>
      </w:tr>
      <w:tr w:rsidR="0062432B" w14:paraId="731A669F" w14:textId="77777777" w:rsidTr="00F45FE4">
        <w:trPr>
          <w:trHeight w:val="300"/>
          <w:jc w:val="center"/>
        </w:trPr>
        <w:tc>
          <w:tcPr>
            <w:tcW w:w="2181" w:type="dxa"/>
          </w:tcPr>
          <w:p w14:paraId="111DDC94" w14:textId="77777777" w:rsidR="0062432B" w:rsidRPr="00D35FE1" w:rsidRDefault="0062432B" w:rsidP="00991BCE">
            <w:pPr>
              <w:pStyle w:val="BodyText"/>
              <w:ind w:firstLine="0"/>
              <w:rPr>
                <w:b/>
                <w:bCs/>
                <w:sz w:val="18"/>
                <w:szCs w:val="18"/>
              </w:rPr>
            </w:pPr>
            <w:r w:rsidRPr="00D35FE1">
              <w:rPr>
                <w:b/>
                <w:bCs/>
                <w:sz w:val="18"/>
                <w:szCs w:val="18"/>
              </w:rPr>
              <w:t>Nuclear (TWh)</w:t>
            </w:r>
          </w:p>
        </w:tc>
        <w:tc>
          <w:tcPr>
            <w:tcW w:w="1596" w:type="dxa"/>
          </w:tcPr>
          <w:p w14:paraId="41A3CC7E" w14:textId="77777777" w:rsidR="0062432B" w:rsidRPr="00D35FE1" w:rsidRDefault="0062432B" w:rsidP="00991BCE">
            <w:pPr>
              <w:pStyle w:val="BodyText"/>
              <w:ind w:firstLine="0"/>
              <w:jc w:val="center"/>
              <w:rPr>
                <w:sz w:val="18"/>
                <w:szCs w:val="18"/>
              </w:rPr>
            </w:pPr>
            <w:r w:rsidRPr="00D35FE1">
              <w:rPr>
                <w:sz w:val="18"/>
                <w:szCs w:val="18"/>
              </w:rPr>
              <w:t>5.78</w:t>
            </w:r>
          </w:p>
        </w:tc>
        <w:tc>
          <w:tcPr>
            <w:tcW w:w="1515" w:type="dxa"/>
          </w:tcPr>
          <w:p w14:paraId="43E8D67D" w14:textId="77777777" w:rsidR="0062432B" w:rsidRPr="00D35FE1" w:rsidRDefault="0062432B" w:rsidP="00991BCE">
            <w:pPr>
              <w:pStyle w:val="BodyText"/>
              <w:ind w:firstLine="0"/>
              <w:jc w:val="center"/>
              <w:rPr>
                <w:sz w:val="18"/>
                <w:szCs w:val="18"/>
              </w:rPr>
            </w:pPr>
            <w:r w:rsidRPr="00D35FE1">
              <w:rPr>
                <w:sz w:val="18"/>
                <w:szCs w:val="18"/>
              </w:rPr>
              <w:t>6.01</w:t>
            </w:r>
          </w:p>
        </w:tc>
        <w:tc>
          <w:tcPr>
            <w:tcW w:w="1214" w:type="dxa"/>
          </w:tcPr>
          <w:p w14:paraId="567955A5" w14:textId="77777777" w:rsidR="0062432B" w:rsidRPr="00D35FE1" w:rsidRDefault="0062432B" w:rsidP="00991BCE">
            <w:pPr>
              <w:pStyle w:val="BodyText"/>
              <w:ind w:firstLine="0"/>
              <w:jc w:val="center"/>
              <w:rPr>
                <w:sz w:val="18"/>
                <w:szCs w:val="18"/>
              </w:rPr>
            </w:pPr>
            <w:r w:rsidRPr="00D35FE1">
              <w:rPr>
                <w:sz w:val="18"/>
                <w:szCs w:val="18"/>
              </w:rPr>
              <w:t>6.51</w:t>
            </w:r>
          </w:p>
        </w:tc>
        <w:tc>
          <w:tcPr>
            <w:tcW w:w="1630" w:type="dxa"/>
          </w:tcPr>
          <w:p w14:paraId="07D78BCA" w14:textId="77777777" w:rsidR="0062432B" w:rsidRPr="00D35FE1" w:rsidRDefault="0062432B" w:rsidP="00991BCE">
            <w:pPr>
              <w:pStyle w:val="BodyText"/>
              <w:ind w:firstLine="0"/>
              <w:jc w:val="center"/>
              <w:rPr>
                <w:sz w:val="18"/>
                <w:szCs w:val="18"/>
              </w:rPr>
            </w:pPr>
            <w:r w:rsidRPr="00D35FE1">
              <w:rPr>
                <w:sz w:val="18"/>
                <w:szCs w:val="18"/>
              </w:rPr>
              <w:t>7.21</w:t>
            </w:r>
          </w:p>
        </w:tc>
      </w:tr>
      <w:tr w:rsidR="0062432B" w14:paraId="6B72D934" w14:textId="77777777" w:rsidTr="00F45FE4">
        <w:trPr>
          <w:trHeight w:val="288"/>
          <w:jc w:val="center"/>
        </w:trPr>
        <w:tc>
          <w:tcPr>
            <w:tcW w:w="2181" w:type="dxa"/>
          </w:tcPr>
          <w:p w14:paraId="56DFE256" w14:textId="77777777" w:rsidR="0062432B" w:rsidRPr="00D35FE1" w:rsidRDefault="0062432B" w:rsidP="00991BCE">
            <w:pPr>
              <w:pStyle w:val="BodyText"/>
              <w:ind w:firstLine="0"/>
              <w:rPr>
                <w:b/>
                <w:bCs/>
                <w:sz w:val="18"/>
                <w:szCs w:val="18"/>
              </w:rPr>
            </w:pPr>
            <w:r w:rsidRPr="00D35FE1">
              <w:rPr>
                <w:b/>
                <w:bCs/>
                <w:sz w:val="18"/>
                <w:szCs w:val="18"/>
              </w:rPr>
              <w:t>Solar (TWh)</w:t>
            </w:r>
          </w:p>
        </w:tc>
        <w:tc>
          <w:tcPr>
            <w:tcW w:w="1596" w:type="dxa"/>
          </w:tcPr>
          <w:p w14:paraId="65FAF1C1" w14:textId="77777777" w:rsidR="0062432B" w:rsidRPr="00D35FE1" w:rsidRDefault="0062432B" w:rsidP="00991BCE">
            <w:pPr>
              <w:pStyle w:val="BodyText"/>
              <w:ind w:firstLine="0"/>
              <w:jc w:val="center"/>
              <w:rPr>
                <w:sz w:val="18"/>
                <w:szCs w:val="18"/>
              </w:rPr>
            </w:pPr>
            <w:r w:rsidRPr="00D35FE1">
              <w:rPr>
                <w:sz w:val="18"/>
                <w:szCs w:val="18"/>
              </w:rPr>
              <w:t>2.71</w:t>
            </w:r>
          </w:p>
        </w:tc>
        <w:tc>
          <w:tcPr>
            <w:tcW w:w="1515" w:type="dxa"/>
          </w:tcPr>
          <w:p w14:paraId="67196442" w14:textId="77777777" w:rsidR="0062432B" w:rsidRPr="00D35FE1" w:rsidRDefault="0062432B" w:rsidP="00991BCE">
            <w:pPr>
              <w:pStyle w:val="BodyText"/>
              <w:ind w:firstLine="0"/>
              <w:jc w:val="center"/>
              <w:rPr>
                <w:sz w:val="18"/>
                <w:szCs w:val="18"/>
              </w:rPr>
            </w:pPr>
            <w:r w:rsidRPr="00D35FE1">
              <w:rPr>
                <w:sz w:val="18"/>
                <w:szCs w:val="18"/>
              </w:rPr>
              <w:t>2.68</w:t>
            </w:r>
          </w:p>
        </w:tc>
        <w:tc>
          <w:tcPr>
            <w:tcW w:w="1214" w:type="dxa"/>
          </w:tcPr>
          <w:p w14:paraId="54282E70" w14:textId="77777777" w:rsidR="0062432B" w:rsidRPr="00D35FE1" w:rsidRDefault="0062432B" w:rsidP="00991BCE">
            <w:pPr>
              <w:pStyle w:val="BodyText"/>
              <w:ind w:firstLine="0"/>
              <w:jc w:val="center"/>
              <w:rPr>
                <w:sz w:val="18"/>
                <w:szCs w:val="18"/>
              </w:rPr>
            </w:pPr>
            <w:r w:rsidRPr="00D35FE1">
              <w:rPr>
                <w:sz w:val="18"/>
                <w:szCs w:val="18"/>
              </w:rPr>
              <w:t>2.61</w:t>
            </w:r>
          </w:p>
        </w:tc>
        <w:tc>
          <w:tcPr>
            <w:tcW w:w="1630" w:type="dxa"/>
          </w:tcPr>
          <w:p w14:paraId="248A5F32" w14:textId="77777777" w:rsidR="0062432B" w:rsidRPr="00D35FE1" w:rsidRDefault="0062432B" w:rsidP="00991BCE">
            <w:pPr>
              <w:pStyle w:val="BodyText"/>
              <w:ind w:firstLine="0"/>
              <w:jc w:val="center"/>
              <w:rPr>
                <w:sz w:val="18"/>
                <w:szCs w:val="18"/>
              </w:rPr>
            </w:pPr>
            <w:r w:rsidRPr="00D35FE1">
              <w:rPr>
                <w:sz w:val="18"/>
                <w:szCs w:val="18"/>
              </w:rPr>
              <w:t>2.51</w:t>
            </w:r>
          </w:p>
        </w:tc>
      </w:tr>
      <w:tr w:rsidR="0062432B" w14:paraId="058E37A4" w14:textId="77777777" w:rsidTr="00F45FE4">
        <w:trPr>
          <w:trHeight w:val="300"/>
          <w:jc w:val="center"/>
        </w:trPr>
        <w:tc>
          <w:tcPr>
            <w:tcW w:w="2181" w:type="dxa"/>
          </w:tcPr>
          <w:p w14:paraId="30038A24" w14:textId="77777777" w:rsidR="0062432B" w:rsidRPr="00D35FE1" w:rsidRDefault="0062432B" w:rsidP="00991BCE">
            <w:pPr>
              <w:pStyle w:val="BodyText"/>
              <w:ind w:firstLine="0"/>
              <w:rPr>
                <w:b/>
                <w:bCs/>
                <w:sz w:val="18"/>
                <w:szCs w:val="18"/>
              </w:rPr>
            </w:pPr>
            <w:r w:rsidRPr="00D35FE1">
              <w:rPr>
                <w:b/>
                <w:bCs/>
                <w:sz w:val="18"/>
                <w:szCs w:val="18"/>
              </w:rPr>
              <w:t>Wind (TWh)</w:t>
            </w:r>
          </w:p>
        </w:tc>
        <w:tc>
          <w:tcPr>
            <w:tcW w:w="1596" w:type="dxa"/>
          </w:tcPr>
          <w:p w14:paraId="12D75049" w14:textId="77777777" w:rsidR="0062432B" w:rsidRPr="00D35FE1" w:rsidRDefault="0062432B" w:rsidP="00991BCE">
            <w:pPr>
              <w:pStyle w:val="BodyText"/>
              <w:ind w:firstLine="0"/>
              <w:jc w:val="center"/>
              <w:rPr>
                <w:sz w:val="18"/>
                <w:szCs w:val="18"/>
              </w:rPr>
            </w:pPr>
            <w:r w:rsidRPr="00D35FE1">
              <w:rPr>
                <w:sz w:val="18"/>
                <w:szCs w:val="18"/>
              </w:rPr>
              <w:t>13.38</w:t>
            </w:r>
          </w:p>
        </w:tc>
        <w:tc>
          <w:tcPr>
            <w:tcW w:w="1515" w:type="dxa"/>
          </w:tcPr>
          <w:p w14:paraId="692FC5C0" w14:textId="77777777" w:rsidR="0062432B" w:rsidRPr="00D35FE1" w:rsidRDefault="0062432B" w:rsidP="00991BCE">
            <w:pPr>
              <w:pStyle w:val="BodyText"/>
              <w:ind w:firstLine="0"/>
              <w:jc w:val="center"/>
              <w:rPr>
                <w:sz w:val="18"/>
                <w:szCs w:val="18"/>
              </w:rPr>
            </w:pPr>
            <w:r w:rsidRPr="00D35FE1">
              <w:rPr>
                <w:sz w:val="18"/>
                <w:szCs w:val="18"/>
              </w:rPr>
              <w:t>13.1</w:t>
            </w:r>
          </w:p>
        </w:tc>
        <w:tc>
          <w:tcPr>
            <w:tcW w:w="1214" w:type="dxa"/>
          </w:tcPr>
          <w:p w14:paraId="68C250A8" w14:textId="77777777" w:rsidR="0062432B" w:rsidRPr="00D35FE1" w:rsidRDefault="0062432B" w:rsidP="00991BCE">
            <w:pPr>
              <w:pStyle w:val="BodyText"/>
              <w:ind w:firstLine="0"/>
              <w:jc w:val="center"/>
              <w:rPr>
                <w:sz w:val="18"/>
                <w:szCs w:val="18"/>
              </w:rPr>
            </w:pPr>
            <w:r w:rsidRPr="00D35FE1">
              <w:rPr>
                <w:sz w:val="18"/>
                <w:szCs w:val="18"/>
              </w:rPr>
              <w:t>13.92</w:t>
            </w:r>
          </w:p>
        </w:tc>
        <w:tc>
          <w:tcPr>
            <w:tcW w:w="1630" w:type="dxa"/>
          </w:tcPr>
          <w:p w14:paraId="019D2B2E" w14:textId="77777777" w:rsidR="0062432B" w:rsidRPr="00D35FE1" w:rsidRDefault="0062432B" w:rsidP="00991BCE">
            <w:pPr>
              <w:pStyle w:val="BodyText"/>
              <w:ind w:firstLine="0"/>
              <w:jc w:val="center"/>
              <w:rPr>
                <w:sz w:val="18"/>
                <w:szCs w:val="18"/>
              </w:rPr>
            </w:pPr>
            <w:r w:rsidRPr="00D35FE1">
              <w:rPr>
                <w:sz w:val="18"/>
                <w:szCs w:val="18"/>
              </w:rPr>
              <w:t>12.04</w:t>
            </w:r>
          </w:p>
        </w:tc>
      </w:tr>
      <w:tr w:rsidR="0062432B" w14:paraId="4D11381A" w14:textId="77777777" w:rsidTr="00F45FE4">
        <w:trPr>
          <w:trHeight w:val="288"/>
          <w:jc w:val="center"/>
        </w:trPr>
        <w:tc>
          <w:tcPr>
            <w:tcW w:w="2181" w:type="dxa"/>
          </w:tcPr>
          <w:p w14:paraId="3BF93D56" w14:textId="77777777" w:rsidR="0062432B" w:rsidRPr="00D35FE1" w:rsidRDefault="0062432B" w:rsidP="00991BCE">
            <w:pPr>
              <w:pStyle w:val="BodyText"/>
              <w:ind w:firstLine="0"/>
              <w:rPr>
                <w:b/>
                <w:bCs/>
                <w:sz w:val="18"/>
                <w:szCs w:val="18"/>
              </w:rPr>
            </w:pPr>
            <w:r w:rsidRPr="00D35FE1">
              <w:rPr>
                <w:b/>
                <w:bCs/>
                <w:sz w:val="18"/>
                <w:szCs w:val="18"/>
              </w:rPr>
              <w:t>Curtailment (TWh)</w:t>
            </w:r>
          </w:p>
        </w:tc>
        <w:tc>
          <w:tcPr>
            <w:tcW w:w="1596" w:type="dxa"/>
          </w:tcPr>
          <w:p w14:paraId="63B2D868" w14:textId="77777777" w:rsidR="0062432B" w:rsidRPr="00D35FE1" w:rsidRDefault="0062432B" w:rsidP="00991BCE">
            <w:pPr>
              <w:pStyle w:val="BodyText"/>
              <w:ind w:firstLine="0"/>
              <w:jc w:val="center"/>
              <w:rPr>
                <w:sz w:val="18"/>
                <w:szCs w:val="18"/>
              </w:rPr>
            </w:pPr>
            <w:r w:rsidRPr="00D35FE1">
              <w:rPr>
                <w:sz w:val="18"/>
                <w:szCs w:val="18"/>
              </w:rPr>
              <w:t>1.03</w:t>
            </w:r>
          </w:p>
        </w:tc>
        <w:tc>
          <w:tcPr>
            <w:tcW w:w="1515" w:type="dxa"/>
          </w:tcPr>
          <w:p w14:paraId="5F24ECF0" w14:textId="77777777" w:rsidR="0062432B" w:rsidRPr="00D35FE1" w:rsidRDefault="0062432B" w:rsidP="00991BCE">
            <w:pPr>
              <w:pStyle w:val="BodyText"/>
              <w:ind w:firstLine="0"/>
              <w:jc w:val="center"/>
              <w:rPr>
                <w:sz w:val="18"/>
                <w:szCs w:val="18"/>
              </w:rPr>
            </w:pPr>
            <w:r w:rsidRPr="00D35FE1">
              <w:rPr>
                <w:sz w:val="18"/>
                <w:szCs w:val="18"/>
              </w:rPr>
              <w:t>1.14</w:t>
            </w:r>
          </w:p>
        </w:tc>
        <w:tc>
          <w:tcPr>
            <w:tcW w:w="1214" w:type="dxa"/>
          </w:tcPr>
          <w:p w14:paraId="26A2A741" w14:textId="77777777" w:rsidR="0062432B" w:rsidRPr="00D35FE1" w:rsidRDefault="0062432B" w:rsidP="00991BCE">
            <w:pPr>
              <w:pStyle w:val="BodyText"/>
              <w:ind w:firstLine="0"/>
              <w:jc w:val="center"/>
              <w:rPr>
                <w:sz w:val="18"/>
                <w:szCs w:val="18"/>
              </w:rPr>
            </w:pPr>
            <w:r w:rsidRPr="00D35FE1">
              <w:rPr>
                <w:sz w:val="18"/>
                <w:szCs w:val="18"/>
              </w:rPr>
              <w:t>1.61</w:t>
            </w:r>
          </w:p>
        </w:tc>
        <w:tc>
          <w:tcPr>
            <w:tcW w:w="1630" w:type="dxa"/>
          </w:tcPr>
          <w:p w14:paraId="48F729F3" w14:textId="77777777" w:rsidR="0062432B" w:rsidRPr="00D35FE1" w:rsidRDefault="0062432B" w:rsidP="00991BCE">
            <w:pPr>
              <w:pStyle w:val="BodyText"/>
              <w:ind w:firstLine="0"/>
              <w:jc w:val="center"/>
              <w:rPr>
                <w:sz w:val="18"/>
                <w:szCs w:val="18"/>
              </w:rPr>
            </w:pPr>
            <w:r w:rsidRPr="00D35FE1">
              <w:rPr>
                <w:sz w:val="18"/>
                <w:szCs w:val="18"/>
              </w:rPr>
              <w:t>2.19</w:t>
            </w:r>
          </w:p>
        </w:tc>
      </w:tr>
    </w:tbl>
    <w:p w14:paraId="7605B349" w14:textId="4B510B50" w:rsidR="0091565E" w:rsidRDefault="001532AE" w:rsidP="00274231">
      <w:pPr>
        <w:pStyle w:val="Heading2"/>
      </w:pPr>
      <w:r>
        <w:t>CONCLUSION</w:t>
      </w:r>
    </w:p>
    <w:p w14:paraId="55367C57" w14:textId="244563C4" w:rsidR="00CD48F0" w:rsidRDefault="00274231" w:rsidP="00A53F39">
      <w:pPr>
        <w:ind w:firstLine="567"/>
        <w:jc w:val="both"/>
        <w:rPr>
          <w:sz w:val="20"/>
        </w:rPr>
      </w:pPr>
      <w:r w:rsidRPr="0034247C">
        <w:rPr>
          <w:sz w:val="20"/>
        </w:rPr>
        <w:t xml:space="preserve">In conclusion, </w:t>
      </w:r>
      <w:r w:rsidR="00321D9E">
        <w:rPr>
          <w:sz w:val="20"/>
        </w:rPr>
        <w:t>this</w:t>
      </w:r>
      <w:r w:rsidRPr="0034247C">
        <w:rPr>
          <w:sz w:val="20"/>
        </w:rPr>
        <w:t xml:space="preserve"> study captur</w:t>
      </w:r>
      <w:r w:rsidR="00FE2176" w:rsidRPr="0034247C">
        <w:rPr>
          <w:sz w:val="20"/>
        </w:rPr>
        <w:t>es</w:t>
      </w:r>
      <w:r w:rsidRPr="0034247C">
        <w:rPr>
          <w:sz w:val="20"/>
        </w:rPr>
        <w:t xml:space="preserve"> the</w:t>
      </w:r>
      <w:r w:rsidR="00FE2176" w:rsidRPr="0034247C">
        <w:rPr>
          <w:sz w:val="20"/>
        </w:rPr>
        <w:t xml:space="preserve"> evolving</w:t>
      </w:r>
      <w:r w:rsidRPr="0034247C">
        <w:rPr>
          <w:sz w:val="20"/>
        </w:rPr>
        <w:t xml:space="preserve"> </w:t>
      </w:r>
      <w:r w:rsidR="00FE2176" w:rsidRPr="0034247C">
        <w:rPr>
          <w:sz w:val="20"/>
        </w:rPr>
        <w:t xml:space="preserve">constrained operational space for </w:t>
      </w:r>
      <w:r w:rsidR="00321D9E" w:rsidRPr="0034247C">
        <w:rPr>
          <w:sz w:val="20"/>
        </w:rPr>
        <w:t>flexibly</w:t>
      </w:r>
      <w:r w:rsidR="00321D9E">
        <w:rPr>
          <w:sz w:val="20"/>
        </w:rPr>
        <w:t xml:space="preserve"> operating</w:t>
      </w:r>
      <w:r w:rsidR="00FE2176" w:rsidRPr="0034247C">
        <w:rPr>
          <w:sz w:val="20"/>
        </w:rPr>
        <w:t xml:space="preserve"> </w:t>
      </w:r>
      <w:r w:rsidRPr="0034247C">
        <w:rPr>
          <w:sz w:val="20"/>
        </w:rPr>
        <w:t xml:space="preserve">nuclear reactors </w:t>
      </w:r>
      <w:r w:rsidR="00FE2176" w:rsidRPr="0034247C">
        <w:rPr>
          <w:sz w:val="20"/>
        </w:rPr>
        <w:t>from</w:t>
      </w:r>
      <w:r w:rsidRPr="0034247C">
        <w:rPr>
          <w:sz w:val="20"/>
        </w:rPr>
        <w:t xml:space="preserve"> </w:t>
      </w:r>
      <w:r w:rsidR="00321D9E">
        <w:rPr>
          <w:sz w:val="20"/>
        </w:rPr>
        <w:t>the Beginning of Life (BOL) and End of Life (EOL),</w:t>
      </w:r>
      <w:r w:rsidR="0034247C" w:rsidRPr="0034247C">
        <w:rPr>
          <w:sz w:val="20"/>
        </w:rPr>
        <w:t xml:space="preserve"> considering burnup, enrichment, ramp limits, declining reactivity, Xenon poisoning-induced deadtimes, and minimum power levels</w:t>
      </w:r>
      <w:r w:rsidR="00124813">
        <w:rPr>
          <w:sz w:val="20"/>
        </w:rPr>
        <w:t xml:space="preserve"> in a</w:t>
      </w:r>
      <w:r w:rsidRPr="0034247C">
        <w:rPr>
          <w:sz w:val="20"/>
        </w:rPr>
        <w:t xml:space="preserve"> modified Unit Commitment (UC) model. The analysis </w:t>
      </w:r>
      <w:r w:rsidR="00C328F8">
        <w:rPr>
          <w:sz w:val="20"/>
        </w:rPr>
        <w:t>shows</w:t>
      </w:r>
      <w:r w:rsidRPr="0034247C">
        <w:rPr>
          <w:sz w:val="20"/>
        </w:rPr>
        <w:t xml:space="preserve"> that Small Modular Reactors (SMRs)</w:t>
      </w:r>
      <w:r w:rsidR="00FB1980" w:rsidRPr="0034247C">
        <w:rPr>
          <w:sz w:val="20"/>
        </w:rPr>
        <w:t xml:space="preserve"> achieved the least cost dispatch in all scenarios due to their smaller unit sizes and greater inherent flexibility compared to gigawatt-scale reactors (GW-reactors)</w:t>
      </w:r>
      <w:r w:rsidRPr="0034247C">
        <w:rPr>
          <w:sz w:val="20"/>
        </w:rPr>
        <w:t xml:space="preserve">. Additionally, replacing </w:t>
      </w:r>
      <w:r w:rsidR="00940834" w:rsidRPr="0034247C">
        <w:rPr>
          <w:sz w:val="20"/>
        </w:rPr>
        <w:t>GW reactors</w:t>
      </w:r>
      <w:r w:rsidRPr="0034247C">
        <w:rPr>
          <w:sz w:val="20"/>
        </w:rPr>
        <w:t xml:space="preserve"> with SMRs facilitate</w:t>
      </w:r>
      <w:r w:rsidR="00321D9E">
        <w:rPr>
          <w:sz w:val="20"/>
        </w:rPr>
        <w:t>s</w:t>
      </w:r>
      <w:r w:rsidRPr="0034247C">
        <w:rPr>
          <w:sz w:val="20"/>
        </w:rPr>
        <w:t xml:space="preserve"> higher penetration of variable renewable energy (VRE)</w:t>
      </w:r>
      <w:r w:rsidR="00321D9E">
        <w:rPr>
          <w:sz w:val="20"/>
        </w:rPr>
        <w:t xml:space="preserve"> in dispatch</w:t>
      </w:r>
      <w:r w:rsidRPr="0034247C">
        <w:rPr>
          <w:sz w:val="20"/>
        </w:rPr>
        <w:t xml:space="preserve">. </w:t>
      </w:r>
      <w:r w:rsidR="00FB1980" w:rsidRPr="0034247C">
        <w:rPr>
          <w:sz w:val="20"/>
        </w:rPr>
        <w:t xml:space="preserve">SMRs also dispatch reactors in </w:t>
      </w:r>
      <w:r w:rsidR="00321D9E">
        <w:rPr>
          <w:sz w:val="20"/>
        </w:rPr>
        <w:t>their</w:t>
      </w:r>
      <w:r w:rsidR="00FB1980" w:rsidRPr="0034247C">
        <w:rPr>
          <w:sz w:val="20"/>
        </w:rPr>
        <w:t xml:space="preserve"> fleet efficiently, operating some reactors as must-run and others more flexibly to cumulatively result in higher fleet flexibility. These results highlight SMRs' ability to integrate more flexibly in high renewable future grids. </w:t>
      </w:r>
      <w:r w:rsidRPr="0034247C">
        <w:rPr>
          <w:sz w:val="20"/>
        </w:rPr>
        <w:t xml:space="preserve">Consequently, in both </w:t>
      </w:r>
      <w:r w:rsidR="00940834" w:rsidRPr="0034247C">
        <w:rPr>
          <w:sz w:val="20"/>
        </w:rPr>
        <w:t xml:space="preserve">the </w:t>
      </w:r>
      <w:r w:rsidRPr="0034247C">
        <w:rPr>
          <w:sz w:val="20"/>
        </w:rPr>
        <w:t xml:space="preserve">BOL and EOL stages, the deployment of SMRs resulted in reduced VRE curtailment, demonstrating their effectiveness in supporting a more sustainable and efficient </w:t>
      </w:r>
      <w:r w:rsidR="00AB3CFC" w:rsidRPr="0034247C">
        <w:rPr>
          <w:sz w:val="20"/>
        </w:rPr>
        <w:t xml:space="preserve">zero-carbon </w:t>
      </w:r>
      <w:r w:rsidRPr="0034247C">
        <w:rPr>
          <w:sz w:val="20"/>
        </w:rPr>
        <w:t>energy system.</w:t>
      </w:r>
    </w:p>
    <w:p w14:paraId="6D085415" w14:textId="77777777" w:rsidR="00625445" w:rsidRDefault="00625445" w:rsidP="00A53F39">
      <w:pPr>
        <w:ind w:firstLine="567"/>
        <w:jc w:val="both"/>
        <w:rPr>
          <w:sz w:val="20"/>
        </w:rPr>
      </w:pPr>
    </w:p>
    <w:p w14:paraId="54DD44D9" w14:textId="264D0B65" w:rsidR="00CA5322" w:rsidRPr="00C92A24" w:rsidRDefault="00F80BBE" w:rsidP="00CD48F0">
      <w:pPr>
        <w:pStyle w:val="BodyText"/>
        <w:ind w:firstLine="0"/>
        <w:jc w:val="center"/>
        <w:rPr>
          <w:b/>
          <w:bCs/>
        </w:rPr>
      </w:pPr>
      <w:r w:rsidRPr="00B41382">
        <w:rPr>
          <w:b/>
          <w:bCs/>
        </w:rPr>
        <w:t>NOMENCLATURE:</w:t>
      </w:r>
    </w:p>
    <w:tbl>
      <w:tblPr>
        <w:tblStyle w:val="TableGrid"/>
        <w:tblW w:w="0" w:type="auto"/>
        <w:tblLook w:val="04A0" w:firstRow="1" w:lastRow="0" w:firstColumn="1" w:lastColumn="0" w:noHBand="0" w:noVBand="1"/>
      </w:tblPr>
      <w:tblGrid>
        <w:gridCol w:w="2245"/>
        <w:gridCol w:w="6772"/>
      </w:tblGrid>
      <w:tr w:rsidR="00F80BBE" w14:paraId="30CBB568" w14:textId="77777777" w:rsidTr="00F70E1E">
        <w:tc>
          <w:tcPr>
            <w:tcW w:w="2245" w:type="dxa"/>
          </w:tcPr>
          <w:p w14:paraId="4B71B23D" w14:textId="77777777" w:rsidR="00F80BBE" w:rsidRPr="00625445" w:rsidRDefault="00000000" w:rsidP="00F70E1E">
            <w:pPr>
              <w:pStyle w:val="BodyText"/>
              <w:ind w:firstLine="0"/>
              <w:jc w:val="left"/>
              <w:rPr>
                <w:sz w:val="18"/>
                <w:szCs w:val="18"/>
              </w:rPr>
            </w:pPr>
            <m:oMathPara>
              <m:oMath>
                <m:sSub>
                  <m:sSubPr>
                    <m:ctrlPr>
                      <w:rPr>
                        <w:rFonts w:ascii="Cambria Math" w:hAnsi="Cambria Math"/>
                        <w:iCs/>
                        <w:sz w:val="18"/>
                        <w:szCs w:val="18"/>
                      </w:rPr>
                    </m:ctrlPr>
                  </m:sSubPr>
                  <m:e>
                    <m:r>
                      <m:rPr>
                        <m:sty m:val="p"/>
                      </m:rPr>
                      <w:rPr>
                        <w:rFonts w:ascii="Cambria Math" w:hAnsi="Cambria Math"/>
                        <w:sz w:val="18"/>
                        <w:szCs w:val="18"/>
                      </w:rPr>
                      <m:t>λ</m:t>
                    </m:r>
                  </m:e>
                  <m:sub>
                    <m:r>
                      <m:rPr>
                        <m:sty m:val="p"/>
                      </m:rPr>
                      <w:rPr>
                        <w:rFonts w:ascii="Cambria Math" w:hAnsi="Cambria Math"/>
                        <w:sz w:val="18"/>
                        <w:szCs w:val="18"/>
                      </w:rPr>
                      <m:t>I</m:t>
                    </m:r>
                  </m:sub>
                </m:sSub>
              </m:oMath>
            </m:oMathPara>
          </w:p>
        </w:tc>
        <w:tc>
          <w:tcPr>
            <w:tcW w:w="6772" w:type="dxa"/>
          </w:tcPr>
          <w:p w14:paraId="63CFAA78" w14:textId="77777777" w:rsidR="00F80BBE" w:rsidRPr="00625445" w:rsidRDefault="00F80BBE" w:rsidP="00F70E1E">
            <w:pPr>
              <w:pStyle w:val="BodyText"/>
              <w:ind w:firstLine="0"/>
              <w:jc w:val="left"/>
              <w:rPr>
                <w:sz w:val="18"/>
                <w:szCs w:val="18"/>
              </w:rPr>
            </w:pPr>
            <w:r w:rsidRPr="00625445">
              <w:rPr>
                <w:sz w:val="18"/>
                <w:szCs w:val="18"/>
              </w:rPr>
              <w:t>Iodine decay constant (</w:t>
            </w:r>
            <w:proofErr w:type="gramStart"/>
            <w:r w:rsidRPr="00625445">
              <w:rPr>
                <w:sz w:val="18"/>
                <w:szCs w:val="18"/>
              </w:rPr>
              <w:t>hr</w:t>
            </w:r>
            <w:r w:rsidRPr="00625445">
              <w:rPr>
                <w:sz w:val="18"/>
                <w:szCs w:val="18"/>
                <w:vertAlign w:val="superscript"/>
              </w:rPr>
              <w:t>-1</w:t>
            </w:r>
            <w:proofErr w:type="gramEnd"/>
            <w:r w:rsidRPr="00625445">
              <w:rPr>
                <w:sz w:val="18"/>
                <w:szCs w:val="18"/>
              </w:rPr>
              <w:t>)</w:t>
            </w:r>
          </w:p>
        </w:tc>
      </w:tr>
      <w:tr w:rsidR="00F80BBE" w14:paraId="043039E1" w14:textId="77777777" w:rsidTr="00F70E1E">
        <w:tc>
          <w:tcPr>
            <w:tcW w:w="2245" w:type="dxa"/>
          </w:tcPr>
          <w:p w14:paraId="11FB1B45" w14:textId="77777777" w:rsidR="00F80BBE" w:rsidRPr="00625445" w:rsidRDefault="00000000" w:rsidP="00F70E1E">
            <w:pPr>
              <w:pStyle w:val="BodyText"/>
              <w:ind w:firstLine="0"/>
              <w:jc w:val="left"/>
              <w:rPr>
                <w:sz w:val="18"/>
                <w:szCs w:val="18"/>
              </w:rPr>
            </w:pPr>
            <m:oMathPara>
              <m:oMath>
                <m:sSub>
                  <m:sSubPr>
                    <m:ctrlPr>
                      <w:rPr>
                        <w:rFonts w:ascii="Cambria Math" w:hAnsi="Cambria Math"/>
                        <w:iCs/>
                        <w:sz w:val="18"/>
                        <w:szCs w:val="18"/>
                      </w:rPr>
                    </m:ctrlPr>
                  </m:sSubPr>
                  <m:e>
                    <m:r>
                      <m:rPr>
                        <m:sty m:val="p"/>
                      </m:rPr>
                      <w:rPr>
                        <w:rFonts w:ascii="Cambria Math" w:hAnsi="Cambria Math"/>
                        <w:sz w:val="18"/>
                        <w:szCs w:val="18"/>
                      </w:rPr>
                      <m:t>λ</m:t>
                    </m:r>
                  </m:e>
                  <m:sub>
                    <m:r>
                      <w:rPr>
                        <w:rFonts w:ascii="Cambria Math" w:hAnsi="Cambria Math"/>
                        <w:sz w:val="18"/>
                        <w:szCs w:val="18"/>
                      </w:rPr>
                      <m:t>Xe</m:t>
                    </m:r>
                  </m:sub>
                </m:sSub>
              </m:oMath>
            </m:oMathPara>
          </w:p>
        </w:tc>
        <w:tc>
          <w:tcPr>
            <w:tcW w:w="6772" w:type="dxa"/>
          </w:tcPr>
          <w:p w14:paraId="6951DA4A" w14:textId="77777777" w:rsidR="00F80BBE" w:rsidRPr="00625445" w:rsidRDefault="00F80BBE" w:rsidP="00F70E1E">
            <w:pPr>
              <w:pStyle w:val="BodyText"/>
              <w:ind w:firstLine="0"/>
              <w:jc w:val="left"/>
              <w:rPr>
                <w:sz w:val="18"/>
                <w:szCs w:val="18"/>
              </w:rPr>
            </w:pPr>
            <w:r w:rsidRPr="00625445">
              <w:rPr>
                <w:sz w:val="18"/>
                <w:szCs w:val="18"/>
              </w:rPr>
              <w:t>Xenon decay constant (</w:t>
            </w:r>
            <w:proofErr w:type="gramStart"/>
            <w:r w:rsidRPr="00625445">
              <w:rPr>
                <w:sz w:val="18"/>
                <w:szCs w:val="18"/>
              </w:rPr>
              <w:t>hr</w:t>
            </w:r>
            <w:r w:rsidRPr="00625445">
              <w:rPr>
                <w:sz w:val="18"/>
                <w:szCs w:val="18"/>
                <w:vertAlign w:val="superscript"/>
              </w:rPr>
              <w:t>-1</w:t>
            </w:r>
            <w:proofErr w:type="gramEnd"/>
            <w:r w:rsidRPr="00625445">
              <w:rPr>
                <w:sz w:val="18"/>
                <w:szCs w:val="18"/>
              </w:rPr>
              <w:t>)</w:t>
            </w:r>
          </w:p>
        </w:tc>
      </w:tr>
      <w:tr w:rsidR="00F80BBE" w14:paraId="4BD63FDE" w14:textId="77777777" w:rsidTr="00F70E1E">
        <w:tc>
          <w:tcPr>
            <w:tcW w:w="2245" w:type="dxa"/>
          </w:tcPr>
          <w:p w14:paraId="49291CEB" w14:textId="77777777" w:rsidR="00F80BBE" w:rsidRPr="00625445" w:rsidRDefault="00000000" w:rsidP="00F70E1E">
            <w:pPr>
              <w:pStyle w:val="BodyText"/>
              <w:ind w:firstLine="0"/>
              <w:jc w:val="left"/>
              <w:rPr>
                <w:sz w:val="18"/>
                <w:szCs w:val="18"/>
              </w:rPr>
            </w:pPr>
            <m:oMathPara>
              <m:oMath>
                <m:sSub>
                  <m:sSubPr>
                    <m:ctrlPr>
                      <w:rPr>
                        <w:rFonts w:ascii="Cambria Math" w:hAnsi="Cambria Math"/>
                        <w:iCs/>
                        <w:sz w:val="18"/>
                        <w:szCs w:val="18"/>
                      </w:rPr>
                    </m:ctrlPr>
                  </m:sSubPr>
                  <m:e>
                    <m:acc>
                      <m:accPr>
                        <m:chr m:val="̅"/>
                        <m:ctrlPr>
                          <w:rPr>
                            <w:rFonts w:ascii="Cambria Math" w:hAnsi="Cambria Math"/>
                            <w:iCs/>
                            <w:sz w:val="18"/>
                            <w:szCs w:val="18"/>
                          </w:rPr>
                        </m:ctrlPr>
                      </m:accPr>
                      <m:e>
                        <m:r>
                          <m:rPr>
                            <m:sty m:val="p"/>
                          </m:rPr>
                          <w:rPr>
                            <w:rFonts w:ascii="Cambria Math" w:hAnsi="Cambria Math"/>
                            <w:sz w:val="18"/>
                            <w:szCs w:val="18"/>
                          </w:rPr>
                          <m:t>Σ</m:t>
                        </m:r>
                      </m:e>
                    </m:acc>
                  </m:e>
                  <m:sub>
                    <m:r>
                      <m:rPr>
                        <m:sty m:val="p"/>
                      </m:rPr>
                      <w:rPr>
                        <w:rFonts w:ascii="Cambria Math" w:hAnsi="Cambria Math"/>
                        <w:sz w:val="18"/>
                        <w:szCs w:val="18"/>
                      </w:rPr>
                      <m:t>f</m:t>
                    </m:r>
                  </m:sub>
                </m:sSub>
              </m:oMath>
            </m:oMathPara>
          </w:p>
        </w:tc>
        <w:tc>
          <w:tcPr>
            <w:tcW w:w="6772" w:type="dxa"/>
          </w:tcPr>
          <w:p w14:paraId="49473558" w14:textId="77777777" w:rsidR="00F80BBE" w:rsidRPr="00625445" w:rsidRDefault="00F80BBE" w:rsidP="00F70E1E">
            <w:pPr>
              <w:pStyle w:val="BodyText"/>
              <w:ind w:firstLine="0"/>
              <w:jc w:val="left"/>
              <w:rPr>
                <w:sz w:val="18"/>
                <w:szCs w:val="18"/>
              </w:rPr>
            </w:pPr>
            <w:r w:rsidRPr="00625445">
              <w:rPr>
                <w:sz w:val="18"/>
                <w:szCs w:val="18"/>
              </w:rPr>
              <w:t>Macroscopic fission cross section (</w:t>
            </w:r>
            <w:proofErr w:type="gramStart"/>
            <w:r w:rsidRPr="00625445">
              <w:rPr>
                <w:sz w:val="18"/>
                <w:szCs w:val="18"/>
              </w:rPr>
              <w:t>cm</w:t>
            </w:r>
            <w:r w:rsidRPr="00625445">
              <w:rPr>
                <w:sz w:val="18"/>
                <w:szCs w:val="18"/>
                <w:vertAlign w:val="superscript"/>
              </w:rPr>
              <w:t>-1</w:t>
            </w:r>
            <w:proofErr w:type="gramEnd"/>
            <w:r w:rsidRPr="00625445">
              <w:rPr>
                <w:sz w:val="18"/>
                <w:szCs w:val="18"/>
              </w:rPr>
              <w:t>)</w:t>
            </w:r>
          </w:p>
        </w:tc>
      </w:tr>
      <w:tr w:rsidR="00F80BBE" w14:paraId="36E5AC1D" w14:textId="77777777" w:rsidTr="00F70E1E">
        <w:tc>
          <w:tcPr>
            <w:tcW w:w="2245" w:type="dxa"/>
          </w:tcPr>
          <w:p w14:paraId="755D0BC0" w14:textId="77777777" w:rsidR="00F80BBE" w:rsidRPr="00625445" w:rsidRDefault="00000000" w:rsidP="00F70E1E">
            <w:pPr>
              <w:pStyle w:val="BodyText"/>
              <w:ind w:firstLine="0"/>
              <w:jc w:val="left"/>
              <w:rPr>
                <w:sz w:val="18"/>
                <w:szCs w:val="18"/>
              </w:rPr>
            </w:pPr>
            <m:oMathPara>
              <m:oMath>
                <m:sSub>
                  <m:sSubPr>
                    <m:ctrlPr>
                      <w:rPr>
                        <w:rFonts w:ascii="Cambria Math" w:hAnsi="Cambria Math"/>
                        <w:iCs/>
                        <w:sz w:val="18"/>
                        <w:szCs w:val="18"/>
                      </w:rPr>
                    </m:ctrlPr>
                  </m:sSubPr>
                  <m:e>
                    <m:r>
                      <m:rPr>
                        <m:sty m:val="p"/>
                      </m:rPr>
                      <w:rPr>
                        <w:rFonts w:ascii="Cambria Math" w:hAnsi="Cambria Math"/>
                        <w:sz w:val="18"/>
                        <w:szCs w:val="18"/>
                      </w:rPr>
                      <m:t>γ</m:t>
                    </m:r>
                  </m:e>
                  <m:sub>
                    <m:r>
                      <m:rPr>
                        <m:sty m:val="p"/>
                      </m:rPr>
                      <w:rPr>
                        <w:rFonts w:ascii="Cambria Math" w:hAnsi="Cambria Math"/>
                        <w:sz w:val="18"/>
                        <w:szCs w:val="18"/>
                      </w:rPr>
                      <m:t>Xe</m:t>
                    </m:r>
                  </m:sub>
                </m:sSub>
              </m:oMath>
            </m:oMathPara>
          </w:p>
        </w:tc>
        <w:tc>
          <w:tcPr>
            <w:tcW w:w="6772" w:type="dxa"/>
          </w:tcPr>
          <w:p w14:paraId="0D98B85E" w14:textId="77777777" w:rsidR="00F80BBE" w:rsidRPr="00625445" w:rsidRDefault="00F80BBE" w:rsidP="00F70E1E">
            <w:pPr>
              <w:pStyle w:val="BodyText"/>
              <w:ind w:firstLine="0"/>
              <w:jc w:val="left"/>
              <w:rPr>
                <w:sz w:val="18"/>
                <w:szCs w:val="18"/>
              </w:rPr>
            </w:pPr>
            <w:r w:rsidRPr="00625445">
              <w:rPr>
                <w:sz w:val="18"/>
                <w:szCs w:val="18"/>
              </w:rPr>
              <w:t>Xenon effective yield</w:t>
            </w:r>
          </w:p>
        </w:tc>
      </w:tr>
      <w:tr w:rsidR="00F80BBE" w14:paraId="538A401D" w14:textId="77777777" w:rsidTr="00F70E1E">
        <w:tc>
          <w:tcPr>
            <w:tcW w:w="2245" w:type="dxa"/>
          </w:tcPr>
          <w:p w14:paraId="2408B6B1" w14:textId="77777777" w:rsidR="00F80BBE" w:rsidRPr="00625445" w:rsidRDefault="00000000" w:rsidP="00F70E1E">
            <w:pPr>
              <w:pStyle w:val="BodyText"/>
              <w:ind w:firstLine="0"/>
              <w:jc w:val="left"/>
              <w:rPr>
                <w:sz w:val="18"/>
                <w:szCs w:val="18"/>
              </w:rPr>
            </w:pPr>
            <m:oMathPara>
              <m:oMath>
                <m:sSub>
                  <m:sSubPr>
                    <m:ctrlPr>
                      <w:rPr>
                        <w:rFonts w:ascii="Cambria Math" w:hAnsi="Cambria Math"/>
                        <w:iCs/>
                        <w:sz w:val="18"/>
                        <w:szCs w:val="18"/>
                      </w:rPr>
                    </m:ctrlPr>
                  </m:sSubPr>
                  <m:e>
                    <m:r>
                      <m:rPr>
                        <m:sty m:val="p"/>
                      </m:rPr>
                      <w:rPr>
                        <w:rFonts w:ascii="Cambria Math" w:hAnsi="Cambria Math"/>
                        <w:sz w:val="18"/>
                        <w:szCs w:val="18"/>
                      </w:rPr>
                      <m:t>γ</m:t>
                    </m:r>
                  </m:e>
                  <m:sub>
                    <m:r>
                      <m:rPr>
                        <m:sty m:val="p"/>
                      </m:rPr>
                      <w:rPr>
                        <w:rFonts w:ascii="Cambria Math" w:hAnsi="Cambria Math"/>
                        <w:sz w:val="18"/>
                        <w:szCs w:val="18"/>
                      </w:rPr>
                      <m:t>I</m:t>
                    </m:r>
                  </m:sub>
                </m:sSub>
              </m:oMath>
            </m:oMathPara>
          </w:p>
        </w:tc>
        <w:tc>
          <w:tcPr>
            <w:tcW w:w="6772" w:type="dxa"/>
          </w:tcPr>
          <w:p w14:paraId="7D557C30" w14:textId="77777777" w:rsidR="00F80BBE" w:rsidRPr="00625445" w:rsidRDefault="00F80BBE" w:rsidP="00F70E1E">
            <w:pPr>
              <w:pStyle w:val="BodyText"/>
              <w:ind w:firstLine="0"/>
              <w:jc w:val="left"/>
              <w:rPr>
                <w:sz w:val="18"/>
                <w:szCs w:val="18"/>
              </w:rPr>
            </w:pPr>
            <w:r w:rsidRPr="00625445">
              <w:rPr>
                <w:sz w:val="18"/>
                <w:szCs w:val="18"/>
              </w:rPr>
              <w:t>Iodine effective yield</w:t>
            </w:r>
          </w:p>
        </w:tc>
      </w:tr>
      <w:tr w:rsidR="00F80BBE" w14:paraId="630AE67E" w14:textId="77777777" w:rsidTr="00F70E1E">
        <w:tc>
          <w:tcPr>
            <w:tcW w:w="2245" w:type="dxa"/>
          </w:tcPr>
          <w:p w14:paraId="79CA69FB" w14:textId="77777777" w:rsidR="00F80BBE" w:rsidRPr="00625445" w:rsidRDefault="00000000" w:rsidP="00F70E1E">
            <w:pPr>
              <w:pStyle w:val="BodyText"/>
              <w:ind w:firstLine="0"/>
              <w:jc w:val="left"/>
              <w:rPr>
                <w:sz w:val="18"/>
                <w:szCs w:val="18"/>
              </w:rPr>
            </w:pPr>
            <m:oMathPara>
              <m:oMath>
                <m:sSubSup>
                  <m:sSubSupPr>
                    <m:ctrlPr>
                      <w:rPr>
                        <w:rFonts w:ascii="Cambria Math" w:hAnsi="Cambria Math"/>
                        <w:iCs/>
                        <w:sz w:val="18"/>
                        <w:szCs w:val="18"/>
                      </w:rPr>
                    </m:ctrlPr>
                  </m:sSubSupPr>
                  <m:e>
                    <m:r>
                      <m:rPr>
                        <m:sty m:val="p"/>
                      </m:rPr>
                      <w:rPr>
                        <w:rFonts w:ascii="Cambria Math" w:hAnsi="Cambria Math"/>
                        <w:sz w:val="18"/>
                        <w:szCs w:val="18"/>
                      </w:rPr>
                      <m:t>σ</m:t>
                    </m:r>
                  </m:e>
                  <m:sub>
                    <m:r>
                      <m:rPr>
                        <m:sty m:val="p"/>
                      </m:rPr>
                      <w:rPr>
                        <w:rFonts w:ascii="Cambria Math" w:hAnsi="Cambria Math"/>
                        <w:sz w:val="18"/>
                        <w:szCs w:val="18"/>
                      </w:rPr>
                      <m:t>abs</m:t>
                    </m:r>
                  </m:sub>
                  <m:sup>
                    <m:r>
                      <m:rPr>
                        <m:sty m:val="p"/>
                      </m:rPr>
                      <w:rPr>
                        <w:rFonts w:ascii="Cambria Math" w:hAnsi="Cambria Math"/>
                        <w:sz w:val="18"/>
                        <w:szCs w:val="18"/>
                      </w:rPr>
                      <m:t>Xe</m:t>
                    </m:r>
                  </m:sup>
                </m:sSubSup>
              </m:oMath>
            </m:oMathPara>
          </w:p>
        </w:tc>
        <w:tc>
          <w:tcPr>
            <w:tcW w:w="6772" w:type="dxa"/>
          </w:tcPr>
          <w:p w14:paraId="6550AD08" w14:textId="77777777" w:rsidR="00F80BBE" w:rsidRPr="00625445" w:rsidRDefault="00F80BBE" w:rsidP="00F70E1E">
            <w:pPr>
              <w:pStyle w:val="BodyText"/>
              <w:ind w:firstLine="0"/>
              <w:jc w:val="left"/>
              <w:rPr>
                <w:sz w:val="18"/>
                <w:szCs w:val="18"/>
              </w:rPr>
            </w:pPr>
            <w:r w:rsidRPr="00625445">
              <w:rPr>
                <w:sz w:val="18"/>
                <w:szCs w:val="18"/>
              </w:rPr>
              <w:t>Xenon microscopic thermal absorption cross section (cm</w:t>
            </w:r>
            <w:r w:rsidRPr="00625445">
              <w:rPr>
                <w:sz w:val="18"/>
                <w:szCs w:val="18"/>
                <w:vertAlign w:val="superscript"/>
              </w:rPr>
              <w:t>2</w:t>
            </w:r>
            <w:r w:rsidRPr="00625445">
              <w:rPr>
                <w:sz w:val="18"/>
                <w:szCs w:val="18"/>
              </w:rPr>
              <w:t>)</w:t>
            </w:r>
          </w:p>
        </w:tc>
      </w:tr>
      <w:tr w:rsidR="00F80BBE" w14:paraId="3A49125C" w14:textId="77777777" w:rsidTr="00F70E1E">
        <w:tc>
          <w:tcPr>
            <w:tcW w:w="2245" w:type="dxa"/>
          </w:tcPr>
          <w:p w14:paraId="343960C4" w14:textId="77777777" w:rsidR="00F80BBE" w:rsidRPr="00625445" w:rsidRDefault="00000000" w:rsidP="00F70E1E">
            <w:pPr>
              <w:pStyle w:val="BodyText"/>
              <w:ind w:firstLine="0"/>
              <w:jc w:val="left"/>
              <w:rPr>
                <w:iCs/>
                <w:sz w:val="18"/>
                <w:szCs w:val="18"/>
              </w:rPr>
            </w:pPr>
            <m:oMathPara>
              <m:oMath>
                <m:sSub>
                  <m:sSubPr>
                    <m:ctrlPr>
                      <w:rPr>
                        <w:rFonts w:ascii="Cambria Math" w:hAnsi="Cambria Math"/>
                        <w:iCs/>
                        <w:sz w:val="18"/>
                        <w:szCs w:val="18"/>
                      </w:rPr>
                    </m:ctrlPr>
                  </m:sSubPr>
                  <m:e>
                    <m:r>
                      <m:rPr>
                        <m:sty m:val="p"/>
                      </m:rPr>
                      <w:rPr>
                        <w:rFonts w:ascii="Cambria Math" w:hAnsi="Cambria Math"/>
                        <w:sz w:val="18"/>
                        <w:szCs w:val="18"/>
                      </w:rPr>
                      <m:t>ϕ</m:t>
                    </m:r>
                  </m:e>
                  <m:sub>
                    <m:r>
                      <m:rPr>
                        <m:sty m:val="p"/>
                      </m:rPr>
                      <w:rPr>
                        <w:rFonts w:ascii="Cambria Math" w:hAnsi="Cambria Math"/>
                        <w:sz w:val="18"/>
                        <w:szCs w:val="18"/>
                      </w:rPr>
                      <m:t>0</m:t>
                    </m:r>
                  </m:sub>
                </m:sSub>
              </m:oMath>
            </m:oMathPara>
          </w:p>
        </w:tc>
        <w:tc>
          <w:tcPr>
            <w:tcW w:w="6772" w:type="dxa"/>
          </w:tcPr>
          <w:p w14:paraId="184215C0" w14:textId="77777777" w:rsidR="00F80BBE" w:rsidRPr="00625445" w:rsidRDefault="00F80BBE" w:rsidP="00F70E1E">
            <w:pPr>
              <w:pStyle w:val="BodyText"/>
              <w:ind w:firstLine="0"/>
              <w:jc w:val="left"/>
              <w:rPr>
                <w:sz w:val="18"/>
                <w:szCs w:val="18"/>
              </w:rPr>
            </w:pPr>
            <w:r w:rsidRPr="00625445">
              <w:rPr>
                <w:sz w:val="18"/>
                <w:szCs w:val="18"/>
              </w:rPr>
              <w:t>Average neutron flux (n/cm</w:t>
            </w:r>
            <w:r w:rsidRPr="00625445">
              <w:rPr>
                <w:sz w:val="18"/>
                <w:szCs w:val="18"/>
                <w:vertAlign w:val="superscript"/>
              </w:rPr>
              <w:t>2</w:t>
            </w:r>
            <w:r w:rsidRPr="00625445">
              <w:rPr>
                <w:sz w:val="18"/>
                <w:szCs w:val="18"/>
              </w:rPr>
              <w:t>·hr)</w:t>
            </w:r>
          </w:p>
        </w:tc>
      </w:tr>
      <w:tr w:rsidR="00F80BBE" w14:paraId="11992972" w14:textId="77777777" w:rsidTr="00F70E1E">
        <w:tc>
          <w:tcPr>
            <w:tcW w:w="2245" w:type="dxa"/>
          </w:tcPr>
          <w:p w14:paraId="20522253" w14:textId="77777777" w:rsidR="00F80BBE" w:rsidRPr="00625445" w:rsidRDefault="00F80BBE" w:rsidP="00F70E1E">
            <w:pPr>
              <w:pStyle w:val="BodyText"/>
              <w:ind w:firstLine="0"/>
              <w:jc w:val="left"/>
              <w:rPr>
                <w:sz w:val="18"/>
                <w:szCs w:val="18"/>
              </w:rPr>
            </w:pPr>
            <m:oMathPara>
              <m:oMath>
                <m:r>
                  <m:rPr>
                    <m:sty m:val="p"/>
                  </m:rPr>
                  <w:rPr>
                    <w:rFonts w:ascii="Cambria Math" w:hAnsi="Cambria Math"/>
                    <w:sz w:val="18"/>
                    <w:szCs w:val="18"/>
                  </w:rPr>
                  <m:t>ϕ(t)</m:t>
                </m:r>
              </m:oMath>
            </m:oMathPara>
          </w:p>
        </w:tc>
        <w:tc>
          <w:tcPr>
            <w:tcW w:w="6772" w:type="dxa"/>
          </w:tcPr>
          <w:p w14:paraId="09FB87E6" w14:textId="77777777" w:rsidR="00F80BBE" w:rsidRPr="00625445" w:rsidRDefault="00F80BBE" w:rsidP="00F70E1E">
            <w:pPr>
              <w:pStyle w:val="BodyText"/>
              <w:ind w:firstLine="0"/>
              <w:jc w:val="left"/>
              <w:rPr>
                <w:sz w:val="18"/>
                <w:szCs w:val="18"/>
              </w:rPr>
            </w:pPr>
            <w:r w:rsidRPr="00625445">
              <w:rPr>
                <w:sz w:val="18"/>
                <w:szCs w:val="18"/>
              </w:rPr>
              <w:t>Single energy group neutron flux (n/cm</w:t>
            </w:r>
            <w:r w:rsidRPr="00625445">
              <w:rPr>
                <w:sz w:val="18"/>
                <w:szCs w:val="18"/>
                <w:vertAlign w:val="superscript"/>
              </w:rPr>
              <w:t>2</w:t>
            </w:r>
            <w:r w:rsidRPr="00625445">
              <w:rPr>
                <w:sz w:val="18"/>
                <w:szCs w:val="18"/>
              </w:rPr>
              <w:t>·hr)</w:t>
            </w:r>
          </w:p>
        </w:tc>
      </w:tr>
      <w:tr w:rsidR="00F80BBE" w14:paraId="1EE4E7B2" w14:textId="77777777" w:rsidTr="00F70E1E">
        <w:tc>
          <w:tcPr>
            <w:tcW w:w="2245" w:type="dxa"/>
          </w:tcPr>
          <w:p w14:paraId="3BD7B84E" w14:textId="77777777" w:rsidR="00F80BBE" w:rsidRPr="00625445" w:rsidRDefault="00F80BBE" w:rsidP="00F70E1E">
            <w:pPr>
              <w:pStyle w:val="BodyText"/>
              <w:ind w:firstLine="0"/>
              <w:jc w:val="center"/>
              <w:rPr>
                <w:sz w:val="18"/>
                <w:szCs w:val="18"/>
              </w:rPr>
            </w:pPr>
            <m:oMathPara>
              <m:oMath>
                <m:r>
                  <m:rPr>
                    <m:sty m:val="p"/>
                  </m:rPr>
                  <w:rPr>
                    <w:rFonts w:ascii="Cambria Math" w:hAnsi="Cambria Math"/>
                    <w:sz w:val="18"/>
                    <w:szCs w:val="18"/>
                  </w:rPr>
                  <m:t>P</m:t>
                </m:r>
                <m:d>
                  <m:dPr>
                    <m:ctrlPr>
                      <w:rPr>
                        <w:rFonts w:ascii="Cambria Math" w:hAnsi="Cambria Math"/>
                        <w:iCs/>
                        <w:sz w:val="18"/>
                        <w:szCs w:val="18"/>
                      </w:rPr>
                    </m:ctrlPr>
                  </m:dPr>
                  <m:e>
                    <m:r>
                      <m:rPr>
                        <m:sty m:val="p"/>
                      </m:rPr>
                      <w:rPr>
                        <w:rFonts w:ascii="Cambria Math" w:hAnsi="Cambria Math"/>
                        <w:sz w:val="18"/>
                        <w:szCs w:val="18"/>
                      </w:rPr>
                      <m:t>t</m:t>
                    </m:r>
                  </m:e>
                </m:d>
              </m:oMath>
            </m:oMathPara>
          </w:p>
        </w:tc>
        <w:tc>
          <w:tcPr>
            <w:tcW w:w="6772" w:type="dxa"/>
          </w:tcPr>
          <w:p w14:paraId="5DC66386" w14:textId="77777777" w:rsidR="00F80BBE" w:rsidRPr="00625445" w:rsidRDefault="00F80BBE" w:rsidP="00F70E1E">
            <w:pPr>
              <w:pStyle w:val="BodyText"/>
              <w:ind w:firstLine="0"/>
              <w:jc w:val="left"/>
              <w:rPr>
                <w:sz w:val="18"/>
                <w:szCs w:val="18"/>
              </w:rPr>
            </w:pPr>
            <w:r w:rsidRPr="00625445">
              <w:rPr>
                <w:sz w:val="18"/>
                <w:szCs w:val="18"/>
              </w:rPr>
              <w:t>Nuclear unit power output (MW)</w:t>
            </w:r>
          </w:p>
        </w:tc>
      </w:tr>
      <w:tr w:rsidR="00F80BBE" w14:paraId="0C39B515" w14:textId="77777777" w:rsidTr="00F70E1E">
        <w:tc>
          <w:tcPr>
            <w:tcW w:w="2245" w:type="dxa"/>
          </w:tcPr>
          <w:p w14:paraId="4E994D3D" w14:textId="77777777" w:rsidR="00F80BBE" w:rsidRPr="00625445" w:rsidRDefault="00F80BBE" w:rsidP="00F70E1E">
            <w:pPr>
              <w:pStyle w:val="BodyText"/>
              <w:ind w:firstLine="0"/>
              <w:jc w:val="center"/>
              <w:rPr>
                <w:sz w:val="18"/>
                <w:szCs w:val="18"/>
              </w:rPr>
            </w:pPr>
            <w:r w:rsidRPr="00625445">
              <w:rPr>
                <w:sz w:val="18"/>
                <w:szCs w:val="18"/>
              </w:rPr>
              <w:t>I(t)</w:t>
            </w:r>
          </w:p>
        </w:tc>
        <w:tc>
          <w:tcPr>
            <w:tcW w:w="6772" w:type="dxa"/>
          </w:tcPr>
          <w:p w14:paraId="6A34F220" w14:textId="77777777" w:rsidR="00F80BBE" w:rsidRPr="00625445" w:rsidRDefault="00F80BBE" w:rsidP="00F70E1E">
            <w:pPr>
              <w:pStyle w:val="BodyText"/>
              <w:ind w:firstLine="0"/>
              <w:jc w:val="left"/>
              <w:rPr>
                <w:sz w:val="18"/>
                <w:szCs w:val="18"/>
              </w:rPr>
            </w:pPr>
            <w:r w:rsidRPr="00625445">
              <w:rPr>
                <w:sz w:val="18"/>
                <w:szCs w:val="18"/>
              </w:rPr>
              <w:t>Number density of I-135 (at/cm</w:t>
            </w:r>
            <w:r w:rsidRPr="00625445">
              <w:rPr>
                <w:sz w:val="18"/>
                <w:szCs w:val="18"/>
                <w:vertAlign w:val="superscript"/>
              </w:rPr>
              <w:t>3</w:t>
            </w:r>
            <w:r w:rsidRPr="00625445">
              <w:rPr>
                <w:sz w:val="18"/>
                <w:szCs w:val="18"/>
              </w:rPr>
              <w:t>)</w:t>
            </w:r>
          </w:p>
        </w:tc>
      </w:tr>
      <w:tr w:rsidR="00F80BBE" w14:paraId="561C46B6" w14:textId="77777777" w:rsidTr="00F70E1E">
        <w:tc>
          <w:tcPr>
            <w:tcW w:w="2245" w:type="dxa"/>
          </w:tcPr>
          <w:p w14:paraId="1CE498FC" w14:textId="77777777" w:rsidR="00F80BBE" w:rsidRPr="00625445" w:rsidRDefault="00F80BBE" w:rsidP="00F70E1E">
            <w:pPr>
              <w:pStyle w:val="BodyText"/>
              <w:ind w:firstLine="0"/>
              <w:jc w:val="center"/>
              <w:rPr>
                <w:sz w:val="18"/>
                <w:szCs w:val="18"/>
              </w:rPr>
            </w:pPr>
            <w:r w:rsidRPr="00625445">
              <w:rPr>
                <w:sz w:val="18"/>
                <w:szCs w:val="18"/>
              </w:rPr>
              <w:t>Xe(t)</w:t>
            </w:r>
          </w:p>
        </w:tc>
        <w:tc>
          <w:tcPr>
            <w:tcW w:w="6772" w:type="dxa"/>
          </w:tcPr>
          <w:p w14:paraId="08CDB16D" w14:textId="77777777" w:rsidR="00F80BBE" w:rsidRPr="00625445" w:rsidRDefault="00F80BBE" w:rsidP="00F70E1E">
            <w:pPr>
              <w:pStyle w:val="BodyText"/>
              <w:ind w:firstLine="0"/>
              <w:jc w:val="left"/>
              <w:rPr>
                <w:sz w:val="18"/>
                <w:szCs w:val="18"/>
              </w:rPr>
            </w:pPr>
            <w:r w:rsidRPr="00625445">
              <w:rPr>
                <w:sz w:val="18"/>
                <w:szCs w:val="18"/>
              </w:rPr>
              <w:t>Number density of Xe-135 (at/cm</w:t>
            </w:r>
            <w:r w:rsidRPr="00625445">
              <w:rPr>
                <w:sz w:val="18"/>
                <w:szCs w:val="18"/>
                <w:vertAlign w:val="superscript"/>
              </w:rPr>
              <w:t>3</w:t>
            </w:r>
            <w:r w:rsidRPr="00625445">
              <w:rPr>
                <w:sz w:val="18"/>
                <w:szCs w:val="18"/>
              </w:rPr>
              <w:t>)</w:t>
            </w:r>
          </w:p>
        </w:tc>
      </w:tr>
      <w:tr w:rsidR="00F80BBE" w14:paraId="59868867" w14:textId="77777777" w:rsidTr="00F70E1E">
        <w:tc>
          <w:tcPr>
            <w:tcW w:w="2245" w:type="dxa"/>
          </w:tcPr>
          <w:p w14:paraId="15D1A317" w14:textId="77777777" w:rsidR="00F80BBE" w:rsidRPr="00625445" w:rsidRDefault="00000000" w:rsidP="00F70E1E">
            <w:pPr>
              <w:pStyle w:val="BodyText"/>
              <w:ind w:firstLine="0"/>
              <w:jc w:val="left"/>
              <w:rPr>
                <w:sz w:val="18"/>
                <w:szCs w:val="18"/>
              </w:rPr>
            </w:pPr>
            <m:oMathPara>
              <m:oMath>
                <m:sSub>
                  <m:sSubPr>
                    <m:ctrlPr>
                      <w:rPr>
                        <w:rFonts w:ascii="Cambria Math" w:hAnsi="Cambria Math"/>
                        <w:iCs/>
                        <w:sz w:val="18"/>
                        <w:szCs w:val="18"/>
                      </w:rPr>
                    </m:ctrlPr>
                  </m:sSubPr>
                  <m:e>
                    <m:r>
                      <m:rPr>
                        <m:sty m:val="p"/>
                      </m:rPr>
                      <w:rPr>
                        <w:rFonts w:ascii="Cambria Math" w:hAnsi="Cambria Math"/>
                        <w:sz w:val="18"/>
                        <w:szCs w:val="18"/>
                      </w:rPr>
                      <m:t>P</m:t>
                    </m:r>
                  </m:e>
                  <m:sub>
                    <m:r>
                      <w:rPr>
                        <w:rFonts w:ascii="Cambria Math" w:hAnsi="Cambria Math"/>
                        <w:sz w:val="18"/>
                        <w:szCs w:val="18"/>
                      </w:rPr>
                      <m:t>max</m:t>
                    </m:r>
                  </m:sub>
                </m:sSub>
              </m:oMath>
            </m:oMathPara>
          </w:p>
        </w:tc>
        <w:tc>
          <w:tcPr>
            <w:tcW w:w="6772" w:type="dxa"/>
          </w:tcPr>
          <w:p w14:paraId="266A5D35" w14:textId="77777777" w:rsidR="00F80BBE" w:rsidRPr="00625445" w:rsidRDefault="00F80BBE" w:rsidP="00F70E1E">
            <w:pPr>
              <w:pStyle w:val="BodyText"/>
              <w:ind w:firstLine="0"/>
              <w:jc w:val="left"/>
              <w:rPr>
                <w:sz w:val="18"/>
                <w:szCs w:val="18"/>
              </w:rPr>
            </w:pPr>
            <w:r w:rsidRPr="00625445">
              <w:rPr>
                <w:sz w:val="18"/>
                <w:szCs w:val="18"/>
              </w:rPr>
              <w:t>Maximum nuclear unit technical rating (MW)</w:t>
            </w:r>
          </w:p>
        </w:tc>
      </w:tr>
      <w:tr w:rsidR="00F80BBE" w14:paraId="66C8006F" w14:textId="77777777" w:rsidTr="00F70E1E">
        <w:tc>
          <w:tcPr>
            <w:tcW w:w="2245" w:type="dxa"/>
          </w:tcPr>
          <w:p w14:paraId="192BC291" w14:textId="77777777" w:rsidR="00F80BBE" w:rsidRPr="00625445" w:rsidRDefault="00000000" w:rsidP="00F70E1E">
            <w:pPr>
              <w:pStyle w:val="BodyText"/>
              <w:ind w:firstLine="0"/>
              <w:jc w:val="left"/>
              <w:rPr>
                <w:iCs/>
                <w:sz w:val="18"/>
                <w:szCs w:val="18"/>
              </w:rPr>
            </w:pPr>
            <m:oMathPara>
              <m:oMath>
                <m:sSub>
                  <m:sSubPr>
                    <m:ctrlPr>
                      <w:rPr>
                        <w:rFonts w:ascii="Cambria Math" w:hAnsi="Cambria Math"/>
                        <w:iCs/>
                        <w:sz w:val="18"/>
                        <w:szCs w:val="18"/>
                      </w:rPr>
                    </m:ctrlPr>
                  </m:sSubPr>
                  <m:e>
                    <m:r>
                      <m:rPr>
                        <m:sty m:val="p"/>
                      </m:rPr>
                      <w:rPr>
                        <w:rFonts w:ascii="Cambria Math" w:hAnsi="Cambria Math"/>
                        <w:sz w:val="18"/>
                        <w:szCs w:val="18"/>
                      </w:rPr>
                      <m:t>P</m:t>
                    </m:r>
                  </m:e>
                  <m:sub>
                    <m:r>
                      <w:rPr>
                        <w:rFonts w:ascii="Cambria Math" w:hAnsi="Cambria Math"/>
                        <w:sz w:val="18"/>
                        <w:szCs w:val="18"/>
                      </w:rPr>
                      <m:t>min</m:t>
                    </m:r>
                  </m:sub>
                </m:sSub>
              </m:oMath>
            </m:oMathPara>
          </w:p>
        </w:tc>
        <w:tc>
          <w:tcPr>
            <w:tcW w:w="6772" w:type="dxa"/>
          </w:tcPr>
          <w:p w14:paraId="3ED404C6" w14:textId="77777777" w:rsidR="00F80BBE" w:rsidRPr="00625445" w:rsidRDefault="00F80BBE" w:rsidP="00F70E1E">
            <w:pPr>
              <w:pStyle w:val="BodyText"/>
              <w:ind w:firstLine="0"/>
              <w:jc w:val="left"/>
              <w:rPr>
                <w:sz w:val="18"/>
                <w:szCs w:val="18"/>
              </w:rPr>
            </w:pPr>
            <w:r w:rsidRPr="00625445">
              <w:rPr>
                <w:sz w:val="18"/>
                <w:szCs w:val="18"/>
              </w:rPr>
              <w:t>Minimum allowable power level (MW)</w:t>
            </w:r>
          </w:p>
        </w:tc>
      </w:tr>
      <w:tr w:rsidR="00F80BBE" w14:paraId="521DE67E" w14:textId="77777777" w:rsidTr="00F70E1E">
        <w:tc>
          <w:tcPr>
            <w:tcW w:w="2245" w:type="dxa"/>
          </w:tcPr>
          <w:p w14:paraId="21C5A0BB" w14:textId="77777777" w:rsidR="00F80BBE" w:rsidRPr="00625445" w:rsidRDefault="00F80BBE" w:rsidP="00F70E1E">
            <w:pPr>
              <w:pStyle w:val="BodyText"/>
              <w:ind w:firstLine="0"/>
              <w:jc w:val="left"/>
              <w:rPr>
                <w:i/>
                <w:iCs/>
                <w:sz w:val="18"/>
                <w:szCs w:val="18"/>
              </w:rPr>
            </w:pPr>
            <m:oMathPara>
              <m:oMath>
                <m:r>
                  <w:rPr>
                    <w:rFonts w:ascii="Cambria Math" w:hAnsi="Cambria Math"/>
                    <w:sz w:val="18"/>
                    <w:szCs w:val="18"/>
                  </w:rPr>
                  <m:t>v</m:t>
                </m:r>
              </m:oMath>
            </m:oMathPara>
          </w:p>
        </w:tc>
        <w:tc>
          <w:tcPr>
            <w:tcW w:w="6772" w:type="dxa"/>
          </w:tcPr>
          <w:p w14:paraId="35B3E9D2" w14:textId="77777777" w:rsidR="00F80BBE" w:rsidRPr="00625445" w:rsidRDefault="00F80BBE" w:rsidP="00F70E1E">
            <w:pPr>
              <w:pStyle w:val="BodyText"/>
              <w:ind w:firstLine="0"/>
              <w:jc w:val="left"/>
              <w:rPr>
                <w:sz w:val="18"/>
                <w:szCs w:val="18"/>
              </w:rPr>
            </w:pPr>
            <w:r w:rsidRPr="00625445">
              <w:rPr>
                <w:sz w:val="18"/>
                <w:szCs w:val="18"/>
              </w:rPr>
              <w:t>Average number of emitted neutrons during fissions</w:t>
            </w:r>
          </w:p>
        </w:tc>
      </w:tr>
      <w:tr w:rsidR="00F80BBE" w14:paraId="39DA4A3B" w14:textId="77777777" w:rsidTr="00F70E1E">
        <w:tc>
          <w:tcPr>
            <w:tcW w:w="2245" w:type="dxa"/>
          </w:tcPr>
          <w:p w14:paraId="60205B5E" w14:textId="77777777" w:rsidR="00F80BBE" w:rsidRPr="00625445" w:rsidRDefault="00000000" w:rsidP="00F70E1E">
            <w:pPr>
              <w:pStyle w:val="BodyText"/>
              <w:ind w:firstLine="0"/>
              <w:jc w:val="left"/>
              <w:rPr>
                <w:sz w:val="18"/>
                <w:szCs w:val="18"/>
              </w:rPr>
            </w:pPr>
            <m:oMathPara>
              <m:oMath>
                <m:sSub>
                  <m:sSubPr>
                    <m:ctrlPr>
                      <w:rPr>
                        <w:rFonts w:ascii="Cambria Math" w:hAnsi="Cambria Math"/>
                        <w:iCs/>
                        <w:sz w:val="18"/>
                        <w:szCs w:val="18"/>
                      </w:rPr>
                    </m:ctrlPr>
                  </m:sSubPr>
                  <m:e>
                    <m:r>
                      <m:rPr>
                        <m:sty m:val="p"/>
                      </m:rPr>
                      <w:rPr>
                        <w:rFonts w:ascii="Cambria Math" w:hAnsi="Cambria Math"/>
                        <w:sz w:val="18"/>
                        <w:szCs w:val="18"/>
                      </w:rPr>
                      <m:t>ρ</m:t>
                    </m:r>
                  </m:e>
                  <m:sub>
                    <m:r>
                      <m:rPr>
                        <m:sty m:val="p"/>
                      </m:rPr>
                      <w:rPr>
                        <w:rFonts w:ascii="Cambria Math" w:hAnsi="Cambria Math"/>
                        <w:sz w:val="18"/>
                        <w:szCs w:val="18"/>
                      </w:rPr>
                      <m:t>Xe</m:t>
                    </m:r>
                  </m:sub>
                </m:sSub>
                <m:r>
                  <m:rPr>
                    <m:sty m:val="p"/>
                  </m:rPr>
                  <w:rPr>
                    <w:rFonts w:ascii="Cambria Math" w:hAnsi="Cambria Math"/>
                    <w:sz w:val="18"/>
                    <w:szCs w:val="18"/>
                  </w:rPr>
                  <m:t>(t)</m:t>
                </m:r>
              </m:oMath>
            </m:oMathPara>
          </w:p>
        </w:tc>
        <w:tc>
          <w:tcPr>
            <w:tcW w:w="6772" w:type="dxa"/>
          </w:tcPr>
          <w:p w14:paraId="545E1F0E" w14:textId="77777777" w:rsidR="00F80BBE" w:rsidRPr="00625445" w:rsidRDefault="00F80BBE" w:rsidP="00F70E1E">
            <w:pPr>
              <w:pStyle w:val="BodyText"/>
              <w:ind w:firstLine="0"/>
              <w:jc w:val="left"/>
              <w:rPr>
                <w:sz w:val="18"/>
                <w:szCs w:val="18"/>
              </w:rPr>
            </w:pPr>
            <w:r w:rsidRPr="00625445">
              <w:rPr>
                <w:sz w:val="18"/>
                <w:szCs w:val="18"/>
              </w:rPr>
              <w:t>Xenon defect (</w:t>
            </w:r>
            <w:proofErr w:type="spellStart"/>
            <w:r w:rsidRPr="00625445">
              <w:rPr>
                <w:sz w:val="18"/>
                <w:szCs w:val="18"/>
              </w:rPr>
              <w:t>pcm</w:t>
            </w:r>
            <w:proofErr w:type="spellEnd"/>
            <w:r w:rsidRPr="00625445">
              <w:rPr>
                <w:sz w:val="18"/>
                <w:szCs w:val="18"/>
              </w:rPr>
              <w:t>)</w:t>
            </w:r>
          </w:p>
        </w:tc>
      </w:tr>
      <w:tr w:rsidR="00F80BBE" w14:paraId="7DB1582D" w14:textId="77777777" w:rsidTr="00F70E1E">
        <w:tc>
          <w:tcPr>
            <w:tcW w:w="2245" w:type="dxa"/>
          </w:tcPr>
          <w:p w14:paraId="065E93BA" w14:textId="77777777" w:rsidR="00F80BBE" w:rsidRPr="00625445" w:rsidRDefault="00F80BBE" w:rsidP="00F70E1E">
            <w:pPr>
              <w:pStyle w:val="BodyText"/>
              <w:ind w:firstLine="0"/>
              <w:jc w:val="left"/>
              <w:rPr>
                <w:iCs/>
                <w:sz w:val="18"/>
                <w:szCs w:val="18"/>
              </w:rPr>
            </w:pPr>
            <m:oMathPara>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ρ</m:t>
                    </m:r>
                  </m:e>
                  <m:sub>
                    <m:r>
                      <m:rPr>
                        <m:nor/>
                      </m:rPr>
                      <w:rPr>
                        <w:sz w:val="18"/>
                        <w:szCs w:val="18"/>
                      </w:rPr>
                      <m:t xml:space="preserve">marg </m:t>
                    </m:r>
                  </m:sub>
                </m:sSub>
              </m:oMath>
            </m:oMathPara>
          </w:p>
        </w:tc>
        <w:tc>
          <w:tcPr>
            <w:tcW w:w="6772" w:type="dxa"/>
          </w:tcPr>
          <w:p w14:paraId="7555F553" w14:textId="77777777" w:rsidR="00F80BBE" w:rsidRPr="00625445" w:rsidRDefault="00F80BBE" w:rsidP="00F70E1E">
            <w:pPr>
              <w:pStyle w:val="BodyText"/>
              <w:ind w:firstLine="0"/>
              <w:jc w:val="left"/>
              <w:rPr>
                <w:sz w:val="18"/>
                <w:szCs w:val="18"/>
              </w:rPr>
            </w:pPr>
            <w:r w:rsidRPr="00625445">
              <w:rPr>
                <w:sz w:val="18"/>
                <w:szCs w:val="18"/>
              </w:rPr>
              <w:t>Reactivity margin (</w:t>
            </w:r>
            <w:proofErr w:type="spellStart"/>
            <w:r w:rsidRPr="00625445">
              <w:rPr>
                <w:sz w:val="18"/>
                <w:szCs w:val="18"/>
              </w:rPr>
              <w:t>pcm</w:t>
            </w:r>
            <w:proofErr w:type="spellEnd"/>
            <w:r w:rsidRPr="00625445">
              <w:rPr>
                <w:sz w:val="18"/>
                <w:szCs w:val="18"/>
              </w:rPr>
              <w:t>)</w:t>
            </w:r>
          </w:p>
        </w:tc>
      </w:tr>
      <w:tr w:rsidR="00F80BBE" w14:paraId="37549003" w14:textId="77777777" w:rsidTr="00F70E1E">
        <w:tc>
          <w:tcPr>
            <w:tcW w:w="2245" w:type="dxa"/>
          </w:tcPr>
          <w:p w14:paraId="1790AD43" w14:textId="77777777" w:rsidR="00F80BBE" w:rsidRPr="00625445" w:rsidRDefault="00000000" w:rsidP="00F70E1E">
            <w:pPr>
              <w:pStyle w:val="BodyText"/>
              <w:ind w:firstLine="0"/>
              <w:jc w:val="left"/>
              <w:rPr>
                <w:iCs/>
                <w:sz w:val="18"/>
                <w:szCs w:val="18"/>
              </w:rPr>
            </w:pPr>
            <m:oMathPara>
              <m:oMath>
                <m:sSub>
                  <m:sSubPr>
                    <m:ctrlPr>
                      <w:rPr>
                        <w:rFonts w:ascii="Cambria Math" w:hAnsi="Cambria Math"/>
                        <w:iCs/>
                        <w:sz w:val="18"/>
                        <w:szCs w:val="18"/>
                      </w:rPr>
                    </m:ctrlPr>
                  </m:sSubPr>
                  <m:e>
                    <m:r>
                      <m:rPr>
                        <m:sty m:val="p"/>
                      </m:rPr>
                      <w:rPr>
                        <w:rFonts w:ascii="Cambria Math" w:hAnsi="Cambria Math"/>
                        <w:sz w:val="18"/>
                        <w:szCs w:val="18"/>
                      </w:rPr>
                      <m:t>k</m:t>
                    </m:r>
                  </m:e>
                  <m:sub>
                    <m:r>
                      <m:rPr>
                        <m:sty m:val="p"/>
                      </m:rPr>
                      <w:rPr>
                        <w:rFonts w:ascii="Cambria Math" w:hAnsi="Cambria Math"/>
                        <w:sz w:val="18"/>
                        <w:szCs w:val="18"/>
                      </w:rPr>
                      <m:t>eff</m:t>
                    </m:r>
                  </m:sub>
                </m:sSub>
              </m:oMath>
            </m:oMathPara>
          </w:p>
        </w:tc>
        <w:tc>
          <w:tcPr>
            <w:tcW w:w="6772" w:type="dxa"/>
          </w:tcPr>
          <w:p w14:paraId="2453A102" w14:textId="77777777" w:rsidR="00F80BBE" w:rsidRPr="00625445" w:rsidRDefault="00F80BBE" w:rsidP="00F70E1E">
            <w:pPr>
              <w:pStyle w:val="BodyText"/>
              <w:ind w:firstLine="0"/>
              <w:jc w:val="left"/>
              <w:rPr>
                <w:sz w:val="18"/>
                <w:szCs w:val="18"/>
              </w:rPr>
            </w:pPr>
            <w:r w:rsidRPr="00625445">
              <w:rPr>
                <w:sz w:val="18"/>
                <w:szCs w:val="18"/>
              </w:rPr>
              <w:t>Effective multiplication factor</w:t>
            </w:r>
          </w:p>
        </w:tc>
      </w:tr>
      <w:tr w:rsidR="00F80BBE" w14:paraId="4A52F083" w14:textId="77777777" w:rsidTr="00F70E1E">
        <w:tc>
          <w:tcPr>
            <w:tcW w:w="2245" w:type="dxa"/>
          </w:tcPr>
          <w:p w14:paraId="4225851A" w14:textId="77777777" w:rsidR="00F80BBE" w:rsidRPr="00625445" w:rsidRDefault="00000000" w:rsidP="00F70E1E">
            <w:pPr>
              <w:pStyle w:val="BodyText"/>
              <w:ind w:firstLine="0"/>
              <w:jc w:val="left"/>
              <w:rPr>
                <w:iCs/>
                <w:sz w:val="18"/>
                <w:szCs w:val="18"/>
              </w:rPr>
            </w:pPr>
            <m:oMathPara>
              <m:oMath>
                <m:sSub>
                  <m:sSubPr>
                    <m:ctrlPr>
                      <w:rPr>
                        <w:rFonts w:ascii="Cambria Math" w:hAnsi="Cambria Math"/>
                        <w:iCs/>
                        <w:sz w:val="18"/>
                        <w:szCs w:val="18"/>
                      </w:rPr>
                    </m:ctrlPr>
                  </m:sSubPr>
                  <m:e>
                    <m:r>
                      <m:rPr>
                        <m:sty m:val="p"/>
                      </m:rPr>
                      <w:rPr>
                        <w:rFonts w:ascii="Cambria Math" w:hAnsi="Cambria Math"/>
                        <w:sz w:val="18"/>
                        <w:szCs w:val="18"/>
                      </w:rPr>
                      <m:t>α</m:t>
                    </m:r>
                  </m:e>
                  <m:sub>
                    <m:r>
                      <m:rPr>
                        <m:sty m:val="p"/>
                      </m:rPr>
                      <w:rPr>
                        <w:rFonts w:ascii="Cambria Math" w:hAnsi="Cambria Math"/>
                        <w:sz w:val="18"/>
                        <w:szCs w:val="18"/>
                      </w:rPr>
                      <m:t>n</m:t>
                    </m:r>
                  </m:sub>
                </m:sSub>
              </m:oMath>
            </m:oMathPara>
          </w:p>
        </w:tc>
        <w:tc>
          <w:tcPr>
            <w:tcW w:w="6772" w:type="dxa"/>
          </w:tcPr>
          <w:p w14:paraId="34701142" w14:textId="4E0B3204" w:rsidR="00F80BBE" w:rsidRPr="00625445" w:rsidRDefault="00BC7CAD" w:rsidP="00F70E1E">
            <w:pPr>
              <w:pStyle w:val="BodyText"/>
              <w:ind w:firstLine="0"/>
              <w:jc w:val="left"/>
              <w:rPr>
                <w:sz w:val="18"/>
                <w:szCs w:val="18"/>
              </w:rPr>
            </w:pPr>
            <w:r w:rsidRPr="00625445">
              <w:rPr>
                <w:sz w:val="18"/>
                <w:szCs w:val="18"/>
              </w:rPr>
              <w:t>Capacity factor for reactor on day n</w:t>
            </w:r>
          </w:p>
        </w:tc>
      </w:tr>
      <w:tr w:rsidR="00F80BBE" w14:paraId="6229E92A" w14:textId="77777777" w:rsidTr="00F70E1E">
        <w:tc>
          <w:tcPr>
            <w:tcW w:w="2245" w:type="dxa"/>
          </w:tcPr>
          <w:p w14:paraId="6AE19BC4" w14:textId="77777777" w:rsidR="00F80BBE" w:rsidRPr="00625445" w:rsidRDefault="00F80BBE" w:rsidP="00F70E1E">
            <w:pPr>
              <w:pStyle w:val="BodyText"/>
              <w:ind w:firstLine="0"/>
              <w:jc w:val="left"/>
              <w:rPr>
                <w:i/>
                <w:iCs/>
                <w:sz w:val="18"/>
                <w:szCs w:val="18"/>
              </w:rPr>
            </w:pPr>
            <m:oMathPara>
              <m:oMath>
                <m:r>
                  <w:rPr>
                    <w:rFonts w:ascii="Cambria Math" w:hAnsi="Cambria Math"/>
                    <w:sz w:val="18"/>
                    <w:szCs w:val="18"/>
                  </w:rPr>
                  <m:t>m</m:t>
                </m:r>
              </m:oMath>
            </m:oMathPara>
          </w:p>
        </w:tc>
        <w:tc>
          <w:tcPr>
            <w:tcW w:w="6772" w:type="dxa"/>
          </w:tcPr>
          <w:p w14:paraId="6C21A7A9" w14:textId="77777777" w:rsidR="00F80BBE" w:rsidRPr="00625445" w:rsidRDefault="00000000" w:rsidP="00F70E1E">
            <w:pPr>
              <w:pStyle w:val="BodyText"/>
              <w:ind w:firstLine="0"/>
              <w:jc w:val="left"/>
              <w:rPr>
                <w:sz w:val="18"/>
                <w:szCs w:val="18"/>
              </w:rPr>
            </w:pPr>
            <m:oMath>
              <m:sSub>
                <m:sSubPr>
                  <m:ctrlPr>
                    <w:rPr>
                      <w:rFonts w:ascii="Cambria Math" w:hAnsi="Cambria Math"/>
                      <w:iCs/>
                      <w:sz w:val="18"/>
                      <w:szCs w:val="18"/>
                    </w:rPr>
                  </m:ctrlPr>
                </m:sSubPr>
                <m:e>
                  <m:r>
                    <m:rPr>
                      <m:sty m:val="p"/>
                    </m:rPr>
                    <w:rPr>
                      <w:rFonts w:ascii="Cambria Math" w:hAnsi="Cambria Math"/>
                      <w:sz w:val="18"/>
                      <w:szCs w:val="18"/>
                    </w:rPr>
                    <m:t>k</m:t>
                  </m:r>
                </m:e>
                <m:sub>
                  <m:r>
                    <m:rPr>
                      <m:sty m:val="p"/>
                    </m:rPr>
                    <w:rPr>
                      <w:rFonts w:ascii="Cambria Math" w:hAnsi="Cambria Math"/>
                      <w:sz w:val="18"/>
                      <w:szCs w:val="18"/>
                    </w:rPr>
                    <m:t>eff</m:t>
                  </m:r>
                </m:sub>
              </m:sSub>
            </m:oMath>
            <w:r w:rsidR="00F80BBE" w:rsidRPr="00625445">
              <w:rPr>
                <w:iCs/>
                <w:sz w:val="18"/>
                <w:szCs w:val="18"/>
              </w:rPr>
              <w:t xml:space="preserve"> d</w:t>
            </w:r>
            <w:r w:rsidR="00F80BBE" w:rsidRPr="00625445">
              <w:rPr>
                <w:sz w:val="18"/>
                <w:szCs w:val="18"/>
              </w:rPr>
              <w:t>egradation rate at full power operation</w:t>
            </w:r>
          </w:p>
        </w:tc>
      </w:tr>
    </w:tbl>
    <w:p w14:paraId="32B76F9D" w14:textId="508ECEAC" w:rsidR="00D26ADA" w:rsidRDefault="00D26ADA" w:rsidP="004124F4">
      <w:pPr>
        <w:pStyle w:val="Otherunnumberedheadings"/>
      </w:pPr>
      <w:r>
        <w:lastRenderedPageBreak/>
        <w:t>References</w:t>
      </w:r>
    </w:p>
    <w:p w14:paraId="48C71E31" w14:textId="77777777" w:rsidR="00EC3871" w:rsidRPr="00EC3871" w:rsidRDefault="000A30A3" w:rsidP="00EC3871">
      <w:pPr>
        <w:pStyle w:val="Bibliography"/>
        <w:rPr>
          <w:sz w:val="20"/>
        </w:rPr>
      </w:pPr>
      <w:r>
        <w:fldChar w:fldCharType="begin"/>
      </w:r>
      <w:r>
        <w:instrText xml:space="preserve"> ADDIN ZOTERO_BIBL {"uncited":[],"omitted":[],"custom":[]} CSL_BIBLIOGRAPHY </w:instrText>
      </w:r>
      <w:r>
        <w:fldChar w:fldCharType="separate"/>
      </w:r>
      <w:r w:rsidR="00EC3871" w:rsidRPr="00EC3871">
        <w:rPr>
          <w:sz w:val="20"/>
        </w:rPr>
        <w:t>[1]</w:t>
      </w:r>
      <w:r w:rsidR="00EC3871" w:rsidRPr="00EC3871">
        <w:rPr>
          <w:sz w:val="20"/>
        </w:rPr>
        <w:tab/>
      </w:r>
      <w:proofErr w:type="spellStart"/>
      <w:r w:rsidR="00EC3871" w:rsidRPr="00EC3871">
        <w:rPr>
          <w:sz w:val="20"/>
        </w:rPr>
        <w:t>Kopiske</w:t>
      </w:r>
      <w:proofErr w:type="spellEnd"/>
      <w:r w:rsidR="00EC3871" w:rsidRPr="00EC3871">
        <w:rPr>
          <w:sz w:val="20"/>
        </w:rPr>
        <w:t xml:space="preserve"> J, </w:t>
      </w:r>
      <w:proofErr w:type="spellStart"/>
      <w:r w:rsidR="00EC3871" w:rsidRPr="00EC3871">
        <w:rPr>
          <w:sz w:val="20"/>
        </w:rPr>
        <w:t>Spieker</w:t>
      </w:r>
      <w:proofErr w:type="spellEnd"/>
      <w:r w:rsidR="00EC3871" w:rsidRPr="00EC3871">
        <w:rPr>
          <w:sz w:val="20"/>
        </w:rPr>
        <w:t xml:space="preserve"> S, </w:t>
      </w:r>
      <w:proofErr w:type="spellStart"/>
      <w:r w:rsidR="00EC3871" w:rsidRPr="00EC3871">
        <w:rPr>
          <w:sz w:val="20"/>
        </w:rPr>
        <w:t>Tsatsaronis</w:t>
      </w:r>
      <w:proofErr w:type="spellEnd"/>
      <w:r w:rsidR="00EC3871" w:rsidRPr="00EC3871">
        <w:rPr>
          <w:sz w:val="20"/>
        </w:rPr>
        <w:t xml:space="preserve"> G. Value of power plant flexibility in power systems with high shares of variable renewables: A scenario outlook for Germany 2035. Energy </w:t>
      </w:r>
      <w:proofErr w:type="gramStart"/>
      <w:r w:rsidR="00EC3871" w:rsidRPr="00EC3871">
        <w:rPr>
          <w:sz w:val="20"/>
        </w:rPr>
        <w:t>2017;137:823</w:t>
      </w:r>
      <w:proofErr w:type="gramEnd"/>
      <w:r w:rsidR="00EC3871" w:rsidRPr="00EC3871">
        <w:rPr>
          <w:sz w:val="20"/>
        </w:rPr>
        <w:t>–33. https://doi.org/10.1016/j.energy.2017.04.138.</w:t>
      </w:r>
    </w:p>
    <w:p w14:paraId="19DE1F83" w14:textId="77777777" w:rsidR="00EC3871" w:rsidRPr="00EC3871" w:rsidRDefault="00EC3871" w:rsidP="00EC3871">
      <w:pPr>
        <w:pStyle w:val="Bibliography"/>
        <w:rPr>
          <w:sz w:val="20"/>
        </w:rPr>
      </w:pPr>
      <w:r w:rsidRPr="00EC3871">
        <w:rPr>
          <w:sz w:val="20"/>
        </w:rPr>
        <w:t>[2]</w:t>
      </w:r>
      <w:r w:rsidRPr="00EC3871">
        <w:rPr>
          <w:sz w:val="20"/>
        </w:rPr>
        <w:tab/>
        <w:t xml:space="preserve">Jenkins JD, Zhou Z, </w:t>
      </w:r>
      <w:proofErr w:type="spellStart"/>
      <w:r w:rsidRPr="00EC3871">
        <w:rPr>
          <w:sz w:val="20"/>
        </w:rPr>
        <w:t>Ponciroli</w:t>
      </w:r>
      <w:proofErr w:type="spellEnd"/>
      <w:r w:rsidRPr="00EC3871">
        <w:rPr>
          <w:sz w:val="20"/>
        </w:rPr>
        <w:t xml:space="preserve"> R, </w:t>
      </w:r>
      <w:proofErr w:type="spellStart"/>
      <w:r w:rsidRPr="00EC3871">
        <w:rPr>
          <w:sz w:val="20"/>
        </w:rPr>
        <w:t>Vilim</w:t>
      </w:r>
      <w:proofErr w:type="spellEnd"/>
      <w:r w:rsidRPr="00EC3871">
        <w:rPr>
          <w:sz w:val="20"/>
        </w:rPr>
        <w:t xml:space="preserve"> RB, Ganda F, de </w:t>
      </w:r>
      <w:proofErr w:type="spellStart"/>
      <w:r w:rsidRPr="00EC3871">
        <w:rPr>
          <w:sz w:val="20"/>
        </w:rPr>
        <w:t>Sisternes</w:t>
      </w:r>
      <w:proofErr w:type="spellEnd"/>
      <w:r w:rsidRPr="00EC3871">
        <w:rPr>
          <w:sz w:val="20"/>
        </w:rPr>
        <w:t xml:space="preserve"> F, et al. The benefits of nuclear flexibility in power system operations with renewable energy. </w:t>
      </w:r>
      <w:proofErr w:type="spellStart"/>
      <w:r w:rsidRPr="00EC3871">
        <w:rPr>
          <w:sz w:val="20"/>
        </w:rPr>
        <w:t>Appl</w:t>
      </w:r>
      <w:proofErr w:type="spellEnd"/>
      <w:r w:rsidRPr="00EC3871">
        <w:rPr>
          <w:sz w:val="20"/>
        </w:rPr>
        <w:t xml:space="preserve"> Energy </w:t>
      </w:r>
      <w:proofErr w:type="gramStart"/>
      <w:r w:rsidRPr="00EC3871">
        <w:rPr>
          <w:sz w:val="20"/>
        </w:rPr>
        <w:t>2018;222:872</w:t>
      </w:r>
      <w:proofErr w:type="gramEnd"/>
      <w:r w:rsidRPr="00EC3871">
        <w:rPr>
          <w:sz w:val="20"/>
        </w:rPr>
        <w:t>–84. https://doi.org/10.1016/j.apenergy.2018.03.002.</w:t>
      </w:r>
    </w:p>
    <w:p w14:paraId="796B92AB" w14:textId="77777777" w:rsidR="00EC3871" w:rsidRPr="00EC3871" w:rsidRDefault="00EC3871" w:rsidP="00EC3871">
      <w:pPr>
        <w:pStyle w:val="Bibliography"/>
        <w:rPr>
          <w:sz w:val="20"/>
        </w:rPr>
      </w:pPr>
      <w:r w:rsidRPr="00EC3871">
        <w:rPr>
          <w:sz w:val="20"/>
        </w:rPr>
        <w:t>[3]</w:t>
      </w:r>
      <w:r w:rsidRPr="00EC3871">
        <w:rPr>
          <w:sz w:val="20"/>
        </w:rPr>
        <w:tab/>
        <w:t xml:space="preserve">Cany C, </w:t>
      </w:r>
      <w:proofErr w:type="spellStart"/>
      <w:r w:rsidRPr="00EC3871">
        <w:rPr>
          <w:sz w:val="20"/>
        </w:rPr>
        <w:t>Mansilla</w:t>
      </w:r>
      <w:proofErr w:type="spellEnd"/>
      <w:r w:rsidRPr="00EC3871">
        <w:rPr>
          <w:sz w:val="20"/>
        </w:rPr>
        <w:t xml:space="preserve"> C, </w:t>
      </w:r>
      <w:proofErr w:type="spellStart"/>
      <w:r w:rsidRPr="00EC3871">
        <w:rPr>
          <w:sz w:val="20"/>
        </w:rPr>
        <w:t>Mathonnière</w:t>
      </w:r>
      <w:proofErr w:type="spellEnd"/>
      <w:r w:rsidRPr="00EC3871">
        <w:rPr>
          <w:sz w:val="20"/>
        </w:rPr>
        <w:t xml:space="preserve"> G, da Costa P. Nuclear power supply: Going against the misconceptions. Evidence of nuclear flexibility from the French experience. Energy </w:t>
      </w:r>
      <w:proofErr w:type="gramStart"/>
      <w:r w:rsidRPr="00EC3871">
        <w:rPr>
          <w:sz w:val="20"/>
        </w:rPr>
        <w:t>2018;151:289</w:t>
      </w:r>
      <w:proofErr w:type="gramEnd"/>
      <w:r w:rsidRPr="00EC3871">
        <w:rPr>
          <w:sz w:val="20"/>
        </w:rPr>
        <w:t>–96. https://doi.org/10.1016/j.energy.2018.03.064.</w:t>
      </w:r>
    </w:p>
    <w:p w14:paraId="2EE69F29" w14:textId="77777777" w:rsidR="00EC3871" w:rsidRPr="00EC3871" w:rsidRDefault="00EC3871" w:rsidP="00EC3871">
      <w:pPr>
        <w:pStyle w:val="Bibliography"/>
        <w:rPr>
          <w:sz w:val="20"/>
        </w:rPr>
      </w:pPr>
      <w:r w:rsidRPr="00EC3871">
        <w:rPr>
          <w:sz w:val="20"/>
        </w:rPr>
        <w:t>[4]</w:t>
      </w:r>
      <w:r w:rsidRPr="00EC3871">
        <w:rPr>
          <w:sz w:val="20"/>
        </w:rPr>
        <w:tab/>
      </w:r>
      <w:proofErr w:type="spellStart"/>
      <w:r w:rsidRPr="00EC3871">
        <w:rPr>
          <w:sz w:val="20"/>
        </w:rPr>
        <w:t>Ponciroli</w:t>
      </w:r>
      <w:proofErr w:type="spellEnd"/>
      <w:r w:rsidRPr="00EC3871">
        <w:rPr>
          <w:sz w:val="20"/>
        </w:rPr>
        <w:t xml:space="preserve"> R, Wang Y, Zhou Z, </w:t>
      </w:r>
      <w:proofErr w:type="spellStart"/>
      <w:r w:rsidRPr="00EC3871">
        <w:rPr>
          <w:sz w:val="20"/>
        </w:rPr>
        <w:t>Botterud</w:t>
      </w:r>
      <w:proofErr w:type="spellEnd"/>
      <w:r w:rsidRPr="00EC3871">
        <w:rPr>
          <w:sz w:val="20"/>
        </w:rPr>
        <w:t xml:space="preserve"> A, Jenkins J, </w:t>
      </w:r>
      <w:proofErr w:type="spellStart"/>
      <w:r w:rsidRPr="00EC3871">
        <w:rPr>
          <w:sz w:val="20"/>
        </w:rPr>
        <w:t>Vilim</w:t>
      </w:r>
      <w:proofErr w:type="spellEnd"/>
      <w:r w:rsidRPr="00EC3871">
        <w:rPr>
          <w:sz w:val="20"/>
        </w:rPr>
        <w:t xml:space="preserve"> RB, et al. Profitability Evaluation of Load-Following Nuclear Units with Physics-Induced Operational Constraints. </w:t>
      </w:r>
      <w:proofErr w:type="spellStart"/>
      <w:r w:rsidRPr="00EC3871">
        <w:rPr>
          <w:sz w:val="20"/>
        </w:rPr>
        <w:t>Nucl</w:t>
      </w:r>
      <w:proofErr w:type="spellEnd"/>
      <w:r w:rsidRPr="00EC3871">
        <w:rPr>
          <w:sz w:val="20"/>
        </w:rPr>
        <w:t xml:space="preserve"> </w:t>
      </w:r>
      <w:proofErr w:type="spellStart"/>
      <w:r w:rsidRPr="00EC3871">
        <w:rPr>
          <w:sz w:val="20"/>
        </w:rPr>
        <w:t>Technol</w:t>
      </w:r>
      <w:proofErr w:type="spellEnd"/>
      <w:r w:rsidRPr="00EC3871">
        <w:rPr>
          <w:sz w:val="20"/>
        </w:rPr>
        <w:t xml:space="preserve"> </w:t>
      </w:r>
      <w:proofErr w:type="gramStart"/>
      <w:r w:rsidRPr="00EC3871">
        <w:rPr>
          <w:sz w:val="20"/>
        </w:rPr>
        <w:t>2017;200:189</w:t>
      </w:r>
      <w:proofErr w:type="gramEnd"/>
      <w:r w:rsidRPr="00EC3871">
        <w:rPr>
          <w:sz w:val="20"/>
        </w:rPr>
        <w:t>–207. https://doi.org/10.1080/00295450.2017.1388668.</w:t>
      </w:r>
    </w:p>
    <w:p w14:paraId="6074B718" w14:textId="77777777" w:rsidR="00EC3871" w:rsidRPr="00EC3871" w:rsidRDefault="00EC3871" w:rsidP="00EC3871">
      <w:pPr>
        <w:pStyle w:val="Bibliography"/>
        <w:rPr>
          <w:sz w:val="20"/>
        </w:rPr>
      </w:pPr>
      <w:r w:rsidRPr="00EC3871">
        <w:rPr>
          <w:sz w:val="20"/>
        </w:rPr>
        <w:t>[5]</w:t>
      </w:r>
      <w:r w:rsidRPr="00EC3871">
        <w:rPr>
          <w:sz w:val="20"/>
        </w:rPr>
        <w:tab/>
        <w:t>Early Nuclear Retirements in Deregulated U.S. Markets - CEEPR n.d. https://ceepr.mit.edu/early-nuclear-retirements-in-deregulated-u-s-markets/ (accessed May 24, 2024).</w:t>
      </w:r>
    </w:p>
    <w:p w14:paraId="78A0ED54" w14:textId="77777777" w:rsidR="00EC3871" w:rsidRPr="00EC3871" w:rsidRDefault="00EC3871" w:rsidP="00EC3871">
      <w:pPr>
        <w:pStyle w:val="Bibliography"/>
        <w:rPr>
          <w:sz w:val="20"/>
        </w:rPr>
      </w:pPr>
      <w:r w:rsidRPr="00EC3871">
        <w:rPr>
          <w:sz w:val="20"/>
        </w:rPr>
        <w:t>[6]</w:t>
      </w:r>
      <w:r w:rsidRPr="00EC3871">
        <w:rPr>
          <w:sz w:val="20"/>
        </w:rPr>
        <w:tab/>
      </w:r>
      <w:proofErr w:type="spellStart"/>
      <w:r w:rsidRPr="00EC3871">
        <w:rPr>
          <w:sz w:val="20"/>
        </w:rPr>
        <w:t>Stauff</w:t>
      </w:r>
      <w:proofErr w:type="spellEnd"/>
      <w:r w:rsidRPr="00EC3871">
        <w:rPr>
          <w:sz w:val="20"/>
        </w:rPr>
        <w:t xml:space="preserve"> N, Mann WN, </w:t>
      </w:r>
      <w:proofErr w:type="spellStart"/>
      <w:r w:rsidRPr="00EC3871">
        <w:rPr>
          <w:sz w:val="20"/>
        </w:rPr>
        <w:t>Biegel</w:t>
      </w:r>
      <w:proofErr w:type="spellEnd"/>
      <w:r w:rsidRPr="00EC3871">
        <w:rPr>
          <w:sz w:val="20"/>
        </w:rPr>
        <w:t xml:space="preserve"> K, Levin T, Rader JD, </w:t>
      </w:r>
      <w:proofErr w:type="spellStart"/>
      <w:r w:rsidRPr="00EC3871">
        <w:rPr>
          <w:sz w:val="20"/>
        </w:rPr>
        <w:t>Cuadra</w:t>
      </w:r>
      <w:proofErr w:type="spellEnd"/>
      <w:r w:rsidRPr="00EC3871">
        <w:rPr>
          <w:sz w:val="20"/>
        </w:rPr>
        <w:t xml:space="preserve"> A, et al. Reactor Power Size Impacts on Nuclear Competitiveness in a Carbon-Constrained Future. Argonne National Lab. (ANL), Argonne, IL (United States); 2021.</w:t>
      </w:r>
    </w:p>
    <w:p w14:paraId="50BDB902" w14:textId="77777777" w:rsidR="00EC3871" w:rsidRPr="00EC3871" w:rsidRDefault="00EC3871" w:rsidP="00EC3871">
      <w:pPr>
        <w:pStyle w:val="Bibliography"/>
        <w:rPr>
          <w:sz w:val="20"/>
        </w:rPr>
      </w:pPr>
      <w:r w:rsidRPr="00EC3871">
        <w:rPr>
          <w:sz w:val="20"/>
        </w:rPr>
        <w:t>[7]</w:t>
      </w:r>
      <w:r w:rsidRPr="00EC3871">
        <w:rPr>
          <w:sz w:val="20"/>
        </w:rPr>
        <w:tab/>
        <w:t>A Short History of Nuclear Regulation, 1946–2009 (NUREG/BR-0175, Revision 2). NRC Web n.d. https://www.nrc.gov/reading-rm/doc-collections/nuregs/brochures/br0175/index.html (accessed May 28, 2024).</w:t>
      </w:r>
    </w:p>
    <w:p w14:paraId="196F678F" w14:textId="77777777" w:rsidR="00EC3871" w:rsidRPr="00EC3871" w:rsidRDefault="00EC3871" w:rsidP="00EC3871">
      <w:pPr>
        <w:pStyle w:val="Bibliography"/>
        <w:rPr>
          <w:sz w:val="20"/>
        </w:rPr>
      </w:pPr>
      <w:r w:rsidRPr="00EC3871">
        <w:rPr>
          <w:sz w:val="20"/>
        </w:rPr>
        <w:t>[8]</w:t>
      </w:r>
      <w:r w:rsidRPr="00EC3871">
        <w:rPr>
          <w:sz w:val="20"/>
        </w:rPr>
        <w:tab/>
        <w:t>AP1000 ARIS Specifications n.d. https://aris.iaea.org/PDF/AP1000.pdf (accessed May 29, 2023).</w:t>
      </w:r>
    </w:p>
    <w:p w14:paraId="61E486A7" w14:textId="77777777" w:rsidR="00EC3871" w:rsidRPr="00EC3871" w:rsidRDefault="00EC3871" w:rsidP="00EC3871">
      <w:pPr>
        <w:pStyle w:val="Bibliography"/>
        <w:rPr>
          <w:sz w:val="20"/>
        </w:rPr>
      </w:pPr>
      <w:r w:rsidRPr="00EC3871">
        <w:rPr>
          <w:sz w:val="20"/>
        </w:rPr>
        <w:t>[9]</w:t>
      </w:r>
      <w:r w:rsidRPr="00EC3871">
        <w:rPr>
          <w:sz w:val="20"/>
        </w:rPr>
        <w:tab/>
        <w:t>Joint Institute for Strategic Energy Analysis (JISEA), Clean Energy Ministerial (CEM), Clean Energy Future (NICE Future) Initiative, Bragg-Sitton S, Gorman J, Burton G, Moore M, et al. Flexible Nuclear Energy for Clean Energy Systems. 2020. https://doi.org/10.2172/1665841.</w:t>
      </w:r>
    </w:p>
    <w:p w14:paraId="170EAD3B" w14:textId="77777777" w:rsidR="00EC3871" w:rsidRPr="00EC3871" w:rsidRDefault="00EC3871" w:rsidP="00EC3871">
      <w:pPr>
        <w:pStyle w:val="Bibliography"/>
        <w:rPr>
          <w:sz w:val="20"/>
        </w:rPr>
      </w:pPr>
      <w:r w:rsidRPr="00EC3871">
        <w:rPr>
          <w:sz w:val="20"/>
        </w:rPr>
        <w:t>[10]</w:t>
      </w:r>
      <w:r w:rsidRPr="00EC3871">
        <w:rPr>
          <w:sz w:val="20"/>
        </w:rPr>
        <w:tab/>
      </w:r>
      <w:proofErr w:type="spellStart"/>
      <w:r w:rsidRPr="00EC3871">
        <w:rPr>
          <w:sz w:val="20"/>
        </w:rPr>
        <w:t>NuScale</w:t>
      </w:r>
      <w:proofErr w:type="spellEnd"/>
      <w:r w:rsidRPr="00EC3871">
        <w:rPr>
          <w:sz w:val="20"/>
        </w:rPr>
        <w:t xml:space="preserve"> SMR Specifications n.d. https://aris.iaea.org/PDF/NuScale-NPM200_2020.pdf (accessed May 29, 2023).</w:t>
      </w:r>
    </w:p>
    <w:p w14:paraId="29186DE0" w14:textId="77777777" w:rsidR="00EC3871" w:rsidRPr="00EC3871" w:rsidRDefault="00EC3871" w:rsidP="00EC3871">
      <w:pPr>
        <w:pStyle w:val="Bibliography"/>
        <w:rPr>
          <w:sz w:val="20"/>
        </w:rPr>
      </w:pPr>
      <w:r w:rsidRPr="00EC3871">
        <w:rPr>
          <w:sz w:val="20"/>
        </w:rPr>
        <w:t>[11]</w:t>
      </w:r>
      <w:r w:rsidRPr="00EC3871">
        <w:rPr>
          <w:sz w:val="20"/>
        </w:rPr>
        <w:tab/>
        <w:t>Rolls Royce SMR n.d. https://aris.iaea.org/PDF/UK-SMR_2020.pdf (accessed May 29, 2023).</w:t>
      </w:r>
    </w:p>
    <w:p w14:paraId="293C021E" w14:textId="77777777" w:rsidR="00EC3871" w:rsidRPr="00EC3871" w:rsidRDefault="00EC3871" w:rsidP="00EC3871">
      <w:pPr>
        <w:pStyle w:val="Bibliography"/>
        <w:rPr>
          <w:sz w:val="20"/>
        </w:rPr>
      </w:pPr>
      <w:r w:rsidRPr="00EC3871">
        <w:rPr>
          <w:sz w:val="20"/>
        </w:rPr>
        <w:t>[12]</w:t>
      </w:r>
      <w:r w:rsidRPr="00EC3871">
        <w:rPr>
          <w:sz w:val="20"/>
        </w:rPr>
        <w:tab/>
      </w:r>
      <w:proofErr w:type="spellStart"/>
      <w:r w:rsidRPr="00EC3871">
        <w:rPr>
          <w:sz w:val="20"/>
        </w:rPr>
        <w:t>Alhadrami</w:t>
      </w:r>
      <w:proofErr w:type="spellEnd"/>
      <w:r w:rsidRPr="00EC3871">
        <w:rPr>
          <w:sz w:val="20"/>
        </w:rPr>
        <w:t xml:space="preserve"> S, Gonzalez G, Lindley B. Economic Dispatch Optimization of Multi-Unit SMR Site 2022. https://inldigitallibrary.inl.gov/sites/sti/sti/Sort_62814.pdf (accessed January 15, 2024).</w:t>
      </w:r>
    </w:p>
    <w:p w14:paraId="7E2A0745" w14:textId="77777777" w:rsidR="00EC3871" w:rsidRPr="00EC3871" w:rsidRDefault="00EC3871" w:rsidP="00EC3871">
      <w:pPr>
        <w:pStyle w:val="Bibliography"/>
        <w:rPr>
          <w:sz w:val="20"/>
        </w:rPr>
      </w:pPr>
      <w:r w:rsidRPr="00EC3871">
        <w:rPr>
          <w:sz w:val="20"/>
        </w:rPr>
        <w:t>[13]</w:t>
      </w:r>
      <w:r w:rsidRPr="00EC3871">
        <w:rPr>
          <w:sz w:val="20"/>
        </w:rPr>
        <w:tab/>
        <w:t xml:space="preserve">Locatelli G, </w:t>
      </w:r>
      <w:proofErr w:type="spellStart"/>
      <w:r w:rsidRPr="00EC3871">
        <w:rPr>
          <w:sz w:val="20"/>
        </w:rPr>
        <w:t>Boarin</w:t>
      </w:r>
      <w:proofErr w:type="spellEnd"/>
      <w:r w:rsidRPr="00EC3871">
        <w:rPr>
          <w:sz w:val="20"/>
        </w:rPr>
        <w:t xml:space="preserve"> S, Pellegrino F, Ricotti ME. Load following with Small Modular Reactors (SMR): A real options analysis. Energy </w:t>
      </w:r>
      <w:proofErr w:type="gramStart"/>
      <w:r w:rsidRPr="00EC3871">
        <w:rPr>
          <w:sz w:val="20"/>
        </w:rPr>
        <w:t>2015;80:41</w:t>
      </w:r>
      <w:proofErr w:type="gramEnd"/>
      <w:r w:rsidRPr="00EC3871">
        <w:rPr>
          <w:sz w:val="20"/>
        </w:rPr>
        <w:t>–54. https://doi.org/10.1016/j.energy.2014.11.040.</w:t>
      </w:r>
    </w:p>
    <w:p w14:paraId="2D65E21F" w14:textId="77777777" w:rsidR="00EC3871" w:rsidRPr="00EC3871" w:rsidRDefault="00EC3871" w:rsidP="00EC3871">
      <w:pPr>
        <w:pStyle w:val="Bibliography"/>
        <w:rPr>
          <w:sz w:val="20"/>
        </w:rPr>
      </w:pPr>
      <w:r w:rsidRPr="00EC3871">
        <w:rPr>
          <w:sz w:val="20"/>
        </w:rPr>
        <w:t>[14]</w:t>
      </w:r>
      <w:r w:rsidRPr="00EC3871">
        <w:rPr>
          <w:sz w:val="20"/>
        </w:rPr>
        <w:tab/>
      </w:r>
      <w:proofErr w:type="spellStart"/>
      <w:r w:rsidRPr="00EC3871">
        <w:rPr>
          <w:sz w:val="20"/>
        </w:rPr>
        <w:t>Alhadhrami</w:t>
      </w:r>
      <w:proofErr w:type="spellEnd"/>
      <w:r w:rsidRPr="00EC3871">
        <w:rPr>
          <w:sz w:val="20"/>
        </w:rPr>
        <w:t xml:space="preserve"> S, Soto GJ, Lindley B. Dispatch analysis of flexible power operation with multi-unit small modular reactors. Energy </w:t>
      </w:r>
      <w:proofErr w:type="gramStart"/>
      <w:r w:rsidRPr="00EC3871">
        <w:rPr>
          <w:sz w:val="20"/>
        </w:rPr>
        <w:t>2023;280:128107</w:t>
      </w:r>
      <w:proofErr w:type="gramEnd"/>
      <w:r w:rsidRPr="00EC3871">
        <w:rPr>
          <w:sz w:val="20"/>
        </w:rPr>
        <w:t>. https://doi.org/10.1016/j.energy.2023.128107.</w:t>
      </w:r>
    </w:p>
    <w:p w14:paraId="38A08313" w14:textId="77777777" w:rsidR="00EC3871" w:rsidRPr="00EC3871" w:rsidRDefault="00EC3871" w:rsidP="00EC3871">
      <w:pPr>
        <w:pStyle w:val="Bibliography"/>
        <w:rPr>
          <w:sz w:val="20"/>
        </w:rPr>
      </w:pPr>
      <w:r w:rsidRPr="00EC3871">
        <w:rPr>
          <w:sz w:val="20"/>
        </w:rPr>
        <w:t>[15]</w:t>
      </w:r>
      <w:r w:rsidRPr="00EC3871">
        <w:rPr>
          <w:sz w:val="20"/>
        </w:rPr>
        <w:tab/>
      </w:r>
      <w:proofErr w:type="spellStart"/>
      <w:r w:rsidRPr="00EC3871">
        <w:rPr>
          <w:sz w:val="20"/>
        </w:rPr>
        <w:t>Pouret</w:t>
      </w:r>
      <w:proofErr w:type="spellEnd"/>
      <w:r w:rsidRPr="00EC3871">
        <w:rPr>
          <w:sz w:val="20"/>
        </w:rPr>
        <w:t xml:space="preserve"> L, Nuttall WJ. Can Nuclear Power Be Flexible? n.d.</w:t>
      </w:r>
    </w:p>
    <w:p w14:paraId="00D13225" w14:textId="77777777" w:rsidR="00EC3871" w:rsidRPr="00EC3871" w:rsidRDefault="00EC3871" w:rsidP="00EC3871">
      <w:pPr>
        <w:pStyle w:val="Bibliography"/>
        <w:rPr>
          <w:sz w:val="20"/>
        </w:rPr>
      </w:pPr>
      <w:r w:rsidRPr="00EC3871">
        <w:rPr>
          <w:sz w:val="20"/>
        </w:rPr>
        <w:t>[16]</w:t>
      </w:r>
      <w:r w:rsidRPr="00EC3871">
        <w:rPr>
          <w:sz w:val="20"/>
        </w:rPr>
        <w:tab/>
      </w:r>
      <w:proofErr w:type="spellStart"/>
      <w:r w:rsidRPr="00EC3871">
        <w:rPr>
          <w:sz w:val="20"/>
        </w:rPr>
        <w:t>Lamarsh</w:t>
      </w:r>
      <w:proofErr w:type="spellEnd"/>
      <w:r w:rsidRPr="00EC3871">
        <w:rPr>
          <w:sz w:val="20"/>
        </w:rPr>
        <w:t xml:space="preserve"> JR, </w:t>
      </w:r>
      <w:proofErr w:type="spellStart"/>
      <w:r w:rsidRPr="00EC3871">
        <w:rPr>
          <w:sz w:val="20"/>
        </w:rPr>
        <w:t>Baratta</w:t>
      </w:r>
      <w:proofErr w:type="spellEnd"/>
      <w:r w:rsidRPr="00EC3871">
        <w:rPr>
          <w:sz w:val="20"/>
        </w:rPr>
        <w:t xml:space="preserve"> AJ. Introduction to nuclear engineering. 3rd ed. Upper Saddle River, N.J: Prentice Hall; 2001.</w:t>
      </w:r>
    </w:p>
    <w:p w14:paraId="747D586E" w14:textId="77777777" w:rsidR="00EC3871" w:rsidRPr="00EC3871" w:rsidRDefault="00EC3871" w:rsidP="00EC3871">
      <w:pPr>
        <w:pStyle w:val="Bibliography"/>
        <w:rPr>
          <w:sz w:val="20"/>
        </w:rPr>
      </w:pPr>
      <w:r w:rsidRPr="00EC3871">
        <w:rPr>
          <w:sz w:val="20"/>
        </w:rPr>
        <w:t>[17]</w:t>
      </w:r>
      <w:r w:rsidRPr="00EC3871">
        <w:rPr>
          <w:sz w:val="20"/>
        </w:rPr>
        <w:tab/>
      </w:r>
      <w:proofErr w:type="spellStart"/>
      <w:r w:rsidRPr="00EC3871">
        <w:rPr>
          <w:sz w:val="20"/>
        </w:rPr>
        <w:t>Franceschini</w:t>
      </w:r>
      <w:proofErr w:type="spellEnd"/>
      <w:r w:rsidRPr="00EC3871">
        <w:rPr>
          <w:sz w:val="20"/>
        </w:rPr>
        <w:t xml:space="preserve"> F, Petrovic B. Advanced operational strategy for the IRIS reactor: Load follow through mechanical shim (MSHIM). </w:t>
      </w:r>
      <w:proofErr w:type="spellStart"/>
      <w:r w:rsidRPr="00EC3871">
        <w:rPr>
          <w:sz w:val="20"/>
        </w:rPr>
        <w:t>Nucl</w:t>
      </w:r>
      <w:proofErr w:type="spellEnd"/>
      <w:r w:rsidRPr="00EC3871">
        <w:rPr>
          <w:sz w:val="20"/>
        </w:rPr>
        <w:t xml:space="preserve"> Eng Des </w:t>
      </w:r>
      <w:proofErr w:type="gramStart"/>
      <w:r w:rsidRPr="00EC3871">
        <w:rPr>
          <w:sz w:val="20"/>
        </w:rPr>
        <w:t>2008;238:3240</w:t>
      </w:r>
      <w:proofErr w:type="gramEnd"/>
      <w:r w:rsidRPr="00EC3871">
        <w:rPr>
          <w:sz w:val="20"/>
        </w:rPr>
        <w:t>–52. https://doi.org/10.1016/j.nucengdes.2008.06.021.</w:t>
      </w:r>
    </w:p>
    <w:p w14:paraId="07B66D80" w14:textId="77777777" w:rsidR="00EC3871" w:rsidRPr="00EC3871" w:rsidRDefault="00EC3871" w:rsidP="00EC3871">
      <w:pPr>
        <w:pStyle w:val="Bibliography"/>
        <w:rPr>
          <w:sz w:val="20"/>
        </w:rPr>
      </w:pPr>
      <w:r w:rsidRPr="00EC3871">
        <w:rPr>
          <w:sz w:val="20"/>
        </w:rPr>
        <w:t>[18]</w:t>
      </w:r>
      <w:r w:rsidRPr="00EC3871">
        <w:rPr>
          <w:sz w:val="20"/>
        </w:rPr>
        <w:tab/>
      </w:r>
      <w:proofErr w:type="spellStart"/>
      <w:r w:rsidRPr="00EC3871">
        <w:rPr>
          <w:sz w:val="20"/>
        </w:rPr>
        <w:t>Knueven</w:t>
      </w:r>
      <w:proofErr w:type="spellEnd"/>
      <w:r w:rsidRPr="00EC3871">
        <w:rPr>
          <w:sz w:val="20"/>
        </w:rPr>
        <w:t xml:space="preserve"> B, Ostrowski J, Watson J-P. On Mixed-Integer Programming Formulations for the Unit Commitment Problem. Inf J </w:t>
      </w:r>
      <w:proofErr w:type="spellStart"/>
      <w:r w:rsidRPr="00EC3871">
        <w:rPr>
          <w:sz w:val="20"/>
        </w:rPr>
        <w:t>Comput</w:t>
      </w:r>
      <w:proofErr w:type="spellEnd"/>
      <w:r w:rsidRPr="00EC3871">
        <w:rPr>
          <w:sz w:val="20"/>
        </w:rPr>
        <w:t xml:space="preserve"> </w:t>
      </w:r>
      <w:proofErr w:type="gramStart"/>
      <w:r w:rsidRPr="00EC3871">
        <w:rPr>
          <w:sz w:val="20"/>
        </w:rPr>
        <w:t>2020:ijoc</w:t>
      </w:r>
      <w:proofErr w:type="gramEnd"/>
      <w:r w:rsidRPr="00EC3871">
        <w:rPr>
          <w:sz w:val="20"/>
        </w:rPr>
        <w:t>.2019.0944. https://doi.org/10.1287/ijoc.2019.0944.</w:t>
      </w:r>
    </w:p>
    <w:p w14:paraId="7C9377FA" w14:textId="77777777" w:rsidR="00EC3871" w:rsidRPr="00EC3871" w:rsidRDefault="00EC3871" w:rsidP="00EC3871">
      <w:pPr>
        <w:pStyle w:val="Bibliography"/>
        <w:rPr>
          <w:sz w:val="20"/>
        </w:rPr>
      </w:pPr>
      <w:r w:rsidRPr="00EC3871">
        <w:rPr>
          <w:sz w:val="20"/>
        </w:rPr>
        <w:t>[19]</w:t>
      </w:r>
      <w:r w:rsidRPr="00EC3871">
        <w:rPr>
          <w:sz w:val="20"/>
        </w:rPr>
        <w:tab/>
        <w:t xml:space="preserve">Wang F, </w:t>
      </w:r>
      <w:proofErr w:type="spellStart"/>
      <w:r w:rsidRPr="00EC3871">
        <w:rPr>
          <w:sz w:val="20"/>
        </w:rPr>
        <w:t>Hedman</w:t>
      </w:r>
      <w:proofErr w:type="spellEnd"/>
      <w:r w:rsidRPr="00EC3871">
        <w:rPr>
          <w:sz w:val="20"/>
        </w:rPr>
        <w:t xml:space="preserve"> KW. Dynamic Reserve Zones for Day-Ahead Unit Commitment </w:t>
      </w:r>
      <w:proofErr w:type="gramStart"/>
      <w:r w:rsidRPr="00EC3871">
        <w:rPr>
          <w:sz w:val="20"/>
        </w:rPr>
        <w:t>With</w:t>
      </w:r>
      <w:proofErr w:type="gramEnd"/>
      <w:r w:rsidRPr="00EC3871">
        <w:rPr>
          <w:sz w:val="20"/>
        </w:rPr>
        <w:t xml:space="preserve"> Renewable Resources. IEEE Trans Power </w:t>
      </w:r>
      <w:proofErr w:type="spellStart"/>
      <w:r w:rsidRPr="00EC3871">
        <w:rPr>
          <w:sz w:val="20"/>
        </w:rPr>
        <w:t>Syst</w:t>
      </w:r>
      <w:proofErr w:type="spellEnd"/>
      <w:r w:rsidRPr="00EC3871">
        <w:rPr>
          <w:sz w:val="20"/>
        </w:rPr>
        <w:t xml:space="preserve"> </w:t>
      </w:r>
      <w:proofErr w:type="gramStart"/>
      <w:r w:rsidRPr="00EC3871">
        <w:rPr>
          <w:sz w:val="20"/>
        </w:rPr>
        <w:t>2015;30:612</w:t>
      </w:r>
      <w:proofErr w:type="gramEnd"/>
      <w:r w:rsidRPr="00EC3871">
        <w:rPr>
          <w:sz w:val="20"/>
        </w:rPr>
        <w:t>–20. https://doi.org/10.1109/TPWRS.2014.2328605.</w:t>
      </w:r>
    </w:p>
    <w:p w14:paraId="406E9FAA" w14:textId="77777777" w:rsidR="00EC3871" w:rsidRPr="00EC3871" w:rsidRDefault="00EC3871" w:rsidP="00EC3871">
      <w:pPr>
        <w:pStyle w:val="Bibliography"/>
        <w:rPr>
          <w:sz w:val="20"/>
        </w:rPr>
      </w:pPr>
      <w:r w:rsidRPr="00EC3871">
        <w:rPr>
          <w:sz w:val="20"/>
        </w:rPr>
        <w:t>[20]</w:t>
      </w:r>
      <w:r w:rsidRPr="00EC3871">
        <w:rPr>
          <w:sz w:val="20"/>
        </w:rPr>
        <w:tab/>
        <w:t>Grid Status 2024. https://www.gridstatus.io/ (accessed May 24, 2024).</w:t>
      </w:r>
    </w:p>
    <w:p w14:paraId="15F9AC2F" w14:textId="0D436A60" w:rsidR="00DF59A3" w:rsidRDefault="000A30A3" w:rsidP="00CB21B5">
      <w:pPr>
        <w:pStyle w:val="BodyText"/>
      </w:pPr>
      <w:r>
        <w:fldChar w:fldCharType="end"/>
      </w:r>
    </w:p>
    <w:sectPr w:rsidR="00DF59A3" w:rsidSect="001877E5">
      <w:headerReference w:type="even" r:id="rId19"/>
      <w:headerReference w:type="default" r:id="rId20"/>
      <w:footerReference w:type="even" r:id="rId21"/>
      <w:footerReference w:type="default" r:id="rId22"/>
      <w:headerReference w:type="first" r:id="rId23"/>
      <w:footerReference w:type="first" r:id="rId24"/>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6946C" w14:textId="77777777" w:rsidR="00881579" w:rsidRDefault="00881579">
      <w:r>
        <w:separator/>
      </w:r>
    </w:p>
  </w:endnote>
  <w:endnote w:type="continuationSeparator" w:id="0">
    <w:p w14:paraId="5354365E" w14:textId="77777777" w:rsidR="00881579" w:rsidRDefault="0088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173B92FA" w:rsidR="00E20E70" w:rsidRDefault="00E20E70">
    <w:pPr>
      <w:pStyle w:val="zyxClassification1"/>
    </w:pPr>
    <w:r>
      <w:fldChar w:fldCharType="begin"/>
    </w:r>
    <w:r>
      <w:instrText xml:space="preserve"> DOCPROPERTY "IaeaClassification"  \* MERGEFORMAT </w:instrText>
    </w:r>
    <w:r>
      <w:fldChar w:fldCharType="end"/>
    </w:r>
  </w:p>
  <w:p w14:paraId="1FDEB1B7" w14:textId="1592F3F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32707966" w:rsidR="00E20E70" w:rsidRDefault="00E20E70">
    <w:pPr>
      <w:pStyle w:val="zyxClassification1"/>
    </w:pPr>
    <w:r>
      <w:fldChar w:fldCharType="begin"/>
    </w:r>
    <w:r>
      <w:instrText xml:space="preserve"> DOCPROPERTY "IaeaClassification"  \* MERGEFORMAT </w:instrText>
    </w:r>
    <w:r>
      <w:fldChar w:fldCharType="end"/>
    </w:r>
  </w:p>
  <w:p w14:paraId="7E32AC2C" w14:textId="0B56E688"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6C3D8C5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30A35396"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0" w:name="DOC_bkmClassification2"/>
      <w:tc>
        <w:tcPr>
          <w:tcW w:w="5670" w:type="dxa"/>
          <w:tcMar>
            <w:right w:w="249" w:type="dxa"/>
          </w:tcMar>
        </w:tcPr>
        <w:p w14:paraId="6BE850AD" w14:textId="65FBA848"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0"/>
        <w:p w14:paraId="4A6BF5C8" w14:textId="6F00F476"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1" w:name="DOC_bkmFileName"/>
  <w:p w14:paraId="437B756E" w14:textId="6A777244" w:rsidR="00E20E70" w:rsidRDefault="00E20E70">
    <w:r>
      <w:rPr>
        <w:sz w:val="16"/>
      </w:rPr>
      <w:fldChar w:fldCharType="begin"/>
    </w:r>
    <w:r>
      <w:rPr>
        <w:sz w:val="16"/>
      </w:rPr>
      <w:instrText xml:space="preserve"> FILENAME \* MERGEFORMAT </w:instrText>
    </w:r>
    <w:r>
      <w:rPr>
        <w:sz w:val="16"/>
      </w:rPr>
      <w:fldChar w:fldCharType="separate"/>
    </w:r>
    <w:r w:rsidR="00FD41EB">
      <w:rPr>
        <w:noProof/>
        <w:sz w:val="16"/>
      </w:rPr>
      <w:t>IAEA_SMR_2024.docx</w:t>
    </w:r>
    <w:r>
      <w:rPr>
        <w:sz w:val="16"/>
      </w:rPr>
      <w:fldChar w:fldCharType="end"/>
    </w:r>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1391" w14:textId="77777777" w:rsidR="00881579" w:rsidRDefault="00881579">
      <w:r>
        <w:t>___________________________________________________________________________</w:t>
      </w:r>
    </w:p>
  </w:footnote>
  <w:footnote w:type="continuationSeparator" w:id="0">
    <w:p w14:paraId="5C37D188" w14:textId="77777777" w:rsidR="00881579" w:rsidRDefault="00881579">
      <w:r>
        <w:t>___________________________________________________________________________</w:t>
      </w:r>
    </w:p>
  </w:footnote>
  <w:footnote w:type="continuationNotice" w:id="1">
    <w:p w14:paraId="72583B8E" w14:textId="77777777" w:rsidR="00881579" w:rsidRDefault="008815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9A0F" w14:textId="4D348D5A" w:rsidR="00E20E70" w:rsidRDefault="00CF7AF3" w:rsidP="0091565E">
    <w:pPr>
      <w:pStyle w:val="Runninghead"/>
    </w:pPr>
    <w:r>
      <w:tab/>
      <w:t>IAEA-</w:t>
    </w:r>
    <w:r w:rsidR="0091565E">
      <w:t>SMR2024-353</w:t>
    </w:r>
    <w:r>
      <w:tab/>
    </w:r>
    <w:r w:rsidR="00E20E70">
      <w:fldChar w:fldCharType="begin"/>
    </w:r>
    <w:r w:rsidR="00E20E70">
      <w:instrText xml:space="preserve"> DOCPROPERTY "IaeaClassification"  \* MERGEFORMAT </w:instrText>
    </w:r>
    <w:r w:rsidR="00E20E70">
      <w:fldChar w:fldCharType="end"/>
    </w:r>
  </w:p>
  <w:p w14:paraId="09E92CEF" w14:textId="79E94B6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EF17" w14:textId="3EEDC684" w:rsidR="00037321" w:rsidRPr="00162F2D" w:rsidRDefault="00C734A6" w:rsidP="00162F2D">
    <w:pPr>
      <w:pStyle w:val="Runninghead"/>
    </w:pPr>
    <w:r>
      <w:t>SHINY CHOUDHURY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9" w:name="DOC_bkmClassification1"/>
      <w:tc>
        <w:tcPr>
          <w:tcW w:w="5702" w:type="dxa"/>
          <w:vMerge w:val="restart"/>
          <w:tcMar>
            <w:right w:w="193" w:type="dxa"/>
          </w:tcMar>
        </w:tcPr>
        <w:p w14:paraId="48D5842E" w14:textId="09449D7E"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9"/>
        <w:p w14:paraId="423CAA9C" w14:textId="3636BD47"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100B7E"/>
    <w:multiLevelType w:val="hybridMultilevel"/>
    <w:tmpl w:val="1D0C9D5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024166"/>
    <w:multiLevelType w:val="hybridMultilevel"/>
    <w:tmpl w:val="71BCAC12"/>
    <w:lvl w:ilvl="0" w:tplc="FD345A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A432034"/>
    <w:multiLevelType w:val="hybridMultilevel"/>
    <w:tmpl w:val="43EAE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51093"/>
    <w:multiLevelType w:val="multilevel"/>
    <w:tmpl w:val="0AAA6EA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4"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10"/>
  </w:num>
  <w:num w:numId="2" w16cid:durableId="59716700">
    <w:abstractNumId w:val="5"/>
  </w:num>
  <w:num w:numId="3" w16cid:durableId="731540123">
    <w:abstractNumId w:val="13"/>
  </w:num>
  <w:num w:numId="4" w16cid:durableId="744034000">
    <w:abstractNumId w:val="13"/>
  </w:num>
  <w:num w:numId="5" w16cid:durableId="1474641089">
    <w:abstractNumId w:val="13"/>
  </w:num>
  <w:num w:numId="6" w16cid:durableId="528497540">
    <w:abstractNumId w:val="6"/>
  </w:num>
  <w:num w:numId="7" w16cid:durableId="176696273">
    <w:abstractNumId w:val="11"/>
  </w:num>
  <w:num w:numId="8" w16cid:durableId="1131169468">
    <w:abstractNumId w:val="14"/>
  </w:num>
  <w:num w:numId="9" w16cid:durableId="1007632637">
    <w:abstractNumId w:val="2"/>
  </w:num>
  <w:num w:numId="10" w16cid:durableId="422917246">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3"/>
  </w:num>
  <w:num w:numId="12" w16cid:durableId="468400009">
    <w:abstractNumId w:val="13"/>
  </w:num>
  <w:num w:numId="13" w16cid:durableId="1927378143">
    <w:abstractNumId w:val="13"/>
  </w:num>
  <w:num w:numId="14" w16cid:durableId="1289622783">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3"/>
  </w:num>
  <w:num w:numId="16" w16cid:durableId="656224632">
    <w:abstractNumId w:val="13"/>
  </w:num>
  <w:num w:numId="17" w16cid:durableId="784034295">
    <w:abstractNumId w:val="13"/>
  </w:num>
  <w:num w:numId="18" w16cid:durableId="1293555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3"/>
  </w:num>
  <w:num w:numId="20" w16cid:durableId="2113888906">
    <w:abstractNumId w:val="3"/>
  </w:num>
  <w:num w:numId="21" w16cid:durableId="1417746791">
    <w:abstractNumId w:val="13"/>
  </w:num>
  <w:num w:numId="22" w16cid:durableId="1720975952">
    <w:abstractNumId w:val="4"/>
  </w:num>
  <w:num w:numId="23" w16cid:durableId="983584939">
    <w:abstractNumId w:val="0"/>
  </w:num>
  <w:num w:numId="24" w16cid:durableId="76482875">
    <w:abstractNumId w:val="12"/>
  </w:num>
  <w:num w:numId="25" w16cid:durableId="1024988134">
    <w:abstractNumId w:val="13"/>
  </w:num>
  <w:num w:numId="26" w16cid:durableId="2000382986">
    <w:abstractNumId w:val="13"/>
  </w:num>
  <w:num w:numId="27" w16cid:durableId="1390575348">
    <w:abstractNumId w:val="13"/>
  </w:num>
  <w:num w:numId="28" w16cid:durableId="621231405">
    <w:abstractNumId w:val="13"/>
  </w:num>
  <w:num w:numId="29" w16cid:durableId="995762299">
    <w:abstractNumId w:val="13"/>
  </w:num>
  <w:num w:numId="30" w16cid:durableId="320278723">
    <w:abstractNumId w:val="7"/>
  </w:num>
  <w:num w:numId="31" w16cid:durableId="1695614948">
    <w:abstractNumId w:val="7"/>
  </w:num>
  <w:num w:numId="32" w16cid:durableId="195823161">
    <w:abstractNumId w:val="13"/>
  </w:num>
  <w:num w:numId="33" w16cid:durableId="317731139">
    <w:abstractNumId w:val="9"/>
  </w:num>
  <w:num w:numId="34" w16cid:durableId="1721441401">
    <w:abstractNumId w:val="1"/>
  </w:num>
  <w:num w:numId="35" w16cid:durableId="18011486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removePersonalInformation/>
  <w:removeDateAndTime/>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0029"/>
    <w:rsid w:val="000126C2"/>
    <w:rsid w:val="000153A1"/>
    <w:rsid w:val="000229AB"/>
    <w:rsid w:val="00024DCC"/>
    <w:rsid w:val="00025192"/>
    <w:rsid w:val="0002569A"/>
    <w:rsid w:val="000261D2"/>
    <w:rsid w:val="00026908"/>
    <w:rsid w:val="00027D59"/>
    <w:rsid w:val="00033966"/>
    <w:rsid w:val="00033FEF"/>
    <w:rsid w:val="00034E6F"/>
    <w:rsid w:val="00037321"/>
    <w:rsid w:val="00042145"/>
    <w:rsid w:val="00042C80"/>
    <w:rsid w:val="00046834"/>
    <w:rsid w:val="00051813"/>
    <w:rsid w:val="00051A38"/>
    <w:rsid w:val="00052EDD"/>
    <w:rsid w:val="0005475F"/>
    <w:rsid w:val="00054D71"/>
    <w:rsid w:val="00054EF7"/>
    <w:rsid w:val="0006253A"/>
    <w:rsid w:val="00063EF4"/>
    <w:rsid w:val="00064096"/>
    <w:rsid w:val="00066855"/>
    <w:rsid w:val="000672E0"/>
    <w:rsid w:val="00070F93"/>
    <w:rsid w:val="00071859"/>
    <w:rsid w:val="00076230"/>
    <w:rsid w:val="00076568"/>
    <w:rsid w:val="00077E6B"/>
    <w:rsid w:val="00081410"/>
    <w:rsid w:val="000863CB"/>
    <w:rsid w:val="0009477C"/>
    <w:rsid w:val="000960E2"/>
    <w:rsid w:val="000A0299"/>
    <w:rsid w:val="000A1D95"/>
    <w:rsid w:val="000A30A3"/>
    <w:rsid w:val="000A519E"/>
    <w:rsid w:val="000A51EA"/>
    <w:rsid w:val="000A5AD6"/>
    <w:rsid w:val="000A6069"/>
    <w:rsid w:val="000B2DFF"/>
    <w:rsid w:val="000B4877"/>
    <w:rsid w:val="000C19B6"/>
    <w:rsid w:val="000C6547"/>
    <w:rsid w:val="000C6F25"/>
    <w:rsid w:val="000D08E2"/>
    <w:rsid w:val="000D345E"/>
    <w:rsid w:val="000D3BF0"/>
    <w:rsid w:val="000D5E6F"/>
    <w:rsid w:val="000E03BD"/>
    <w:rsid w:val="000E1B41"/>
    <w:rsid w:val="000E2DDF"/>
    <w:rsid w:val="000E3603"/>
    <w:rsid w:val="000E6DE2"/>
    <w:rsid w:val="000E6E3C"/>
    <w:rsid w:val="000F2091"/>
    <w:rsid w:val="000F2543"/>
    <w:rsid w:val="000F2BA8"/>
    <w:rsid w:val="000F3E6B"/>
    <w:rsid w:val="000F458F"/>
    <w:rsid w:val="000F5762"/>
    <w:rsid w:val="000F5A07"/>
    <w:rsid w:val="000F7E94"/>
    <w:rsid w:val="00100185"/>
    <w:rsid w:val="001007B9"/>
    <w:rsid w:val="00101191"/>
    <w:rsid w:val="00103BF2"/>
    <w:rsid w:val="00106F15"/>
    <w:rsid w:val="00110881"/>
    <w:rsid w:val="001119D6"/>
    <w:rsid w:val="00113395"/>
    <w:rsid w:val="00114F38"/>
    <w:rsid w:val="001173ED"/>
    <w:rsid w:val="0012076F"/>
    <w:rsid w:val="00124813"/>
    <w:rsid w:val="00124E18"/>
    <w:rsid w:val="001254E5"/>
    <w:rsid w:val="00130882"/>
    <w:rsid w:val="001308F2"/>
    <w:rsid w:val="001313E8"/>
    <w:rsid w:val="00136259"/>
    <w:rsid w:val="00136604"/>
    <w:rsid w:val="001379A1"/>
    <w:rsid w:val="00142F52"/>
    <w:rsid w:val="001465AE"/>
    <w:rsid w:val="00147B3E"/>
    <w:rsid w:val="00150A0D"/>
    <w:rsid w:val="00152012"/>
    <w:rsid w:val="0015298F"/>
    <w:rsid w:val="001532AE"/>
    <w:rsid w:val="00161C91"/>
    <w:rsid w:val="00162F2D"/>
    <w:rsid w:val="00172C13"/>
    <w:rsid w:val="00174F9F"/>
    <w:rsid w:val="00176DE2"/>
    <w:rsid w:val="00177FFC"/>
    <w:rsid w:val="00180606"/>
    <w:rsid w:val="00180812"/>
    <w:rsid w:val="00180D73"/>
    <w:rsid w:val="00182406"/>
    <w:rsid w:val="001832B7"/>
    <w:rsid w:val="001877E5"/>
    <w:rsid w:val="001912AF"/>
    <w:rsid w:val="00193639"/>
    <w:rsid w:val="001959B8"/>
    <w:rsid w:val="00196482"/>
    <w:rsid w:val="00197950"/>
    <w:rsid w:val="001A2943"/>
    <w:rsid w:val="001A34D4"/>
    <w:rsid w:val="001A3E00"/>
    <w:rsid w:val="001B7158"/>
    <w:rsid w:val="001C02A3"/>
    <w:rsid w:val="001C21CC"/>
    <w:rsid w:val="001C58F5"/>
    <w:rsid w:val="001C6B31"/>
    <w:rsid w:val="001C7ED2"/>
    <w:rsid w:val="001D500A"/>
    <w:rsid w:val="001D5CEE"/>
    <w:rsid w:val="001D5EEF"/>
    <w:rsid w:val="001D6D22"/>
    <w:rsid w:val="001D7664"/>
    <w:rsid w:val="001D7C71"/>
    <w:rsid w:val="001E6E6A"/>
    <w:rsid w:val="001F3829"/>
    <w:rsid w:val="001F416F"/>
    <w:rsid w:val="001F5646"/>
    <w:rsid w:val="001F606C"/>
    <w:rsid w:val="002028D0"/>
    <w:rsid w:val="00204A5C"/>
    <w:rsid w:val="00204EB0"/>
    <w:rsid w:val="00205ECB"/>
    <w:rsid w:val="002069EA"/>
    <w:rsid w:val="002071D9"/>
    <w:rsid w:val="00211273"/>
    <w:rsid w:val="002119AF"/>
    <w:rsid w:val="002122D1"/>
    <w:rsid w:val="002142D2"/>
    <w:rsid w:val="00215139"/>
    <w:rsid w:val="002208A9"/>
    <w:rsid w:val="00223420"/>
    <w:rsid w:val="00223A46"/>
    <w:rsid w:val="00225F35"/>
    <w:rsid w:val="00232B25"/>
    <w:rsid w:val="00232DA5"/>
    <w:rsid w:val="00241C6B"/>
    <w:rsid w:val="00242E29"/>
    <w:rsid w:val="0025197A"/>
    <w:rsid w:val="002536B9"/>
    <w:rsid w:val="00256822"/>
    <w:rsid w:val="00261104"/>
    <w:rsid w:val="002639C1"/>
    <w:rsid w:val="0026525A"/>
    <w:rsid w:val="00265A99"/>
    <w:rsid w:val="00266BD1"/>
    <w:rsid w:val="002706C4"/>
    <w:rsid w:val="00274231"/>
    <w:rsid w:val="00274790"/>
    <w:rsid w:val="00275F72"/>
    <w:rsid w:val="00276093"/>
    <w:rsid w:val="002840E1"/>
    <w:rsid w:val="00284652"/>
    <w:rsid w:val="00285755"/>
    <w:rsid w:val="00290785"/>
    <w:rsid w:val="00292CC2"/>
    <w:rsid w:val="00293807"/>
    <w:rsid w:val="00296ADF"/>
    <w:rsid w:val="002970F2"/>
    <w:rsid w:val="002A1D14"/>
    <w:rsid w:val="002A1F9C"/>
    <w:rsid w:val="002A23F7"/>
    <w:rsid w:val="002A2BCE"/>
    <w:rsid w:val="002A41CB"/>
    <w:rsid w:val="002B29C2"/>
    <w:rsid w:val="002B5212"/>
    <w:rsid w:val="002C0EB9"/>
    <w:rsid w:val="002C3021"/>
    <w:rsid w:val="002C4208"/>
    <w:rsid w:val="002D306B"/>
    <w:rsid w:val="002D56C0"/>
    <w:rsid w:val="002D5999"/>
    <w:rsid w:val="002E04A8"/>
    <w:rsid w:val="002E2183"/>
    <w:rsid w:val="002E3459"/>
    <w:rsid w:val="002E3B14"/>
    <w:rsid w:val="002F2CFA"/>
    <w:rsid w:val="002F6954"/>
    <w:rsid w:val="00303B24"/>
    <w:rsid w:val="0030690A"/>
    <w:rsid w:val="00307557"/>
    <w:rsid w:val="003106B3"/>
    <w:rsid w:val="00312483"/>
    <w:rsid w:val="00312EB9"/>
    <w:rsid w:val="00313367"/>
    <w:rsid w:val="00313FD2"/>
    <w:rsid w:val="00314EC7"/>
    <w:rsid w:val="00315424"/>
    <w:rsid w:val="00321D9E"/>
    <w:rsid w:val="0032274C"/>
    <w:rsid w:val="003268A1"/>
    <w:rsid w:val="00327434"/>
    <w:rsid w:val="00331FBD"/>
    <w:rsid w:val="003320F1"/>
    <w:rsid w:val="00333504"/>
    <w:rsid w:val="003355FB"/>
    <w:rsid w:val="0034247C"/>
    <w:rsid w:val="00342F42"/>
    <w:rsid w:val="00350096"/>
    <w:rsid w:val="00352DE1"/>
    <w:rsid w:val="00353399"/>
    <w:rsid w:val="00354720"/>
    <w:rsid w:val="00354D6A"/>
    <w:rsid w:val="00364C22"/>
    <w:rsid w:val="00371289"/>
    <w:rsid w:val="003728E6"/>
    <w:rsid w:val="00374B33"/>
    <w:rsid w:val="0037531A"/>
    <w:rsid w:val="0038305E"/>
    <w:rsid w:val="0038494E"/>
    <w:rsid w:val="00387227"/>
    <w:rsid w:val="00387DCC"/>
    <w:rsid w:val="00390059"/>
    <w:rsid w:val="00390E0D"/>
    <w:rsid w:val="00393A72"/>
    <w:rsid w:val="00395749"/>
    <w:rsid w:val="003A1B3F"/>
    <w:rsid w:val="003A4073"/>
    <w:rsid w:val="003A464D"/>
    <w:rsid w:val="003A7D83"/>
    <w:rsid w:val="003B23B8"/>
    <w:rsid w:val="003B2DFA"/>
    <w:rsid w:val="003B5B6E"/>
    <w:rsid w:val="003B5E0E"/>
    <w:rsid w:val="003D255A"/>
    <w:rsid w:val="003D2FF9"/>
    <w:rsid w:val="003D483B"/>
    <w:rsid w:val="003D5882"/>
    <w:rsid w:val="003D5C2C"/>
    <w:rsid w:val="003D69C9"/>
    <w:rsid w:val="003E66A6"/>
    <w:rsid w:val="003E73F7"/>
    <w:rsid w:val="003F6399"/>
    <w:rsid w:val="00404031"/>
    <w:rsid w:val="004066BD"/>
    <w:rsid w:val="00406D27"/>
    <w:rsid w:val="004124F4"/>
    <w:rsid w:val="00416949"/>
    <w:rsid w:val="00420AF7"/>
    <w:rsid w:val="00420B38"/>
    <w:rsid w:val="00421A17"/>
    <w:rsid w:val="00421A8D"/>
    <w:rsid w:val="004239F5"/>
    <w:rsid w:val="00430F85"/>
    <w:rsid w:val="0043214D"/>
    <w:rsid w:val="00432C45"/>
    <w:rsid w:val="004361A7"/>
    <w:rsid w:val="00436616"/>
    <w:rsid w:val="00436C15"/>
    <w:rsid w:val="00436ED1"/>
    <w:rsid w:val="004370D8"/>
    <w:rsid w:val="00440B7F"/>
    <w:rsid w:val="00444886"/>
    <w:rsid w:val="00444EC0"/>
    <w:rsid w:val="00451FDD"/>
    <w:rsid w:val="00454D41"/>
    <w:rsid w:val="00457564"/>
    <w:rsid w:val="004605D4"/>
    <w:rsid w:val="00471130"/>
    <w:rsid w:val="00471BF8"/>
    <w:rsid w:val="00472C43"/>
    <w:rsid w:val="0047434E"/>
    <w:rsid w:val="004768D6"/>
    <w:rsid w:val="0047726E"/>
    <w:rsid w:val="004876EB"/>
    <w:rsid w:val="00490B9C"/>
    <w:rsid w:val="004920EC"/>
    <w:rsid w:val="004931B4"/>
    <w:rsid w:val="00493BFD"/>
    <w:rsid w:val="00493DBE"/>
    <w:rsid w:val="00494226"/>
    <w:rsid w:val="004974CB"/>
    <w:rsid w:val="004A635B"/>
    <w:rsid w:val="004A7EEB"/>
    <w:rsid w:val="004B009A"/>
    <w:rsid w:val="004B2BA0"/>
    <w:rsid w:val="004B3D0F"/>
    <w:rsid w:val="004B6407"/>
    <w:rsid w:val="004C038E"/>
    <w:rsid w:val="004C1A5D"/>
    <w:rsid w:val="004C598C"/>
    <w:rsid w:val="004C6060"/>
    <w:rsid w:val="004D0E5F"/>
    <w:rsid w:val="004D35B6"/>
    <w:rsid w:val="004D3AE2"/>
    <w:rsid w:val="004D4678"/>
    <w:rsid w:val="004D7DC2"/>
    <w:rsid w:val="004F7535"/>
    <w:rsid w:val="004F7EE4"/>
    <w:rsid w:val="004F7F79"/>
    <w:rsid w:val="00501A8F"/>
    <w:rsid w:val="00502A8C"/>
    <w:rsid w:val="0050532F"/>
    <w:rsid w:val="00505C9F"/>
    <w:rsid w:val="005077D7"/>
    <w:rsid w:val="00507DF2"/>
    <w:rsid w:val="00514043"/>
    <w:rsid w:val="00517BD0"/>
    <w:rsid w:val="0052052F"/>
    <w:rsid w:val="0052113F"/>
    <w:rsid w:val="0052473C"/>
    <w:rsid w:val="00526F0C"/>
    <w:rsid w:val="00533856"/>
    <w:rsid w:val="00535E3E"/>
    <w:rsid w:val="00536B2C"/>
    <w:rsid w:val="00536B85"/>
    <w:rsid w:val="00537496"/>
    <w:rsid w:val="00543FCB"/>
    <w:rsid w:val="00544ED3"/>
    <w:rsid w:val="005471C8"/>
    <w:rsid w:val="00547EE6"/>
    <w:rsid w:val="0055090A"/>
    <w:rsid w:val="005541D2"/>
    <w:rsid w:val="00554410"/>
    <w:rsid w:val="00555B72"/>
    <w:rsid w:val="0055716F"/>
    <w:rsid w:val="00560BBF"/>
    <w:rsid w:val="00562F0F"/>
    <w:rsid w:val="00563003"/>
    <w:rsid w:val="005646C0"/>
    <w:rsid w:val="00565AB2"/>
    <w:rsid w:val="005714EE"/>
    <w:rsid w:val="00571C42"/>
    <w:rsid w:val="00571D28"/>
    <w:rsid w:val="005721C9"/>
    <w:rsid w:val="00577C00"/>
    <w:rsid w:val="005805D5"/>
    <w:rsid w:val="005829BF"/>
    <w:rsid w:val="0058477B"/>
    <w:rsid w:val="0058654F"/>
    <w:rsid w:val="00587DA1"/>
    <w:rsid w:val="005900C9"/>
    <w:rsid w:val="00595368"/>
    <w:rsid w:val="00596ACA"/>
    <w:rsid w:val="0059730E"/>
    <w:rsid w:val="0059737F"/>
    <w:rsid w:val="005A09E8"/>
    <w:rsid w:val="005B46F5"/>
    <w:rsid w:val="005B5536"/>
    <w:rsid w:val="005C108C"/>
    <w:rsid w:val="005C774E"/>
    <w:rsid w:val="005C7AAF"/>
    <w:rsid w:val="005D0422"/>
    <w:rsid w:val="005D2A88"/>
    <w:rsid w:val="005D5766"/>
    <w:rsid w:val="005D7905"/>
    <w:rsid w:val="005E1209"/>
    <w:rsid w:val="005E39BC"/>
    <w:rsid w:val="005F00A0"/>
    <w:rsid w:val="005F1D4A"/>
    <w:rsid w:val="005F39C2"/>
    <w:rsid w:val="005F4FC3"/>
    <w:rsid w:val="00602B37"/>
    <w:rsid w:val="0061303F"/>
    <w:rsid w:val="00613E4B"/>
    <w:rsid w:val="00614873"/>
    <w:rsid w:val="0061585E"/>
    <w:rsid w:val="006164BF"/>
    <w:rsid w:val="0061728B"/>
    <w:rsid w:val="00622857"/>
    <w:rsid w:val="00623329"/>
    <w:rsid w:val="0062432B"/>
    <w:rsid w:val="00625445"/>
    <w:rsid w:val="00631B65"/>
    <w:rsid w:val="0063429C"/>
    <w:rsid w:val="006358B2"/>
    <w:rsid w:val="00643DA6"/>
    <w:rsid w:val="0064444D"/>
    <w:rsid w:val="00647F33"/>
    <w:rsid w:val="00652E20"/>
    <w:rsid w:val="00656ABB"/>
    <w:rsid w:val="0066091F"/>
    <w:rsid w:val="00662532"/>
    <w:rsid w:val="00665AF7"/>
    <w:rsid w:val="0066606C"/>
    <w:rsid w:val="006661E3"/>
    <w:rsid w:val="0066644F"/>
    <w:rsid w:val="00667FF1"/>
    <w:rsid w:val="006716B5"/>
    <w:rsid w:val="00672194"/>
    <w:rsid w:val="00672BF7"/>
    <w:rsid w:val="006805C8"/>
    <w:rsid w:val="00687ED3"/>
    <w:rsid w:val="00692D79"/>
    <w:rsid w:val="0069591A"/>
    <w:rsid w:val="006A4DBC"/>
    <w:rsid w:val="006A5903"/>
    <w:rsid w:val="006A7FB4"/>
    <w:rsid w:val="006B089D"/>
    <w:rsid w:val="006B0BFD"/>
    <w:rsid w:val="006B2131"/>
    <w:rsid w:val="006B2274"/>
    <w:rsid w:val="006B361C"/>
    <w:rsid w:val="006B3B6B"/>
    <w:rsid w:val="006B74F6"/>
    <w:rsid w:val="006C075F"/>
    <w:rsid w:val="006C1288"/>
    <w:rsid w:val="006C1491"/>
    <w:rsid w:val="006C50B5"/>
    <w:rsid w:val="006C6F11"/>
    <w:rsid w:val="006D0E77"/>
    <w:rsid w:val="006D2555"/>
    <w:rsid w:val="006D5F57"/>
    <w:rsid w:val="006D6137"/>
    <w:rsid w:val="006D7840"/>
    <w:rsid w:val="006E15ED"/>
    <w:rsid w:val="006F2C8C"/>
    <w:rsid w:val="006F7D44"/>
    <w:rsid w:val="006F7DF2"/>
    <w:rsid w:val="007004CE"/>
    <w:rsid w:val="007014EC"/>
    <w:rsid w:val="00705D08"/>
    <w:rsid w:val="00706322"/>
    <w:rsid w:val="00712316"/>
    <w:rsid w:val="007128BF"/>
    <w:rsid w:val="007143B4"/>
    <w:rsid w:val="00717C6F"/>
    <w:rsid w:val="007200CD"/>
    <w:rsid w:val="00722292"/>
    <w:rsid w:val="00730C1E"/>
    <w:rsid w:val="0073221C"/>
    <w:rsid w:val="0073264E"/>
    <w:rsid w:val="00733560"/>
    <w:rsid w:val="007345FA"/>
    <w:rsid w:val="007347D2"/>
    <w:rsid w:val="00735732"/>
    <w:rsid w:val="007400EF"/>
    <w:rsid w:val="00740DE1"/>
    <w:rsid w:val="00740EFC"/>
    <w:rsid w:val="00742F41"/>
    <w:rsid w:val="007445DA"/>
    <w:rsid w:val="00744965"/>
    <w:rsid w:val="00746FFB"/>
    <w:rsid w:val="0075062D"/>
    <w:rsid w:val="007510D5"/>
    <w:rsid w:val="007528E6"/>
    <w:rsid w:val="007535F7"/>
    <w:rsid w:val="00754204"/>
    <w:rsid w:val="00756823"/>
    <w:rsid w:val="00756FDA"/>
    <w:rsid w:val="007628B0"/>
    <w:rsid w:val="00763439"/>
    <w:rsid w:val="00767ED0"/>
    <w:rsid w:val="007734E2"/>
    <w:rsid w:val="00774739"/>
    <w:rsid w:val="0077481A"/>
    <w:rsid w:val="00783B09"/>
    <w:rsid w:val="00785B83"/>
    <w:rsid w:val="00790750"/>
    <w:rsid w:val="00793DFD"/>
    <w:rsid w:val="0079495A"/>
    <w:rsid w:val="00795D19"/>
    <w:rsid w:val="00797413"/>
    <w:rsid w:val="007A0A4C"/>
    <w:rsid w:val="007A4498"/>
    <w:rsid w:val="007B0444"/>
    <w:rsid w:val="007B27FD"/>
    <w:rsid w:val="007B363D"/>
    <w:rsid w:val="007B4FD1"/>
    <w:rsid w:val="007B6A63"/>
    <w:rsid w:val="007C62CC"/>
    <w:rsid w:val="007D0395"/>
    <w:rsid w:val="007D2844"/>
    <w:rsid w:val="007D72B5"/>
    <w:rsid w:val="007E28FD"/>
    <w:rsid w:val="007E3070"/>
    <w:rsid w:val="007E48E2"/>
    <w:rsid w:val="007E4B28"/>
    <w:rsid w:val="007F0D41"/>
    <w:rsid w:val="007F18A2"/>
    <w:rsid w:val="007F2EDC"/>
    <w:rsid w:val="007F4824"/>
    <w:rsid w:val="007F6124"/>
    <w:rsid w:val="00802381"/>
    <w:rsid w:val="00810FC5"/>
    <w:rsid w:val="00812654"/>
    <w:rsid w:val="00812CB2"/>
    <w:rsid w:val="00816F05"/>
    <w:rsid w:val="00821222"/>
    <w:rsid w:val="00824483"/>
    <w:rsid w:val="0082519A"/>
    <w:rsid w:val="00834F21"/>
    <w:rsid w:val="0083591F"/>
    <w:rsid w:val="00835FEA"/>
    <w:rsid w:val="00840B80"/>
    <w:rsid w:val="00841076"/>
    <w:rsid w:val="0084620A"/>
    <w:rsid w:val="00850D41"/>
    <w:rsid w:val="00850E9F"/>
    <w:rsid w:val="0085474F"/>
    <w:rsid w:val="00864A0F"/>
    <w:rsid w:val="008661DA"/>
    <w:rsid w:val="0086641B"/>
    <w:rsid w:val="00870F2E"/>
    <w:rsid w:val="00874458"/>
    <w:rsid w:val="00875652"/>
    <w:rsid w:val="00875806"/>
    <w:rsid w:val="008763D4"/>
    <w:rsid w:val="00876F22"/>
    <w:rsid w:val="00881579"/>
    <w:rsid w:val="00883848"/>
    <w:rsid w:val="00886B0C"/>
    <w:rsid w:val="0088781F"/>
    <w:rsid w:val="008901C3"/>
    <w:rsid w:val="00890F80"/>
    <w:rsid w:val="0089415D"/>
    <w:rsid w:val="00897609"/>
    <w:rsid w:val="00897747"/>
    <w:rsid w:val="008977A9"/>
    <w:rsid w:val="00897ED5"/>
    <w:rsid w:val="008A6743"/>
    <w:rsid w:val="008A70BC"/>
    <w:rsid w:val="008A76C6"/>
    <w:rsid w:val="008A784A"/>
    <w:rsid w:val="008A7D42"/>
    <w:rsid w:val="008B4F99"/>
    <w:rsid w:val="008B5996"/>
    <w:rsid w:val="008B59AE"/>
    <w:rsid w:val="008B6BB9"/>
    <w:rsid w:val="008B6D26"/>
    <w:rsid w:val="008C4912"/>
    <w:rsid w:val="008C561E"/>
    <w:rsid w:val="008C63DE"/>
    <w:rsid w:val="008C7193"/>
    <w:rsid w:val="008C78E3"/>
    <w:rsid w:val="008D0085"/>
    <w:rsid w:val="008D0482"/>
    <w:rsid w:val="008D6C8F"/>
    <w:rsid w:val="008D751C"/>
    <w:rsid w:val="008E0140"/>
    <w:rsid w:val="008E10DD"/>
    <w:rsid w:val="008E18AD"/>
    <w:rsid w:val="008E2F72"/>
    <w:rsid w:val="008E7490"/>
    <w:rsid w:val="008F2449"/>
    <w:rsid w:val="008F313B"/>
    <w:rsid w:val="008F4A02"/>
    <w:rsid w:val="00900AE8"/>
    <w:rsid w:val="00900BCB"/>
    <w:rsid w:val="00904956"/>
    <w:rsid w:val="00905D58"/>
    <w:rsid w:val="009102DD"/>
    <w:rsid w:val="00910D2C"/>
    <w:rsid w:val="00911543"/>
    <w:rsid w:val="00911BE8"/>
    <w:rsid w:val="0091565E"/>
    <w:rsid w:val="0092684E"/>
    <w:rsid w:val="00927EBA"/>
    <w:rsid w:val="00935892"/>
    <w:rsid w:val="00940834"/>
    <w:rsid w:val="00942823"/>
    <w:rsid w:val="009435AC"/>
    <w:rsid w:val="00945F03"/>
    <w:rsid w:val="00950D64"/>
    <w:rsid w:val="009519C9"/>
    <w:rsid w:val="00953542"/>
    <w:rsid w:val="009535D7"/>
    <w:rsid w:val="00955692"/>
    <w:rsid w:val="009634B9"/>
    <w:rsid w:val="009646B7"/>
    <w:rsid w:val="0096509B"/>
    <w:rsid w:val="0096594A"/>
    <w:rsid w:val="0097144B"/>
    <w:rsid w:val="00971917"/>
    <w:rsid w:val="0097263E"/>
    <w:rsid w:val="009739DC"/>
    <w:rsid w:val="00976A29"/>
    <w:rsid w:val="00976D69"/>
    <w:rsid w:val="00981882"/>
    <w:rsid w:val="00982113"/>
    <w:rsid w:val="00984BDA"/>
    <w:rsid w:val="00985895"/>
    <w:rsid w:val="00986515"/>
    <w:rsid w:val="00987E02"/>
    <w:rsid w:val="00990B35"/>
    <w:rsid w:val="00991359"/>
    <w:rsid w:val="00991B2F"/>
    <w:rsid w:val="00991C81"/>
    <w:rsid w:val="009928FA"/>
    <w:rsid w:val="009A0E15"/>
    <w:rsid w:val="009A17E2"/>
    <w:rsid w:val="009A1C08"/>
    <w:rsid w:val="009A39D4"/>
    <w:rsid w:val="009A3A30"/>
    <w:rsid w:val="009A4824"/>
    <w:rsid w:val="009A53FF"/>
    <w:rsid w:val="009A56F4"/>
    <w:rsid w:val="009B04A6"/>
    <w:rsid w:val="009B190B"/>
    <w:rsid w:val="009B192D"/>
    <w:rsid w:val="009B5425"/>
    <w:rsid w:val="009B56D9"/>
    <w:rsid w:val="009B6139"/>
    <w:rsid w:val="009C12C9"/>
    <w:rsid w:val="009C2C4D"/>
    <w:rsid w:val="009C60C5"/>
    <w:rsid w:val="009D0B86"/>
    <w:rsid w:val="009D0E32"/>
    <w:rsid w:val="009D1F44"/>
    <w:rsid w:val="009D25A7"/>
    <w:rsid w:val="009D2824"/>
    <w:rsid w:val="009D2C26"/>
    <w:rsid w:val="009E0D5B"/>
    <w:rsid w:val="009E1558"/>
    <w:rsid w:val="009F2DE9"/>
    <w:rsid w:val="009F5046"/>
    <w:rsid w:val="009F5413"/>
    <w:rsid w:val="00A00806"/>
    <w:rsid w:val="00A00C15"/>
    <w:rsid w:val="00A025F0"/>
    <w:rsid w:val="00A02FE9"/>
    <w:rsid w:val="00A05F74"/>
    <w:rsid w:val="00A107C8"/>
    <w:rsid w:val="00A10D58"/>
    <w:rsid w:val="00A15D2F"/>
    <w:rsid w:val="00A2083C"/>
    <w:rsid w:val="00A20B5D"/>
    <w:rsid w:val="00A26BA9"/>
    <w:rsid w:val="00A276B5"/>
    <w:rsid w:val="00A27CA1"/>
    <w:rsid w:val="00A333B6"/>
    <w:rsid w:val="00A33B36"/>
    <w:rsid w:val="00A36529"/>
    <w:rsid w:val="00A401E1"/>
    <w:rsid w:val="00A416B2"/>
    <w:rsid w:val="00A42898"/>
    <w:rsid w:val="00A43118"/>
    <w:rsid w:val="00A449BE"/>
    <w:rsid w:val="00A45B58"/>
    <w:rsid w:val="00A53F39"/>
    <w:rsid w:val="00A542F1"/>
    <w:rsid w:val="00A570EE"/>
    <w:rsid w:val="00A60353"/>
    <w:rsid w:val="00A66EC0"/>
    <w:rsid w:val="00A70FA8"/>
    <w:rsid w:val="00A73177"/>
    <w:rsid w:val="00A7416E"/>
    <w:rsid w:val="00A76624"/>
    <w:rsid w:val="00A82F37"/>
    <w:rsid w:val="00A913EA"/>
    <w:rsid w:val="00A92C0B"/>
    <w:rsid w:val="00A95234"/>
    <w:rsid w:val="00A95F46"/>
    <w:rsid w:val="00A97545"/>
    <w:rsid w:val="00AA3A12"/>
    <w:rsid w:val="00AA3C2D"/>
    <w:rsid w:val="00AA4E8E"/>
    <w:rsid w:val="00AA7E75"/>
    <w:rsid w:val="00AB3AB0"/>
    <w:rsid w:val="00AB3CFC"/>
    <w:rsid w:val="00AB3E66"/>
    <w:rsid w:val="00AB4335"/>
    <w:rsid w:val="00AB5B0D"/>
    <w:rsid w:val="00AB5D08"/>
    <w:rsid w:val="00AB69F2"/>
    <w:rsid w:val="00AB6ACE"/>
    <w:rsid w:val="00AB772F"/>
    <w:rsid w:val="00AC0F3F"/>
    <w:rsid w:val="00AC0F96"/>
    <w:rsid w:val="00AC1469"/>
    <w:rsid w:val="00AC2097"/>
    <w:rsid w:val="00AC3733"/>
    <w:rsid w:val="00AC4416"/>
    <w:rsid w:val="00AC4B12"/>
    <w:rsid w:val="00AC5A3A"/>
    <w:rsid w:val="00AC64C9"/>
    <w:rsid w:val="00AC71C5"/>
    <w:rsid w:val="00AC7868"/>
    <w:rsid w:val="00AD19D3"/>
    <w:rsid w:val="00AD2A8D"/>
    <w:rsid w:val="00AD38A0"/>
    <w:rsid w:val="00AD7369"/>
    <w:rsid w:val="00AE24F0"/>
    <w:rsid w:val="00AE3E55"/>
    <w:rsid w:val="00AE4364"/>
    <w:rsid w:val="00AE4A7E"/>
    <w:rsid w:val="00AE6F38"/>
    <w:rsid w:val="00AF131C"/>
    <w:rsid w:val="00AF23D6"/>
    <w:rsid w:val="00AF4491"/>
    <w:rsid w:val="00AF5C06"/>
    <w:rsid w:val="00AF5C53"/>
    <w:rsid w:val="00AF7691"/>
    <w:rsid w:val="00B0128B"/>
    <w:rsid w:val="00B01946"/>
    <w:rsid w:val="00B02DE3"/>
    <w:rsid w:val="00B047CD"/>
    <w:rsid w:val="00B04FA8"/>
    <w:rsid w:val="00B0564D"/>
    <w:rsid w:val="00B05867"/>
    <w:rsid w:val="00B06BF6"/>
    <w:rsid w:val="00B1437D"/>
    <w:rsid w:val="00B23228"/>
    <w:rsid w:val="00B270EF"/>
    <w:rsid w:val="00B27F7E"/>
    <w:rsid w:val="00B33BD8"/>
    <w:rsid w:val="00B35047"/>
    <w:rsid w:val="00B35845"/>
    <w:rsid w:val="00B40486"/>
    <w:rsid w:val="00B41382"/>
    <w:rsid w:val="00B43866"/>
    <w:rsid w:val="00B44785"/>
    <w:rsid w:val="00B44BEC"/>
    <w:rsid w:val="00B45351"/>
    <w:rsid w:val="00B5190E"/>
    <w:rsid w:val="00B53744"/>
    <w:rsid w:val="00B54617"/>
    <w:rsid w:val="00B5560E"/>
    <w:rsid w:val="00B564E5"/>
    <w:rsid w:val="00B57B1D"/>
    <w:rsid w:val="00B62A76"/>
    <w:rsid w:val="00B63DF3"/>
    <w:rsid w:val="00B640A3"/>
    <w:rsid w:val="00B641B4"/>
    <w:rsid w:val="00B6423C"/>
    <w:rsid w:val="00B64A87"/>
    <w:rsid w:val="00B653F4"/>
    <w:rsid w:val="00B72B68"/>
    <w:rsid w:val="00B7319E"/>
    <w:rsid w:val="00B739A7"/>
    <w:rsid w:val="00B73A70"/>
    <w:rsid w:val="00B75501"/>
    <w:rsid w:val="00B76152"/>
    <w:rsid w:val="00B77877"/>
    <w:rsid w:val="00B812A4"/>
    <w:rsid w:val="00B81C96"/>
    <w:rsid w:val="00B82FA5"/>
    <w:rsid w:val="00B83625"/>
    <w:rsid w:val="00B83BB4"/>
    <w:rsid w:val="00B85EA3"/>
    <w:rsid w:val="00B86963"/>
    <w:rsid w:val="00B902B8"/>
    <w:rsid w:val="00B92712"/>
    <w:rsid w:val="00BA1F67"/>
    <w:rsid w:val="00BA337C"/>
    <w:rsid w:val="00BA53FC"/>
    <w:rsid w:val="00BA739A"/>
    <w:rsid w:val="00BB2496"/>
    <w:rsid w:val="00BB267C"/>
    <w:rsid w:val="00BB2C9D"/>
    <w:rsid w:val="00BB3320"/>
    <w:rsid w:val="00BB4F23"/>
    <w:rsid w:val="00BC2810"/>
    <w:rsid w:val="00BC3D17"/>
    <w:rsid w:val="00BC6F1C"/>
    <w:rsid w:val="00BC7AA6"/>
    <w:rsid w:val="00BC7CAD"/>
    <w:rsid w:val="00BD0D42"/>
    <w:rsid w:val="00BD0F59"/>
    <w:rsid w:val="00BD1400"/>
    <w:rsid w:val="00BD15DF"/>
    <w:rsid w:val="00BD5936"/>
    <w:rsid w:val="00BD605C"/>
    <w:rsid w:val="00BE2A76"/>
    <w:rsid w:val="00BE7006"/>
    <w:rsid w:val="00BE779C"/>
    <w:rsid w:val="00BE77DC"/>
    <w:rsid w:val="00BF0180"/>
    <w:rsid w:val="00BF1047"/>
    <w:rsid w:val="00BF3A0D"/>
    <w:rsid w:val="00BF4B99"/>
    <w:rsid w:val="00BF5726"/>
    <w:rsid w:val="00BF663B"/>
    <w:rsid w:val="00C00C23"/>
    <w:rsid w:val="00C02966"/>
    <w:rsid w:val="00C057EC"/>
    <w:rsid w:val="00C062F6"/>
    <w:rsid w:val="00C10FEE"/>
    <w:rsid w:val="00C11381"/>
    <w:rsid w:val="00C1602B"/>
    <w:rsid w:val="00C25AF3"/>
    <w:rsid w:val="00C328F8"/>
    <w:rsid w:val="00C32A13"/>
    <w:rsid w:val="00C35124"/>
    <w:rsid w:val="00C355B9"/>
    <w:rsid w:val="00C4049A"/>
    <w:rsid w:val="00C40551"/>
    <w:rsid w:val="00C47485"/>
    <w:rsid w:val="00C50690"/>
    <w:rsid w:val="00C60434"/>
    <w:rsid w:val="00C60F7A"/>
    <w:rsid w:val="00C63328"/>
    <w:rsid w:val="00C65E60"/>
    <w:rsid w:val="00C66FFE"/>
    <w:rsid w:val="00C71349"/>
    <w:rsid w:val="00C71ACB"/>
    <w:rsid w:val="00C734A6"/>
    <w:rsid w:val="00C90C55"/>
    <w:rsid w:val="00C910B2"/>
    <w:rsid w:val="00C92332"/>
    <w:rsid w:val="00C92A24"/>
    <w:rsid w:val="00C95539"/>
    <w:rsid w:val="00CA01D3"/>
    <w:rsid w:val="00CA3E30"/>
    <w:rsid w:val="00CA5137"/>
    <w:rsid w:val="00CA5322"/>
    <w:rsid w:val="00CA607C"/>
    <w:rsid w:val="00CB21B5"/>
    <w:rsid w:val="00CB2778"/>
    <w:rsid w:val="00CB3B08"/>
    <w:rsid w:val="00CB4EC5"/>
    <w:rsid w:val="00CB7091"/>
    <w:rsid w:val="00CB7639"/>
    <w:rsid w:val="00CC1B3B"/>
    <w:rsid w:val="00CC2188"/>
    <w:rsid w:val="00CC3DE2"/>
    <w:rsid w:val="00CC59DD"/>
    <w:rsid w:val="00CD0CB0"/>
    <w:rsid w:val="00CD48F0"/>
    <w:rsid w:val="00CD4906"/>
    <w:rsid w:val="00CD59C6"/>
    <w:rsid w:val="00CD7A20"/>
    <w:rsid w:val="00CE0154"/>
    <w:rsid w:val="00CE25B7"/>
    <w:rsid w:val="00CE3E7E"/>
    <w:rsid w:val="00CE5A52"/>
    <w:rsid w:val="00CF133A"/>
    <w:rsid w:val="00CF3408"/>
    <w:rsid w:val="00CF444D"/>
    <w:rsid w:val="00CF7AF3"/>
    <w:rsid w:val="00D02207"/>
    <w:rsid w:val="00D02FCE"/>
    <w:rsid w:val="00D04592"/>
    <w:rsid w:val="00D065C4"/>
    <w:rsid w:val="00D112EE"/>
    <w:rsid w:val="00D12E98"/>
    <w:rsid w:val="00D1797D"/>
    <w:rsid w:val="00D25EF2"/>
    <w:rsid w:val="00D26ADA"/>
    <w:rsid w:val="00D27445"/>
    <w:rsid w:val="00D31078"/>
    <w:rsid w:val="00D32D95"/>
    <w:rsid w:val="00D3370C"/>
    <w:rsid w:val="00D3500F"/>
    <w:rsid w:val="00D35244"/>
    <w:rsid w:val="00D35A78"/>
    <w:rsid w:val="00D35FE1"/>
    <w:rsid w:val="00D50D24"/>
    <w:rsid w:val="00D555A1"/>
    <w:rsid w:val="00D635C1"/>
    <w:rsid w:val="00D64DC2"/>
    <w:rsid w:val="00D74121"/>
    <w:rsid w:val="00D75738"/>
    <w:rsid w:val="00D80AFB"/>
    <w:rsid w:val="00D823A3"/>
    <w:rsid w:val="00D8359A"/>
    <w:rsid w:val="00D92AA0"/>
    <w:rsid w:val="00D94448"/>
    <w:rsid w:val="00D95106"/>
    <w:rsid w:val="00D95467"/>
    <w:rsid w:val="00D97533"/>
    <w:rsid w:val="00DA46CA"/>
    <w:rsid w:val="00DA4FE5"/>
    <w:rsid w:val="00DA77F1"/>
    <w:rsid w:val="00DA7931"/>
    <w:rsid w:val="00DB03A1"/>
    <w:rsid w:val="00DB45D1"/>
    <w:rsid w:val="00DB4647"/>
    <w:rsid w:val="00DB67B0"/>
    <w:rsid w:val="00DB6C43"/>
    <w:rsid w:val="00DC3A32"/>
    <w:rsid w:val="00DC60E5"/>
    <w:rsid w:val="00DD0E19"/>
    <w:rsid w:val="00DD2E3F"/>
    <w:rsid w:val="00DD7E41"/>
    <w:rsid w:val="00DE0E2F"/>
    <w:rsid w:val="00DE4DFE"/>
    <w:rsid w:val="00DE55A8"/>
    <w:rsid w:val="00DE56C0"/>
    <w:rsid w:val="00DE78E5"/>
    <w:rsid w:val="00DF21EB"/>
    <w:rsid w:val="00DF2B5F"/>
    <w:rsid w:val="00DF5748"/>
    <w:rsid w:val="00DF59A3"/>
    <w:rsid w:val="00E02C99"/>
    <w:rsid w:val="00E053F4"/>
    <w:rsid w:val="00E056D4"/>
    <w:rsid w:val="00E12F08"/>
    <w:rsid w:val="00E20E70"/>
    <w:rsid w:val="00E21271"/>
    <w:rsid w:val="00E22A65"/>
    <w:rsid w:val="00E232CE"/>
    <w:rsid w:val="00E25B68"/>
    <w:rsid w:val="00E271FB"/>
    <w:rsid w:val="00E4281F"/>
    <w:rsid w:val="00E42E90"/>
    <w:rsid w:val="00E4474B"/>
    <w:rsid w:val="00E5117F"/>
    <w:rsid w:val="00E5192D"/>
    <w:rsid w:val="00E53B1F"/>
    <w:rsid w:val="00E53EDC"/>
    <w:rsid w:val="00E57542"/>
    <w:rsid w:val="00E65876"/>
    <w:rsid w:val="00E673AB"/>
    <w:rsid w:val="00E71552"/>
    <w:rsid w:val="00E72667"/>
    <w:rsid w:val="00E727D3"/>
    <w:rsid w:val="00E81992"/>
    <w:rsid w:val="00E83600"/>
    <w:rsid w:val="00E84003"/>
    <w:rsid w:val="00E86EC0"/>
    <w:rsid w:val="00E87C2F"/>
    <w:rsid w:val="00E942C5"/>
    <w:rsid w:val="00E949EB"/>
    <w:rsid w:val="00E974BB"/>
    <w:rsid w:val="00EA1E77"/>
    <w:rsid w:val="00EA2164"/>
    <w:rsid w:val="00EA3A6E"/>
    <w:rsid w:val="00EA71E8"/>
    <w:rsid w:val="00EA76AC"/>
    <w:rsid w:val="00EB0C99"/>
    <w:rsid w:val="00EB10A8"/>
    <w:rsid w:val="00EB3041"/>
    <w:rsid w:val="00EB4E97"/>
    <w:rsid w:val="00EB7AB3"/>
    <w:rsid w:val="00EC10FC"/>
    <w:rsid w:val="00EC3871"/>
    <w:rsid w:val="00EC47EA"/>
    <w:rsid w:val="00EC549D"/>
    <w:rsid w:val="00EC61FA"/>
    <w:rsid w:val="00EC7B83"/>
    <w:rsid w:val="00ED0DA0"/>
    <w:rsid w:val="00ED459F"/>
    <w:rsid w:val="00EE0041"/>
    <w:rsid w:val="00EE29B9"/>
    <w:rsid w:val="00EE6305"/>
    <w:rsid w:val="00EF5935"/>
    <w:rsid w:val="00F001E1"/>
    <w:rsid w:val="00F004EE"/>
    <w:rsid w:val="00F01D6E"/>
    <w:rsid w:val="00F074E8"/>
    <w:rsid w:val="00F1515C"/>
    <w:rsid w:val="00F15E4D"/>
    <w:rsid w:val="00F17ACE"/>
    <w:rsid w:val="00F20C82"/>
    <w:rsid w:val="00F2219D"/>
    <w:rsid w:val="00F22243"/>
    <w:rsid w:val="00F22781"/>
    <w:rsid w:val="00F300B2"/>
    <w:rsid w:val="00F31F33"/>
    <w:rsid w:val="00F347BD"/>
    <w:rsid w:val="00F353D8"/>
    <w:rsid w:val="00F35B0F"/>
    <w:rsid w:val="00F36BF5"/>
    <w:rsid w:val="00F37182"/>
    <w:rsid w:val="00F42E23"/>
    <w:rsid w:val="00F45D0D"/>
    <w:rsid w:val="00F45EEE"/>
    <w:rsid w:val="00F45FE4"/>
    <w:rsid w:val="00F468E7"/>
    <w:rsid w:val="00F51E9C"/>
    <w:rsid w:val="00F52099"/>
    <w:rsid w:val="00F523CA"/>
    <w:rsid w:val="00F53EAF"/>
    <w:rsid w:val="00F55E77"/>
    <w:rsid w:val="00F5634F"/>
    <w:rsid w:val="00F62A31"/>
    <w:rsid w:val="00F62B83"/>
    <w:rsid w:val="00F65528"/>
    <w:rsid w:val="00F71204"/>
    <w:rsid w:val="00F73BED"/>
    <w:rsid w:val="00F74A9D"/>
    <w:rsid w:val="00F757C5"/>
    <w:rsid w:val="00F764F5"/>
    <w:rsid w:val="00F7780B"/>
    <w:rsid w:val="00F80BBE"/>
    <w:rsid w:val="00F81EB0"/>
    <w:rsid w:val="00F83E42"/>
    <w:rsid w:val="00F93F68"/>
    <w:rsid w:val="00FA2F51"/>
    <w:rsid w:val="00FA36DF"/>
    <w:rsid w:val="00FA384B"/>
    <w:rsid w:val="00FA38AE"/>
    <w:rsid w:val="00FA4DE9"/>
    <w:rsid w:val="00FA6627"/>
    <w:rsid w:val="00FB013E"/>
    <w:rsid w:val="00FB0514"/>
    <w:rsid w:val="00FB1980"/>
    <w:rsid w:val="00FB2B17"/>
    <w:rsid w:val="00FC3436"/>
    <w:rsid w:val="00FC3B05"/>
    <w:rsid w:val="00FC56FB"/>
    <w:rsid w:val="00FC5CE6"/>
    <w:rsid w:val="00FD41EB"/>
    <w:rsid w:val="00FD482C"/>
    <w:rsid w:val="00FD5089"/>
    <w:rsid w:val="00FD6222"/>
    <w:rsid w:val="00FD6860"/>
    <w:rsid w:val="00FD7092"/>
    <w:rsid w:val="00FE0019"/>
    <w:rsid w:val="00FE2176"/>
    <w:rsid w:val="00FE227A"/>
    <w:rsid w:val="00FE2A72"/>
    <w:rsid w:val="00FE3C44"/>
    <w:rsid w:val="00FE48E2"/>
    <w:rsid w:val="00FE5BA4"/>
    <w:rsid w:val="00FF36B4"/>
    <w:rsid w:val="00FF386F"/>
    <w:rsid w:val="00FF42B7"/>
    <w:rsid w:val="00FF4464"/>
    <w:rsid w:val="00FF5314"/>
    <w:rsid w:val="00FF69F9"/>
    <w:rsid w:val="00FF6F19"/>
    <w:rsid w:val="00FF7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PlaceholderText">
    <w:name w:val="Placeholder Text"/>
    <w:basedOn w:val="DefaultParagraphFont"/>
    <w:uiPriority w:val="99"/>
    <w:semiHidden/>
    <w:locked/>
    <w:rsid w:val="00B83BB4"/>
    <w:rPr>
      <w:color w:val="666666"/>
    </w:rPr>
  </w:style>
  <w:style w:type="paragraph" w:styleId="Bibliography">
    <w:name w:val="Bibliography"/>
    <w:basedOn w:val="Normal"/>
    <w:next w:val="Normal"/>
    <w:uiPriority w:val="37"/>
    <w:unhideWhenUsed/>
    <w:locked/>
    <w:rsid w:val="000A30A3"/>
    <w:pPr>
      <w:tabs>
        <w:tab w:val="left" w:pos="380"/>
      </w:tabs>
      <w:ind w:left="384" w:hanging="384"/>
    </w:pPr>
  </w:style>
  <w:style w:type="paragraph" w:styleId="Revision">
    <w:name w:val="Revision"/>
    <w:hidden/>
    <w:uiPriority w:val="99"/>
    <w:semiHidden/>
    <w:rsid w:val="005B46F5"/>
    <w:rPr>
      <w:sz w:val="22"/>
      <w:lang w:eastAsia="en-US"/>
    </w:rPr>
  </w:style>
  <w:style w:type="character" w:styleId="CommentReference">
    <w:name w:val="annotation reference"/>
    <w:basedOn w:val="DefaultParagraphFont"/>
    <w:uiPriority w:val="49"/>
    <w:locked/>
    <w:rsid w:val="00876F22"/>
    <w:rPr>
      <w:sz w:val="16"/>
      <w:szCs w:val="16"/>
    </w:rPr>
  </w:style>
  <w:style w:type="paragraph" w:styleId="CommentText">
    <w:name w:val="annotation text"/>
    <w:basedOn w:val="Normal"/>
    <w:link w:val="CommentTextChar"/>
    <w:uiPriority w:val="49"/>
    <w:locked/>
    <w:rsid w:val="00876F22"/>
    <w:rPr>
      <w:sz w:val="20"/>
    </w:rPr>
  </w:style>
  <w:style w:type="character" w:customStyle="1" w:styleId="CommentTextChar">
    <w:name w:val="Comment Text Char"/>
    <w:basedOn w:val="DefaultParagraphFont"/>
    <w:link w:val="CommentText"/>
    <w:uiPriority w:val="49"/>
    <w:rsid w:val="00876F22"/>
    <w:rPr>
      <w:lang w:eastAsia="en-US"/>
    </w:rPr>
  </w:style>
  <w:style w:type="paragraph" w:styleId="CommentSubject">
    <w:name w:val="annotation subject"/>
    <w:basedOn w:val="CommentText"/>
    <w:next w:val="CommentText"/>
    <w:link w:val="CommentSubjectChar"/>
    <w:uiPriority w:val="49"/>
    <w:locked/>
    <w:rsid w:val="00876F22"/>
    <w:rPr>
      <w:b/>
      <w:bCs/>
    </w:rPr>
  </w:style>
  <w:style w:type="character" w:customStyle="1" w:styleId="CommentSubjectChar">
    <w:name w:val="Comment Subject Char"/>
    <w:basedOn w:val="CommentTextChar"/>
    <w:link w:val="CommentSubject"/>
    <w:uiPriority w:val="49"/>
    <w:rsid w:val="00876F2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BC77FE568F44A8FD1717335E8757D" ma:contentTypeVersion="15" ma:contentTypeDescription="Create a new document." ma:contentTypeScope="" ma:versionID="532167ea1f98fc70e87f5347940e1f93">
  <xsd:schema xmlns:xsd="http://www.w3.org/2001/XMLSchema" xmlns:xs="http://www.w3.org/2001/XMLSchema" xmlns:p="http://schemas.microsoft.com/office/2006/metadata/properties" xmlns:ns2="2d1b3375-85a6-4ec3-9d45-85c3f7ff19cc" xmlns:ns3="28c46709-a72c-47b6-8a9d-476190a8ab3f" xmlns:ns4="a8853164-03d1-4052-89d1-ac895618168d" targetNamespace="http://schemas.microsoft.com/office/2006/metadata/properties" ma:root="true" ma:fieldsID="1952ae18bf6efba89040c0c77d3b5eee" ns2:_="" ns3:_="" ns4:_="">
    <xsd:import namespace="2d1b3375-85a6-4ec3-9d45-85c3f7ff19cc"/>
    <xsd:import namespace="28c46709-a72c-47b6-8a9d-476190a8ab3f"/>
    <xsd:import namespace="a8853164-03d1-4052-89d1-ac89561816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3375-85a6-4ec3-9d45-85c3f7ff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46709-a72c-47b6-8a9d-476190a8ab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d1e42-4096-45a0-8616-2350a73c4901}" ma:internalName="TaxCatchAll" ma:showField="CatchAllData" ma:web="28c46709-a72c-47b6-8a9d-476190a8ab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3164-03d1-4052-89d1-ac89561816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AEB64-06A0-411E-9C17-5C469069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3375-85a6-4ec3-9d45-85c3f7ff19cc"/>
    <ds:schemaRef ds:uri="28c46709-a72c-47b6-8a9d-476190a8ab3f"/>
    <ds:schemaRef ds:uri="a8853164-03d1-4052-89d1-ac895618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15BCC-D8F1-432C-BAEC-09D0C076A16A}">
  <ds:schemaRefs>
    <ds:schemaRef ds:uri="http://schemas.microsoft.com/sharepoint/v3/contenttype/forms"/>
  </ds:schemaRefs>
</ds:datastoreItem>
</file>

<file path=customXml/itemProps3.xml><?xml version="1.0" encoding="utf-8"?>
<ds:datastoreItem xmlns:ds="http://schemas.openxmlformats.org/officeDocument/2006/customXml" ds:itemID="{36408F1F-57E2-B946-B7C3-2B74E92D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C:\WINDOWS\IAEA\Templates\O365\IAEA Blank (r01).dotx</Template>
  <TotalTime>2402</TotalTime>
  <Pages>8</Pages>
  <Words>10794</Words>
  <Characters>61527</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IAEA</vt:lpstr>
    </vt:vector>
  </TitlesOfParts>
  <Manager/>
  <Company/>
  <LinksUpToDate>false</LinksUpToDate>
  <CharactersWithSpaces>72177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
  <cp:lastModifiedBy/>
  <cp:revision>576</cp:revision>
  <cp:lastPrinted>2024-06-05T20:35:00Z</cp:lastPrinted>
  <dcterms:created xsi:type="dcterms:W3CDTF">2024-05-25T02:54:00Z</dcterms:created>
  <dcterms:modified xsi:type="dcterms:W3CDTF">2024-06-14T22:31:00Z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ZOTERO_PREF_1">
    <vt:lpwstr>&lt;data data-version="3" zotero-version="6.0.33"&gt;&lt;session id="bvdNLxGJ"/&gt;&lt;style id="http://www.zotero.org/styles/energy" hasBibliography="1" bibliographyStyleHasBeenSet="1"/&gt;&lt;prefs&gt;&lt;pref name="fieldType" value="Field"/&gt;&lt;pref name="automaticJournalAbbreviati</vt:lpwstr>
  </property>
  <property fmtid="{D5CDD505-2E9C-101B-9397-08002B2CF9AE}" pid="12" name="ZOTERO_PREF_2">
    <vt:lpwstr>ons" value="true"/&gt;&lt;pref name="dontAskDelayCitationUpdates" value="true"/&gt;&lt;/prefs&gt;&lt;/data&gt;</vt:lpwstr>
  </property>
</Properties>
</file>