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6BE5" w14:textId="77777777" w:rsidR="00AD7035" w:rsidRPr="008F2947" w:rsidRDefault="00AD7035" w:rsidP="00AD7035">
      <w:pPr>
        <w:pStyle w:val="Heading1"/>
        <w:rPr>
          <w:lang w:val="en-GB"/>
        </w:rPr>
      </w:pPr>
      <w:r w:rsidRPr="008F2947">
        <w:rPr>
          <w:lang w:val="en-GB"/>
        </w:rPr>
        <w:t>Simulation of flexible Small Modular Reactor</w:t>
      </w:r>
    </w:p>
    <w:p w14:paraId="45A501F0" w14:textId="0B75E5C5" w:rsidR="00E20E70" w:rsidRPr="008F2947" w:rsidRDefault="00AD7035" w:rsidP="00AD7035">
      <w:pPr>
        <w:pStyle w:val="Heading1"/>
        <w:rPr>
          <w:lang w:val="en-GB"/>
        </w:rPr>
      </w:pPr>
      <w:r w:rsidRPr="008F2947">
        <w:rPr>
          <w:lang w:val="en-GB"/>
        </w:rPr>
        <w:t>operation with a thermal energy storage system</w:t>
      </w:r>
    </w:p>
    <w:p w14:paraId="4D1B799F" w14:textId="77777777" w:rsidR="00802381" w:rsidRPr="008F2947" w:rsidRDefault="00802381" w:rsidP="00537496">
      <w:pPr>
        <w:pStyle w:val="Authornameandaffiliation"/>
        <w:rPr>
          <w:lang w:val="en-GB"/>
        </w:rPr>
      </w:pPr>
    </w:p>
    <w:p w14:paraId="36A5074E" w14:textId="148CEB03" w:rsidR="000A51BC" w:rsidRPr="000A51BC" w:rsidRDefault="000A51BC" w:rsidP="000A51BC">
      <w:pPr>
        <w:pStyle w:val="Authornameandaffiliation"/>
        <w:rPr>
          <w:lang w:val="it-IT"/>
        </w:rPr>
      </w:pPr>
      <w:r w:rsidRPr="000A51BC">
        <w:rPr>
          <w:lang w:val="it-IT"/>
        </w:rPr>
        <w:t>G. C. MASOTTI, S. LORENZI, M. E. RICOTTI</w:t>
      </w:r>
    </w:p>
    <w:p w14:paraId="74160C55" w14:textId="77777777" w:rsidR="000A51BC" w:rsidRPr="000A51BC" w:rsidRDefault="000A51BC" w:rsidP="000A51BC">
      <w:pPr>
        <w:pStyle w:val="Authornameandaffiliation"/>
        <w:rPr>
          <w:lang w:val="it-IT"/>
        </w:rPr>
      </w:pPr>
      <w:r w:rsidRPr="000A51BC">
        <w:rPr>
          <w:lang w:val="it-IT"/>
        </w:rPr>
        <w:t>Politecnico di Milano</w:t>
      </w:r>
    </w:p>
    <w:p w14:paraId="0CE40049" w14:textId="77777777" w:rsidR="000A51BC" w:rsidRPr="000A51BC" w:rsidRDefault="000A51BC" w:rsidP="000A51BC">
      <w:pPr>
        <w:pStyle w:val="Authornameandaffiliation"/>
        <w:rPr>
          <w:lang w:val="it-IT"/>
        </w:rPr>
      </w:pPr>
      <w:r w:rsidRPr="000A51BC">
        <w:rPr>
          <w:lang w:val="it-IT"/>
        </w:rPr>
        <w:t>Milan, Italy</w:t>
      </w:r>
    </w:p>
    <w:p w14:paraId="5E2BDA1F" w14:textId="197963B4" w:rsidR="00FF386F" w:rsidRPr="00157118" w:rsidRDefault="000A51BC" w:rsidP="000A51BC">
      <w:pPr>
        <w:pStyle w:val="Authornameandaffiliation"/>
        <w:rPr>
          <w:lang w:val="it-IT"/>
        </w:rPr>
      </w:pPr>
      <w:r w:rsidRPr="00157118">
        <w:rPr>
          <w:lang w:val="it-IT"/>
        </w:rPr>
        <w:t xml:space="preserve">Email: </w:t>
      </w:r>
      <w:r w:rsidR="007D1946" w:rsidRPr="00157118">
        <w:rPr>
          <w:lang w:val="it-IT"/>
        </w:rPr>
        <w:t>stefano.lorenzi@polimi.it</w:t>
      </w:r>
    </w:p>
    <w:p w14:paraId="0B2D9F4C" w14:textId="77777777" w:rsidR="007D1946" w:rsidRPr="00157118" w:rsidRDefault="007D1946" w:rsidP="000A51BC">
      <w:pPr>
        <w:pStyle w:val="Authornameandaffiliation"/>
        <w:rPr>
          <w:lang w:val="it-IT"/>
        </w:rPr>
      </w:pPr>
    </w:p>
    <w:p w14:paraId="0CEB9F19" w14:textId="6587A452" w:rsidR="00C46A0F" w:rsidRPr="005F763E" w:rsidRDefault="00C46A0F" w:rsidP="00C46A0F">
      <w:pPr>
        <w:pStyle w:val="Authornameandaffiliation"/>
        <w:ind w:left="0" w:firstLine="567"/>
        <w:rPr>
          <w:lang w:val="fr-FR"/>
        </w:rPr>
      </w:pPr>
      <w:r w:rsidRPr="005F763E">
        <w:rPr>
          <w:lang w:val="fr-FR"/>
        </w:rPr>
        <w:t>N. ALPY</w:t>
      </w:r>
      <w:r w:rsidR="00835E42" w:rsidRPr="005F763E">
        <w:rPr>
          <w:lang w:val="fr-FR"/>
        </w:rPr>
        <w:t xml:space="preserve">, </w:t>
      </w:r>
      <w:r w:rsidR="000105D5" w:rsidRPr="005F763E">
        <w:rPr>
          <w:lang w:val="fr-FR"/>
        </w:rPr>
        <w:t xml:space="preserve">H. </w:t>
      </w:r>
      <w:r w:rsidR="00835E42" w:rsidRPr="005F763E">
        <w:rPr>
          <w:lang w:val="fr-FR"/>
        </w:rPr>
        <w:t>D. NGUYEN</w:t>
      </w:r>
      <w:r w:rsidR="0004101D" w:rsidRPr="005F763E">
        <w:rPr>
          <w:lang w:val="fr-FR"/>
        </w:rPr>
        <w:t>, D. HAUBENSACK</w:t>
      </w:r>
    </w:p>
    <w:p w14:paraId="46434764" w14:textId="60004E0B" w:rsidR="00C46A0F" w:rsidRPr="005F763E" w:rsidRDefault="00C46A0F" w:rsidP="00C46A0F">
      <w:pPr>
        <w:pStyle w:val="Authornameandaffiliation"/>
        <w:ind w:left="0" w:firstLine="567"/>
        <w:rPr>
          <w:lang w:val="fr-FR"/>
        </w:rPr>
      </w:pPr>
      <w:r w:rsidRPr="005F763E">
        <w:rPr>
          <w:lang w:val="fr-FR"/>
        </w:rPr>
        <w:t>CEA</w:t>
      </w:r>
      <w:r w:rsidR="00835E42" w:rsidRPr="005F763E">
        <w:rPr>
          <w:lang w:val="fr-FR"/>
        </w:rPr>
        <w:t xml:space="preserve"> - IRESNE</w:t>
      </w:r>
    </w:p>
    <w:p w14:paraId="65767822" w14:textId="3E634C2C" w:rsidR="00C46A0F" w:rsidRPr="005F763E" w:rsidRDefault="00C46A0F" w:rsidP="00C46A0F">
      <w:pPr>
        <w:pStyle w:val="Authornameandaffiliation"/>
        <w:rPr>
          <w:lang w:val="fr-FR"/>
        </w:rPr>
      </w:pPr>
      <w:r w:rsidRPr="005F763E">
        <w:rPr>
          <w:lang w:val="fr-FR"/>
        </w:rPr>
        <w:t>Saint-Paul-lez-Durance, France</w:t>
      </w:r>
    </w:p>
    <w:p w14:paraId="2C7F19CB" w14:textId="77777777" w:rsidR="00FF386F" w:rsidRPr="005F763E" w:rsidRDefault="00FF386F" w:rsidP="007D1946">
      <w:pPr>
        <w:pStyle w:val="Authornameandaffiliation"/>
        <w:ind w:left="0"/>
        <w:rPr>
          <w:lang w:val="fr-FR"/>
        </w:rPr>
      </w:pPr>
    </w:p>
    <w:p w14:paraId="23B1E79D" w14:textId="77777777" w:rsidR="00C46A0F" w:rsidRPr="005F763E" w:rsidRDefault="00C46A0F" w:rsidP="00C46A0F">
      <w:pPr>
        <w:pStyle w:val="Authornameandaffiliation"/>
        <w:ind w:left="0" w:firstLine="567"/>
        <w:jc w:val="both"/>
        <w:rPr>
          <w:lang w:val="fr-FR"/>
        </w:rPr>
      </w:pPr>
      <w:r w:rsidRPr="005F763E">
        <w:rPr>
          <w:lang w:val="fr-FR"/>
        </w:rPr>
        <w:t>G. SIMONINI</w:t>
      </w:r>
    </w:p>
    <w:p w14:paraId="7B0F3C36" w14:textId="77777777" w:rsidR="00C46A0F" w:rsidRPr="005F763E" w:rsidRDefault="00C46A0F" w:rsidP="00C46A0F">
      <w:pPr>
        <w:pStyle w:val="Authornameandaffiliation"/>
        <w:ind w:left="0" w:firstLine="567"/>
        <w:jc w:val="both"/>
        <w:rPr>
          <w:lang w:val="fr-FR"/>
        </w:rPr>
      </w:pPr>
      <w:r w:rsidRPr="005F763E">
        <w:rPr>
          <w:lang w:val="fr-FR"/>
        </w:rPr>
        <w:t>EDF</w:t>
      </w:r>
    </w:p>
    <w:p w14:paraId="3CB859F0" w14:textId="4AA04BEB" w:rsidR="00D17D93" w:rsidRPr="005F763E" w:rsidRDefault="00C46A0F" w:rsidP="00C46A0F">
      <w:pPr>
        <w:pStyle w:val="Authornameandaffiliation"/>
        <w:rPr>
          <w:b/>
          <w:lang w:val="fr-FR"/>
        </w:rPr>
      </w:pPr>
      <w:r w:rsidRPr="005F763E">
        <w:rPr>
          <w:lang w:val="fr-FR"/>
        </w:rPr>
        <w:t>Chatou, France</w:t>
      </w:r>
    </w:p>
    <w:p w14:paraId="67AA5311" w14:textId="77777777" w:rsidR="00D17D93" w:rsidRPr="005F763E" w:rsidRDefault="00D17D93" w:rsidP="00537496">
      <w:pPr>
        <w:pStyle w:val="Authornameandaffiliation"/>
        <w:rPr>
          <w:b/>
          <w:lang w:val="fr-FR"/>
        </w:rPr>
      </w:pPr>
    </w:p>
    <w:p w14:paraId="230D4575" w14:textId="075F220F" w:rsidR="00647F33" w:rsidRPr="005F763E" w:rsidRDefault="00647F33" w:rsidP="00537496">
      <w:pPr>
        <w:pStyle w:val="Authornameandaffiliation"/>
        <w:rPr>
          <w:b/>
          <w:lang w:val="fr-FR"/>
        </w:rPr>
      </w:pPr>
      <w:r w:rsidRPr="005F763E">
        <w:rPr>
          <w:b/>
          <w:lang w:val="fr-FR"/>
        </w:rPr>
        <w:t>Abstract</w:t>
      </w:r>
    </w:p>
    <w:p w14:paraId="4F2E62A2" w14:textId="77777777" w:rsidR="00647F33" w:rsidRPr="005F763E" w:rsidRDefault="00647F33" w:rsidP="00537496">
      <w:pPr>
        <w:pStyle w:val="Authornameandaffiliation"/>
        <w:rPr>
          <w:lang w:val="fr-FR"/>
        </w:rPr>
      </w:pPr>
    </w:p>
    <w:p w14:paraId="6E3942F7" w14:textId="18E493AB" w:rsidR="00476F45" w:rsidRPr="008F2947" w:rsidRDefault="008F2947" w:rsidP="005F763E">
      <w:pPr>
        <w:pStyle w:val="Abstracttext"/>
        <w:jc w:val="both"/>
        <w:rPr>
          <w:lang w:val="en-GB"/>
        </w:rPr>
      </w:pPr>
      <w:r w:rsidRPr="005F763E">
        <w:t>The surging penetration of variable re</w:t>
      </w:r>
      <w:proofErr w:type="spellStart"/>
      <w:r w:rsidRPr="008B4A93">
        <w:rPr>
          <w:lang w:val="en-GB"/>
        </w:rPr>
        <w:t>newable</w:t>
      </w:r>
      <w:proofErr w:type="spellEnd"/>
      <w:r w:rsidRPr="008B4A93">
        <w:rPr>
          <w:lang w:val="en-GB"/>
        </w:rPr>
        <w:t xml:space="preserve"> en</w:t>
      </w:r>
      <w:r w:rsidRPr="008F2947">
        <w:rPr>
          <w:lang w:val="en-GB"/>
        </w:rPr>
        <w:t xml:space="preserve">ergy sources into power grids translates into an urgent need for dispatchable generators such as nuclear power plants to </w:t>
      </w:r>
      <w:r w:rsidR="007C637C" w:rsidRPr="008F2947">
        <w:rPr>
          <w:lang w:val="en-GB"/>
        </w:rPr>
        <w:t>effect</w:t>
      </w:r>
      <w:r w:rsidR="007C637C">
        <w:rPr>
          <w:lang w:val="en-GB"/>
        </w:rPr>
        <w:t>iv</w:t>
      </w:r>
      <w:r w:rsidR="007C637C" w:rsidRPr="008F2947">
        <w:rPr>
          <w:lang w:val="en-GB"/>
        </w:rPr>
        <w:t>ely</w:t>
      </w:r>
      <w:r w:rsidRPr="008F2947">
        <w:rPr>
          <w:lang w:val="en-GB"/>
        </w:rPr>
        <w:t xml:space="preserve"> balance grid demand. </w:t>
      </w:r>
      <w:r w:rsidR="007622E2">
        <w:rPr>
          <w:lang w:val="en-GB"/>
        </w:rPr>
        <w:t>Even though nuclear reactors are used both as baseload and flexible power sources, with the reactor’s power following the load demand, keeping the reactor at its rated conditions has several benefits, both from a technical and economic standpoint</w:t>
      </w:r>
      <w:r w:rsidRPr="008F2947">
        <w:rPr>
          <w:lang w:val="en-GB"/>
        </w:rPr>
        <w:t>. This paper explores the integration of a two-tank thermal energy storage (TES) system with a light-water cooled Small Modular Reactor (SMR) as an alternative to address the flexibility requirements and, at the same time, minimise thermal power variation in the nuclear steam supply system. In this work, the dynamics of the coupled SMR-TES system are examined across various scenarios by means of dynamic models developed in the object-oriented modelling language Modelica. The aim is to analyse the potential impact of a TES on the operational strategies of a SMR in the context of highly fluctuating load demands. Through this investigation, the study aims at demonstrating that nuclear energy systems can satisfy the evolving grid requirements with minimal perturbations on the nuclear reactor’s operation.</w:t>
      </w:r>
      <w:r w:rsidR="007622E2">
        <w:rPr>
          <w:lang w:val="en-GB"/>
        </w:rPr>
        <w:t xml:space="preserve"> The Modelica language proved to be effective </w:t>
      </w:r>
      <w:r w:rsidR="009E5290">
        <w:rPr>
          <w:lang w:val="en-GB"/>
        </w:rPr>
        <w:t>for this application</w:t>
      </w:r>
      <w:r w:rsidR="007622E2">
        <w:rPr>
          <w:lang w:val="en-GB"/>
        </w:rPr>
        <w:t>,</w:t>
      </w:r>
      <w:r w:rsidR="009E5290">
        <w:rPr>
          <w:lang w:val="en-GB"/>
        </w:rPr>
        <w:t xml:space="preserve"> allowing to model the overall system architecture by coupling independent models through a plug-and-play approach.</w:t>
      </w:r>
      <w:r w:rsidR="007622E2">
        <w:rPr>
          <w:lang w:val="en-GB"/>
        </w:rPr>
        <w:t xml:space="preserve"> </w:t>
      </w:r>
      <w:r w:rsidRPr="008F2947">
        <w:rPr>
          <w:lang w:val="en-GB"/>
        </w:rPr>
        <w:t xml:space="preserve"> The results show that the SMR </w:t>
      </w:r>
      <w:proofErr w:type="gramStart"/>
      <w:r w:rsidRPr="008F2947">
        <w:rPr>
          <w:lang w:val="en-GB"/>
        </w:rPr>
        <w:t>is able to</w:t>
      </w:r>
      <w:proofErr w:type="gramEnd"/>
      <w:r w:rsidRPr="008F2947">
        <w:rPr>
          <w:lang w:val="en-GB"/>
        </w:rPr>
        <w:t xml:space="preserve"> meet variable load demands</w:t>
      </w:r>
      <w:r w:rsidR="009E5290">
        <w:rPr>
          <w:lang w:val="en-GB"/>
        </w:rPr>
        <w:t xml:space="preserve"> exclusively</w:t>
      </w:r>
      <w:r w:rsidRPr="008F2947">
        <w:rPr>
          <w:lang w:val="en-GB"/>
        </w:rPr>
        <w:t xml:space="preserve"> by exchanging power with the TES, ensuring reliable energy supply</w:t>
      </w:r>
      <w:r w:rsidR="009E5290">
        <w:rPr>
          <w:lang w:val="en-GB"/>
        </w:rPr>
        <w:t xml:space="preserve"> and potentially managing power flows to enhance revenue streams</w:t>
      </w:r>
      <w:r w:rsidR="00647F33" w:rsidRPr="008F2947">
        <w:rPr>
          <w:lang w:val="en-GB"/>
        </w:rPr>
        <w:t>.</w:t>
      </w:r>
    </w:p>
    <w:p w14:paraId="03C6D75B" w14:textId="77777777" w:rsidR="00647F33" w:rsidRPr="008F2947" w:rsidRDefault="00F523CA" w:rsidP="00537496">
      <w:pPr>
        <w:pStyle w:val="Heading2"/>
        <w:numPr>
          <w:ilvl w:val="1"/>
          <w:numId w:val="10"/>
        </w:numPr>
      </w:pPr>
      <w:r w:rsidRPr="008F2947">
        <w:t>INTRODUCTION</w:t>
      </w:r>
    </w:p>
    <w:p w14:paraId="43589DA9" w14:textId="77777777" w:rsidR="00507FB1" w:rsidRDefault="00821D78" w:rsidP="003B4F24">
      <w:pPr>
        <w:pStyle w:val="BodyText"/>
      </w:pPr>
      <w:r>
        <w:t xml:space="preserve">To </w:t>
      </w:r>
      <w:r w:rsidR="00E31DA2">
        <w:t>a</w:t>
      </w:r>
      <w:r w:rsidR="00086E36">
        <w:t>chieve decarboni</w:t>
      </w:r>
      <w:r w:rsidR="005C2A22">
        <w:t>s</w:t>
      </w:r>
      <w:r w:rsidR="00086E36">
        <w:t xml:space="preserve">ation objectives, a profound transformation of the energy sector is foreseen, </w:t>
      </w:r>
      <w:r w:rsidR="0077114A">
        <w:t xml:space="preserve">driven mainly by a growing penetration of variable renewable energy sources (VRE), such as wind and solar power, </w:t>
      </w:r>
      <w:r w:rsidR="00EF65E3">
        <w:t xml:space="preserve">for electricity production. </w:t>
      </w:r>
      <w:r w:rsidR="00033432">
        <w:t>Nevertheless</w:t>
      </w:r>
      <w:r w:rsidR="00EF65E3">
        <w:t xml:space="preserve">, the intermittent nature of VRE </w:t>
      </w:r>
      <w:r w:rsidR="00641A50">
        <w:t>might lead to</w:t>
      </w:r>
      <w:r w:rsidR="00C74E99">
        <w:t xml:space="preserve"> </w:t>
      </w:r>
      <w:r w:rsidR="00641A50">
        <w:t>major</w:t>
      </w:r>
      <w:r w:rsidR="00B63F0D">
        <w:t xml:space="preserve"> </w:t>
      </w:r>
      <w:r w:rsidR="0084775B">
        <w:t>imbalance</w:t>
      </w:r>
      <w:r w:rsidR="00641A50">
        <w:t>s</w:t>
      </w:r>
      <w:r w:rsidR="00B63F0D">
        <w:t xml:space="preserve"> between power supply and demand, </w:t>
      </w:r>
      <w:r w:rsidR="00951660">
        <w:t xml:space="preserve">imposing significant </w:t>
      </w:r>
      <w:r w:rsidR="00B606A8">
        <w:t>risks</w:t>
      </w:r>
      <w:r w:rsidR="00B63F0D">
        <w:t xml:space="preserve"> </w:t>
      </w:r>
      <w:r w:rsidR="00951660">
        <w:t xml:space="preserve">to the electrical grid </w:t>
      </w:r>
      <w:r w:rsidR="00FE2978">
        <w:t>stability</w:t>
      </w:r>
      <w:r w:rsidR="00B63F0D">
        <w:t xml:space="preserve"> and </w:t>
      </w:r>
      <w:r w:rsidR="009E015A">
        <w:t>perpetuating the</w:t>
      </w:r>
      <w:r w:rsidR="00B63F0D">
        <w:t xml:space="preserve"> reliance on backup power generators. </w:t>
      </w:r>
    </w:p>
    <w:p w14:paraId="16B1D366" w14:textId="09956537" w:rsidR="00C653E3" w:rsidRDefault="005555EA" w:rsidP="003B4F24">
      <w:pPr>
        <w:pStyle w:val="BodyText"/>
      </w:pPr>
      <w:r>
        <w:t>As</w:t>
      </w:r>
      <w:r w:rsidR="00AD46DD">
        <w:t xml:space="preserve"> dispatchable and low-carbon power sources, nuclear power plants</w:t>
      </w:r>
      <w:r w:rsidR="00B93B29">
        <w:t xml:space="preserve"> (NPP)</w:t>
      </w:r>
      <w:r w:rsidR="00AD46DD">
        <w:t xml:space="preserve"> could play an important role </w:t>
      </w:r>
      <w:r w:rsidR="006B46F3">
        <w:t xml:space="preserve">not only as baseload power generators but also </w:t>
      </w:r>
      <w:r w:rsidR="00AD46DD">
        <w:t xml:space="preserve">in </w:t>
      </w:r>
      <w:r w:rsidR="00900A2F">
        <w:t xml:space="preserve">satisfying the residual load, given by the </w:t>
      </w:r>
      <w:r w:rsidR="00187A89">
        <w:t>gap</w:t>
      </w:r>
      <w:r w:rsidR="00900A2F">
        <w:t xml:space="preserve"> between power demand and VRE output.</w:t>
      </w:r>
      <w:r w:rsidR="00716366">
        <w:t xml:space="preserve"> Within this framework, </w:t>
      </w:r>
      <w:r w:rsidR="00E75E22">
        <w:t xml:space="preserve">usually </w:t>
      </w:r>
      <w:r w:rsidR="0028715F">
        <w:t>NPPs</w:t>
      </w:r>
      <w:r w:rsidR="00716366">
        <w:t xml:space="preserve"> can be operated </w:t>
      </w:r>
      <w:r w:rsidR="0028715F">
        <w:t xml:space="preserve">in baseload configuration or in </w:t>
      </w:r>
      <w:r w:rsidR="00E75E22">
        <w:t>load following operation.</w:t>
      </w:r>
      <w:r w:rsidR="000F31F9">
        <w:t xml:space="preserve"> </w:t>
      </w:r>
      <w:r w:rsidR="00891706">
        <w:t>In most countries</w:t>
      </w:r>
      <w:r w:rsidR="00B93B29">
        <w:t>, NPP</w:t>
      </w:r>
      <w:r w:rsidR="0069570D">
        <w:t>s</w:t>
      </w:r>
      <w:r w:rsidR="00B93B29">
        <w:t xml:space="preserve"> have</w:t>
      </w:r>
      <w:r w:rsidR="00E26C21">
        <w:t xml:space="preserve"> been employed as baseload </w:t>
      </w:r>
      <w:r w:rsidR="00087F02">
        <w:t>power source</w:t>
      </w:r>
      <w:r w:rsidR="002B33B8">
        <w:t xml:space="preserve">s, </w:t>
      </w:r>
      <w:r w:rsidR="00D831C5">
        <w:t>maintaining reactor operation and</w:t>
      </w:r>
      <w:r w:rsidR="00891706">
        <w:t>,</w:t>
      </w:r>
      <w:r w:rsidR="00D831C5">
        <w:t xml:space="preserve"> </w:t>
      </w:r>
      <w:r w:rsidR="008149D1">
        <w:t>consequently</w:t>
      </w:r>
      <w:r w:rsidR="00891706">
        <w:t>,</w:t>
      </w:r>
      <w:r w:rsidR="00D831C5">
        <w:t xml:space="preserve"> the electrical power output </w:t>
      </w:r>
      <w:r w:rsidR="001756C7">
        <w:t xml:space="preserve">at nominal conditions. This operational mode </w:t>
      </w:r>
      <w:r w:rsidR="00EF6DCB">
        <w:t>offers</w:t>
      </w:r>
      <w:r w:rsidR="001756C7">
        <w:t xml:space="preserve"> technical and economic advantages</w:t>
      </w:r>
      <w:r w:rsidR="00521381">
        <w:t xml:space="preserve">, </w:t>
      </w:r>
      <w:r w:rsidR="00EF6DCB">
        <w:t>such as</w:t>
      </w:r>
      <w:r w:rsidR="00073DA0">
        <w:t xml:space="preserve"> the</w:t>
      </w:r>
      <w:r w:rsidR="00FD6AD2">
        <w:t xml:space="preserve"> reduction of</w:t>
      </w:r>
      <w:r w:rsidR="00073DA0">
        <w:t xml:space="preserve"> thermomechanical </w:t>
      </w:r>
      <w:r w:rsidR="00945A23">
        <w:t>stresses</w:t>
      </w:r>
      <w:r w:rsidR="00073DA0">
        <w:t xml:space="preserve"> on the </w:t>
      </w:r>
      <w:r w:rsidR="00157118">
        <w:t>reactor’s primary side</w:t>
      </w:r>
      <w:r w:rsidR="00FD6AD2">
        <w:t xml:space="preserve"> and the </w:t>
      </w:r>
      <w:r w:rsidR="00E01837">
        <w:t>maximisation of the load factor</w:t>
      </w:r>
      <w:r w:rsidR="00945A23">
        <w:t xml:space="preserve"> </w:t>
      </w:r>
      <w:r w:rsidR="00002223">
        <w:t xml:space="preserve">compared to the load following </w:t>
      </w:r>
      <w:r w:rsidR="00945A23">
        <w:t>strategy</w:t>
      </w:r>
      <w:r w:rsidR="00FA4BC5">
        <w:t xml:space="preserve"> </w:t>
      </w:r>
      <w:r w:rsidR="007B7669">
        <w:t>[</w:t>
      </w:r>
      <w:r w:rsidR="00FA4BC5">
        <w:t>1, 2</w:t>
      </w:r>
      <w:r w:rsidR="007B7669">
        <w:t>]</w:t>
      </w:r>
      <w:r w:rsidR="00CF5B91">
        <w:t xml:space="preserve">. </w:t>
      </w:r>
      <w:r w:rsidR="00891706">
        <w:t xml:space="preserve">The latter solution is adopted in France, where the power of the nuclear fleet is modulated according to grid requirements. </w:t>
      </w:r>
      <w:r w:rsidR="0011036A" w:rsidRPr="00BB31A1">
        <w:t>To</w:t>
      </w:r>
      <w:r w:rsidR="00BB31A1" w:rsidRPr="00BB31A1">
        <w:t xml:space="preserve"> capitalise on the benefits</w:t>
      </w:r>
      <w:r w:rsidR="00891706">
        <w:t xml:space="preserve"> of maintaining the reactor at its rated conditions</w:t>
      </w:r>
      <w:r w:rsidR="00BB31A1" w:rsidRPr="00BB31A1">
        <w:t xml:space="preserve">, the current endeavour involves addressing the dispatch priority of VREs, driven by their lower generation costs, by improving the flexibility of the NPP </w:t>
      </w:r>
      <w:r w:rsidR="00891706">
        <w:t>by</w:t>
      </w:r>
      <w:r w:rsidR="00891706" w:rsidRPr="00BB31A1">
        <w:t xml:space="preserve"> </w:t>
      </w:r>
      <w:r w:rsidR="00BB31A1" w:rsidRPr="00BB31A1">
        <w:t>minimising perturbations in the operation of the nuclear steam supply system.</w:t>
      </w:r>
      <w:r w:rsidR="00476F45">
        <w:t xml:space="preserve"> </w:t>
      </w:r>
    </w:p>
    <w:p w14:paraId="44762AFE" w14:textId="2784C0A7" w:rsidR="00103FEC" w:rsidRDefault="004B63D7" w:rsidP="00D55209">
      <w:pPr>
        <w:pStyle w:val="BodyText"/>
      </w:pPr>
      <w:r w:rsidRPr="004B63D7">
        <w:t>A possible approach for tackling this challenge is integrating a thermal energy storage system (TES) into the reactor</w:t>
      </w:r>
      <w:r w:rsidR="004C293A">
        <w:t>’</w:t>
      </w:r>
      <w:r w:rsidRPr="004B63D7">
        <w:t>s power conversion cycle</w:t>
      </w:r>
      <w:r w:rsidR="002C4405">
        <w:t xml:space="preserve">. </w:t>
      </w:r>
      <w:r w:rsidR="00C13D9C" w:rsidRPr="00C13D9C">
        <w:t xml:space="preserve">Consequently, the electrical power output may be modulated by exchanging thermal power with the TES while the reactor operates at its rated power. </w:t>
      </w:r>
      <w:r w:rsidR="00103FEC" w:rsidRPr="00103FEC">
        <w:t xml:space="preserve">Several studies have examined various configurations and the </w:t>
      </w:r>
      <w:r w:rsidR="00507B51">
        <w:t xml:space="preserve">economic </w:t>
      </w:r>
      <w:r w:rsidR="00103FEC" w:rsidRPr="00103FEC">
        <w:t xml:space="preserve">viability of combining a NPP with a TES, highlighting the advantages of </w:t>
      </w:r>
      <w:r w:rsidR="00103FEC" w:rsidRPr="00103FEC">
        <w:lastRenderedPageBreak/>
        <w:t>implementing this strategy to increase system flexibility and respond to the evolving dynamics of the electricity market [3</w:t>
      </w:r>
      <w:r w:rsidR="00103FEC">
        <w:t xml:space="preserve"> – </w:t>
      </w:r>
      <w:r w:rsidR="00103FEC" w:rsidRPr="00103FEC">
        <w:t>6].</w:t>
      </w:r>
      <w:r w:rsidR="00103FEC">
        <w:t xml:space="preserve"> </w:t>
      </w:r>
    </w:p>
    <w:p w14:paraId="63B7A165" w14:textId="2A19C1B7" w:rsidR="00C713B3" w:rsidRPr="008F2947" w:rsidRDefault="002532A8" w:rsidP="00526ACB">
      <w:pPr>
        <w:pStyle w:val="BodyText"/>
      </w:pPr>
      <w:r>
        <w:t xml:space="preserve">In this work, the impact of coupling a two-tank thermal energy storage system, </w:t>
      </w:r>
      <w:r w:rsidR="00503CCE">
        <w:t>outstanding for its</w:t>
      </w:r>
      <w:r w:rsidR="004025F8">
        <w:t xml:space="preserve"> </w:t>
      </w:r>
      <w:r w:rsidR="00503CCE">
        <w:t>high</w:t>
      </w:r>
      <w:r w:rsidR="004025F8">
        <w:t xml:space="preserve"> technological maturity </w:t>
      </w:r>
      <w:r w:rsidR="00503CCE">
        <w:t>compared</w:t>
      </w:r>
      <w:r w:rsidR="004025F8">
        <w:t xml:space="preserve"> to other TES devices</w:t>
      </w:r>
      <w:r w:rsidR="00765FE6">
        <w:t xml:space="preserve"> [7]</w:t>
      </w:r>
      <w:r w:rsidR="004025F8">
        <w:t>, with a light-water cooled Small Modular Reactor</w:t>
      </w:r>
      <w:r w:rsidR="00013E0F">
        <w:t xml:space="preserve"> (SMR)</w:t>
      </w:r>
      <w:r w:rsidR="00475362">
        <w:t xml:space="preserve"> is investigated</w:t>
      </w:r>
      <w:r w:rsidR="00013E0F">
        <w:t xml:space="preserve">. The objective is to propose a </w:t>
      </w:r>
      <w:r w:rsidR="00221DE8">
        <w:t>potential</w:t>
      </w:r>
      <w:r w:rsidR="00013E0F">
        <w:t xml:space="preserve"> integration strategy</w:t>
      </w:r>
      <w:r w:rsidR="00913D65">
        <w:t xml:space="preserve"> where</w:t>
      </w:r>
      <w:r w:rsidR="00013E0F">
        <w:t xml:space="preserve"> the TES is used t</w:t>
      </w:r>
      <w:r w:rsidR="00045B78">
        <w:t xml:space="preserve">o modulate the electrical power output </w:t>
      </w:r>
      <w:r w:rsidR="00447807">
        <w:t>(</w:t>
      </w:r>
      <w:r w:rsidR="00045B78">
        <w:t xml:space="preserve">by </w:t>
      </w:r>
      <w:r w:rsidR="002345FB">
        <w:t xml:space="preserve">storing the reactor’s excess thermal power or increasing the electricity production beyond </w:t>
      </w:r>
      <w:r w:rsidR="000061C3">
        <w:t xml:space="preserve">the rated </w:t>
      </w:r>
      <w:r w:rsidR="00AF330F">
        <w:t>conditions</w:t>
      </w:r>
      <w:r w:rsidR="00447807">
        <w:t>)</w:t>
      </w:r>
      <w:r w:rsidR="00AF330F">
        <w:t xml:space="preserve"> and</w:t>
      </w:r>
      <w:r w:rsidR="000061C3">
        <w:t xml:space="preserve"> analyse the </w:t>
      </w:r>
      <w:r w:rsidR="003A20E8">
        <w:t xml:space="preserve">dynamic behaviour of this configuration </w:t>
      </w:r>
      <w:r w:rsidR="002630B0">
        <w:t xml:space="preserve">in response to different scenarios in terms of flexibility requirements. </w:t>
      </w:r>
      <w:bookmarkStart w:id="0" w:name="OLE_LINK6"/>
      <w:bookmarkStart w:id="1" w:name="OLE_LINK7"/>
      <w:r w:rsidR="00AB0BE6">
        <w:t>Other applications for TES discharging, e.g., the supply of thermal power to drive industrial processes to decouple their demands from the nuclear power plant operation, are not addressed in this study.  In this</w:t>
      </w:r>
      <w:r w:rsidR="001B3835" w:rsidRPr="001B3835">
        <w:t xml:space="preserve"> analysis, a dynamic simulator of the integrated architecture with a dedicated control system is employed to assess the impact of flexible operation on the reactor</w:t>
      </w:r>
      <w:r w:rsidR="007C5794">
        <w:t>’</w:t>
      </w:r>
      <w:r w:rsidR="001B3835" w:rsidRPr="001B3835">
        <w:t>s primary side</w:t>
      </w:r>
      <w:r w:rsidR="00950863">
        <w:t>.</w:t>
      </w:r>
      <w:r w:rsidR="007C5794">
        <w:t xml:space="preserve"> </w:t>
      </w:r>
      <w:bookmarkEnd w:id="0"/>
      <w:bookmarkEnd w:id="1"/>
    </w:p>
    <w:p w14:paraId="74CD1556" w14:textId="5E27ED57" w:rsidR="00E25B68" w:rsidRDefault="00516C29" w:rsidP="0026525A">
      <w:pPr>
        <w:pStyle w:val="Heading2"/>
        <w:numPr>
          <w:ilvl w:val="1"/>
          <w:numId w:val="10"/>
        </w:numPr>
      </w:pPr>
      <w:r>
        <w:t xml:space="preserve">dynamic </w:t>
      </w:r>
      <w:r w:rsidR="00752B74">
        <w:t>MODELs</w:t>
      </w:r>
    </w:p>
    <w:p w14:paraId="1AA0E6D8" w14:textId="6693B541" w:rsidR="00C713B3" w:rsidRDefault="00483531" w:rsidP="00C713B3">
      <w:pPr>
        <w:pStyle w:val="BodyText"/>
      </w:pPr>
      <w:r>
        <w:t xml:space="preserve">The </w:t>
      </w:r>
      <w:r w:rsidR="0076219E">
        <w:t>dynamic models developed to simulate the behaviour of the system</w:t>
      </w:r>
      <w:r w:rsidR="00B61D16">
        <w:t xml:space="preserve">, presented in the following sections, </w:t>
      </w:r>
      <w:r w:rsidR="00142A1F">
        <w:t>have been built</w:t>
      </w:r>
      <w:r w:rsidR="0073286D">
        <w:t xml:space="preserve"> in the object-oriented modelling language Modelica</w:t>
      </w:r>
      <w:r w:rsidR="0060641D">
        <w:t xml:space="preserve">, specifically </w:t>
      </w:r>
      <w:r w:rsidR="000C5B9A">
        <w:t>within</w:t>
      </w:r>
      <w:r w:rsidR="0060641D">
        <w:t xml:space="preserve"> the simulation environment Dymola. </w:t>
      </w:r>
      <w:r w:rsidR="0077592E">
        <w:t xml:space="preserve">Modelica is considered a suitable tool for this kind of application, as it allows </w:t>
      </w:r>
      <w:r w:rsidR="009A74D5">
        <w:t xml:space="preserve">constructing the single subsystems of a complex engineering system independently and subsequently couple them </w:t>
      </w:r>
      <w:r w:rsidR="00425E12">
        <w:t xml:space="preserve">through a plug-and-play approach. </w:t>
      </w:r>
      <w:r w:rsidR="00D4328F">
        <w:t xml:space="preserve">This </w:t>
      </w:r>
      <w:r w:rsidR="00793C53">
        <w:t>methodology</w:t>
      </w:r>
      <w:r w:rsidR="00D4328F">
        <w:t xml:space="preserve"> is facilitated by the features of this object-oriented modelling language, </w:t>
      </w:r>
      <w:r w:rsidR="00BE4F96">
        <w:t xml:space="preserve">which, </w:t>
      </w:r>
      <w:r w:rsidR="00061266">
        <w:t xml:space="preserve">relying on </w:t>
      </w:r>
      <w:r w:rsidR="00B42B4F">
        <w:t xml:space="preserve">an </w:t>
      </w:r>
      <w:proofErr w:type="spellStart"/>
      <w:r w:rsidR="00061266">
        <w:t>acasual</w:t>
      </w:r>
      <w:proofErr w:type="spellEnd"/>
      <w:r w:rsidR="00061266">
        <w:t xml:space="preserve"> equation-based approach, </w:t>
      </w:r>
      <w:r w:rsidR="00486291">
        <w:t xml:space="preserve">allows for a highly versatile </w:t>
      </w:r>
      <w:r w:rsidR="00C432AE">
        <w:t xml:space="preserve">interchangeability of models without the need </w:t>
      </w:r>
      <w:r w:rsidR="00746CFF">
        <w:t>to</w:t>
      </w:r>
      <w:r w:rsidR="00C432AE">
        <w:t xml:space="preserve"> pre</w:t>
      </w:r>
      <w:r w:rsidR="00746CFF">
        <w:t>define</w:t>
      </w:r>
      <w:r w:rsidR="00C432AE">
        <w:t xml:space="preserve"> inputs and outputs</w:t>
      </w:r>
      <w:r w:rsidR="00820679">
        <w:t xml:space="preserve"> </w:t>
      </w:r>
      <w:r w:rsidR="009B263D">
        <w:t>[8]</w:t>
      </w:r>
      <w:r w:rsidR="00C432AE">
        <w:t xml:space="preserve">. </w:t>
      </w:r>
      <w:r w:rsidR="000D5E22">
        <w:t xml:space="preserve">As a result, it is possible to build components from </w:t>
      </w:r>
      <w:r w:rsidR="001B122A">
        <w:t>models available in existing libraries</w:t>
      </w:r>
      <w:r w:rsidR="00E04D39">
        <w:t xml:space="preserve">, extending and connecting </w:t>
      </w:r>
      <w:r w:rsidR="00766924">
        <w:t xml:space="preserve">them to </w:t>
      </w:r>
      <w:r w:rsidR="00816EAA">
        <w:t>simulate</w:t>
      </w:r>
      <w:r w:rsidR="00766924">
        <w:t xml:space="preserve"> overall system</w:t>
      </w:r>
      <w:r w:rsidR="00816EAA">
        <w:t>’s dynamics</w:t>
      </w:r>
      <w:r w:rsidR="00766924">
        <w:t xml:space="preserve">. This philosophy has been adopted also in this work, </w:t>
      </w:r>
      <w:r w:rsidR="00E20371">
        <w:t>exploiting</w:t>
      </w:r>
      <w:r w:rsidR="00766924">
        <w:t xml:space="preserve"> the </w:t>
      </w:r>
      <w:r w:rsidR="005636A0">
        <w:t xml:space="preserve">models available in the open-source TANDEM library </w:t>
      </w:r>
      <w:r w:rsidR="00EA4A1B">
        <w:t>[</w:t>
      </w:r>
      <w:r w:rsidR="00951853">
        <w:t>9]</w:t>
      </w:r>
      <w:r w:rsidR="005636A0">
        <w:t xml:space="preserve"> </w:t>
      </w:r>
      <w:r w:rsidR="00351B06">
        <w:t xml:space="preserve">to </w:t>
      </w:r>
      <w:r w:rsidR="00D04008">
        <w:t xml:space="preserve">build a simulator of the </w:t>
      </w:r>
      <w:r w:rsidR="00CD6A4C">
        <w:t>system</w:t>
      </w:r>
      <w:r w:rsidR="0006041F">
        <w:t>. This library</w:t>
      </w:r>
      <w:r w:rsidR="00364778">
        <w:t xml:space="preserve"> has been developed within the framework of Euratom’s TANDEM project</w:t>
      </w:r>
      <w:r w:rsidR="0028663E">
        <w:t xml:space="preserve">, which aims at investigating the </w:t>
      </w:r>
      <w:r w:rsidR="00AC768D">
        <w:t>integration</w:t>
      </w:r>
      <w:r w:rsidR="0028663E">
        <w:t xml:space="preserve"> opportunities of light-water c</w:t>
      </w:r>
      <w:r w:rsidR="00AC768D">
        <w:t>ooled SMRs into hybrid energy systems</w:t>
      </w:r>
      <w:r w:rsidR="0026523D">
        <w:t xml:space="preserve"> </w:t>
      </w:r>
      <w:r w:rsidR="006E7851">
        <w:t>[10]</w:t>
      </w:r>
      <w:r w:rsidR="006229C1">
        <w:t>.</w:t>
      </w:r>
      <w:r w:rsidR="00CE2EFD">
        <w:t xml:space="preserve"> </w:t>
      </w:r>
    </w:p>
    <w:p w14:paraId="2399AD9E" w14:textId="5C66390B" w:rsidR="00AC768D" w:rsidRPr="00C713B3" w:rsidRDefault="00720065" w:rsidP="00D17D93">
      <w:pPr>
        <w:pStyle w:val="BodyText"/>
      </w:pPr>
      <w:r>
        <w:t>This section introduces the dynamic models on which the overall system is buil</w:t>
      </w:r>
      <w:r w:rsidR="003B6613">
        <w:t>t</w:t>
      </w:r>
      <w:r>
        <w:t xml:space="preserve"> upon, i.e., the nuclear steam supply system (NSSS), the </w:t>
      </w:r>
      <w:r w:rsidR="008736C0">
        <w:t xml:space="preserve">conventional island - </w:t>
      </w:r>
      <w:r>
        <w:t xml:space="preserve">balance of plant (BOP), and the thermal energy storage system (TES). </w:t>
      </w:r>
      <w:r w:rsidR="009A728A">
        <w:t>Thereaf</w:t>
      </w:r>
      <w:r w:rsidR="00206868">
        <w:t>ter</w:t>
      </w:r>
      <w:r w:rsidR="008B0E68">
        <w:t xml:space="preserve">, the overall model is presented. </w:t>
      </w:r>
      <w:r w:rsidR="007C6F85">
        <w:t xml:space="preserve">The latter dynamic model is used to explore the system’s response </w:t>
      </w:r>
      <w:r w:rsidR="00460D98">
        <w:t xml:space="preserve">in several scenarios, </w:t>
      </w:r>
      <w:r w:rsidR="00C82A37">
        <w:t>monitoring</w:t>
      </w:r>
      <w:r w:rsidR="00010808">
        <w:t xml:space="preserve"> the behaviour of </w:t>
      </w:r>
      <w:r w:rsidR="00852FD4">
        <w:t>critical</w:t>
      </w:r>
      <w:r w:rsidR="00010808">
        <w:t xml:space="preserve"> process variables</w:t>
      </w:r>
      <w:r w:rsidR="00C82A37">
        <w:t xml:space="preserve"> such as</w:t>
      </w:r>
      <w:r w:rsidR="00D56A66">
        <w:t xml:space="preserve"> the power flows and temperature and pressure levels of the system. </w:t>
      </w:r>
      <w:r w:rsidR="00756339">
        <w:t xml:space="preserve">As a result, it is possible to assess </w:t>
      </w:r>
      <w:r w:rsidR="00587114">
        <w:t>whether</w:t>
      </w:r>
      <w:r w:rsidR="00756339">
        <w:t xml:space="preserve"> a certain perturbation or operational strategy cause</w:t>
      </w:r>
      <w:r w:rsidR="00587114">
        <w:t>s</w:t>
      </w:r>
      <w:r w:rsidR="00756339">
        <w:t xml:space="preserve"> the </w:t>
      </w:r>
      <w:r w:rsidR="003B425A">
        <w:t xml:space="preserve">system to depart from its </w:t>
      </w:r>
      <w:r w:rsidR="00143CE2">
        <w:t>operational limits</w:t>
      </w:r>
      <w:r w:rsidR="00AD3761">
        <w:t xml:space="preserve"> and </w:t>
      </w:r>
      <w:r w:rsidR="002B2199">
        <w:t>their</w:t>
      </w:r>
      <w:r w:rsidR="00AD3761">
        <w:t xml:space="preserve"> </w:t>
      </w:r>
      <w:r w:rsidR="002A09FB">
        <w:t>implications</w:t>
      </w:r>
      <w:r w:rsidR="00AD3761">
        <w:t xml:space="preserve"> on the </w:t>
      </w:r>
      <w:r w:rsidR="00957FF5">
        <w:t>overall performance</w:t>
      </w:r>
      <w:r w:rsidR="00143CE2">
        <w:t xml:space="preserve">. In this context, it is possible </w:t>
      </w:r>
      <w:r w:rsidR="005233A7">
        <w:t xml:space="preserve">to implement and investigate the impact of different control </w:t>
      </w:r>
      <w:r w:rsidR="003D1665">
        <w:t>schemes</w:t>
      </w:r>
      <w:r w:rsidR="005233A7">
        <w:t xml:space="preserve"> to manage the operation of the integrat</w:t>
      </w:r>
      <w:r w:rsidR="003D1665">
        <w:t>ed system, determining the most suitable strategy to meet on the one hand the external requirements and on the other hand internal constraints, such as those imposed by safety limits.</w:t>
      </w:r>
    </w:p>
    <w:p w14:paraId="22B53B59" w14:textId="53D67993" w:rsidR="00516C29" w:rsidRDefault="00720065" w:rsidP="00516C29">
      <w:pPr>
        <w:pStyle w:val="Heading3"/>
      </w:pPr>
      <w:r>
        <w:t>Nuclear Steam Supply System</w:t>
      </w:r>
    </w:p>
    <w:p w14:paraId="344010FA" w14:textId="7083D25C" w:rsidR="00B979F5" w:rsidRDefault="000958E3" w:rsidP="00B979F5">
      <w:pPr>
        <w:pStyle w:val="BodyText"/>
      </w:pPr>
      <w:r>
        <w:t xml:space="preserve">The reference reactor design considered for the </w:t>
      </w:r>
      <w:r w:rsidR="00BE38BF">
        <w:t xml:space="preserve">analysis and in the frame of the TANDEM project is the European SMR (E-SMR), a conceptual pressurizer light-water cooled SMR design. </w:t>
      </w:r>
      <w:r w:rsidR="00D2433B">
        <w:t xml:space="preserve">The operational parameters </w:t>
      </w:r>
      <w:r w:rsidR="00AD1339">
        <w:t>for this SMR are displayed in Table 1.</w:t>
      </w:r>
    </w:p>
    <w:p w14:paraId="40A0D846" w14:textId="77777777" w:rsidR="00F71AC4" w:rsidRDefault="00F71AC4" w:rsidP="00B979F5">
      <w:pPr>
        <w:pStyle w:val="BodyText"/>
      </w:pPr>
    </w:p>
    <w:p w14:paraId="0B4D445A" w14:textId="36F5F26C" w:rsidR="00360243" w:rsidRPr="0032223C" w:rsidRDefault="00360243" w:rsidP="00360243">
      <w:pPr>
        <w:pStyle w:val="BodyText"/>
        <w:ind w:firstLine="0"/>
      </w:pPr>
      <w:bookmarkStart w:id="2" w:name="OLE_LINK1"/>
      <w:bookmarkStart w:id="3" w:name="OLE_LINK2"/>
      <w:r w:rsidRPr="0032223C">
        <w:t>TABLE 1.</w:t>
      </w:r>
      <w:r w:rsidRPr="0032223C">
        <w:tab/>
      </w:r>
      <w:r>
        <w:t xml:space="preserve">E-SMR </w:t>
      </w:r>
      <w:r w:rsidR="00570125">
        <w:t>DESIGN</w:t>
      </w:r>
      <w:r>
        <w:t xml:space="preserve"> PARAMETERS</w:t>
      </w:r>
      <w:r w:rsidR="007C61BD">
        <w:t xml:space="preserve"> </w:t>
      </w:r>
      <w:r w:rsidR="006B3159">
        <w:t>[11]</w:t>
      </w:r>
      <w:r>
        <w:t>.</w:t>
      </w:r>
    </w:p>
    <w:p w14:paraId="2E43E020" w14:textId="77777777" w:rsidR="00360243" w:rsidRPr="0032223C" w:rsidRDefault="00360243" w:rsidP="00360243">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41"/>
        <w:gridCol w:w="1742"/>
      </w:tblGrid>
      <w:tr w:rsidR="00360243" w:rsidRPr="0032223C" w14:paraId="0C24BC91" w14:textId="77777777" w:rsidTr="007C61BD">
        <w:trPr>
          <w:jc w:val="center"/>
        </w:trPr>
        <w:tc>
          <w:tcPr>
            <w:tcW w:w="2835" w:type="dxa"/>
            <w:tcBorders>
              <w:top w:val="single" w:sz="4" w:space="0" w:color="auto"/>
              <w:bottom w:val="single" w:sz="4" w:space="0" w:color="auto"/>
            </w:tcBorders>
          </w:tcPr>
          <w:p w14:paraId="7CFA04A3" w14:textId="77777777" w:rsidR="00360243" w:rsidRPr="0032223C" w:rsidRDefault="00360243" w:rsidP="00453973">
            <w:pPr>
              <w:pStyle w:val="BodyText"/>
              <w:ind w:firstLine="0"/>
            </w:pPr>
            <w:r>
              <w:t>Parameter</w:t>
            </w:r>
          </w:p>
        </w:tc>
        <w:tc>
          <w:tcPr>
            <w:tcW w:w="1741" w:type="dxa"/>
            <w:tcBorders>
              <w:top w:val="single" w:sz="4" w:space="0" w:color="auto"/>
              <w:bottom w:val="single" w:sz="4" w:space="0" w:color="auto"/>
            </w:tcBorders>
          </w:tcPr>
          <w:p w14:paraId="1E90D954" w14:textId="633ED2D1" w:rsidR="00360243" w:rsidRPr="0032223C" w:rsidRDefault="00360243" w:rsidP="00360243">
            <w:pPr>
              <w:pStyle w:val="BodyText"/>
              <w:tabs>
                <w:tab w:val="center" w:pos="762"/>
              </w:tabs>
              <w:ind w:firstLine="0"/>
              <w:jc w:val="left"/>
            </w:pPr>
            <w:r>
              <w:tab/>
              <w:t>Value</w:t>
            </w:r>
          </w:p>
        </w:tc>
        <w:tc>
          <w:tcPr>
            <w:tcW w:w="1742" w:type="dxa"/>
            <w:tcBorders>
              <w:top w:val="single" w:sz="4" w:space="0" w:color="auto"/>
              <w:bottom w:val="single" w:sz="4" w:space="0" w:color="auto"/>
            </w:tcBorders>
          </w:tcPr>
          <w:p w14:paraId="35EE2596" w14:textId="77777777" w:rsidR="00360243" w:rsidRPr="0032223C" w:rsidRDefault="00360243" w:rsidP="00453973">
            <w:pPr>
              <w:pStyle w:val="BodyText"/>
              <w:ind w:firstLine="0"/>
              <w:jc w:val="center"/>
            </w:pPr>
            <w:r>
              <w:t>Unit</w:t>
            </w:r>
          </w:p>
        </w:tc>
      </w:tr>
      <w:tr w:rsidR="00360243" w:rsidRPr="0032223C" w14:paraId="1B5C2DEC" w14:textId="77777777" w:rsidTr="007C61BD">
        <w:trPr>
          <w:jc w:val="center"/>
        </w:trPr>
        <w:tc>
          <w:tcPr>
            <w:tcW w:w="2835" w:type="dxa"/>
            <w:tcBorders>
              <w:top w:val="single" w:sz="4" w:space="0" w:color="auto"/>
            </w:tcBorders>
          </w:tcPr>
          <w:p w14:paraId="7862CEAE" w14:textId="4B96621D" w:rsidR="00360243" w:rsidRPr="0032223C" w:rsidRDefault="00360243" w:rsidP="00453973">
            <w:pPr>
              <w:pStyle w:val="BodyText"/>
              <w:ind w:firstLine="0"/>
            </w:pPr>
            <w:r>
              <w:rPr>
                <w:rStyle w:val="TabletextChar"/>
              </w:rPr>
              <w:t>Reactor thermal power</w:t>
            </w:r>
          </w:p>
        </w:tc>
        <w:tc>
          <w:tcPr>
            <w:tcW w:w="1741" w:type="dxa"/>
            <w:tcBorders>
              <w:top w:val="single" w:sz="4" w:space="0" w:color="auto"/>
            </w:tcBorders>
          </w:tcPr>
          <w:p w14:paraId="019FD869" w14:textId="77777777" w:rsidR="00360243" w:rsidRPr="0032223C" w:rsidRDefault="00360243" w:rsidP="00453973">
            <w:pPr>
              <w:pStyle w:val="BodyText"/>
              <w:ind w:firstLine="0"/>
              <w:jc w:val="right"/>
            </w:pPr>
            <w:r>
              <w:t>540</w:t>
            </w:r>
          </w:p>
        </w:tc>
        <w:tc>
          <w:tcPr>
            <w:tcW w:w="1742" w:type="dxa"/>
            <w:tcBorders>
              <w:top w:val="single" w:sz="4" w:space="0" w:color="auto"/>
            </w:tcBorders>
          </w:tcPr>
          <w:p w14:paraId="6C3DD689" w14:textId="77777777" w:rsidR="00360243" w:rsidRPr="0032223C" w:rsidRDefault="00360243" w:rsidP="00453973">
            <w:pPr>
              <w:pStyle w:val="BodyText"/>
              <w:ind w:firstLine="0"/>
              <w:jc w:val="left"/>
            </w:pPr>
            <w:r>
              <w:t>MWth</w:t>
            </w:r>
          </w:p>
        </w:tc>
      </w:tr>
      <w:tr w:rsidR="00360243" w:rsidRPr="0032223C" w14:paraId="56AACFC3" w14:textId="77777777" w:rsidTr="007C61BD">
        <w:trPr>
          <w:jc w:val="center"/>
        </w:trPr>
        <w:tc>
          <w:tcPr>
            <w:tcW w:w="2835" w:type="dxa"/>
          </w:tcPr>
          <w:p w14:paraId="3A5A882F" w14:textId="5C3A4A2E" w:rsidR="00360243" w:rsidRPr="0032223C" w:rsidRDefault="00E315C4" w:rsidP="00453973">
            <w:pPr>
              <w:pStyle w:val="BodyText"/>
              <w:ind w:firstLine="0"/>
            </w:pPr>
            <w:r>
              <w:t>Core i</w:t>
            </w:r>
            <w:r w:rsidR="00360243">
              <w:t>nlet temperature</w:t>
            </w:r>
          </w:p>
        </w:tc>
        <w:tc>
          <w:tcPr>
            <w:tcW w:w="1741" w:type="dxa"/>
          </w:tcPr>
          <w:p w14:paraId="3E27378F" w14:textId="0C82E326" w:rsidR="00360243" w:rsidRPr="0032223C" w:rsidRDefault="00E5675E" w:rsidP="00453973">
            <w:pPr>
              <w:pStyle w:val="BodyText"/>
              <w:ind w:firstLine="0"/>
              <w:jc w:val="right"/>
            </w:pPr>
            <w:r>
              <w:t>300</w:t>
            </w:r>
          </w:p>
        </w:tc>
        <w:tc>
          <w:tcPr>
            <w:tcW w:w="1742" w:type="dxa"/>
          </w:tcPr>
          <w:p w14:paraId="018B438B" w14:textId="77777777" w:rsidR="00360243" w:rsidRPr="0032223C" w:rsidRDefault="00360243" w:rsidP="00453973">
            <w:pPr>
              <w:pStyle w:val="BodyText"/>
              <w:ind w:firstLine="0"/>
              <w:jc w:val="left"/>
            </w:pPr>
            <w:r>
              <w:t>°C</w:t>
            </w:r>
          </w:p>
        </w:tc>
      </w:tr>
      <w:tr w:rsidR="00360243" w:rsidRPr="0032223C" w14:paraId="7BB7E837" w14:textId="77777777" w:rsidTr="007C61BD">
        <w:trPr>
          <w:jc w:val="center"/>
        </w:trPr>
        <w:tc>
          <w:tcPr>
            <w:tcW w:w="2835" w:type="dxa"/>
          </w:tcPr>
          <w:p w14:paraId="71F14261" w14:textId="7F74AF56" w:rsidR="00360243" w:rsidRDefault="00E315C4" w:rsidP="00453973">
            <w:pPr>
              <w:pStyle w:val="BodyText"/>
              <w:ind w:firstLine="0"/>
            </w:pPr>
            <w:r>
              <w:t>Core outlet</w:t>
            </w:r>
            <w:r w:rsidR="00360243">
              <w:t xml:space="preserve"> temperature</w:t>
            </w:r>
          </w:p>
        </w:tc>
        <w:tc>
          <w:tcPr>
            <w:tcW w:w="1741" w:type="dxa"/>
          </w:tcPr>
          <w:p w14:paraId="4F8C8709" w14:textId="65497685" w:rsidR="00360243" w:rsidRDefault="00360243" w:rsidP="00453973">
            <w:pPr>
              <w:pStyle w:val="BodyText"/>
              <w:ind w:firstLine="0"/>
              <w:jc w:val="right"/>
            </w:pPr>
            <w:r>
              <w:t>3</w:t>
            </w:r>
            <w:r w:rsidR="00E5675E">
              <w:t>24.5</w:t>
            </w:r>
          </w:p>
        </w:tc>
        <w:tc>
          <w:tcPr>
            <w:tcW w:w="1742" w:type="dxa"/>
          </w:tcPr>
          <w:p w14:paraId="5D255197" w14:textId="77777777" w:rsidR="00360243" w:rsidRDefault="00360243" w:rsidP="00453973">
            <w:pPr>
              <w:pStyle w:val="BodyText"/>
              <w:ind w:firstLine="0"/>
              <w:jc w:val="left"/>
            </w:pPr>
            <w:r>
              <w:t>°C</w:t>
            </w:r>
          </w:p>
        </w:tc>
      </w:tr>
      <w:tr w:rsidR="00360243" w:rsidRPr="0032223C" w14:paraId="3B9D627E" w14:textId="77777777" w:rsidTr="007C61BD">
        <w:trPr>
          <w:jc w:val="center"/>
        </w:trPr>
        <w:tc>
          <w:tcPr>
            <w:tcW w:w="2835" w:type="dxa"/>
          </w:tcPr>
          <w:p w14:paraId="5954886E" w14:textId="65DFDAE6" w:rsidR="00360243" w:rsidRDefault="00E315C4" w:rsidP="00453973">
            <w:pPr>
              <w:pStyle w:val="BodyText"/>
              <w:ind w:firstLine="0"/>
            </w:pPr>
            <w:r>
              <w:t>Primary coolant pressure</w:t>
            </w:r>
          </w:p>
        </w:tc>
        <w:tc>
          <w:tcPr>
            <w:tcW w:w="1741" w:type="dxa"/>
          </w:tcPr>
          <w:p w14:paraId="1B02C6F2" w14:textId="5E76152E" w:rsidR="00360243" w:rsidRDefault="00AE383B" w:rsidP="00453973">
            <w:pPr>
              <w:pStyle w:val="BodyText"/>
              <w:ind w:firstLine="0"/>
              <w:jc w:val="right"/>
            </w:pPr>
            <w:r>
              <w:t>150</w:t>
            </w:r>
          </w:p>
        </w:tc>
        <w:tc>
          <w:tcPr>
            <w:tcW w:w="1742" w:type="dxa"/>
          </w:tcPr>
          <w:p w14:paraId="5496E35E" w14:textId="77777777" w:rsidR="00360243" w:rsidRDefault="00360243" w:rsidP="00453973">
            <w:pPr>
              <w:pStyle w:val="BodyText"/>
              <w:ind w:firstLine="0"/>
              <w:jc w:val="left"/>
            </w:pPr>
            <w:r>
              <w:t>bar</w:t>
            </w:r>
          </w:p>
        </w:tc>
      </w:tr>
      <w:tr w:rsidR="007C61BD" w:rsidRPr="0032223C" w14:paraId="3AB6CB18" w14:textId="77777777" w:rsidTr="007C61BD">
        <w:trPr>
          <w:jc w:val="center"/>
        </w:trPr>
        <w:tc>
          <w:tcPr>
            <w:tcW w:w="2835" w:type="dxa"/>
          </w:tcPr>
          <w:p w14:paraId="197F79B6" w14:textId="2DDC4F4F" w:rsidR="007C61BD" w:rsidRDefault="007C61BD" w:rsidP="00453973">
            <w:pPr>
              <w:pStyle w:val="BodyText"/>
              <w:ind w:firstLine="0"/>
            </w:pPr>
            <w:r>
              <w:t>Feedwater inlet temperature</w:t>
            </w:r>
          </w:p>
        </w:tc>
        <w:tc>
          <w:tcPr>
            <w:tcW w:w="1741" w:type="dxa"/>
          </w:tcPr>
          <w:p w14:paraId="4A6CEDFE" w14:textId="1A50EB68" w:rsidR="007C61BD" w:rsidRDefault="00AE383B" w:rsidP="00453973">
            <w:pPr>
              <w:pStyle w:val="BodyText"/>
              <w:ind w:firstLine="0"/>
              <w:jc w:val="right"/>
            </w:pPr>
            <w:r>
              <w:t>163.8</w:t>
            </w:r>
          </w:p>
        </w:tc>
        <w:tc>
          <w:tcPr>
            <w:tcW w:w="1742" w:type="dxa"/>
          </w:tcPr>
          <w:p w14:paraId="4FF30FED" w14:textId="671A7107" w:rsidR="007C61BD" w:rsidRDefault="00AE383B" w:rsidP="00453973">
            <w:pPr>
              <w:pStyle w:val="BodyText"/>
              <w:ind w:firstLine="0"/>
              <w:jc w:val="left"/>
            </w:pPr>
            <w:r>
              <w:t>°C</w:t>
            </w:r>
          </w:p>
        </w:tc>
      </w:tr>
      <w:tr w:rsidR="007C61BD" w:rsidRPr="0032223C" w14:paraId="1EA2B118" w14:textId="77777777" w:rsidTr="007C61BD">
        <w:trPr>
          <w:jc w:val="center"/>
        </w:trPr>
        <w:tc>
          <w:tcPr>
            <w:tcW w:w="2835" w:type="dxa"/>
          </w:tcPr>
          <w:p w14:paraId="2EA3D3DB" w14:textId="767B55C7" w:rsidR="007C61BD" w:rsidRDefault="007C61BD" w:rsidP="00453973">
            <w:pPr>
              <w:pStyle w:val="BodyText"/>
              <w:ind w:firstLine="0"/>
            </w:pPr>
            <w:r>
              <w:t>Steam outlet temperature</w:t>
            </w:r>
          </w:p>
        </w:tc>
        <w:tc>
          <w:tcPr>
            <w:tcW w:w="1741" w:type="dxa"/>
          </w:tcPr>
          <w:p w14:paraId="5E03407D" w14:textId="378364C1" w:rsidR="007C61BD" w:rsidRDefault="00EE3659" w:rsidP="00453973">
            <w:pPr>
              <w:pStyle w:val="BodyText"/>
              <w:ind w:firstLine="0"/>
              <w:jc w:val="right"/>
            </w:pPr>
            <w:r>
              <w:t>300</w:t>
            </w:r>
          </w:p>
        </w:tc>
        <w:tc>
          <w:tcPr>
            <w:tcW w:w="1742" w:type="dxa"/>
          </w:tcPr>
          <w:p w14:paraId="3DCDE3A3" w14:textId="5F1AFD00" w:rsidR="007C61BD" w:rsidRDefault="00EE3659" w:rsidP="00453973">
            <w:pPr>
              <w:pStyle w:val="BodyText"/>
              <w:ind w:firstLine="0"/>
              <w:jc w:val="left"/>
            </w:pPr>
            <w:r>
              <w:t>°C</w:t>
            </w:r>
          </w:p>
        </w:tc>
      </w:tr>
      <w:tr w:rsidR="00590A3D" w:rsidRPr="0032223C" w14:paraId="678FEC32" w14:textId="77777777" w:rsidTr="007C61BD">
        <w:trPr>
          <w:jc w:val="center"/>
        </w:trPr>
        <w:tc>
          <w:tcPr>
            <w:tcW w:w="2835" w:type="dxa"/>
          </w:tcPr>
          <w:p w14:paraId="5EA48771" w14:textId="50100636" w:rsidR="00590A3D" w:rsidRDefault="00DD14E9" w:rsidP="00453973">
            <w:pPr>
              <w:pStyle w:val="BodyText"/>
              <w:ind w:firstLine="0"/>
            </w:pPr>
            <w:r>
              <w:t>Secondary coolant pressure</w:t>
            </w:r>
          </w:p>
        </w:tc>
        <w:tc>
          <w:tcPr>
            <w:tcW w:w="1741" w:type="dxa"/>
          </w:tcPr>
          <w:p w14:paraId="68ECEA4B" w14:textId="3699F329" w:rsidR="00590A3D" w:rsidRDefault="00DD14E9" w:rsidP="00453973">
            <w:pPr>
              <w:pStyle w:val="BodyText"/>
              <w:ind w:firstLine="0"/>
              <w:jc w:val="right"/>
            </w:pPr>
            <w:r>
              <w:t>45</w:t>
            </w:r>
          </w:p>
        </w:tc>
        <w:tc>
          <w:tcPr>
            <w:tcW w:w="1742" w:type="dxa"/>
          </w:tcPr>
          <w:p w14:paraId="63E51CD4" w14:textId="1B220B7E" w:rsidR="00590A3D" w:rsidRDefault="00DD14E9" w:rsidP="00453973">
            <w:pPr>
              <w:pStyle w:val="BodyText"/>
              <w:ind w:firstLine="0"/>
              <w:jc w:val="left"/>
            </w:pPr>
            <w:r>
              <w:t>bar</w:t>
            </w:r>
          </w:p>
        </w:tc>
      </w:tr>
      <w:bookmarkEnd w:id="2"/>
      <w:bookmarkEnd w:id="3"/>
    </w:tbl>
    <w:p w14:paraId="5D41101A" w14:textId="77777777" w:rsidR="003824B2" w:rsidRDefault="003824B2" w:rsidP="00C713B3">
      <w:pPr>
        <w:pStyle w:val="BodyText"/>
        <w:ind w:firstLine="0"/>
      </w:pPr>
    </w:p>
    <w:p w14:paraId="54A88667" w14:textId="53D7C733" w:rsidR="003824B2" w:rsidRDefault="0094102D" w:rsidP="003824B2">
      <w:pPr>
        <w:pStyle w:val="BodyText"/>
      </w:pPr>
      <w:r>
        <w:lastRenderedPageBreak/>
        <w:t xml:space="preserve">The dynamic model for this </w:t>
      </w:r>
      <w:r w:rsidR="00EE77B2">
        <w:t>NSSS</w:t>
      </w:r>
      <w:r w:rsidR="0079561B">
        <w:t xml:space="preserve"> </w:t>
      </w:r>
      <w:r w:rsidR="009F3011">
        <w:t>is based</w:t>
      </w:r>
      <w:r w:rsidR="0030497F">
        <w:t xml:space="preserve"> on</w:t>
      </w:r>
      <w:r w:rsidR="001E14D3">
        <w:t xml:space="preserve"> components </w:t>
      </w:r>
      <w:r w:rsidR="0030497F">
        <w:t>from</w:t>
      </w:r>
      <w:r w:rsidR="001E14D3">
        <w:t xml:space="preserve"> the </w:t>
      </w:r>
      <w:proofErr w:type="spellStart"/>
      <w:r w:rsidR="001E14D3">
        <w:t>Thermo</w:t>
      </w:r>
      <w:r w:rsidR="0028665E">
        <w:t>Power</w:t>
      </w:r>
      <w:proofErr w:type="spellEnd"/>
      <w:r w:rsidR="0028665E">
        <w:t xml:space="preserve"> library, an open-source library for the modelling of thermal power plants and energy conversion systems </w:t>
      </w:r>
      <w:r w:rsidR="00905F17">
        <w:t>[12]</w:t>
      </w:r>
      <w:r w:rsidR="0028665E">
        <w:t>.</w:t>
      </w:r>
      <w:r w:rsidR="00272FD9">
        <w:t xml:space="preserve"> </w:t>
      </w:r>
      <w:r w:rsidR="002A013A">
        <w:t>In addition</w:t>
      </w:r>
      <w:r w:rsidR="00272FD9">
        <w:t xml:space="preserve">, models </w:t>
      </w:r>
      <w:r w:rsidR="007D1B8D">
        <w:t xml:space="preserve">dedicated to </w:t>
      </w:r>
      <w:r w:rsidR="00715CC7">
        <w:t>simulating</w:t>
      </w:r>
      <w:r w:rsidR="007D1B8D">
        <w:t xml:space="preserve"> the </w:t>
      </w:r>
      <w:r w:rsidR="008B7E51">
        <w:t xml:space="preserve">behaviour of specific nuclear reactor components, such as the core, the </w:t>
      </w:r>
      <w:r w:rsidR="00F075A4">
        <w:t xml:space="preserve">pressurizer, and the steam generator, </w:t>
      </w:r>
      <w:r w:rsidR="00303C19">
        <w:t>have been</w:t>
      </w:r>
      <w:r w:rsidR="00F075A4">
        <w:t xml:space="preserve"> deve</w:t>
      </w:r>
      <w:r w:rsidR="0046755F">
        <w:t xml:space="preserve">loped within the scope of the TANDEM project. </w:t>
      </w:r>
      <w:r w:rsidR="000C3EB1">
        <w:t>The</w:t>
      </w:r>
      <w:r w:rsidR="00715CC7">
        <w:t xml:space="preserve"> core model relies on point kinetics equations</w:t>
      </w:r>
      <w:r w:rsidR="00C94EDA">
        <w:t xml:space="preserve"> to describe the neutronic behaviour, with the system’s reactivity </w:t>
      </w:r>
      <w:r w:rsidR="001B2F77">
        <w:t>determined by the external reactivity insertion through control rod displacement</w:t>
      </w:r>
      <w:r w:rsidR="00E13ABB">
        <w:t>s</w:t>
      </w:r>
      <w:r w:rsidR="005413A8">
        <w:t xml:space="preserve"> as well as Doppler, moderator temperature</w:t>
      </w:r>
      <w:r w:rsidR="00E13ABB">
        <w:t>,</w:t>
      </w:r>
      <w:r w:rsidR="005413A8">
        <w:t xml:space="preserve"> and Xenon poisoning </w:t>
      </w:r>
      <w:r w:rsidR="004009FF">
        <w:t>reactivity feedback</w:t>
      </w:r>
      <w:r w:rsidR="00E61A85">
        <w:t>s</w:t>
      </w:r>
      <w:r w:rsidR="004009FF">
        <w:t>.</w:t>
      </w:r>
      <w:r w:rsidR="00397F28">
        <w:t xml:space="preserve"> The </w:t>
      </w:r>
      <w:r w:rsidR="00B824E9">
        <w:t xml:space="preserve">resulting fission power </w:t>
      </w:r>
      <w:r w:rsidR="00DE1276">
        <w:t>serves as</w:t>
      </w:r>
      <w:r w:rsidR="008C1EF5">
        <w:t xml:space="preserve"> a heat source in the fuel thermal model, </w:t>
      </w:r>
      <w:r w:rsidR="005E112E">
        <w:t>which is used to assess the temperature levels in the fuel pellets, the cladding</w:t>
      </w:r>
      <w:r w:rsidR="0088696B">
        <w:t xml:space="preserve">, and the fuel-cladding gap through the time-dependent Fourier equation. </w:t>
      </w:r>
      <w:r w:rsidR="00FD23EC" w:rsidRPr="00FD23EC">
        <w:t xml:space="preserve">The primary coolant flow within the NSSS is simulated using components from the </w:t>
      </w:r>
      <w:proofErr w:type="spellStart"/>
      <w:r w:rsidR="00FD23EC" w:rsidRPr="00FD23EC">
        <w:t>ThermoPower</w:t>
      </w:r>
      <w:proofErr w:type="spellEnd"/>
      <w:r w:rsidR="00FD23EC" w:rsidRPr="00FD23EC">
        <w:t xml:space="preserve"> library</w:t>
      </w:r>
      <w:r w:rsidR="008F6EC0">
        <w:t>’</w:t>
      </w:r>
      <w:r w:rsidR="00FD23EC" w:rsidRPr="00FD23EC">
        <w:t xml:space="preserve">s </w:t>
      </w:r>
      <w:r w:rsidR="00FD23EC" w:rsidRPr="00FD23EC">
        <w:rPr>
          <w:i/>
          <w:iCs/>
        </w:rPr>
        <w:t>Water</w:t>
      </w:r>
      <w:r w:rsidR="00FD23EC" w:rsidRPr="00FD23EC">
        <w:t xml:space="preserve"> package, with a one-dimensional finite volume approach applied to model the coolant</w:t>
      </w:r>
      <w:r w:rsidR="003D4062">
        <w:t>’</w:t>
      </w:r>
      <w:r w:rsidR="00FD23EC" w:rsidRPr="00FD23EC">
        <w:t>s thermal-hydraulics as it flows through the core subchannels, riser, downcomer, and once-through compact steam generator channels.</w:t>
      </w:r>
      <w:r w:rsidR="00B53D2F">
        <w:t xml:space="preserve"> </w:t>
      </w:r>
      <w:r w:rsidR="00017984">
        <w:t>Moreover, t</w:t>
      </w:r>
      <w:r w:rsidR="009C377F">
        <w:t xml:space="preserve">he </w:t>
      </w:r>
      <w:r w:rsidR="002A5E21">
        <w:t xml:space="preserve">system’s pressure </w:t>
      </w:r>
      <w:r w:rsidR="009C377F">
        <w:t xml:space="preserve">dynamics </w:t>
      </w:r>
      <w:r w:rsidR="002A5E21">
        <w:t xml:space="preserve">are </w:t>
      </w:r>
      <w:r w:rsidR="009C377F">
        <w:t xml:space="preserve">governed by the pressurizer, </w:t>
      </w:r>
      <w:r w:rsidR="00E37714">
        <w:t xml:space="preserve">which is </w:t>
      </w:r>
      <w:r w:rsidR="009C377F">
        <w:t xml:space="preserve">modelled assuming thermal equilibrium between the liquid and vapour </w:t>
      </w:r>
      <w:r w:rsidR="00095E48">
        <w:t>phase</w:t>
      </w:r>
      <w:r w:rsidR="00E37714">
        <w:t>s</w:t>
      </w:r>
      <w:r w:rsidR="00095E48">
        <w:t xml:space="preserve">. </w:t>
      </w:r>
    </w:p>
    <w:p w14:paraId="1233CE64" w14:textId="4CBED972" w:rsidR="00BB05F6" w:rsidRPr="00C713B3" w:rsidRDefault="001F65F3" w:rsidP="00F93C68">
      <w:pPr>
        <w:pStyle w:val="BodyText"/>
      </w:pPr>
      <w:r>
        <w:t xml:space="preserve">The latter model encompasses several actuators, namely sprayers and electrical heaters, that are regulated to </w:t>
      </w:r>
      <w:r w:rsidR="002E3C6C">
        <w:t xml:space="preserve">keep the NSSS pressure close to its nominal value. </w:t>
      </w:r>
      <w:r w:rsidR="00B74A26">
        <w:t xml:space="preserve">This operation is </w:t>
      </w:r>
      <w:r w:rsidR="009B3A97">
        <w:t>overseen</w:t>
      </w:r>
      <w:r w:rsidR="00B74A26">
        <w:t xml:space="preserve"> by a dedicated external controller, which</w:t>
      </w:r>
      <w:r w:rsidR="009B3A97">
        <w:t xml:space="preserve"> also</w:t>
      </w:r>
      <w:r w:rsidR="00B74A26">
        <w:t xml:space="preserve"> incl</w:t>
      </w:r>
      <w:r w:rsidR="00123EEC">
        <w:t>udes a second control loop dedicated to</w:t>
      </w:r>
      <w:r w:rsidR="00AD0E8F">
        <w:t xml:space="preserve"> </w:t>
      </w:r>
      <w:r w:rsidR="000430E8">
        <w:t>adjusting</w:t>
      </w:r>
      <w:r w:rsidR="00123EEC">
        <w:t xml:space="preserve"> the external reactivity insertion in the core. </w:t>
      </w:r>
      <w:r w:rsidR="000430E8">
        <w:t xml:space="preserve">In this </w:t>
      </w:r>
      <w:r w:rsidR="00903030">
        <w:t>scheme</w:t>
      </w:r>
      <w:r w:rsidR="000430E8">
        <w:t xml:space="preserve">, a </w:t>
      </w:r>
      <w:r w:rsidR="008B14BB">
        <w:t>proportional-integral (</w:t>
      </w:r>
      <w:r w:rsidR="000430E8">
        <w:t>PI</w:t>
      </w:r>
      <w:r w:rsidR="008B14BB">
        <w:t>)</w:t>
      </w:r>
      <w:r w:rsidR="000430E8">
        <w:t xml:space="preserve"> controller is </w:t>
      </w:r>
      <w:r w:rsidR="00903030">
        <w:t>used</w:t>
      </w:r>
      <w:r w:rsidR="000430E8">
        <w:t xml:space="preserve"> to regulate the reactivity </w:t>
      </w:r>
      <w:r w:rsidR="00E077CB">
        <w:t xml:space="preserve">insertion to </w:t>
      </w:r>
      <w:r w:rsidR="001F5D1C">
        <w:t>ensure that</w:t>
      </w:r>
      <w:r w:rsidR="00E077CB">
        <w:t xml:space="preserve"> the average core temperature </w:t>
      </w:r>
      <w:r w:rsidR="001F5D1C">
        <w:t xml:space="preserve">remains </w:t>
      </w:r>
      <w:r w:rsidR="00E077CB">
        <w:t>at its setpoint value.</w:t>
      </w:r>
    </w:p>
    <w:p w14:paraId="14CEC861" w14:textId="5F916BE3" w:rsidR="00516C29" w:rsidRDefault="008736C0" w:rsidP="00516C29">
      <w:pPr>
        <w:pStyle w:val="Heading3"/>
      </w:pPr>
      <w:r>
        <w:t>Conventional island - b</w:t>
      </w:r>
      <w:r w:rsidR="004C6B58">
        <w:t>alance of plant</w:t>
      </w:r>
    </w:p>
    <w:p w14:paraId="6A37A37B" w14:textId="6F519069" w:rsidR="00986B87" w:rsidRDefault="00A6016B" w:rsidP="005F763E">
      <w:pPr>
        <w:pStyle w:val="BodyText"/>
      </w:pPr>
      <w:r w:rsidRPr="00A6016B">
        <w:t xml:space="preserve">The </w:t>
      </w:r>
      <w:r>
        <w:t>B</w:t>
      </w:r>
      <w:r w:rsidR="008736C0">
        <w:t>O</w:t>
      </w:r>
      <w:r>
        <w:t>P</w:t>
      </w:r>
      <w:r w:rsidRPr="00A6016B">
        <w:t xml:space="preserve"> </w:t>
      </w:r>
      <w:r w:rsidR="000D60D1">
        <w:t xml:space="preserve">model </w:t>
      </w:r>
      <w:r w:rsidRPr="00A6016B">
        <w:t xml:space="preserve">is based on the </w:t>
      </w:r>
      <w:proofErr w:type="spellStart"/>
      <w:r w:rsidRPr="00A6016B">
        <w:t>Modelica</w:t>
      </w:r>
      <w:proofErr w:type="spellEnd"/>
      <w:r w:rsidRPr="00A6016B">
        <w:t xml:space="preserve"> </w:t>
      </w:r>
      <w:proofErr w:type="spellStart"/>
      <w:r w:rsidRPr="00A6016B">
        <w:t>ThermoSysPro</w:t>
      </w:r>
      <w:proofErr w:type="spellEnd"/>
      <w:r w:rsidRPr="00A6016B">
        <w:t xml:space="preserve"> library [</w:t>
      </w:r>
      <w:r w:rsidR="00891706">
        <w:t>13</w:t>
      </w:r>
      <w:r w:rsidRPr="00A6016B">
        <w:t>]. First</w:t>
      </w:r>
      <w:r w:rsidR="004537AB">
        <w:t xml:space="preserve">, </w:t>
      </w:r>
      <w:r w:rsidRPr="00A6016B">
        <w:t>a thermodynamic optimization based on the CYCLOP tool [</w:t>
      </w:r>
      <w:r w:rsidR="00891706">
        <w:t>14</w:t>
      </w:r>
      <w:r w:rsidRPr="00A6016B">
        <w:t>] was carried out to define the opt</w:t>
      </w:r>
      <w:r>
        <w:t xml:space="preserve">imal cycle </w:t>
      </w:r>
      <w:r w:rsidR="00F47117">
        <w:t xml:space="preserve">(P, H) </w:t>
      </w:r>
      <w:r>
        <w:t xml:space="preserve">coordinates </w:t>
      </w:r>
      <w:r w:rsidR="0094285D">
        <w:t>as well as</w:t>
      </w:r>
      <w:r w:rsidR="0094285D" w:rsidRPr="0094285D">
        <w:t xml:space="preserve"> the architecture of the cycle to be </w:t>
      </w:r>
      <w:r w:rsidR="000D60D1">
        <w:t>implemented</w:t>
      </w:r>
      <w:r w:rsidR="0094285D" w:rsidRPr="0094285D">
        <w:t xml:space="preserve"> (</w:t>
      </w:r>
      <w:r w:rsidR="00FB7616">
        <w:t xml:space="preserve">finding a good </w:t>
      </w:r>
      <w:r w:rsidR="0094285D" w:rsidRPr="0094285D">
        <w:t>compromise between simplification and representativeness</w:t>
      </w:r>
      <w:r w:rsidR="004537AB">
        <w:t>)</w:t>
      </w:r>
      <w:r w:rsidR="0094285D">
        <w:t>.</w:t>
      </w:r>
      <w:r w:rsidR="0094285D" w:rsidRPr="0094285D">
        <w:t xml:space="preserve"> Steam expansion is performed by high- and low-pressure turbine groups</w:t>
      </w:r>
      <w:r w:rsidR="00986B87">
        <w:t xml:space="preserve">, </w:t>
      </w:r>
      <w:r w:rsidR="00986B87" w:rsidRPr="00986B87">
        <w:t>with a</w:t>
      </w:r>
      <w:r w:rsidR="00986B87">
        <w:t xml:space="preserve"> designed</w:t>
      </w:r>
      <w:r w:rsidR="00986B87" w:rsidRPr="00986B87">
        <w:t xml:space="preserve"> cut-off pressure of approximately</w:t>
      </w:r>
      <w:r w:rsidR="00986B87">
        <w:t xml:space="preserve"> 7.5</w:t>
      </w:r>
      <w:r w:rsidR="0029547A">
        <w:t xml:space="preserve"> </w:t>
      </w:r>
      <w:r w:rsidR="00986B87">
        <w:t>bar</w:t>
      </w:r>
      <w:r w:rsidR="0094285D" w:rsidRPr="0094285D">
        <w:t>, separated by a drying and superheating stage.</w:t>
      </w:r>
      <w:r w:rsidR="00751D7D">
        <w:t xml:space="preserve"> Steam Generator (SG) f</w:t>
      </w:r>
      <w:r w:rsidR="0094285D" w:rsidRPr="0094285D">
        <w:t>eedwater is reheated in two stages</w:t>
      </w:r>
      <w:r w:rsidR="00986B87">
        <w:t xml:space="preserve"> with designed</w:t>
      </w:r>
      <w:r w:rsidR="0077001E">
        <w:t xml:space="preserve"> heating</w:t>
      </w:r>
      <w:r w:rsidR="00986B87">
        <w:t xml:space="preserve"> powers of </w:t>
      </w:r>
      <w:r w:rsidR="00986B87" w:rsidRPr="00986B87">
        <w:t>approximately</w:t>
      </w:r>
      <w:r w:rsidR="00986B87">
        <w:t xml:space="preserve"> 37 MW and 48 MW</w:t>
      </w:r>
      <w:r w:rsidR="0094285D" w:rsidRPr="0094285D">
        <w:t>.</w:t>
      </w:r>
      <w:r w:rsidR="004537AB" w:rsidRPr="004537AB">
        <w:t xml:space="preserve"> </w:t>
      </w:r>
      <w:r w:rsidR="004537AB" w:rsidRPr="00A6016B">
        <w:t xml:space="preserve">A quasi-static </w:t>
      </w:r>
      <w:r w:rsidR="004537AB">
        <w:t xml:space="preserve">modelling </w:t>
      </w:r>
      <w:r w:rsidR="00727252">
        <w:t>is applied</w:t>
      </w:r>
      <w:r w:rsidR="004537AB" w:rsidRPr="00A6016B">
        <w:t xml:space="preserve"> and this approach is </w:t>
      </w:r>
      <w:r w:rsidR="001C4591">
        <w:t xml:space="preserve">considered </w:t>
      </w:r>
      <w:r w:rsidR="004537AB" w:rsidRPr="00A6016B">
        <w:t xml:space="preserve">suitable for the power ramps </w:t>
      </w:r>
      <w:r w:rsidR="001C4591">
        <w:t>involved in</w:t>
      </w:r>
      <w:r w:rsidR="004537AB" w:rsidRPr="00A6016B">
        <w:t xml:space="preserve"> the </w:t>
      </w:r>
      <w:r w:rsidR="004537AB">
        <w:t>study</w:t>
      </w:r>
      <w:r w:rsidR="004537AB" w:rsidRPr="00A6016B">
        <w:t>, which are indeed slow (a few % N</w:t>
      </w:r>
      <w:r w:rsidR="004537AB">
        <w:t xml:space="preserve">ominal </w:t>
      </w:r>
      <w:r w:rsidR="004537AB" w:rsidRPr="00A6016B">
        <w:t>P</w:t>
      </w:r>
      <w:r w:rsidR="004537AB">
        <w:t>ower</w:t>
      </w:r>
      <w:r w:rsidR="004537AB" w:rsidRPr="00A6016B">
        <w:t xml:space="preserve"> per hour, see </w:t>
      </w:r>
      <w:r w:rsidR="008736C0">
        <w:t>S</w:t>
      </w:r>
      <w:r w:rsidR="00727252">
        <w:t xml:space="preserve">ection </w:t>
      </w:r>
      <w:r w:rsidR="004537AB" w:rsidRPr="00A6016B">
        <w:t>2.4).</w:t>
      </w:r>
      <w:r w:rsidR="004537AB">
        <w:t xml:space="preserve"> </w:t>
      </w:r>
      <w:r w:rsidR="0077001E">
        <w:t>Modelling of the</w:t>
      </w:r>
      <w:r w:rsidR="001C4591" w:rsidRPr="001C4591">
        <w:t xml:space="preserve"> partial cycle regimes applied are mainly determined by changing the thermal pinch point of</w:t>
      </w:r>
      <w:r w:rsidR="00FA5868">
        <w:t xml:space="preserve"> the</w:t>
      </w:r>
      <w:r w:rsidR="001C4591" w:rsidRPr="001C4591">
        <w:t xml:space="preserve"> two-phase flow </w:t>
      </w:r>
      <w:r w:rsidR="00F47117">
        <w:t>re</w:t>
      </w:r>
      <w:r w:rsidR="001C4591" w:rsidRPr="001C4591">
        <w:t>heaters</w:t>
      </w:r>
      <w:r w:rsidR="000D60D1">
        <w:t xml:space="preserve"> (th</w:t>
      </w:r>
      <w:r w:rsidR="00FA5868">
        <w:t>r</w:t>
      </w:r>
      <w:r w:rsidR="000D60D1">
        <w:t xml:space="preserve">ough </w:t>
      </w:r>
      <w:proofErr w:type="gramStart"/>
      <w:r w:rsidR="000D60D1">
        <w:t>a Number of</w:t>
      </w:r>
      <w:proofErr w:type="gramEnd"/>
      <w:r w:rsidR="000D60D1">
        <w:t xml:space="preserve"> Transfer Unit modelling of the heat exchangers)</w:t>
      </w:r>
      <w:r w:rsidR="001C4591" w:rsidRPr="001C4591">
        <w:t xml:space="preserve">, as well as by changing the characteristics of the </w:t>
      </w:r>
      <w:r w:rsidR="00F47117">
        <w:t xml:space="preserve">steam </w:t>
      </w:r>
      <w:r w:rsidR="001C4591" w:rsidRPr="001C4591">
        <w:t xml:space="preserve">expansion line (which combines the effect of Stodola's ellipse law and the impact of steam humidity on </w:t>
      </w:r>
      <w:r w:rsidR="00751D7D">
        <w:t xml:space="preserve">flow expansion thermodynamic </w:t>
      </w:r>
      <w:r w:rsidR="00727252">
        <w:t>efficiency</w:t>
      </w:r>
      <w:r w:rsidR="000D60D1">
        <w:t>)</w:t>
      </w:r>
      <w:r w:rsidR="00727252">
        <w:t>. A</w:t>
      </w:r>
      <w:r w:rsidR="00727252" w:rsidRPr="00727252">
        <w:t xml:space="preserve">lthough these approaches to modifying </w:t>
      </w:r>
      <w:proofErr w:type="spellStart"/>
      <w:r w:rsidR="00727252" w:rsidRPr="00727252">
        <w:t>irreversibilities</w:t>
      </w:r>
      <w:proofErr w:type="spellEnd"/>
      <w:r w:rsidR="00727252" w:rsidRPr="00727252">
        <w:t xml:space="preserve"> can be improved, they appear to be </w:t>
      </w:r>
      <w:r w:rsidR="00727252">
        <w:t>reasonable</w:t>
      </w:r>
      <w:r w:rsidR="00727252" w:rsidRPr="00727252">
        <w:t xml:space="preserve"> for the </w:t>
      </w:r>
      <w:r w:rsidR="000D60D1">
        <w:t>changing</w:t>
      </w:r>
      <w:r w:rsidR="00727252" w:rsidRPr="00727252">
        <w:t xml:space="preserve"> power range </w:t>
      </w:r>
      <w:r w:rsidR="00727252">
        <w:t xml:space="preserve">of </w:t>
      </w:r>
      <w:r w:rsidR="00BC0716">
        <w:t>S</w:t>
      </w:r>
      <w:r w:rsidR="00727252">
        <w:t>ection 2.4 and for a conceptual objective</w:t>
      </w:r>
      <w:r w:rsidR="00727252" w:rsidRPr="00727252">
        <w:t>, in the light of a preliminary study</w:t>
      </w:r>
      <w:r w:rsidR="00727252">
        <w:t xml:space="preserve"> </w:t>
      </w:r>
      <w:r w:rsidR="00727252" w:rsidRPr="00A6016B">
        <w:t>[</w:t>
      </w:r>
      <w:r w:rsidR="00891706">
        <w:t>15</w:t>
      </w:r>
      <w:r w:rsidR="00727252">
        <w:t>]</w:t>
      </w:r>
      <w:r w:rsidR="00727252" w:rsidRPr="00727252">
        <w:t>.</w:t>
      </w:r>
      <w:r w:rsidR="00727252">
        <w:t xml:space="preserve"> </w:t>
      </w:r>
      <w:r w:rsidR="00751D7D" w:rsidRPr="00751D7D">
        <w:t xml:space="preserve">The HP </w:t>
      </w:r>
      <w:r w:rsidR="000D60D1">
        <w:t xml:space="preserve">and LP </w:t>
      </w:r>
      <w:r w:rsidR="00751D7D" w:rsidRPr="00751D7D">
        <w:t>turbine inlet</w:t>
      </w:r>
      <w:r w:rsidR="000D60D1">
        <w:t>s</w:t>
      </w:r>
      <w:r w:rsidR="00751D7D" w:rsidRPr="00751D7D">
        <w:t xml:space="preserve"> </w:t>
      </w:r>
      <w:r w:rsidR="000D60D1">
        <w:t>are</w:t>
      </w:r>
      <w:r w:rsidR="00751D7D" w:rsidRPr="00751D7D">
        <w:t xml:space="preserve"> controlled by total steam throttling</w:t>
      </w:r>
      <w:r w:rsidR="00751D7D">
        <w:t xml:space="preserve"> admission</w:t>
      </w:r>
      <w:r w:rsidR="000D60D1">
        <w:t>: both allows accommodating</w:t>
      </w:r>
      <w:r w:rsidR="00751D7D" w:rsidRPr="00751D7D">
        <w:t xml:space="preserve"> sliding</w:t>
      </w:r>
      <w:r w:rsidR="000D60D1">
        <w:t xml:space="preserve"> </w:t>
      </w:r>
      <w:r w:rsidR="005914A0">
        <w:t xml:space="preserve">pressure </w:t>
      </w:r>
      <w:r w:rsidR="000D60D1">
        <w:t>of</w:t>
      </w:r>
      <w:r w:rsidR="00751D7D" w:rsidRPr="00751D7D">
        <w:t xml:space="preserve"> </w:t>
      </w:r>
      <w:r w:rsidR="005914A0">
        <w:t xml:space="preserve">steam </w:t>
      </w:r>
      <w:r w:rsidR="000D60D1">
        <w:t>expansion line</w:t>
      </w:r>
      <w:r w:rsidR="00751D7D" w:rsidRPr="00751D7D">
        <w:t xml:space="preserve">. A second </w:t>
      </w:r>
      <w:r w:rsidR="000D60D1">
        <w:t>control</w:t>
      </w:r>
      <w:r w:rsidR="00751D7D" w:rsidRPr="00751D7D">
        <w:t xml:space="preserve"> is used to fill the steam temperature setpoint of 300°C at the </w:t>
      </w:r>
      <w:r w:rsidR="00751D7D">
        <w:t>SG</w:t>
      </w:r>
      <w:r w:rsidR="00751D7D" w:rsidRPr="00751D7D">
        <w:t xml:space="preserve"> outlet. </w:t>
      </w:r>
      <w:r w:rsidR="000D60D1" w:rsidRPr="000D60D1">
        <w:t xml:space="preserve">It is worth mentioning that although other control approaches could have been applied, the stakes </w:t>
      </w:r>
      <w:r w:rsidR="00FA5868">
        <w:t>could be</w:t>
      </w:r>
      <w:r w:rsidR="000D60D1" w:rsidRPr="000D60D1">
        <w:t xml:space="preserve"> low </w:t>
      </w:r>
      <w:r w:rsidR="00B92335">
        <w:t xml:space="preserve">in the scope of the study </w:t>
      </w:r>
      <w:r w:rsidR="000D60D1" w:rsidRPr="000D60D1">
        <w:t>since the</w:t>
      </w:r>
      <w:r w:rsidR="007C7E64">
        <w:t xml:space="preserve"> B</w:t>
      </w:r>
      <w:r w:rsidR="008736C0">
        <w:t>O</w:t>
      </w:r>
      <w:r w:rsidR="007C7E64">
        <w:t>P modelling</w:t>
      </w:r>
      <w:r w:rsidR="000D60D1" w:rsidRPr="000D60D1">
        <w:t xml:space="preserve"> approach is quasi-static and, above all, the coupling to boiler operation is shown to be little modified </w:t>
      </w:r>
      <w:r w:rsidR="005914A0">
        <w:t>(as demonstrated in</w:t>
      </w:r>
      <w:r w:rsidR="000D60D1" w:rsidRPr="000D60D1">
        <w:t xml:space="preserve"> </w:t>
      </w:r>
      <w:r w:rsidR="008736C0">
        <w:t>S</w:t>
      </w:r>
      <w:r w:rsidR="00FA5868">
        <w:t>ection</w:t>
      </w:r>
      <w:r w:rsidR="000D60D1" w:rsidRPr="000D60D1">
        <w:t xml:space="preserve"> 2.4</w:t>
      </w:r>
      <w:r w:rsidR="005914A0">
        <w:t>)</w:t>
      </w:r>
      <w:r w:rsidR="000D60D1" w:rsidRPr="000D60D1">
        <w:t>.</w:t>
      </w:r>
    </w:p>
    <w:p w14:paraId="0A69CF1E" w14:textId="262B4D5F" w:rsidR="00DB45B5" w:rsidRDefault="00600EC1" w:rsidP="00891706">
      <w:pPr>
        <w:pStyle w:val="BodyText"/>
        <w:ind w:firstLine="0"/>
        <w:jc w:val="center"/>
      </w:pPr>
      <w:r>
        <w:rPr>
          <w:noProof/>
          <w:lang w:val="fr-FR" w:eastAsia="fr-FR"/>
        </w:rPr>
        <w:drawing>
          <wp:inline distT="0" distB="0" distL="0" distR="0" wp14:anchorId="3DBB9C29" wp14:editId="5DD47513">
            <wp:extent cx="3648807" cy="2002460"/>
            <wp:effectExtent l="0" t="0" r="0" b="0"/>
            <wp:docPr id="1668158809"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58809" name="Picture 1" descr="A computer screen shot of a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1779" cy="2163242"/>
                    </a:xfrm>
                    <a:prstGeom prst="rect">
                      <a:avLst/>
                    </a:prstGeom>
                  </pic:spPr>
                </pic:pic>
              </a:graphicData>
            </a:graphic>
          </wp:inline>
        </w:drawing>
      </w:r>
    </w:p>
    <w:p w14:paraId="34B922D4" w14:textId="32471763" w:rsidR="00773702" w:rsidRDefault="002D07AA" w:rsidP="005F763E">
      <w:pPr>
        <w:pStyle w:val="BodyText"/>
        <w:ind w:firstLine="0"/>
      </w:pPr>
      <w:r w:rsidRPr="0032223C">
        <w:rPr>
          <w:noProof/>
          <w:lang w:val="fr-FR" w:eastAsia="fr-FR"/>
        </w:rPr>
        <mc:AlternateContent>
          <mc:Choice Requires="wps">
            <w:drawing>
              <wp:anchor distT="0" distB="0" distL="114300" distR="114300" simplePos="0" relativeHeight="251659264" behindDoc="0" locked="0" layoutInCell="1" allowOverlap="1" wp14:anchorId="04CEE94D" wp14:editId="5C09C469">
                <wp:simplePos x="0" y="0"/>
                <wp:positionH relativeFrom="column">
                  <wp:posOffset>1579880</wp:posOffset>
                </wp:positionH>
                <wp:positionV relativeFrom="paragraph">
                  <wp:posOffset>69215</wp:posOffset>
                </wp:positionV>
                <wp:extent cx="2611120" cy="186690"/>
                <wp:effectExtent l="0" t="0" r="5080" b="5080"/>
                <wp:wrapSquare wrapText="bothSides"/>
                <wp:docPr id="375853653" name="Text Box 375853653"/>
                <wp:cNvGraphicFramePr/>
                <a:graphic xmlns:a="http://schemas.openxmlformats.org/drawingml/2006/main">
                  <a:graphicData uri="http://schemas.microsoft.com/office/word/2010/wordprocessingShape">
                    <wps:wsp>
                      <wps:cNvSpPr txBox="1"/>
                      <wps:spPr>
                        <a:xfrm>
                          <a:off x="0" y="0"/>
                          <a:ext cx="2611120" cy="186690"/>
                        </a:xfrm>
                        <a:prstGeom prst="rect">
                          <a:avLst/>
                        </a:prstGeom>
                        <a:solidFill>
                          <a:prstClr val="white"/>
                        </a:solidFill>
                        <a:ln>
                          <a:noFill/>
                        </a:ln>
                        <a:effectLst/>
                      </wps:spPr>
                      <wps:txbx>
                        <w:txbxContent>
                          <w:p w14:paraId="4A2CB040" w14:textId="31136BB1" w:rsidR="002D07AA" w:rsidRPr="00802381" w:rsidRDefault="002D07AA" w:rsidP="002D07AA">
                            <w:pPr>
                              <w:pStyle w:val="Caption"/>
                              <w:jc w:val="center"/>
                              <w:rPr>
                                <w:i/>
                                <w:sz w:val="20"/>
                              </w:rPr>
                            </w:pPr>
                            <w:bookmarkStart w:id="4" w:name="_Ref1645179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4"/>
                            <w:r>
                              <w:rPr>
                                <w:i/>
                              </w:rPr>
                              <w:t>. Dynamic model of the BOP in ThermoSysPro.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CEE94D" id="_x0000_t202" coordsize="21600,21600" o:spt="202" path="m,l,21600r21600,l21600,xe">
                <v:stroke joinstyle="miter"/>
                <v:path gradientshapeok="t" o:connecttype="rect"/>
              </v:shapetype>
              <v:shape id="Text Box 375853653" o:spid="_x0000_s1026" type="#_x0000_t202" style="position:absolute;left:0;text-align:left;margin-left:124.4pt;margin-top:5.45pt;width:205.6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" stroked="f">
                <v:textbox style="mso-fit-shape-to-text:t" inset="0,0,0,0">
                  <w:txbxContent>
                    <w:p w14:paraId="4A2CB040" w14:textId="31136BB1" w:rsidR="002D07AA" w:rsidRPr="00802381" w:rsidRDefault="002D07AA" w:rsidP="002D07AA">
                      <w:pPr>
                        <w:pStyle w:val="Caption"/>
                        <w:jc w:val="center"/>
                        <w:rPr>
                          <w:i/>
                          <w:sz w:val="20"/>
                        </w:rPr>
                      </w:pPr>
                      <w:bookmarkStart w:id="99" w:name="_Ref1645179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99"/>
                      <w:r>
                        <w:rPr>
                          <w:i/>
                        </w:rPr>
                        <w:t>. Dynamic model of the BOP in ThermoSysPro.</w:t>
                      </w:r>
                    </w:p>
                  </w:txbxContent>
                </v:textbox>
                <w10:wrap type="square"/>
              </v:shape>
            </w:pict>
          </mc:Fallback>
        </mc:AlternateContent>
      </w:r>
    </w:p>
    <w:p w14:paraId="0BE8A3EE" w14:textId="7CF74258" w:rsidR="004C6B58" w:rsidRDefault="009A4BF4" w:rsidP="004C6B58">
      <w:pPr>
        <w:pStyle w:val="Heading3"/>
      </w:pPr>
      <w:r>
        <w:lastRenderedPageBreak/>
        <w:t>Thermal Energy Storage</w:t>
      </w:r>
    </w:p>
    <w:p w14:paraId="68CA91E7" w14:textId="5CAC6654" w:rsidR="00E80B57" w:rsidRDefault="006A797F" w:rsidP="00F93C68">
      <w:pPr>
        <w:pStyle w:val="BodyText"/>
      </w:pPr>
      <w:r>
        <w:t xml:space="preserve">The reference technology </w:t>
      </w:r>
      <w:r w:rsidR="00A52209">
        <w:t>for the TES considered in this work</w:t>
      </w:r>
      <w:r w:rsidR="00763D0B">
        <w:t xml:space="preserve"> is a sensible heat storage system based on the two-tank configuration,</w:t>
      </w:r>
      <w:r w:rsidR="006B4146">
        <w:t xml:space="preserve"> </w:t>
      </w:r>
      <w:r w:rsidR="009F24A9">
        <w:t>recognised</w:t>
      </w:r>
      <w:r w:rsidR="002329F6">
        <w:t xml:space="preserve"> as a promising solution for integration with nuclear power plants </w:t>
      </w:r>
      <w:r w:rsidR="00897C69">
        <w:t>[7]</w:t>
      </w:r>
      <w:r w:rsidR="00E0342B">
        <w:t>.</w:t>
      </w:r>
      <w:r w:rsidR="00EA519F">
        <w:t xml:space="preserve"> </w:t>
      </w:r>
      <w:r w:rsidR="00E80B57">
        <w:t xml:space="preserve">In such systems, </w:t>
      </w:r>
      <w:r w:rsidR="00736D43">
        <w:t xml:space="preserve">the thermal power extracted </w:t>
      </w:r>
      <w:r w:rsidR="000A473D">
        <w:t>from</w:t>
      </w:r>
      <w:r w:rsidR="00736D43">
        <w:t xml:space="preserve"> the reactor’s BOP is t</w:t>
      </w:r>
      <w:r w:rsidR="00EA6EC2">
        <w:t xml:space="preserve">ransferred to the sensible fluid flowing from the cold to the hot tank, where it is stored at a higher temperature. </w:t>
      </w:r>
      <w:r w:rsidR="000A473D">
        <w:t>During discharge,</w:t>
      </w:r>
      <w:r w:rsidR="00AD5AF4">
        <w:t xml:space="preserve"> the </w:t>
      </w:r>
      <w:r w:rsidR="002C1203">
        <w:t xml:space="preserve">sensible fluid is cooled down to the cold tank temperature, releasing thermal power to produce </w:t>
      </w:r>
      <w:r w:rsidR="00C20006">
        <w:t xml:space="preserve">superheated </w:t>
      </w:r>
      <w:r w:rsidR="002C1203">
        <w:t>steam. In the considere</w:t>
      </w:r>
      <w:r w:rsidR="00E1414F">
        <w:t xml:space="preserve">d configuration, the steam is </w:t>
      </w:r>
      <w:r w:rsidR="00C20006">
        <w:t>exploited</w:t>
      </w:r>
      <w:r w:rsidR="00E1414F">
        <w:t xml:space="preserve"> </w:t>
      </w:r>
      <w:r w:rsidR="00D80BAA">
        <w:t>for</w:t>
      </w:r>
      <w:r w:rsidR="00E1414F">
        <w:t xml:space="preserve"> electrical peaking, i.e., to increase the electrical power output of the system beyond its nominal</w:t>
      </w:r>
      <w:r w:rsidR="00185290">
        <w:t xml:space="preserve"> level.</w:t>
      </w:r>
      <w:r w:rsidR="00AD5AF4">
        <w:t xml:space="preserve"> </w:t>
      </w:r>
      <w:r w:rsidR="00875CF8">
        <w:t xml:space="preserve">The TES capacity, as well as the maximal </w:t>
      </w:r>
      <w:r w:rsidR="00B23CAD">
        <w:t xml:space="preserve">charging and discharging powers, will be driven mainly by economic </w:t>
      </w:r>
      <w:r w:rsidR="006E2E02">
        <w:t>factors</w:t>
      </w:r>
      <w:r w:rsidR="00375A5F">
        <w:t xml:space="preserve"> and could be </w:t>
      </w:r>
      <w:r w:rsidR="005920DE">
        <w:t>estimated through</w:t>
      </w:r>
      <w:r w:rsidR="00375A5F">
        <w:t xml:space="preserve"> a techno-economic optimisation of the overall system. </w:t>
      </w:r>
      <w:r w:rsidR="005920DE">
        <w:t>However, s</w:t>
      </w:r>
      <w:r w:rsidR="00375A5F">
        <w:t>uch analysis</w:t>
      </w:r>
      <w:r w:rsidR="00342DCE">
        <w:t xml:space="preserve"> </w:t>
      </w:r>
      <w:r w:rsidR="00AF46A2">
        <w:t>falls</w:t>
      </w:r>
      <w:r w:rsidR="00375A5F">
        <w:t xml:space="preserve"> beyond the scope of this work</w:t>
      </w:r>
      <w:r w:rsidR="00AF46A2">
        <w:t>; therefore,</w:t>
      </w:r>
      <w:r w:rsidR="009D61BC">
        <w:t xml:space="preserve"> a maximal </w:t>
      </w:r>
      <w:r w:rsidR="005617A0">
        <w:t>peaking power of 20 MWe (</w:t>
      </w:r>
      <w:r w:rsidR="00AF46A2">
        <w:t>corresponding</w:t>
      </w:r>
      <w:r w:rsidR="005617A0">
        <w:t xml:space="preserve"> to a maximal</w:t>
      </w:r>
      <w:r w:rsidR="00097312">
        <w:t xml:space="preserve"> discharging power of 80 MWth) is assumed. </w:t>
      </w:r>
      <w:r w:rsidR="00544C92">
        <w:t xml:space="preserve">Moreover, the storage capacity has been </w:t>
      </w:r>
      <w:r w:rsidR="00057E53">
        <w:t xml:space="preserve">sized to be able to </w:t>
      </w:r>
      <w:r w:rsidR="004A2F02">
        <w:t>sustain</w:t>
      </w:r>
      <w:r w:rsidR="00057E53">
        <w:t xml:space="preserve"> continuous charging or discharging for </w:t>
      </w:r>
      <w:r w:rsidR="00570125">
        <w:t>a 24-hour period</w:t>
      </w:r>
      <w:r w:rsidR="00057E53">
        <w:t xml:space="preserve">. The results </w:t>
      </w:r>
      <w:r w:rsidR="004A2F02">
        <w:t>from</w:t>
      </w:r>
      <w:r w:rsidR="00846830">
        <w:t xml:space="preserve"> this preliminary sizing procedure, </w:t>
      </w:r>
      <w:r w:rsidR="00E51BA6">
        <w:t>together with</w:t>
      </w:r>
      <w:r w:rsidR="00846830">
        <w:t xml:space="preserve"> </w:t>
      </w:r>
      <w:r w:rsidR="007F536C">
        <w:t>other design parameters,</w:t>
      </w:r>
      <w:r w:rsidR="00846830">
        <w:t xml:space="preserve"> are summarised in Table 2.</w:t>
      </w:r>
      <w:r w:rsidR="00544C92">
        <w:t xml:space="preserve"> </w:t>
      </w:r>
      <w:r w:rsidR="009D61BC">
        <w:t xml:space="preserve"> </w:t>
      </w:r>
    </w:p>
    <w:p w14:paraId="102FB2D5" w14:textId="77777777" w:rsidR="00E80B57" w:rsidRDefault="00E80B57" w:rsidP="00F93C68">
      <w:pPr>
        <w:pStyle w:val="BodyText"/>
      </w:pPr>
    </w:p>
    <w:p w14:paraId="0DDF4D06" w14:textId="4BF21168" w:rsidR="00846830" w:rsidRPr="0032223C" w:rsidRDefault="00846830" w:rsidP="00846830">
      <w:pPr>
        <w:pStyle w:val="BodyText"/>
        <w:ind w:firstLine="0"/>
      </w:pPr>
      <w:r w:rsidRPr="0032223C">
        <w:t xml:space="preserve">TABLE </w:t>
      </w:r>
      <w:r>
        <w:t>2</w:t>
      </w:r>
      <w:r w:rsidRPr="0032223C">
        <w:t>.</w:t>
      </w:r>
      <w:r w:rsidRPr="0032223C">
        <w:tab/>
      </w:r>
      <w:r w:rsidR="00570125">
        <w:t>TES</w:t>
      </w:r>
      <w:r>
        <w:t xml:space="preserve"> </w:t>
      </w:r>
      <w:r w:rsidR="00570125">
        <w:t>DESIGN</w:t>
      </w:r>
      <w:r>
        <w:t xml:space="preserve"> PARAMETERS.</w:t>
      </w:r>
    </w:p>
    <w:p w14:paraId="4A9A9E0B" w14:textId="77777777" w:rsidR="00846830" w:rsidRPr="0032223C" w:rsidRDefault="00846830" w:rsidP="00846830">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41"/>
        <w:gridCol w:w="1742"/>
      </w:tblGrid>
      <w:tr w:rsidR="00846830" w:rsidRPr="0032223C" w14:paraId="120781F2" w14:textId="77777777" w:rsidTr="002272DB">
        <w:trPr>
          <w:jc w:val="center"/>
        </w:trPr>
        <w:tc>
          <w:tcPr>
            <w:tcW w:w="3402" w:type="dxa"/>
            <w:tcBorders>
              <w:top w:val="single" w:sz="4" w:space="0" w:color="auto"/>
              <w:bottom w:val="single" w:sz="4" w:space="0" w:color="auto"/>
            </w:tcBorders>
          </w:tcPr>
          <w:p w14:paraId="28ADF50C" w14:textId="77777777" w:rsidR="00846830" w:rsidRPr="0032223C" w:rsidRDefault="00846830" w:rsidP="00453973">
            <w:pPr>
              <w:pStyle w:val="BodyText"/>
              <w:ind w:firstLine="0"/>
            </w:pPr>
            <w:r>
              <w:t>Parameter</w:t>
            </w:r>
          </w:p>
        </w:tc>
        <w:tc>
          <w:tcPr>
            <w:tcW w:w="1741" w:type="dxa"/>
            <w:tcBorders>
              <w:top w:val="single" w:sz="4" w:space="0" w:color="auto"/>
              <w:bottom w:val="single" w:sz="4" w:space="0" w:color="auto"/>
            </w:tcBorders>
          </w:tcPr>
          <w:p w14:paraId="349E9A29" w14:textId="77777777" w:rsidR="00846830" w:rsidRPr="0032223C" w:rsidRDefault="00846830" w:rsidP="00453973">
            <w:pPr>
              <w:pStyle w:val="BodyText"/>
              <w:tabs>
                <w:tab w:val="center" w:pos="762"/>
              </w:tabs>
              <w:ind w:firstLine="0"/>
              <w:jc w:val="left"/>
            </w:pPr>
            <w:r>
              <w:tab/>
              <w:t>Value</w:t>
            </w:r>
          </w:p>
        </w:tc>
        <w:tc>
          <w:tcPr>
            <w:tcW w:w="1742" w:type="dxa"/>
            <w:tcBorders>
              <w:top w:val="single" w:sz="4" w:space="0" w:color="auto"/>
              <w:bottom w:val="single" w:sz="4" w:space="0" w:color="auto"/>
            </w:tcBorders>
          </w:tcPr>
          <w:p w14:paraId="438CF7B4" w14:textId="77777777" w:rsidR="00846830" w:rsidRPr="0032223C" w:rsidRDefault="00846830" w:rsidP="00453973">
            <w:pPr>
              <w:pStyle w:val="BodyText"/>
              <w:ind w:firstLine="0"/>
              <w:jc w:val="center"/>
            </w:pPr>
            <w:r>
              <w:t>Unit</w:t>
            </w:r>
          </w:p>
        </w:tc>
      </w:tr>
      <w:tr w:rsidR="00846830" w:rsidRPr="0032223C" w14:paraId="108F315B" w14:textId="77777777" w:rsidTr="002272DB">
        <w:trPr>
          <w:jc w:val="center"/>
        </w:trPr>
        <w:tc>
          <w:tcPr>
            <w:tcW w:w="3402" w:type="dxa"/>
            <w:tcBorders>
              <w:top w:val="single" w:sz="4" w:space="0" w:color="auto"/>
            </w:tcBorders>
          </w:tcPr>
          <w:p w14:paraId="4510D451" w14:textId="7983981F" w:rsidR="00846830" w:rsidRPr="0032223C" w:rsidRDefault="00D67930" w:rsidP="00453973">
            <w:pPr>
              <w:pStyle w:val="BodyText"/>
              <w:ind w:firstLine="0"/>
            </w:pPr>
            <w:r>
              <w:t>Nominal charging/discharging power</w:t>
            </w:r>
          </w:p>
        </w:tc>
        <w:tc>
          <w:tcPr>
            <w:tcW w:w="1741" w:type="dxa"/>
            <w:tcBorders>
              <w:top w:val="single" w:sz="4" w:space="0" w:color="auto"/>
            </w:tcBorders>
          </w:tcPr>
          <w:p w14:paraId="31ADF221" w14:textId="6E609D6E" w:rsidR="00846830" w:rsidRPr="0032223C" w:rsidRDefault="009A7065" w:rsidP="00453973">
            <w:pPr>
              <w:pStyle w:val="BodyText"/>
              <w:ind w:firstLine="0"/>
              <w:jc w:val="right"/>
            </w:pPr>
            <w:r>
              <w:t>80</w:t>
            </w:r>
          </w:p>
        </w:tc>
        <w:tc>
          <w:tcPr>
            <w:tcW w:w="1742" w:type="dxa"/>
            <w:tcBorders>
              <w:top w:val="single" w:sz="4" w:space="0" w:color="auto"/>
            </w:tcBorders>
          </w:tcPr>
          <w:p w14:paraId="792EB97F" w14:textId="77777777" w:rsidR="00846830" w:rsidRPr="0032223C" w:rsidRDefault="00846830" w:rsidP="00453973">
            <w:pPr>
              <w:pStyle w:val="BodyText"/>
              <w:ind w:firstLine="0"/>
              <w:jc w:val="left"/>
            </w:pPr>
            <w:r>
              <w:t>MWth</w:t>
            </w:r>
          </w:p>
        </w:tc>
      </w:tr>
      <w:tr w:rsidR="00846830" w:rsidRPr="0032223C" w14:paraId="241918E4" w14:textId="77777777" w:rsidTr="002272DB">
        <w:trPr>
          <w:jc w:val="center"/>
        </w:trPr>
        <w:tc>
          <w:tcPr>
            <w:tcW w:w="3402" w:type="dxa"/>
          </w:tcPr>
          <w:p w14:paraId="6065190B" w14:textId="6626D53C" w:rsidR="00846830" w:rsidRPr="0032223C" w:rsidRDefault="00EE6764" w:rsidP="00453973">
            <w:pPr>
              <w:pStyle w:val="BodyText"/>
              <w:ind w:firstLine="0"/>
            </w:pPr>
            <w:r>
              <w:t xml:space="preserve">Maximal </w:t>
            </w:r>
            <w:r w:rsidR="004B10A9">
              <w:t>electrical power output</w:t>
            </w:r>
          </w:p>
        </w:tc>
        <w:tc>
          <w:tcPr>
            <w:tcW w:w="1741" w:type="dxa"/>
          </w:tcPr>
          <w:p w14:paraId="217EA28D" w14:textId="77CD8F77" w:rsidR="00846830" w:rsidRPr="0032223C" w:rsidRDefault="004B10A9" w:rsidP="00453973">
            <w:pPr>
              <w:pStyle w:val="BodyText"/>
              <w:ind w:firstLine="0"/>
              <w:jc w:val="right"/>
            </w:pPr>
            <w:r>
              <w:t>190</w:t>
            </w:r>
          </w:p>
        </w:tc>
        <w:tc>
          <w:tcPr>
            <w:tcW w:w="1742" w:type="dxa"/>
          </w:tcPr>
          <w:p w14:paraId="122EAFC0" w14:textId="3DC27000" w:rsidR="00846830" w:rsidRPr="0032223C" w:rsidRDefault="004B10A9" w:rsidP="00453973">
            <w:pPr>
              <w:pStyle w:val="BodyText"/>
              <w:ind w:firstLine="0"/>
              <w:jc w:val="left"/>
            </w:pPr>
            <w:r>
              <w:t>MWe</w:t>
            </w:r>
          </w:p>
        </w:tc>
      </w:tr>
      <w:tr w:rsidR="004B10A9" w:rsidRPr="0032223C" w14:paraId="038C02DB" w14:textId="77777777" w:rsidTr="002272DB">
        <w:trPr>
          <w:jc w:val="center"/>
        </w:trPr>
        <w:tc>
          <w:tcPr>
            <w:tcW w:w="3402" w:type="dxa"/>
          </w:tcPr>
          <w:p w14:paraId="4639D2E8" w14:textId="06A59876" w:rsidR="004B10A9" w:rsidRDefault="004B10A9" w:rsidP="00453973">
            <w:pPr>
              <w:pStyle w:val="BodyText"/>
              <w:ind w:firstLine="0"/>
            </w:pPr>
            <w:r>
              <w:t>Minimal electrical power output</w:t>
            </w:r>
          </w:p>
        </w:tc>
        <w:tc>
          <w:tcPr>
            <w:tcW w:w="1741" w:type="dxa"/>
          </w:tcPr>
          <w:p w14:paraId="335CE234" w14:textId="2639BBEA" w:rsidR="004B10A9" w:rsidRDefault="00B328DF" w:rsidP="00453973">
            <w:pPr>
              <w:pStyle w:val="BodyText"/>
              <w:ind w:firstLine="0"/>
              <w:jc w:val="right"/>
            </w:pPr>
            <w:r>
              <w:t>140</w:t>
            </w:r>
          </w:p>
        </w:tc>
        <w:tc>
          <w:tcPr>
            <w:tcW w:w="1742" w:type="dxa"/>
          </w:tcPr>
          <w:p w14:paraId="0D5EA927" w14:textId="33DD3E39" w:rsidR="004B10A9" w:rsidRDefault="00B328DF" w:rsidP="00453973">
            <w:pPr>
              <w:pStyle w:val="BodyText"/>
              <w:ind w:firstLine="0"/>
              <w:jc w:val="left"/>
            </w:pPr>
            <w:r>
              <w:t>MWe</w:t>
            </w:r>
          </w:p>
        </w:tc>
      </w:tr>
      <w:tr w:rsidR="00846830" w:rsidRPr="0032223C" w14:paraId="2120CD69" w14:textId="77777777" w:rsidTr="002272DB">
        <w:trPr>
          <w:jc w:val="center"/>
        </w:trPr>
        <w:tc>
          <w:tcPr>
            <w:tcW w:w="3402" w:type="dxa"/>
          </w:tcPr>
          <w:p w14:paraId="71DCA8E2" w14:textId="72EA4F05" w:rsidR="00846830" w:rsidRDefault="00EE6764" w:rsidP="00453973">
            <w:pPr>
              <w:pStyle w:val="BodyText"/>
              <w:ind w:firstLine="0"/>
            </w:pPr>
            <w:r>
              <w:t>Tank volume</w:t>
            </w:r>
          </w:p>
        </w:tc>
        <w:tc>
          <w:tcPr>
            <w:tcW w:w="1741" w:type="dxa"/>
          </w:tcPr>
          <w:p w14:paraId="3947DFF0" w14:textId="793C986D" w:rsidR="00846830" w:rsidRDefault="007A3BF7" w:rsidP="00453973">
            <w:pPr>
              <w:pStyle w:val="BodyText"/>
              <w:ind w:firstLine="0"/>
              <w:jc w:val="right"/>
            </w:pPr>
            <w:r>
              <w:t>53</w:t>
            </w:r>
            <w:r w:rsidR="00AD6300">
              <w:t>,579.9</w:t>
            </w:r>
          </w:p>
        </w:tc>
        <w:tc>
          <w:tcPr>
            <w:tcW w:w="1742" w:type="dxa"/>
          </w:tcPr>
          <w:p w14:paraId="1566BB01" w14:textId="67C62EA1" w:rsidR="00846830" w:rsidRDefault="005773AF" w:rsidP="00453973">
            <w:pPr>
              <w:pStyle w:val="BodyText"/>
              <w:ind w:firstLine="0"/>
              <w:jc w:val="left"/>
            </w:pPr>
            <w:r>
              <w:t>m</w:t>
            </w:r>
            <w:r w:rsidRPr="005773AF">
              <w:rPr>
                <w:vertAlign w:val="superscript"/>
              </w:rPr>
              <w:t>3</w:t>
            </w:r>
          </w:p>
        </w:tc>
      </w:tr>
      <w:tr w:rsidR="009B48F6" w:rsidRPr="0032223C" w14:paraId="788F75CB" w14:textId="77777777" w:rsidTr="002272DB">
        <w:trPr>
          <w:jc w:val="center"/>
        </w:trPr>
        <w:tc>
          <w:tcPr>
            <w:tcW w:w="3402" w:type="dxa"/>
          </w:tcPr>
          <w:p w14:paraId="152D08B3" w14:textId="57099B96" w:rsidR="009B48F6" w:rsidRDefault="009B48F6" w:rsidP="00453973">
            <w:pPr>
              <w:pStyle w:val="BodyText"/>
              <w:ind w:firstLine="0"/>
            </w:pPr>
            <w:r>
              <w:t>Storage capacity</w:t>
            </w:r>
          </w:p>
        </w:tc>
        <w:tc>
          <w:tcPr>
            <w:tcW w:w="1741" w:type="dxa"/>
          </w:tcPr>
          <w:p w14:paraId="7BB38979" w14:textId="57832489" w:rsidR="009B48F6" w:rsidRPr="003E5081" w:rsidRDefault="009B48F6" w:rsidP="00453973">
            <w:pPr>
              <w:pStyle w:val="BodyText"/>
              <w:ind w:firstLine="0"/>
              <w:jc w:val="right"/>
            </w:pPr>
            <w:r>
              <w:t>1.92</w:t>
            </w:r>
          </w:p>
        </w:tc>
        <w:tc>
          <w:tcPr>
            <w:tcW w:w="1742" w:type="dxa"/>
          </w:tcPr>
          <w:p w14:paraId="31ADEDFB" w14:textId="1644FC83" w:rsidR="009B48F6" w:rsidRDefault="009B48F6" w:rsidP="00453973">
            <w:pPr>
              <w:pStyle w:val="BodyText"/>
              <w:ind w:firstLine="0"/>
              <w:jc w:val="left"/>
            </w:pPr>
            <w:r>
              <w:t>GWh</w:t>
            </w:r>
          </w:p>
        </w:tc>
      </w:tr>
      <w:tr w:rsidR="00846830" w:rsidRPr="0032223C" w14:paraId="1F9A2FBD" w14:textId="77777777" w:rsidTr="002272DB">
        <w:trPr>
          <w:jc w:val="center"/>
        </w:trPr>
        <w:tc>
          <w:tcPr>
            <w:tcW w:w="3402" w:type="dxa"/>
          </w:tcPr>
          <w:p w14:paraId="027509E4" w14:textId="081E75B1" w:rsidR="00846830" w:rsidRDefault="00EE6764" w:rsidP="00453973">
            <w:pPr>
              <w:pStyle w:val="BodyText"/>
              <w:ind w:firstLine="0"/>
            </w:pPr>
            <w:r>
              <w:t>Hot tank temperature</w:t>
            </w:r>
          </w:p>
        </w:tc>
        <w:tc>
          <w:tcPr>
            <w:tcW w:w="1741" w:type="dxa"/>
          </w:tcPr>
          <w:p w14:paraId="5F093403" w14:textId="5D8F2008" w:rsidR="00846830" w:rsidRDefault="00EF77E7" w:rsidP="00453973">
            <w:pPr>
              <w:pStyle w:val="BodyText"/>
              <w:ind w:firstLine="0"/>
              <w:jc w:val="right"/>
            </w:pPr>
            <w:r>
              <w:t>260</w:t>
            </w:r>
          </w:p>
        </w:tc>
        <w:tc>
          <w:tcPr>
            <w:tcW w:w="1742" w:type="dxa"/>
          </w:tcPr>
          <w:p w14:paraId="7F1D3C2B" w14:textId="56FF5CE3" w:rsidR="00846830" w:rsidRDefault="00EF77E7" w:rsidP="00453973">
            <w:pPr>
              <w:pStyle w:val="BodyText"/>
              <w:ind w:firstLine="0"/>
              <w:jc w:val="left"/>
            </w:pPr>
            <w:r>
              <w:t>°C</w:t>
            </w:r>
          </w:p>
        </w:tc>
      </w:tr>
      <w:tr w:rsidR="00846830" w:rsidRPr="0032223C" w14:paraId="0D2ED3CB" w14:textId="77777777" w:rsidTr="002272DB">
        <w:trPr>
          <w:jc w:val="center"/>
        </w:trPr>
        <w:tc>
          <w:tcPr>
            <w:tcW w:w="3402" w:type="dxa"/>
          </w:tcPr>
          <w:p w14:paraId="792631B6" w14:textId="042542B8" w:rsidR="00846830" w:rsidRDefault="00EE6764" w:rsidP="00453973">
            <w:pPr>
              <w:pStyle w:val="BodyText"/>
              <w:ind w:firstLine="0"/>
            </w:pPr>
            <w:r>
              <w:t>Cold tank temperature</w:t>
            </w:r>
          </w:p>
        </w:tc>
        <w:tc>
          <w:tcPr>
            <w:tcW w:w="1741" w:type="dxa"/>
          </w:tcPr>
          <w:p w14:paraId="494DFAF8" w14:textId="60965B11" w:rsidR="00846830" w:rsidRDefault="00EF77E7" w:rsidP="00453973">
            <w:pPr>
              <w:pStyle w:val="BodyText"/>
              <w:ind w:firstLine="0"/>
              <w:jc w:val="right"/>
            </w:pPr>
            <w:r>
              <w:t>190</w:t>
            </w:r>
          </w:p>
        </w:tc>
        <w:tc>
          <w:tcPr>
            <w:tcW w:w="1742" w:type="dxa"/>
          </w:tcPr>
          <w:p w14:paraId="4FA1CC7E" w14:textId="77777777" w:rsidR="00846830" w:rsidRDefault="00846830" w:rsidP="00453973">
            <w:pPr>
              <w:pStyle w:val="BodyText"/>
              <w:ind w:firstLine="0"/>
              <w:jc w:val="left"/>
            </w:pPr>
            <w:r>
              <w:t>°C</w:t>
            </w:r>
          </w:p>
        </w:tc>
      </w:tr>
      <w:tr w:rsidR="00846830" w:rsidRPr="0032223C" w14:paraId="6467990E" w14:textId="77777777" w:rsidTr="002272DB">
        <w:trPr>
          <w:jc w:val="center"/>
        </w:trPr>
        <w:tc>
          <w:tcPr>
            <w:tcW w:w="3402" w:type="dxa"/>
          </w:tcPr>
          <w:p w14:paraId="587FDA4D" w14:textId="4B86BDB6" w:rsidR="00846830" w:rsidRDefault="00EF77E7" w:rsidP="00453973">
            <w:pPr>
              <w:pStyle w:val="BodyText"/>
              <w:ind w:firstLine="0"/>
            </w:pPr>
            <w:r>
              <w:t>Tank</w:t>
            </w:r>
            <w:r w:rsidR="009A7065">
              <w:t xml:space="preserve"> pressure</w:t>
            </w:r>
          </w:p>
        </w:tc>
        <w:tc>
          <w:tcPr>
            <w:tcW w:w="1741" w:type="dxa"/>
          </w:tcPr>
          <w:p w14:paraId="3BE6A7B8" w14:textId="77B7CD15" w:rsidR="00846830" w:rsidRDefault="00EF77E7" w:rsidP="00453973">
            <w:pPr>
              <w:pStyle w:val="BodyText"/>
              <w:ind w:firstLine="0"/>
              <w:jc w:val="right"/>
            </w:pPr>
            <w:r>
              <w:t>1</w:t>
            </w:r>
          </w:p>
        </w:tc>
        <w:tc>
          <w:tcPr>
            <w:tcW w:w="1742" w:type="dxa"/>
          </w:tcPr>
          <w:p w14:paraId="1ABD1F54" w14:textId="122EEFB1" w:rsidR="00846830" w:rsidRDefault="00EF77E7" w:rsidP="00453973">
            <w:pPr>
              <w:pStyle w:val="BodyText"/>
              <w:ind w:firstLine="0"/>
              <w:jc w:val="left"/>
            </w:pPr>
            <w:r>
              <w:t>bar</w:t>
            </w:r>
          </w:p>
        </w:tc>
      </w:tr>
    </w:tbl>
    <w:p w14:paraId="22860966" w14:textId="77777777" w:rsidR="00E63B7D" w:rsidRDefault="00E63B7D" w:rsidP="007328B0">
      <w:pPr>
        <w:pStyle w:val="BodyText"/>
        <w:ind w:firstLine="0"/>
      </w:pPr>
    </w:p>
    <w:p w14:paraId="7D1C7648" w14:textId="7E75D4EE" w:rsidR="00F93C68" w:rsidRDefault="00DA1B17" w:rsidP="00F93C68">
      <w:pPr>
        <w:pStyle w:val="BodyText"/>
      </w:pPr>
      <w:r>
        <w:t>The dynamic model of the TES, displayed in</w:t>
      </w:r>
      <w:r w:rsidR="00ED7E65">
        <w:t xml:space="preserve"> </w:t>
      </w:r>
      <w:r w:rsidR="00ED7E65" w:rsidRPr="00ED7E65">
        <w:fldChar w:fldCharType="begin"/>
      </w:r>
      <w:r w:rsidR="00ED7E65" w:rsidRPr="00ED7E65">
        <w:instrText xml:space="preserve"> REF _Ref166751042 \h  \* MERGEFORMAT </w:instrText>
      </w:r>
      <w:r w:rsidR="00ED7E65" w:rsidRPr="00ED7E65">
        <w:fldChar w:fldCharType="separate"/>
      </w:r>
      <w:r w:rsidR="00ED7E65" w:rsidRPr="00ED7E65">
        <w:t>F</w:t>
      </w:r>
      <w:r w:rsidR="00ED7E65">
        <w:t>ig</w:t>
      </w:r>
      <w:r w:rsidR="00ED7E65" w:rsidRPr="00ED7E65">
        <w:t xml:space="preserve">. </w:t>
      </w:r>
      <w:r w:rsidR="00ED7E65" w:rsidRPr="00ED7E65">
        <w:rPr>
          <w:noProof/>
        </w:rPr>
        <w:t>2</w:t>
      </w:r>
      <w:r w:rsidR="00ED7E65" w:rsidRPr="00ED7E65">
        <w:fldChar w:fldCharType="end"/>
      </w:r>
      <w:r>
        <w:t xml:space="preserve">, </w:t>
      </w:r>
      <w:r w:rsidR="00AF6600">
        <w:t>encompasses a tank</w:t>
      </w:r>
      <w:r w:rsidR="00A45639">
        <w:t>, a pump, a control valve, and a heat exchanger</w:t>
      </w:r>
      <w:r w:rsidR="00EF3F94">
        <w:t xml:space="preserve"> model</w:t>
      </w:r>
      <w:r w:rsidR="00DC766F">
        <w:t xml:space="preserve"> </w:t>
      </w:r>
      <w:r w:rsidR="00A45639">
        <w:t>for both the charging and discharging side</w:t>
      </w:r>
      <w:r w:rsidR="00F9171A">
        <w:t>s</w:t>
      </w:r>
      <w:r w:rsidR="00A45639">
        <w:t xml:space="preserve">. </w:t>
      </w:r>
      <w:r w:rsidR="00620AC4">
        <w:t xml:space="preserve">Mass and energy balance equations are implemented in the tank model to </w:t>
      </w:r>
      <w:r w:rsidR="00C56960">
        <w:t>simulate the sensible fluid accumula</w:t>
      </w:r>
      <w:r w:rsidR="006E1905">
        <w:t xml:space="preserve">tion in the charging and discharging processes. </w:t>
      </w:r>
      <w:r w:rsidR="005D13F4">
        <w:t xml:space="preserve">The sensible fluid </w:t>
      </w:r>
      <w:r w:rsidR="00EB1470">
        <w:t>selected</w:t>
      </w:r>
      <w:r w:rsidR="005D13F4">
        <w:t xml:space="preserve"> for this application is Therminol-66, </w:t>
      </w:r>
      <w:r w:rsidR="009D67AF">
        <w:t>a synthetic oil compatible with the operating temperatures of a light-water cooled</w:t>
      </w:r>
      <w:r w:rsidR="00A46671">
        <w:t xml:space="preserve"> SMR, </w:t>
      </w:r>
      <w:r w:rsidR="00216C0D">
        <w:t xml:space="preserve">with its thermophysical properties implemented in Modelica through a dedicated model. </w:t>
      </w:r>
      <w:r w:rsidR="001B2A0F">
        <w:t xml:space="preserve">This fluid model </w:t>
      </w:r>
      <w:r w:rsidR="00374A87">
        <w:t>is</w:t>
      </w:r>
      <w:r w:rsidR="001B2A0F">
        <w:t xml:space="preserve"> </w:t>
      </w:r>
      <w:r w:rsidR="009F33BA">
        <w:t xml:space="preserve">also </w:t>
      </w:r>
      <w:r w:rsidR="001B2A0F">
        <w:t xml:space="preserve">used in </w:t>
      </w:r>
      <w:r w:rsidR="002B59BA">
        <w:t xml:space="preserve">components of the </w:t>
      </w:r>
      <w:proofErr w:type="spellStart"/>
      <w:r w:rsidR="002B59BA">
        <w:t>ThermoPower</w:t>
      </w:r>
      <w:proofErr w:type="spellEnd"/>
      <w:r w:rsidR="002B59BA">
        <w:t xml:space="preserve"> library, namel</w:t>
      </w:r>
      <w:r w:rsidR="008563B5">
        <w:t xml:space="preserve">y the pump and the control valve, </w:t>
      </w:r>
      <w:r w:rsidR="00380815">
        <w:t>included</w:t>
      </w:r>
      <w:r w:rsidR="00FD3589">
        <w:t xml:space="preserve"> in the TES model</w:t>
      </w:r>
      <w:r w:rsidR="00722065">
        <w:t xml:space="preserve">. </w:t>
      </w:r>
      <w:r w:rsidR="00FD3589">
        <w:t>Furthermore, t</w:t>
      </w:r>
      <w:r w:rsidR="00623F03">
        <w:t xml:space="preserve">he heat exchanger model is based on a simplified, </w:t>
      </w:r>
      <w:r w:rsidR="009E0DAE">
        <w:t xml:space="preserve">zero-dimensional </w:t>
      </w:r>
      <w:r w:rsidR="00081E8F">
        <w:t>approach</w:t>
      </w:r>
      <w:r w:rsidR="009E0DAE">
        <w:t>, which does not account for the dynamic aspects of this</w:t>
      </w:r>
      <w:r w:rsidR="00752B74">
        <w:t xml:space="preserve"> component. </w:t>
      </w:r>
    </w:p>
    <w:p w14:paraId="7EE1A602" w14:textId="357B6FAA" w:rsidR="009A4BF4" w:rsidRDefault="00C249D2" w:rsidP="002A725B">
      <w:pPr>
        <w:pStyle w:val="BodyText"/>
      </w:pPr>
      <w:r w:rsidRPr="00C249D2">
        <w:t>An external controller oversees the TES operation by adjusting the valve opening and, consequently, the flow rate from one tank to the next during both the charging and discharging phases. Specifically, two PI controllers are used to govern the valve operation to maintain the tank inlet temperatures at the desired setpoints, thereby limiting temperature fluctuations of the stored sensible fluid</w:t>
      </w:r>
      <w:r w:rsidR="00542B44">
        <w:t>.</w:t>
      </w:r>
    </w:p>
    <w:p w14:paraId="3533C24D" w14:textId="69D64F98" w:rsidR="00164313" w:rsidRDefault="00C67A05" w:rsidP="00164313">
      <w:pPr>
        <w:pStyle w:val="Heading3"/>
      </w:pPr>
      <w:r>
        <w:t>Integration into the overall system</w:t>
      </w:r>
    </w:p>
    <w:p w14:paraId="05C585B0" w14:textId="04DAA19C" w:rsidR="00B7642B" w:rsidRDefault="00241747" w:rsidP="00012C5F">
      <w:pPr>
        <w:pStyle w:val="BodyText"/>
      </w:pPr>
      <w:r>
        <w:t>A</w:t>
      </w:r>
      <w:r w:rsidR="00E77062">
        <w:t xml:space="preserve">n </w:t>
      </w:r>
      <w:r w:rsidR="00AF48DA">
        <w:t xml:space="preserve">illustration </w:t>
      </w:r>
      <w:r w:rsidR="009C059A">
        <w:t xml:space="preserve">of the overall model, together with </w:t>
      </w:r>
      <w:r w:rsidR="00537F6C">
        <w:t>the scheme</w:t>
      </w:r>
      <w:r w:rsidR="009C059A">
        <w:t xml:space="preserve"> of the </w:t>
      </w:r>
      <w:r w:rsidR="00537F6C">
        <w:t>NSSS and TES models</w:t>
      </w:r>
      <w:r w:rsidR="00C67A05">
        <w:t xml:space="preserve"> described above, is shown in</w:t>
      </w:r>
      <w:r w:rsidR="00AB5AB6">
        <w:t xml:space="preserve"> </w:t>
      </w:r>
      <w:bookmarkStart w:id="5" w:name="OLE_LINK3"/>
      <w:r w:rsidR="00AB5AB6" w:rsidRPr="00AB5AB6">
        <w:fldChar w:fldCharType="begin"/>
      </w:r>
      <w:r w:rsidR="00AB5AB6" w:rsidRPr="00AB5AB6">
        <w:instrText xml:space="preserve"> REF _Ref166751042 \h  \* MERGEFORMAT </w:instrText>
      </w:r>
      <w:r w:rsidR="00AB5AB6" w:rsidRPr="00AB5AB6">
        <w:fldChar w:fldCharType="separate"/>
      </w:r>
      <w:r w:rsidR="00AB5AB6" w:rsidRPr="00AB5AB6">
        <w:t>F</w:t>
      </w:r>
      <w:r w:rsidR="00AB5AB6">
        <w:t>ig</w:t>
      </w:r>
      <w:r w:rsidR="00AB5AB6" w:rsidRPr="00AB5AB6">
        <w:t xml:space="preserve">. </w:t>
      </w:r>
      <w:r w:rsidR="00AB5AB6" w:rsidRPr="00AB5AB6">
        <w:rPr>
          <w:noProof/>
        </w:rPr>
        <w:t>2</w:t>
      </w:r>
      <w:r w:rsidR="00AB5AB6" w:rsidRPr="00AB5AB6">
        <w:fldChar w:fldCharType="end"/>
      </w:r>
      <w:bookmarkEnd w:id="5"/>
      <w:r w:rsidR="00C67A05">
        <w:t xml:space="preserve">. </w:t>
      </w:r>
      <w:r w:rsidR="00600AE6">
        <w:t xml:space="preserve"> </w:t>
      </w:r>
      <w:r w:rsidR="001877CD">
        <w:t>The NSSS is directly coupled to the BOP model through a fluid exchange interface</w:t>
      </w:r>
      <w:r w:rsidR="002D10CC">
        <w:t>, requiring the introduction of an adaptor to ensure compatibility between exchanged variab</w:t>
      </w:r>
      <w:r w:rsidR="000A0DAB">
        <w:t>les due to the use of different librarie</w:t>
      </w:r>
      <w:r w:rsidR="00947060">
        <w:t>s</w:t>
      </w:r>
      <w:r w:rsidR="00985468">
        <w:t xml:space="preserve">. </w:t>
      </w:r>
      <w:r w:rsidR="00995784">
        <w:t>During</w:t>
      </w:r>
      <w:r w:rsidR="0056022A">
        <w:t xml:space="preserve"> the charging phase, high temperature steam is extracted from the steam generator outlet and is delivered to the TES</w:t>
      </w:r>
      <w:r w:rsidR="005A3760">
        <w:t>, where it condenses</w:t>
      </w:r>
      <w:r w:rsidR="0056022A">
        <w:t xml:space="preserve">. </w:t>
      </w:r>
      <w:r w:rsidR="00801B21">
        <w:t>The charging steam flow rate is regulated through a valve, which reduces the conden</w:t>
      </w:r>
      <w:r w:rsidR="005A3760">
        <w:t>sate pressure to</w:t>
      </w:r>
      <w:r w:rsidR="00397922">
        <w:t xml:space="preserve"> match</w:t>
      </w:r>
      <w:r w:rsidR="005A3760">
        <w:t xml:space="preserve"> the </w:t>
      </w:r>
      <w:r w:rsidR="00B643E0">
        <w:t xml:space="preserve">return point pressure. On the other hand, </w:t>
      </w:r>
      <w:r w:rsidR="005A3370">
        <w:t xml:space="preserve">electrical peaking is performed by increasing </w:t>
      </w:r>
      <w:r w:rsidR="00057118">
        <w:t xml:space="preserve">the rotational speed of the pump governing </w:t>
      </w:r>
      <w:r w:rsidR="00444774">
        <w:t xml:space="preserve">flow extraction from the feedwater tank. </w:t>
      </w:r>
      <w:r w:rsidR="00414A58">
        <w:t xml:space="preserve">This feedwater evaporates up to superheated steam conditions </w:t>
      </w:r>
      <w:r w:rsidR="005076EA">
        <w:t>during</w:t>
      </w:r>
      <w:r w:rsidR="00414A58">
        <w:t xml:space="preserve"> the</w:t>
      </w:r>
      <w:r w:rsidR="005076EA">
        <w:t xml:space="preserve"> TES</w:t>
      </w:r>
      <w:r w:rsidR="00414A58">
        <w:t xml:space="preserve"> discharging phase and is returned at the</w:t>
      </w:r>
      <w:r w:rsidR="00CA179A">
        <w:t xml:space="preserve"> reheater’s cold side inlet, as </w:t>
      </w:r>
      <w:r w:rsidR="00900FC7">
        <w:t>indicated</w:t>
      </w:r>
      <w:r w:rsidR="00CA179A">
        <w:t xml:space="preserve"> in</w:t>
      </w:r>
      <w:r w:rsidR="00654F90">
        <w:t xml:space="preserve"> </w:t>
      </w:r>
      <w:r w:rsidR="00654F90" w:rsidRPr="00654F90">
        <w:fldChar w:fldCharType="begin"/>
      </w:r>
      <w:r w:rsidR="00654F90" w:rsidRPr="00654F90">
        <w:instrText xml:space="preserve"> REF _Ref164517925 \h  \* MERGEFORMAT </w:instrText>
      </w:r>
      <w:r w:rsidR="00654F90" w:rsidRPr="00654F90">
        <w:fldChar w:fldCharType="separate"/>
      </w:r>
      <w:r w:rsidR="00654F90" w:rsidRPr="00654F90">
        <w:t>F</w:t>
      </w:r>
      <w:r w:rsidR="00654F90">
        <w:t>ig</w:t>
      </w:r>
      <w:r w:rsidR="00654F90" w:rsidRPr="00654F90">
        <w:t xml:space="preserve">. </w:t>
      </w:r>
      <w:r w:rsidR="00654F90" w:rsidRPr="00654F90">
        <w:rPr>
          <w:noProof/>
        </w:rPr>
        <w:t>1</w:t>
      </w:r>
      <w:r w:rsidR="00654F90" w:rsidRPr="00654F90">
        <w:fldChar w:fldCharType="end"/>
      </w:r>
      <w:r w:rsidR="00CA179A">
        <w:t>.</w:t>
      </w:r>
      <w:r w:rsidR="00E364FC">
        <w:t xml:space="preserve"> </w:t>
      </w:r>
      <w:r w:rsidR="00900FC7">
        <w:t>The higher</w:t>
      </w:r>
      <w:r w:rsidR="00B7642B">
        <w:t xml:space="preserve"> steam flow rate entering the low-pressure turbine stage</w:t>
      </w:r>
      <w:r w:rsidR="003661D3">
        <w:t xml:space="preserve"> results in an increase in</w:t>
      </w:r>
      <w:r w:rsidR="00B7642B">
        <w:t xml:space="preserve"> electrical power output beyond its nominal level.</w:t>
      </w:r>
    </w:p>
    <w:p w14:paraId="2E8D85C7" w14:textId="79AFE452" w:rsidR="00241747" w:rsidRDefault="002B79BE" w:rsidP="003B56B6">
      <w:pPr>
        <w:pStyle w:val="BodyText"/>
      </w:pPr>
      <w:r>
        <w:lastRenderedPageBreak/>
        <w:t xml:space="preserve">The charging and discharging </w:t>
      </w:r>
      <w:r w:rsidR="00EB3DC9">
        <w:t>operations</w:t>
      </w:r>
      <w:r w:rsidR="002C5AC5">
        <w:t xml:space="preserve">, </w:t>
      </w:r>
      <w:r w:rsidR="007B2F0D">
        <w:t>regulated by</w:t>
      </w:r>
      <w:r w:rsidR="00DF6DF0">
        <w:t xml:space="preserve"> the</w:t>
      </w:r>
      <w:r w:rsidR="002C5AC5">
        <w:t xml:space="preserve"> charging valve opening and the pump rotational speed, respectively, </w:t>
      </w:r>
      <w:r w:rsidR="00F44BDB">
        <w:t xml:space="preserve">are </w:t>
      </w:r>
      <w:r w:rsidR="007B2F0D">
        <w:t>managed</w:t>
      </w:r>
      <w:r w:rsidR="00F44BDB">
        <w:t xml:space="preserve"> </w:t>
      </w:r>
      <w:r w:rsidR="007B2F0D">
        <w:t>by</w:t>
      </w:r>
      <w:r w:rsidR="00F44BDB">
        <w:t xml:space="preserve"> an external controller to meet a given output power setpoint. </w:t>
      </w:r>
      <w:proofErr w:type="gramStart"/>
      <w:r w:rsidR="004E2E1A">
        <w:t>In particular</w:t>
      </w:r>
      <w:r w:rsidR="00AE6880">
        <w:t>, if</w:t>
      </w:r>
      <w:proofErr w:type="gramEnd"/>
      <w:r w:rsidR="00AE6880">
        <w:t xml:space="preserve"> the power demand </w:t>
      </w:r>
      <w:r w:rsidR="004E2E1A">
        <w:t>falls</w:t>
      </w:r>
      <w:r w:rsidR="009D4B3D">
        <w:t xml:space="preserve"> below the nominal value of 170 MWe, a PI controller </w:t>
      </w:r>
      <w:r w:rsidR="00624EA6">
        <w:t>adjusts</w:t>
      </w:r>
      <w:r w:rsidR="009D4B3D">
        <w:t xml:space="preserve"> the charging valve opening to reduce the power output of the system to the desired </w:t>
      </w:r>
      <w:r w:rsidR="00624EA6">
        <w:t>level</w:t>
      </w:r>
      <w:r w:rsidR="009D4B3D">
        <w:t xml:space="preserve">. </w:t>
      </w:r>
      <w:r w:rsidR="00E45522">
        <w:t>W</w:t>
      </w:r>
      <w:r w:rsidR="009A05FD">
        <w:t xml:space="preserve">hen the power demand is higher than the nominal value, </w:t>
      </w:r>
      <w:r w:rsidR="00E45522">
        <w:t>a second PI controller is activated to regulate</w:t>
      </w:r>
      <w:r w:rsidR="009A05FD">
        <w:t xml:space="preserve"> the pump’s rotational speed</w:t>
      </w:r>
      <w:r w:rsidR="00DF6DF0">
        <w:t xml:space="preserve"> and, consequently, </w:t>
      </w:r>
      <w:r w:rsidR="009A05FD">
        <w:t xml:space="preserve">the </w:t>
      </w:r>
      <w:r w:rsidR="000D5C8D">
        <w:t>supplementary steam flow rate produced by discharging the TES.</w:t>
      </w:r>
    </w:p>
    <w:p w14:paraId="21CE6EB0" w14:textId="2B7B8478" w:rsidR="00875DD8" w:rsidRDefault="00875DD8" w:rsidP="00164313">
      <w:pPr>
        <w:pStyle w:val="BodyText"/>
        <w:ind w:firstLine="0"/>
      </w:pPr>
    </w:p>
    <w:p w14:paraId="0E1344F2" w14:textId="0F0148B5" w:rsidR="00241747" w:rsidRDefault="003109E2" w:rsidP="000444F1">
      <w:pPr>
        <w:pStyle w:val="BodyText"/>
        <w:ind w:firstLine="0"/>
        <w:jc w:val="center"/>
      </w:pPr>
      <w:r>
        <w:rPr>
          <w:noProof/>
          <w:lang w:val="fr-FR" w:eastAsia="fr-FR"/>
        </w:rPr>
        <w:drawing>
          <wp:inline distT="0" distB="0" distL="0" distR="0" wp14:anchorId="2C0AD216" wp14:editId="2ADF83A9">
            <wp:extent cx="5202772" cy="2842591"/>
            <wp:effectExtent l="0" t="0" r="4445" b="2540"/>
            <wp:docPr id="1621684033"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84033" name="Picture 3" descr="A diagram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3181" cy="2908378"/>
                    </a:xfrm>
                    <a:prstGeom prst="rect">
                      <a:avLst/>
                    </a:prstGeom>
                  </pic:spPr>
                </pic:pic>
              </a:graphicData>
            </a:graphic>
          </wp:inline>
        </w:drawing>
      </w:r>
    </w:p>
    <w:p w14:paraId="3D4C3E4C" w14:textId="520EEE45" w:rsidR="00ED7E65" w:rsidRDefault="007B1F29" w:rsidP="00164313">
      <w:pPr>
        <w:pStyle w:val="BodyText"/>
        <w:ind w:firstLine="0"/>
      </w:pPr>
      <w:r w:rsidRPr="0032223C">
        <w:rPr>
          <w:noProof/>
          <w:lang w:val="fr-FR" w:eastAsia="fr-FR"/>
        </w:rPr>
        <mc:AlternateContent>
          <mc:Choice Requires="wps">
            <w:drawing>
              <wp:anchor distT="0" distB="0" distL="114300" distR="114300" simplePos="0" relativeHeight="251660288" behindDoc="0" locked="0" layoutInCell="1" allowOverlap="1" wp14:anchorId="6EBEB37D" wp14:editId="7934C9AB">
                <wp:simplePos x="0" y="0"/>
                <wp:positionH relativeFrom="column">
                  <wp:posOffset>1651635</wp:posOffset>
                </wp:positionH>
                <wp:positionV relativeFrom="paragraph">
                  <wp:posOffset>61849</wp:posOffset>
                </wp:positionV>
                <wp:extent cx="2611120" cy="186690"/>
                <wp:effectExtent l="0" t="0" r="5080" b="5080"/>
                <wp:wrapSquare wrapText="bothSides"/>
                <wp:docPr id="970567319" name="Text Box 970567319"/>
                <wp:cNvGraphicFramePr/>
                <a:graphic xmlns:a="http://schemas.openxmlformats.org/drawingml/2006/main">
                  <a:graphicData uri="http://schemas.microsoft.com/office/word/2010/wordprocessingShape">
                    <wps:wsp>
                      <wps:cNvSpPr txBox="1"/>
                      <wps:spPr>
                        <a:xfrm>
                          <a:off x="0" y="0"/>
                          <a:ext cx="2611120" cy="186690"/>
                        </a:xfrm>
                        <a:prstGeom prst="rect">
                          <a:avLst/>
                        </a:prstGeom>
                        <a:solidFill>
                          <a:prstClr val="white"/>
                        </a:solidFill>
                        <a:ln>
                          <a:noFill/>
                        </a:ln>
                        <a:effectLst/>
                      </wps:spPr>
                      <wps:txbx>
                        <w:txbxContent>
                          <w:p w14:paraId="727DDF11" w14:textId="0696FA80" w:rsidR="00027ED4" w:rsidRPr="00802381" w:rsidRDefault="00027ED4" w:rsidP="00027ED4">
                            <w:pPr>
                              <w:pStyle w:val="Caption"/>
                              <w:jc w:val="center"/>
                              <w:rPr>
                                <w:i/>
                                <w:sz w:val="20"/>
                              </w:rPr>
                            </w:pPr>
                            <w:bookmarkStart w:id="6" w:name="_Ref166751042"/>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7B1F29">
                              <w:rPr>
                                <w:i/>
                                <w:noProof/>
                              </w:rPr>
                              <w:t>2</w:t>
                            </w:r>
                            <w:r w:rsidRPr="00802381">
                              <w:rPr>
                                <w:i/>
                              </w:rPr>
                              <w:fldChar w:fldCharType="end"/>
                            </w:r>
                            <w:bookmarkEnd w:id="6"/>
                            <w:r>
                              <w:rPr>
                                <w:i/>
                              </w:rPr>
                              <w:t xml:space="preserve">. Dynamic model of the </w:t>
                            </w:r>
                            <w:r w:rsidR="00ED7E65">
                              <w:rPr>
                                <w:i/>
                              </w:rPr>
                              <w:t>integrated system</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EBEB37D" id="_x0000_t202" coordsize="21600,21600" o:spt="202" path="m,l,21600r21600,l21600,xe">
                <v:stroke joinstyle="miter"/>
                <v:path gradientshapeok="t" o:connecttype="rect"/>
              </v:shapetype>
              <v:shape id="Text Box 970567319" o:spid="_x0000_s1027" type="#_x0000_t202" style="position:absolute;left:0;text-align:left;margin-left:130.05pt;margin-top:4.85pt;width:205.6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" stroked="f">
                <v:textbox style="mso-fit-shape-to-text:t" inset="0,0,0,0">
                  <w:txbxContent>
                    <w:p w14:paraId="727DDF11" w14:textId="0696FA80" w:rsidR="00027ED4" w:rsidRPr="00802381" w:rsidRDefault="00027ED4" w:rsidP="00027ED4">
                      <w:pPr>
                        <w:pStyle w:val="Caption"/>
                        <w:jc w:val="center"/>
                        <w:rPr>
                          <w:i/>
                          <w:sz w:val="20"/>
                        </w:rPr>
                      </w:pPr>
                      <w:bookmarkStart w:id="7" w:name="_Ref166751042"/>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7B1F29">
                        <w:rPr>
                          <w:i/>
                          <w:noProof/>
                        </w:rPr>
                        <w:t>2</w:t>
                      </w:r>
                      <w:r w:rsidRPr="00802381">
                        <w:rPr>
                          <w:i/>
                        </w:rPr>
                        <w:fldChar w:fldCharType="end"/>
                      </w:r>
                      <w:bookmarkEnd w:id="7"/>
                      <w:r>
                        <w:rPr>
                          <w:i/>
                        </w:rPr>
                        <w:t xml:space="preserve">. Dynamic model of the </w:t>
                      </w:r>
                      <w:r w:rsidR="00ED7E65">
                        <w:rPr>
                          <w:i/>
                        </w:rPr>
                        <w:t>integrated system</w:t>
                      </w:r>
                      <w:r>
                        <w:rPr>
                          <w:i/>
                        </w:rPr>
                        <w:t>.</w:t>
                      </w:r>
                    </w:p>
                  </w:txbxContent>
                </v:textbox>
                <w10:wrap type="square"/>
              </v:shape>
            </w:pict>
          </mc:Fallback>
        </mc:AlternateContent>
      </w:r>
    </w:p>
    <w:p w14:paraId="6C02233B" w14:textId="77777777" w:rsidR="004648DC" w:rsidRDefault="004648DC" w:rsidP="00164313">
      <w:pPr>
        <w:pStyle w:val="BodyText"/>
        <w:ind w:firstLine="0"/>
      </w:pPr>
    </w:p>
    <w:p w14:paraId="1FE9B156" w14:textId="5FE8E43D" w:rsidR="00834E22" w:rsidRDefault="0095279C" w:rsidP="00834E22">
      <w:pPr>
        <w:pStyle w:val="Heading2"/>
        <w:numPr>
          <w:ilvl w:val="1"/>
          <w:numId w:val="10"/>
        </w:numPr>
        <w:tabs>
          <w:tab w:val="num" w:pos="567"/>
        </w:tabs>
      </w:pPr>
      <w:r>
        <w:t>CASE STUDIES AND RESULTS</w:t>
      </w:r>
    </w:p>
    <w:p w14:paraId="4EBF6745" w14:textId="73054C44" w:rsidR="00834E22" w:rsidRDefault="003A003D" w:rsidP="003A003D">
      <w:pPr>
        <w:pStyle w:val="BodyText"/>
      </w:pPr>
      <w:r>
        <w:t xml:space="preserve">The dynamic behaviour of the system is investigated in different case studies, </w:t>
      </w:r>
      <w:r w:rsidR="00103552">
        <w:t>each impo</w:t>
      </w:r>
      <w:r w:rsidR="00DF29F7">
        <w:t>sing</w:t>
      </w:r>
      <w:r>
        <w:t xml:space="preserve"> electrical power setpoints to be satisfied by the </w:t>
      </w:r>
      <w:r w:rsidR="00BD1075">
        <w:t xml:space="preserve">considered </w:t>
      </w:r>
      <w:r w:rsidR="00C36210">
        <w:t>architecture</w:t>
      </w:r>
      <w:r w:rsidR="00BD1075">
        <w:t xml:space="preserve">. </w:t>
      </w:r>
      <w:r w:rsidR="000002A9">
        <w:t>While a</w:t>
      </w:r>
      <w:r w:rsidR="00546CBD">
        <w:t xml:space="preserve"> comprehensive analysis of the</w:t>
      </w:r>
      <w:r w:rsidR="00DF29F7">
        <w:t xml:space="preserve"> </w:t>
      </w:r>
      <w:r w:rsidR="00546CBD">
        <w:t xml:space="preserve">design and operation of such systems </w:t>
      </w:r>
      <w:r w:rsidR="000002A9">
        <w:t>would require a</w:t>
      </w:r>
      <w:r w:rsidR="008A488D">
        <w:t xml:space="preserve"> techno-economic optimisation, providing the most convenient storage capacity and power flows </w:t>
      </w:r>
      <w:r w:rsidR="00406BF1">
        <w:t>within</w:t>
      </w:r>
      <w:r w:rsidR="008A488D">
        <w:t xml:space="preserve"> a given timeframe</w:t>
      </w:r>
      <w:r w:rsidR="00163D83">
        <w:t>, this work focuses on</w:t>
      </w:r>
      <w:r w:rsidR="0092219F">
        <w:t xml:space="preserve"> two</w:t>
      </w:r>
      <w:r w:rsidR="00163D83">
        <w:t xml:space="preserve"> </w:t>
      </w:r>
      <w:r w:rsidR="002313E3">
        <w:t>illustrative</w:t>
      </w:r>
      <w:r w:rsidR="00762D94">
        <w:t xml:space="preserve"> profiles for the electrical power demand</w:t>
      </w:r>
      <w:r w:rsidR="0092219F">
        <w:t xml:space="preserve">. </w:t>
      </w:r>
      <w:bookmarkStart w:id="7" w:name="OLE_LINK8"/>
      <w:bookmarkStart w:id="8" w:name="OLE_LINK9"/>
      <w:r w:rsidR="0092219F">
        <w:t>These curves,</w:t>
      </w:r>
      <w:r w:rsidR="00B2575C">
        <w:t xml:space="preserve"> constructed </w:t>
      </w:r>
      <w:r w:rsidR="0092219F">
        <w:t>following</w:t>
      </w:r>
      <w:r w:rsidR="00B2575C">
        <w:t xml:space="preserve"> the trend of the </w:t>
      </w:r>
      <w:r w:rsidR="00F66EB7">
        <w:t xml:space="preserve">electricity market </w:t>
      </w:r>
      <w:r w:rsidR="008462B4">
        <w:t>over</w:t>
      </w:r>
      <w:r w:rsidR="00F66EB7">
        <w:t xml:space="preserve"> a 24-hour period</w:t>
      </w:r>
      <w:r w:rsidR="003C1F5A">
        <w:t>,</w:t>
      </w:r>
      <w:r w:rsidR="00163D83">
        <w:t xml:space="preserve"> </w:t>
      </w:r>
      <w:r w:rsidR="003C1F5A">
        <w:t>are</w:t>
      </w:r>
      <w:r w:rsidR="00163D83">
        <w:t xml:space="preserve"> solely intended to showcase a potential application of the simulator</w:t>
      </w:r>
      <w:r w:rsidR="00F66EB7">
        <w:t>.</w:t>
      </w:r>
      <w:r w:rsidR="006424C2">
        <w:t xml:space="preserve"> </w:t>
      </w:r>
      <w:r w:rsidR="002B71E4">
        <w:t>In the considered operational strategy, the electrical power output of the system is decreased by charging the TES</w:t>
      </w:r>
      <w:r w:rsidR="007C154C">
        <w:t xml:space="preserve"> </w:t>
      </w:r>
      <w:r w:rsidR="005E2D5B">
        <w:t>during periods of low</w:t>
      </w:r>
      <w:r w:rsidR="007C154C">
        <w:t xml:space="preserve"> electricity </w:t>
      </w:r>
      <w:r w:rsidR="005E2D5B">
        <w:t>prices</w:t>
      </w:r>
      <w:r w:rsidR="007C154C">
        <w:t xml:space="preserve">, whereas the </w:t>
      </w:r>
      <w:r w:rsidR="00D127BF">
        <w:t xml:space="preserve">TES discharging is performed </w:t>
      </w:r>
      <w:r w:rsidR="00537522">
        <w:t>when electricity price</w:t>
      </w:r>
      <w:r w:rsidR="005E2D5B">
        <w:t xml:space="preserve">s are </w:t>
      </w:r>
      <w:r w:rsidR="00537522">
        <w:t>high</w:t>
      </w:r>
      <w:r w:rsidR="00AB0BE6">
        <w:t xml:space="preserve"> compared to the </w:t>
      </w:r>
      <w:r w:rsidR="00C656E0">
        <w:t>daily average</w:t>
      </w:r>
      <w:r w:rsidR="00537522">
        <w:t>.</w:t>
      </w:r>
      <w:bookmarkEnd w:id="7"/>
      <w:bookmarkEnd w:id="8"/>
    </w:p>
    <w:p w14:paraId="75E5789E" w14:textId="2599734C" w:rsidR="00FD7BC7" w:rsidRPr="003A003D" w:rsidRDefault="00BD04F2" w:rsidP="003A003D">
      <w:pPr>
        <w:pStyle w:val="BodyText"/>
      </w:pPr>
      <w:r w:rsidRPr="00BD04F2">
        <w:t xml:space="preserve">Two electricity price profiles were selected to determine consistent power setpoints, sampled from a weekday and a weekend day in mid-April 2024. The curves stem from the German electricity market, which is characterised by a high penetration of VRE, whose availability strongly influences electricity prices. This applies especially during the weekends, where a high solar power output, combined with a low electricity demand, may result in negative electricity prices during the midday hours, as shown in the first panel on the right-hand side of </w:t>
      </w:r>
      <w:r w:rsidR="00531659" w:rsidRPr="00531659">
        <w:fldChar w:fldCharType="begin"/>
      </w:r>
      <w:r w:rsidR="00531659" w:rsidRPr="00531659">
        <w:instrText xml:space="preserve"> REF _Ref166754060 \h  \* MERGEFORMAT </w:instrText>
      </w:r>
      <w:r w:rsidR="00531659" w:rsidRPr="00531659">
        <w:fldChar w:fldCharType="separate"/>
      </w:r>
      <w:r w:rsidR="00531659" w:rsidRPr="00531659">
        <w:t>F</w:t>
      </w:r>
      <w:r w:rsidR="00531659">
        <w:t>ig</w:t>
      </w:r>
      <w:r w:rsidR="00531659" w:rsidRPr="00531659">
        <w:t xml:space="preserve">. </w:t>
      </w:r>
      <w:r w:rsidR="00531659" w:rsidRPr="00531659">
        <w:rPr>
          <w:noProof/>
        </w:rPr>
        <w:t>3</w:t>
      </w:r>
      <w:r w:rsidR="00531659" w:rsidRPr="00531659">
        <w:fldChar w:fldCharType="end"/>
      </w:r>
      <w:r w:rsidRPr="00BD04F2">
        <w:t>. In such cases, ramping down the reactor’s electrical power output could reduce economic losses. Given these market trends, two power demand profiles varying between 140 and 190 MWe were constructed. These operational limits are determined by the maximal charging and discharging capacities; hence, a lower power output would be only achievable by performing load following with the NSSS, thereby losing the advantages of maintaining the reactor at nominal conditions</w:t>
      </w:r>
      <w:r w:rsidR="00992347">
        <w:t>.</w:t>
      </w:r>
    </w:p>
    <w:p w14:paraId="41F60883" w14:textId="067463B0" w:rsidR="00D71783" w:rsidRDefault="00842A25" w:rsidP="004648DC">
      <w:pPr>
        <w:pStyle w:val="BodyText"/>
      </w:pPr>
      <w:r>
        <w:t xml:space="preserve">For each case study, the dynamic response of the system is analysed in terms of </w:t>
      </w:r>
      <w:r w:rsidR="001A1694">
        <w:t xml:space="preserve">actual electrical power output, impact on the NSSS fission power, </w:t>
      </w:r>
      <w:r w:rsidR="00E3644B">
        <w:t xml:space="preserve">and TES tank filling level. The simulation outcomes demonstrate that the </w:t>
      </w:r>
      <w:r w:rsidR="00394A9A">
        <w:t xml:space="preserve">system </w:t>
      </w:r>
      <w:r w:rsidR="00250200">
        <w:t>can</w:t>
      </w:r>
      <w:r w:rsidR="00394A9A">
        <w:t xml:space="preserve"> </w:t>
      </w:r>
      <w:r w:rsidR="00AE3792">
        <w:t>cope with</w:t>
      </w:r>
      <w:r w:rsidR="00394A9A">
        <w:t xml:space="preserve"> highly variable load demands</w:t>
      </w:r>
      <w:r w:rsidR="004009AE">
        <w:t xml:space="preserve"> with a limited impact on </w:t>
      </w:r>
      <w:r w:rsidR="00851FC7">
        <w:t xml:space="preserve">the </w:t>
      </w:r>
      <w:r w:rsidR="004009AE">
        <w:t xml:space="preserve">NSSS conditions. </w:t>
      </w:r>
      <w:r w:rsidR="006C4FBB">
        <w:t>Notably</w:t>
      </w:r>
      <w:r w:rsidR="004009AE">
        <w:t xml:space="preserve">, </w:t>
      </w:r>
      <w:r w:rsidR="006C4FBB">
        <w:t xml:space="preserve">the </w:t>
      </w:r>
      <w:r w:rsidR="004009AE">
        <w:t>core power variation</w:t>
      </w:r>
      <w:r w:rsidR="009F049B">
        <w:t>, which</w:t>
      </w:r>
      <w:r w:rsidR="004009AE">
        <w:t xml:space="preserve"> remains below 0.2%</w:t>
      </w:r>
      <w:r w:rsidR="009F049B">
        <w:t xml:space="preserve">, is driven </w:t>
      </w:r>
      <w:r w:rsidR="001F42CE">
        <w:t>primarily</w:t>
      </w:r>
      <w:r w:rsidR="009F049B">
        <w:t xml:space="preserve"> by reactivity feedback mechanism</w:t>
      </w:r>
      <w:r w:rsidR="00757FDA">
        <w:t xml:space="preserve">s triggered by a variation of the </w:t>
      </w:r>
      <w:r w:rsidR="00403F1B">
        <w:t xml:space="preserve">steam generator inlet temperature, which in turn affects the NSSS moderator temperature </w:t>
      </w:r>
      <w:r w:rsidR="007A3BAA">
        <w:t xml:space="preserve">in the considered transients. </w:t>
      </w:r>
      <w:r w:rsidR="00421FAB">
        <w:t xml:space="preserve">This behaviour is </w:t>
      </w:r>
      <w:r w:rsidR="008D0564">
        <w:t>particularly pronounced</w:t>
      </w:r>
      <w:r w:rsidR="00421FAB">
        <w:t xml:space="preserve"> </w:t>
      </w:r>
      <w:r w:rsidR="0038140A">
        <w:t>during</w:t>
      </w:r>
      <w:r w:rsidR="00421FAB">
        <w:t xml:space="preserve"> the charging phase </w:t>
      </w:r>
      <w:r w:rsidR="00675104">
        <w:t xml:space="preserve">due </w:t>
      </w:r>
      <w:r w:rsidR="00675104">
        <w:lastRenderedPageBreak/>
        <w:t xml:space="preserve">to the </w:t>
      </w:r>
      <w:r w:rsidR="0038140A">
        <w:t>significant</w:t>
      </w:r>
      <w:r w:rsidR="00675104">
        <w:t xml:space="preserve"> impact of the condensate return temperature on the feedwater state. </w:t>
      </w:r>
      <w:r w:rsidR="005D47DD" w:rsidRPr="005D47DD">
        <w:t>During the charging phase, the reactor output exceeds its rated capacity of 540 MWth, highlighting the need to improve the NSSS control strategy to avoid potential safety concerns.</w:t>
      </w:r>
      <w:r w:rsidR="005D47DD">
        <w:t xml:space="preserve"> </w:t>
      </w:r>
      <w:r w:rsidR="007A3BAA">
        <w:t xml:space="preserve">It is worth mentioning that </w:t>
      </w:r>
      <w:r w:rsidR="008F4560">
        <w:t xml:space="preserve">the average core temperature </w:t>
      </w:r>
      <w:r w:rsidR="00B66D63">
        <w:t xml:space="preserve">always </w:t>
      </w:r>
      <w:r w:rsidR="00ED0099">
        <w:t>remains within the allowed limits, meaning that no external reactivity needs to be injected by the NSSS controller.</w:t>
      </w:r>
      <w:r w:rsidR="00CE501F">
        <w:t xml:space="preserve"> Lastly, the state of charge of the TES</w:t>
      </w:r>
      <w:r w:rsidR="00B85286">
        <w:t xml:space="preserve">, </w:t>
      </w:r>
      <w:r w:rsidR="00BA0C31">
        <w:t>represented by</w:t>
      </w:r>
      <w:r w:rsidR="00D71783">
        <w:t xml:space="preserve"> the liquid level in the two tanks, is monitored in the lower part of </w:t>
      </w:r>
      <w:r w:rsidR="00FC6047" w:rsidRPr="00FC6047">
        <w:fldChar w:fldCharType="begin"/>
      </w:r>
      <w:r w:rsidR="00FC6047" w:rsidRPr="00FC6047">
        <w:instrText xml:space="preserve"> REF _Ref166754060 \h  \* MERGEFORMAT </w:instrText>
      </w:r>
      <w:r w:rsidR="00FC6047" w:rsidRPr="00FC6047">
        <w:fldChar w:fldCharType="separate"/>
      </w:r>
      <w:r w:rsidR="00FC6047" w:rsidRPr="00FC6047">
        <w:t>F</w:t>
      </w:r>
      <w:r w:rsidR="00FC6047">
        <w:t>ig</w:t>
      </w:r>
      <w:r w:rsidR="00FC6047" w:rsidRPr="00FC6047">
        <w:t xml:space="preserve">. </w:t>
      </w:r>
      <w:r w:rsidR="00FC6047" w:rsidRPr="00FC6047">
        <w:rPr>
          <w:noProof/>
        </w:rPr>
        <w:t>3</w:t>
      </w:r>
      <w:r w:rsidR="00FC6047" w:rsidRPr="00FC6047">
        <w:fldChar w:fldCharType="end"/>
      </w:r>
      <w:r w:rsidR="00D71783">
        <w:t>.</w:t>
      </w:r>
    </w:p>
    <w:p w14:paraId="401208CF" w14:textId="325AFFA0" w:rsidR="006D7EFD" w:rsidRDefault="00C92A05" w:rsidP="006D7EFD">
      <w:pPr>
        <w:pStyle w:val="BodyText"/>
        <w:ind w:firstLine="0"/>
      </w:pPr>
      <w:r>
        <w:rPr>
          <w:noProof/>
          <w:lang w:val="fr-FR" w:eastAsia="fr-FR"/>
        </w:rPr>
        <w:drawing>
          <wp:inline distT="0" distB="0" distL="0" distR="0" wp14:anchorId="02356A6D" wp14:editId="2331AE2F">
            <wp:extent cx="5732145" cy="3082925"/>
            <wp:effectExtent l="0" t="0" r="0" b="3175"/>
            <wp:docPr id="1554511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11353" name="Picture 15545113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3082925"/>
                    </a:xfrm>
                    <a:prstGeom prst="rect">
                      <a:avLst/>
                    </a:prstGeom>
                  </pic:spPr>
                </pic:pic>
              </a:graphicData>
            </a:graphic>
          </wp:inline>
        </w:drawing>
      </w:r>
    </w:p>
    <w:p w14:paraId="62B60259" w14:textId="025B39F7" w:rsidR="006D7EFD" w:rsidRDefault="00D327EB" w:rsidP="006D7EFD">
      <w:pPr>
        <w:pStyle w:val="BodyText"/>
        <w:ind w:firstLine="0"/>
      </w:pPr>
      <w:r w:rsidRPr="0032223C">
        <w:rPr>
          <w:noProof/>
          <w:lang w:val="fr-FR" w:eastAsia="fr-FR"/>
        </w:rPr>
        <mc:AlternateContent>
          <mc:Choice Requires="wps">
            <w:drawing>
              <wp:anchor distT="0" distB="0" distL="114300" distR="114300" simplePos="0" relativeHeight="251662336" behindDoc="0" locked="0" layoutInCell="1" allowOverlap="1" wp14:anchorId="5C715F66" wp14:editId="0AF7A89F">
                <wp:simplePos x="0" y="0"/>
                <wp:positionH relativeFrom="column">
                  <wp:posOffset>1639570</wp:posOffset>
                </wp:positionH>
                <wp:positionV relativeFrom="paragraph">
                  <wp:posOffset>48895</wp:posOffset>
                </wp:positionV>
                <wp:extent cx="2611120" cy="186690"/>
                <wp:effectExtent l="0" t="0" r="5080" b="5080"/>
                <wp:wrapSquare wrapText="bothSides"/>
                <wp:docPr id="1003577771" name="Text Box 1003577771"/>
                <wp:cNvGraphicFramePr/>
                <a:graphic xmlns:a="http://schemas.openxmlformats.org/drawingml/2006/main">
                  <a:graphicData uri="http://schemas.microsoft.com/office/word/2010/wordprocessingShape">
                    <wps:wsp>
                      <wps:cNvSpPr txBox="1"/>
                      <wps:spPr>
                        <a:xfrm>
                          <a:off x="0" y="0"/>
                          <a:ext cx="2611120" cy="186690"/>
                        </a:xfrm>
                        <a:prstGeom prst="rect">
                          <a:avLst/>
                        </a:prstGeom>
                        <a:solidFill>
                          <a:prstClr val="white"/>
                        </a:solidFill>
                        <a:ln>
                          <a:noFill/>
                        </a:ln>
                        <a:effectLst/>
                      </wps:spPr>
                      <wps:txbx>
                        <w:txbxContent>
                          <w:p w14:paraId="5D4073AE" w14:textId="7FE9CA3B" w:rsidR="00D327EB" w:rsidRPr="00802381" w:rsidRDefault="00D327EB" w:rsidP="00D327EB">
                            <w:pPr>
                              <w:pStyle w:val="Caption"/>
                              <w:jc w:val="center"/>
                              <w:rPr>
                                <w:i/>
                                <w:sz w:val="20"/>
                              </w:rPr>
                            </w:pPr>
                            <w:bookmarkStart w:id="9" w:name="_Ref166754060"/>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531659">
                              <w:rPr>
                                <w:i/>
                                <w:noProof/>
                              </w:rPr>
                              <w:t>3</w:t>
                            </w:r>
                            <w:r w:rsidRPr="00802381">
                              <w:rPr>
                                <w:i/>
                              </w:rPr>
                              <w:fldChar w:fldCharType="end"/>
                            </w:r>
                            <w:bookmarkEnd w:id="9"/>
                            <w:r>
                              <w:rPr>
                                <w:i/>
                              </w:rPr>
                              <w:t xml:space="preserve">. </w:t>
                            </w:r>
                            <w:r w:rsidR="00531659">
                              <w:rPr>
                                <w:i/>
                              </w:rPr>
                              <w:t>Simulation outcomes in the two case studies</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C715F66" id="Text Box 1003577771" o:spid="_x0000_s1028" type="#_x0000_t202" style="position:absolute;left:0;text-align:left;margin-left:129.1pt;margin-top:3.85pt;width:205.6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" stroked="f">
                <v:textbox style="mso-fit-shape-to-text:t" inset="0,0,0,0">
                  <w:txbxContent>
                    <w:p w14:paraId="5D4073AE" w14:textId="7FE9CA3B" w:rsidR="00D327EB" w:rsidRPr="00802381" w:rsidRDefault="00D327EB" w:rsidP="00D327EB">
                      <w:pPr>
                        <w:pStyle w:val="Caption"/>
                        <w:jc w:val="center"/>
                        <w:rPr>
                          <w:i/>
                          <w:sz w:val="20"/>
                        </w:rPr>
                      </w:pPr>
                      <w:bookmarkStart w:id="113" w:name="_Ref166754060"/>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531659">
                        <w:rPr>
                          <w:i/>
                          <w:noProof/>
                        </w:rPr>
                        <w:t>3</w:t>
                      </w:r>
                      <w:r w:rsidRPr="00802381">
                        <w:rPr>
                          <w:i/>
                        </w:rPr>
                        <w:fldChar w:fldCharType="end"/>
                      </w:r>
                      <w:bookmarkEnd w:id="113"/>
                      <w:r>
                        <w:rPr>
                          <w:i/>
                        </w:rPr>
                        <w:t xml:space="preserve">. </w:t>
                      </w:r>
                      <w:r w:rsidR="00531659">
                        <w:rPr>
                          <w:i/>
                        </w:rPr>
                        <w:t>Simulation outcomes in the two case studies</w:t>
                      </w:r>
                      <w:r>
                        <w:rPr>
                          <w:i/>
                        </w:rPr>
                        <w:t>.</w:t>
                      </w:r>
                    </w:p>
                  </w:txbxContent>
                </v:textbox>
                <w10:wrap type="square"/>
              </v:shape>
            </w:pict>
          </mc:Fallback>
        </mc:AlternateContent>
      </w:r>
    </w:p>
    <w:p w14:paraId="55F2C370" w14:textId="77777777" w:rsidR="00D327EB" w:rsidRDefault="00D327EB" w:rsidP="006D7EFD">
      <w:pPr>
        <w:pStyle w:val="BodyText"/>
        <w:ind w:firstLine="0"/>
      </w:pPr>
    </w:p>
    <w:p w14:paraId="7AED504E" w14:textId="5AE15FD0" w:rsidR="002E7972" w:rsidRPr="006D7EFD" w:rsidRDefault="00141476" w:rsidP="00D640BD">
      <w:pPr>
        <w:pStyle w:val="BodyText"/>
      </w:pPr>
      <w:r>
        <w:t>While</w:t>
      </w:r>
      <w:r w:rsidR="00C51D3D">
        <w:t xml:space="preserve"> a comprehensive economic analysis of the system </w:t>
      </w:r>
      <w:r w:rsidR="00F435E4">
        <w:t>is</w:t>
      </w:r>
      <w:r w:rsidR="00C51D3D">
        <w:t xml:space="preserve"> beyond the scope of this work, it is possible to </w:t>
      </w:r>
      <w:r w:rsidR="00BE6ED3">
        <w:t xml:space="preserve">estimate the </w:t>
      </w:r>
      <w:r w:rsidR="00780317">
        <w:t>impact</w:t>
      </w:r>
      <w:r w:rsidR="00BE6ED3">
        <w:t xml:space="preserve"> in terms of revenues obtained from the electricity market </w:t>
      </w:r>
      <w:r w:rsidR="0015322E">
        <w:t xml:space="preserve">by </w:t>
      </w:r>
      <w:r w:rsidR="00A24D27">
        <w:t>comparing</w:t>
      </w:r>
      <w:r w:rsidR="00AB3AEF">
        <w:t xml:space="preserve"> baseload operation</w:t>
      </w:r>
      <w:r w:rsidR="00033229">
        <w:t xml:space="preserve">, i.e., </w:t>
      </w:r>
      <w:r w:rsidR="00A24D27">
        <w:t xml:space="preserve">maintaining </w:t>
      </w:r>
      <w:r w:rsidR="00033229">
        <w:t>constant power output at 170 MWe,</w:t>
      </w:r>
      <w:r w:rsidR="00AB3AEF">
        <w:t xml:space="preserve"> with the flexible operation </w:t>
      </w:r>
      <w:r w:rsidR="00A24D27">
        <w:t>facilitated</w:t>
      </w:r>
      <w:r w:rsidR="00AB3AEF">
        <w:t xml:space="preserve"> by the TES </w:t>
      </w:r>
      <w:r w:rsidR="00A24D27">
        <w:t>examined</w:t>
      </w:r>
      <w:r w:rsidR="00AB3AEF">
        <w:t xml:space="preserve"> in this study. </w:t>
      </w:r>
      <w:r w:rsidR="009A3A15">
        <w:t xml:space="preserve">In both </w:t>
      </w:r>
      <w:r w:rsidR="008B71C3">
        <w:t xml:space="preserve">case studies, </w:t>
      </w:r>
      <w:r w:rsidR="00132F99">
        <w:t>the ability</w:t>
      </w:r>
      <w:r w:rsidR="00686010">
        <w:t xml:space="preserve"> to manage the electrical power output according to the market </w:t>
      </w:r>
      <w:r w:rsidR="008D2335">
        <w:t>evolution</w:t>
      </w:r>
      <w:r w:rsidR="00686010">
        <w:t xml:space="preserve"> significantly </w:t>
      </w:r>
      <w:r w:rsidR="00B644B7">
        <w:t>enhances</w:t>
      </w:r>
      <w:r w:rsidR="00686010">
        <w:t xml:space="preserve"> the revenue</w:t>
      </w:r>
      <w:r w:rsidR="00B644B7">
        <w:t xml:space="preserve"> streams</w:t>
      </w:r>
      <w:r w:rsidR="00640111">
        <w:t xml:space="preserve"> of the integrated system. </w:t>
      </w:r>
      <w:r w:rsidR="00AF76AE">
        <w:t>Economic</w:t>
      </w:r>
      <w:r w:rsidR="00640111">
        <w:t xml:space="preserve"> competitiveness improves particularly </w:t>
      </w:r>
      <w:r w:rsidR="009C4817">
        <w:t xml:space="preserve">during the weekend, </w:t>
      </w:r>
      <w:r w:rsidR="001F3F53">
        <w:t>when</w:t>
      </w:r>
      <w:r w:rsidR="009C4817">
        <w:t xml:space="preserve"> electricity price</w:t>
      </w:r>
      <w:r w:rsidR="001F3F53">
        <w:t>s</w:t>
      </w:r>
      <w:r w:rsidR="009C4817">
        <w:t xml:space="preserve"> </w:t>
      </w:r>
      <w:r w:rsidR="006928F5">
        <w:t>range</w:t>
      </w:r>
      <w:r w:rsidR="009C4817">
        <w:t xml:space="preserve"> from </w:t>
      </w:r>
      <w:r w:rsidR="00697283">
        <w:t>being negative</w:t>
      </w:r>
      <w:r w:rsidR="009C4817">
        <w:t xml:space="preserve"> up to </w:t>
      </w:r>
      <w:r w:rsidR="005418AF">
        <w:t>peak</w:t>
      </w:r>
      <w:r w:rsidR="009C4817">
        <w:t xml:space="preserve"> </w:t>
      </w:r>
      <w:r w:rsidR="006928F5">
        <w:t xml:space="preserve">prices in the evening. </w:t>
      </w:r>
      <w:r w:rsidR="00DE51F0" w:rsidRPr="00DE51F0">
        <w:t xml:space="preserve">As a result, by regulating the power output consistently with this trend, revenues increase by 23% compared to baseload operation. </w:t>
      </w:r>
      <w:r w:rsidR="003B3C2E">
        <w:t xml:space="preserve">This figure could be enhanced by ramping down the reactor’s power to further reduce the electrical power produced by the system during times of negative electricity prices, thereby minimising financial losses. </w:t>
      </w:r>
      <w:r w:rsidR="00DE51F0" w:rsidRPr="00DE51F0">
        <w:t xml:space="preserve">The benefits of flexible operation are less remarkable in the weekday scenario, with an increase in revenues limited to about 5%. This difference arises from the </w:t>
      </w:r>
      <w:r w:rsidR="003B3C2E">
        <w:t>lower variability of</w:t>
      </w:r>
      <w:r w:rsidR="003B3C2E" w:rsidRPr="00DE51F0">
        <w:t xml:space="preserve"> </w:t>
      </w:r>
      <w:r w:rsidR="00DE51F0" w:rsidRPr="00DE51F0">
        <w:t>electricity prices throughout the day, making TES charging less advantageous.</w:t>
      </w:r>
    </w:p>
    <w:p w14:paraId="76F6202C" w14:textId="07FFDACF" w:rsidR="006D7EFD" w:rsidRDefault="006D7EFD" w:rsidP="006D7EFD">
      <w:pPr>
        <w:pStyle w:val="Heading2"/>
        <w:numPr>
          <w:ilvl w:val="1"/>
          <w:numId w:val="10"/>
        </w:numPr>
      </w:pPr>
      <w:r>
        <w:t>Conclusions</w:t>
      </w:r>
    </w:p>
    <w:p w14:paraId="5F7E6EF0" w14:textId="34E259E0" w:rsidR="00075334" w:rsidRDefault="002E7972" w:rsidP="00075334">
      <w:pPr>
        <w:pStyle w:val="BodyText"/>
      </w:pPr>
      <w:r>
        <w:t xml:space="preserve">In this study, a dynamic simulator of a light-water cooled SMR coupled to a two-tank thermal energy storage system is </w:t>
      </w:r>
      <w:r w:rsidR="0057506F">
        <w:t>introduced</w:t>
      </w:r>
      <w:r w:rsidR="00E6796E">
        <w:t>.</w:t>
      </w:r>
      <w:r w:rsidR="00626B90">
        <w:t xml:space="preserve"> One of the key advantages of such configuration</w:t>
      </w:r>
      <w:r w:rsidR="00A7774A">
        <w:t>s</w:t>
      </w:r>
      <w:r w:rsidR="00626B90">
        <w:t xml:space="preserve"> is </w:t>
      </w:r>
      <w:r w:rsidR="00A7774A">
        <w:t>their</w:t>
      </w:r>
      <w:r w:rsidR="00CF6CED">
        <w:t xml:space="preserve"> capacity</w:t>
      </w:r>
      <w:r w:rsidR="00626B90">
        <w:t xml:space="preserve"> to</w:t>
      </w:r>
      <w:r w:rsidR="00447EC5">
        <w:t xml:space="preserve"> provide a variable electrical power output, coping with the </w:t>
      </w:r>
      <w:r w:rsidR="008F73DE">
        <w:t xml:space="preserve">VRE intermittency and </w:t>
      </w:r>
      <w:r w:rsidR="00B93064">
        <w:t>its impact</w:t>
      </w:r>
      <w:r w:rsidR="008F73DE">
        <w:t xml:space="preserve"> on the electricity market, while </w:t>
      </w:r>
      <w:r w:rsidR="00AA2129">
        <w:t xml:space="preserve">leveraging the </w:t>
      </w:r>
      <w:r w:rsidR="00B93064">
        <w:t>benefits</w:t>
      </w:r>
      <w:r w:rsidR="00AA2129">
        <w:t xml:space="preserve"> of maintaining the nuclear reactor at nominal conditions. </w:t>
      </w:r>
      <w:r w:rsidR="00075334">
        <w:t xml:space="preserve">The dynamic model </w:t>
      </w:r>
      <w:r w:rsidR="00A73E36">
        <w:t xml:space="preserve">has been tested </w:t>
      </w:r>
      <w:r w:rsidR="00DB4DA5">
        <w:t xml:space="preserve">with respect to two power </w:t>
      </w:r>
      <w:r w:rsidR="00D64A91">
        <w:t>output profiles</w:t>
      </w:r>
      <w:r w:rsidR="007E1EAD">
        <w:t>,</w:t>
      </w:r>
      <w:r w:rsidR="00DB4DA5">
        <w:t xml:space="preserve"> and the simulation outcomes demonstrate that the integrated system could meet such highly variable </w:t>
      </w:r>
      <w:r w:rsidR="00233832">
        <w:t xml:space="preserve">power </w:t>
      </w:r>
      <w:r w:rsidR="00B36E63">
        <w:t>demand</w:t>
      </w:r>
      <w:r w:rsidR="00233832">
        <w:t xml:space="preserve"> </w:t>
      </w:r>
      <w:r w:rsidR="007E1EAD">
        <w:t xml:space="preserve">by </w:t>
      </w:r>
      <w:r w:rsidR="007B1A7F">
        <w:t>exploiting</w:t>
      </w:r>
      <w:r w:rsidR="00233832">
        <w:t xml:space="preserve"> TES charging and discharging with minimal perturbations on the NSSS.</w:t>
      </w:r>
    </w:p>
    <w:p w14:paraId="72502390" w14:textId="4D561459" w:rsidR="00233832" w:rsidRDefault="00655469" w:rsidP="00075334">
      <w:pPr>
        <w:pStyle w:val="BodyText"/>
      </w:pPr>
      <w:r>
        <w:t xml:space="preserve">It should be </w:t>
      </w:r>
      <w:r w:rsidR="00E07A4F">
        <w:t>acknowledged</w:t>
      </w:r>
      <w:r>
        <w:t xml:space="preserve"> that</w:t>
      </w:r>
      <w:r w:rsidR="002949BB">
        <w:t xml:space="preserve"> the preliminary dynamic models proposed in this study </w:t>
      </w:r>
      <w:r w:rsidR="00E07A4F">
        <w:t>rely on</w:t>
      </w:r>
      <w:r w:rsidR="00006D2B">
        <w:t xml:space="preserve"> assumptions, such as the static approach adopted to model the BOP and TES heat exchanger, </w:t>
      </w:r>
      <w:r w:rsidR="005111F4">
        <w:t>which will have a significant impact on the representat</w:t>
      </w:r>
      <w:r w:rsidR="00C94D62">
        <w:t xml:space="preserve">iveness of the dynamic behaviour of the </w:t>
      </w:r>
      <w:r w:rsidR="005546BE">
        <w:t>system</w:t>
      </w:r>
      <w:r w:rsidR="00C94D62">
        <w:t xml:space="preserve">. </w:t>
      </w:r>
    </w:p>
    <w:p w14:paraId="5FCE2D2F" w14:textId="02D70A77" w:rsidR="001372F0" w:rsidRPr="008F2947" w:rsidRDefault="006C5B2C" w:rsidP="001372F0">
      <w:pPr>
        <w:pStyle w:val="BodyText"/>
      </w:pPr>
      <w:r>
        <w:lastRenderedPageBreak/>
        <w:t xml:space="preserve">In conclusion, the </w:t>
      </w:r>
      <w:r w:rsidR="009B7F43">
        <w:t xml:space="preserve">dynamic simulator for this configuration </w:t>
      </w:r>
      <w:r w:rsidR="00ED7F3A">
        <w:t>represents</w:t>
      </w:r>
      <w:r w:rsidR="009B7F43">
        <w:t xml:space="preserve"> an initial effort to</w:t>
      </w:r>
      <w:r w:rsidR="00ED7F3A">
        <w:t>wards</w:t>
      </w:r>
      <w:r w:rsidR="002A7B67">
        <w:t xml:space="preserve"> develop</w:t>
      </w:r>
      <w:r w:rsidR="00ED7F3A">
        <w:t>ing</w:t>
      </w:r>
      <w:r w:rsidR="002A7B67">
        <w:t xml:space="preserve"> a comprehensive framework for </w:t>
      </w:r>
      <w:r w:rsidR="00ED7F3A">
        <w:t>analysing such systems</w:t>
      </w:r>
      <w:r w:rsidR="002A7B67">
        <w:t xml:space="preserve">, encompassing </w:t>
      </w:r>
      <w:r w:rsidR="006F7A30">
        <w:t xml:space="preserve">a reliable dynamic representation </w:t>
      </w:r>
      <w:r w:rsidR="008F70F3">
        <w:t xml:space="preserve">and </w:t>
      </w:r>
      <w:r w:rsidR="00B527F1">
        <w:t xml:space="preserve">a techno-economic optimisation of its design and operational strategy, </w:t>
      </w:r>
      <w:r w:rsidR="008F70F3">
        <w:t xml:space="preserve">with the objective </w:t>
      </w:r>
      <w:r w:rsidR="00203B57">
        <w:t xml:space="preserve">of assessing the </w:t>
      </w:r>
      <w:r w:rsidR="00433F47">
        <w:t xml:space="preserve">impact and economic viability of </w:t>
      </w:r>
      <w:r w:rsidR="003E4415">
        <w:t xml:space="preserve">such </w:t>
      </w:r>
      <w:r w:rsidR="00433F47">
        <w:t>flexible power generator</w:t>
      </w:r>
      <w:r w:rsidR="003E4415">
        <w:t>s</w:t>
      </w:r>
      <w:r w:rsidR="00433F47">
        <w:t xml:space="preserve"> in </w:t>
      </w:r>
      <w:r w:rsidR="003E4415">
        <w:t>the</w:t>
      </w:r>
      <w:r w:rsidR="00433F47">
        <w:t xml:space="preserve"> context of increasing VRE penetration.</w:t>
      </w:r>
      <w:r w:rsidR="001372F0">
        <w:t xml:space="preserve"> In this context, a techno-economic optimisation of the system would allow for the exploration of different operational modes (e.g., combining the reactor’s flexible operation with TES charging and discharging) and evaluate the performances of the considered architecture in a broader range of scenarios, gaining a deeper understanding of its economic competitiveness.</w:t>
      </w:r>
    </w:p>
    <w:p w14:paraId="15F4F300" w14:textId="77777777" w:rsidR="00285755" w:rsidRPr="008F2947" w:rsidRDefault="00285755" w:rsidP="00537496">
      <w:pPr>
        <w:pStyle w:val="Otherunnumberedheadings"/>
      </w:pPr>
      <w:r w:rsidRPr="008F2947">
        <w:t>ACKNOWLEDGEMENTS</w:t>
      </w:r>
    </w:p>
    <w:p w14:paraId="711AF860" w14:textId="7CEC5556" w:rsidR="00D26ADA" w:rsidRDefault="00EE5DDB" w:rsidP="00537496">
      <w:pPr>
        <w:pStyle w:val="BodyText"/>
      </w:pPr>
      <w:r w:rsidRPr="00EE5DDB">
        <w:t>The TANDEM project is funded by the European Union from the Euratom research and training program – work program 2021–2022, under grant agreement No 101059479</w:t>
      </w:r>
      <w:r w:rsidR="00D26ADA" w:rsidRPr="008F2947">
        <w:t>.</w:t>
      </w:r>
    </w:p>
    <w:p w14:paraId="5A2E3D90" w14:textId="77777777" w:rsidR="00E77B8C" w:rsidRDefault="00E77B8C" w:rsidP="00537496">
      <w:pPr>
        <w:pStyle w:val="BodyText"/>
      </w:pPr>
    </w:p>
    <w:p w14:paraId="719C4EEE" w14:textId="5FBDC2FD" w:rsidR="006162B9" w:rsidRPr="008F2947" w:rsidRDefault="00516C29" w:rsidP="00172E20">
      <w:pPr>
        <w:pStyle w:val="BodyText"/>
      </w:pPr>
      <w:r w:rsidRPr="00516C29">
        <w:t>Views and opinions expressed are however those of the authors only and do not necessarily reflect those of the European Union or the European Atomic Energy Community (‘EC-Euratom’). Neither the European Union nor the granting authority can be held responsible for them</w:t>
      </w:r>
      <w:r>
        <w:t>.</w:t>
      </w:r>
    </w:p>
    <w:p w14:paraId="32B76F9D" w14:textId="17A36ACA" w:rsidR="00D26ADA" w:rsidRPr="008F2947" w:rsidRDefault="00D26ADA" w:rsidP="00537496">
      <w:pPr>
        <w:pStyle w:val="Otherunnumberedheadings"/>
      </w:pPr>
      <w:r w:rsidRPr="008F2947">
        <w:t>References</w:t>
      </w:r>
    </w:p>
    <w:p w14:paraId="580AE4F6" w14:textId="77777777" w:rsidR="00FA4BC5" w:rsidRDefault="00FA4BC5" w:rsidP="00FA4BC5">
      <w:pPr>
        <w:pStyle w:val="Referencelist"/>
      </w:pPr>
      <w:r w:rsidRPr="00EE5665">
        <w:t>INTERNATIONAL ATOMIC ENERGY AGENCY, Non-baseload Operation in Nuclear Power Plants: Load Following and Frequency Control Modes of Flexible Operation, IAEA Nuclear Energy Series No. NP-T-3.23, IAEA, Vienna (2018)</w:t>
      </w:r>
      <w:r w:rsidRPr="0032223C">
        <w:t>.</w:t>
      </w:r>
    </w:p>
    <w:p w14:paraId="4241B3E0" w14:textId="723A8A30" w:rsidR="00285755" w:rsidRDefault="00690C71" w:rsidP="00537496">
      <w:pPr>
        <w:pStyle w:val="Referencelist"/>
      </w:pPr>
      <w:r>
        <w:t xml:space="preserve">NEA, </w:t>
      </w:r>
      <w:r w:rsidR="0069724C">
        <w:t xml:space="preserve">Technical and Economic Aspects of Load Following with Nuclear Power Plants, </w:t>
      </w:r>
      <w:r w:rsidR="00367EE9">
        <w:t>OECD Publishing, Paris (2021).</w:t>
      </w:r>
    </w:p>
    <w:p w14:paraId="04A9F8C2" w14:textId="41F38475" w:rsidR="001D111D" w:rsidRPr="001D111D" w:rsidRDefault="003D7A81" w:rsidP="001D111D">
      <w:pPr>
        <w:pStyle w:val="Referencelist"/>
        <w:rPr>
          <w:lang w:eastAsia="en-GB"/>
        </w:rPr>
      </w:pPr>
      <w:r>
        <w:t xml:space="preserve">DENHOLM, P., KING, J. C., KUTCHER, C. F., WILSON, P. P. H., </w:t>
      </w:r>
      <w:r w:rsidRPr="003D7A81">
        <w:rPr>
          <w:lang w:eastAsia="en-GB"/>
        </w:rPr>
        <w:t xml:space="preserve">Decarbonizing the electric sector: Combining renewable and nuclear energy using thermal storage. </w:t>
      </w:r>
      <w:r w:rsidRPr="009747EA">
        <w:rPr>
          <w:i/>
          <w:iCs/>
          <w:lang w:eastAsia="en-GB"/>
        </w:rPr>
        <w:t>Energy Policy</w:t>
      </w:r>
      <w:r w:rsidRPr="003D7A81">
        <w:rPr>
          <w:lang w:eastAsia="en-GB"/>
        </w:rPr>
        <w:t xml:space="preserve"> </w:t>
      </w:r>
      <w:r w:rsidRPr="003D7A81">
        <w:rPr>
          <w:b/>
          <w:bCs/>
          <w:lang w:eastAsia="en-GB"/>
        </w:rPr>
        <w:t>44</w:t>
      </w:r>
      <w:r w:rsidRPr="003D7A81">
        <w:rPr>
          <w:lang w:eastAsia="en-GB"/>
        </w:rPr>
        <w:t>, 301–311 (2012).</w:t>
      </w:r>
    </w:p>
    <w:p w14:paraId="27A4776B" w14:textId="04161284" w:rsidR="00C2094F" w:rsidRPr="00C2094F" w:rsidRDefault="001D111D" w:rsidP="00C2094F">
      <w:pPr>
        <w:pStyle w:val="Referencelist"/>
        <w:rPr>
          <w:lang w:eastAsia="en-GB"/>
        </w:rPr>
      </w:pPr>
      <w:r w:rsidRPr="001D111D">
        <w:rPr>
          <w:lang w:eastAsia="en-GB"/>
        </w:rPr>
        <w:t>CARLSON, F., DAVIDSON, J. H., TRAN, N.</w:t>
      </w:r>
      <w:r>
        <w:rPr>
          <w:lang w:eastAsia="en-GB"/>
        </w:rPr>
        <w:t xml:space="preserve">, </w:t>
      </w:r>
      <w:r w:rsidRPr="001D111D">
        <w:rPr>
          <w:lang w:eastAsia="en-GB"/>
        </w:rPr>
        <w:t>STEIN, A.</w:t>
      </w:r>
      <w:r>
        <w:rPr>
          <w:lang w:eastAsia="en-GB"/>
        </w:rPr>
        <w:t xml:space="preserve">, </w:t>
      </w:r>
      <w:r w:rsidRPr="001D111D">
        <w:rPr>
          <w:lang w:eastAsia="en-GB"/>
        </w:rPr>
        <w:t xml:space="preserve">Model of the impact of use of thermal energy storage on operation of a nuclear power plant Rankine cycle. </w:t>
      </w:r>
      <w:r w:rsidRPr="009747EA">
        <w:rPr>
          <w:i/>
          <w:iCs/>
          <w:lang w:eastAsia="en-GB"/>
        </w:rPr>
        <w:t>Energy Conversion and Management</w:t>
      </w:r>
      <w:r w:rsidRPr="001D111D">
        <w:rPr>
          <w:lang w:eastAsia="en-GB"/>
        </w:rPr>
        <w:t xml:space="preserve"> </w:t>
      </w:r>
      <w:r w:rsidRPr="001D111D">
        <w:rPr>
          <w:b/>
          <w:bCs/>
          <w:lang w:eastAsia="en-GB"/>
        </w:rPr>
        <w:t>181</w:t>
      </w:r>
      <w:r w:rsidRPr="001D111D">
        <w:rPr>
          <w:lang w:eastAsia="en-GB"/>
        </w:rPr>
        <w:t>, 36–47 (2019).</w:t>
      </w:r>
    </w:p>
    <w:p w14:paraId="58C1128C" w14:textId="46BCC301" w:rsidR="00361FC3" w:rsidRPr="00361FC3" w:rsidRDefault="00361FC3" w:rsidP="00361FC3">
      <w:pPr>
        <w:pStyle w:val="Referencelist"/>
        <w:rPr>
          <w:lang w:eastAsia="en-GB"/>
        </w:rPr>
      </w:pPr>
      <w:r w:rsidRPr="00361FC3">
        <w:rPr>
          <w:lang w:eastAsia="en-GB"/>
        </w:rPr>
        <w:t>FRICK, K.,</w:t>
      </w:r>
      <w:r w:rsidR="00B0491A">
        <w:rPr>
          <w:lang w:eastAsia="en-GB"/>
        </w:rPr>
        <w:t xml:space="preserve"> </w:t>
      </w:r>
      <w:r w:rsidRPr="00361FC3">
        <w:rPr>
          <w:lang w:eastAsia="en-GB"/>
        </w:rPr>
        <w:t>DOSTER, J. M.</w:t>
      </w:r>
      <w:r>
        <w:rPr>
          <w:lang w:eastAsia="en-GB"/>
        </w:rPr>
        <w:t>,</w:t>
      </w:r>
      <w:r w:rsidRPr="00361FC3">
        <w:rPr>
          <w:lang w:eastAsia="en-GB"/>
        </w:rPr>
        <w:t xml:space="preserve"> BRAGG-SITTON, S.</w:t>
      </w:r>
      <w:r>
        <w:rPr>
          <w:lang w:eastAsia="en-GB"/>
        </w:rPr>
        <w:t>,</w:t>
      </w:r>
      <w:r w:rsidRPr="00361FC3">
        <w:rPr>
          <w:lang w:eastAsia="en-GB"/>
        </w:rPr>
        <w:t xml:space="preserve"> Design and Operation of a Sensible Heat Peaking Unit for Small Modular Reactors. </w:t>
      </w:r>
      <w:r w:rsidRPr="00361FC3">
        <w:rPr>
          <w:i/>
          <w:iCs/>
          <w:lang w:eastAsia="en-GB"/>
        </w:rPr>
        <w:t>Nuclear Technology</w:t>
      </w:r>
      <w:r w:rsidRPr="00361FC3">
        <w:rPr>
          <w:lang w:eastAsia="en-GB"/>
        </w:rPr>
        <w:t xml:space="preserve"> </w:t>
      </w:r>
      <w:r w:rsidRPr="00361FC3">
        <w:rPr>
          <w:b/>
          <w:bCs/>
          <w:lang w:eastAsia="en-GB"/>
        </w:rPr>
        <w:t>205</w:t>
      </w:r>
      <w:r w:rsidRPr="00361FC3">
        <w:rPr>
          <w:lang w:eastAsia="en-GB"/>
        </w:rPr>
        <w:t>, 415–441 (2019).</w:t>
      </w:r>
    </w:p>
    <w:p w14:paraId="27A34E0E" w14:textId="0F683ADE" w:rsidR="00B0491A" w:rsidRPr="00B0491A" w:rsidRDefault="00765FE6" w:rsidP="00B0491A">
      <w:pPr>
        <w:pStyle w:val="Referencelist"/>
      </w:pPr>
      <w:r>
        <w:t xml:space="preserve">SAEED, R., </w:t>
      </w:r>
      <w:r w:rsidRPr="00F65DD4">
        <w:rPr>
          <w:i/>
          <w:iCs/>
        </w:rPr>
        <w:t>et al</w:t>
      </w:r>
      <w:r>
        <w:t xml:space="preserve">., Multilevel Analysis, Design, and </w:t>
      </w:r>
      <w:proofErr w:type="spellStart"/>
      <w:r>
        <w:t>Modeling</w:t>
      </w:r>
      <w:proofErr w:type="spellEnd"/>
      <w:r>
        <w:t xml:space="preserve"> of Coupling Advanced Nuclear Reactors and Thermal Energy Storage in an Integrated Energy System. INL/RPT-22-69214-Rev000, 1890160 (2022).</w:t>
      </w:r>
    </w:p>
    <w:p w14:paraId="0C5D4FD9" w14:textId="627F0019" w:rsidR="009B263D" w:rsidRPr="009B263D" w:rsidRDefault="00B0491A" w:rsidP="009B263D">
      <w:pPr>
        <w:pStyle w:val="Referencelist"/>
        <w:rPr>
          <w:lang w:eastAsia="en-GB"/>
        </w:rPr>
      </w:pPr>
      <w:r w:rsidRPr="00B0491A">
        <w:rPr>
          <w:lang w:eastAsia="en-GB"/>
        </w:rPr>
        <w:t>MIKKELSON, D., FRICK, K., BRAGG-SITTON, S.</w:t>
      </w:r>
      <w:r>
        <w:rPr>
          <w:lang w:eastAsia="en-GB"/>
        </w:rPr>
        <w:t xml:space="preserve">, </w:t>
      </w:r>
      <w:r w:rsidRPr="00B0491A">
        <w:rPr>
          <w:lang w:eastAsia="en-GB"/>
        </w:rPr>
        <w:t>DOSTER, J. M.</w:t>
      </w:r>
      <w:r>
        <w:rPr>
          <w:lang w:eastAsia="en-GB"/>
        </w:rPr>
        <w:t>,</w:t>
      </w:r>
      <w:r w:rsidRPr="00B0491A">
        <w:rPr>
          <w:lang w:eastAsia="en-GB"/>
        </w:rPr>
        <w:t xml:space="preserve"> Phenomenon Identification and Ranking Table Development for Future Application Figure-of-Merit Studies on Thermal Energy Storage Integrations with Light Water Reactors. </w:t>
      </w:r>
      <w:r w:rsidRPr="00B0491A">
        <w:rPr>
          <w:i/>
          <w:iCs/>
          <w:lang w:eastAsia="en-GB"/>
        </w:rPr>
        <w:t>Nuclear Technology</w:t>
      </w:r>
      <w:r w:rsidRPr="00B0491A">
        <w:rPr>
          <w:lang w:eastAsia="en-GB"/>
        </w:rPr>
        <w:t xml:space="preserve"> </w:t>
      </w:r>
      <w:r w:rsidRPr="00B0491A">
        <w:rPr>
          <w:b/>
          <w:bCs/>
          <w:lang w:eastAsia="en-GB"/>
        </w:rPr>
        <w:t>208</w:t>
      </w:r>
      <w:r w:rsidRPr="00B0491A">
        <w:rPr>
          <w:lang w:eastAsia="en-GB"/>
        </w:rPr>
        <w:t>, 437–454 (2022).</w:t>
      </w:r>
    </w:p>
    <w:p w14:paraId="72CCE2C3" w14:textId="75017C8F" w:rsidR="009B263D" w:rsidRPr="009B263D" w:rsidRDefault="009B263D" w:rsidP="009B263D">
      <w:pPr>
        <w:pStyle w:val="Referencelist"/>
        <w:rPr>
          <w:lang w:eastAsia="en-GB"/>
        </w:rPr>
      </w:pPr>
      <w:r w:rsidRPr="009B263D">
        <w:rPr>
          <w:lang w:eastAsia="en-GB"/>
        </w:rPr>
        <w:t>MATTSSON, S. E., ELMQVIST, H.</w:t>
      </w:r>
      <w:r>
        <w:rPr>
          <w:lang w:eastAsia="en-GB"/>
        </w:rPr>
        <w:t>,</w:t>
      </w:r>
      <w:r w:rsidRPr="009B263D">
        <w:rPr>
          <w:lang w:eastAsia="en-GB"/>
        </w:rPr>
        <w:t xml:space="preserve"> OTTER, M.</w:t>
      </w:r>
      <w:r>
        <w:rPr>
          <w:lang w:eastAsia="en-GB"/>
        </w:rPr>
        <w:t>,</w:t>
      </w:r>
      <w:r w:rsidRPr="009B263D">
        <w:rPr>
          <w:lang w:eastAsia="en-GB"/>
        </w:rPr>
        <w:t xml:space="preserve"> Physical system </w:t>
      </w:r>
      <w:proofErr w:type="spellStart"/>
      <w:r w:rsidRPr="009B263D">
        <w:rPr>
          <w:lang w:eastAsia="en-GB"/>
        </w:rPr>
        <w:t>modeling</w:t>
      </w:r>
      <w:proofErr w:type="spellEnd"/>
      <w:r w:rsidRPr="009B263D">
        <w:rPr>
          <w:lang w:eastAsia="en-GB"/>
        </w:rPr>
        <w:t xml:space="preserve"> with </w:t>
      </w:r>
      <w:proofErr w:type="spellStart"/>
      <w:r w:rsidRPr="009B263D">
        <w:rPr>
          <w:lang w:eastAsia="en-GB"/>
        </w:rPr>
        <w:t>Modelica</w:t>
      </w:r>
      <w:proofErr w:type="spellEnd"/>
      <w:r w:rsidRPr="009B263D">
        <w:rPr>
          <w:lang w:eastAsia="en-GB"/>
        </w:rPr>
        <w:t xml:space="preserve">. </w:t>
      </w:r>
      <w:r w:rsidRPr="009B263D">
        <w:rPr>
          <w:i/>
          <w:iCs/>
          <w:lang w:eastAsia="en-GB"/>
        </w:rPr>
        <w:t>Control Engineering Practice</w:t>
      </w:r>
      <w:r w:rsidRPr="009B263D">
        <w:rPr>
          <w:lang w:eastAsia="en-GB"/>
        </w:rPr>
        <w:t xml:space="preserve"> </w:t>
      </w:r>
      <w:r w:rsidRPr="009B263D">
        <w:rPr>
          <w:b/>
          <w:bCs/>
          <w:lang w:eastAsia="en-GB"/>
        </w:rPr>
        <w:t>6</w:t>
      </w:r>
      <w:r w:rsidRPr="009B263D">
        <w:rPr>
          <w:lang w:eastAsia="en-GB"/>
        </w:rPr>
        <w:t>, 501–510 (1998).</w:t>
      </w:r>
    </w:p>
    <w:p w14:paraId="0CC4BA65" w14:textId="1325972A" w:rsidR="00B0491A" w:rsidRPr="005F763E" w:rsidRDefault="007C5794" w:rsidP="00AB0BE6">
      <w:pPr>
        <w:pStyle w:val="Referencelist"/>
        <w:rPr>
          <w:i/>
          <w:iCs/>
        </w:rPr>
      </w:pPr>
      <w:bookmarkStart w:id="10" w:name="OLE_LINK4"/>
      <w:bookmarkStart w:id="11" w:name="OLE_LINK5"/>
      <w:r w:rsidRPr="005F763E">
        <w:rPr>
          <w:lang w:val="en-US"/>
        </w:rPr>
        <w:t xml:space="preserve">SIMONINI, G., </w:t>
      </w:r>
      <w:r w:rsidRPr="005F763E">
        <w:rPr>
          <w:i/>
          <w:iCs/>
          <w:lang w:val="en-US"/>
        </w:rPr>
        <w:t>et al.</w:t>
      </w:r>
      <w:r w:rsidRPr="005F763E">
        <w:rPr>
          <w:lang w:val="en-US"/>
        </w:rPr>
        <w:t xml:space="preserve">, Integrating Small Modular Reactors into Hybrid </w:t>
      </w:r>
      <w:r>
        <w:rPr>
          <w:lang w:val="en-US"/>
        </w:rPr>
        <w:t>E</w:t>
      </w:r>
      <w:r w:rsidRPr="005F763E">
        <w:rPr>
          <w:lang w:val="en-US"/>
        </w:rPr>
        <w:t xml:space="preserve">nergy </w:t>
      </w:r>
      <w:r>
        <w:rPr>
          <w:lang w:val="en-US"/>
        </w:rPr>
        <w:t>S</w:t>
      </w:r>
      <w:r w:rsidRPr="005F763E">
        <w:rPr>
          <w:lang w:val="en-US"/>
        </w:rPr>
        <w:t>ystems: the TANDEM</w:t>
      </w:r>
      <w:r>
        <w:rPr>
          <w:lang w:val="en-US"/>
        </w:rPr>
        <w:t xml:space="preserve"> </w:t>
      </w:r>
      <w:proofErr w:type="spellStart"/>
      <w:r>
        <w:rPr>
          <w:lang w:val="en-US"/>
        </w:rPr>
        <w:t>Modelica</w:t>
      </w:r>
      <w:proofErr w:type="spellEnd"/>
      <w:r>
        <w:rPr>
          <w:lang w:val="en-US"/>
        </w:rPr>
        <w:t xml:space="preserve"> library</w:t>
      </w:r>
      <w:r>
        <w:t xml:space="preserve">, </w:t>
      </w:r>
      <w:r w:rsidRPr="00635C75">
        <w:rPr>
          <w:i/>
          <w:iCs/>
        </w:rPr>
        <w:t>International Conference on Small Modular Reactors and their Applications</w:t>
      </w:r>
      <w:r>
        <w:t>, Vienna (2024).</w:t>
      </w:r>
    </w:p>
    <w:bookmarkEnd w:id="10"/>
    <w:bookmarkEnd w:id="11"/>
    <w:p w14:paraId="111901A7" w14:textId="39F2A591" w:rsidR="002B04F4" w:rsidRDefault="002B04F4" w:rsidP="002B04F4">
      <w:pPr>
        <w:pStyle w:val="Referencelist"/>
        <w:rPr>
          <w:lang w:val="en-US"/>
        </w:rPr>
      </w:pPr>
      <w:r w:rsidRPr="00CE2F9A">
        <w:rPr>
          <w:lang w:val="en-US"/>
        </w:rPr>
        <w:t xml:space="preserve">VAGLIO-GUADARD, C., </w:t>
      </w:r>
      <w:r w:rsidRPr="00CE2F9A">
        <w:rPr>
          <w:i/>
          <w:iCs/>
          <w:lang w:val="en-US"/>
        </w:rPr>
        <w:t>et al.</w:t>
      </w:r>
      <w:r w:rsidRPr="00CE2F9A">
        <w:rPr>
          <w:lang w:val="en-US"/>
        </w:rPr>
        <w:t>, The TANDEM Euratom project</w:t>
      </w:r>
      <w:r>
        <w:rPr>
          <w:lang w:val="en-US"/>
        </w:rPr>
        <w:t>: Context, objectives and workplan</w:t>
      </w:r>
      <w:r w:rsidR="005B43D9">
        <w:rPr>
          <w:lang w:val="en-US"/>
        </w:rPr>
        <w:t>.</w:t>
      </w:r>
      <w:r>
        <w:rPr>
          <w:lang w:val="en-US"/>
        </w:rPr>
        <w:t xml:space="preserve"> </w:t>
      </w:r>
      <w:r w:rsidRPr="009747EA">
        <w:rPr>
          <w:i/>
          <w:iCs/>
          <w:lang w:val="en-US"/>
        </w:rPr>
        <w:t>Nuclear Engineering and Technology</w:t>
      </w:r>
      <w:r>
        <w:rPr>
          <w:lang w:val="en-US"/>
        </w:rPr>
        <w:t xml:space="preserve"> </w:t>
      </w:r>
      <w:r w:rsidRPr="008C008A">
        <w:rPr>
          <w:b/>
          <w:bCs/>
          <w:lang w:val="en-US"/>
        </w:rPr>
        <w:t>56</w:t>
      </w:r>
      <w:r>
        <w:rPr>
          <w:lang w:val="en-US"/>
        </w:rPr>
        <w:t xml:space="preserve"> </w:t>
      </w:r>
      <w:r w:rsidR="00823062">
        <w:rPr>
          <w:lang w:val="en-US"/>
        </w:rPr>
        <w:t>(</w:t>
      </w:r>
      <w:r>
        <w:rPr>
          <w:lang w:val="en-US"/>
        </w:rPr>
        <w:t>3</w:t>
      </w:r>
      <w:r w:rsidR="00823062">
        <w:rPr>
          <w:lang w:val="en-US"/>
        </w:rPr>
        <w:t>),</w:t>
      </w:r>
      <w:r>
        <w:rPr>
          <w:lang w:val="en-US"/>
        </w:rPr>
        <w:t xml:space="preserve"> 993-1001</w:t>
      </w:r>
      <w:r w:rsidR="00823062">
        <w:rPr>
          <w:lang w:val="en-US"/>
        </w:rPr>
        <w:t xml:space="preserve"> (2024)</w:t>
      </w:r>
      <w:r>
        <w:rPr>
          <w:lang w:val="en-US"/>
        </w:rPr>
        <w:t xml:space="preserve">. </w:t>
      </w:r>
    </w:p>
    <w:p w14:paraId="66EB6165" w14:textId="77777777" w:rsidR="00351B63" w:rsidRDefault="00351B63" w:rsidP="00351B63">
      <w:pPr>
        <w:pStyle w:val="Referencelist"/>
        <w:rPr>
          <w:lang w:val="en-US"/>
        </w:rPr>
      </w:pPr>
      <w:r w:rsidRPr="001C1DA3">
        <w:rPr>
          <w:lang w:val="en-US"/>
        </w:rPr>
        <w:t xml:space="preserve">LANSOU, S., </w:t>
      </w:r>
      <w:r w:rsidRPr="00F65B57">
        <w:rPr>
          <w:i/>
          <w:iCs/>
          <w:lang w:val="en-US"/>
        </w:rPr>
        <w:t>et al.</w:t>
      </w:r>
      <w:r w:rsidRPr="001C1DA3">
        <w:rPr>
          <w:lang w:val="en-US"/>
        </w:rPr>
        <w:t>, ELSMOR</w:t>
      </w:r>
      <w:r>
        <w:rPr>
          <w:lang w:val="en-US"/>
        </w:rPr>
        <w:t xml:space="preserve"> – towards European Licensing of Small Modular Reactors: Methodology recommendations for light-water small modular reactors safety assessment, </w:t>
      </w:r>
      <w:r w:rsidRPr="00351B63">
        <w:rPr>
          <w:i/>
          <w:iCs/>
          <w:lang w:val="en-US"/>
        </w:rPr>
        <w:t>Open Res Europe</w:t>
      </w:r>
      <w:r>
        <w:rPr>
          <w:lang w:val="en-US"/>
        </w:rPr>
        <w:t xml:space="preserve"> </w:t>
      </w:r>
      <w:r w:rsidRPr="007F396E">
        <w:rPr>
          <w:b/>
          <w:bCs/>
          <w:lang w:val="en-US"/>
        </w:rPr>
        <w:t>3</w:t>
      </w:r>
      <w:r>
        <w:rPr>
          <w:b/>
          <w:bCs/>
          <w:lang w:val="en-US"/>
        </w:rPr>
        <w:t xml:space="preserve"> </w:t>
      </w:r>
      <w:r>
        <w:rPr>
          <w:lang w:val="en-US"/>
        </w:rPr>
        <w:t>(2023) 158.</w:t>
      </w:r>
    </w:p>
    <w:p w14:paraId="2E8BBCF6" w14:textId="77777777" w:rsidR="00891706" w:rsidRDefault="005B43D9" w:rsidP="00891706">
      <w:pPr>
        <w:pStyle w:val="Referencelist"/>
      </w:pPr>
      <w:r w:rsidRPr="00931242">
        <w:t>CASELLA, F., LEVA, A.</w:t>
      </w:r>
      <w:r>
        <w:t>,</w:t>
      </w:r>
      <w:r w:rsidRPr="00931242">
        <w:t xml:space="preserve"> </w:t>
      </w:r>
      <w:r w:rsidR="00931242" w:rsidRPr="00931242">
        <w:t xml:space="preserve">Modelling of thermo-hydraulic power generation processes using Modelica. </w:t>
      </w:r>
      <w:r w:rsidR="00931242" w:rsidRPr="00823062">
        <w:rPr>
          <w:i/>
          <w:iCs/>
        </w:rPr>
        <w:t>Mathematical and Computer Modelling of Dynamical Systems</w:t>
      </w:r>
      <w:r w:rsidR="00931242" w:rsidRPr="00931242">
        <w:t xml:space="preserve"> </w:t>
      </w:r>
      <w:r w:rsidR="00931242" w:rsidRPr="00823062">
        <w:rPr>
          <w:b/>
          <w:bCs/>
        </w:rPr>
        <w:t>12</w:t>
      </w:r>
      <w:r w:rsidR="00823062">
        <w:t xml:space="preserve"> </w:t>
      </w:r>
      <w:r w:rsidR="00931242" w:rsidRPr="00931242">
        <w:t>(1), 19–33</w:t>
      </w:r>
      <w:r w:rsidR="00931242">
        <w:t xml:space="preserve"> (2006). </w:t>
      </w:r>
    </w:p>
    <w:p w14:paraId="2213E6ED" w14:textId="700DE443" w:rsidR="00891706" w:rsidRPr="00891706" w:rsidRDefault="0060560D" w:rsidP="00891706">
      <w:pPr>
        <w:pStyle w:val="Referencelist"/>
      </w:pPr>
      <w:r w:rsidRPr="00891706">
        <w:t xml:space="preserve">EL HEFNI, B., BOUSKELA D., </w:t>
      </w:r>
      <w:proofErr w:type="spellStart"/>
      <w:r w:rsidRPr="00891706">
        <w:t>Modeling</w:t>
      </w:r>
      <w:proofErr w:type="spellEnd"/>
      <w:r w:rsidRPr="00891706">
        <w:t xml:space="preserve"> and Simulation of Thermal Power Plants with </w:t>
      </w:r>
      <w:proofErr w:type="spellStart"/>
      <w:r w:rsidRPr="00891706">
        <w:t>ThermoSysPro</w:t>
      </w:r>
      <w:proofErr w:type="spellEnd"/>
      <w:r w:rsidRPr="00891706">
        <w:t xml:space="preserve">, </w:t>
      </w:r>
      <w:r w:rsidRPr="000F003F">
        <w:rPr>
          <w:i/>
          <w:lang w:val="en-US" w:eastAsia="en-GB"/>
        </w:rPr>
        <w:t>Springer</w:t>
      </w:r>
      <w:r w:rsidR="00E97D13">
        <w:rPr>
          <w:i/>
          <w:lang w:val="en-US" w:eastAsia="en-GB"/>
        </w:rPr>
        <w:t xml:space="preserve">, </w:t>
      </w:r>
      <w:r w:rsidR="00E97D13">
        <w:rPr>
          <w:lang w:val="en-US" w:eastAsia="en-GB"/>
        </w:rPr>
        <w:t>(2019)</w:t>
      </w:r>
    </w:p>
    <w:p w14:paraId="5C77E7EA" w14:textId="77777777" w:rsidR="00891706" w:rsidRPr="00891706" w:rsidRDefault="009E3804" w:rsidP="00891706">
      <w:pPr>
        <w:pStyle w:val="Referencelist"/>
      </w:pPr>
      <w:r w:rsidRPr="00891706">
        <w:rPr>
          <w:color w:val="323232"/>
          <w:shd w:val="clear" w:color="auto" w:fill="FFFFFF"/>
        </w:rPr>
        <w:t>D. HAUBENSACK</w:t>
      </w:r>
      <w:r w:rsidR="0004101D" w:rsidRPr="00891706">
        <w:rPr>
          <w:color w:val="323232"/>
          <w:shd w:val="clear" w:color="auto" w:fill="FFFFFF"/>
        </w:rPr>
        <w:t>, </w:t>
      </w:r>
      <w:r w:rsidRPr="00891706">
        <w:rPr>
          <w:color w:val="323232"/>
          <w:shd w:val="clear" w:color="auto" w:fill="FFFFFF"/>
        </w:rPr>
        <w:t>C. THEVENOT</w:t>
      </w:r>
      <w:r w:rsidR="0004101D" w:rsidRPr="00891706">
        <w:rPr>
          <w:color w:val="323232"/>
          <w:shd w:val="clear" w:color="auto" w:fill="FFFFFF"/>
        </w:rPr>
        <w:t>, </w:t>
      </w:r>
      <w:r w:rsidRPr="00891706">
        <w:rPr>
          <w:color w:val="323232"/>
          <w:shd w:val="clear" w:color="auto" w:fill="FFFFFF"/>
        </w:rPr>
        <w:t>P. DUMAZ,</w:t>
      </w:r>
      <w:r w:rsidR="0004101D" w:rsidRPr="00891706">
        <w:rPr>
          <w:color w:val="323232"/>
        </w:rPr>
        <w:t xml:space="preserve"> </w:t>
      </w:r>
      <w:r w:rsidR="0004101D" w:rsidRPr="00891706">
        <w:rPr>
          <w:color w:val="323232"/>
          <w:shd w:val="clear" w:color="auto" w:fill="FFFFFF"/>
        </w:rPr>
        <w:t xml:space="preserve">The </w:t>
      </w:r>
      <w:r w:rsidRPr="00891706">
        <w:rPr>
          <w:color w:val="323232"/>
          <w:shd w:val="clear" w:color="auto" w:fill="FFFFFF"/>
        </w:rPr>
        <w:t>COPERNIC</w:t>
      </w:r>
      <w:r w:rsidR="0004101D" w:rsidRPr="00891706">
        <w:rPr>
          <w:color w:val="323232"/>
          <w:shd w:val="clear" w:color="auto" w:fill="FFFFFF"/>
        </w:rPr>
        <w:t>/</w:t>
      </w:r>
      <w:r w:rsidRPr="00891706">
        <w:rPr>
          <w:color w:val="323232"/>
          <w:shd w:val="clear" w:color="auto" w:fill="FFFFFF"/>
        </w:rPr>
        <w:t xml:space="preserve">CYCLOP </w:t>
      </w:r>
      <w:r w:rsidR="0004101D" w:rsidRPr="00891706">
        <w:rPr>
          <w:color w:val="323232"/>
          <w:shd w:val="clear" w:color="auto" w:fill="FFFFFF"/>
        </w:rPr>
        <w:t xml:space="preserve">computer tool: pre-conceptual design </w:t>
      </w:r>
      <w:r w:rsidRPr="00891706">
        <w:rPr>
          <w:color w:val="323232"/>
          <w:shd w:val="clear" w:color="auto" w:fill="FFFFFF"/>
        </w:rPr>
        <w:t>of generation 4 nuclear systems,</w:t>
      </w:r>
      <w:r w:rsidR="0004101D" w:rsidRPr="00891706">
        <w:rPr>
          <w:color w:val="323232"/>
          <w:shd w:val="clear" w:color="auto" w:fill="FFFFFF"/>
        </w:rPr>
        <w:t xml:space="preserve"> </w:t>
      </w:r>
      <w:r w:rsidR="0004101D" w:rsidRPr="00891706">
        <w:rPr>
          <w:i/>
          <w:color w:val="323232"/>
          <w:shd w:val="clear" w:color="auto" w:fill="FFFFFF"/>
        </w:rPr>
        <w:t>2004 Conference on high temperature reactors</w:t>
      </w:r>
      <w:r w:rsidRPr="00891706">
        <w:rPr>
          <w:color w:val="323232"/>
        </w:rPr>
        <w:t>,</w:t>
      </w:r>
      <w:r w:rsidR="0004101D" w:rsidRPr="00891706">
        <w:rPr>
          <w:color w:val="323232"/>
          <w:shd w:val="clear" w:color="auto" w:fill="FFFFFF"/>
        </w:rPr>
        <w:t> Beijing, China</w:t>
      </w:r>
      <w:r w:rsidRPr="00891706">
        <w:rPr>
          <w:color w:val="323232"/>
          <w:shd w:val="clear" w:color="auto" w:fill="FFFFFF"/>
        </w:rPr>
        <w:t xml:space="preserve"> (2004).</w:t>
      </w:r>
    </w:p>
    <w:p w14:paraId="7887271C" w14:textId="06C27C45" w:rsidR="000D60D1" w:rsidRPr="00AB0BE6" w:rsidRDefault="005829AD" w:rsidP="005F763E">
      <w:pPr>
        <w:pStyle w:val="Referencelist"/>
        <w:rPr>
          <w:lang w:val="en-US"/>
        </w:rPr>
      </w:pPr>
      <w:r w:rsidRPr="00891706">
        <w:rPr>
          <w:lang w:val="en-US"/>
        </w:rPr>
        <w:t>NGUYEN, H.D., ALPY, N., HAUBENSACK, D., BARBIER, D.</w:t>
      </w:r>
      <w:r w:rsidR="000D60D1" w:rsidRPr="00891706">
        <w:rPr>
          <w:lang w:val="en-US"/>
        </w:rPr>
        <w:t xml:space="preserve"> Insight on electrical and thermal powers mix with a Gen2 PWR: Rankine cycle performances under low to high temperature grade cogeneration, </w:t>
      </w:r>
      <w:r w:rsidR="000D60D1" w:rsidRPr="00891706">
        <w:rPr>
          <w:i/>
          <w:lang w:val="en-US"/>
        </w:rPr>
        <w:t>Energy</w:t>
      </w:r>
      <w:r w:rsidR="00891706">
        <w:rPr>
          <w:i/>
          <w:lang w:val="en-US"/>
        </w:rPr>
        <w:t xml:space="preserve"> </w:t>
      </w:r>
      <w:r w:rsidR="00891706" w:rsidRPr="00891706">
        <w:rPr>
          <w:b/>
          <w:bCs/>
          <w:iCs/>
          <w:lang w:val="en-US"/>
        </w:rPr>
        <w:t>202</w:t>
      </w:r>
      <w:r w:rsidR="00891706">
        <w:rPr>
          <w:i/>
          <w:lang w:val="en-US"/>
        </w:rPr>
        <w:t xml:space="preserve"> </w:t>
      </w:r>
      <w:r w:rsidR="00891706" w:rsidRPr="00891706">
        <w:rPr>
          <w:iCs/>
          <w:lang w:val="en-US"/>
        </w:rPr>
        <w:t>117518</w:t>
      </w:r>
      <w:r w:rsidR="000D60D1" w:rsidRPr="00891706">
        <w:rPr>
          <w:i/>
          <w:lang w:val="en-US"/>
        </w:rPr>
        <w:t xml:space="preserve">, </w:t>
      </w:r>
      <w:r w:rsidR="00891706">
        <w:rPr>
          <w:iCs/>
          <w:lang w:val="en-US"/>
        </w:rPr>
        <w:t>(</w:t>
      </w:r>
      <w:r w:rsidR="000D60D1" w:rsidRPr="00891706">
        <w:rPr>
          <w:iCs/>
          <w:lang w:val="en-US"/>
        </w:rPr>
        <w:t>2020</w:t>
      </w:r>
      <w:r w:rsidR="00891706">
        <w:rPr>
          <w:iCs/>
          <w:lang w:val="en-US"/>
        </w:rPr>
        <w:t>)</w:t>
      </w:r>
      <w:r w:rsidR="00891706">
        <w:rPr>
          <w:i/>
          <w:lang w:val="en-US"/>
        </w:rPr>
        <w:t>.</w:t>
      </w:r>
      <w:r w:rsidR="00337CB0" w:rsidRPr="00AB0BE6">
        <w:rPr>
          <w:lang w:val="en-US"/>
        </w:rPr>
        <w:t xml:space="preserve"> </w:t>
      </w:r>
    </w:p>
    <w:sectPr w:rsidR="000D60D1" w:rsidRPr="00AB0BE6"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E81A" w14:textId="77777777" w:rsidR="00A0523B" w:rsidRDefault="00A0523B">
      <w:r>
        <w:separator/>
      </w:r>
    </w:p>
  </w:endnote>
  <w:endnote w:type="continuationSeparator" w:id="0">
    <w:p w14:paraId="2010F40C" w14:textId="77777777" w:rsidR="00A0523B" w:rsidRDefault="00A0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428F922C"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914A0">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3611" w14:textId="77777777" w:rsidR="00A0523B" w:rsidRDefault="00A0523B">
      <w:r>
        <w:t>___________________________________________________________________________</w:t>
      </w:r>
    </w:p>
  </w:footnote>
  <w:footnote w:type="continuationSeparator" w:id="0">
    <w:p w14:paraId="37CECEA6" w14:textId="77777777" w:rsidR="00A0523B" w:rsidRDefault="00A0523B">
      <w:r>
        <w:t>___________________________________________________________________________</w:t>
      </w:r>
    </w:p>
  </w:footnote>
  <w:footnote w:type="continuationNotice" w:id="1">
    <w:p w14:paraId="3F82F386" w14:textId="77777777" w:rsidR="00A0523B" w:rsidRDefault="00A05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61832B7C" w:rsidR="00CF7AF3" w:rsidRDefault="00CF7AF3" w:rsidP="00CF7AF3">
    <w:pPr>
      <w:pStyle w:val="Runninghead"/>
    </w:pPr>
    <w:r>
      <w:tab/>
      <w:t>IAEA-CN-</w:t>
    </w:r>
    <w:r w:rsidR="003C768C">
      <w:t>327</w:t>
    </w:r>
    <w:r>
      <w:t>/</w:t>
    </w:r>
    <w:r w:rsidR="003C768C">
      <w:t>307</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380BCBB8" w:rsidR="00037321" w:rsidRPr="003C768C" w:rsidRDefault="003C768C" w:rsidP="003C768C">
    <w:pPr>
      <w:pStyle w:val="Runninghead"/>
      <w:rPr>
        <w:lang w:val="it-IT"/>
      </w:rPr>
    </w:pPr>
    <w:r>
      <w:rPr>
        <w:lang w:val="it-IT"/>
      </w:rPr>
      <w:t>MASOTTI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9DC7D07"/>
    <w:multiLevelType w:val="multilevel"/>
    <w:tmpl w:val="D8FA943C"/>
    <w:styleLink w:val="CurrentList1"/>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7" w15:restartNumberingAfterBreak="0">
    <w:nsid w:val="3D18048A"/>
    <w:multiLevelType w:val="hybridMultilevel"/>
    <w:tmpl w:val="5950DAC6"/>
    <w:name w:val="HeadingTemplate222"/>
    <w:lvl w:ilvl="0" w:tplc="93EE8F62">
      <w:start w:val="1"/>
      <w:numFmt w:val="decimal"/>
      <w:pStyle w:val="Referencelist"/>
      <w:lvlText w:val="[%1]"/>
      <w:lvlJc w:val="left"/>
      <w:pPr>
        <w:ind w:left="928"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8BC"/>
    <w:multiLevelType w:val="hybridMultilevel"/>
    <w:tmpl w:val="00700CB6"/>
    <w:lvl w:ilvl="0" w:tplc="040C000B">
      <w:start w:val="1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50933967">
    <w:abstractNumId w:val="9"/>
  </w:num>
  <w:num w:numId="2" w16cid:durableId="49573305">
    <w:abstractNumId w:val="4"/>
  </w:num>
  <w:num w:numId="3" w16cid:durableId="1818498795">
    <w:abstractNumId w:val="12"/>
  </w:num>
  <w:num w:numId="4" w16cid:durableId="1001851286">
    <w:abstractNumId w:val="12"/>
  </w:num>
  <w:num w:numId="5" w16cid:durableId="679091539">
    <w:abstractNumId w:val="12"/>
  </w:num>
  <w:num w:numId="6" w16cid:durableId="1357150785">
    <w:abstractNumId w:val="5"/>
  </w:num>
  <w:num w:numId="7" w16cid:durableId="1712268170">
    <w:abstractNumId w:val="10"/>
  </w:num>
  <w:num w:numId="8" w16cid:durableId="6368151">
    <w:abstractNumId w:val="13"/>
  </w:num>
  <w:num w:numId="9" w16cid:durableId="1293898862">
    <w:abstractNumId w:val="1"/>
  </w:num>
  <w:num w:numId="10" w16cid:durableId="98500836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187476831">
    <w:abstractNumId w:val="12"/>
  </w:num>
  <w:num w:numId="12" w16cid:durableId="660039027">
    <w:abstractNumId w:val="12"/>
  </w:num>
  <w:num w:numId="13" w16cid:durableId="528101621">
    <w:abstractNumId w:val="12"/>
  </w:num>
  <w:num w:numId="14" w16cid:durableId="352803412">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50103907">
    <w:abstractNumId w:val="12"/>
  </w:num>
  <w:num w:numId="16" w16cid:durableId="1516461201">
    <w:abstractNumId w:val="12"/>
  </w:num>
  <w:num w:numId="17" w16cid:durableId="639651539">
    <w:abstractNumId w:val="12"/>
  </w:num>
  <w:num w:numId="18" w16cid:durableId="912816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4062211">
    <w:abstractNumId w:val="12"/>
  </w:num>
  <w:num w:numId="20" w16cid:durableId="2044819587">
    <w:abstractNumId w:val="2"/>
  </w:num>
  <w:num w:numId="21" w16cid:durableId="1526403932">
    <w:abstractNumId w:val="12"/>
  </w:num>
  <w:num w:numId="22" w16cid:durableId="1296526575">
    <w:abstractNumId w:val="3"/>
  </w:num>
  <w:num w:numId="23" w16cid:durableId="1322466337">
    <w:abstractNumId w:val="0"/>
  </w:num>
  <w:num w:numId="24" w16cid:durableId="515198203">
    <w:abstractNumId w:val="11"/>
  </w:num>
  <w:num w:numId="25" w16cid:durableId="1212303225">
    <w:abstractNumId w:val="12"/>
  </w:num>
  <w:num w:numId="26" w16cid:durableId="1269895470">
    <w:abstractNumId w:val="12"/>
  </w:num>
  <w:num w:numId="27" w16cid:durableId="1156846410">
    <w:abstractNumId w:val="12"/>
  </w:num>
  <w:num w:numId="28" w16cid:durableId="529609569">
    <w:abstractNumId w:val="12"/>
  </w:num>
  <w:num w:numId="29" w16cid:durableId="1844011218">
    <w:abstractNumId w:val="12"/>
  </w:num>
  <w:num w:numId="30" w16cid:durableId="319576366">
    <w:abstractNumId w:val="7"/>
  </w:num>
  <w:num w:numId="31" w16cid:durableId="1534994369">
    <w:abstractNumId w:val="7"/>
  </w:num>
  <w:num w:numId="32" w16cid:durableId="1746952915">
    <w:abstractNumId w:val="12"/>
  </w:num>
  <w:num w:numId="33" w16cid:durableId="113838870">
    <w:abstractNumId w:val="6"/>
  </w:num>
  <w:num w:numId="34" w16cid:durableId="1861360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2A9"/>
    <w:rsid w:val="00000678"/>
    <w:rsid w:val="000018AB"/>
    <w:rsid w:val="00002223"/>
    <w:rsid w:val="00003284"/>
    <w:rsid w:val="000061C3"/>
    <w:rsid w:val="00006D2B"/>
    <w:rsid w:val="000105D5"/>
    <w:rsid w:val="00010808"/>
    <w:rsid w:val="00012C5F"/>
    <w:rsid w:val="00013E0F"/>
    <w:rsid w:val="00017984"/>
    <w:rsid w:val="000208CD"/>
    <w:rsid w:val="000220D4"/>
    <w:rsid w:val="000229AB"/>
    <w:rsid w:val="0002569A"/>
    <w:rsid w:val="00027785"/>
    <w:rsid w:val="00027ED4"/>
    <w:rsid w:val="00033229"/>
    <w:rsid w:val="00033432"/>
    <w:rsid w:val="00036681"/>
    <w:rsid w:val="000368DD"/>
    <w:rsid w:val="00037321"/>
    <w:rsid w:val="0004101D"/>
    <w:rsid w:val="000430E8"/>
    <w:rsid w:val="000444F1"/>
    <w:rsid w:val="00045B78"/>
    <w:rsid w:val="000506E3"/>
    <w:rsid w:val="0005079D"/>
    <w:rsid w:val="000514B6"/>
    <w:rsid w:val="00055E17"/>
    <w:rsid w:val="00057118"/>
    <w:rsid w:val="00057E53"/>
    <w:rsid w:val="0006041F"/>
    <w:rsid w:val="000604A3"/>
    <w:rsid w:val="00061266"/>
    <w:rsid w:val="000659CF"/>
    <w:rsid w:val="00073DA0"/>
    <w:rsid w:val="000741F5"/>
    <w:rsid w:val="000743D2"/>
    <w:rsid w:val="00074BE3"/>
    <w:rsid w:val="00075334"/>
    <w:rsid w:val="000760CF"/>
    <w:rsid w:val="00081E8F"/>
    <w:rsid w:val="000837EE"/>
    <w:rsid w:val="000846AD"/>
    <w:rsid w:val="00086E36"/>
    <w:rsid w:val="00087F02"/>
    <w:rsid w:val="000958E3"/>
    <w:rsid w:val="00095E48"/>
    <w:rsid w:val="00097312"/>
    <w:rsid w:val="000A0299"/>
    <w:rsid w:val="000A0DAB"/>
    <w:rsid w:val="000A2943"/>
    <w:rsid w:val="000A473D"/>
    <w:rsid w:val="000A51BC"/>
    <w:rsid w:val="000C3EB1"/>
    <w:rsid w:val="000C5B9A"/>
    <w:rsid w:val="000C6F25"/>
    <w:rsid w:val="000D5C8D"/>
    <w:rsid w:val="000D5E22"/>
    <w:rsid w:val="000D60D1"/>
    <w:rsid w:val="000E10A0"/>
    <w:rsid w:val="000E2301"/>
    <w:rsid w:val="000E68E1"/>
    <w:rsid w:val="000F003F"/>
    <w:rsid w:val="000F31F9"/>
    <w:rsid w:val="000F37B9"/>
    <w:rsid w:val="000F66C4"/>
    <w:rsid w:val="000F7E94"/>
    <w:rsid w:val="00103552"/>
    <w:rsid w:val="00103FEC"/>
    <w:rsid w:val="001067ED"/>
    <w:rsid w:val="0011036A"/>
    <w:rsid w:val="00110954"/>
    <w:rsid w:val="001119D6"/>
    <w:rsid w:val="00116596"/>
    <w:rsid w:val="001204A8"/>
    <w:rsid w:val="00121DB3"/>
    <w:rsid w:val="00123EEC"/>
    <w:rsid w:val="001308F2"/>
    <w:rsid w:val="001313E8"/>
    <w:rsid w:val="00132F99"/>
    <w:rsid w:val="001372F0"/>
    <w:rsid w:val="00141476"/>
    <w:rsid w:val="00142A1F"/>
    <w:rsid w:val="00143CE2"/>
    <w:rsid w:val="00146440"/>
    <w:rsid w:val="0015314F"/>
    <w:rsid w:val="0015322E"/>
    <w:rsid w:val="001539A6"/>
    <w:rsid w:val="00157118"/>
    <w:rsid w:val="001575B2"/>
    <w:rsid w:val="0016126D"/>
    <w:rsid w:val="00163D83"/>
    <w:rsid w:val="00164313"/>
    <w:rsid w:val="001678B1"/>
    <w:rsid w:val="00171925"/>
    <w:rsid w:val="00172E20"/>
    <w:rsid w:val="0017555F"/>
    <w:rsid w:val="001756C7"/>
    <w:rsid w:val="00185290"/>
    <w:rsid w:val="001877CD"/>
    <w:rsid w:val="00187A89"/>
    <w:rsid w:val="001903CC"/>
    <w:rsid w:val="001A14F9"/>
    <w:rsid w:val="001A1694"/>
    <w:rsid w:val="001A1BA0"/>
    <w:rsid w:val="001B122A"/>
    <w:rsid w:val="001B2A0F"/>
    <w:rsid w:val="001B2F77"/>
    <w:rsid w:val="001B3835"/>
    <w:rsid w:val="001B47EC"/>
    <w:rsid w:val="001B4A73"/>
    <w:rsid w:val="001C08D2"/>
    <w:rsid w:val="001C4591"/>
    <w:rsid w:val="001C58F5"/>
    <w:rsid w:val="001C7CB5"/>
    <w:rsid w:val="001D111D"/>
    <w:rsid w:val="001D3A54"/>
    <w:rsid w:val="001D5CEE"/>
    <w:rsid w:val="001D651D"/>
    <w:rsid w:val="001E052C"/>
    <w:rsid w:val="001E14D3"/>
    <w:rsid w:val="001E36D9"/>
    <w:rsid w:val="001E5861"/>
    <w:rsid w:val="001E7E22"/>
    <w:rsid w:val="001F3F53"/>
    <w:rsid w:val="001F42CE"/>
    <w:rsid w:val="001F5D1C"/>
    <w:rsid w:val="001F65F3"/>
    <w:rsid w:val="00203B57"/>
    <w:rsid w:val="00206449"/>
    <w:rsid w:val="00206868"/>
    <w:rsid w:val="002071D9"/>
    <w:rsid w:val="00211012"/>
    <w:rsid w:val="002111B8"/>
    <w:rsid w:val="00216C0D"/>
    <w:rsid w:val="00221DE8"/>
    <w:rsid w:val="002242FF"/>
    <w:rsid w:val="002272DB"/>
    <w:rsid w:val="00227390"/>
    <w:rsid w:val="00227413"/>
    <w:rsid w:val="00231348"/>
    <w:rsid w:val="002313E3"/>
    <w:rsid w:val="002329F6"/>
    <w:rsid w:val="00233832"/>
    <w:rsid w:val="002345FB"/>
    <w:rsid w:val="00237283"/>
    <w:rsid w:val="00241747"/>
    <w:rsid w:val="00250200"/>
    <w:rsid w:val="00250EBC"/>
    <w:rsid w:val="002524FF"/>
    <w:rsid w:val="002532A8"/>
    <w:rsid w:val="00256822"/>
    <w:rsid w:val="002630B0"/>
    <w:rsid w:val="00264A22"/>
    <w:rsid w:val="0026523D"/>
    <w:rsid w:val="0026525A"/>
    <w:rsid w:val="0026609C"/>
    <w:rsid w:val="00267B90"/>
    <w:rsid w:val="00270745"/>
    <w:rsid w:val="00271F3B"/>
    <w:rsid w:val="00272FD9"/>
    <w:rsid w:val="00274790"/>
    <w:rsid w:val="00274925"/>
    <w:rsid w:val="002750CB"/>
    <w:rsid w:val="00276453"/>
    <w:rsid w:val="00285755"/>
    <w:rsid w:val="0028663E"/>
    <w:rsid w:val="0028665E"/>
    <w:rsid w:val="0028715F"/>
    <w:rsid w:val="00294715"/>
    <w:rsid w:val="002949BB"/>
    <w:rsid w:val="0029547A"/>
    <w:rsid w:val="00296FF6"/>
    <w:rsid w:val="002A013A"/>
    <w:rsid w:val="002A09FB"/>
    <w:rsid w:val="002A1F9C"/>
    <w:rsid w:val="002A379A"/>
    <w:rsid w:val="002A5E21"/>
    <w:rsid w:val="002A725B"/>
    <w:rsid w:val="002A7B67"/>
    <w:rsid w:val="002B04F4"/>
    <w:rsid w:val="002B2199"/>
    <w:rsid w:val="002B29C2"/>
    <w:rsid w:val="002B33B8"/>
    <w:rsid w:val="002B59BA"/>
    <w:rsid w:val="002B71E4"/>
    <w:rsid w:val="002B79BE"/>
    <w:rsid w:val="002C1203"/>
    <w:rsid w:val="002C4208"/>
    <w:rsid w:val="002C4405"/>
    <w:rsid w:val="002C502B"/>
    <w:rsid w:val="002C5AC5"/>
    <w:rsid w:val="002C757E"/>
    <w:rsid w:val="002D07AA"/>
    <w:rsid w:val="002D10CC"/>
    <w:rsid w:val="002D1124"/>
    <w:rsid w:val="002D320A"/>
    <w:rsid w:val="002E3C6C"/>
    <w:rsid w:val="002E7972"/>
    <w:rsid w:val="002F3A3B"/>
    <w:rsid w:val="00303C19"/>
    <w:rsid w:val="0030497F"/>
    <w:rsid w:val="003109E2"/>
    <w:rsid w:val="00311005"/>
    <w:rsid w:val="00323040"/>
    <w:rsid w:val="003242F1"/>
    <w:rsid w:val="00337CB0"/>
    <w:rsid w:val="003405FE"/>
    <w:rsid w:val="00342DCE"/>
    <w:rsid w:val="003460A7"/>
    <w:rsid w:val="00351B06"/>
    <w:rsid w:val="00351B63"/>
    <w:rsid w:val="00352DE1"/>
    <w:rsid w:val="00360243"/>
    <w:rsid w:val="003610B7"/>
    <w:rsid w:val="00361FC3"/>
    <w:rsid w:val="00364778"/>
    <w:rsid w:val="003661D3"/>
    <w:rsid w:val="00366AA6"/>
    <w:rsid w:val="00367EE9"/>
    <w:rsid w:val="003705CE"/>
    <w:rsid w:val="003728E6"/>
    <w:rsid w:val="00374A87"/>
    <w:rsid w:val="00375A5F"/>
    <w:rsid w:val="00380815"/>
    <w:rsid w:val="0038140A"/>
    <w:rsid w:val="003824B2"/>
    <w:rsid w:val="00394A9A"/>
    <w:rsid w:val="00397922"/>
    <w:rsid w:val="00397F28"/>
    <w:rsid w:val="003A003D"/>
    <w:rsid w:val="003A0151"/>
    <w:rsid w:val="003A20E8"/>
    <w:rsid w:val="003B3C2E"/>
    <w:rsid w:val="003B425A"/>
    <w:rsid w:val="003B43DC"/>
    <w:rsid w:val="003B4F24"/>
    <w:rsid w:val="003B56B6"/>
    <w:rsid w:val="003B5E0E"/>
    <w:rsid w:val="003B6613"/>
    <w:rsid w:val="003C1F5A"/>
    <w:rsid w:val="003C768C"/>
    <w:rsid w:val="003D15A4"/>
    <w:rsid w:val="003D1665"/>
    <w:rsid w:val="003D255A"/>
    <w:rsid w:val="003D2C11"/>
    <w:rsid w:val="003D4062"/>
    <w:rsid w:val="003D7A81"/>
    <w:rsid w:val="003E0E88"/>
    <w:rsid w:val="003E4415"/>
    <w:rsid w:val="003E5081"/>
    <w:rsid w:val="003E5E76"/>
    <w:rsid w:val="003F1E37"/>
    <w:rsid w:val="003F3229"/>
    <w:rsid w:val="003F3AC4"/>
    <w:rsid w:val="003F56C4"/>
    <w:rsid w:val="004009AE"/>
    <w:rsid w:val="004009FF"/>
    <w:rsid w:val="004025F8"/>
    <w:rsid w:val="00403F1B"/>
    <w:rsid w:val="00406BF1"/>
    <w:rsid w:val="00410918"/>
    <w:rsid w:val="004122FA"/>
    <w:rsid w:val="00414A58"/>
    <w:rsid w:val="00416949"/>
    <w:rsid w:val="00421FAB"/>
    <w:rsid w:val="00425E12"/>
    <w:rsid w:val="004332EE"/>
    <w:rsid w:val="00433F47"/>
    <w:rsid w:val="004370D8"/>
    <w:rsid w:val="00444774"/>
    <w:rsid w:val="00447807"/>
    <w:rsid w:val="00447EC5"/>
    <w:rsid w:val="00450E48"/>
    <w:rsid w:val="004537AB"/>
    <w:rsid w:val="00460C65"/>
    <w:rsid w:val="00460D98"/>
    <w:rsid w:val="004648DC"/>
    <w:rsid w:val="0046755F"/>
    <w:rsid w:val="00472098"/>
    <w:rsid w:val="00472C43"/>
    <w:rsid w:val="00475362"/>
    <w:rsid w:val="00476414"/>
    <w:rsid w:val="00476F45"/>
    <w:rsid w:val="00483531"/>
    <w:rsid w:val="00483DFE"/>
    <w:rsid w:val="00484687"/>
    <w:rsid w:val="00486291"/>
    <w:rsid w:val="004A2F02"/>
    <w:rsid w:val="004B10A9"/>
    <w:rsid w:val="004B63D7"/>
    <w:rsid w:val="004C293A"/>
    <w:rsid w:val="004C6B58"/>
    <w:rsid w:val="004C735D"/>
    <w:rsid w:val="004D303A"/>
    <w:rsid w:val="004E2E1A"/>
    <w:rsid w:val="004F3F58"/>
    <w:rsid w:val="00503CCE"/>
    <w:rsid w:val="005076EA"/>
    <w:rsid w:val="00507B51"/>
    <w:rsid w:val="00507FB1"/>
    <w:rsid w:val="005111F4"/>
    <w:rsid w:val="00516C29"/>
    <w:rsid w:val="00517EE9"/>
    <w:rsid w:val="00521381"/>
    <w:rsid w:val="0052277B"/>
    <w:rsid w:val="005229F0"/>
    <w:rsid w:val="005233A7"/>
    <w:rsid w:val="00524CCE"/>
    <w:rsid w:val="00525670"/>
    <w:rsid w:val="00526ACB"/>
    <w:rsid w:val="0053124D"/>
    <w:rsid w:val="00531659"/>
    <w:rsid w:val="005340C7"/>
    <w:rsid w:val="00537496"/>
    <w:rsid w:val="00537522"/>
    <w:rsid w:val="00537F6C"/>
    <w:rsid w:val="0054100F"/>
    <w:rsid w:val="005413A8"/>
    <w:rsid w:val="005418AF"/>
    <w:rsid w:val="00542B44"/>
    <w:rsid w:val="005439AF"/>
    <w:rsid w:val="00544C92"/>
    <w:rsid w:val="00544ED3"/>
    <w:rsid w:val="00546CBD"/>
    <w:rsid w:val="005546BE"/>
    <w:rsid w:val="005555EA"/>
    <w:rsid w:val="00556EC0"/>
    <w:rsid w:val="0056022A"/>
    <w:rsid w:val="005617A0"/>
    <w:rsid w:val="005636A0"/>
    <w:rsid w:val="00570125"/>
    <w:rsid w:val="0057506F"/>
    <w:rsid w:val="005773AF"/>
    <w:rsid w:val="00577A5E"/>
    <w:rsid w:val="00581B1D"/>
    <w:rsid w:val="005829AD"/>
    <w:rsid w:val="00582E85"/>
    <w:rsid w:val="00582FA3"/>
    <w:rsid w:val="00584140"/>
    <w:rsid w:val="0058477B"/>
    <w:rsid w:val="0058654F"/>
    <w:rsid w:val="00587114"/>
    <w:rsid w:val="00590A3D"/>
    <w:rsid w:val="005914A0"/>
    <w:rsid w:val="005920DE"/>
    <w:rsid w:val="00594EF0"/>
    <w:rsid w:val="00596ACA"/>
    <w:rsid w:val="005A3370"/>
    <w:rsid w:val="005A3760"/>
    <w:rsid w:val="005B323B"/>
    <w:rsid w:val="005B43D9"/>
    <w:rsid w:val="005C2A22"/>
    <w:rsid w:val="005C38D8"/>
    <w:rsid w:val="005C3BDF"/>
    <w:rsid w:val="005D13F4"/>
    <w:rsid w:val="005D2216"/>
    <w:rsid w:val="005D47DD"/>
    <w:rsid w:val="005E0409"/>
    <w:rsid w:val="005E112E"/>
    <w:rsid w:val="005E2D5B"/>
    <w:rsid w:val="005E39BC"/>
    <w:rsid w:val="005F00A0"/>
    <w:rsid w:val="005F763E"/>
    <w:rsid w:val="00600AE6"/>
    <w:rsid w:val="00600EC1"/>
    <w:rsid w:val="0060560D"/>
    <w:rsid w:val="0060641D"/>
    <w:rsid w:val="006162B9"/>
    <w:rsid w:val="00620AC4"/>
    <w:rsid w:val="006229C1"/>
    <w:rsid w:val="00623F03"/>
    <w:rsid w:val="00624EA6"/>
    <w:rsid w:val="00626B90"/>
    <w:rsid w:val="00635545"/>
    <w:rsid w:val="0063584B"/>
    <w:rsid w:val="00637030"/>
    <w:rsid w:val="00640111"/>
    <w:rsid w:val="0064150E"/>
    <w:rsid w:val="00641A50"/>
    <w:rsid w:val="006424C2"/>
    <w:rsid w:val="00647F33"/>
    <w:rsid w:val="00654D87"/>
    <w:rsid w:val="00654F90"/>
    <w:rsid w:val="0065505B"/>
    <w:rsid w:val="00655469"/>
    <w:rsid w:val="00662532"/>
    <w:rsid w:val="0066709D"/>
    <w:rsid w:val="00670DAB"/>
    <w:rsid w:val="00675104"/>
    <w:rsid w:val="00675920"/>
    <w:rsid w:val="00675B3B"/>
    <w:rsid w:val="006824F3"/>
    <w:rsid w:val="006837B9"/>
    <w:rsid w:val="00683FB9"/>
    <w:rsid w:val="00685AC2"/>
    <w:rsid w:val="00686010"/>
    <w:rsid w:val="00686F55"/>
    <w:rsid w:val="00690C71"/>
    <w:rsid w:val="00691F42"/>
    <w:rsid w:val="006926AD"/>
    <w:rsid w:val="006928F5"/>
    <w:rsid w:val="0069570D"/>
    <w:rsid w:val="00696B85"/>
    <w:rsid w:val="0069724C"/>
    <w:rsid w:val="00697283"/>
    <w:rsid w:val="006A7973"/>
    <w:rsid w:val="006A797F"/>
    <w:rsid w:val="006A7F53"/>
    <w:rsid w:val="006B222A"/>
    <w:rsid w:val="006B2274"/>
    <w:rsid w:val="006B3159"/>
    <w:rsid w:val="006B4146"/>
    <w:rsid w:val="006B46F3"/>
    <w:rsid w:val="006C05F0"/>
    <w:rsid w:val="006C4079"/>
    <w:rsid w:val="006C4FBB"/>
    <w:rsid w:val="006C5B2C"/>
    <w:rsid w:val="006D3293"/>
    <w:rsid w:val="006D474A"/>
    <w:rsid w:val="006D7EFD"/>
    <w:rsid w:val="006E1905"/>
    <w:rsid w:val="006E2E02"/>
    <w:rsid w:val="006E7851"/>
    <w:rsid w:val="006E7B8D"/>
    <w:rsid w:val="006F7A30"/>
    <w:rsid w:val="00701416"/>
    <w:rsid w:val="007153B2"/>
    <w:rsid w:val="00715CC7"/>
    <w:rsid w:val="00716366"/>
    <w:rsid w:val="00717C6F"/>
    <w:rsid w:val="00720065"/>
    <w:rsid w:val="00722065"/>
    <w:rsid w:val="00722E93"/>
    <w:rsid w:val="00727252"/>
    <w:rsid w:val="0073286D"/>
    <w:rsid w:val="007328B0"/>
    <w:rsid w:val="00735714"/>
    <w:rsid w:val="00736D43"/>
    <w:rsid w:val="007426E6"/>
    <w:rsid w:val="007445DA"/>
    <w:rsid w:val="007463AC"/>
    <w:rsid w:val="00746CFF"/>
    <w:rsid w:val="0074776C"/>
    <w:rsid w:val="00751D7D"/>
    <w:rsid w:val="00752B74"/>
    <w:rsid w:val="00754204"/>
    <w:rsid w:val="00756339"/>
    <w:rsid w:val="007569E9"/>
    <w:rsid w:val="00756BA9"/>
    <w:rsid w:val="00757FDA"/>
    <w:rsid w:val="00760AB9"/>
    <w:rsid w:val="0076219E"/>
    <w:rsid w:val="007622E2"/>
    <w:rsid w:val="00762D94"/>
    <w:rsid w:val="00763D0B"/>
    <w:rsid w:val="00765A8B"/>
    <w:rsid w:val="00765FE6"/>
    <w:rsid w:val="00766924"/>
    <w:rsid w:val="0077001E"/>
    <w:rsid w:val="0077114A"/>
    <w:rsid w:val="00773702"/>
    <w:rsid w:val="0077592E"/>
    <w:rsid w:val="00780317"/>
    <w:rsid w:val="00783116"/>
    <w:rsid w:val="00787E33"/>
    <w:rsid w:val="00793C53"/>
    <w:rsid w:val="0079561B"/>
    <w:rsid w:val="007A3BAA"/>
    <w:rsid w:val="007A3BF7"/>
    <w:rsid w:val="007A6270"/>
    <w:rsid w:val="007A77FB"/>
    <w:rsid w:val="007B1A7F"/>
    <w:rsid w:val="007B1F29"/>
    <w:rsid w:val="007B228A"/>
    <w:rsid w:val="007B2F0D"/>
    <w:rsid w:val="007B4FD1"/>
    <w:rsid w:val="007B7669"/>
    <w:rsid w:val="007C12F8"/>
    <w:rsid w:val="007C154C"/>
    <w:rsid w:val="007C5794"/>
    <w:rsid w:val="007C61BD"/>
    <w:rsid w:val="007C637C"/>
    <w:rsid w:val="007C67A8"/>
    <w:rsid w:val="007C6F85"/>
    <w:rsid w:val="007C7E64"/>
    <w:rsid w:val="007D1946"/>
    <w:rsid w:val="007D1B8D"/>
    <w:rsid w:val="007D2E21"/>
    <w:rsid w:val="007E1EAD"/>
    <w:rsid w:val="007F4E08"/>
    <w:rsid w:val="007F536C"/>
    <w:rsid w:val="00801B21"/>
    <w:rsid w:val="00802381"/>
    <w:rsid w:val="00805758"/>
    <w:rsid w:val="00805B6F"/>
    <w:rsid w:val="0081198A"/>
    <w:rsid w:val="008129F3"/>
    <w:rsid w:val="008149D1"/>
    <w:rsid w:val="00816EAA"/>
    <w:rsid w:val="00820679"/>
    <w:rsid w:val="00821D78"/>
    <w:rsid w:val="0082275D"/>
    <w:rsid w:val="00823062"/>
    <w:rsid w:val="00832F4A"/>
    <w:rsid w:val="00834E22"/>
    <w:rsid w:val="00835E42"/>
    <w:rsid w:val="008360F0"/>
    <w:rsid w:val="00842A25"/>
    <w:rsid w:val="00844AF2"/>
    <w:rsid w:val="008462B4"/>
    <w:rsid w:val="00846830"/>
    <w:rsid w:val="0084775B"/>
    <w:rsid w:val="00851FC7"/>
    <w:rsid w:val="00852FD4"/>
    <w:rsid w:val="00853E1E"/>
    <w:rsid w:val="0085564D"/>
    <w:rsid w:val="008563B5"/>
    <w:rsid w:val="00862687"/>
    <w:rsid w:val="008727AA"/>
    <w:rsid w:val="008736C0"/>
    <w:rsid w:val="00875CF8"/>
    <w:rsid w:val="00875DD8"/>
    <w:rsid w:val="00876D1B"/>
    <w:rsid w:val="00883848"/>
    <w:rsid w:val="008854EC"/>
    <w:rsid w:val="008859BA"/>
    <w:rsid w:val="0088696B"/>
    <w:rsid w:val="00891706"/>
    <w:rsid w:val="0089544B"/>
    <w:rsid w:val="00897C69"/>
    <w:rsid w:val="00897ED5"/>
    <w:rsid w:val="008A488D"/>
    <w:rsid w:val="008B0E68"/>
    <w:rsid w:val="008B14BB"/>
    <w:rsid w:val="008B32DD"/>
    <w:rsid w:val="008B4A93"/>
    <w:rsid w:val="008B5EBC"/>
    <w:rsid w:val="008B6BB9"/>
    <w:rsid w:val="008B71C3"/>
    <w:rsid w:val="008B7E51"/>
    <w:rsid w:val="008C1EF5"/>
    <w:rsid w:val="008D0564"/>
    <w:rsid w:val="008D2335"/>
    <w:rsid w:val="008D3E5B"/>
    <w:rsid w:val="008F2947"/>
    <w:rsid w:val="008F4560"/>
    <w:rsid w:val="008F65B8"/>
    <w:rsid w:val="008F6EC0"/>
    <w:rsid w:val="008F70F3"/>
    <w:rsid w:val="008F73DE"/>
    <w:rsid w:val="00900A2F"/>
    <w:rsid w:val="00900FC7"/>
    <w:rsid w:val="00903030"/>
    <w:rsid w:val="00904B71"/>
    <w:rsid w:val="00905F17"/>
    <w:rsid w:val="00911543"/>
    <w:rsid w:val="00913D65"/>
    <w:rsid w:val="0092219F"/>
    <w:rsid w:val="00922776"/>
    <w:rsid w:val="00925D92"/>
    <w:rsid w:val="0093081F"/>
    <w:rsid w:val="00931242"/>
    <w:rsid w:val="009324B8"/>
    <w:rsid w:val="00936D92"/>
    <w:rsid w:val="0094102D"/>
    <w:rsid w:val="0094285D"/>
    <w:rsid w:val="00945A23"/>
    <w:rsid w:val="00947060"/>
    <w:rsid w:val="00950863"/>
    <w:rsid w:val="00951660"/>
    <w:rsid w:val="00951853"/>
    <w:rsid w:val="009519C9"/>
    <w:rsid w:val="0095279C"/>
    <w:rsid w:val="00957FF5"/>
    <w:rsid w:val="009632D8"/>
    <w:rsid w:val="00965106"/>
    <w:rsid w:val="00966F79"/>
    <w:rsid w:val="00970DEE"/>
    <w:rsid w:val="009747EA"/>
    <w:rsid w:val="009749B2"/>
    <w:rsid w:val="00974D39"/>
    <w:rsid w:val="0097508E"/>
    <w:rsid w:val="00985468"/>
    <w:rsid w:val="00986B87"/>
    <w:rsid w:val="00987C98"/>
    <w:rsid w:val="00992347"/>
    <w:rsid w:val="00993255"/>
    <w:rsid w:val="00995784"/>
    <w:rsid w:val="009A05FD"/>
    <w:rsid w:val="009A20DB"/>
    <w:rsid w:val="009A3A15"/>
    <w:rsid w:val="009A4BF4"/>
    <w:rsid w:val="009A641F"/>
    <w:rsid w:val="009A7065"/>
    <w:rsid w:val="009A728A"/>
    <w:rsid w:val="009A74D5"/>
    <w:rsid w:val="009B263D"/>
    <w:rsid w:val="009B3A97"/>
    <w:rsid w:val="009B48F6"/>
    <w:rsid w:val="009B7F43"/>
    <w:rsid w:val="009C059A"/>
    <w:rsid w:val="009C2920"/>
    <w:rsid w:val="009C377F"/>
    <w:rsid w:val="009C4817"/>
    <w:rsid w:val="009C69C6"/>
    <w:rsid w:val="009C6CEB"/>
    <w:rsid w:val="009C780A"/>
    <w:rsid w:val="009D0B86"/>
    <w:rsid w:val="009D4B3D"/>
    <w:rsid w:val="009D61BC"/>
    <w:rsid w:val="009D67AF"/>
    <w:rsid w:val="009E015A"/>
    <w:rsid w:val="009E0CE5"/>
    <w:rsid w:val="009E0D5B"/>
    <w:rsid w:val="009E0DAE"/>
    <w:rsid w:val="009E1558"/>
    <w:rsid w:val="009E27A0"/>
    <w:rsid w:val="009E3804"/>
    <w:rsid w:val="009E5290"/>
    <w:rsid w:val="009F049B"/>
    <w:rsid w:val="009F24A9"/>
    <w:rsid w:val="009F3011"/>
    <w:rsid w:val="009F33BA"/>
    <w:rsid w:val="009F44AD"/>
    <w:rsid w:val="00A0523B"/>
    <w:rsid w:val="00A22BEB"/>
    <w:rsid w:val="00A24D27"/>
    <w:rsid w:val="00A33BF9"/>
    <w:rsid w:val="00A42898"/>
    <w:rsid w:val="00A45639"/>
    <w:rsid w:val="00A45DF0"/>
    <w:rsid w:val="00A46671"/>
    <w:rsid w:val="00A52209"/>
    <w:rsid w:val="00A6016B"/>
    <w:rsid w:val="00A717D9"/>
    <w:rsid w:val="00A73E36"/>
    <w:rsid w:val="00A7774A"/>
    <w:rsid w:val="00A77973"/>
    <w:rsid w:val="00A918B7"/>
    <w:rsid w:val="00A94E39"/>
    <w:rsid w:val="00A952C7"/>
    <w:rsid w:val="00A958EF"/>
    <w:rsid w:val="00AA2129"/>
    <w:rsid w:val="00AB0661"/>
    <w:rsid w:val="00AB0BE6"/>
    <w:rsid w:val="00AB3AEF"/>
    <w:rsid w:val="00AB5AB6"/>
    <w:rsid w:val="00AB6ACE"/>
    <w:rsid w:val="00AC5A3A"/>
    <w:rsid w:val="00AC61BD"/>
    <w:rsid w:val="00AC6C68"/>
    <w:rsid w:val="00AC768D"/>
    <w:rsid w:val="00AD0E8F"/>
    <w:rsid w:val="00AD1339"/>
    <w:rsid w:val="00AD3761"/>
    <w:rsid w:val="00AD46DD"/>
    <w:rsid w:val="00AD4E23"/>
    <w:rsid w:val="00AD5AF4"/>
    <w:rsid w:val="00AD6300"/>
    <w:rsid w:val="00AD7035"/>
    <w:rsid w:val="00AE11C4"/>
    <w:rsid w:val="00AE3792"/>
    <w:rsid w:val="00AE383B"/>
    <w:rsid w:val="00AE6880"/>
    <w:rsid w:val="00AE78BB"/>
    <w:rsid w:val="00AF330F"/>
    <w:rsid w:val="00AF46A2"/>
    <w:rsid w:val="00AF48DA"/>
    <w:rsid w:val="00AF6600"/>
    <w:rsid w:val="00AF76AE"/>
    <w:rsid w:val="00B00643"/>
    <w:rsid w:val="00B0491A"/>
    <w:rsid w:val="00B04C0B"/>
    <w:rsid w:val="00B10435"/>
    <w:rsid w:val="00B1503A"/>
    <w:rsid w:val="00B23CAD"/>
    <w:rsid w:val="00B2575C"/>
    <w:rsid w:val="00B259DB"/>
    <w:rsid w:val="00B26536"/>
    <w:rsid w:val="00B328DF"/>
    <w:rsid w:val="00B36E63"/>
    <w:rsid w:val="00B375A3"/>
    <w:rsid w:val="00B42456"/>
    <w:rsid w:val="00B42B4F"/>
    <w:rsid w:val="00B43A44"/>
    <w:rsid w:val="00B527F1"/>
    <w:rsid w:val="00B53D2F"/>
    <w:rsid w:val="00B55D96"/>
    <w:rsid w:val="00B606A8"/>
    <w:rsid w:val="00B61D16"/>
    <w:rsid w:val="00B62BB2"/>
    <w:rsid w:val="00B63F0D"/>
    <w:rsid w:val="00B643E0"/>
    <w:rsid w:val="00B644B7"/>
    <w:rsid w:val="00B66D63"/>
    <w:rsid w:val="00B72E5F"/>
    <w:rsid w:val="00B742A5"/>
    <w:rsid w:val="00B74A26"/>
    <w:rsid w:val="00B7642B"/>
    <w:rsid w:val="00B816D4"/>
    <w:rsid w:val="00B824E9"/>
    <w:rsid w:val="00B82FA5"/>
    <w:rsid w:val="00B845D5"/>
    <w:rsid w:val="00B85286"/>
    <w:rsid w:val="00B92335"/>
    <w:rsid w:val="00B93064"/>
    <w:rsid w:val="00B93B29"/>
    <w:rsid w:val="00B979F5"/>
    <w:rsid w:val="00B97B7E"/>
    <w:rsid w:val="00BA0C31"/>
    <w:rsid w:val="00BA6888"/>
    <w:rsid w:val="00BB05F6"/>
    <w:rsid w:val="00BB1DAE"/>
    <w:rsid w:val="00BB31A1"/>
    <w:rsid w:val="00BB458E"/>
    <w:rsid w:val="00BC0716"/>
    <w:rsid w:val="00BC1B28"/>
    <w:rsid w:val="00BC29A3"/>
    <w:rsid w:val="00BC2CB1"/>
    <w:rsid w:val="00BD04F2"/>
    <w:rsid w:val="00BD1075"/>
    <w:rsid w:val="00BD1400"/>
    <w:rsid w:val="00BD605C"/>
    <w:rsid w:val="00BE237B"/>
    <w:rsid w:val="00BE2A76"/>
    <w:rsid w:val="00BE38BF"/>
    <w:rsid w:val="00BE4F96"/>
    <w:rsid w:val="00BE6ED3"/>
    <w:rsid w:val="00C12560"/>
    <w:rsid w:val="00C13D9C"/>
    <w:rsid w:val="00C15887"/>
    <w:rsid w:val="00C20006"/>
    <w:rsid w:val="00C2094F"/>
    <w:rsid w:val="00C249D2"/>
    <w:rsid w:val="00C25765"/>
    <w:rsid w:val="00C36210"/>
    <w:rsid w:val="00C371B8"/>
    <w:rsid w:val="00C432AE"/>
    <w:rsid w:val="00C46A0F"/>
    <w:rsid w:val="00C51D3D"/>
    <w:rsid w:val="00C54CE0"/>
    <w:rsid w:val="00C56960"/>
    <w:rsid w:val="00C653E3"/>
    <w:rsid w:val="00C656E0"/>
    <w:rsid w:val="00C65E60"/>
    <w:rsid w:val="00C6786E"/>
    <w:rsid w:val="00C67A05"/>
    <w:rsid w:val="00C713B3"/>
    <w:rsid w:val="00C7473A"/>
    <w:rsid w:val="00C74E99"/>
    <w:rsid w:val="00C82A37"/>
    <w:rsid w:val="00C833F0"/>
    <w:rsid w:val="00C9124C"/>
    <w:rsid w:val="00C92A05"/>
    <w:rsid w:val="00C94D62"/>
    <w:rsid w:val="00C94EDA"/>
    <w:rsid w:val="00CA179A"/>
    <w:rsid w:val="00CA1F2C"/>
    <w:rsid w:val="00CD6836"/>
    <w:rsid w:val="00CD6A4C"/>
    <w:rsid w:val="00CE2EFD"/>
    <w:rsid w:val="00CE2F9D"/>
    <w:rsid w:val="00CE501F"/>
    <w:rsid w:val="00CE5A52"/>
    <w:rsid w:val="00CE6156"/>
    <w:rsid w:val="00CE7352"/>
    <w:rsid w:val="00CE7FA9"/>
    <w:rsid w:val="00CF250E"/>
    <w:rsid w:val="00CF5B91"/>
    <w:rsid w:val="00CF6CED"/>
    <w:rsid w:val="00CF7AF3"/>
    <w:rsid w:val="00D04008"/>
    <w:rsid w:val="00D12226"/>
    <w:rsid w:val="00D127BF"/>
    <w:rsid w:val="00D12C2F"/>
    <w:rsid w:val="00D17D93"/>
    <w:rsid w:val="00D2026E"/>
    <w:rsid w:val="00D22EAD"/>
    <w:rsid w:val="00D2433B"/>
    <w:rsid w:val="00D26ADA"/>
    <w:rsid w:val="00D30A33"/>
    <w:rsid w:val="00D3104A"/>
    <w:rsid w:val="00D327EB"/>
    <w:rsid w:val="00D35A78"/>
    <w:rsid w:val="00D4328F"/>
    <w:rsid w:val="00D51F75"/>
    <w:rsid w:val="00D52566"/>
    <w:rsid w:val="00D55209"/>
    <w:rsid w:val="00D555A1"/>
    <w:rsid w:val="00D56A66"/>
    <w:rsid w:val="00D640BD"/>
    <w:rsid w:val="00D64A91"/>
    <w:rsid w:val="00D64CDB"/>
    <w:rsid w:val="00D64DC2"/>
    <w:rsid w:val="00D665F5"/>
    <w:rsid w:val="00D67930"/>
    <w:rsid w:val="00D71783"/>
    <w:rsid w:val="00D72D69"/>
    <w:rsid w:val="00D762A6"/>
    <w:rsid w:val="00D80BAA"/>
    <w:rsid w:val="00D831C5"/>
    <w:rsid w:val="00D83591"/>
    <w:rsid w:val="00D97B6C"/>
    <w:rsid w:val="00DA1B17"/>
    <w:rsid w:val="00DA46CA"/>
    <w:rsid w:val="00DB0A4E"/>
    <w:rsid w:val="00DB45B5"/>
    <w:rsid w:val="00DB4DA5"/>
    <w:rsid w:val="00DC0105"/>
    <w:rsid w:val="00DC669A"/>
    <w:rsid w:val="00DC766F"/>
    <w:rsid w:val="00DD0C4D"/>
    <w:rsid w:val="00DD14C2"/>
    <w:rsid w:val="00DD14E9"/>
    <w:rsid w:val="00DD78DE"/>
    <w:rsid w:val="00DE0911"/>
    <w:rsid w:val="00DE109A"/>
    <w:rsid w:val="00DE1276"/>
    <w:rsid w:val="00DE44B4"/>
    <w:rsid w:val="00DE51F0"/>
    <w:rsid w:val="00DE6B20"/>
    <w:rsid w:val="00DF21EB"/>
    <w:rsid w:val="00DF29F7"/>
    <w:rsid w:val="00DF48BC"/>
    <w:rsid w:val="00DF6DF0"/>
    <w:rsid w:val="00E0086E"/>
    <w:rsid w:val="00E00C89"/>
    <w:rsid w:val="00E01837"/>
    <w:rsid w:val="00E0342B"/>
    <w:rsid w:val="00E04D39"/>
    <w:rsid w:val="00E077CB"/>
    <w:rsid w:val="00E07A4F"/>
    <w:rsid w:val="00E13ABB"/>
    <w:rsid w:val="00E1414F"/>
    <w:rsid w:val="00E171BC"/>
    <w:rsid w:val="00E20371"/>
    <w:rsid w:val="00E20E70"/>
    <w:rsid w:val="00E25849"/>
    <w:rsid w:val="00E25B68"/>
    <w:rsid w:val="00E26C21"/>
    <w:rsid w:val="00E315C4"/>
    <w:rsid w:val="00E31DA2"/>
    <w:rsid w:val="00E3644B"/>
    <w:rsid w:val="00E364FC"/>
    <w:rsid w:val="00E37714"/>
    <w:rsid w:val="00E40462"/>
    <w:rsid w:val="00E44BB9"/>
    <w:rsid w:val="00E45522"/>
    <w:rsid w:val="00E51BA6"/>
    <w:rsid w:val="00E5675E"/>
    <w:rsid w:val="00E61A85"/>
    <w:rsid w:val="00E62C4D"/>
    <w:rsid w:val="00E63079"/>
    <w:rsid w:val="00E63B7D"/>
    <w:rsid w:val="00E6796E"/>
    <w:rsid w:val="00E710F6"/>
    <w:rsid w:val="00E71FDC"/>
    <w:rsid w:val="00E72B1E"/>
    <w:rsid w:val="00E75E22"/>
    <w:rsid w:val="00E77062"/>
    <w:rsid w:val="00E77B8C"/>
    <w:rsid w:val="00E80B57"/>
    <w:rsid w:val="00E84003"/>
    <w:rsid w:val="00E878B3"/>
    <w:rsid w:val="00E90C8B"/>
    <w:rsid w:val="00E90E39"/>
    <w:rsid w:val="00E96AF3"/>
    <w:rsid w:val="00E97D13"/>
    <w:rsid w:val="00EA4A1B"/>
    <w:rsid w:val="00EA519F"/>
    <w:rsid w:val="00EA6EC2"/>
    <w:rsid w:val="00EB1470"/>
    <w:rsid w:val="00EB3DC9"/>
    <w:rsid w:val="00EC10FC"/>
    <w:rsid w:val="00ED0099"/>
    <w:rsid w:val="00ED7E65"/>
    <w:rsid w:val="00ED7F3A"/>
    <w:rsid w:val="00EE0041"/>
    <w:rsid w:val="00EE29B9"/>
    <w:rsid w:val="00EE3659"/>
    <w:rsid w:val="00EE5DD2"/>
    <w:rsid w:val="00EE5DDB"/>
    <w:rsid w:val="00EE6764"/>
    <w:rsid w:val="00EE77B2"/>
    <w:rsid w:val="00EF3710"/>
    <w:rsid w:val="00EF3F94"/>
    <w:rsid w:val="00EF65E3"/>
    <w:rsid w:val="00EF6DCB"/>
    <w:rsid w:val="00EF77E7"/>
    <w:rsid w:val="00F004EE"/>
    <w:rsid w:val="00F050BA"/>
    <w:rsid w:val="00F075A4"/>
    <w:rsid w:val="00F14F7B"/>
    <w:rsid w:val="00F331C2"/>
    <w:rsid w:val="00F42E23"/>
    <w:rsid w:val="00F435E4"/>
    <w:rsid w:val="00F44BDB"/>
    <w:rsid w:val="00F45EEE"/>
    <w:rsid w:val="00F47117"/>
    <w:rsid w:val="00F4729B"/>
    <w:rsid w:val="00F51E9C"/>
    <w:rsid w:val="00F523CA"/>
    <w:rsid w:val="00F65DD4"/>
    <w:rsid w:val="00F66EB7"/>
    <w:rsid w:val="00F67CE6"/>
    <w:rsid w:val="00F70A6A"/>
    <w:rsid w:val="00F7125A"/>
    <w:rsid w:val="00F71AC4"/>
    <w:rsid w:val="00F74A9D"/>
    <w:rsid w:val="00F83431"/>
    <w:rsid w:val="00F85552"/>
    <w:rsid w:val="00F859BF"/>
    <w:rsid w:val="00F9171A"/>
    <w:rsid w:val="00F93C68"/>
    <w:rsid w:val="00F95C81"/>
    <w:rsid w:val="00FA4BC5"/>
    <w:rsid w:val="00FA5868"/>
    <w:rsid w:val="00FB22B7"/>
    <w:rsid w:val="00FB5A92"/>
    <w:rsid w:val="00FB7616"/>
    <w:rsid w:val="00FC6047"/>
    <w:rsid w:val="00FC7F10"/>
    <w:rsid w:val="00FD23EC"/>
    <w:rsid w:val="00FD3589"/>
    <w:rsid w:val="00FD3883"/>
    <w:rsid w:val="00FD4E5A"/>
    <w:rsid w:val="00FD6AD2"/>
    <w:rsid w:val="00FD7BC7"/>
    <w:rsid w:val="00FE00D2"/>
    <w:rsid w:val="00FE2978"/>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846830"/>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ind w:left="720"/>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0A51BC"/>
    <w:rPr>
      <w:color w:val="0000FF" w:themeColor="hyperlink"/>
      <w:u w:val="single"/>
    </w:rPr>
  </w:style>
  <w:style w:type="character" w:customStyle="1" w:styleId="Mentionnonrsolue1">
    <w:name w:val="Mention non résolue1"/>
    <w:basedOn w:val="DefaultParagraphFont"/>
    <w:uiPriority w:val="99"/>
    <w:semiHidden/>
    <w:unhideWhenUsed/>
    <w:rsid w:val="000A51BC"/>
    <w:rPr>
      <w:color w:val="605E5C"/>
      <w:shd w:val="clear" w:color="auto" w:fill="E1DFDD"/>
    </w:rPr>
  </w:style>
  <w:style w:type="character" w:styleId="CommentReference">
    <w:name w:val="annotation reference"/>
    <w:basedOn w:val="DefaultParagraphFont"/>
    <w:uiPriority w:val="49"/>
    <w:locked/>
    <w:rsid w:val="009A20DB"/>
    <w:rPr>
      <w:sz w:val="16"/>
      <w:szCs w:val="16"/>
    </w:rPr>
  </w:style>
  <w:style w:type="paragraph" w:styleId="CommentText">
    <w:name w:val="annotation text"/>
    <w:basedOn w:val="Normal"/>
    <w:link w:val="CommentTextChar"/>
    <w:uiPriority w:val="49"/>
    <w:locked/>
    <w:rsid w:val="009A20DB"/>
    <w:rPr>
      <w:sz w:val="20"/>
    </w:rPr>
  </w:style>
  <w:style w:type="character" w:customStyle="1" w:styleId="CommentTextChar">
    <w:name w:val="Comment Text Char"/>
    <w:basedOn w:val="DefaultParagraphFont"/>
    <w:link w:val="CommentText"/>
    <w:uiPriority w:val="49"/>
    <w:rsid w:val="009A20DB"/>
    <w:rPr>
      <w:lang w:eastAsia="en-US"/>
    </w:rPr>
  </w:style>
  <w:style w:type="paragraph" w:styleId="CommentSubject">
    <w:name w:val="annotation subject"/>
    <w:basedOn w:val="CommentText"/>
    <w:next w:val="CommentText"/>
    <w:link w:val="CommentSubjectChar"/>
    <w:uiPriority w:val="49"/>
    <w:locked/>
    <w:rsid w:val="009A20DB"/>
    <w:rPr>
      <w:b/>
      <w:bCs/>
    </w:rPr>
  </w:style>
  <w:style w:type="character" w:customStyle="1" w:styleId="CommentSubjectChar">
    <w:name w:val="Comment Subject Char"/>
    <w:basedOn w:val="CommentTextChar"/>
    <w:link w:val="CommentSubject"/>
    <w:uiPriority w:val="49"/>
    <w:rsid w:val="009A20DB"/>
    <w:rPr>
      <w:b/>
      <w:bCs/>
      <w:lang w:eastAsia="en-US"/>
    </w:rPr>
  </w:style>
  <w:style w:type="character" w:customStyle="1" w:styleId="Heading2Char">
    <w:name w:val="Heading 2 Char"/>
    <w:aliases w:val="1st level paper heading Char"/>
    <w:basedOn w:val="DefaultParagraphFont"/>
    <w:link w:val="Heading2"/>
    <w:uiPriority w:val="4"/>
    <w:rsid w:val="00752B74"/>
    <w:rPr>
      <w:caps/>
      <w:lang w:eastAsia="en-US"/>
    </w:rPr>
  </w:style>
  <w:style w:type="numbering" w:customStyle="1" w:styleId="CurrentList1">
    <w:name w:val="Current List1"/>
    <w:uiPriority w:val="99"/>
    <w:rsid w:val="00834E22"/>
    <w:pPr>
      <w:numPr>
        <w:numId w:val="33"/>
      </w:numPr>
    </w:pPr>
  </w:style>
  <w:style w:type="paragraph" w:styleId="Revision">
    <w:name w:val="Revision"/>
    <w:hidden/>
    <w:uiPriority w:val="99"/>
    <w:semiHidden/>
    <w:rsid w:val="00835E4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4294">
      <w:bodyDiv w:val="1"/>
      <w:marLeft w:val="0"/>
      <w:marRight w:val="0"/>
      <w:marTop w:val="0"/>
      <w:marBottom w:val="0"/>
      <w:divBdr>
        <w:top w:val="none" w:sz="0" w:space="0" w:color="auto"/>
        <w:left w:val="none" w:sz="0" w:space="0" w:color="auto"/>
        <w:bottom w:val="none" w:sz="0" w:space="0" w:color="auto"/>
        <w:right w:val="none" w:sz="0" w:space="0" w:color="auto"/>
      </w:divBdr>
      <w:divsChild>
        <w:div w:id="670065141">
          <w:marLeft w:val="0"/>
          <w:marRight w:val="0"/>
          <w:marTop w:val="0"/>
          <w:marBottom w:val="0"/>
          <w:divBdr>
            <w:top w:val="none" w:sz="0" w:space="0" w:color="auto"/>
            <w:left w:val="none" w:sz="0" w:space="0" w:color="auto"/>
            <w:bottom w:val="none" w:sz="0" w:space="0" w:color="auto"/>
            <w:right w:val="none" w:sz="0" w:space="0" w:color="auto"/>
          </w:divBdr>
          <w:divsChild>
            <w:div w:id="676541074">
              <w:marLeft w:val="0"/>
              <w:marRight w:val="0"/>
              <w:marTop w:val="0"/>
              <w:marBottom w:val="0"/>
              <w:divBdr>
                <w:top w:val="none" w:sz="0" w:space="0" w:color="auto"/>
                <w:left w:val="none" w:sz="0" w:space="0" w:color="auto"/>
                <w:bottom w:val="none" w:sz="0" w:space="0" w:color="auto"/>
                <w:right w:val="none" w:sz="0" w:space="0" w:color="auto"/>
              </w:divBdr>
              <w:divsChild>
                <w:div w:id="9552530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9404255">
      <w:bodyDiv w:val="1"/>
      <w:marLeft w:val="0"/>
      <w:marRight w:val="0"/>
      <w:marTop w:val="0"/>
      <w:marBottom w:val="0"/>
      <w:divBdr>
        <w:top w:val="none" w:sz="0" w:space="0" w:color="auto"/>
        <w:left w:val="none" w:sz="0" w:space="0" w:color="auto"/>
        <w:bottom w:val="none" w:sz="0" w:space="0" w:color="auto"/>
        <w:right w:val="none" w:sz="0" w:space="0" w:color="auto"/>
      </w:divBdr>
      <w:divsChild>
        <w:div w:id="1986011419">
          <w:marLeft w:val="0"/>
          <w:marRight w:val="0"/>
          <w:marTop w:val="0"/>
          <w:marBottom w:val="0"/>
          <w:divBdr>
            <w:top w:val="none" w:sz="0" w:space="0" w:color="auto"/>
            <w:left w:val="none" w:sz="0" w:space="0" w:color="auto"/>
            <w:bottom w:val="none" w:sz="0" w:space="0" w:color="auto"/>
            <w:right w:val="none" w:sz="0" w:space="0" w:color="auto"/>
          </w:divBdr>
          <w:divsChild>
            <w:div w:id="215627686">
              <w:marLeft w:val="0"/>
              <w:marRight w:val="0"/>
              <w:marTop w:val="0"/>
              <w:marBottom w:val="0"/>
              <w:divBdr>
                <w:top w:val="none" w:sz="0" w:space="0" w:color="auto"/>
                <w:left w:val="none" w:sz="0" w:space="0" w:color="auto"/>
                <w:bottom w:val="none" w:sz="0" w:space="0" w:color="auto"/>
                <w:right w:val="none" w:sz="0" w:space="0" w:color="auto"/>
              </w:divBdr>
              <w:divsChild>
                <w:div w:id="89443562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5022081">
      <w:bodyDiv w:val="1"/>
      <w:marLeft w:val="0"/>
      <w:marRight w:val="0"/>
      <w:marTop w:val="0"/>
      <w:marBottom w:val="0"/>
      <w:divBdr>
        <w:top w:val="none" w:sz="0" w:space="0" w:color="auto"/>
        <w:left w:val="none" w:sz="0" w:space="0" w:color="auto"/>
        <w:bottom w:val="none" w:sz="0" w:space="0" w:color="auto"/>
        <w:right w:val="none" w:sz="0" w:space="0" w:color="auto"/>
      </w:divBdr>
      <w:divsChild>
        <w:div w:id="428820646">
          <w:marLeft w:val="0"/>
          <w:marRight w:val="0"/>
          <w:marTop w:val="0"/>
          <w:marBottom w:val="0"/>
          <w:divBdr>
            <w:top w:val="none" w:sz="0" w:space="0" w:color="auto"/>
            <w:left w:val="none" w:sz="0" w:space="0" w:color="auto"/>
            <w:bottom w:val="none" w:sz="0" w:space="0" w:color="auto"/>
            <w:right w:val="none" w:sz="0" w:space="0" w:color="auto"/>
          </w:divBdr>
          <w:divsChild>
            <w:div w:id="2036883677">
              <w:marLeft w:val="0"/>
              <w:marRight w:val="0"/>
              <w:marTop w:val="0"/>
              <w:marBottom w:val="0"/>
              <w:divBdr>
                <w:top w:val="none" w:sz="0" w:space="0" w:color="auto"/>
                <w:left w:val="none" w:sz="0" w:space="0" w:color="auto"/>
                <w:bottom w:val="none" w:sz="0" w:space="0" w:color="auto"/>
                <w:right w:val="none" w:sz="0" w:space="0" w:color="auto"/>
              </w:divBdr>
              <w:divsChild>
                <w:div w:id="10713451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4259157">
      <w:bodyDiv w:val="1"/>
      <w:marLeft w:val="0"/>
      <w:marRight w:val="0"/>
      <w:marTop w:val="0"/>
      <w:marBottom w:val="0"/>
      <w:divBdr>
        <w:top w:val="none" w:sz="0" w:space="0" w:color="auto"/>
        <w:left w:val="none" w:sz="0" w:space="0" w:color="auto"/>
        <w:bottom w:val="none" w:sz="0" w:space="0" w:color="auto"/>
        <w:right w:val="none" w:sz="0" w:space="0" w:color="auto"/>
      </w:divBdr>
      <w:divsChild>
        <w:div w:id="397167880">
          <w:marLeft w:val="0"/>
          <w:marRight w:val="0"/>
          <w:marTop w:val="0"/>
          <w:marBottom w:val="0"/>
          <w:divBdr>
            <w:top w:val="none" w:sz="0" w:space="0" w:color="auto"/>
            <w:left w:val="none" w:sz="0" w:space="0" w:color="auto"/>
            <w:bottom w:val="none" w:sz="0" w:space="0" w:color="auto"/>
            <w:right w:val="none" w:sz="0" w:space="0" w:color="auto"/>
          </w:divBdr>
          <w:divsChild>
            <w:div w:id="1886141281">
              <w:marLeft w:val="0"/>
              <w:marRight w:val="0"/>
              <w:marTop w:val="0"/>
              <w:marBottom w:val="0"/>
              <w:divBdr>
                <w:top w:val="none" w:sz="0" w:space="0" w:color="auto"/>
                <w:left w:val="none" w:sz="0" w:space="0" w:color="auto"/>
                <w:bottom w:val="none" w:sz="0" w:space="0" w:color="auto"/>
                <w:right w:val="none" w:sz="0" w:space="0" w:color="auto"/>
              </w:divBdr>
              <w:divsChild>
                <w:div w:id="79410077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0756880">
      <w:bodyDiv w:val="1"/>
      <w:marLeft w:val="0"/>
      <w:marRight w:val="0"/>
      <w:marTop w:val="0"/>
      <w:marBottom w:val="0"/>
      <w:divBdr>
        <w:top w:val="none" w:sz="0" w:space="0" w:color="auto"/>
        <w:left w:val="none" w:sz="0" w:space="0" w:color="auto"/>
        <w:bottom w:val="none" w:sz="0" w:space="0" w:color="auto"/>
        <w:right w:val="none" w:sz="0" w:space="0" w:color="auto"/>
      </w:divBdr>
      <w:divsChild>
        <w:div w:id="1505054160">
          <w:marLeft w:val="480"/>
          <w:marRight w:val="0"/>
          <w:marTop w:val="0"/>
          <w:marBottom w:val="0"/>
          <w:divBdr>
            <w:top w:val="none" w:sz="0" w:space="0" w:color="auto"/>
            <w:left w:val="none" w:sz="0" w:space="0" w:color="auto"/>
            <w:bottom w:val="none" w:sz="0" w:space="0" w:color="auto"/>
            <w:right w:val="none" w:sz="0" w:space="0" w:color="auto"/>
          </w:divBdr>
          <w:divsChild>
            <w:div w:id="15525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5460">
      <w:bodyDiv w:val="1"/>
      <w:marLeft w:val="0"/>
      <w:marRight w:val="0"/>
      <w:marTop w:val="0"/>
      <w:marBottom w:val="0"/>
      <w:divBdr>
        <w:top w:val="none" w:sz="0" w:space="0" w:color="auto"/>
        <w:left w:val="none" w:sz="0" w:space="0" w:color="auto"/>
        <w:bottom w:val="none" w:sz="0" w:space="0" w:color="auto"/>
        <w:right w:val="none" w:sz="0" w:space="0" w:color="auto"/>
      </w:divBdr>
      <w:divsChild>
        <w:div w:id="1355616599">
          <w:marLeft w:val="0"/>
          <w:marRight w:val="0"/>
          <w:marTop w:val="0"/>
          <w:marBottom w:val="0"/>
          <w:divBdr>
            <w:top w:val="none" w:sz="0" w:space="0" w:color="auto"/>
            <w:left w:val="none" w:sz="0" w:space="0" w:color="auto"/>
            <w:bottom w:val="none" w:sz="0" w:space="0" w:color="auto"/>
            <w:right w:val="none" w:sz="0" w:space="0" w:color="auto"/>
          </w:divBdr>
          <w:divsChild>
            <w:div w:id="1206791166">
              <w:marLeft w:val="0"/>
              <w:marRight w:val="0"/>
              <w:marTop w:val="0"/>
              <w:marBottom w:val="0"/>
              <w:divBdr>
                <w:top w:val="none" w:sz="0" w:space="0" w:color="auto"/>
                <w:left w:val="none" w:sz="0" w:space="0" w:color="auto"/>
                <w:bottom w:val="none" w:sz="0" w:space="0" w:color="auto"/>
                <w:right w:val="none" w:sz="0" w:space="0" w:color="auto"/>
              </w:divBdr>
              <w:divsChild>
                <w:div w:id="1756590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3452274">
      <w:bodyDiv w:val="1"/>
      <w:marLeft w:val="0"/>
      <w:marRight w:val="0"/>
      <w:marTop w:val="0"/>
      <w:marBottom w:val="0"/>
      <w:divBdr>
        <w:top w:val="none" w:sz="0" w:space="0" w:color="auto"/>
        <w:left w:val="none" w:sz="0" w:space="0" w:color="auto"/>
        <w:bottom w:val="none" w:sz="0" w:space="0" w:color="auto"/>
        <w:right w:val="none" w:sz="0" w:space="0" w:color="auto"/>
      </w:divBdr>
      <w:divsChild>
        <w:div w:id="322703804">
          <w:marLeft w:val="0"/>
          <w:marRight w:val="0"/>
          <w:marTop w:val="0"/>
          <w:marBottom w:val="0"/>
          <w:divBdr>
            <w:top w:val="none" w:sz="0" w:space="0" w:color="auto"/>
            <w:left w:val="none" w:sz="0" w:space="0" w:color="auto"/>
            <w:bottom w:val="none" w:sz="0" w:space="0" w:color="auto"/>
            <w:right w:val="none" w:sz="0" w:space="0" w:color="auto"/>
          </w:divBdr>
          <w:divsChild>
            <w:div w:id="397753582">
              <w:marLeft w:val="0"/>
              <w:marRight w:val="0"/>
              <w:marTop w:val="0"/>
              <w:marBottom w:val="0"/>
              <w:divBdr>
                <w:top w:val="none" w:sz="0" w:space="0" w:color="auto"/>
                <w:left w:val="none" w:sz="0" w:space="0" w:color="auto"/>
                <w:bottom w:val="none" w:sz="0" w:space="0" w:color="auto"/>
                <w:right w:val="none" w:sz="0" w:space="0" w:color="auto"/>
              </w:divBdr>
              <w:divsChild>
                <w:div w:id="10314162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735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31547B7B-EBA9-46DD-BA1F-9278534A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137</TotalTime>
  <Pages>7</Pages>
  <Words>3923</Words>
  <Characters>22367</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IAEA</vt:lpstr>
      <vt:lpstr>IAEA</vt:lpstr>
    </vt:vector>
  </TitlesOfParts>
  <Company>IAEA</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Guido Carlo Masotti</cp:lastModifiedBy>
  <cp:revision>30</cp:revision>
  <cp:lastPrinted>2024-03-19T13:52:00Z</cp:lastPrinted>
  <dcterms:created xsi:type="dcterms:W3CDTF">2024-05-28T12:56:00Z</dcterms:created>
  <dcterms:modified xsi:type="dcterms:W3CDTF">2024-06-12T10:27:00Z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2d26f538-337a-4593-a7e6-123667b1a538_Enabled">
    <vt:lpwstr>true</vt:lpwstr>
  </property>
  <property fmtid="{D5CDD505-2E9C-101B-9397-08002B2CF9AE}" pid="12" name="MSIP_Label_2d26f538-337a-4593-a7e6-123667b1a538_SetDate">
    <vt:lpwstr>2024-05-27T13:50:24Z</vt:lpwstr>
  </property>
  <property fmtid="{D5CDD505-2E9C-101B-9397-08002B2CF9AE}" pid="13" name="MSIP_Label_2d26f538-337a-4593-a7e6-123667b1a538_Method">
    <vt:lpwstr>Standard</vt:lpwstr>
  </property>
  <property fmtid="{D5CDD505-2E9C-101B-9397-08002B2CF9AE}" pid="14" name="MSIP_Label_2d26f538-337a-4593-a7e6-123667b1a538_Name">
    <vt:lpwstr>C1 Interne</vt:lpwstr>
  </property>
  <property fmtid="{D5CDD505-2E9C-101B-9397-08002B2CF9AE}" pid="15" name="MSIP_Label_2d26f538-337a-4593-a7e6-123667b1a538_SiteId">
    <vt:lpwstr>e242425b-70fc-44dc-9ddf-c21e304e6c80</vt:lpwstr>
  </property>
  <property fmtid="{D5CDD505-2E9C-101B-9397-08002B2CF9AE}" pid="16" name="MSIP_Label_2d26f538-337a-4593-a7e6-123667b1a538_ActionId">
    <vt:lpwstr>1aed1b85-3e98-4c37-b834-b4a00e526a46</vt:lpwstr>
  </property>
  <property fmtid="{D5CDD505-2E9C-101B-9397-08002B2CF9AE}" pid="17" name="MSIP_Label_2d26f538-337a-4593-a7e6-123667b1a538_ContentBits">
    <vt:lpwstr>0</vt:lpwstr>
  </property>
</Properties>
</file>