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F999E" w14:textId="536BEDA6" w:rsidR="00B82FA5" w:rsidRPr="00704810" w:rsidRDefault="00C65055" w:rsidP="00537496">
      <w:pPr>
        <w:pStyle w:val="1"/>
        <w:rPr>
          <w:rFonts w:hint="eastAsia"/>
        </w:rPr>
      </w:pPr>
      <w:r w:rsidRPr="00704810">
        <w:t xml:space="preserve">Global Coal Plant Potential for </w:t>
      </w:r>
      <w:r w:rsidR="009D0531">
        <w:t xml:space="preserve">Coal-to-smr </w:t>
      </w:r>
      <w:r w:rsidR="0085033A">
        <w:t xml:space="preserve">transition: </w:t>
      </w:r>
      <w:r w:rsidR="00600E70">
        <w:t xml:space="preserve">focusing on </w:t>
      </w:r>
      <w:r w:rsidR="009D0531">
        <w:t>i-smr</w:t>
      </w:r>
      <w:r w:rsidR="006A789F">
        <w:t xml:space="preserve"> as </w:t>
      </w:r>
      <w:r w:rsidR="00600E70">
        <w:t xml:space="preserve">a representation of </w:t>
      </w:r>
      <w:r w:rsidR="001F4C8E">
        <w:t xml:space="preserve">the </w:t>
      </w:r>
      <w:r w:rsidR="00600E70">
        <w:t>technology</w:t>
      </w:r>
    </w:p>
    <w:p w14:paraId="4D1B799F" w14:textId="77777777" w:rsidR="00802381" w:rsidRPr="00704810" w:rsidRDefault="00802381" w:rsidP="00537496">
      <w:pPr>
        <w:pStyle w:val="Authornameandaffiliation"/>
      </w:pPr>
    </w:p>
    <w:p w14:paraId="32159D0F" w14:textId="0139269E" w:rsidR="003B5E0E" w:rsidRPr="00704810" w:rsidRDefault="00C65055" w:rsidP="00537496">
      <w:pPr>
        <w:pStyle w:val="Authornameandaffiliation"/>
      </w:pPr>
      <w:r w:rsidRPr="00704810">
        <w:rPr>
          <w:rFonts w:hint="eastAsia"/>
          <w:lang w:eastAsia="ko-KR"/>
        </w:rPr>
        <w:t>J</w:t>
      </w:r>
      <w:r w:rsidRPr="00704810">
        <w:rPr>
          <w:lang w:eastAsia="ko-KR"/>
        </w:rPr>
        <w:t>aejeong Shin</w:t>
      </w:r>
    </w:p>
    <w:p w14:paraId="02370931" w14:textId="0D8F1655" w:rsidR="00FF386F" w:rsidRPr="00704810" w:rsidRDefault="00C65055" w:rsidP="00537496">
      <w:pPr>
        <w:pStyle w:val="Authornameandaffiliation"/>
      </w:pPr>
      <w:r w:rsidRPr="00704810">
        <w:t>Korea Energy Economics Institute</w:t>
      </w:r>
    </w:p>
    <w:p w14:paraId="14684DE2" w14:textId="4220B4A0" w:rsidR="00FF386F" w:rsidRPr="00704810" w:rsidRDefault="00C65055" w:rsidP="00537496">
      <w:pPr>
        <w:pStyle w:val="Authornameandaffiliation"/>
      </w:pPr>
      <w:r w:rsidRPr="00704810">
        <w:t>Ulsan, Republic of Korea</w:t>
      </w:r>
    </w:p>
    <w:p w14:paraId="0080899C" w14:textId="040B9343" w:rsidR="00FF386F" w:rsidRPr="00704810" w:rsidRDefault="00FF386F" w:rsidP="00537496">
      <w:pPr>
        <w:pStyle w:val="Authornameandaffiliation"/>
        <w:rPr>
          <w:lang w:eastAsia="ko-KR"/>
        </w:rPr>
      </w:pPr>
      <w:r w:rsidRPr="00704810">
        <w:t xml:space="preserve">Email: </w:t>
      </w:r>
      <w:r w:rsidR="00C65055" w:rsidRPr="00704810">
        <w:t>jjshin@keei.re.kr</w:t>
      </w:r>
    </w:p>
    <w:p w14:paraId="5E2BDA1F" w14:textId="77777777" w:rsidR="00FF386F" w:rsidRPr="00704810" w:rsidRDefault="00FF386F" w:rsidP="00537496">
      <w:pPr>
        <w:pStyle w:val="Authornameandaffiliation"/>
      </w:pPr>
    </w:p>
    <w:p w14:paraId="535BB6CC" w14:textId="383DB7A3" w:rsidR="00FF386F" w:rsidRPr="00704810" w:rsidRDefault="00C65055" w:rsidP="00537496">
      <w:pPr>
        <w:pStyle w:val="Authornameandaffiliation"/>
      </w:pPr>
      <w:r w:rsidRPr="00704810">
        <w:t>Sunjin Kim</w:t>
      </w:r>
    </w:p>
    <w:p w14:paraId="0C2254C8" w14:textId="77777777" w:rsidR="00C65055" w:rsidRPr="00704810" w:rsidRDefault="00C65055" w:rsidP="00C65055">
      <w:pPr>
        <w:pStyle w:val="Authornameandaffiliation"/>
      </w:pPr>
      <w:r w:rsidRPr="00704810">
        <w:t>Korea Energy Economics Institute</w:t>
      </w:r>
    </w:p>
    <w:p w14:paraId="5D980831" w14:textId="48573F0A" w:rsidR="00FF386F" w:rsidRPr="00704810" w:rsidRDefault="00C65055" w:rsidP="00537496">
      <w:pPr>
        <w:pStyle w:val="Authornameandaffiliation"/>
      </w:pPr>
      <w:r w:rsidRPr="00704810">
        <w:t>Ulsan, Republic of Korea</w:t>
      </w:r>
    </w:p>
    <w:p w14:paraId="2C7F19CB" w14:textId="77777777" w:rsidR="00FF386F" w:rsidRPr="00704810" w:rsidRDefault="00FF386F" w:rsidP="00537496">
      <w:pPr>
        <w:pStyle w:val="Authornameandaffiliation"/>
      </w:pPr>
    </w:p>
    <w:p w14:paraId="230D4575" w14:textId="77777777" w:rsidR="00647F33" w:rsidRPr="00704810" w:rsidRDefault="00647F33" w:rsidP="00537496">
      <w:pPr>
        <w:pStyle w:val="Authornameandaffiliation"/>
        <w:rPr>
          <w:b/>
        </w:rPr>
      </w:pPr>
      <w:r w:rsidRPr="00704810">
        <w:rPr>
          <w:b/>
        </w:rPr>
        <w:t>Abstract</w:t>
      </w:r>
    </w:p>
    <w:p w14:paraId="4F2E62A2" w14:textId="77777777" w:rsidR="00647F33" w:rsidRPr="00704810" w:rsidRDefault="00647F33" w:rsidP="00537496">
      <w:pPr>
        <w:pStyle w:val="Authornameandaffiliation"/>
      </w:pPr>
    </w:p>
    <w:p w14:paraId="1B6B8C4B" w14:textId="7FA6628D" w:rsidR="00C65055" w:rsidRPr="00704810" w:rsidRDefault="00C65055" w:rsidP="00537496">
      <w:pPr>
        <w:pStyle w:val="Abstracttext"/>
      </w:pPr>
      <w:bookmarkStart w:id="0" w:name="_Hlk176436339"/>
      <w:r w:rsidRPr="00704810">
        <w:t xml:space="preserve">The global goal of achieving carbon neutrality by 2050 has led to a push for carbon-free energy sources to replace fossil fuels. </w:t>
      </w:r>
      <w:r w:rsidR="0069077B" w:rsidRPr="00704810">
        <w:t>Small Modular Reactors</w:t>
      </w:r>
      <w:r w:rsidRPr="00704810">
        <w:t xml:space="preserve"> (SMRs) have the potential to support this energy transition by repurposing retired coal plants.</w:t>
      </w:r>
      <w:bookmarkEnd w:id="0"/>
      <w:r w:rsidRPr="00704810">
        <w:t xml:space="preserve"> This study identifies the size of coal plants in 5</w:t>
      </w:r>
      <w:r w:rsidR="00AF413E">
        <w:t>3</w:t>
      </w:r>
      <w:r w:rsidRPr="00704810">
        <w:t xml:space="preserve"> countries where replacement with an </w:t>
      </w:r>
      <w:r w:rsidR="00811AF2">
        <w:t>i-</w:t>
      </w:r>
      <w:r w:rsidRPr="00704810">
        <w:t xml:space="preserve">SMR is suitable in terms of site-screening criteria. Using population density, capable faults, floodplains, and peak ground acceleration as siting criteria, we find that 108 GW could be considered for SMR siting, out of the 899 GW of coal plants retiring (or retired) between 2021 and 2050. The U.S. has 62.4 GW of coal plants available for SMR siting, which is sufficient to cover its nuclear capacity requirements of the IEA's 2050 net-zero scenario (NZE), 13.8 GW. In China, 2.5 GW of coal plants could be suitable for SMR siting, which is less than its nuclear capacity requirements of NZE, 110.6 GW. </w:t>
      </w:r>
    </w:p>
    <w:p w14:paraId="03C6D75B" w14:textId="77777777" w:rsidR="00647F33" w:rsidRPr="00704810" w:rsidRDefault="00F523CA" w:rsidP="00537496">
      <w:pPr>
        <w:pStyle w:val="2"/>
        <w:numPr>
          <w:ilvl w:val="1"/>
          <w:numId w:val="10"/>
        </w:numPr>
      </w:pPr>
      <w:r w:rsidRPr="00704810">
        <w:t>INTRODUCTION</w:t>
      </w:r>
    </w:p>
    <w:p w14:paraId="20AFEF73" w14:textId="1B75D71D" w:rsidR="006E27B5" w:rsidRPr="000C5DDA" w:rsidRDefault="00603834" w:rsidP="006E27B5">
      <w:pPr>
        <w:pStyle w:val="a1"/>
      </w:pPr>
      <w:r w:rsidRPr="00603834">
        <w:t>The global goal of achieving carbon neutrality by 2050 has led to a push for carbon-free energy sources to replace fossil fuels. Small Modular Reactors (SMRs) have the potential to support this energy transition by repurposing retired coal plants</w:t>
      </w:r>
      <w:r w:rsidR="00786EB7">
        <w:t xml:space="preserve"> </w:t>
      </w:r>
      <w:r w:rsidR="00786EB7" w:rsidRPr="00603834">
        <w:t>due to the fact that th</w:t>
      </w:r>
      <w:r w:rsidR="00786EB7">
        <w:t>ose</w:t>
      </w:r>
      <w:r w:rsidR="00786EB7" w:rsidRPr="00603834">
        <w:t xml:space="preserve"> two types of </w:t>
      </w:r>
      <w:r w:rsidR="00786EB7">
        <w:t>power plants</w:t>
      </w:r>
      <w:r w:rsidR="00786EB7" w:rsidRPr="00603834">
        <w:t xml:space="preserve"> have almost identical siting requirements.</w:t>
      </w:r>
      <w:r w:rsidR="00786EB7">
        <w:rPr>
          <w:rFonts w:hint="eastAsia"/>
          <w:lang w:eastAsia="ko-KR"/>
        </w:rPr>
        <w:t xml:space="preserve"> </w:t>
      </w:r>
      <w:r w:rsidRPr="00603834">
        <w:t>As the majority of SMRs are still in the developmental phase</w:t>
      </w:r>
      <w:r w:rsidR="00B03F64">
        <w:t xml:space="preserve"> and a few of SMR</w:t>
      </w:r>
      <w:r w:rsidR="00B21E1E">
        <w:t xml:space="preserve"> vendor</w:t>
      </w:r>
      <w:r w:rsidR="00F4414B">
        <w:t xml:space="preserve">s </w:t>
      </w:r>
      <w:r w:rsidR="007569D7">
        <w:t>are beginning</w:t>
      </w:r>
      <w:r w:rsidR="00F4414B">
        <w:t xml:space="preserve"> to construct</w:t>
      </w:r>
      <w:r w:rsidR="00B03F64">
        <w:t xml:space="preserve"> their </w:t>
      </w:r>
      <w:r w:rsidR="00E72216">
        <w:t>f</w:t>
      </w:r>
      <w:r w:rsidR="00B03F64">
        <w:t>irst-of-a-</w:t>
      </w:r>
      <w:r w:rsidR="00E72216">
        <w:t>k</w:t>
      </w:r>
      <w:r w:rsidR="00B03F64">
        <w:t>ind</w:t>
      </w:r>
      <w:r w:rsidR="00F4414B">
        <w:t xml:space="preserve"> SMR at the retired coal plants</w:t>
      </w:r>
      <w:r w:rsidRPr="00603834">
        <w:t xml:space="preserve">, it has been challenging to ascertain the extent of </w:t>
      </w:r>
      <w:r w:rsidR="00786EB7">
        <w:t xml:space="preserve">the Coal-to-SMR (C2S) </w:t>
      </w:r>
      <w:r w:rsidR="001F4C8E">
        <w:t>transition</w:t>
      </w:r>
      <w:r>
        <w:t>.</w:t>
      </w:r>
      <w:r w:rsidR="009D0531">
        <w:t xml:space="preserve"> In particular, </w:t>
      </w:r>
      <w:r w:rsidR="006E27B5">
        <w:t>there has been no</w:t>
      </w:r>
      <w:r w:rsidR="009D0531">
        <w:t xml:space="preserve"> </w:t>
      </w:r>
      <w:r w:rsidR="001F4C8E">
        <w:t xml:space="preserve">comprehensive </w:t>
      </w:r>
      <w:r w:rsidR="009D0531">
        <w:t>global</w:t>
      </w:r>
      <w:r w:rsidR="001F4C8E">
        <w:t xml:space="preserve"> study</w:t>
      </w:r>
      <w:r w:rsidR="006E27B5">
        <w:t xml:space="preserve"> </w:t>
      </w:r>
      <w:r w:rsidR="00786EB7" w:rsidRPr="00603834">
        <w:t>to quantify the</w:t>
      </w:r>
      <w:r w:rsidR="006E27B5">
        <w:t xml:space="preserve"> coal plant</w:t>
      </w:r>
      <w:r w:rsidR="00786EB7" w:rsidRPr="00603834">
        <w:t xml:space="preserve"> resources that can be converted </w:t>
      </w:r>
      <w:r w:rsidR="006E27B5">
        <w:t xml:space="preserve">to SMRs, </w:t>
      </w:r>
      <w:r w:rsidR="00786EB7" w:rsidRPr="00603834">
        <w:t xml:space="preserve">in order to </w:t>
      </w:r>
      <w:r w:rsidR="006E27B5">
        <w:t>assess the</w:t>
      </w:r>
      <w:r w:rsidR="006E27B5" w:rsidRPr="00603834">
        <w:t xml:space="preserve"> </w:t>
      </w:r>
      <w:r w:rsidR="006E27B5">
        <w:t>contribution of such C2S approach on global energy transition.</w:t>
      </w:r>
    </w:p>
    <w:p w14:paraId="731BCF2B" w14:textId="74050FB7" w:rsidR="006E27B5" w:rsidRDefault="00C65055" w:rsidP="006E27B5">
      <w:pPr>
        <w:pStyle w:val="a1"/>
      </w:pPr>
      <w:r w:rsidRPr="00704810">
        <w:t xml:space="preserve">In this study, </w:t>
      </w:r>
      <w:r w:rsidR="009D0531">
        <w:t>w</w:t>
      </w:r>
      <w:r w:rsidRPr="00704810">
        <w:t xml:space="preserve">e estimate how many </w:t>
      </w:r>
      <w:r w:rsidR="007A45DA" w:rsidRPr="00704810">
        <w:t>retiring</w:t>
      </w:r>
      <w:r w:rsidRPr="00704810">
        <w:t xml:space="preserve"> coal plants</w:t>
      </w:r>
      <w:r w:rsidR="009D0531">
        <w:t xml:space="preserve"> in the world</w:t>
      </w:r>
      <w:r w:rsidRPr="00704810">
        <w:t xml:space="preserve"> can be </w:t>
      </w:r>
      <w:r w:rsidR="009D0531">
        <w:t xml:space="preserve">considered suitable </w:t>
      </w:r>
      <w:r w:rsidRPr="00704810">
        <w:t>repurpo</w:t>
      </w:r>
      <w:r w:rsidR="009D0531">
        <w:t>sing</w:t>
      </w:r>
      <w:r w:rsidRPr="00704810">
        <w:t xml:space="preserve"> for SMR deployment.</w:t>
      </w:r>
      <w:r w:rsidR="009D0531">
        <w:t xml:space="preserve"> </w:t>
      </w:r>
      <w:r w:rsidR="009D0531" w:rsidRPr="00704810">
        <w:t>This study</w:t>
      </w:r>
      <w:r w:rsidR="006E27B5">
        <w:t xml:space="preserve"> is interested in i-SMR</w:t>
      </w:r>
      <w:r w:rsidR="009D0531" w:rsidRPr="00704810">
        <w:t xml:space="preserve"> </w:t>
      </w:r>
      <w:r w:rsidR="006E27B5">
        <w:t xml:space="preserve">and </w:t>
      </w:r>
      <w:r w:rsidR="009D0531" w:rsidRPr="00704810">
        <w:t>identifies the size of coal plants in 5</w:t>
      </w:r>
      <w:r w:rsidR="009D0531">
        <w:t>3</w:t>
      </w:r>
      <w:r w:rsidR="009D0531" w:rsidRPr="00704810">
        <w:t xml:space="preserve"> countries where replacement with an </w:t>
      </w:r>
      <w:r w:rsidR="009D0531">
        <w:t>i-</w:t>
      </w:r>
      <w:r w:rsidR="009D0531" w:rsidRPr="00704810">
        <w:t>SMR is suitable in terms of site-screening criteria</w:t>
      </w:r>
      <w:r w:rsidR="006E27B5">
        <w:t xml:space="preserve"> regarding </w:t>
      </w:r>
      <w:r w:rsidR="009D0531" w:rsidRPr="00704810">
        <w:t xml:space="preserve">population density, capable faults, floodplains, and </w:t>
      </w:r>
      <w:r w:rsidR="006E27B5">
        <w:t xml:space="preserve">safe shutdown earthquake. We believe that this study can provide </w:t>
      </w:r>
      <w:r w:rsidR="006E27B5" w:rsidRPr="00603834">
        <w:t xml:space="preserve">the </w:t>
      </w:r>
      <w:r w:rsidR="006E27B5">
        <w:t xml:space="preserve">insights </w:t>
      </w:r>
      <w:r w:rsidR="004B238D">
        <w:t>related to</w:t>
      </w:r>
      <w:r w:rsidR="006E27B5">
        <w:t xml:space="preserve"> the feasibility of C2S and</w:t>
      </w:r>
      <w:r w:rsidR="006E27B5" w:rsidRPr="00603834">
        <w:t xml:space="preserve"> </w:t>
      </w:r>
      <w:r w:rsidR="006E27B5">
        <w:t>eventually the</w:t>
      </w:r>
      <w:r w:rsidR="006E27B5" w:rsidRPr="00603834">
        <w:t xml:space="preserve"> </w:t>
      </w:r>
      <w:r w:rsidR="006E27B5">
        <w:t>deployment</w:t>
      </w:r>
      <w:r w:rsidR="006E27B5" w:rsidRPr="00603834">
        <w:t xml:space="preserve"> strategies </w:t>
      </w:r>
      <w:r w:rsidR="006E27B5">
        <w:t xml:space="preserve">in the repurposing approach </w:t>
      </w:r>
      <w:r w:rsidR="006E27B5" w:rsidRPr="00603834">
        <w:t xml:space="preserve">for </w:t>
      </w:r>
      <w:r w:rsidR="006E27B5">
        <w:t>SMRs.</w:t>
      </w:r>
    </w:p>
    <w:p w14:paraId="38C1A67A" w14:textId="0CE7A1AE" w:rsidR="00C65055" w:rsidRPr="00704810" w:rsidRDefault="00C65055" w:rsidP="00537496">
      <w:pPr>
        <w:pStyle w:val="a1"/>
      </w:pPr>
    </w:p>
    <w:p w14:paraId="74CD1556" w14:textId="03158BF4" w:rsidR="00E25B68" w:rsidRPr="00704810" w:rsidRDefault="00C65055" w:rsidP="0026525A">
      <w:pPr>
        <w:pStyle w:val="2"/>
        <w:numPr>
          <w:ilvl w:val="1"/>
          <w:numId w:val="10"/>
        </w:numPr>
      </w:pPr>
      <w:r w:rsidRPr="00704810">
        <w:t xml:space="preserve">Discussion of Repurposing </w:t>
      </w:r>
      <w:r w:rsidR="00D46E78" w:rsidRPr="00704810">
        <w:t>retiring coal plants</w:t>
      </w:r>
    </w:p>
    <w:p w14:paraId="0EE73FF2" w14:textId="4BA3FE8C" w:rsidR="00D46E78" w:rsidRPr="00704810" w:rsidRDefault="00D46E78" w:rsidP="00D46E78">
      <w:pPr>
        <w:pStyle w:val="a1"/>
      </w:pPr>
      <w:r w:rsidRPr="00704810">
        <w:t>SMRs present a significant advantage by repurposing existing coal-fired power plants, which are becoming stranded assets, and replacing coal-based power with carbon-free sources, thereby facilitating the energy transition. Leveraging this strength, SMR suppliers are conducting demonstration projects of their reactor designs on retiring coal plants. In November 2021, TerraPower announced plans to build a demonstration plant for its sodium-cooled fast reactor, Natrium (345-500 MW), on the coal plant owned by PacifiCorp in Kemmerer, Wyoming.</w:t>
      </w:r>
    </w:p>
    <w:p w14:paraId="588CE5B4" w14:textId="178EB79A" w:rsidR="00D46E78" w:rsidRPr="00704810" w:rsidRDefault="00D46E78" w:rsidP="00D46E78">
      <w:pPr>
        <w:pStyle w:val="a1"/>
      </w:pPr>
      <w:r w:rsidRPr="00704810">
        <w:t xml:space="preserve">In parallel with these projects, academic research on SMR deployment continues. DOE </w:t>
      </w:r>
      <w:r w:rsidR="0042604E" w:rsidRPr="00704810">
        <w:t>(</w:t>
      </w:r>
      <w:r w:rsidRPr="00704810">
        <w:t>2022) assessed the feasibility of replacing operating or decommissioned coal-fired power plants in the U.S. with SMRs. Using the OR-SAGE model, DOE (2022) set the requirements and criteria for siting SMRs on coal plants and collected related geographic information system (GIS) data to comprehensively evaluate if the criteria were met. The study found that approximately 80% (263 GW of capacity) of the 370 coal plants</w:t>
      </w:r>
      <w:r w:rsidR="004B238D">
        <w:t xml:space="preserve"> </w:t>
      </w:r>
      <w:r w:rsidRPr="00704810">
        <w:t xml:space="preserve">were suitable for conversion to SMRs. </w:t>
      </w:r>
      <w:r w:rsidRPr="00704810">
        <w:lastRenderedPageBreak/>
        <w:t>Belles et al. (2021) employed a similar methodology to evaluate the potential for replacing coal-fired power plants owned by the Tennessee Valley Authority (TVA) with SMRs.</w:t>
      </w:r>
    </w:p>
    <w:p w14:paraId="2191A402" w14:textId="62AEB879" w:rsidR="00EE0041" w:rsidRPr="00704810" w:rsidRDefault="00583BCA" w:rsidP="00583BCA">
      <w:pPr>
        <w:pStyle w:val="2"/>
        <w:numPr>
          <w:ilvl w:val="1"/>
          <w:numId w:val="10"/>
        </w:numPr>
      </w:pPr>
      <w:r w:rsidRPr="00704810">
        <w:t>Input data and method</w:t>
      </w:r>
    </w:p>
    <w:p w14:paraId="6B4DB000" w14:textId="0247EEBA" w:rsidR="008B6BB9" w:rsidRPr="00704810" w:rsidRDefault="00CE2549" w:rsidP="00CF55BF">
      <w:pPr>
        <w:pStyle w:val="3"/>
      </w:pPr>
      <w:r w:rsidRPr="00704810">
        <w:t>Siting Criteria</w:t>
      </w:r>
    </w:p>
    <w:p w14:paraId="5CBF9C3B" w14:textId="258C4E09" w:rsidR="00583BCA" w:rsidRPr="00704810" w:rsidRDefault="00583BCA" w:rsidP="002A3502">
      <w:pPr>
        <w:pStyle w:val="a1"/>
      </w:pPr>
      <w:r w:rsidRPr="00704810">
        <w:t xml:space="preserve">This study adopts some of the siting requirements presented by EPRI (2022) to examine the feasibility of </w:t>
      </w:r>
      <w:r w:rsidR="00CE2549" w:rsidRPr="00704810">
        <w:t>SMR siting</w:t>
      </w:r>
      <w:r w:rsidRPr="00704810">
        <w:t xml:space="preserve"> on coal-fired power plant. EPRI (2022) provides guidelines on the decision-making process, siting requirements that comply with the Code of Federal Regulations and NRC regulations (10 CFR Part 100 and Regulatory Guide 4.7), and methods for evaluating each requirement when selecting sites for large nuclear and SMR facilities from the perspective of power companies. EPRI (2022) outlines 42 siting requirements categorized into four major groups: Health and Safety Criteria, Ecological Criteria, Socioeconomic Criteria, and Engineering and Cost-Related Criteria. </w:t>
      </w:r>
    </w:p>
    <w:p w14:paraId="5682FC1C" w14:textId="05C387F6" w:rsidR="00583BCA" w:rsidRPr="00704810" w:rsidRDefault="00583BCA" w:rsidP="002A3502">
      <w:pPr>
        <w:pStyle w:val="a1"/>
      </w:pPr>
      <w:r w:rsidRPr="00704810">
        <w:t xml:space="preserve">For this study, four siting requirements are selected for the </w:t>
      </w:r>
      <w:r w:rsidR="00CF55BF" w:rsidRPr="00704810">
        <w:t>SMR siting</w:t>
      </w:r>
      <w:r w:rsidRPr="00704810">
        <w:t xml:space="preserve"> analysis: the proximity to </w:t>
      </w:r>
      <w:r w:rsidR="00CF55BF" w:rsidRPr="00704810">
        <w:t>capable</w:t>
      </w:r>
      <w:r w:rsidRPr="00704810">
        <w:t xml:space="preserve"> fault line</w:t>
      </w:r>
      <w:r w:rsidR="00CF55BF" w:rsidRPr="00704810">
        <w:t>s</w:t>
      </w:r>
      <w:r w:rsidRPr="00704810">
        <w:t xml:space="preserve">, the level of safe shutdown earthquake at the site, the population distribution around the site, and the presence of floodplains within the site. </w:t>
      </w:r>
      <w:r w:rsidR="00CF55BF" w:rsidRPr="00704810">
        <w:t>We assume that s</w:t>
      </w:r>
      <w:r w:rsidRPr="00704810">
        <w:t xml:space="preserve">ites </w:t>
      </w:r>
      <w:r w:rsidR="00CF55BF" w:rsidRPr="00704810">
        <w:t>should</w:t>
      </w:r>
      <w:r w:rsidRPr="00704810">
        <w:t xml:space="preserve"> meet all these criteria </w:t>
      </w:r>
      <w:r w:rsidR="00CF55BF" w:rsidRPr="00704810">
        <w:t xml:space="preserve">to be considered </w:t>
      </w:r>
      <w:r w:rsidRPr="00704810">
        <w:t xml:space="preserve">as suitable for SMR conversion. By employing </w:t>
      </w:r>
      <w:r w:rsidR="00CF55BF" w:rsidRPr="00704810">
        <w:t>such criteria</w:t>
      </w:r>
      <w:r w:rsidRPr="00704810">
        <w:t xml:space="preserve">, </w:t>
      </w:r>
      <w:r w:rsidR="00CF55BF" w:rsidRPr="00704810">
        <w:t>this</w:t>
      </w:r>
      <w:r w:rsidRPr="00704810">
        <w:t xml:space="preserve"> study aims to conservatively evaluate the suitability of </w:t>
      </w:r>
      <w:r w:rsidR="00CF55BF" w:rsidRPr="00704810">
        <w:t>retiring</w:t>
      </w:r>
      <w:r w:rsidRPr="00704810">
        <w:t xml:space="preserve"> coal-fired power plants for SMR conversion. The spatial analysis in this study is conducted using GeoPandas, a spatial analysis support library in Python.</w:t>
      </w:r>
    </w:p>
    <w:p w14:paraId="1E4DC530" w14:textId="51B86E10" w:rsidR="00CE2549" w:rsidRPr="00704810" w:rsidRDefault="00CE2549" w:rsidP="00CE2549">
      <w:pPr>
        <w:pStyle w:val="3"/>
      </w:pPr>
      <w:bookmarkStart w:id="1" w:name="_Hlk167991289"/>
      <w:r w:rsidRPr="00704810">
        <w:rPr>
          <w:lang w:eastAsia="ko-KR"/>
        </w:rPr>
        <w:t xml:space="preserve">Input Data </w:t>
      </w:r>
      <w:r w:rsidR="005A5F14">
        <w:rPr>
          <w:lang w:eastAsia="ko-KR"/>
        </w:rPr>
        <w:t>and Screening Method</w:t>
      </w:r>
    </w:p>
    <w:bookmarkEnd w:id="1"/>
    <w:p w14:paraId="1EBF07AF" w14:textId="298E2A93" w:rsidR="00583BCA" w:rsidRPr="00704810" w:rsidRDefault="00583BCA" w:rsidP="002A3502">
      <w:pPr>
        <w:pStyle w:val="a1"/>
      </w:pPr>
      <w:r w:rsidRPr="00704810">
        <w:t xml:space="preserve">This study utilizes data from the January 2023 Global Coal Plant Tracker (GCPT) for coal-fired power plants. GCPT tracks information on approximately 13,800 coal-fired power units across 107 countries biannually. The GCPT provides details such as capacity, commissioning year, </w:t>
      </w:r>
      <w:r w:rsidR="00CF55BF" w:rsidRPr="00704810">
        <w:t>(</w:t>
      </w:r>
      <w:r w:rsidRPr="00704810">
        <w:t>planned</w:t>
      </w:r>
      <w:r w:rsidR="00CF55BF" w:rsidRPr="00704810">
        <w:t>)</w:t>
      </w:r>
      <w:r w:rsidRPr="00704810">
        <w:t xml:space="preserve"> closure years at the unit level, and latitude and longitude at the plant level.</w:t>
      </w:r>
    </w:p>
    <w:p w14:paraId="274B7C95" w14:textId="2162F731" w:rsidR="00583BCA" w:rsidRDefault="00583BCA" w:rsidP="002A3502">
      <w:pPr>
        <w:pStyle w:val="a1"/>
      </w:pPr>
      <w:r w:rsidRPr="00704810">
        <w:t xml:space="preserve">The GCPT data </w:t>
      </w:r>
      <w:r w:rsidR="00CF55BF" w:rsidRPr="00704810">
        <w:t>are</w:t>
      </w:r>
      <w:r w:rsidRPr="00704810">
        <w:t xml:space="preserve"> pre</w:t>
      </w:r>
      <w:r w:rsidR="00CF55BF" w:rsidRPr="00704810">
        <w:t>-</w:t>
      </w:r>
      <w:r w:rsidRPr="00704810">
        <w:t xml:space="preserve">processed as follows for </w:t>
      </w:r>
      <w:r w:rsidR="002A3502">
        <w:t>this paper’s</w:t>
      </w:r>
      <w:r w:rsidRPr="00704810">
        <w:t xml:space="preserve"> purposes. First, the capacity of coal-fired power plants is calculated by summing only the capacity of units classified as "operating" or "retired," excluding</w:t>
      </w:r>
      <w:r w:rsidR="004B238D">
        <w:t xml:space="preserve"> </w:t>
      </w:r>
      <w:r w:rsidRPr="00704810">
        <w:t xml:space="preserve">"under construction" or "permitted." Second, the closure year for a coal-fired power plant is determined by the year the last unit at that site was closed. Third, sites with a capacity below 680 MW are excluded from the analysis, assuming they are unsuitable for </w:t>
      </w:r>
      <w:r w:rsidR="004B238D">
        <w:t>i-</w:t>
      </w:r>
      <w:r w:rsidRPr="00704810">
        <w:t>SM</w:t>
      </w:r>
      <w:r w:rsidR="004B238D">
        <w:t>R</w:t>
      </w:r>
      <w:r w:rsidR="00A07296">
        <w:t>.</w:t>
      </w:r>
      <w:r w:rsidRPr="00704810">
        <w:t xml:space="preserve"> According to the global market entry strategy for i-SMR, </w:t>
      </w:r>
      <w:r w:rsidR="00001F91" w:rsidRPr="00704810">
        <w:t>it</w:t>
      </w:r>
      <w:r w:rsidRPr="00704810">
        <w:t xml:space="preserve"> aims to enter the coal power replacement market with </w:t>
      </w:r>
      <w:r w:rsidR="00001F91" w:rsidRPr="00704810">
        <w:t>the standard</w:t>
      </w:r>
      <w:r w:rsidRPr="00704810">
        <w:t xml:space="preserve"> design that includes four modules within a single reactor</w:t>
      </w:r>
      <w:r w:rsidR="00001F91" w:rsidRPr="00704810">
        <w:t>, which implies the coal plant capacity for i-SMR replacement should not be too small</w:t>
      </w:r>
      <w:r w:rsidRPr="00704810">
        <w:t xml:space="preserve">. </w:t>
      </w:r>
      <w:r w:rsidR="00001F91" w:rsidRPr="00704810">
        <w:t>Based on this information</w:t>
      </w:r>
      <w:r w:rsidRPr="00704810">
        <w:t xml:space="preserve">, this study assumes </w:t>
      </w:r>
      <w:r w:rsidR="00001F91" w:rsidRPr="00704810">
        <w:t xml:space="preserve">680 MW is </w:t>
      </w:r>
      <w:r w:rsidRPr="00704810">
        <w:t>a minimum capacity</w:t>
      </w:r>
      <w:r w:rsidR="00001F91" w:rsidRPr="00704810">
        <w:t xml:space="preserve"> for feasible replacement</w:t>
      </w:r>
      <w:r w:rsidRPr="00704810">
        <w:t xml:space="preserve"> and only includes coal plant</w:t>
      </w:r>
      <w:r w:rsidR="00001F91" w:rsidRPr="00704810">
        <w:t xml:space="preserve">s </w:t>
      </w:r>
      <w:r w:rsidRPr="00704810">
        <w:t xml:space="preserve">meeting this threshold. </w:t>
      </w:r>
      <w:r w:rsidR="00E1723E" w:rsidRPr="00E1723E">
        <w:t>Fourth, the closure year for coal-fired units is derived from GCPT data. In the event of a data point being absent, an estimation is made by appending 30 years to the commissioning year, which is the typical lifespan of a coal-fired power plant.</w:t>
      </w:r>
      <w:r w:rsidRPr="00704810">
        <w:t xml:space="preserve"> Fifth, </w:t>
      </w:r>
      <w:r w:rsidR="00D20A8B">
        <w:t>i</w:t>
      </w:r>
      <w:r w:rsidR="00D20A8B" w:rsidRPr="00D20A8B">
        <w:t xml:space="preserve">t is also assumed that sites that have been closed for over a decade by 2030, </w:t>
      </w:r>
      <w:r w:rsidR="00D20A8B">
        <w:t xml:space="preserve">which is </w:t>
      </w:r>
      <w:r w:rsidR="00D20A8B" w:rsidRPr="00D20A8B">
        <w:t xml:space="preserve">the anticipated </w:t>
      </w:r>
      <w:r w:rsidR="00D20A8B">
        <w:t xml:space="preserve">year of </w:t>
      </w:r>
      <w:r w:rsidR="00D20A8B" w:rsidRPr="00D20A8B">
        <w:t>SMR commercialization, will have already been repurposed.</w:t>
      </w:r>
      <w:r w:rsidRPr="00704810">
        <w:t xml:space="preserve"> </w:t>
      </w:r>
      <w:r w:rsidR="00D20A8B">
        <w:t xml:space="preserve">In particular, the time window of coal plants’ retirement that we are interested in is between 2021 and 2050. </w:t>
      </w:r>
      <w:r w:rsidRPr="00704810">
        <w:t>Finally, coal plants in Germany (due to its nuclear phase-out</w:t>
      </w:r>
      <w:r w:rsidR="00CB41BA" w:rsidRPr="00704810">
        <w:t xml:space="preserve"> policy</w:t>
      </w:r>
      <w:r w:rsidRPr="00704810">
        <w:t>) and South Korea (</w:t>
      </w:r>
      <w:r w:rsidR="00CB41BA" w:rsidRPr="00704810">
        <w:t>due to no government plan deploying SMR domestically</w:t>
      </w:r>
      <w:r w:rsidR="00D20A8B">
        <w:t xml:space="preserve"> until this study initiated</w:t>
      </w:r>
      <w:r w:rsidRPr="00704810">
        <w:t>) are excluded.</w:t>
      </w:r>
      <w:r w:rsidR="00CB41BA" w:rsidRPr="00704810">
        <w:t xml:space="preserve"> As a result, t</w:t>
      </w:r>
      <w:r w:rsidRPr="00704810">
        <w:t>he pre</w:t>
      </w:r>
      <w:r w:rsidR="00CB41BA" w:rsidRPr="00704810">
        <w:t>-</w:t>
      </w:r>
      <w:r w:rsidRPr="00704810">
        <w:t>processed dataset includes 1,143 coal-fired power plants</w:t>
      </w:r>
      <w:r w:rsidR="00C56791">
        <w:t xml:space="preserve"> (899 GW)</w:t>
      </w:r>
      <w:r w:rsidRPr="00704810">
        <w:t xml:space="preserve"> across 5</w:t>
      </w:r>
      <w:r w:rsidR="00AF413E">
        <w:t>3</w:t>
      </w:r>
      <w:r w:rsidRPr="00704810">
        <w:t xml:space="preserve"> countries.</w:t>
      </w:r>
    </w:p>
    <w:p w14:paraId="15552F22" w14:textId="65318425" w:rsidR="002A3502" w:rsidRDefault="00791D58" w:rsidP="002A3502">
      <w:pPr>
        <w:pStyle w:val="a1"/>
      </w:pPr>
      <w:r>
        <w:t>As shown in Table 1, t</w:t>
      </w:r>
      <w:r w:rsidR="002A3502" w:rsidRPr="002A3502">
        <w:t>he 5</w:t>
      </w:r>
      <w:r w:rsidR="00AF413E">
        <w:t>3</w:t>
      </w:r>
      <w:r w:rsidR="002A3502" w:rsidRPr="002A3502">
        <w:t xml:space="preserve"> countries pre</w:t>
      </w:r>
      <w:r w:rsidR="002A3502">
        <w:t>-</w:t>
      </w:r>
      <w:r w:rsidR="002A3502" w:rsidRPr="002A3502">
        <w:t xml:space="preserve">processed from the original GCPT are categorized into three groups </w:t>
      </w:r>
      <w:r>
        <w:t>b</w:t>
      </w:r>
      <w:r w:rsidR="002A3502" w:rsidRPr="002A3502">
        <w:t xml:space="preserve">ased on the </w:t>
      </w:r>
      <w:r>
        <w:t xml:space="preserve">policy-based </w:t>
      </w:r>
      <w:r w:rsidR="002A3502" w:rsidRPr="002A3502">
        <w:t xml:space="preserve">potential </w:t>
      </w:r>
      <w:r>
        <w:t>to deploy SMR</w:t>
      </w:r>
      <w:r w:rsidR="00AF413E">
        <w:t>s</w:t>
      </w:r>
      <w:r w:rsidR="002A3502" w:rsidRPr="002A3502">
        <w:t xml:space="preserve">. </w:t>
      </w:r>
      <w:r w:rsidR="005B3D9A">
        <w:t>One</w:t>
      </w:r>
      <w:r w:rsidR="002A3502" w:rsidRPr="002A3502">
        <w:t xml:space="preserve"> is </w:t>
      </w:r>
      <w:r w:rsidR="00D20A8B">
        <w:t>“NPP Operating Countries”</w:t>
      </w:r>
      <w:r w:rsidR="002A3502" w:rsidRPr="002A3502">
        <w:t xml:space="preserve">, </w:t>
      </w:r>
      <w:r>
        <w:t>in which</w:t>
      </w:r>
      <w:r w:rsidR="005B3D9A">
        <w:rPr>
          <w:rFonts w:hint="eastAsia"/>
          <w:lang w:eastAsia="ko-KR"/>
        </w:rPr>
        <w:t xml:space="preserve"> </w:t>
      </w:r>
      <w:r w:rsidR="005B3D9A">
        <w:rPr>
          <w:lang w:eastAsia="ko-KR"/>
        </w:rPr>
        <w:t xml:space="preserve">the introduction of </w:t>
      </w:r>
      <w:r>
        <w:t xml:space="preserve">SMRs </w:t>
      </w:r>
      <w:r w:rsidR="005B3D9A">
        <w:t>is</w:t>
      </w:r>
      <w:r w:rsidR="002A3502" w:rsidRPr="002A3502">
        <w:t xml:space="preserve"> more likely </w:t>
      </w:r>
      <w:r w:rsidR="005B3D9A">
        <w:t>taking advantage of</w:t>
      </w:r>
      <w:r w:rsidRPr="00791D58">
        <w:t xml:space="preserve"> </w:t>
      </w:r>
      <w:r>
        <w:t>their operating</w:t>
      </w:r>
      <w:r w:rsidRPr="002A3502">
        <w:t xml:space="preserve"> experience and regulatory systems</w:t>
      </w:r>
      <w:r>
        <w:t xml:space="preserve"> regarding nuclear power plants</w:t>
      </w:r>
      <w:r w:rsidR="002A3502" w:rsidRPr="002A3502">
        <w:t xml:space="preserve">. This </w:t>
      </w:r>
      <w:r w:rsidR="005B3D9A">
        <w:t>group</w:t>
      </w:r>
      <w:r w:rsidR="002A3502" w:rsidRPr="002A3502">
        <w:t xml:space="preserve"> </w:t>
      </w:r>
      <w:r w:rsidR="005B3D9A">
        <w:t xml:space="preserve">include 24 countries such as </w:t>
      </w:r>
      <w:r w:rsidR="002A3502" w:rsidRPr="002A3502">
        <w:t xml:space="preserve">the United States, China, and Russia. </w:t>
      </w:r>
      <w:r w:rsidR="00D20A8B">
        <w:t>Another</w:t>
      </w:r>
      <w:r w:rsidR="002A3502" w:rsidRPr="002A3502">
        <w:t xml:space="preserve"> </w:t>
      </w:r>
      <w:r w:rsidR="005B3D9A">
        <w:t>group</w:t>
      </w:r>
      <w:r w:rsidR="002A3502" w:rsidRPr="002A3502">
        <w:t xml:space="preserve"> is </w:t>
      </w:r>
      <w:r w:rsidR="00D20A8B">
        <w:t>“Countries with SMR Plan”</w:t>
      </w:r>
      <w:r w:rsidR="002A3502" w:rsidRPr="002A3502">
        <w:t xml:space="preserve">, which do not operate nuclear power plants </w:t>
      </w:r>
      <w:r w:rsidR="005B3D9A">
        <w:t xml:space="preserve">currently </w:t>
      </w:r>
      <w:r w:rsidR="002A3502" w:rsidRPr="002A3502">
        <w:t xml:space="preserve">but have significant contracts or projects underway to introduce </w:t>
      </w:r>
      <w:r w:rsidR="005B3D9A">
        <w:t>SMR</w:t>
      </w:r>
      <w:r w:rsidR="002A3502" w:rsidRPr="002A3502">
        <w:t xml:space="preserve">s. </w:t>
      </w:r>
      <w:r w:rsidR="005B3D9A">
        <w:t xml:space="preserve">Five countries, </w:t>
      </w:r>
      <w:r w:rsidR="002A3502" w:rsidRPr="002A3502">
        <w:t>Indonesia, Poland, Thailand, the Philippines, and Sri Lanka</w:t>
      </w:r>
      <w:r w:rsidR="005B3D9A">
        <w:t>, are categorized into this group</w:t>
      </w:r>
      <w:r w:rsidR="002A3502" w:rsidRPr="002A3502">
        <w:t xml:space="preserve">. </w:t>
      </w:r>
      <w:r w:rsidR="005B3D9A">
        <w:t>Lastly, t</w:t>
      </w:r>
      <w:r w:rsidR="002A3502" w:rsidRPr="002A3502">
        <w:t>he remaining 2</w:t>
      </w:r>
      <w:r w:rsidR="00371122">
        <w:t>4</w:t>
      </w:r>
      <w:r w:rsidR="002A3502" w:rsidRPr="002A3502">
        <w:t xml:space="preserve"> countries that </w:t>
      </w:r>
      <w:r w:rsidR="00AF413E">
        <w:t>do not fall</w:t>
      </w:r>
      <w:r w:rsidR="005B3D9A">
        <w:t xml:space="preserve"> into </w:t>
      </w:r>
      <w:r w:rsidR="00AF413E">
        <w:t>either</w:t>
      </w:r>
      <w:r w:rsidR="005B3D9A">
        <w:t xml:space="preserve"> </w:t>
      </w:r>
      <w:r w:rsidR="00AF413E">
        <w:t>group</w:t>
      </w:r>
      <w:r w:rsidR="002A3502" w:rsidRPr="002A3502">
        <w:t xml:space="preserve"> are referred to as </w:t>
      </w:r>
      <w:r w:rsidR="00D20A8B">
        <w:t>“Unclassified Countries”</w:t>
      </w:r>
      <w:r w:rsidR="002A3502" w:rsidRPr="002A3502">
        <w:t xml:space="preserve">. </w:t>
      </w:r>
    </w:p>
    <w:p w14:paraId="4DCB8477" w14:textId="77777777" w:rsidR="002A3502" w:rsidRDefault="002A3502" w:rsidP="002A3502">
      <w:pPr>
        <w:pStyle w:val="a1"/>
      </w:pPr>
    </w:p>
    <w:p w14:paraId="2C40EBF3" w14:textId="53331A18" w:rsidR="002A3502" w:rsidRDefault="002A3502" w:rsidP="002A3502">
      <w:pPr>
        <w:pStyle w:val="a1"/>
        <w:ind w:firstLine="0"/>
      </w:pPr>
      <w:r>
        <w:t>TABLE 1.</w:t>
      </w:r>
      <w:r>
        <w:tab/>
      </w:r>
      <w:r w:rsidR="00AF413E">
        <w:t xml:space="preserve">Country groups based on </w:t>
      </w:r>
      <w:r w:rsidR="00AF413E" w:rsidRPr="002A3502">
        <w:t xml:space="preserve">the </w:t>
      </w:r>
      <w:r w:rsidR="00AF413E">
        <w:t xml:space="preserve">policy-based </w:t>
      </w:r>
      <w:r w:rsidR="00AF413E" w:rsidRPr="002A3502">
        <w:t xml:space="preserve">potential </w:t>
      </w:r>
      <w:r w:rsidR="00AF413E">
        <w:t>to deploy SMRs</w:t>
      </w:r>
    </w:p>
    <w:p w14:paraId="47126776" w14:textId="77777777" w:rsidR="002A3502" w:rsidRPr="00AF413E" w:rsidRDefault="002A3502" w:rsidP="002A3502">
      <w:pPr>
        <w:pStyle w:val="a1"/>
      </w:pPr>
    </w:p>
    <w:tbl>
      <w:tblPr>
        <w:tblStyle w:val="ac"/>
        <w:tblW w:w="736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092"/>
      </w:tblGrid>
      <w:tr w:rsidR="002A3502" w14:paraId="4BC78682" w14:textId="77777777" w:rsidTr="00AF413E">
        <w:trPr>
          <w:trHeight w:val="444"/>
          <w:jc w:val="center"/>
        </w:trPr>
        <w:tc>
          <w:tcPr>
            <w:tcW w:w="2268" w:type="dxa"/>
            <w:tcBorders>
              <w:top w:val="single" w:sz="4" w:space="0" w:color="auto"/>
              <w:bottom w:val="single" w:sz="4" w:space="0" w:color="auto"/>
            </w:tcBorders>
          </w:tcPr>
          <w:p w14:paraId="66053217" w14:textId="3D2A112A" w:rsidR="002A3502" w:rsidRPr="000C5DDA" w:rsidRDefault="002A3502" w:rsidP="00ED5BA7">
            <w:pPr>
              <w:pStyle w:val="a1"/>
              <w:ind w:firstLine="0"/>
              <w:rPr>
                <w:sz w:val="18"/>
                <w:szCs w:val="18"/>
              </w:rPr>
            </w:pPr>
            <w:r w:rsidRPr="000C5DDA">
              <w:rPr>
                <w:sz w:val="18"/>
                <w:szCs w:val="18"/>
              </w:rPr>
              <w:lastRenderedPageBreak/>
              <w:t>Country Group</w:t>
            </w:r>
          </w:p>
        </w:tc>
        <w:tc>
          <w:tcPr>
            <w:tcW w:w="5092" w:type="dxa"/>
            <w:tcBorders>
              <w:top w:val="single" w:sz="4" w:space="0" w:color="auto"/>
              <w:bottom w:val="single" w:sz="4" w:space="0" w:color="auto"/>
            </w:tcBorders>
          </w:tcPr>
          <w:p w14:paraId="705F7E36" w14:textId="0360CA72" w:rsidR="002A3502" w:rsidRPr="000C5DDA" w:rsidRDefault="00AF413E" w:rsidP="00ED5BA7">
            <w:pPr>
              <w:pStyle w:val="a1"/>
              <w:ind w:firstLine="0"/>
              <w:jc w:val="center"/>
              <w:rPr>
                <w:sz w:val="18"/>
                <w:szCs w:val="18"/>
              </w:rPr>
            </w:pPr>
            <w:r w:rsidRPr="000C5DDA">
              <w:rPr>
                <w:sz w:val="18"/>
                <w:szCs w:val="18"/>
              </w:rPr>
              <w:t>Country</w:t>
            </w:r>
          </w:p>
        </w:tc>
      </w:tr>
      <w:tr w:rsidR="002A3502" w14:paraId="6D755B06" w14:textId="77777777" w:rsidTr="00AF413E">
        <w:trPr>
          <w:trHeight w:val="444"/>
          <w:jc w:val="center"/>
        </w:trPr>
        <w:tc>
          <w:tcPr>
            <w:tcW w:w="2268" w:type="dxa"/>
            <w:tcBorders>
              <w:top w:val="single" w:sz="4" w:space="0" w:color="auto"/>
            </w:tcBorders>
            <w:vAlign w:val="center"/>
          </w:tcPr>
          <w:p w14:paraId="7825E5B0" w14:textId="35D343FC" w:rsidR="002A3502" w:rsidRPr="000C5DDA" w:rsidRDefault="00D20A8B" w:rsidP="00371122">
            <w:pPr>
              <w:pStyle w:val="a1"/>
              <w:ind w:firstLine="0"/>
              <w:jc w:val="left"/>
              <w:rPr>
                <w:sz w:val="18"/>
                <w:szCs w:val="18"/>
              </w:rPr>
            </w:pPr>
            <w:r>
              <w:rPr>
                <w:sz w:val="18"/>
                <w:szCs w:val="18"/>
              </w:rPr>
              <w:t>NPP Operating Countries</w:t>
            </w:r>
          </w:p>
          <w:p w14:paraId="40800025" w14:textId="37C7003F" w:rsidR="00371122" w:rsidRPr="000C5DDA" w:rsidRDefault="00371122" w:rsidP="00371122">
            <w:pPr>
              <w:pStyle w:val="a1"/>
              <w:ind w:firstLine="0"/>
              <w:jc w:val="left"/>
              <w:rPr>
                <w:sz w:val="18"/>
                <w:szCs w:val="18"/>
                <w:lang w:eastAsia="ko-KR"/>
              </w:rPr>
            </w:pPr>
            <w:r w:rsidRPr="000C5DDA">
              <w:rPr>
                <w:rFonts w:hint="eastAsia"/>
                <w:sz w:val="18"/>
                <w:szCs w:val="18"/>
                <w:lang w:eastAsia="ko-KR"/>
              </w:rPr>
              <w:t>(</w:t>
            </w:r>
            <w:r w:rsidRPr="000C5DDA">
              <w:rPr>
                <w:sz w:val="18"/>
                <w:szCs w:val="18"/>
                <w:lang w:eastAsia="ko-KR"/>
              </w:rPr>
              <w:t>24 countries)</w:t>
            </w:r>
          </w:p>
        </w:tc>
        <w:tc>
          <w:tcPr>
            <w:tcW w:w="5092" w:type="dxa"/>
            <w:tcBorders>
              <w:top w:val="single" w:sz="4" w:space="0" w:color="auto"/>
            </w:tcBorders>
            <w:vAlign w:val="center"/>
          </w:tcPr>
          <w:p w14:paraId="099259E5" w14:textId="58F85FC6" w:rsidR="002A3502" w:rsidRPr="000C5DDA" w:rsidRDefault="00AF413E" w:rsidP="00AF413E">
            <w:pPr>
              <w:pStyle w:val="a1"/>
              <w:ind w:firstLine="0"/>
              <w:jc w:val="center"/>
              <w:rPr>
                <w:sz w:val="18"/>
                <w:szCs w:val="18"/>
              </w:rPr>
            </w:pPr>
            <w:r w:rsidRPr="000C5DDA">
              <w:rPr>
                <w:sz w:val="18"/>
                <w:szCs w:val="18"/>
              </w:rPr>
              <w:t>South Africa, Netherlands, Taiwan, Russia, Romania, Mexico, United States, Bangladesh, Bulgaria, Brazil, Spain, Slovenia, United Arab Emirates, United Kingdom, Ukraine, India, Japan, China, Czech Republic, Canada, Turkey, Pakistan, France, Hungary</w:t>
            </w:r>
          </w:p>
        </w:tc>
      </w:tr>
      <w:tr w:rsidR="002A3502" w14:paraId="777F54F2" w14:textId="77777777" w:rsidTr="00AF413E">
        <w:trPr>
          <w:trHeight w:val="444"/>
          <w:jc w:val="center"/>
        </w:trPr>
        <w:tc>
          <w:tcPr>
            <w:tcW w:w="2268" w:type="dxa"/>
            <w:vAlign w:val="center"/>
          </w:tcPr>
          <w:p w14:paraId="77B8F086" w14:textId="5D024499" w:rsidR="002A3502" w:rsidRPr="000C5DDA" w:rsidRDefault="00D20A8B" w:rsidP="00371122">
            <w:pPr>
              <w:pStyle w:val="a1"/>
              <w:ind w:firstLine="0"/>
              <w:jc w:val="left"/>
              <w:rPr>
                <w:sz w:val="18"/>
                <w:szCs w:val="18"/>
              </w:rPr>
            </w:pPr>
            <w:r>
              <w:rPr>
                <w:sz w:val="18"/>
                <w:szCs w:val="18"/>
              </w:rPr>
              <w:t>Countries with SMR Plan</w:t>
            </w:r>
          </w:p>
          <w:p w14:paraId="4A31D730" w14:textId="103511C5" w:rsidR="00371122" w:rsidRPr="000C5DDA" w:rsidRDefault="00371122" w:rsidP="00371122">
            <w:pPr>
              <w:pStyle w:val="a1"/>
              <w:ind w:firstLine="0"/>
              <w:jc w:val="left"/>
              <w:rPr>
                <w:sz w:val="18"/>
                <w:szCs w:val="18"/>
                <w:lang w:eastAsia="ko-KR"/>
              </w:rPr>
            </w:pPr>
            <w:r w:rsidRPr="000C5DDA">
              <w:rPr>
                <w:rFonts w:hint="eastAsia"/>
                <w:sz w:val="18"/>
                <w:szCs w:val="18"/>
                <w:lang w:eastAsia="ko-KR"/>
              </w:rPr>
              <w:t>(</w:t>
            </w:r>
            <w:r w:rsidRPr="000C5DDA">
              <w:rPr>
                <w:sz w:val="18"/>
                <w:szCs w:val="18"/>
                <w:lang w:eastAsia="ko-KR"/>
              </w:rPr>
              <w:t>5 countries)</w:t>
            </w:r>
          </w:p>
        </w:tc>
        <w:tc>
          <w:tcPr>
            <w:tcW w:w="5092" w:type="dxa"/>
            <w:vAlign w:val="center"/>
          </w:tcPr>
          <w:p w14:paraId="75191664" w14:textId="0415DEE1" w:rsidR="002A3502" w:rsidRPr="000C5DDA" w:rsidRDefault="00AF413E" w:rsidP="00AF413E">
            <w:pPr>
              <w:pStyle w:val="a1"/>
              <w:ind w:firstLine="0"/>
              <w:jc w:val="center"/>
              <w:rPr>
                <w:sz w:val="18"/>
                <w:szCs w:val="18"/>
              </w:rPr>
            </w:pPr>
            <w:r w:rsidRPr="000C5DDA">
              <w:rPr>
                <w:sz w:val="18"/>
                <w:szCs w:val="18"/>
              </w:rPr>
              <w:t>Sri Lanka, Indonesia, Thailand, Poland, Philippines</w:t>
            </w:r>
          </w:p>
        </w:tc>
      </w:tr>
      <w:tr w:rsidR="002A3502" w14:paraId="63E5D826" w14:textId="77777777" w:rsidTr="00AF413E">
        <w:trPr>
          <w:trHeight w:val="444"/>
          <w:jc w:val="center"/>
        </w:trPr>
        <w:tc>
          <w:tcPr>
            <w:tcW w:w="2268" w:type="dxa"/>
            <w:vAlign w:val="center"/>
          </w:tcPr>
          <w:p w14:paraId="1E3BFDA6" w14:textId="4772207E" w:rsidR="002A3502" w:rsidRPr="000C5DDA" w:rsidRDefault="00D20A8B" w:rsidP="00371122">
            <w:pPr>
              <w:pStyle w:val="a1"/>
              <w:ind w:firstLine="0"/>
              <w:jc w:val="left"/>
              <w:rPr>
                <w:sz w:val="18"/>
                <w:szCs w:val="18"/>
              </w:rPr>
            </w:pPr>
            <w:r>
              <w:rPr>
                <w:sz w:val="18"/>
                <w:szCs w:val="18"/>
              </w:rPr>
              <w:t>Unclassified Countries</w:t>
            </w:r>
          </w:p>
          <w:p w14:paraId="09902787" w14:textId="1E2689A4" w:rsidR="00371122" w:rsidRPr="000C5DDA" w:rsidRDefault="00371122" w:rsidP="00371122">
            <w:pPr>
              <w:pStyle w:val="a1"/>
              <w:ind w:firstLine="0"/>
              <w:jc w:val="left"/>
              <w:rPr>
                <w:sz w:val="18"/>
                <w:szCs w:val="18"/>
                <w:lang w:eastAsia="ko-KR"/>
              </w:rPr>
            </w:pPr>
            <w:r w:rsidRPr="000C5DDA">
              <w:rPr>
                <w:rFonts w:hint="eastAsia"/>
                <w:sz w:val="18"/>
                <w:szCs w:val="18"/>
                <w:lang w:eastAsia="ko-KR"/>
              </w:rPr>
              <w:t>(</w:t>
            </w:r>
            <w:r w:rsidRPr="000C5DDA">
              <w:rPr>
                <w:sz w:val="18"/>
                <w:szCs w:val="18"/>
                <w:lang w:eastAsia="ko-KR"/>
              </w:rPr>
              <w:t>24 countries)</w:t>
            </w:r>
          </w:p>
        </w:tc>
        <w:tc>
          <w:tcPr>
            <w:tcW w:w="5092" w:type="dxa"/>
            <w:vAlign w:val="center"/>
          </w:tcPr>
          <w:p w14:paraId="7A492A39" w14:textId="5A99C262" w:rsidR="002A3502" w:rsidRPr="000C5DDA" w:rsidRDefault="00AF413E" w:rsidP="00AF413E">
            <w:pPr>
              <w:pStyle w:val="a1"/>
              <w:ind w:firstLine="0"/>
              <w:jc w:val="center"/>
              <w:rPr>
                <w:sz w:val="18"/>
                <w:szCs w:val="18"/>
              </w:rPr>
            </w:pPr>
            <w:r w:rsidRPr="000C5DDA">
              <w:rPr>
                <w:sz w:val="18"/>
                <w:szCs w:val="18"/>
              </w:rPr>
              <w:t>Greece, New Zealand, Denmark, Dominican Republic, Laos, Malaysia, Morocco, Moldova, Mongolia, Vietnam, Bosnia and Herzegovina, Serbia, Ireland, Uzbekistan, Israel, Italy, Zimbabwe, Chile, Kazakhstan, Cambodia, Kosovo, Kyrgyzstan, Portugal, Australia</w:t>
            </w:r>
          </w:p>
        </w:tc>
      </w:tr>
    </w:tbl>
    <w:p w14:paraId="223DD7A2" w14:textId="77777777" w:rsidR="002A3502" w:rsidRPr="002A3502" w:rsidRDefault="002A3502" w:rsidP="002A3502">
      <w:pPr>
        <w:pStyle w:val="a1"/>
        <w:ind w:firstLine="0"/>
      </w:pPr>
    </w:p>
    <w:p w14:paraId="45F3CDBC" w14:textId="0D1BA131" w:rsidR="00583BCA" w:rsidRPr="00704810" w:rsidRDefault="00583BCA" w:rsidP="002A3502">
      <w:pPr>
        <w:pStyle w:val="a1"/>
      </w:pPr>
      <w:r w:rsidRPr="00704810">
        <w:t>For population distribution data, this study uses the "Unconstrained Individual Countries (1 km resolution, UN adjusted)" from WorldPop (2020). Assuming global population distribution remains similar to 2020, these estimates are used to assess the population-related siting criteria near coal-fired power plants. Fault line data is collected from the "Global Active Faults" dataset by the Global Earthquake Model Foundation (2020). Floodplain data is obtained from the European Commission's Joint Research Centre (2016) "Flood Hazard Map of the World: 100-year Return Period." Lastly, the "Global Seismic Hazard Map" by the Global Earthquake Model Foundation (2023) is used for safe shutdown earthquake data.</w:t>
      </w:r>
    </w:p>
    <w:p w14:paraId="183C3F5D" w14:textId="2961B667" w:rsidR="00583BCA" w:rsidRDefault="00583BCA" w:rsidP="002A3502">
      <w:pPr>
        <w:pStyle w:val="a1"/>
      </w:pPr>
      <w:r w:rsidRPr="00704810">
        <w:t xml:space="preserve">Before </w:t>
      </w:r>
      <w:r w:rsidR="00045BE1" w:rsidRPr="00704810">
        <w:t>screening the sites based on the siting criteria</w:t>
      </w:r>
      <w:r w:rsidRPr="00704810">
        <w:t xml:space="preserve">, the coordinates of coal-fired power plants from the GCPT dataset are used to establish a 1 km radius around each site </w:t>
      </w:r>
      <w:r w:rsidR="00045BE1" w:rsidRPr="00704810">
        <w:t>and we consider this</w:t>
      </w:r>
      <w:r w:rsidRPr="00704810">
        <w:t xml:space="preserve"> area</w:t>
      </w:r>
      <w:r w:rsidR="00045BE1" w:rsidRPr="00704810">
        <w:t xml:space="preserve"> as the plant’s land available</w:t>
      </w:r>
      <w:r w:rsidRPr="00704810">
        <w:t xml:space="preserve"> for potential SMR placement. For population density, the threshold set by EPRI (2022) of 500 people per square mile (193 people per square </w:t>
      </w:r>
      <w:r w:rsidR="00045BE1" w:rsidRPr="00704810">
        <w:t>kilometre</w:t>
      </w:r>
      <w:r w:rsidRPr="00704810">
        <w:t xml:space="preserve">) is used. If this threshold is exceeded, the site is deemed unsuitable for SMR placement due to overpopulation. </w:t>
      </w:r>
      <w:r w:rsidR="00045BE1" w:rsidRPr="00704810">
        <w:t>A</w:t>
      </w:r>
      <w:r w:rsidRPr="00704810">
        <w:t xml:space="preserve">ny </w:t>
      </w:r>
      <w:r w:rsidR="00045BE1" w:rsidRPr="00704810">
        <w:t>coal plant with capable</w:t>
      </w:r>
      <w:r w:rsidRPr="00704810">
        <w:t xml:space="preserve"> fault longer than 1,000 ft (304.8 m) within 8 km of the site</w:t>
      </w:r>
      <w:r w:rsidR="00045BE1" w:rsidRPr="00704810">
        <w:t xml:space="preserve"> is</w:t>
      </w:r>
      <w:r w:rsidRPr="00704810">
        <w:t xml:space="preserve"> unsuitable for SMR</w:t>
      </w:r>
      <w:r w:rsidR="00045BE1" w:rsidRPr="00704810">
        <w:t xml:space="preserve"> siting</w:t>
      </w:r>
      <w:r w:rsidRPr="00704810">
        <w:t xml:space="preserve">. For floodplains, a site is considered unsuitable if it lies within a floodplain with a 100-year flood return period. </w:t>
      </w:r>
      <w:r w:rsidR="00045BE1" w:rsidRPr="00704810">
        <w:t xml:space="preserve">With regards to safe shutdown earthquake, the surface of a coal plant should meet 0.5 g in terms of peak ground acceleration. </w:t>
      </w:r>
      <w:r w:rsidRPr="00704810">
        <w:t xml:space="preserve">Sites that meet these </w:t>
      </w:r>
      <w:r w:rsidR="00183FE2" w:rsidRPr="00704810">
        <w:t>four</w:t>
      </w:r>
      <w:r w:rsidRPr="00704810">
        <w:t xml:space="preserve"> screening criteria are deemed suitable for SMR </w:t>
      </w:r>
      <w:r w:rsidR="00045BE1" w:rsidRPr="00704810">
        <w:t>replacement</w:t>
      </w:r>
      <w:r w:rsidRPr="00704810">
        <w:t>.</w:t>
      </w:r>
    </w:p>
    <w:p w14:paraId="3E66CA2D" w14:textId="0C58CA79" w:rsidR="002A3502" w:rsidRDefault="00371122" w:rsidP="009D0531">
      <w:pPr>
        <w:pStyle w:val="3"/>
      </w:pPr>
      <w:r>
        <w:rPr>
          <w:lang w:eastAsia="ko-KR"/>
        </w:rPr>
        <w:t>Reference for comparison: IEA’s net-zero scenarios</w:t>
      </w:r>
    </w:p>
    <w:p w14:paraId="32F71E9B" w14:textId="24AE93E0" w:rsidR="001C480C" w:rsidRPr="00ED5BA7" w:rsidRDefault="00045BE1" w:rsidP="00ED5BA7">
      <w:pPr>
        <w:pStyle w:val="a1"/>
      </w:pPr>
      <w:r w:rsidRPr="00ED5BA7">
        <w:t xml:space="preserve">We </w:t>
      </w:r>
      <w:r w:rsidR="006E7D3D" w:rsidRPr="00ED5BA7">
        <w:t>refer to the required nuclear capacity in IEA’s net-zero scenarios to measure whether replacing the screened coal plants with SMRs is enough to fulfil the requirement. More specifically, we</w:t>
      </w:r>
      <w:r w:rsidR="00183FE2" w:rsidRPr="00ED5BA7">
        <w:t xml:space="preserve"> compare the</w:t>
      </w:r>
      <w:r w:rsidR="006E7D3D" w:rsidRPr="00ED5BA7">
        <w:t xml:space="preserve"> coal plant capacity suitable for SMR replacement</w:t>
      </w:r>
      <w:r w:rsidR="00183FE2" w:rsidRPr="00ED5BA7">
        <w:t xml:space="preserve"> with the nuclear power capacity required to achieve carbon neutrality as outlined by the IEA (2021). IEA (2021) </w:t>
      </w:r>
      <w:r w:rsidR="00C431DB" w:rsidRPr="00ED5BA7">
        <w:t>suggested</w:t>
      </w:r>
      <w:r w:rsidR="00183FE2" w:rsidRPr="00ED5BA7">
        <w:t xml:space="preserve"> three scenarios aiming at evaluating the level of carbon neutrality by 2050. </w:t>
      </w:r>
      <w:r w:rsidR="001C480C" w:rsidRPr="00ED5BA7">
        <w:t>‘Net Zero Emissions by 2050 Scenario’</w:t>
      </w:r>
      <w:r w:rsidR="00C431DB" w:rsidRPr="00ED5BA7">
        <w:t xml:space="preserve"> (NZE)</w:t>
      </w:r>
      <w:r w:rsidR="001C480C" w:rsidRPr="00ED5BA7">
        <w:t xml:space="preserve"> represents a pathway for the global energy sector to achieve net zero CO2 emissions by 2050.</w:t>
      </w:r>
      <w:r w:rsidR="00C431DB" w:rsidRPr="00ED5BA7">
        <w:t xml:space="preserve"> The NZE scenario aims for global carbon neutrality by 2050, achieving 100% energy access by 2030, and limiting global temperature rise to 1.5°C by 2030.</w:t>
      </w:r>
      <w:r w:rsidR="00183FE2" w:rsidRPr="00ED5BA7">
        <w:t xml:space="preserve"> </w:t>
      </w:r>
      <w:r w:rsidR="00C431DB" w:rsidRPr="00ED5BA7">
        <w:t>‘</w:t>
      </w:r>
      <w:r w:rsidR="00183FE2" w:rsidRPr="00ED5BA7">
        <w:t>Stated Policies Scenario</w:t>
      </w:r>
      <w:r w:rsidR="00C431DB" w:rsidRPr="00ED5BA7">
        <w:t>’</w:t>
      </w:r>
      <w:r w:rsidR="00183FE2" w:rsidRPr="00ED5BA7">
        <w:t xml:space="preserve"> (STEP) </w:t>
      </w:r>
      <w:r w:rsidR="00C431DB" w:rsidRPr="00ED5BA7">
        <w:t>considers</w:t>
      </w:r>
      <w:r w:rsidR="00183FE2" w:rsidRPr="00ED5BA7">
        <w:t xml:space="preserve"> existing policy instruments and objectives. The Announced Pledged Scenario (APS) is a scenario where governments have announced and committed to nationally determined contributions (NDCs) and fully implement carbon neutrality objectives. Recognizing the inadequacy of APS in achieving carbon neutrality by 2050, </w:t>
      </w:r>
    </w:p>
    <w:p w14:paraId="207D1D94" w14:textId="30B139E5" w:rsidR="00183FE2" w:rsidRPr="00ED5BA7" w:rsidRDefault="001C480C" w:rsidP="00ED5BA7">
      <w:pPr>
        <w:pStyle w:val="a1"/>
      </w:pPr>
      <w:r w:rsidRPr="00ED5BA7">
        <w:t xml:space="preserve">IEA (2021) presents the </w:t>
      </w:r>
      <w:r w:rsidR="00EC135A" w:rsidRPr="00ED5BA7">
        <w:t xml:space="preserve">(annual) </w:t>
      </w:r>
      <w:r w:rsidRPr="00ED5BA7">
        <w:t>nuclear power</w:t>
      </w:r>
      <w:r w:rsidR="00EC135A" w:rsidRPr="00ED5BA7">
        <w:t xml:space="preserve"> requirements</w:t>
      </w:r>
      <w:r w:rsidRPr="00ED5BA7">
        <w:t xml:space="preserve"> in</w:t>
      </w:r>
      <w:r w:rsidR="00EC135A" w:rsidRPr="00ED5BA7">
        <w:t xml:space="preserve"> terms of</w:t>
      </w:r>
      <w:r w:rsidRPr="00ED5BA7">
        <w:t xml:space="preserve"> </w:t>
      </w:r>
      <w:r w:rsidR="00EC135A" w:rsidRPr="00ED5BA7">
        <w:t>generation (</w:t>
      </w:r>
      <w:r w:rsidRPr="00ED5BA7">
        <w:t>TWh</w:t>
      </w:r>
      <w:r w:rsidR="00EC135A" w:rsidRPr="00ED5BA7">
        <w:t>)</w:t>
      </w:r>
      <w:r w:rsidRPr="00ED5BA7">
        <w:t xml:space="preserve"> for each scenario. To convert this </w:t>
      </w:r>
      <w:r w:rsidR="00EC135A" w:rsidRPr="00ED5BA7">
        <w:t>in</w:t>
      </w:r>
      <w:r w:rsidRPr="00ED5BA7">
        <w:t xml:space="preserve">to </w:t>
      </w:r>
      <w:r w:rsidR="00EC135A" w:rsidRPr="00ED5BA7">
        <w:t>capacity (</w:t>
      </w:r>
      <w:r w:rsidRPr="00ED5BA7">
        <w:t>GW</w:t>
      </w:r>
      <w:r w:rsidR="00EC135A" w:rsidRPr="00ED5BA7">
        <w:t>)</w:t>
      </w:r>
      <w:r w:rsidRPr="00ED5BA7">
        <w:t xml:space="preserve">, this study </w:t>
      </w:r>
      <w:r w:rsidR="00EC135A" w:rsidRPr="00ED5BA7">
        <w:t>applies</w:t>
      </w:r>
      <w:r w:rsidRPr="00ED5BA7">
        <w:t xml:space="preserve"> the following equation</w:t>
      </w:r>
      <w:r w:rsidR="00EC135A" w:rsidRPr="00ED5BA7">
        <w:t xml:space="preserve"> assuming that the nuclear capacity factor is 80%</w:t>
      </w:r>
      <w:r w:rsidR="00C431DB" w:rsidRPr="00ED5BA7">
        <w:t xml:space="preserve">: </w:t>
      </w:r>
      <m:oMath>
        <m:r>
          <w:rPr>
            <w:rFonts w:ascii="Cambria Math" w:hAnsi="Cambria Math"/>
          </w:rPr>
          <m:t>Capacity</m:t>
        </m:r>
        <m:r>
          <m:rPr>
            <m:sty m:val="p"/>
          </m:rPr>
          <w:rPr>
            <w:rFonts w:ascii="Cambria Math" w:hAnsi="Cambria Math"/>
          </w:rPr>
          <m:t xml:space="preserve"> (</m:t>
        </m:r>
        <m:r>
          <w:rPr>
            <w:rFonts w:ascii="Cambria Math" w:hAnsi="Cambria Math"/>
          </w:rPr>
          <m:t>GW</m:t>
        </m:r>
        <m:r>
          <m:rPr>
            <m:sty m:val="p"/>
          </m:rPr>
          <w:rPr>
            <w:rFonts w:ascii="Cambria Math" w:hAnsi="Cambria Math"/>
          </w:rPr>
          <m:t>)=</m:t>
        </m:r>
        <m:f>
          <m:fPr>
            <m:ctrlPr>
              <w:rPr>
                <w:rFonts w:ascii="Cambria Math" w:hAnsi="Cambria Math"/>
              </w:rPr>
            </m:ctrlPr>
          </m:fPr>
          <m:num>
            <m:r>
              <m:rPr>
                <m:sty m:val="p"/>
              </m:rPr>
              <w:rPr>
                <w:rFonts w:ascii="Cambria Math" w:hAnsi="Cambria Math"/>
              </w:rPr>
              <m:t>Generation (TWh)</m:t>
            </m:r>
          </m:num>
          <m:den>
            <m:r>
              <m:rPr>
                <m:sty m:val="p"/>
              </m:rPr>
              <w:rPr>
                <w:rFonts w:ascii="Cambria Math" w:hAnsi="Cambria Math"/>
              </w:rPr>
              <m:t>24 hours ×365 days × 80% ×1000</m:t>
            </m:r>
          </m:den>
        </m:f>
      </m:oMath>
      <w:r w:rsidR="00EC135A" w:rsidRPr="00ED5BA7">
        <w:rPr>
          <w:rFonts w:hint="eastAsia"/>
        </w:rPr>
        <w:t>.</w:t>
      </w:r>
    </w:p>
    <w:p w14:paraId="79EEEE60" w14:textId="52DA6B32" w:rsidR="00762FAD" w:rsidRPr="00762FAD" w:rsidRDefault="00183FE2" w:rsidP="00762FAD">
      <w:pPr>
        <w:pStyle w:val="2"/>
        <w:numPr>
          <w:ilvl w:val="1"/>
          <w:numId w:val="10"/>
        </w:numPr>
      </w:pPr>
      <w:r w:rsidRPr="00704810">
        <w:t>Main result</w:t>
      </w:r>
      <w:bookmarkStart w:id="2" w:name="_Hlk167991512"/>
    </w:p>
    <w:p w14:paraId="2A9A4B03" w14:textId="3F284C8E" w:rsidR="00D20A8B" w:rsidRDefault="00062B8E" w:rsidP="008223B4">
      <w:pPr>
        <w:pStyle w:val="BodyTextMultiline"/>
        <w:numPr>
          <w:ilvl w:val="0"/>
          <w:numId w:val="0"/>
        </w:numPr>
        <w:ind w:firstLine="567"/>
        <w:divId w:val="774205593"/>
      </w:pPr>
      <w:r w:rsidRPr="005A0C7A">
        <w:t xml:space="preserve">In this section, we suggest how much coal plants retiring between 2021-50 are suitable for C2S by screening those sites in terms of SMR siting criteria. </w:t>
      </w:r>
      <w:r w:rsidR="002F5C10" w:rsidRPr="002F5C10">
        <w:t xml:space="preserve">Using the preprocessed GCPT data and GIS data related to </w:t>
      </w:r>
      <w:r w:rsidR="002F5C10">
        <w:t>site-screening criteria</w:t>
      </w:r>
      <w:r w:rsidR="002F5C10" w:rsidRPr="002F5C10">
        <w:t xml:space="preserve">, the amount of </w:t>
      </w:r>
      <w:r w:rsidR="002F5C10">
        <w:t xml:space="preserve">global </w:t>
      </w:r>
      <w:r w:rsidR="002F5C10" w:rsidRPr="002F5C10">
        <w:t xml:space="preserve">coal </w:t>
      </w:r>
      <w:r w:rsidR="002F5C10">
        <w:t>capacity</w:t>
      </w:r>
      <w:r w:rsidR="002F5C10" w:rsidRPr="002F5C10">
        <w:t xml:space="preserve"> that could potentially be utilized for </w:t>
      </w:r>
      <w:r w:rsidR="002F5C10">
        <w:t>i-SMR</w:t>
      </w:r>
      <w:r w:rsidR="002F5C10" w:rsidRPr="002F5C10">
        <w:t xml:space="preserve"> is </w:t>
      </w:r>
      <w:r w:rsidR="002F5C10">
        <w:t>depicted</w:t>
      </w:r>
      <w:r w:rsidR="002F5C10" w:rsidRPr="002F5C10">
        <w:t xml:space="preserve"> in Table </w:t>
      </w:r>
      <w:r w:rsidR="002F5C10">
        <w:t>2</w:t>
      </w:r>
      <w:r w:rsidR="002F5C10" w:rsidRPr="002F5C10">
        <w:t>. The total amount of retired coal</w:t>
      </w:r>
      <w:r w:rsidR="002F5C10">
        <w:t xml:space="preserve"> </w:t>
      </w:r>
      <w:r w:rsidR="002F5C10" w:rsidRPr="002F5C10">
        <w:t xml:space="preserve">capacity in </w:t>
      </w:r>
      <w:r w:rsidR="00CB6971">
        <w:t xml:space="preserve">the </w:t>
      </w:r>
      <w:r w:rsidR="002F5C10" w:rsidRPr="002F5C10">
        <w:t>5</w:t>
      </w:r>
      <w:r w:rsidR="002F5C10">
        <w:t>3</w:t>
      </w:r>
      <w:r w:rsidR="002F5C10" w:rsidRPr="002F5C10">
        <w:t xml:space="preserve"> countries from 2021 to 2050 is 899 GW, but it is reduced to 108 GW after the sit</w:t>
      </w:r>
      <w:r w:rsidR="00CB6971">
        <w:t>e-screening</w:t>
      </w:r>
      <w:r w:rsidR="002F5C10" w:rsidRPr="002F5C10">
        <w:t xml:space="preserve"> criteria</w:t>
      </w:r>
      <w:r w:rsidR="00CB6971">
        <w:t xml:space="preserve"> are applied</w:t>
      </w:r>
      <w:r w:rsidR="002F5C10" w:rsidRPr="002F5C10">
        <w:t xml:space="preserve">. Of the </w:t>
      </w:r>
      <w:r w:rsidR="00CB6971">
        <w:t>screened</w:t>
      </w:r>
      <w:r w:rsidR="002F5C10" w:rsidRPr="002F5C10">
        <w:t xml:space="preserve"> capacity, 70 GW</w:t>
      </w:r>
      <w:r w:rsidR="00CB6971">
        <w:t xml:space="preserve"> (</w:t>
      </w:r>
      <w:r w:rsidR="002F5C10" w:rsidRPr="002F5C10">
        <w:t>about 64.8%</w:t>
      </w:r>
      <w:r w:rsidR="00CB6971">
        <w:t xml:space="preserve"> of 108 GW)</w:t>
      </w:r>
      <w:r w:rsidR="002F5C10" w:rsidRPr="002F5C10">
        <w:t xml:space="preserve"> will be retired in the 2021-30</w:t>
      </w:r>
      <w:r w:rsidR="00CB6971">
        <w:t xml:space="preserve"> when </w:t>
      </w:r>
      <w:r w:rsidR="00D2087F">
        <w:t>most</w:t>
      </w:r>
      <w:r w:rsidR="00CB6971">
        <w:t xml:space="preserve"> </w:t>
      </w:r>
      <w:r w:rsidR="00D2087F">
        <w:t>SMR vendors are targeting to</w:t>
      </w:r>
      <w:r w:rsidR="00CB6971">
        <w:t xml:space="preserve"> </w:t>
      </w:r>
      <w:r w:rsidR="00D2087F">
        <w:t>deploy their first-of-a-kind reactors.</w:t>
      </w:r>
    </w:p>
    <w:p w14:paraId="3AACDAAF" w14:textId="77777777" w:rsidR="00D2087F" w:rsidRDefault="00D2087F" w:rsidP="00D2087F">
      <w:pPr>
        <w:pStyle w:val="BodyTextMultiline"/>
        <w:numPr>
          <w:ilvl w:val="0"/>
          <w:numId w:val="0"/>
        </w:numPr>
        <w:divId w:val="774205593"/>
      </w:pPr>
    </w:p>
    <w:p w14:paraId="12FB2D69" w14:textId="434759D6" w:rsidR="00D2087F" w:rsidRDefault="00D2087F" w:rsidP="00D2087F">
      <w:pPr>
        <w:pStyle w:val="BodyTextMultiline"/>
        <w:numPr>
          <w:ilvl w:val="0"/>
          <w:numId w:val="0"/>
        </w:numPr>
        <w:divId w:val="774205593"/>
      </w:pPr>
      <w:r>
        <w:t>TABLE 2.</w:t>
      </w:r>
      <w:r>
        <w:tab/>
      </w:r>
      <w:r w:rsidR="000F00EA">
        <w:t>The a</w:t>
      </w:r>
      <w:r w:rsidR="000F00EA" w:rsidRPr="000F00EA">
        <w:t xml:space="preserve">mount of retired coal capacity in </w:t>
      </w:r>
      <w:r w:rsidR="000F00EA">
        <w:t xml:space="preserve">the </w:t>
      </w:r>
      <w:r w:rsidR="000F00EA" w:rsidRPr="000F00EA">
        <w:t>5</w:t>
      </w:r>
      <w:r w:rsidR="000F00EA">
        <w:t>3</w:t>
      </w:r>
      <w:r w:rsidR="000F00EA" w:rsidRPr="000F00EA">
        <w:t xml:space="preserve"> countries </w:t>
      </w:r>
      <w:r w:rsidR="000F00EA">
        <w:t xml:space="preserve">screened by the four site-screening criteria (unit: GW) </w:t>
      </w:r>
    </w:p>
    <w:p w14:paraId="69B5E285" w14:textId="77777777" w:rsidR="00D2087F" w:rsidRDefault="00D2087F" w:rsidP="008223B4">
      <w:pPr>
        <w:pStyle w:val="BodyTextMultiline"/>
        <w:numPr>
          <w:ilvl w:val="0"/>
          <w:numId w:val="0"/>
        </w:numPr>
        <w:ind w:firstLine="567"/>
        <w:divId w:val="774205593"/>
      </w:pP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894"/>
        <w:gridCol w:w="816"/>
        <w:gridCol w:w="816"/>
        <w:gridCol w:w="674"/>
      </w:tblGrid>
      <w:tr w:rsidR="00667A98" w14:paraId="7518A5C4" w14:textId="77777777" w:rsidTr="00355CD9">
        <w:trPr>
          <w:trHeight w:val="444"/>
          <w:jc w:val="center"/>
        </w:trPr>
        <w:tc>
          <w:tcPr>
            <w:tcW w:w="0" w:type="auto"/>
            <w:tcBorders>
              <w:top w:val="single" w:sz="4" w:space="0" w:color="auto"/>
              <w:bottom w:val="single" w:sz="4" w:space="0" w:color="auto"/>
            </w:tcBorders>
            <w:vAlign w:val="center"/>
          </w:tcPr>
          <w:p w14:paraId="6CD6FC82" w14:textId="0DE24798" w:rsidR="00667A98" w:rsidRPr="000C5DDA" w:rsidRDefault="00987E8C" w:rsidP="00E61606">
            <w:pPr>
              <w:pStyle w:val="a1"/>
              <w:ind w:firstLine="0"/>
              <w:rPr>
                <w:sz w:val="18"/>
                <w:szCs w:val="18"/>
              </w:rPr>
            </w:pPr>
            <w:r>
              <w:rPr>
                <w:sz w:val="18"/>
                <w:szCs w:val="18"/>
              </w:rPr>
              <w:t>Periods</w:t>
            </w:r>
          </w:p>
        </w:tc>
        <w:tc>
          <w:tcPr>
            <w:tcW w:w="0" w:type="auto"/>
            <w:tcBorders>
              <w:top w:val="single" w:sz="4" w:space="0" w:color="auto"/>
              <w:bottom w:val="single" w:sz="4" w:space="0" w:color="auto"/>
            </w:tcBorders>
            <w:vAlign w:val="center"/>
          </w:tcPr>
          <w:p w14:paraId="75E38AFA" w14:textId="7EC0A20A" w:rsidR="00667A98" w:rsidRPr="000C5DDA" w:rsidRDefault="001029D2" w:rsidP="00E61606">
            <w:pPr>
              <w:pStyle w:val="a1"/>
              <w:ind w:firstLine="0"/>
              <w:jc w:val="center"/>
              <w:rPr>
                <w:sz w:val="18"/>
                <w:szCs w:val="18"/>
              </w:rPr>
            </w:pPr>
            <w:r>
              <w:rPr>
                <w:sz w:val="18"/>
                <w:szCs w:val="18"/>
              </w:rPr>
              <w:t xml:space="preserve"> </w:t>
            </w:r>
            <w:r w:rsidR="006D26D4">
              <w:rPr>
                <w:sz w:val="18"/>
                <w:szCs w:val="18"/>
              </w:rPr>
              <w:t>2021-30</w:t>
            </w:r>
          </w:p>
        </w:tc>
        <w:tc>
          <w:tcPr>
            <w:tcW w:w="0" w:type="auto"/>
            <w:tcBorders>
              <w:top w:val="single" w:sz="4" w:space="0" w:color="auto"/>
              <w:bottom w:val="single" w:sz="4" w:space="0" w:color="auto"/>
            </w:tcBorders>
            <w:vAlign w:val="center"/>
          </w:tcPr>
          <w:p w14:paraId="71C7A03C" w14:textId="3F4EAA61" w:rsidR="00667A98" w:rsidRPr="000C5DDA" w:rsidRDefault="0058119E" w:rsidP="00E61606">
            <w:pPr>
              <w:pStyle w:val="a1"/>
              <w:ind w:firstLine="0"/>
              <w:jc w:val="center"/>
              <w:rPr>
                <w:sz w:val="18"/>
                <w:szCs w:val="18"/>
              </w:rPr>
            </w:pPr>
            <w:r>
              <w:rPr>
                <w:sz w:val="18"/>
                <w:szCs w:val="18"/>
              </w:rPr>
              <w:t>2031-40</w:t>
            </w:r>
          </w:p>
        </w:tc>
        <w:tc>
          <w:tcPr>
            <w:tcW w:w="0" w:type="auto"/>
            <w:tcBorders>
              <w:top w:val="single" w:sz="4" w:space="0" w:color="auto"/>
              <w:bottom w:val="single" w:sz="4" w:space="0" w:color="auto"/>
            </w:tcBorders>
            <w:vAlign w:val="center"/>
          </w:tcPr>
          <w:p w14:paraId="52927A5A" w14:textId="737728DD" w:rsidR="00667A98" w:rsidRPr="000C5DDA" w:rsidRDefault="005824E3" w:rsidP="00E61606">
            <w:pPr>
              <w:pStyle w:val="a1"/>
              <w:ind w:firstLine="0"/>
              <w:jc w:val="center"/>
              <w:rPr>
                <w:sz w:val="18"/>
                <w:szCs w:val="18"/>
              </w:rPr>
            </w:pPr>
            <w:r>
              <w:rPr>
                <w:sz w:val="18"/>
                <w:szCs w:val="18"/>
              </w:rPr>
              <w:t>2041-50</w:t>
            </w:r>
          </w:p>
        </w:tc>
        <w:tc>
          <w:tcPr>
            <w:tcW w:w="0" w:type="auto"/>
            <w:tcBorders>
              <w:top w:val="single" w:sz="4" w:space="0" w:color="auto"/>
              <w:bottom w:val="single" w:sz="4" w:space="0" w:color="auto"/>
            </w:tcBorders>
            <w:vAlign w:val="center"/>
          </w:tcPr>
          <w:p w14:paraId="2FF64087" w14:textId="14B465A9" w:rsidR="00667A98" w:rsidRPr="000C5DDA" w:rsidRDefault="005824E3" w:rsidP="00E61606">
            <w:pPr>
              <w:pStyle w:val="a1"/>
              <w:ind w:firstLine="0"/>
              <w:jc w:val="center"/>
              <w:rPr>
                <w:sz w:val="18"/>
                <w:szCs w:val="18"/>
              </w:rPr>
            </w:pPr>
            <w:r>
              <w:rPr>
                <w:sz w:val="18"/>
                <w:szCs w:val="18"/>
              </w:rPr>
              <w:t xml:space="preserve"> </w:t>
            </w:r>
            <w:r w:rsidR="00987E8C">
              <w:rPr>
                <w:sz w:val="18"/>
                <w:szCs w:val="18"/>
              </w:rPr>
              <w:t>Total</w:t>
            </w:r>
          </w:p>
        </w:tc>
      </w:tr>
      <w:tr w:rsidR="00667A98" w14:paraId="2E2C677F" w14:textId="77777777" w:rsidTr="00355CD9">
        <w:trPr>
          <w:trHeight w:val="720"/>
          <w:jc w:val="center"/>
        </w:trPr>
        <w:tc>
          <w:tcPr>
            <w:tcW w:w="0" w:type="auto"/>
            <w:tcBorders>
              <w:top w:val="single" w:sz="4" w:space="0" w:color="auto"/>
            </w:tcBorders>
            <w:vAlign w:val="center"/>
          </w:tcPr>
          <w:p w14:paraId="7708AB54" w14:textId="77777777" w:rsidR="00355CD9" w:rsidRDefault="00355CD9" w:rsidP="00E61606">
            <w:pPr>
              <w:pStyle w:val="a1"/>
              <w:ind w:firstLine="0"/>
              <w:jc w:val="left"/>
              <w:rPr>
                <w:sz w:val="18"/>
                <w:szCs w:val="18"/>
                <w:lang w:val="en-US" w:eastAsia="ko-KR"/>
              </w:rPr>
            </w:pPr>
            <w:r>
              <w:rPr>
                <w:sz w:val="18"/>
                <w:szCs w:val="18"/>
                <w:lang w:val="en-US" w:eastAsia="ko-KR"/>
              </w:rPr>
              <w:t xml:space="preserve">Global coal capacity </w:t>
            </w:r>
          </w:p>
          <w:p w14:paraId="7DC5F9FB" w14:textId="453AACEC" w:rsidR="00667A98" w:rsidRPr="00CD1DEF" w:rsidRDefault="00355CD9" w:rsidP="00E61606">
            <w:pPr>
              <w:pStyle w:val="a1"/>
              <w:ind w:firstLine="0"/>
              <w:jc w:val="left"/>
              <w:rPr>
                <w:sz w:val="18"/>
                <w:szCs w:val="18"/>
                <w:lang w:val="en-US" w:eastAsia="ko-KR"/>
              </w:rPr>
            </w:pPr>
            <w:r>
              <w:rPr>
                <w:sz w:val="18"/>
                <w:szCs w:val="18"/>
                <w:lang w:val="en-US" w:eastAsia="ko-KR"/>
              </w:rPr>
              <w:t>of the preprocessed GCPT</w:t>
            </w:r>
          </w:p>
        </w:tc>
        <w:tc>
          <w:tcPr>
            <w:tcW w:w="0" w:type="auto"/>
            <w:tcBorders>
              <w:top w:val="single" w:sz="4" w:space="0" w:color="auto"/>
            </w:tcBorders>
            <w:vAlign w:val="center"/>
          </w:tcPr>
          <w:p w14:paraId="799C8F1F" w14:textId="2C992133" w:rsidR="00667A98" w:rsidRPr="000C5DDA" w:rsidRDefault="000C3B97" w:rsidP="00E61606">
            <w:pPr>
              <w:pStyle w:val="a1"/>
              <w:ind w:firstLine="0"/>
              <w:jc w:val="center"/>
              <w:rPr>
                <w:sz w:val="18"/>
                <w:szCs w:val="18"/>
              </w:rPr>
            </w:pPr>
            <w:r>
              <w:rPr>
                <w:sz w:val="18"/>
                <w:szCs w:val="18"/>
              </w:rPr>
              <w:t>326.0</w:t>
            </w:r>
          </w:p>
        </w:tc>
        <w:tc>
          <w:tcPr>
            <w:tcW w:w="0" w:type="auto"/>
            <w:tcBorders>
              <w:top w:val="single" w:sz="4" w:space="0" w:color="auto"/>
            </w:tcBorders>
            <w:vAlign w:val="center"/>
          </w:tcPr>
          <w:p w14:paraId="4B478702" w14:textId="04D65D97" w:rsidR="00667A98" w:rsidRPr="000C5DDA" w:rsidRDefault="00677F4A" w:rsidP="00E61606">
            <w:pPr>
              <w:pStyle w:val="a1"/>
              <w:ind w:firstLine="0"/>
              <w:jc w:val="center"/>
              <w:rPr>
                <w:sz w:val="18"/>
                <w:szCs w:val="18"/>
              </w:rPr>
            </w:pPr>
            <w:r>
              <w:rPr>
                <w:sz w:val="18"/>
                <w:szCs w:val="18"/>
              </w:rPr>
              <w:t>134.7</w:t>
            </w:r>
          </w:p>
        </w:tc>
        <w:tc>
          <w:tcPr>
            <w:tcW w:w="0" w:type="auto"/>
            <w:tcBorders>
              <w:top w:val="single" w:sz="4" w:space="0" w:color="auto"/>
            </w:tcBorders>
            <w:vAlign w:val="center"/>
          </w:tcPr>
          <w:p w14:paraId="5BB29FA1" w14:textId="75507DE8" w:rsidR="00667A98" w:rsidRPr="000C5DDA" w:rsidRDefault="00480001" w:rsidP="00E61606">
            <w:pPr>
              <w:pStyle w:val="a1"/>
              <w:ind w:firstLine="0"/>
              <w:jc w:val="center"/>
              <w:rPr>
                <w:sz w:val="18"/>
                <w:szCs w:val="18"/>
              </w:rPr>
            </w:pPr>
            <w:r>
              <w:rPr>
                <w:sz w:val="18"/>
                <w:szCs w:val="18"/>
              </w:rPr>
              <w:t>438.3</w:t>
            </w:r>
          </w:p>
        </w:tc>
        <w:tc>
          <w:tcPr>
            <w:tcW w:w="0" w:type="auto"/>
            <w:tcBorders>
              <w:top w:val="single" w:sz="4" w:space="0" w:color="auto"/>
            </w:tcBorders>
            <w:vAlign w:val="center"/>
          </w:tcPr>
          <w:p w14:paraId="14223B05" w14:textId="6ACF319E" w:rsidR="00667A98" w:rsidRPr="000C5DDA" w:rsidRDefault="00E90648" w:rsidP="00E61606">
            <w:pPr>
              <w:pStyle w:val="a1"/>
              <w:ind w:firstLine="0"/>
              <w:jc w:val="center"/>
              <w:rPr>
                <w:sz w:val="18"/>
                <w:szCs w:val="18"/>
              </w:rPr>
            </w:pPr>
            <w:r>
              <w:rPr>
                <w:sz w:val="18"/>
                <w:szCs w:val="18"/>
              </w:rPr>
              <w:t>899.0</w:t>
            </w:r>
          </w:p>
        </w:tc>
      </w:tr>
      <w:tr w:rsidR="00667A98" w14:paraId="073C6358" w14:textId="77777777" w:rsidTr="00355CD9">
        <w:trPr>
          <w:trHeight w:val="702"/>
          <w:jc w:val="center"/>
        </w:trPr>
        <w:tc>
          <w:tcPr>
            <w:tcW w:w="0" w:type="auto"/>
            <w:vAlign w:val="center"/>
          </w:tcPr>
          <w:p w14:paraId="064BA627" w14:textId="77777777" w:rsidR="00667A98" w:rsidRDefault="00355CD9" w:rsidP="00E61606">
            <w:pPr>
              <w:pStyle w:val="a1"/>
              <w:ind w:firstLine="0"/>
              <w:jc w:val="left"/>
              <w:rPr>
                <w:sz w:val="18"/>
                <w:szCs w:val="18"/>
              </w:rPr>
            </w:pPr>
            <w:r>
              <w:rPr>
                <w:sz w:val="18"/>
                <w:szCs w:val="18"/>
              </w:rPr>
              <w:t>Screened coal capacity</w:t>
            </w:r>
          </w:p>
          <w:p w14:paraId="0E26FD45" w14:textId="663165BC" w:rsidR="00355CD9" w:rsidRPr="000C5DDA" w:rsidRDefault="00355CD9" w:rsidP="00E61606">
            <w:pPr>
              <w:pStyle w:val="a1"/>
              <w:ind w:firstLine="0"/>
              <w:jc w:val="left"/>
              <w:rPr>
                <w:sz w:val="18"/>
                <w:szCs w:val="18"/>
                <w:lang w:eastAsia="ko-KR"/>
              </w:rPr>
            </w:pPr>
            <w:r>
              <w:rPr>
                <w:sz w:val="18"/>
                <w:szCs w:val="18"/>
              </w:rPr>
              <w:t>By the site-screening criteria</w:t>
            </w:r>
          </w:p>
        </w:tc>
        <w:tc>
          <w:tcPr>
            <w:tcW w:w="0" w:type="auto"/>
            <w:vAlign w:val="center"/>
          </w:tcPr>
          <w:p w14:paraId="4E62E2FC" w14:textId="62DEF8B2" w:rsidR="00667A98" w:rsidRPr="000C5DDA" w:rsidRDefault="00D82CD0" w:rsidP="00E61606">
            <w:pPr>
              <w:pStyle w:val="a1"/>
              <w:ind w:firstLine="0"/>
              <w:jc w:val="center"/>
              <w:rPr>
                <w:sz w:val="18"/>
                <w:szCs w:val="18"/>
              </w:rPr>
            </w:pPr>
            <w:r>
              <w:rPr>
                <w:sz w:val="18"/>
                <w:szCs w:val="18"/>
              </w:rPr>
              <w:t>70.4</w:t>
            </w:r>
          </w:p>
        </w:tc>
        <w:tc>
          <w:tcPr>
            <w:tcW w:w="0" w:type="auto"/>
            <w:vAlign w:val="center"/>
          </w:tcPr>
          <w:p w14:paraId="047E4391" w14:textId="609ACE9E" w:rsidR="00667A98" w:rsidRPr="000C5DDA" w:rsidRDefault="008C3526" w:rsidP="00E61606">
            <w:pPr>
              <w:pStyle w:val="a1"/>
              <w:ind w:firstLine="0"/>
              <w:jc w:val="center"/>
              <w:rPr>
                <w:sz w:val="18"/>
                <w:szCs w:val="18"/>
              </w:rPr>
            </w:pPr>
            <w:r>
              <w:rPr>
                <w:sz w:val="18"/>
                <w:szCs w:val="18"/>
              </w:rPr>
              <w:t>27.8</w:t>
            </w:r>
          </w:p>
        </w:tc>
        <w:tc>
          <w:tcPr>
            <w:tcW w:w="0" w:type="auto"/>
            <w:vAlign w:val="center"/>
          </w:tcPr>
          <w:p w14:paraId="770EF11D" w14:textId="27A7AF75" w:rsidR="00667A98" w:rsidRPr="000C5DDA" w:rsidRDefault="003047BD" w:rsidP="00E61606">
            <w:pPr>
              <w:pStyle w:val="a1"/>
              <w:ind w:firstLine="0"/>
              <w:jc w:val="center"/>
              <w:rPr>
                <w:sz w:val="18"/>
                <w:szCs w:val="18"/>
              </w:rPr>
            </w:pPr>
            <w:r>
              <w:rPr>
                <w:sz w:val="18"/>
                <w:szCs w:val="18"/>
              </w:rPr>
              <w:t>10.0</w:t>
            </w:r>
          </w:p>
        </w:tc>
        <w:tc>
          <w:tcPr>
            <w:tcW w:w="0" w:type="auto"/>
            <w:vAlign w:val="center"/>
          </w:tcPr>
          <w:p w14:paraId="0781E8AA" w14:textId="7996DF16" w:rsidR="00667A98" w:rsidRPr="000C5DDA" w:rsidRDefault="00355CD9" w:rsidP="00E61606">
            <w:pPr>
              <w:pStyle w:val="a1"/>
              <w:ind w:firstLine="0"/>
              <w:jc w:val="center"/>
              <w:rPr>
                <w:sz w:val="18"/>
                <w:szCs w:val="18"/>
              </w:rPr>
            </w:pPr>
            <w:r>
              <w:rPr>
                <w:sz w:val="18"/>
                <w:szCs w:val="18"/>
              </w:rPr>
              <w:t>108.3</w:t>
            </w:r>
          </w:p>
        </w:tc>
      </w:tr>
    </w:tbl>
    <w:p w14:paraId="0A2C68A4" w14:textId="77777777" w:rsidR="00757933" w:rsidRDefault="00757933" w:rsidP="00355CD9">
      <w:pPr>
        <w:pStyle w:val="BodyTextMultiline"/>
        <w:numPr>
          <w:ilvl w:val="0"/>
          <w:numId w:val="0"/>
        </w:numPr>
        <w:divId w:val="774205593"/>
      </w:pPr>
    </w:p>
    <w:p w14:paraId="316ABA38" w14:textId="2379D325" w:rsidR="00062B8E" w:rsidRPr="005A0C7A" w:rsidRDefault="00062B8E" w:rsidP="008223B4">
      <w:pPr>
        <w:pStyle w:val="BodyTextMultiline"/>
        <w:numPr>
          <w:ilvl w:val="0"/>
          <w:numId w:val="0"/>
        </w:numPr>
        <w:ind w:firstLine="567"/>
        <w:divId w:val="774205593"/>
      </w:pPr>
      <w:r w:rsidRPr="005A0C7A">
        <w:t xml:space="preserve">When it comes to the </w:t>
      </w:r>
      <w:r w:rsidR="00D20A8B">
        <w:t>NPP Operating Countries</w:t>
      </w:r>
      <w:r w:rsidRPr="005A0C7A">
        <w:t>, Table</w:t>
      </w:r>
      <w:r w:rsidR="008A47CE">
        <w:t xml:space="preserve"> 3</w:t>
      </w:r>
      <w:r w:rsidRPr="005A0C7A">
        <w:t xml:space="preserve"> shows that 17 countries except Canada, China, Russia, Ukraine, and the United States are unsuitable for C2S.</w:t>
      </w:r>
      <w:r w:rsidR="008223B4">
        <w:rPr>
          <w:rStyle w:val="ab"/>
        </w:rPr>
        <w:footnoteReference w:id="2"/>
      </w:r>
      <w:r w:rsidR="008223B4">
        <w:t xml:space="preserve"> </w:t>
      </w:r>
      <w:r w:rsidRPr="005A0C7A">
        <w:t>China has the largest coal capacity of 378 GW before screening. However, only 2.5 GW (0.7% of 378 GW) of coal plants remain</w:t>
      </w:r>
      <w:r w:rsidR="00A97C58">
        <w:t xml:space="preserve"> suitable for C2S</w:t>
      </w:r>
      <w:r w:rsidRPr="005A0C7A">
        <w:t xml:space="preserve"> after screening as the population criterion excludes a significant amount of coal plants in China. Likewise, the population criterion is critical for other </w:t>
      </w:r>
      <w:r w:rsidR="00D20A8B">
        <w:t>NPP Operating Countries</w:t>
      </w:r>
      <w:r w:rsidRPr="005A0C7A">
        <w:t xml:space="preserve"> except Bulgaria and Canada. In particular, Brazil, Hungary, South Africa, the United Arab Emirates, and the United Kingdom could consider </w:t>
      </w:r>
      <w:r w:rsidR="00885F00" w:rsidRPr="005A0C7A">
        <w:t>repurposing</w:t>
      </w:r>
      <w:r w:rsidRPr="005A0C7A">
        <w:t xml:space="preserve"> 100% of their retiring coal capacity for SMRs if they can fulfill the population criterion. The active fault lines criterion appears to be the important factor in Bulgaria, Japan, Slovenia, Taiwan, and Turkey in that it makes unsuitable more than 90% of their retiring coal capacity for C2S. The safe shutdown earthquake is a major factor for only a few countries including Japan, Mexico, and Taiwan.</w:t>
      </w:r>
    </w:p>
    <w:p w14:paraId="7C3BC5EA" w14:textId="77777777" w:rsidR="008223B4" w:rsidRDefault="008223B4" w:rsidP="002B5CFE">
      <w:pPr>
        <w:pStyle w:val="a1"/>
        <w:ind w:firstLine="0"/>
      </w:pPr>
    </w:p>
    <w:p w14:paraId="232DBC78" w14:textId="26988439" w:rsidR="002B5CFE" w:rsidRPr="00704810" w:rsidRDefault="002B5CFE" w:rsidP="00762FAD">
      <w:pPr>
        <w:pStyle w:val="BodyTextMultiline"/>
        <w:numPr>
          <w:ilvl w:val="0"/>
          <w:numId w:val="0"/>
        </w:numPr>
      </w:pPr>
      <w:r w:rsidRPr="00704810">
        <w:t xml:space="preserve">TABLE </w:t>
      </w:r>
      <w:r w:rsidR="008A47CE">
        <w:t>3</w:t>
      </w:r>
      <w:r w:rsidRPr="00704810">
        <w:t>.</w:t>
      </w:r>
      <w:r w:rsidRPr="00704810">
        <w:tab/>
      </w:r>
      <w:r w:rsidR="00762FAD">
        <w:t>The screened</w:t>
      </w:r>
      <w:r w:rsidR="00762FAD" w:rsidRPr="000F00EA">
        <w:t xml:space="preserve"> coal capacity </w:t>
      </w:r>
      <w:r w:rsidR="00762FAD">
        <w:t>of</w:t>
      </w:r>
      <w:r w:rsidR="00762FAD" w:rsidRPr="000F00EA">
        <w:t xml:space="preserve"> </w:t>
      </w:r>
      <w:r w:rsidR="00762FAD">
        <w:t xml:space="preserve">the NPP Operating Countries (unit: GW) </w:t>
      </w:r>
    </w:p>
    <w:p w14:paraId="29C179D3" w14:textId="77777777" w:rsidR="00ED5BA7" w:rsidRPr="002B5CFE" w:rsidRDefault="00ED5BA7" w:rsidP="003D6506">
      <w:pPr>
        <w:pStyle w:val="a1"/>
      </w:pPr>
    </w:p>
    <w:tbl>
      <w:tblPr>
        <w:tblOverlap w:val="neve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165"/>
        <w:gridCol w:w="844"/>
        <w:gridCol w:w="864"/>
        <w:gridCol w:w="674"/>
        <w:gridCol w:w="811"/>
        <w:gridCol w:w="772"/>
        <w:gridCol w:w="811"/>
        <w:gridCol w:w="503"/>
        <w:gridCol w:w="495"/>
        <w:gridCol w:w="591"/>
        <w:gridCol w:w="994"/>
        <w:gridCol w:w="503"/>
      </w:tblGrid>
      <w:tr w:rsidR="00ED5BA7" w:rsidRPr="00811AF2" w14:paraId="5D1CCEB5" w14:textId="77777777" w:rsidTr="003D6506">
        <w:trPr>
          <w:trHeight w:val="283"/>
          <w:jc w:val="center"/>
        </w:trPr>
        <w:tc>
          <w:tcPr>
            <w:tcW w:w="1165" w:type="dxa"/>
            <w:tcBorders>
              <w:bottom w:val="nil"/>
            </w:tcBorders>
            <w:shd w:val="clear" w:color="auto" w:fill="auto"/>
            <w:vAlign w:val="center"/>
          </w:tcPr>
          <w:p w14:paraId="645236EC" w14:textId="77777777" w:rsidR="00ED5BA7" w:rsidRPr="00ED5BA7" w:rsidRDefault="00ED5BA7" w:rsidP="00ED5BA7">
            <w:pPr>
              <w:pStyle w:val="Tabletext"/>
              <w:rPr>
                <w:sz w:val="18"/>
                <w:szCs w:val="18"/>
              </w:rPr>
            </w:pPr>
          </w:p>
        </w:tc>
        <w:tc>
          <w:tcPr>
            <w:tcW w:w="844" w:type="dxa"/>
            <w:tcBorders>
              <w:bottom w:val="nil"/>
            </w:tcBorders>
            <w:shd w:val="clear" w:color="auto" w:fill="auto"/>
            <w:tcMar>
              <w:top w:w="28" w:type="dxa"/>
              <w:left w:w="102" w:type="dxa"/>
              <w:bottom w:w="28" w:type="dxa"/>
              <w:right w:w="102" w:type="dxa"/>
            </w:tcMar>
            <w:vAlign w:val="center"/>
          </w:tcPr>
          <w:p w14:paraId="4111F891" w14:textId="77777777" w:rsidR="00ED5BA7" w:rsidRDefault="00ED5BA7" w:rsidP="003D6506">
            <w:pPr>
              <w:pStyle w:val="Tabletext"/>
              <w:jc w:val="center"/>
              <w:rPr>
                <w:sz w:val="18"/>
                <w:szCs w:val="18"/>
                <w:lang w:eastAsia="ko-KR"/>
              </w:rPr>
            </w:pPr>
          </w:p>
        </w:tc>
        <w:tc>
          <w:tcPr>
            <w:tcW w:w="864" w:type="dxa"/>
            <w:tcBorders>
              <w:bottom w:val="nil"/>
            </w:tcBorders>
            <w:shd w:val="clear" w:color="auto" w:fill="auto"/>
            <w:tcMar>
              <w:top w:w="28" w:type="dxa"/>
              <w:left w:w="102" w:type="dxa"/>
              <w:bottom w:w="28" w:type="dxa"/>
              <w:right w:w="102" w:type="dxa"/>
            </w:tcMar>
            <w:vAlign w:val="center"/>
          </w:tcPr>
          <w:p w14:paraId="69799DAD" w14:textId="77777777" w:rsidR="00ED5BA7" w:rsidRDefault="00ED5BA7" w:rsidP="003D6506">
            <w:pPr>
              <w:pStyle w:val="Tabletext"/>
              <w:jc w:val="center"/>
              <w:rPr>
                <w:sz w:val="18"/>
                <w:szCs w:val="18"/>
                <w:lang w:eastAsia="ko-KR"/>
              </w:rPr>
            </w:pPr>
          </w:p>
        </w:tc>
        <w:tc>
          <w:tcPr>
            <w:tcW w:w="674" w:type="dxa"/>
            <w:tcBorders>
              <w:bottom w:val="nil"/>
            </w:tcBorders>
            <w:shd w:val="clear" w:color="auto" w:fill="auto"/>
            <w:vAlign w:val="center"/>
          </w:tcPr>
          <w:p w14:paraId="79A2EF3A" w14:textId="77777777" w:rsidR="00ED5BA7" w:rsidRPr="00ED5BA7" w:rsidRDefault="00ED5BA7" w:rsidP="003D6506">
            <w:pPr>
              <w:pStyle w:val="Tabletext"/>
              <w:jc w:val="center"/>
              <w:rPr>
                <w:sz w:val="18"/>
                <w:szCs w:val="18"/>
              </w:rPr>
            </w:pPr>
          </w:p>
        </w:tc>
        <w:tc>
          <w:tcPr>
            <w:tcW w:w="5480" w:type="dxa"/>
            <w:gridSpan w:val="8"/>
            <w:shd w:val="clear" w:color="auto" w:fill="auto"/>
            <w:vAlign w:val="center"/>
          </w:tcPr>
          <w:p w14:paraId="251CCE23" w14:textId="6971FE66" w:rsidR="00ED5BA7" w:rsidRPr="00ED5BA7" w:rsidRDefault="00ED5BA7" w:rsidP="003D6506">
            <w:pPr>
              <w:pStyle w:val="Tabletext"/>
              <w:jc w:val="center"/>
              <w:rPr>
                <w:sz w:val="18"/>
                <w:szCs w:val="18"/>
                <w:lang w:eastAsia="ko-KR"/>
              </w:rPr>
            </w:pPr>
            <w:r>
              <w:rPr>
                <w:sz w:val="18"/>
                <w:szCs w:val="18"/>
                <w:lang w:eastAsia="ko-KR"/>
              </w:rPr>
              <w:t xml:space="preserve">Capacity </w:t>
            </w:r>
            <w:r w:rsidR="00A97C58">
              <w:rPr>
                <w:sz w:val="18"/>
                <w:szCs w:val="18"/>
                <w:lang w:val="en-US" w:eastAsia="ko-KR"/>
              </w:rPr>
              <w:t>Excluded</w:t>
            </w:r>
            <w:r>
              <w:rPr>
                <w:sz w:val="18"/>
                <w:szCs w:val="18"/>
                <w:lang w:eastAsia="ko-KR"/>
              </w:rPr>
              <w:t xml:space="preserve"> by Each </w:t>
            </w:r>
            <w:r>
              <w:rPr>
                <w:rFonts w:hint="eastAsia"/>
                <w:sz w:val="18"/>
                <w:szCs w:val="18"/>
                <w:lang w:eastAsia="ko-KR"/>
              </w:rPr>
              <w:t>S</w:t>
            </w:r>
            <w:r>
              <w:rPr>
                <w:sz w:val="18"/>
                <w:szCs w:val="18"/>
                <w:lang w:eastAsia="ko-KR"/>
              </w:rPr>
              <w:t>iting Criterion</w:t>
            </w:r>
          </w:p>
        </w:tc>
      </w:tr>
      <w:tr w:rsidR="003D6506" w:rsidRPr="00811AF2" w14:paraId="5DF5337A" w14:textId="6FC9616A" w:rsidTr="003D6506">
        <w:trPr>
          <w:trHeight w:val="283"/>
          <w:jc w:val="center"/>
        </w:trPr>
        <w:tc>
          <w:tcPr>
            <w:tcW w:w="1165" w:type="dxa"/>
            <w:tcBorders>
              <w:top w:val="nil"/>
            </w:tcBorders>
            <w:shd w:val="clear" w:color="auto" w:fill="auto"/>
            <w:vAlign w:val="center"/>
            <w:hideMark/>
          </w:tcPr>
          <w:p w14:paraId="1221DB1B" w14:textId="78D61116" w:rsidR="00ED5BA7" w:rsidRPr="00ED5BA7" w:rsidRDefault="00ED5BA7" w:rsidP="00ED5BA7">
            <w:pPr>
              <w:pStyle w:val="Tabletext"/>
              <w:rPr>
                <w:rFonts w:eastAsia="굴림"/>
                <w:color w:val="000000"/>
                <w:spacing w:val="-14"/>
                <w:w w:val="99"/>
                <w:sz w:val="18"/>
                <w:szCs w:val="18"/>
                <w:lang w:val="en-US" w:eastAsia="ko-KR"/>
              </w:rPr>
            </w:pPr>
            <w:r w:rsidRPr="00ED5BA7">
              <w:rPr>
                <w:sz w:val="18"/>
                <w:szCs w:val="18"/>
              </w:rPr>
              <w:t xml:space="preserve">　</w:t>
            </w:r>
            <w:r>
              <w:rPr>
                <w:rFonts w:hint="eastAsia"/>
                <w:sz w:val="18"/>
                <w:szCs w:val="18"/>
                <w:lang w:eastAsia="ko-KR"/>
              </w:rPr>
              <w:t>C</w:t>
            </w:r>
            <w:r>
              <w:rPr>
                <w:sz w:val="18"/>
                <w:szCs w:val="18"/>
                <w:lang w:eastAsia="ko-KR"/>
              </w:rPr>
              <w:t>ountry</w:t>
            </w:r>
          </w:p>
        </w:tc>
        <w:tc>
          <w:tcPr>
            <w:tcW w:w="844" w:type="dxa"/>
            <w:tcBorders>
              <w:top w:val="nil"/>
            </w:tcBorders>
            <w:shd w:val="clear" w:color="auto" w:fill="auto"/>
            <w:tcMar>
              <w:top w:w="28" w:type="dxa"/>
              <w:left w:w="102" w:type="dxa"/>
              <w:bottom w:w="28" w:type="dxa"/>
              <w:right w:w="102" w:type="dxa"/>
            </w:tcMar>
            <w:vAlign w:val="center"/>
          </w:tcPr>
          <w:p w14:paraId="474CA804" w14:textId="66BB011A" w:rsidR="00ED5BA7" w:rsidRPr="00ED5BA7" w:rsidRDefault="00ED5BA7" w:rsidP="003D6506">
            <w:pPr>
              <w:pStyle w:val="Tabletext"/>
              <w:jc w:val="center"/>
              <w:rPr>
                <w:sz w:val="18"/>
                <w:szCs w:val="18"/>
                <w:lang w:eastAsia="ko-KR"/>
              </w:rPr>
            </w:pPr>
            <w:r>
              <w:rPr>
                <w:rFonts w:hint="eastAsia"/>
                <w:sz w:val="18"/>
                <w:szCs w:val="18"/>
                <w:lang w:eastAsia="ko-KR"/>
              </w:rPr>
              <w:t>C</w:t>
            </w:r>
            <w:r>
              <w:rPr>
                <w:sz w:val="18"/>
                <w:szCs w:val="18"/>
                <w:lang w:eastAsia="ko-KR"/>
              </w:rPr>
              <w:t>oal Capacity</w:t>
            </w:r>
          </w:p>
          <w:p w14:paraId="10490FF9" w14:textId="62D66A35" w:rsidR="00ED5BA7" w:rsidRPr="00ED5BA7" w:rsidRDefault="00ED5BA7" w:rsidP="003D6506">
            <w:pPr>
              <w:pStyle w:val="Tabletext"/>
              <w:jc w:val="center"/>
              <w:rPr>
                <w:sz w:val="18"/>
                <w:szCs w:val="18"/>
              </w:rPr>
            </w:pPr>
            <w:r w:rsidRPr="00ED5BA7">
              <w:rPr>
                <w:sz w:val="18"/>
                <w:szCs w:val="18"/>
              </w:rPr>
              <w:t>(a)</w:t>
            </w:r>
          </w:p>
        </w:tc>
        <w:tc>
          <w:tcPr>
            <w:tcW w:w="864" w:type="dxa"/>
            <w:tcBorders>
              <w:top w:val="nil"/>
            </w:tcBorders>
            <w:shd w:val="clear" w:color="auto" w:fill="auto"/>
            <w:tcMar>
              <w:top w:w="28" w:type="dxa"/>
              <w:left w:w="102" w:type="dxa"/>
              <w:bottom w:w="28" w:type="dxa"/>
              <w:right w:w="102" w:type="dxa"/>
            </w:tcMar>
            <w:vAlign w:val="center"/>
          </w:tcPr>
          <w:p w14:paraId="56B55B67" w14:textId="164EAFB8" w:rsidR="00ED5BA7" w:rsidRDefault="00ED5BA7" w:rsidP="003D6506">
            <w:pPr>
              <w:pStyle w:val="Tabletext"/>
              <w:jc w:val="center"/>
              <w:rPr>
                <w:sz w:val="18"/>
                <w:szCs w:val="18"/>
                <w:lang w:eastAsia="ko-KR"/>
              </w:rPr>
            </w:pPr>
            <w:r>
              <w:rPr>
                <w:rFonts w:hint="eastAsia"/>
                <w:sz w:val="18"/>
                <w:szCs w:val="18"/>
                <w:lang w:eastAsia="ko-KR"/>
              </w:rPr>
              <w:t>S</w:t>
            </w:r>
            <w:r>
              <w:rPr>
                <w:sz w:val="18"/>
                <w:szCs w:val="18"/>
                <w:lang w:eastAsia="ko-KR"/>
              </w:rPr>
              <w:t>creened</w:t>
            </w:r>
          </w:p>
          <w:p w14:paraId="63B7E989" w14:textId="0431E16B" w:rsidR="00ED5BA7" w:rsidRPr="00ED5BA7" w:rsidRDefault="00ED5BA7" w:rsidP="003D6506">
            <w:pPr>
              <w:pStyle w:val="Tabletext"/>
              <w:jc w:val="center"/>
              <w:rPr>
                <w:sz w:val="18"/>
                <w:szCs w:val="18"/>
                <w:lang w:eastAsia="ko-KR"/>
              </w:rPr>
            </w:pPr>
            <w:r>
              <w:rPr>
                <w:rFonts w:hint="eastAsia"/>
                <w:sz w:val="18"/>
                <w:szCs w:val="18"/>
                <w:lang w:eastAsia="ko-KR"/>
              </w:rPr>
              <w:t>C</w:t>
            </w:r>
            <w:r>
              <w:rPr>
                <w:sz w:val="18"/>
                <w:szCs w:val="18"/>
                <w:lang w:eastAsia="ko-KR"/>
              </w:rPr>
              <w:t>apacity</w:t>
            </w:r>
          </w:p>
          <w:p w14:paraId="56933A16" w14:textId="06806AB1" w:rsidR="00ED5BA7" w:rsidRPr="00ED5BA7" w:rsidRDefault="00ED5BA7" w:rsidP="003D6506">
            <w:pPr>
              <w:pStyle w:val="Tabletext"/>
              <w:jc w:val="center"/>
              <w:rPr>
                <w:sz w:val="18"/>
                <w:szCs w:val="18"/>
              </w:rPr>
            </w:pPr>
            <w:r w:rsidRPr="00ED5BA7">
              <w:rPr>
                <w:sz w:val="18"/>
                <w:szCs w:val="18"/>
              </w:rPr>
              <w:t>(b)</w:t>
            </w:r>
          </w:p>
        </w:tc>
        <w:tc>
          <w:tcPr>
            <w:tcW w:w="674" w:type="dxa"/>
            <w:tcBorders>
              <w:top w:val="nil"/>
            </w:tcBorders>
            <w:shd w:val="clear" w:color="auto" w:fill="auto"/>
            <w:vAlign w:val="center"/>
          </w:tcPr>
          <w:p w14:paraId="69283B0D" w14:textId="0789CDD7" w:rsidR="00ED5BA7" w:rsidRPr="00ED5BA7" w:rsidRDefault="00ED5BA7" w:rsidP="003D6506">
            <w:pPr>
              <w:pStyle w:val="Tabletext"/>
              <w:jc w:val="center"/>
              <w:rPr>
                <w:sz w:val="18"/>
                <w:szCs w:val="18"/>
              </w:rPr>
            </w:pPr>
            <w:r w:rsidRPr="00ED5BA7">
              <w:rPr>
                <w:sz w:val="18"/>
                <w:szCs w:val="18"/>
              </w:rPr>
              <w:t>(b)/(a)</w:t>
            </w:r>
          </w:p>
        </w:tc>
        <w:tc>
          <w:tcPr>
            <w:tcW w:w="811" w:type="dxa"/>
            <w:shd w:val="clear" w:color="auto" w:fill="auto"/>
            <w:vAlign w:val="center"/>
          </w:tcPr>
          <w:p w14:paraId="3D5D96C5" w14:textId="510F6DFE" w:rsidR="00ED5BA7" w:rsidRPr="00ED5BA7" w:rsidRDefault="003D6506" w:rsidP="003D6506">
            <w:pPr>
              <w:pStyle w:val="Tabletext"/>
              <w:jc w:val="center"/>
              <w:rPr>
                <w:sz w:val="18"/>
                <w:szCs w:val="18"/>
                <w:lang w:eastAsia="ko-KR"/>
              </w:rPr>
            </w:pPr>
            <w:r>
              <w:rPr>
                <w:rFonts w:hint="eastAsia"/>
                <w:sz w:val="18"/>
                <w:szCs w:val="18"/>
                <w:lang w:eastAsia="ko-KR"/>
              </w:rPr>
              <w:t>P</w:t>
            </w:r>
            <w:r>
              <w:rPr>
                <w:sz w:val="18"/>
                <w:szCs w:val="18"/>
                <w:lang w:eastAsia="ko-KR"/>
              </w:rPr>
              <w:t>opulation</w:t>
            </w:r>
          </w:p>
          <w:p w14:paraId="476E527D" w14:textId="4A6DDF5A" w:rsidR="00ED5BA7" w:rsidRPr="00ED5BA7" w:rsidRDefault="00ED5BA7" w:rsidP="003D6506">
            <w:pPr>
              <w:pStyle w:val="Tabletext"/>
              <w:jc w:val="center"/>
              <w:rPr>
                <w:sz w:val="18"/>
                <w:szCs w:val="18"/>
              </w:rPr>
            </w:pPr>
            <w:r w:rsidRPr="00ED5BA7">
              <w:rPr>
                <w:sz w:val="18"/>
                <w:szCs w:val="18"/>
              </w:rPr>
              <w:t>(c)</w:t>
            </w:r>
          </w:p>
        </w:tc>
        <w:tc>
          <w:tcPr>
            <w:tcW w:w="772" w:type="dxa"/>
            <w:shd w:val="clear" w:color="auto" w:fill="auto"/>
            <w:vAlign w:val="center"/>
          </w:tcPr>
          <w:p w14:paraId="6E5F6D68" w14:textId="741E6D16" w:rsidR="00ED5BA7" w:rsidRPr="00ED5BA7" w:rsidRDefault="00ED5BA7" w:rsidP="003D6506">
            <w:pPr>
              <w:pStyle w:val="Tabletext"/>
              <w:jc w:val="center"/>
              <w:rPr>
                <w:sz w:val="18"/>
                <w:szCs w:val="18"/>
              </w:rPr>
            </w:pPr>
            <w:r w:rsidRPr="00ED5BA7">
              <w:rPr>
                <w:sz w:val="18"/>
                <w:szCs w:val="18"/>
              </w:rPr>
              <w:t>(c)/(a)</w:t>
            </w:r>
          </w:p>
        </w:tc>
        <w:tc>
          <w:tcPr>
            <w:tcW w:w="811" w:type="dxa"/>
            <w:vAlign w:val="center"/>
          </w:tcPr>
          <w:p w14:paraId="51C3F3FA" w14:textId="672915E4" w:rsidR="00ED5BA7" w:rsidRPr="00ED5BA7" w:rsidRDefault="003D6506" w:rsidP="003D6506">
            <w:pPr>
              <w:pStyle w:val="Tabletext"/>
              <w:jc w:val="center"/>
              <w:rPr>
                <w:sz w:val="18"/>
                <w:szCs w:val="18"/>
                <w:lang w:eastAsia="ko-KR"/>
              </w:rPr>
            </w:pPr>
            <w:r>
              <w:rPr>
                <w:rFonts w:hint="eastAsia"/>
                <w:sz w:val="18"/>
                <w:szCs w:val="18"/>
                <w:lang w:eastAsia="ko-KR"/>
              </w:rPr>
              <w:t>F</w:t>
            </w:r>
            <w:r>
              <w:rPr>
                <w:sz w:val="18"/>
                <w:szCs w:val="18"/>
                <w:lang w:eastAsia="ko-KR"/>
              </w:rPr>
              <w:t>loodplain</w:t>
            </w:r>
          </w:p>
          <w:p w14:paraId="30E752D6" w14:textId="6573A811" w:rsidR="00ED5BA7" w:rsidRPr="00ED5BA7" w:rsidRDefault="00ED5BA7" w:rsidP="003D6506">
            <w:pPr>
              <w:pStyle w:val="Tabletext"/>
              <w:jc w:val="center"/>
              <w:rPr>
                <w:sz w:val="18"/>
                <w:szCs w:val="18"/>
              </w:rPr>
            </w:pPr>
            <w:r w:rsidRPr="00ED5BA7">
              <w:rPr>
                <w:sz w:val="18"/>
                <w:szCs w:val="18"/>
              </w:rPr>
              <w:t>(d)</w:t>
            </w:r>
          </w:p>
        </w:tc>
        <w:tc>
          <w:tcPr>
            <w:tcW w:w="503" w:type="dxa"/>
            <w:vAlign w:val="center"/>
          </w:tcPr>
          <w:p w14:paraId="7EC03D6F" w14:textId="210383BF" w:rsidR="00ED5BA7" w:rsidRPr="00ED5BA7" w:rsidRDefault="00ED5BA7" w:rsidP="003D6506">
            <w:pPr>
              <w:pStyle w:val="Tabletext"/>
              <w:jc w:val="center"/>
              <w:rPr>
                <w:sz w:val="18"/>
                <w:szCs w:val="18"/>
              </w:rPr>
            </w:pPr>
            <w:r w:rsidRPr="00ED5BA7">
              <w:rPr>
                <w:sz w:val="18"/>
                <w:szCs w:val="18"/>
              </w:rPr>
              <w:t>(d)/(a)</w:t>
            </w:r>
          </w:p>
        </w:tc>
        <w:tc>
          <w:tcPr>
            <w:tcW w:w="495" w:type="dxa"/>
            <w:vAlign w:val="center"/>
          </w:tcPr>
          <w:p w14:paraId="1EE1FB9F" w14:textId="795EBF27" w:rsidR="00ED5BA7" w:rsidRPr="00ED5BA7" w:rsidRDefault="003D6506" w:rsidP="003D6506">
            <w:pPr>
              <w:pStyle w:val="Tabletext"/>
              <w:jc w:val="center"/>
              <w:rPr>
                <w:sz w:val="18"/>
                <w:szCs w:val="18"/>
                <w:lang w:eastAsia="ko-KR"/>
              </w:rPr>
            </w:pPr>
            <w:r>
              <w:rPr>
                <w:rFonts w:hint="eastAsia"/>
                <w:sz w:val="18"/>
                <w:szCs w:val="18"/>
                <w:lang w:eastAsia="ko-KR"/>
              </w:rPr>
              <w:t>F</w:t>
            </w:r>
            <w:r>
              <w:rPr>
                <w:sz w:val="18"/>
                <w:szCs w:val="18"/>
                <w:lang w:eastAsia="ko-KR"/>
              </w:rPr>
              <w:t>ault Line</w:t>
            </w:r>
          </w:p>
          <w:p w14:paraId="430D6FDD" w14:textId="5E7ED64E" w:rsidR="00ED5BA7" w:rsidRPr="00ED5BA7" w:rsidRDefault="00ED5BA7" w:rsidP="003D6506">
            <w:pPr>
              <w:pStyle w:val="Tabletext"/>
              <w:jc w:val="center"/>
              <w:rPr>
                <w:sz w:val="18"/>
                <w:szCs w:val="18"/>
              </w:rPr>
            </w:pPr>
            <w:r w:rsidRPr="00ED5BA7">
              <w:rPr>
                <w:sz w:val="18"/>
                <w:szCs w:val="18"/>
              </w:rPr>
              <w:t>(e)</w:t>
            </w:r>
          </w:p>
        </w:tc>
        <w:tc>
          <w:tcPr>
            <w:tcW w:w="591" w:type="dxa"/>
            <w:vAlign w:val="center"/>
          </w:tcPr>
          <w:p w14:paraId="0AEA6DE0" w14:textId="42F05C7B" w:rsidR="00ED5BA7" w:rsidRPr="00ED5BA7" w:rsidRDefault="00ED5BA7" w:rsidP="003D6506">
            <w:pPr>
              <w:pStyle w:val="Tabletext"/>
              <w:jc w:val="center"/>
              <w:rPr>
                <w:sz w:val="18"/>
                <w:szCs w:val="18"/>
              </w:rPr>
            </w:pPr>
            <w:r w:rsidRPr="00ED5BA7">
              <w:rPr>
                <w:sz w:val="18"/>
                <w:szCs w:val="18"/>
              </w:rPr>
              <w:t>(e)/(a)</w:t>
            </w:r>
          </w:p>
        </w:tc>
        <w:tc>
          <w:tcPr>
            <w:tcW w:w="994" w:type="dxa"/>
            <w:vAlign w:val="center"/>
          </w:tcPr>
          <w:p w14:paraId="40E38993" w14:textId="5A8ACA2E" w:rsidR="00ED5BA7" w:rsidRPr="00ED5BA7" w:rsidRDefault="003D6506" w:rsidP="003D6506">
            <w:pPr>
              <w:pStyle w:val="Tabletext"/>
              <w:jc w:val="center"/>
              <w:rPr>
                <w:sz w:val="18"/>
                <w:szCs w:val="18"/>
                <w:lang w:eastAsia="ko-KR"/>
              </w:rPr>
            </w:pPr>
            <w:r>
              <w:rPr>
                <w:rFonts w:hint="eastAsia"/>
                <w:sz w:val="18"/>
                <w:szCs w:val="18"/>
                <w:lang w:eastAsia="ko-KR"/>
              </w:rPr>
              <w:t>S</w:t>
            </w:r>
            <w:r>
              <w:rPr>
                <w:sz w:val="18"/>
                <w:szCs w:val="18"/>
                <w:lang w:eastAsia="ko-KR"/>
              </w:rPr>
              <w:t>afe Shutdwon Earthquake</w:t>
            </w:r>
          </w:p>
          <w:p w14:paraId="0A55DFD8" w14:textId="7421B36D" w:rsidR="00ED5BA7" w:rsidRPr="00ED5BA7" w:rsidRDefault="00ED5BA7" w:rsidP="003D6506">
            <w:pPr>
              <w:pStyle w:val="Tabletext"/>
              <w:jc w:val="center"/>
              <w:rPr>
                <w:sz w:val="18"/>
                <w:szCs w:val="18"/>
                <w:lang w:eastAsia="ko-KR"/>
              </w:rPr>
            </w:pPr>
            <w:r w:rsidRPr="00ED5BA7">
              <w:rPr>
                <w:sz w:val="18"/>
                <w:szCs w:val="18"/>
                <w:lang w:eastAsia="ko-KR"/>
              </w:rPr>
              <w:t>(f)</w:t>
            </w:r>
          </w:p>
        </w:tc>
        <w:tc>
          <w:tcPr>
            <w:tcW w:w="503" w:type="dxa"/>
            <w:vAlign w:val="center"/>
          </w:tcPr>
          <w:p w14:paraId="1BAB13E0" w14:textId="4BED536F" w:rsidR="00ED5BA7" w:rsidRPr="00ED5BA7" w:rsidRDefault="00ED5BA7" w:rsidP="003D6506">
            <w:pPr>
              <w:pStyle w:val="Tabletext"/>
              <w:jc w:val="center"/>
              <w:rPr>
                <w:sz w:val="18"/>
                <w:szCs w:val="18"/>
              </w:rPr>
            </w:pPr>
            <w:r w:rsidRPr="00ED5BA7">
              <w:rPr>
                <w:sz w:val="18"/>
                <w:szCs w:val="18"/>
              </w:rPr>
              <w:t>(f)/(a)</w:t>
            </w:r>
          </w:p>
        </w:tc>
      </w:tr>
      <w:tr w:rsidR="003D6506" w:rsidRPr="00811AF2" w14:paraId="16E0CDB7" w14:textId="0D262F4D" w:rsidTr="003D6506">
        <w:trPr>
          <w:trHeight w:val="226"/>
          <w:jc w:val="center"/>
        </w:trPr>
        <w:tc>
          <w:tcPr>
            <w:tcW w:w="1165" w:type="dxa"/>
            <w:shd w:val="clear" w:color="auto" w:fill="auto"/>
            <w:tcMar>
              <w:top w:w="28" w:type="dxa"/>
              <w:left w:w="102" w:type="dxa"/>
              <w:bottom w:w="28" w:type="dxa"/>
              <w:right w:w="102" w:type="dxa"/>
            </w:tcMar>
            <w:vAlign w:val="center"/>
          </w:tcPr>
          <w:p w14:paraId="22C4C389" w14:textId="3E2ADFF7"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B</w:t>
            </w:r>
            <w:r>
              <w:rPr>
                <w:rFonts w:eastAsia="나눔고딕"/>
                <w:sz w:val="18"/>
                <w:szCs w:val="18"/>
                <w:lang w:eastAsia="ko-KR"/>
              </w:rPr>
              <w:t>razil</w:t>
            </w:r>
          </w:p>
        </w:tc>
        <w:tc>
          <w:tcPr>
            <w:tcW w:w="844" w:type="dxa"/>
            <w:shd w:val="clear" w:color="auto" w:fill="auto"/>
            <w:tcMar>
              <w:top w:w="28" w:type="dxa"/>
              <w:left w:w="102" w:type="dxa"/>
              <w:bottom w:w="28" w:type="dxa"/>
              <w:right w:w="102" w:type="dxa"/>
            </w:tcMar>
            <w:vAlign w:val="center"/>
          </w:tcPr>
          <w:p w14:paraId="718E2E0A" w14:textId="164CCE3E" w:rsidR="00ED5BA7" w:rsidRPr="00ED5BA7" w:rsidRDefault="00ED5BA7" w:rsidP="003D6506">
            <w:pPr>
              <w:pStyle w:val="Tabletext"/>
              <w:jc w:val="center"/>
              <w:rPr>
                <w:sz w:val="18"/>
                <w:szCs w:val="18"/>
              </w:rPr>
            </w:pPr>
            <w:r w:rsidRPr="00ED5BA7">
              <w:rPr>
                <w:rFonts w:eastAsia="나눔고딕"/>
                <w:sz w:val="18"/>
                <w:szCs w:val="18"/>
              </w:rPr>
              <w:t>1.7</w:t>
            </w:r>
          </w:p>
        </w:tc>
        <w:tc>
          <w:tcPr>
            <w:tcW w:w="864" w:type="dxa"/>
            <w:shd w:val="clear" w:color="auto" w:fill="auto"/>
            <w:tcMar>
              <w:top w:w="28" w:type="dxa"/>
              <w:left w:w="102" w:type="dxa"/>
              <w:bottom w:w="28" w:type="dxa"/>
              <w:right w:w="102" w:type="dxa"/>
            </w:tcMar>
            <w:vAlign w:val="center"/>
          </w:tcPr>
          <w:p w14:paraId="76893C93" w14:textId="1B90DE0B"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09E5D8DA" w14:textId="1FA30458"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51BCEA00" w14:textId="4BEA6E39" w:rsidR="00ED5BA7" w:rsidRPr="00ED5BA7" w:rsidRDefault="00ED5BA7" w:rsidP="003D6506">
            <w:pPr>
              <w:pStyle w:val="Tabletext"/>
              <w:jc w:val="center"/>
              <w:rPr>
                <w:sz w:val="18"/>
                <w:szCs w:val="18"/>
              </w:rPr>
            </w:pPr>
            <w:r w:rsidRPr="00ED5BA7">
              <w:rPr>
                <w:rFonts w:eastAsia="나눔고딕"/>
                <w:sz w:val="18"/>
                <w:szCs w:val="18"/>
              </w:rPr>
              <w:t>1.7</w:t>
            </w:r>
          </w:p>
        </w:tc>
        <w:tc>
          <w:tcPr>
            <w:tcW w:w="772" w:type="dxa"/>
            <w:shd w:val="clear" w:color="auto" w:fill="auto"/>
            <w:tcMar>
              <w:top w:w="28" w:type="dxa"/>
              <w:left w:w="102" w:type="dxa"/>
              <w:bottom w:w="28" w:type="dxa"/>
              <w:right w:w="102" w:type="dxa"/>
            </w:tcMar>
            <w:vAlign w:val="center"/>
          </w:tcPr>
          <w:p w14:paraId="5769F4CA" w14:textId="7B935AC4"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00324A4C" w14:textId="5F0E1E24"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50CFC171" w14:textId="3BA73E8B"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2FCBD405" w14:textId="1A1730D1" w:rsidR="00ED5BA7" w:rsidRPr="00ED5BA7" w:rsidRDefault="00ED5BA7" w:rsidP="003D6506">
            <w:pPr>
              <w:pStyle w:val="Tabletext"/>
              <w:jc w:val="center"/>
              <w:rPr>
                <w:sz w:val="18"/>
                <w:szCs w:val="18"/>
              </w:rPr>
            </w:pPr>
            <w:r w:rsidRPr="00ED5BA7">
              <w:rPr>
                <w:rFonts w:eastAsia="나눔고딕"/>
                <w:sz w:val="18"/>
                <w:szCs w:val="18"/>
              </w:rPr>
              <w:t>0.0</w:t>
            </w:r>
          </w:p>
        </w:tc>
        <w:tc>
          <w:tcPr>
            <w:tcW w:w="591" w:type="dxa"/>
            <w:vAlign w:val="center"/>
          </w:tcPr>
          <w:p w14:paraId="5334C7FE" w14:textId="06B87EFF" w:rsidR="00ED5BA7" w:rsidRPr="00ED5BA7" w:rsidRDefault="00ED5BA7" w:rsidP="003D6506">
            <w:pPr>
              <w:pStyle w:val="Tabletext"/>
              <w:jc w:val="center"/>
              <w:rPr>
                <w:sz w:val="18"/>
                <w:szCs w:val="18"/>
              </w:rPr>
            </w:pPr>
            <w:r w:rsidRPr="00ED5BA7">
              <w:rPr>
                <w:rFonts w:eastAsia="나눔고딕"/>
                <w:sz w:val="18"/>
                <w:szCs w:val="18"/>
              </w:rPr>
              <w:t>0.0%</w:t>
            </w:r>
          </w:p>
        </w:tc>
        <w:tc>
          <w:tcPr>
            <w:tcW w:w="994" w:type="dxa"/>
            <w:vAlign w:val="center"/>
          </w:tcPr>
          <w:p w14:paraId="0DA70ACA" w14:textId="6EECB189"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0CF155EC" w14:textId="0963B7C1"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60B15950" w14:textId="2179F403" w:rsidTr="003D6506">
        <w:trPr>
          <w:trHeight w:val="226"/>
          <w:jc w:val="center"/>
        </w:trPr>
        <w:tc>
          <w:tcPr>
            <w:tcW w:w="1165" w:type="dxa"/>
            <w:shd w:val="clear" w:color="auto" w:fill="auto"/>
            <w:tcMar>
              <w:top w:w="28" w:type="dxa"/>
              <w:left w:w="102" w:type="dxa"/>
              <w:bottom w:w="28" w:type="dxa"/>
              <w:right w:w="102" w:type="dxa"/>
            </w:tcMar>
            <w:vAlign w:val="center"/>
          </w:tcPr>
          <w:p w14:paraId="4940A146" w14:textId="6C60C152"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B</w:t>
            </w:r>
            <w:r>
              <w:rPr>
                <w:rFonts w:eastAsia="나눔고딕"/>
                <w:sz w:val="18"/>
                <w:szCs w:val="18"/>
                <w:lang w:eastAsia="ko-KR"/>
              </w:rPr>
              <w:t>ulgaria</w:t>
            </w:r>
          </w:p>
        </w:tc>
        <w:tc>
          <w:tcPr>
            <w:tcW w:w="844" w:type="dxa"/>
            <w:shd w:val="clear" w:color="auto" w:fill="auto"/>
            <w:tcMar>
              <w:top w:w="28" w:type="dxa"/>
              <w:left w:w="102" w:type="dxa"/>
              <w:bottom w:w="28" w:type="dxa"/>
              <w:right w:w="102" w:type="dxa"/>
            </w:tcMar>
            <w:vAlign w:val="center"/>
          </w:tcPr>
          <w:p w14:paraId="4F77D252" w14:textId="2CF727E4" w:rsidR="00ED5BA7" w:rsidRPr="00ED5BA7" w:rsidRDefault="00ED5BA7" w:rsidP="003D6506">
            <w:pPr>
              <w:pStyle w:val="Tabletext"/>
              <w:jc w:val="center"/>
              <w:rPr>
                <w:sz w:val="18"/>
                <w:szCs w:val="18"/>
              </w:rPr>
            </w:pPr>
            <w:r w:rsidRPr="00ED5BA7">
              <w:rPr>
                <w:rFonts w:eastAsia="나눔고딕"/>
                <w:sz w:val="18"/>
                <w:szCs w:val="18"/>
              </w:rPr>
              <w:t>2.5</w:t>
            </w:r>
          </w:p>
        </w:tc>
        <w:tc>
          <w:tcPr>
            <w:tcW w:w="864" w:type="dxa"/>
            <w:shd w:val="clear" w:color="auto" w:fill="auto"/>
            <w:tcMar>
              <w:top w:w="28" w:type="dxa"/>
              <w:left w:w="102" w:type="dxa"/>
              <w:bottom w:w="28" w:type="dxa"/>
              <w:right w:w="102" w:type="dxa"/>
            </w:tcMar>
            <w:vAlign w:val="center"/>
          </w:tcPr>
          <w:p w14:paraId="42CC701A" w14:textId="20C22747"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37F566E5" w14:textId="53699347"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5C7923AD" w14:textId="1443E562" w:rsidR="00ED5BA7" w:rsidRPr="00ED5BA7" w:rsidRDefault="00ED5BA7" w:rsidP="003D6506">
            <w:pPr>
              <w:pStyle w:val="Tabletext"/>
              <w:jc w:val="center"/>
              <w:rPr>
                <w:sz w:val="18"/>
                <w:szCs w:val="18"/>
              </w:rPr>
            </w:pPr>
            <w:r w:rsidRPr="00ED5BA7">
              <w:rPr>
                <w:rFonts w:eastAsia="나눔고딕"/>
                <w:sz w:val="18"/>
                <w:szCs w:val="18"/>
              </w:rPr>
              <w:t>0.0</w:t>
            </w:r>
          </w:p>
        </w:tc>
        <w:tc>
          <w:tcPr>
            <w:tcW w:w="772" w:type="dxa"/>
            <w:shd w:val="clear" w:color="auto" w:fill="auto"/>
            <w:tcMar>
              <w:top w:w="28" w:type="dxa"/>
              <w:left w:w="102" w:type="dxa"/>
              <w:bottom w:w="28" w:type="dxa"/>
              <w:right w:w="102" w:type="dxa"/>
            </w:tcMar>
            <w:vAlign w:val="center"/>
          </w:tcPr>
          <w:p w14:paraId="2E5A7E70" w14:textId="0BC3AB3C"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vAlign w:val="center"/>
          </w:tcPr>
          <w:p w14:paraId="03B4BA0B" w14:textId="6C8CCCF9"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379C275A" w14:textId="70A064CA"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23067FF2" w14:textId="54478ECB" w:rsidR="00ED5BA7" w:rsidRPr="00ED5BA7" w:rsidRDefault="00ED5BA7" w:rsidP="003D6506">
            <w:pPr>
              <w:pStyle w:val="Tabletext"/>
              <w:jc w:val="center"/>
              <w:rPr>
                <w:sz w:val="18"/>
                <w:szCs w:val="18"/>
              </w:rPr>
            </w:pPr>
            <w:r w:rsidRPr="00ED5BA7">
              <w:rPr>
                <w:rFonts w:eastAsia="나눔고딕"/>
                <w:sz w:val="18"/>
                <w:szCs w:val="18"/>
              </w:rPr>
              <w:t>2.5</w:t>
            </w:r>
          </w:p>
        </w:tc>
        <w:tc>
          <w:tcPr>
            <w:tcW w:w="591" w:type="dxa"/>
            <w:vAlign w:val="center"/>
          </w:tcPr>
          <w:p w14:paraId="50A73FB2" w14:textId="583DF3DC" w:rsidR="00ED5BA7" w:rsidRPr="00ED5BA7" w:rsidRDefault="00ED5BA7" w:rsidP="003D6506">
            <w:pPr>
              <w:pStyle w:val="Tabletext"/>
              <w:jc w:val="center"/>
              <w:rPr>
                <w:sz w:val="18"/>
                <w:szCs w:val="18"/>
              </w:rPr>
            </w:pPr>
            <w:r w:rsidRPr="00ED5BA7">
              <w:rPr>
                <w:rFonts w:eastAsia="나눔고딕"/>
                <w:sz w:val="18"/>
                <w:szCs w:val="18"/>
              </w:rPr>
              <w:t>100.0%</w:t>
            </w:r>
          </w:p>
        </w:tc>
        <w:tc>
          <w:tcPr>
            <w:tcW w:w="994" w:type="dxa"/>
            <w:vAlign w:val="center"/>
          </w:tcPr>
          <w:p w14:paraId="5CB8095B" w14:textId="5BC13143"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5E92D02F" w14:textId="1D8BB839"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64D14A17" w14:textId="414984A6" w:rsidTr="003D6506">
        <w:trPr>
          <w:trHeight w:val="226"/>
          <w:jc w:val="center"/>
        </w:trPr>
        <w:tc>
          <w:tcPr>
            <w:tcW w:w="1165" w:type="dxa"/>
            <w:shd w:val="clear" w:color="auto" w:fill="auto"/>
            <w:tcMar>
              <w:top w:w="28" w:type="dxa"/>
              <w:left w:w="102" w:type="dxa"/>
              <w:bottom w:w="28" w:type="dxa"/>
              <w:right w:w="102" w:type="dxa"/>
            </w:tcMar>
            <w:vAlign w:val="center"/>
          </w:tcPr>
          <w:p w14:paraId="0EBC4EF9" w14:textId="1661271E"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C</w:t>
            </w:r>
            <w:r>
              <w:rPr>
                <w:rFonts w:eastAsia="나눔고딕"/>
                <w:sz w:val="18"/>
                <w:szCs w:val="18"/>
                <w:lang w:eastAsia="ko-KR"/>
              </w:rPr>
              <w:t>anada</w:t>
            </w:r>
          </w:p>
        </w:tc>
        <w:tc>
          <w:tcPr>
            <w:tcW w:w="844" w:type="dxa"/>
            <w:shd w:val="clear" w:color="auto" w:fill="auto"/>
            <w:tcMar>
              <w:top w:w="28" w:type="dxa"/>
              <w:left w:w="102" w:type="dxa"/>
              <w:bottom w:w="28" w:type="dxa"/>
              <w:right w:w="102" w:type="dxa"/>
            </w:tcMar>
            <w:vAlign w:val="center"/>
          </w:tcPr>
          <w:p w14:paraId="692E5210" w14:textId="3F7E81B7" w:rsidR="00ED5BA7" w:rsidRPr="00ED5BA7" w:rsidRDefault="00ED5BA7" w:rsidP="003D6506">
            <w:pPr>
              <w:pStyle w:val="Tabletext"/>
              <w:jc w:val="center"/>
              <w:rPr>
                <w:sz w:val="18"/>
                <w:szCs w:val="18"/>
              </w:rPr>
            </w:pPr>
            <w:r w:rsidRPr="00ED5BA7">
              <w:rPr>
                <w:rFonts w:eastAsia="나눔고딕"/>
                <w:sz w:val="18"/>
                <w:szCs w:val="18"/>
              </w:rPr>
              <w:t>6.4</w:t>
            </w:r>
          </w:p>
        </w:tc>
        <w:tc>
          <w:tcPr>
            <w:tcW w:w="864" w:type="dxa"/>
            <w:shd w:val="clear" w:color="auto" w:fill="auto"/>
            <w:tcMar>
              <w:top w:w="28" w:type="dxa"/>
              <w:left w:w="102" w:type="dxa"/>
              <w:bottom w:w="28" w:type="dxa"/>
              <w:right w:w="102" w:type="dxa"/>
            </w:tcMar>
            <w:vAlign w:val="center"/>
          </w:tcPr>
          <w:p w14:paraId="310F2514" w14:textId="7343148E" w:rsidR="00ED5BA7" w:rsidRPr="00ED5BA7" w:rsidRDefault="00ED5BA7" w:rsidP="003D6506">
            <w:pPr>
              <w:pStyle w:val="Tabletext"/>
              <w:jc w:val="center"/>
              <w:rPr>
                <w:sz w:val="18"/>
                <w:szCs w:val="18"/>
              </w:rPr>
            </w:pPr>
            <w:r w:rsidRPr="00ED5BA7">
              <w:rPr>
                <w:rFonts w:eastAsia="나눔고딕"/>
                <w:sz w:val="18"/>
                <w:szCs w:val="18"/>
              </w:rPr>
              <w:t>5.6</w:t>
            </w:r>
          </w:p>
        </w:tc>
        <w:tc>
          <w:tcPr>
            <w:tcW w:w="674" w:type="dxa"/>
            <w:shd w:val="clear" w:color="auto" w:fill="auto"/>
            <w:tcMar>
              <w:top w:w="28" w:type="dxa"/>
              <w:left w:w="102" w:type="dxa"/>
              <w:bottom w:w="28" w:type="dxa"/>
              <w:right w:w="102" w:type="dxa"/>
            </w:tcMar>
            <w:vAlign w:val="center"/>
          </w:tcPr>
          <w:p w14:paraId="2D0E2E02" w14:textId="6F788BEF" w:rsidR="00ED5BA7" w:rsidRPr="00ED5BA7" w:rsidRDefault="00ED5BA7" w:rsidP="003D6506">
            <w:pPr>
              <w:pStyle w:val="Tabletext"/>
              <w:jc w:val="center"/>
              <w:rPr>
                <w:sz w:val="18"/>
                <w:szCs w:val="18"/>
              </w:rPr>
            </w:pPr>
            <w:r w:rsidRPr="00ED5BA7">
              <w:rPr>
                <w:rFonts w:eastAsia="나눔고딕"/>
                <w:sz w:val="18"/>
                <w:szCs w:val="18"/>
              </w:rPr>
              <w:t>88.3%</w:t>
            </w:r>
          </w:p>
        </w:tc>
        <w:tc>
          <w:tcPr>
            <w:tcW w:w="811" w:type="dxa"/>
            <w:shd w:val="clear" w:color="auto" w:fill="auto"/>
            <w:tcMar>
              <w:top w:w="28" w:type="dxa"/>
              <w:left w:w="102" w:type="dxa"/>
              <w:bottom w:w="28" w:type="dxa"/>
              <w:right w:w="102" w:type="dxa"/>
            </w:tcMar>
            <w:vAlign w:val="center"/>
          </w:tcPr>
          <w:p w14:paraId="1407CFFB" w14:textId="7E9D55DE" w:rsidR="00ED5BA7" w:rsidRPr="00ED5BA7" w:rsidRDefault="00ED5BA7" w:rsidP="003D6506">
            <w:pPr>
              <w:pStyle w:val="Tabletext"/>
              <w:jc w:val="center"/>
              <w:rPr>
                <w:sz w:val="18"/>
                <w:szCs w:val="18"/>
              </w:rPr>
            </w:pPr>
            <w:r w:rsidRPr="00ED5BA7">
              <w:rPr>
                <w:rFonts w:eastAsia="나눔고딕"/>
                <w:sz w:val="18"/>
                <w:szCs w:val="18"/>
              </w:rPr>
              <w:t>0.0</w:t>
            </w:r>
          </w:p>
        </w:tc>
        <w:tc>
          <w:tcPr>
            <w:tcW w:w="772" w:type="dxa"/>
            <w:shd w:val="clear" w:color="auto" w:fill="auto"/>
            <w:tcMar>
              <w:top w:w="28" w:type="dxa"/>
              <w:left w:w="102" w:type="dxa"/>
              <w:bottom w:w="28" w:type="dxa"/>
              <w:right w:w="102" w:type="dxa"/>
            </w:tcMar>
            <w:vAlign w:val="center"/>
          </w:tcPr>
          <w:p w14:paraId="0AC28E14" w14:textId="74F42433"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vAlign w:val="center"/>
          </w:tcPr>
          <w:p w14:paraId="29CF54A5" w14:textId="551DB0C9" w:rsidR="00ED5BA7" w:rsidRPr="00ED5BA7" w:rsidRDefault="00ED5BA7" w:rsidP="003D6506">
            <w:pPr>
              <w:pStyle w:val="Tabletext"/>
              <w:jc w:val="center"/>
              <w:rPr>
                <w:sz w:val="18"/>
                <w:szCs w:val="18"/>
              </w:rPr>
            </w:pPr>
            <w:r w:rsidRPr="00ED5BA7">
              <w:rPr>
                <w:rFonts w:eastAsia="나눔고딕"/>
                <w:sz w:val="18"/>
                <w:szCs w:val="18"/>
              </w:rPr>
              <w:t>0.7</w:t>
            </w:r>
          </w:p>
        </w:tc>
        <w:tc>
          <w:tcPr>
            <w:tcW w:w="503" w:type="dxa"/>
            <w:vAlign w:val="center"/>
          </w:tcPr>
          <w:p w14:paraId="63D444DE" w14:textId="6F13FD63" w:rsidR="00ED5BA7" w:rsidRPr="00ED5BA7" w:rsidRDefault="00ED5BA7" w:rsidP="003D6506">
            <w:pPr>
              <w:pStyle w:val="Tabletext"/>
              <w:jc w:val="center"/>
              <w:rPr>
                <w:sz w:val="18"/>
                <w:szCs w:val="18"/>
              </w:rPr>
            </w:pPr>
            <w:r w:rsidRPr="00ED5BA7">
              <w:rPr>
                <w:rFonts w:eastAsia="나눔고딕"/>
                <w:sz w:val="18"/>
                <w:szCs w:val="18"/>
              </w:rPr>
              <w:t>11.7%</w:t>
            </w:r>
          </w:p>
        </w:tc>
        <w:tc>
          <w:tcPr>
            <w:tcW w:w="495" w:type="dxa"/>
            <w:vAlign w:val="center"/>
          </w:tcPr>
          <w:p w14:paraId="508B5C0C" w14:textId="6CECAE28" w:rsidR="00ED5BA7" w:rsidRPr="00ED5BA7" w:rsidRDefault="00ED5BA7" w:rsidP="003D6506">
            <w:pPr>
              <w:pStyle w:val="Tabletext"/>
              <w:jc w:val="center"/>
              <w:rPr>
                <w:sz w:val="18"/>
                <w:szCs w:val="18"/>
              </w:rPr>
            </w:pPr>
            <w:r w:rsidRPr="00ED5BA7">
              <w:rPr>
                <w:rFonts w:eastAsia="나눔고딕"/>
                <w:sz w:val="18"/>
                <w:szCs w:val="18"/>
              </w:rPr>
              <w:t>0.0</w:t>
            </w:r>
          </w:p>
        </w:tc>
        <w:tc>
          <w:tcPr>
            <w:tcW w:w="591" w:type="dxa"/>
            <w:vAlign w:val="center"/>
          </w:tcPr>
          <w:p w14:paraId="26A8CF37" w14:textId="4EE223A6" w:rsidR="00ED5BA7" w:rsidRPr="00ED5BA7" w:rsidRDefault="00ED5BA7" w:rsidP="003D6506">
            <w:pPr>
              <w:pStyle w:val="Tabletext"/>
              <w:jc w:val="center"/>
              <w:rPr>
                <w:sz w:val="18"/>
                <w:szCs w:val="18"/>
              </w:rPr>
            </w:pPr>
            <w:r w:rsidRPr="00ED5BA7">
              <w:rPr>
                <w:rFonts w:eastAsia="나눔고딕"/>
                <w:sz w:val="18"/>
                <w:szCs w:val="18"/>
              </w:rPr>
              <w:t>0.0%</w:t>
            </w:r>
          </w:p>
        </w:tc>
        <w:tc>
          <w:tcPr>
            <w:tcW w:w="994" w:type="dxa"/>
            <w:vAlign w:val="center"/>
          </w:tcPr>
          <w:p w14:paraId="49314E7D" w14:textId="547E7F87"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3C72AB86" w14:textId="13EF5149"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48A7EF9C" w14:textId="162AF7A4" w:rsidTr="003D6506">
        <w:trPr>
          <w:trHeight w:val="278"/>
          <w:jc w:val="center"/>
        </w:trPr>
        <w:tc>
          <w:tcPr>
            <w:tcW w:w="1165" w:type="dxa"/>
            <w:shd w:val="clear" w:color="auto" w:fill="auto"/>
            <w:tcMar>
              <w:top w:w="28" w:type="dxa"/>
              <w:left w:w="102" w:type="dxa"/>
              <w:bottom w:w="28" w:type="dxa"/>
              <w:right w:w="102" w:type="dxa"/>
            </w:tcMar>
            <w:vAlign w:val="center"/>
          </w:tcPr>
          <w:p w14:paraId="4C14305E" w14:textId="79865B71"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C</w:t>
            </w:r>
            <w:r>
              <w:rPr>
                <w:rFonts w:eastAsia="나눔고딕"/>
                <w:sz w:val="18"/>
                <w:szCs w:val="18"/>
                <w:lang w:eastAsia="ko-KR"/>
              </w:rPr>
              <w:t>hina</w:t>
            </w:r>
          </w:p>
        </w:tc>
        <w:tc>
          <w:tcPr>
            <w:tcW w:w="844" w:type="dxa"/>
            <w:shd w:val="clear" w:color="auto" w:fill="auto"/>
            <w:tcMar>
              <w:top w:w="28" w:type="dxa"/>
              <w:left w:w="102" w:type="dxa"/>
              <w:bottom w:w="28" w:type="dxa"/>
              <w:right w:w="102" w:type="dxa"/>
            </w:tcMar>
            <w:vAlign w:val="center"/>
          </w:tcPr>
          <w:p w14:paraId="3D906216" w14:textId="3BC58041" w:rsidR="00ED5BA7" w:rsidRPr="00ED5BA7" w:rsidRDefault="00ED5BA7" w:rsidP="003D6506">
            <w:pPr>
              <w:pStyle w:val="Tabletext"/>
              <w:jc w:val="center"/>
              <w:rPr>
                <w:sz w:val="18"/>
                <w:szCs w:val="18"/>
              </w:rPr>
            </w:pPr>
            <w:r w:rsidRPr="00ED5BA7">
              <w:rPr>
                <w:rFonts w:eastAsia="나눔고딕"/>
                <w:sz w:val="18"/>
                <w:szCs w:val="18"/>
              </w:rPr>
              <w:t>377.7</w:t>
            </w:r>
          </w:p>
        </w:tc>
        <w:tc>
          <w:tcPr>
            <w:tcW w:w="864" w:type="dxa"/>
            <w:shd w:val="clear" w:color="auto" w:fill="auto"/>
            <w:tcMar>
              <w:top w:w="28" w:type="dxa"/>
              <w:left w:w="102" w:type="dxa"/>
              <w:bottom w:w="28" w:type="dxa"/>
              <w:right w:w="102" w:type="dxa"/>
            </w:tcMar>
            <w:vAlign w:val="center"/>
          </w:tcPr>
          <w:p w14:paraId="670FBAF5" w14:textId="22D617C1" w:rsidR="00ED5BA7" w:rsidRPr="00ED5BA7" w:rsidRDefault="00ED5BA7" w:rsidP="003D6506">
            <w:pPr>
              <w:pStyle w:val="Tabletext"/>
              <w:jc w:val="center"/>
              <w:rPr>
                <w:sz w:val="18"/>
                <w:szCs w:val="18"/>
              </w:rPr>
            </w:pPr>
            <w:r w:rsidRPr="00ED5BA7">
              <w:rPr>
                <w:rFonts w:eastAsia="나눔고딕"/>
                <w:sz w:val="18"/>
                <w:szCs w:val="18"/>
              </w:rPr>
              <w:t>2.5</w:t>
            </w:r>
          </w:p>
        </w:tc>
        <w:tc>
          <w:tcPr>
            <w:tcW w:w="674" w:type="dxa"/>
            <w:shd w:val="clear" w:color="auto" w:fill="auto"/>
            <w:tcMar>
              <w:top w:w="28" w:type="dxa"/>
              <w:left w:w="102" w:type="dxa"/>
              <w:bottom w:w="28" w:type="dxa"/>
              <w:right w:w="102" w:type="dxa"/>
            </w:tcMar>
            <w:vAlign w:val="center"/>
          </w:tcPr>
          <w:p w14:paraId="61844875" w14:textId="0A5A0E4C" w:rsidR="00ED5BA7" w:rsidRPr="00ED5BA7" w:rsidRDefault="00ED5BA7" w:rsidP="003D6506">
            <w:pPr>
              <w:pStyle w:val="Tabletext"/>
              <w:jc w:val="center"/>
              <w:rPr>
                <w:sz w:val="18"/>
                <w:szCs w:val="18"/>
              </w:rPr>
            </w:pPr>
            <w:r w:rsidRPr="00ED5BA7">
              <w:rPr>
                <w:rFonts w:eastAsia="나눔고딕"/>
                <w:sz w:val="18"/>
                <w:szCs w:val="18"/>
              </w:rPr>
              <w:t>0.7%</w:t>
            </w:r>
          </w:p>
        </w:tc>
        <w:tc>
          <w:tcPr>
            <w:tcW w:w="811" w:type="dxa"/>
            <w:shd w:val="clear" w:color="auto" w:fill="auto"/>
            <w:tcMar>
              <w:top w:w="28" w:type="dxa"/>
              <w:left w:w="102" w:type="dxa"/>
              <w:bottom w:w="28" w:type="dxa"/>
              <w:right w:w="102" w:type="dxa"/>
            </w:tcMar>
            <w:vAlign w:val="center"/>
          </w:tcPr>
          <w:p w14:paraId="2ADC8938" w14:textId="3BE34284" w:rsidR="00ED5BA7" w:rsidRPr="00ED5BA7" w:rsidRDefault="00ED5BA7" w:rsidP="003D6506">
            <w:pPr>
              <w:pStyle w:val="Tabletext"/>
              <w:jc w:val="center"/>
              <w:rPr>
                <w:sz w:val="18"/>
                <w:szCs w:val="18"/>
              </w:rPr>
            </w:pPr>
            <w:r w:rsidRPr="00ED5BA7">
              <w:rPr>
                <w:rFonts w:eastAsia="나눔고딕"/>
                <w:sz w:val="18"/>
                <w:szCs w:val="18"/>
              </w:rPr>
              <w:t>375.2</w:t>
            </w:r>
          </w:p>
        </w:tc>
        <w:tc>
          <w:tcPr>
            <w:tcW w:w="772" w:type="dxa"/>
            <w:shd w:val="clear" w:color="auto" w:fill="auto"/>
            <w:tcMar>
              <w:top w:w="28" w:type="dxa"/>
              <w:left w:w="102" w:type="dxa"/>
              <w:bottom w:w="28" w:type="dxa"/>
              <w:right w:w="102" w:type="dxa"/>
            </w:tcMar>
            <w:vAlign w:val="center"/>
          </w:tcPr>
          <w:p w14:paraId="69890594" w14:textId="187B91AE" w:rsidR="00ED5BA7" w:rsidRPr="00ED5BA7" w:rsidRDefault="00ED5BA7" w:rsidP="003D6506">
            <w:pPr>
              <w:pStyle w:val="Tabletext"/>
              <w:jc w:val="center"/>
              <w:rPr>
                <w:sz w:val="18"/>
                <w:szCs w:val="18"/>
              </w:rPr>
            </w:pPr>
            <w:r w:rsidRPr="00ED5BA7">
              <w:rPr>
                <w:rFonts w:eastAsia="나눔고딕"/>
                <w:sz w:val="18"/>
                <w:szCs w:val="18"/>
              </w:rPr>
              <w:t>99.3%</w:t>
            </w:r>
          </w:p>
        </w:tc>
        <w:tc>
          <w:tcPr>
            <w:tcW w:w="811" w:type="dxa"/>
            <w:vAlign w:val="center"/>
          </w:tcPr>
          <w:p w14:paraId="1811F7A3" w14:textId="57907DE0" w:rsidR="00ED5BA7" w:rsidRPr="00ED5BA7" w:rsidRDefault="00ED5BA7" w:rsidP="003D6506">
            <w:pPr>
              <w:pStyle w:val="Tabletext"/>
              <w:jc w:val="center"/>
              <w:rPr>
                <w:sz w:val="18"/>
                <w:szCs w:val="18"/>
              </w:rPr>
            </w:pPr>
            <w:r w:rsidRPr="00ED5BA7">
              <w:rPr>
                <w:rFonts w:eastAsia="나눔고딕"/>
                <w:sz w:val="18"/>
                <w:szCs w:val="18"/>
              </w:rPr>
              <w:t>88.8</w:t>
            </w:r>
          </w:p>
        </w:tc>
        <w:tc>
          <w:tcPr>
            <w:tcW w:w="503" w:type="dxa"/>
            <w:vAlign w:val="center"/>
          </w:tcPr>
          <w:p w14:paraId="2A62325B" w14:textId="5D39E705" w:rsidR="00ED5BA7" w:rsidRPr="00ED5BA7" w:rsidRDefault="00ED5BA7" w:rsidP="003D6506">
            <w:pPr>
              <w:pStyle w:val="Tabletext"/>
              <w:jc w:val="center"/>
              <w:rPr>
                <w:sz w:val="18"/>
                <w:szCs w:val="18"/>
              </w:rPr>
            </w:pPr>
            <w:r w:rsidRPr="00ED5BA7">
              <w:rPr>
                <w:rFonts w:eastAsia="나눔고딕"/>
                <w:sz w:val="18"/>
                <w:szCs w:val="18"/>
              </w:rPr>
              <w:t>23.5%</w:t>
            </w:r>
          </w:p>
        </w:tc>
        <w:tc>
          <w:tcPr>
            <w:tcW w:w="495" w:type="dxa"/>
            <w:vAlign w:val="center"/>
          </w:tcPr>
          <w:p w14:paraId="6119F7EC" w14:textId="11609332" w:rsidR="00ED5BA7" w:rsidRPr="00ED5BA7" w:rsidRDefault="00ED5BA7" w:rsidP="003D6506">
            <w:pPr>
              <w:pStyle w:val="Tabletext"/>
              <w:jc w:val="center"/>
              <w:rPr>
                <w:sz w:val="18"/>
                <w:szCs w:val="18"/>
              </w:rPr>
            </w:pPr>
            <w:r w:rsidRPr="00ED5BA7">
              <w:rPr>
                <w:rFonts w:eastAsia="나눔고딕"/>
                <w:sz w:val="18"/>
                <w:szCs w:val="18"/>
              </w:rPr>
              <w:t>69.5</w:t>
            </w:r>
          </w:p>
        </w:tc>
        <w:tc>
          <w:tcPr>
            <w:tcW w:w="591" w:type="dxa"/>
            <w:vAlign w:val="center"/>
          </w:tcPr>
          <w:p w14:paraId="7C86AF86" w14:textId="40FB999D" w:rsidR="00ED5BA7" w:rsidRPr="00ED5BA7" w:rsidRDefault="00ED5BA7" w:rsidP="003D6506">
            <w:pPr>
              <w:pStyle w:val="Tabletext"/>
              <w:jc w:val="center"/>
              <w:rPr>
                <w:sz w:val="18"/>
                <w:szCs w:val="18"/>
              </w:rPr>
            </w:pPr>
            <w:r w:rsidRPr="00ED5BA7">
              <w:rPr>
                <w:rFonts w:eastAsia="나눔고딕"/>
                <w:sz w:val="18"/>
                <w:szCs w:val="18"/>
              </w:rPr>
              <w:t>18.4%</w:t>
            </w:r>
          </w:p>
        </w:tc>
        <w:tc>
          <w:tcPr>
            <w:tcW w:w="994" w:type="dxa"/>
            <w:vAlign w:val="center"/>
          </w:tcPr>
          <w:p w14:paraId="3430BC7C" w14:textId="0F40FB92"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096B1EC1" w14:textId="4AFFDA38"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3FD92684" w14:textId="6D879339" w:rsidTr="003D6506">
        <w:trPr>
          <w:trHeight w:val="226"/>
          <w:jc w:val="center"/>
        </w:trPr>
        <w:tc>
          <w:tcPr>
            <w:tcW w:w="1165" w:type="dxa"/>
            <w:shd w:val="clear" w:color="auto" w:fill="auto"/>
            <w:tcMar>
              <w:top w:w="28" w:type="dxa"/>
              <w:left w:w="102" w:type="dxa"/>
              <w:bottom w:w="28" w:type="dxa"/>
              <w:right w:w="102" w:type="dxa"/>
            </w:tcMar>
            <w:vAlign w:val="center"/>
          </w:tcPr>
          <w:p w14:paraId="6D9FFC46" w14:textId="24CEA2D8" w:rsidR="00ED5BA7" w:rsidRPr="00ED5BA7" w:rsidRDefault="003D6506" w:rsidP="00ED5BA7">
            <w:pPr>
              <w:pStyle w:val="Tabletext"/>
              <w:rPr>
                <w:rFonts w:eastAsia="굴림"/>
                <w:color w:val="000000"/>
                <w:spacing w:val="-10"/>
                <w:w w:val="99"/>
                <w:sz w:val="18"/>
                <w:szCs w:val="18"/>
                <w:lang w:val="en-US" w:eastAsia="ko-KR"/>
              </w:rPr>
            </w:pPr>
            <w:r>
              <w:rPr>
                <w:rFonts w:eastAsia="굴림" w:hint="eastAsia"/>
                <w:color w:val="000000"/>
                <w:spacing w:val="-10"/>
                <w:w w:val="99"/>
                <w:sz w:val="18"/>
                <w:szCs w:val="18"/>
                <w:lang w:val="en-US" w:eastAsia="ko-KR"/>
              </w:rPr>
              <w:t>C</w:t>
            </w:r>
            <w:r>
              <w:rPr>
                <w:rFonts w:eastAsia="굴림"/>
                <w:color w:val="000000"/>
                <w:spacing w:val="-10"/>
                <w:w w:val="99"/>
                <w:sz w:val="18"/>
                <w:szCs w:val="18"/>
                <w:lang w:val="en-US" w:eastAsia="ko-KR"/>
              </w:rPr>
              <w:t>zech Republic</w:t>
            </w:r>
          </w:p>
        </w:tc>
        <w:tc>
          <w:tcPr>
            <w:tcW w:w="844" w:type="dxa"/>
            <w:shd w:val="clear" w:color="auto" w:fill="auto"/>
            <w:tcMar>
              <w:top w:w="28" w:type="dxa"/>
              <w:left w:w="102" w:type="dxa"/>
              <w:bottom w:w="28" w:type="dxa"/>
              <w:right w:w="102" w:type="dxa"/>
            </w:tcMar>
            <w:vAlign w:val="center"/>
          </w:tcPr>
          <w:p w14:paraId="2D9E0A02" w14:textId="04D0D864" w:rsidR="00ED5BA7" w:rsidRPr="00ED5BA7" w:rsidRDefault="00ED5BA7" w:rsidP="003D6506">
            <w:pPr>
              <w:pStyle w:val="Tabletext"/>
              <w:jc w:val="center"/>
              <w:rPr>
                <w:sz w:val="18"/>
                <w:szCs w:val="18"/>
              </w:rPr>
            </w:pPr>
            <w:r w:rsidRPr="00ED5BA7">
              <w:rPr>
                <w:rFonts w:eastAsia="나눔고딕"/>
                <w:sz w:val="18"/>
                <w:szCs w:val="18"/>
              </w:rPr>
              <w:t>4.4</w:t>
            </w:r>
          </w:p>
        </w:tc>
        <w:tc>
          <w:tcPr>
            <w:tcW w:w="864" w:type="dxa"/>
            <w:shd w:val="clear" w:color="auto" w:fill="auto"/>
            <w:tcMar>
              <w:top w:w="28" w:type="dxa"/>
              <w:left w:w="102" w:type="dxa"/>
              <w:bottom w:w="28" w:type="dxa"/>
              <w:right w:w="102" w:type="dxa"/>
            </w:tcMar>
            <w:vAlign w:val="center"/>
          </w:tcPr>
          <w:p w14:paraId="22F2BCE1" w14:textId="5B0A1A9D"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5544C885" w14:textId="2DABF245"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4ACD8CC7" w14:textId="387A16DC" w:rsidR="00ED5BA7" w:rsidRPr="00ED5BA7" w:rsidRDefault="00ED5BA7" w:rsidP="003D6506">
            <w:pPr>
              <w:pStyle w:val="Tabletext"/>
              <w:jc w:val="center"/>
              <w:rPr>
                <w:sz w:val="18"/>
                <w:szCs w:val="18"/>
              </w:rPr>
            </w:pPr>
            <w:r w:rsidRPr="00ED5BA7">
              <w:rPr>
                <w:rFonts w:eastAsia="나눔고딕"/>
                <w:sz w:val="18"/>
                <w:szCs w:val="18"/>
              </w:rPr>
              <w:t>4.4</w:t>
            </w:r>
          </w:p>
        </w:tc>
        <w:tc>
          <w:tcPr>
            <w:tcW w:w="772" w:type="dxa"/>
            <w:shd w:val="clear" w:color="auto" w:fill="auto"/>
            <w:tcMar>
              <w:top w:w="28" w:type="dxa"/>
              <w:left w:w="102" w:type="dxa"/>
              <w:bottom w:w="28" w:type="dxa"/>
              <w:right w:w="102" w:type="dxa"/>
            </w:tcMar>
            <w:vAlign w:val="center"/>
          </w:tcPr>
          <w:p w14:paraId="4A9E8ECD" w14:textId="3ECBCEF0"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714F13A1" w14:textId="2BCE9EF0" w:rsidR="00ED5BA7" w:rsidRPr="00ED5BA7" w:rsidRDefault="00ED5BA7" w:rsidP="003D6506">
            <w:pPr>
              <w:pStyle w:val="Tabletext"/>
              <w:jc w:val="center"/>
              <w:rPr>
                <w:sz w:val="18"/>
                <w:szCs w:val="18"/>
              </w:rPr>
            </w:pPr>
            <w:r w:rsidRPr="00ED5BA7">
              <w:rPr>
                <w:rFonts w:eastAsia="나눔고딕"/>
                <w:sz w:val="18"/>
                <w:szCs w:val="18"/>
              </w:rPr>
              <w:t>1.0</w:t>
            </w:r>
          </w:p>
        </w:tc>
        <w:tc>
          <w:tcPr>
            <w:tcW w:w="503" w:type="dxa"/>
            <w:vAlign w:val="center"/>
          </w:tcPr>
          <w:p w14:paraId="733CF9A0" w14:textId="30B4172F" w:rsidR="00ED5BA7" w:rsidRPr="00ED5BA7" w:rsidRDefault="00ED5BA7" w:rsidP="003D6506">
            <w:pPr>
              <w:pStyle w:val="Tabletext"/>
              <w:jc w:val="center"/>
              <w:rPr>
                <w:sz w:val="18"/>
                <w:szCs w:val="18"/>
              </w:rPr>
            </w:pPr>
            <w:r w:rsidRPr="00ED5BA7">
              <w:rPr>
                <w:rFonts w:eastAsia="나눔고딕"/>
                <w:sz w:val="18"/>
                <w:szCs w:val="18"/>
              </w:rPr>
              <w:t>21.9%</w:t>
            </w:r>
          </w:p>
        </w:tc>
        <w:tc>
          <w:tcPr>
            <w:tcW w:w="495" w:type="dxa"/>
            <w:vAlign w:val="center"/>
          </w:tcPr>
          <w:p w14:paraId="56357B92" w14:textId="07EA302F" w:rsidR="00ED5BA7" w:rsidRPr="00ED5BA7" w:rsidRDefault="00ED5BA7" w:rsidP="003D6506">
            <w:pPr>
              <w:pStyle w:val="Tabletext"/>
              <w:jc w:val="center"/>
              <w:rPr>
                <w:sz w:val="18"/>
                <w:szCs w:val="18"/>
              </w:rPr>
            </w:pPr>
            <w:r w:rsidRPr="00ED5BA7">
              <w:rPr>
                <w:rFonts w:eastAsia="나눔고딕"/>
                <w:sz w:val="18"/>
                <w:szCs w:val="18"/>
              </w:rPr>
              <w:t>0.0</w:t>
            </w:r>
          </w:p>
        </w:tc>
        <w:tc>
          <w:tcPr>
            <w:tcW w:w="591" w:type="dxa"/>
            <w:vAlign w:val="center"/>
          </w:tcPr>
          <w:p w14:paraId="22689A18" w14:textId="3E4720D7" w:rsidR="00ED5BA7" w:rsidRPr="00ED5BA7" w:rsidRDefault="00ED5BA7" w:rsidP="003D6506">
            <w:pPr>
              <w:pStyle w:val="Tabletext"/>
              <w:jc w:val="center"/>
              <w:rPr>
                <w:sz w:val="18"/>
                <w:szCs w:val="18"/>
              </w:rPr>
            </w:pPr>
            <w:r w:rsidRPr="00ED5BA7">
              <w:rPr>
                <w:rFonts w:eastAsia="나눔고딕"/>
                <w:sz w:val="18"/>
                <w:szCs w:val="18"/>
              </w:rPr>
              <w:t>0.0%</w:t>
            </w:r>
          </w:p>
        </w:tc>
        <w:tc>
          <w:tcPr>
            <w:tcW w:w="994" w:type="dxa"/>
            <w:vAlign w:val="center"/>
          </w:tcPr>
          <w:p w14:paraId="5962039C" w14:textId="49C3A090"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0527EBFE" w14:textId="70F38096"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08B8F5D1" w14:textId="67953388" w:rsidTr="003D6506">
        <w:trPr>
          <w:trHeight w:val="226"/>
          <w:jc w:val="center"/>
        </w:trPr>
        <w:tc>
          <w:tcPr>
            <w:tcW w:w="1165" w:type="dxa"/>
            <w:shd w:val="clear" w:color="auto" w:fill="auto"/>
            <w:tcMar>
              <w:top w:w="28" w:type="dxa"/>
              <w:left w:w="102" w:type="dxa"/>
              <w:bottom w:w="28" w:type="dxa"/>
              <w:right w:w="102" w:type="dxa"/>
            </w:tcMar>
            <w:vAlign w:val="center"/>
          </w:tcPr>
          <w:p w14:paraId="08A759D8" w14:textId="39A27B12"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F</w:t>
            </w:r>
            <w:r>
              <w:rPr>
                <w:rFonts w:eastAsia="나눔고딕"/>
                <w:sz w:val="18"/>
                <w:szCs w:val="18"/>
                <w:lang w:eastAsia="ko-KR"/>
              </w:rPr>
              <w:t>rance</w:t>
            </w:r>
          </w:p>
        </w:tc>
        <w:tc>
          <w:tcPr>
            <w:tcW w:w="844" w:type="dxa"/>
            <w:shd w:val="clear" w:color="auto" w:fill="auto"/>
            <w:tcMar>
              <w:top w:w="28" w:type="dxa"/>
              <w:left w:w="102" w:type="dxa"/>
              <w:bottom w:w="28" w:type="dxa"/>
              <w:right w:w="102" w:type="dxa"/>
            </w:tcMar>
            <w:vAlign w:val="center"/>
          </w:tcPr>
          <w:p w14:paraId="172E5650" w14:textId="2F52165C" w:rsidR="00ED5BA7" w:rsidRPr="00ED5BA7" w:rsidRDefault="00ED5BA7" w:rsidP="003D6506">
            <w:pPr>
              <w:pStyle w:val="Tabletext"/>
              <w:jc w:val="center"/>
              <w:rPr>
                <w:sz w:val="18"/>
                <w:szCs w:val="18"/>
              </w:rPr>
            </w:pPr>
            <w:r w:rsidRPr="00ED5BA7">
              <w:rPr>
                <w:rFonts w:eastAsia="나눔고딕"/>
                <w:sz w:val="18"/>
                <w:szCs w:val="18"/>
              </w:rPr>
              <w:t>4.7</w:t>
            </w:r>
          </w:p>
        </w:tc>
        <w:tc>
          <w:tcPr>
            <w:tcW w:w="864" w:type="dxa"/>
            <w:shd w:val="clear" w:color="auto" w:fill="auto"/>
            <w:tcMar>
              <w:top w:w="28" w:type="dxa"/>
              <w:left w:w="102" w:type="dxa"/>
              <w:bottom w:w="28" w:type="dxa"/>
              <w:right w:w="102" w:type="dxa"/>
            </w:tcMar>
            <w:vAlign w:val="center"/>
          </w:tcPr>
          <w:p w14:paraId="67B2004B" w14:textId="7B30A587"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32C23728" w14:textId="144B31A5"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5FCAC150" w14:textId="23BC3553" w:rsidR="00ED5BA7" w:rsidRPr="00ED5BA7" w:rsidRDefault="00ED5BA7" w:rsidP="003D6506">
            <w:pPr>
              <w:pStyle w:val="Tabletext"/>
              <w:jc w:val="center"/>
              <w:rPr>
                <w:sz w:val="18"/>
                <w:szCs w:val="18"/>
              </w:rPr>
            </w:pPr>
            <w:r w:rsidRPr="00ED5BA7">
              <w:rPr>
                <w:rFonts w:eastAsia="나눔고딕"/>
                <w:sz w:val="18"/>
                <w:szCs w:val="18"/>
              </w:rPr>
              <w:t>4.7</w:t>
            </w:r>
          </w:p>
        </w:tc>
        <w:tc>
          <w:tcPr>
            <w:tcW w:w="772" w:type="dxa"/>
            <w:shd w:val="clear" w:color="auto" w:fill="auto"/>
            <w:tcMar>
              <w:top w:w="28" w:type="dxa"/>
              <w:left w:w="102" w:type="dxa"/>
              <w:bottom w:w="28" w:type="dxa"/>
              <w:right w:w="102" w:type="dxa"/>
            </w:tcMar>
            <w:vAlign w:val="center"/>
          </w:tcPr>
          <w:p w14:paraId="0066F45B" w14:textId="06567557"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7BB82EB4" w14:textId="3DE04952" w:rsidR="00ED5BA7" w:rsidRPr="00ED5BA7" w:rsidRDefault="00ED5BA7" w:rsidP="003D6506">
            <w:pPr>
              <w:pStyle w:val="Tabletext"/>
              <w:jc w:val="center"/>
              <w:rPr>
                <w:sz w:val="18"/>
                <w:szCs w:val="18"/>
              </w:rPr>
            </w:pPr>
            <w:r w:rsidRPr="00ED5BA7">
              <w:rPr>
                <w:rFonts w:eastAsia="나눔고딕"/>
                <w:sz w:val="18"/>
                <w:szCs w:val="18"/>
              </w:rPr>
              <w:t>1.3</w:t>
            </w:r>
          </w:p>
        </w:tc>
        <w:tc>
          <w:tcPr>
            <w:tcW w:w="503" w:type="dxa"/>
            <w:vAlign w:val="center"/>
          </w:tcPr>
          <w:p w14:paraId="37D4D83B" w14:textId="6069A9E6" w:rsidR="00ED5BA7" w:rsidRPr="00ED5BA7" w:rsidRDefault="00ED5BA7" w:rsidP="003D6506">
            <w:pPr>
              <w:pStyle w:val="Tabletext"/>
              <w:jc w:val="center"/>
              <w:rPr>
                <w:sz w:val="18"/>
                <w:szCs w:val="18"/>
              </w:rPr>
            </w:pPr>
            <w:r w:rsidRPr="00ED5BA7">
              <w:rPr>
                <w:rFonts w:eastAsia="나눔고딕"/>
                <w:sz w:val="18"/>
                <w:szCs w:val="18"/>
              </w:rPr>
              <w:t>26.9%</w:t>
            </w:r>
          </w:p>
        </w:tc>
        <w:tc>
          <w:tcPr>
            <w:tcW w:w="495" w:type="dxa"/>
            <w:vAlign w:val="center"/>
          </w:tcPr>
          <w:p w14:paraId="138FFC3C" w14:textId="50A7D7F6" w:rsidR="00ED5BA7" w:rsidRPr="00ED5BA7" w:rsidRDefault="00ED5BA7" w:rsidP="003D6506">
            <w:pPr>
              <w:pStyle w:val="Tabletext"/>
              <w:jc w:val="center"/>
              <w:rPr>
                <w:sz w:val="18"/>
                <w:szCs w:val="18"/>
              </w:rPr>
            </w:pPr>
            <w:r w:rsidRPr="00ED5BA7">
              <w:rPr>
                <w:rFonts w:eastAsia="나눔고딕"/>
                <w:sz w:val="18"/>
                <w:szCs w:val="18"/>
              </w:rPr>
              <w:t>0.9</w:t>
            </w:r>
          </w:p>
        </w:tc>
        <w:tc>
          <w:tcPr>
            <w:tcW w:w="591" w:type="dxa"/>
            <w:vAlign w:val="center"/>
          </w:tcPr>
          <w:p w14:paraId="007C65EF" w14:textId="5214D86D" w:rsidR="00ED5BA7" w:rsidRPr="00ED5BA7" w:rsidRDefault="00ED5BA7" w:rsidP="003D6506">
            <w:pPr>
              <w:pStyle w:val="Tabletext"/>
              <w:jc w:val="center"/>
              <w:rPr>
                <w:sz w:val="18"/>
                <w:szCs w:val="18"/>
              </w:rPr>
            </w:pPr>
            <w:r w:rsidRPr="00ED5BA7">
              <w:rPr>
                <w:rFonts w:eastAsia="나눔고딕"/>
                <w:sz w:val="18"/>
                <w:szCs w:val="18"/>
              </w:rPr>
              <w:t>18.1%</w:t>
            </w:r>
          </w:p>
        </w:tc>
        <w:tc>
          <w:tcPr>
            <w:tcW w:w="994" w:type="dxa"/>
            <w:vAlign w:val="center"/>
          </w:tcPr>
          <w:p w14:paraId="20613122" w14:textId="04BFA232"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61E6D473" w14:textId="46BE0E69"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643A8866" w14:textId="6F713D21" w:rsidTr="003D6506">
        <w:trPr>
          <w:trHeight w:val="226"/>
          <w:jc w:val="center"/>
        </w:trPr>
        <w:tc>
          <w:tcPr>
            <w:tcW w:w="1165" w:type="dxa"/>
            <w:shd w:val="clear" w:color="auto" w:fill="auto"/>
            <w:tcMar>
              <w:top w:w="28" w:type="dxa"/>
              <w:left w:w="102" w:type="dxa"/>
              <w:bottom w:w="28" w:type="dxa"/>
              <w:right w:w="102" w:type="dxa"/>
            </w:tcMar>
            <w:vAlign w:val="center"/>
          </w:tcPr>
          <w:p w14:paraId="3ABB1397" w14:textId="12BFC89D"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H</w:t>
            </w:r>
            <w:r>
              <w:rPr>
                <w:rFonts w:eastAsia="나눔고딕"/>
                <w:sz w:val="18"/>
                <w:szCs w:val="18"/>
                <w:lang w:eastAsia="ko-KR"/>
              </w:rPr>
              <w:t>ungary</w:t>
            </w:r>
          </w:p>
        </w:tc>
        <w:tc>
          <w:tcPr>
            <w:tcW w:w="844" w:type="dxa"/>
            <w:shd w:val="clear" w:color="auto" w:fill="auto"/>
            <w:tcMar>
              <w:top w:w="28" w:type="dxa"/>
              <w:left w:w="102" w:type="dxa"/>
              <w:bottom w:w="28" w:type="dxa"/>
              <w:right w:w="102" w:type="dxa"/>
            </w:tcMar>
            <w:vAlign w:val="center"/>
          </w:tcPr>
          <w:p w14:paraId="35EB66B5" w14:textId="032D1299" w:rsidR="00ED5BA7" w:rsidRPr="00ED5BA7" w:rsidRDefault="00ED5BA7" w:rsidP="003D6506">
            <w:pPr>
              <w:pStyle w:val="Tabletext"/>
              <w:jc w:val="center"/>
              <w:rPr>
                <w:sz w:val="18"/>
                <w:szCs w:val="18"/>
              </w:rPr>
            </w:pPr>
            <w:r w:rsidRPr="00ED5BA7">
              <w:rPr>
                <w:rFonts w:eastAsia="나눔고딕"/>
                <w:sz w:val="18"/>
                <w:szCs w:val="18"/>
              </w:rPr>
              <w:t>0.9</w:t>
            </w:r>
          </w:p>
        </w:tc>
        <w:tc>
          <w:tcPr>
            <w:tcW w:w="864" w:type="dxa"/>
            <w:shd w:val="clear" w:color="auto" w:fill="auto"/>
            <w:tcMar>
              <w:top w:w="28" w:type="dxa"/>
              <w:left w:w="102" w:type="dxa"/>
              <w:bottom w:w="28" w:type="dxa"/>
              <w:right w:w="102" w:type="dxa"/>
            </w:tcMar>
            <w:vAlign w:val="center"/>
          </w:tcPr>
          <w:p w14:paraId="22CFF6A9" w14:textId="732F2D4E"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1F36811F" w14:textId="73E9EC3E"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09043FEE" w14:textId="7018EE72" w:rsidR="00ED5BA7" w:rsidRPr="00ED5BA7" w:rsidRDefault="00ED5BA7" w:rsidP="003D6506">
            <w:pPr>
              <w:pStyle w:val="Tabletext"/>
              <w:jc w:val="center"/>
              <w:rPr>
                <w:sz w:val="18"/>
                <w:szCs w:val="18"/>
              </w:rPr>
            </w:pPr>
            <w:r w:rsidRPr="00ED5BA7">
              <w:rPr>
                <w:rFonts w:eastAsia="나눔고딕"/>
                <w:sz w:val="18"/>
                <w:szCs w:val="18"/>
              </w:rPr>
              <w:t>0.9</w:t>
            </w:r>
          </w:p>
        </w:tc>
        <w:tc>
          <w:tcPr>
            <w:tcW w:w="772" w:type="dxa"/>
            <w:shd w:val="clear" w:color="auto" w:fill="auto"/>
            <w:tcMar>
              <w:top w:w="28" w:type="dxa"/>
              <w:left w:w="102" w:type="dxa"/>
              <w:bottom w:w="28" w:type="dxa"/>
              <w:right w:w="102" w:type="dxa"/>
            </w:tcMar>
            <w:vAlign w:val="center"/>
          </w:tcPr>
          <w:p w14:paraId="031553BF" w14:textId="07808939"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549F0095" w14:textId="691D0248"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4D2A44B6" w14:textId="18ED754D"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591DA3AB" w14:textId="68B9C916" w:rsidR="00ED5BA7" w:rsidRPr="00ED5BA7" w:rsidRDefault="00ED5BA7" w:rsidP="003D6506">
            <w:pPr>
              <w:pStyle w:val="Tabletext"/>
              <w:jc w:val="center"/>
              <w:rPr>
                <w:sz w:val="18"/>
                <w:szCs w:val="18"/>
              </w:rPr>
            </w:pPr>
            <w:r w:rsidRPr="00ED5BA7">
              <w:rPr>
                <w:rFonts w:eastAsia="나눔고딕"/>
                <w:sz w:val="18"/>
                <w:szCs w:val="18"/>
              </w:rPr>
              <w:t>0.0</w:t>
            </w:r>
          </w:p>
        </w:tc>
        <w:tc>
          <w:tcPr>
            <w:tcW w:w="591" w:type="dxa"/>
            <w:vAlign w:val="center"/>
          </w:tcPr>
          <w:p w14:paraId="41420B85" w14:textId="3A644116" w:rsidR="00ED5BA7" w:rsidRPr="00ED5BA7" w:rsidRDefault="00ED5BA7" w:rsidP="003D6506">
            <w:pPr>
              <w:pStyle w:val="Tabletext"/>
              <w:jc w:val="center"/>
              <w:rPr>
                <w:sz w:val="18"/>
                <w:szCs w:val="18"/>
              </w:rPr>
            </w:pPr>
            <w:r w:rsidRPr="00ED5BA7">
              <w:rPr>
                <w:rFonts w:eastAsia="나눔고딕"/>
                <w:sz w:val="18"/>
                <w:szCs w:val="18"/>
              </w:rPr>
              <w:t>0.0%</w:t>
            </w:r>
          </w:p>
        </w:tc>
        <w:tc>
          <w:tcPr>
            <w:tcW w:w="994" w:type="dxa"/>
            <w:vAlign w:val="center"/>
          </w:tcPr>
          <w:p w14:paraId="53ABD2E2" w14:textId="3321B8A4"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664316C5" w14:textId="2FB548A4"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64CBA353" w14:textId="36CD601B" w:rsidTr="003D6506">
        <w:trPr>
          <w:trHeight w:val="226"/>
          <w:jc w:val="center"/>
        </w:trPr>
        <w:tc>
          <w:tcPr>
            <w:tcW w:w="1165" w:type="dxa"/>
            <w:shd w:val="clear" w:color="auto" w:fill="auto"/>
            <w:tcMar>
              <w:top w:w="28" w:type="dxa"/>
              <w:left w:w="102" w:type="dxa"/>
              <w:bottom w:w="28" w:type="dxa"/>
              <w:right w:w="102" w:type="dxa"/>
            </w:tcMar>
            <w:vAlign w:val="center"/>
          </w:tcPr>
          <w:p w14:paraId="348F8BDF" w14:textId="0556FA3C"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I</w:t>
            </w:r>
            <w:r>
              <w:rPr>
                <w:rFonts w:eastAsia="나눔고딕"/>
                <w:sz w:val="18"/>
                <w:szCs w:val="18"/>
                <w:lang w:eastAsia="ko-KR"/>
              </w:rPr>
              <w:t>ndia</w:t>
            </w:r>
          </w:p>
        </w:tc>
        <w:tc>
          <w:tcPr>
            <w:tcW w:w="844" w:type="dxa"/>
            <w:shd w:val="clear" w:color="auto" w:fill="auto"/>
            <w:tcMar>
              <w:top w:w="28" w:type="dxa"/>
              <w:left w:w="102" w:type="dxa"/>
              <w:bottom w:w="28" w:type="dxa"/>
              <w:right w:w="102" w:type="dxa"/>
            </w:tcMar>
            <w:vAlign w:val="center"/>
          </w:tcPr>
          <w:p w14:paraId="01F5BA30" w14:textId="0710D630" w:rsidR="00ED5BA7" w:rsidRPr="00ED5BA7" w:rsidRDefault="00ED5BA7" w:rsidP="003D6506">
            <w:pPr>
              <w:pStyle w:val="Tabletext"/>
              <w:jc w:val="center"/>
              <w:rPr>
                <w:sz w:val="18"/>
                <w:szCs w:val="18"/>
              </w:rPr>
            </w:pPr>
            <w:r w:rsidRPr="00ED5BA7">
              <w:rPr>
                <w:rFonts w:eastAsia="나눔고딕"/>
                <w:sz w:val="18"/>
                <w:szCs w:val="18"/>
              </w:rPr>
              <w:t>37.8</w:t>
            </w:r>
          </w:p>
        </w:tc>
        <w:tc>
          <w:tcPr>
            <w:tcW w:w="864" w:type="dxa"/>
            <w:shd w:val="clear" w:color="auto" w:fill="auto"/>
            <w:tcMar>
              <w:top w:w="28" w:type="dxa"/>
              <w:left w:w="102" w:type="dxa"/>
              <w:bottom w:w="28" w:type="dxa"/>
              <w:right w:w="102" w:type="dxa"/>
            </w:tcMar>
            <w:vAlign w:val="center"/>
          </w:tcPr>
          <w:p w14:paraId="4AF4848D" w14:textId="2BF5A769"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218DE926" w14:textId="0A2434EC"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5C360BB4" w14:textId="2A0F0A0B" w:rsidR="00ED5BA7" w:rsidRPr="00ED5BA7" w:rsidRDefault="00ED5BA7" w:rsidP="003D6506">
            <w:pPr>
              <w:pStyle w:val="Tabletext"/>
              <w:jc w:val="center"/>
              <w:rPr>
                <w:sz w:val="18"/>
                <w:szCs w:val="18"/>
              </w:rPr>
            </w:pPr>
            <w:r w:rsidRPr="00ED5BA7">
              <w:rPr>
                <w:rFonts w:eastAsia="나눔고딕"/>
                <w:sz w:val="18"/>
                <w:szCs w:val="18"/>
              </w:rPr>
              <w:t>37.8</w:t>
            </w:r>
          </w:p>
        </w:tc>
        <w:tc>
          <w:tcPr>
            <w:tcW w:w="772" w:type="dxa"/>
            <w:shd w:val="clear" w:color="auto" w:fill="auto"/>
            <w:tcMar>
              <w:top w:w="28" w:type="dxa"/>
              <w:left w:w="102" w:type="dxa"/>
              <w:bottom w:w="28" w:type="dxa"/>
              <w:right w:w="102" w:type="dxa"/>
            </w:tcMar>
            <w:vAlign w:val="center"/>
          </w:tcPr>
          <w:p w14:paraId="206BDB60" w14:textId="1E010657"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068F1177" w14:textId="285CEFE1" w:rsidR="00ED5BA7" w:rsidRPr="00ED5BA7" w:rsidRDefault="00ED5BA7" w:rsidP="003D6506">
            <w:pPr>
              <w:pStyle w:val="Tabletext"/>
              <w:jc w:val="center"/>
              <w:rPr>
                <w:sz w:val="18"/>
                <w:szCs w:val="18"/>
              </w:rPr>
            </w:pPr>
            <w:r w:rsidRPr="00ED5BA7">
              <w:rPr>
                <w:rFonts w:eastAsia="나눔고딕"/>
                <w:sz w:val="18"/>
                <w:szCs w:val="18"/>
              </w:rPr>
              <w:t>4.6</w:t>
            </w:r>
          </w:p>
        </w:tc>
        <w:tc>
          <w:tcPr>
            <w:tcW w:w="503" w:type="dxa"/>
            <w:vAlign w:val="center"/>
          </w:tcPr>
          <w:p w14:paraId="74F2E1F7" w14:textId="106B4E07" w:rsidR="00ED5BA7" w:rsidRPr="00ED5BA7" w:rsidRDefault="00ED5BA7" w:rsidP="003D6506">
            <w:pPr>
              <w:pStyle w:val="Tabletext"/>
              <w:jc w:val="center"/>
              <w:rPr>
                <w:sz w:val="18"/>
                <w:szCs w:val="18"/>
              </w:rPr>
            </w:pPr>
            <w:r w:rsidRPr="00ED5BA7">
              <w:rPr>
                <w:rFonts w:eastAsia="나눔고딕"/>
                <w:sz w:val="18"/>
                <w:szCs w:val="18"/>
              </w:rPr>
              <w:t>12.2%</w:t>
            </w:r>
          </w:p>
        </w:tc>
        <w:tc>
          <w:tcPr>
            <w:tcW w:w="495" w:type="dxa"/>
            <w:vAlign w:val="center"/>
          </w:tcPr>
          <w:p w14:paraId="24D49E02" w14:textId="7F9D1A5C" w:rsidR="00ED5BA7" w:rsidRPr="00ED5BA7" w:rsidRDefault="00ED5BA7" w:rsidP="003D6506">
            <w:pPr>
              <w:pStyle w:val="Tabletext"/>
              <w:jc w:val="center"/>
              <w:rPr>
                <w:sz w:val="18"/>
                <w:szCs w:val="18"/>
              </w:rPr>
            </w:pPr>
            <w:r w:rsidRPr="00ED5BA7">
              <w:rPr>
                <w:rFonts w:eastAsia="나눔고딕"/>
                <w:sz w:val="18"/>
                <w:szCs w:val="18"/>
              </w:rPr>
              <w:t>1.3</w:t>
            </w:r>
          </w:p>
        </w:tc>
        <w:tc>
          <w:tcPr>
            <w:tcW w:w="591" w:type="dxa"/>
            <w:vAlign w:val="center"/>
          </w:tcPr>
          <w:p w14:paraId="05943301" w14:textId="490947FD" w:rsidR="00ED5BA7" w:rsidRPr="00ED5BA7" w:rsidRDefault="00ED5BA7" w:rsidP="003D6506">
            <w:pPr>
              <w:pStyle w:val="Tabletext"/>
              <w:jc w:val="center"/>
              <w:rPr>
                <w:sz w:val="18"/>
                <w:szCs w:val="18"/>
              </w:rPr>
            </w:pPr>
            <w:r w:rsidRPr="00ED5BA7">
              <w:rPr>
                <w:rFonts w:eastAsia="나눔고딕"/>
                <w:sz w:val="18"/>
                <w:szCs w:val="18"/>
              </w:rPr>
              <w:t>3.3%</w:t>
            </w:r>
          </w:p>
        </w:tc>
        <w:tc>
          <w:tcPr>
            <w:tcW w:w="994" w:type="dxa"/>
            <w:vAlign w:val="center"/>
          </w:tcPr>
          <w:p w14:paraId="23A73356" w14:textId="041B8576"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7FECABCB" w14:textId="2EDBBD76"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3048D57A" w14:textId="35878F98" w:rsidTr="003D6506">
        <w:trPr>
          <w:trHeight w:val="226"/>
          <w:jc w:val="center"/>
        </w:trPr>
        <w:tc>
          <w:tcPr>
            <w:tcW w:w="1165" w:type="dxa"/>
            <w:shd w:val="clear" w:color="auto" w:fill="auto"/>
            <w:tcMar>
              <w:top w:w="28" w:type="dxa"/>
              <w:left w:w="102" w:type="dxa"/>
              <w:bottom w:w="28" w:type="dxa"/>
              <w:right w:w="102" w:type="dxa"/>
            </w:tcMar>
            <w:vAlign w:val="center"/>
          </w:tcPr>
          <w:p w14:paraId="7345A2DB" w14:textId="37924938" w:rsidR="00ED5BA7" w:rsidRPr="00ED5BA7" w:rsidRDefault="003D6506" w:rsidP="00ED5BA7">
            <w:pPr>
              <w:pStyle w:val="Tabletext"/>
              <w:rPr>
                <w:rFonts w:eastAsia="굴림"/>
                <w:color w:val="000000"/>
                <w:spacing w:val="-10"/>
                <w:w w:val="99"/>
                <w:sz w:val="18"/>
                <w:szCs w:val="18"/>
                <w:lang w:val="en-US" w:eastAsia="ko-KR"/>
              </w:rPr>
            </w:pPr>
            <w:r>
              <w:rPr>
                <w:rFonts w:eastAsia="굴림" w:hint="eastAsia"/>
                <w:color w:val="000000"/>
                <w:spacing w:val="-10"/>
                <w:w w:val="99"/>
                <w:sz w:val="18"/>
                <w:szCs w:val="18"/>
                <w:lang w:val="en-US" w:eastAsia="ko-KR"/>
              </w:rPr>
              <w:t>J</w:t>
            </w:r>
            <w:r>
              <w:rPr>
                <w:rFonts w:eastAsia="굴림"/>
                <w:color w:val="000000"/>
                <w:spacing w:val="-10"/>
                <w:w w:val="99"/>
                <w:sz w:val="18"/>
                <w:szCs w:val="18"/>
                <w:lang w:val="en-US" w:eastAsia="ko-KR"/>
              </w:rPr>
              <w:t>apan</w:t>
            </w:r>
          </w:p>
        </w:tc>
        <w:tc>
          <w:tcPr>
            <w:tcW w:w="844" w:type="dxa"/>
            <w:shd w:val="clear" w:color="auto" w:fill="auto"/>
            <w:tcMar>
              <w:top w:w="28" w:type="dxa"/>
              <w:left w:w="102" w:type="dxa"/>
              <w:bottom w:w="28" w:type="dxa"/>
              <w:right w:w="102" w:type="dxa"/>
            </w:tcMar>
            <w:vAlign w:val="center"/>
          </w:tcPr>
          <w:p w14:paraId="5185A77D" w14:textId="01862C36" w:rsidR="00ED5BA7" w:rsidRPr="00ED5BA7" w:rsidRDefault="00ED5BA7" w:rsidP="003D6506">
            <w:pPr>
              <w:pStyle w:val="Tabletext"/>
              <w:jc w:val="center"/>
              <w:rPr>
                <w:sz w:val="18"/>
                <w:szCs w:val="18"/>
              </w:rPr>
            </w:pPr>
            <w:r w:rsidRPr="00ED5BA7">
              <w:rPr>
                <w:rFonts w:eastAsia="나눔고딕"/>
                <w:sz w:val="18"/>
                <w:szCs w:val="18"/>
              </w:rPr>
              <w:t>25.5</w:t>
            </w:r>
          </w:p>
        </w:tc>
        <w:tc>
          <w:tcPr>
            <w:tcW w:w="864" w:type="dxa"/>
            <w:shd w:val="clear" w:color="auto" w:fill="auto"/>
            <w:tcMar>
              <w:top w:w="28" w:type="dxa"/>
              <w:left w:w="102" w:type="dxa"/>
              <w:bottom w:w="28" w:type="dxa"/>
              <w:right w:w="102" w:type="dxa"/>
            </w:tcMar>
            <w:vAlign w:val="center"/>
          </w:tcPr>
          <w:p w14:paraId="0F775109" w14:textId="135AC7B2"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6F6C8BF3" w14:textId="1CABB45C"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3241E6A2" w14:textId="0232F159" w:rsidR="00ED5BA7" w:rsidRPr="00ED5BA7" w:rsidRDefault="00ED5BA7" w:rsidP="003D6506">
            <w:pPr>
              <w:pStyle w:val="Tabletext"/>
              <w:jc w:val="center"/>
              <w:rPr>
                <w:sz w:val="18"/>
                <w:szCs w:val="18"/>
              </w:rPr>
            </w:pPr>
            <w:r w:rsidRPr="00ED5BA7">
              <w:rPr>
                <w:rFonts w:eastAsia="나눔고딕"/>
                <w:sz w:val="18"/>
                <w:szCs w:val="18"/>
              </w:rPr>
              <w:t>25.5</w:t>
            </w:r>
          </w:p>
        </w:tc>
        <w:tc>
          <w:tcPr>
            <w:tcW w:w="772" w:type="dxa"/>
            <w:shd w:val="clear" w:color="auto" w:fill="auto"/>
            <w:tcMar>
              <w:top w:w="28" w:type="dxa"/>
              <w:left w:w="102" w:type="dxa"/>
              <w:bottom w:w="28" w:type="dxa"/>
              <w:right w:w="102" w:type="dxa"/>
            </w:tcMar>
            <w:vAlign w:val="center"/>
          </w:tcPr>
          <w:p w14:paraId="2539AA59" w14:textId="77619CD6"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706248AB" w14:textId="76CABA76"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6852FCF4" w14:textId="5A602BA4"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23216207" w14:textId="36770646" w:rsidR="00ED5BA7" w:rsidRPr="00ED5BA7" w:rsidRDefault="00ED5BA7" w:rsidP="003D6506">
            <w:pPr>
              <w:pStyle w:val="Tabletext"/>
              <w:jc w:val="center"/>
              <w:rPr>
                <w:sz w:val="18"/>
                <w:szCs w:val="18"/>
              </w:rPr>
            </w:pPr>
            <w:r w:rsidRPr="00ED5BA7">
              <w:rPr>
                <w:rFonts w:eastAsia="나눔고딕"/>
                <w:sz w:val="18"/>
                <w:szCs w:val="18"/>
              </w:rPr>
              <w:t>23.5</w:t>
            </w:r>
          </w:p>
        </w:tc>
        <w:tc>
          <w:tcPr>
            <w:tcW w:w="591" w:type="dxa"/>
            <w:vAlign w:val="center"/>
          </w:tcPr>
          <w:p w14:paraId="2DA6BA13" w14:textId="0F388127" w:rsidR="00ED5BA7" w:rsidRPr="00ED5BA7" w:rsidRDefault="00ED5BA7" w:rsidP="003D6506">
            <w:pPr>
              <w:pStyle w:val="Tabletext"/>
              <w:jc w:val="center"/>
              <w:rPr>
                <w:sz w:val="18"/>
                <w:szCs w:val="18"/>
              </w:rPr>
            </w:pPr>
            <w:r w:rsidRPr="00ED5BA7">
              <w:rPr>
                <w:rFonts w:eastAsia="나눔고딕"/>
                <w:sz w:val="18"/>
                <w:szCs w:val="18"/>
              </w:rPr>
              <w:t>92.2%</w:t>
            </w:r>
          </w:p>
        </w:tc>
        <w:tc>
          <w:tcPr>
            <w:tcW w:w="994" w:type="dxa"/>
            <w:vAlign w:val="center"/>
          </w:tcPr>
          <w:p w14:paraId="40CD6929" w14:textId="05BF60DB" w:rsidR="00ED5BA7" w:rsidRPr="00ED5BA7" w:rsidRDefault="00ED5BA7" w:rsidP="003D6506">
            <w:pPr>
              <w:pStyle w:val="Tabletext"/>
              <w:jc w:val="center"/>
              <w:rPr>
                <w:sz w:val="18"/>
                <w:szCs w:val="18"/>
              </w:rPr>
            </w:pPr>
            <w:r w:rsidRPr="00ED5BA7">
              <w:rPr>
                <w:rFonts w:eastAsia="나눔고딕"/>
                <w:sz w:val="18"/>
                <w:szCs w:val="18"/>
              </w:rPr>
              <w:t>10.1</w:t>
            </w:r>
          </w:p>
        </w:tc>
        <w:tc>
          <w:tcPr>
            <w:tcW w:w="503" w:type="dxa"/>
            <w:vAlign w:val="center"/>
          </w:tcPr>
          <w:p w14:paraId="2C9C9602" w14:textId="19F36111" w:rsidR="00ED5BA7" w:rsidRPr="00ED5BA7" w:rsidRDefault="00ED5BA7" w:rsidP="003D6506">
            <w:pPr>
              <w:pStyle w:val="Tabletext"/>
              <w:jc w:val="center"/>
              <w:rPr>
                <w:sz w:val="18"/>
                <w:szCs w:val="18"/>
              </w:rPr>
            </w:pPr>
            <w:r w:rsidRPr="00ED5BA7">
              <w:rPr>
                <w:rFonts w:eastAsia="나눔고딕"/>
                <w:sz w:val="18"/>
                <w:szCs w:val="18"/>
              </w:rPr>
              <w:t>39.6%</w:t>
            </w:r>
          </w:p>
        </w:tc>
      </w:tr>
      <w:tr w:rsidR="003D6506" w:rsidRPr="00811AF2" w14:paraId="12054BEF" w14:textId="0E3391C3" w:rsidTr="003D6506">
        <w:trPr>
          <w:trHeight w:val="226"/>
          <w:jc w:val="center"/>
        </w:trPr>
        <w:tc>
          <w:tcPr>
            <w:tcW w:w="1165" w:type="dxa"/>
            <w:shd w:val="clear" w:color="auto" w:fill="auto"/>
            <w:tcMar>
              <w:top w:w="28" w:type="dxa"/>
              <w:left w:w="102" w:type="dxa"/>
              <w:bottom w:w="28" w:type="dxa"/>
              <w:right w:w="102" w:type="dxa"/>
            </w:tcMar>
            <w:vAlign w:val="center"/>
          </w:tcPr>
          <w:p w14:paraId="7532652F" w14:textId="250B2C90"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M</w:t>
            </w:r>
            <w:r>
              <w:rPr>
                <w:rFonts w:eastAsia="나눔고딕"/>
                <w:sz w:val="18"/>
                <w:szCs w:val="18"/>
                <w:lang w:eastAsia="ko-KR"/>
              </w:rPr>
              <w:t>exico</w:t>
            </w:r>
          </w:p>
        </w:tc>
        <w:tc>
          <w:tcPr>
            <w:tcW w:w="844" w:type="dxa"/>
            <w:shd w:val="clear" w:color="auto" w:fill="auto"/>
            <w:tcMar>
              <w:top w:w="28" w:type="dxa"/>
              <w:left w:w="102" w:type="dxa"/>
              <w:bottom w:w="28" w:type="dxa"/>
              <w:right w:w="102" w:type="dxa"/>
            </w:tcMar>
            <w:vAlign w:val="center"/>
          </w:tcPr>
          <w:p w14:paraId="2960C14C" w14:textId="21A999BD" w:rsidR="00ED5BA7" w:rsidRPr="00ED5BA7" w:rsidRDefault="00ED5BA7" w:rsidP="003D6506">
            <w:pPr>
              <w:pStyle w:val="Tabletext"/>
              <w:jc w:val="center"/>
              <w:rPr>
                <w:sz w:val="18"/>
                <w:szCs w:val="18"/>
              </w:rPr>
            </w:pPr>
            <w:r w:rsidRPr="00ED5BA7">
              <w:rPr>
                <w:rFonts w:eastAsia="나눔고딕"/>
                <w:sz w:val="18"/>
                <w:szCs w:val="18"/>
              </w:rPr>
              <w:t>5.4</w:t>
            </w:r>
          </w:p>
        </w:tc>
        <w:tc>
          <w:tcPr>
            <w:tcW w:w="864" w:type="dxa"/>
            <w:shd w:val="clear" w:color="auto" w:fill="auto"/>
            <w:tcMar>
              <w:top w:w="28" w:type="dxa"/>
              <w:left w:w="102" w:type="dxa"/>
              <w:bottom w:w="28" w:type="dxa"/>
              <w:right w:w="102" w:type="dxa"/>
            </w:tcMar>
            <w:vAlign w:val="center"/>
          </w:tcPr>
          <w:p w14:paraId="7FE458F2" w14:textId="027BA209"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76354208" w14:textId="5C03D37D"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74333280" w14:textId="19D5404D" w:rsidR="00ED5BA7" w:rsidRPr="00ED5BA7" w:rsidRDefault="00ED5BA7" w:rsidP="003D6506">
            <w:pPr>
              <w:pStyle w:val="Tabletext"/>
              <w:jc w:val="center"/>
              <w:rPr>
                <w:sz w:val="18"/>
                <w:szCs w:val="18"/>
              </w:rPr>
            </w:pPr>
            <w:r w:rsidRPr="00ED5BA7">
              <w:rPr>
                <w:rFonts w:eastAsia="나눔고딕"/>
                <w:sz w:val="18"/>
                <w:szCs w:val="18"/>
              </w:rPr>
              <w:t>5.4</w:t>
            </w:r>
          </w:p>
        </w:tc>
        <w:tc>
          <w:tcPr>
            <w:tcW w:w="772" w:type="dxa"/>
            <w:shd w:val="clear" w:color="auto" w:fill="auto"/>
            <w:tcMar>
              <w:top w:w="28" w:type="dxa"/>
              <w:left w:w="102" w:type="dxa"/>
              <w:bottom w:w="28" w:type="dxa"/>
              <w:right w:w="102" w:type="dxa"/>
            </w:tcMar>
            <w:vAlign w:val="center"/>
          </w:tcPr>
          <w:p w14:paraId="6B25539B" w14:textId="251084F1"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35204D56" w14:textId="05C8E985" w:rsidR="00ED5BA7" w:rsidRPr="00ED5BA7" w:rsidRDefault="00ED5BA7" w:rsidP="003D6506">
            <w:pPr>
              <w:pStyle w:val="Tabletext"/>
              <w:jc w:val="center"/>
              <w:rPr>
                <w:sz w:val="18"/>
                <w:szCs w:val="18"/>
              </w:rPr>
            </w:pPr>
            <w:r w:rsidRPr="00ED5BA7">
              <w:rPr>
                <w:rFonts w:eastAsia="나눔고딕"/>
                <w:sz w:val="18"/>
                <w:szCs w:val="18"/>
              </w:rPr>
              <w:t>2.8</w:t>
            </w:r>
          </w:p>
        </w:tc>
        <w:tc>
          <w:tcPr>
            <w:tcW w:w="503" w:type="dxa"/>
            <w:vAlign w:val="center"/>
          </w:tcPr>
          <w:p w14:paraId="037E38CC" w14:textId="07B3503D" w:rsidR="00ED5BA7" w:rsidRPr="00ED5BA7" w:rsidRDefault="00ED5BA7" w:rsidP="003D6506">
            <w:pPr>
              <w:pStyle w:val="Tabletext"/>
              <w:jc w:val="center"/>
              <w:rPr>
                <w:sz w:val="18"/>
                <w:szCs w:val="18"/>
              </w:rPr>
            </w:pPr>
            <w:r w:rsidRPr="00ED5BA7">
              <w:rPr>
                <w:rFonts w:eastAsia="나눔고딕"/>
                <w:sz w:val="18"/>
                <w:szCs w:val="18"/>
              </w:rPr>
              <w:t>51.7%</w:t>
            </w:r>
          </w:p>
        </w:tc>
        <w:tc>
          <w:tcPr>
            <w:tcW w:w="495" w:type="dxa"/>
            <w:vAlign w:val="center"/>
          </w:tcPr>
          <w:p w14:paraId="574687FF" w14:textId="0519DB20" w:rsidR="00ED5BA7" w:rsidRPr="00ED5BA7" w:rsidRDefault="00ED5BA7" w:rsidP="003D6506">
            <w:pPr>
              <w:pStyle w:val="Tabletext"/>
              <w:jc w:val="center"/>
              <w:rPr>
                <w:sz w:val="18"/>
                <w:szCs w:val="18"/>
              </w:rPr>
            </w:pPr>
            <w:r w:rsidRPr="00ED5BA7">
              <w:rPr>
                <w:rFonts w:eastAsia="나눔고딕"/>
                <w:sz w:val="18"/>
                <w:szCs w:val="18"/>
              </w:rPr>
              <w:t>0.0</w:t>
            </w:r>
          </w:p>
        </w:tc>
        <w:tc>
          <w:tcPr>
            <w:tcW w:w="591" w:type="dxa"/>
            <w:vAlign w:val="center"/>
          </w:tcPr>
          <w:p w14:paraId="76C59E3F" w14:textId="4BF81F7C" w:rsidR="00ED5BA7" w:rsidRPr="00ED5BA7" w:rsidRDefault="00ED5BA7" w:rsidP="003D6506">
            <w:pPr>
              <w:pStyle w:val="Tabletext"/>
              <w:jc w:val="center"/>
              <w:rPr>
                <w:sz w:val="18"/>
                <w:szCs w:val="18"/>
              </w:rPr>
            </w:pPr>
            <w:r w:rsidRPr="00ED5BA7">
              <w:rPr>
                <w:rFonts w:eastAsia="나눔고딕"/>
                <w:sz w:val="18"/>
                <w:szCs w:val="18"/>
              </w:rPr>
              <w:t>0.0%</w:t>
            </w:r>
          </w:p>
        </w:tc>
        <w:tc>
          <w:tcPr>
            <w:tcW w:w="994" w:type="dxa"/>
            <w:vAlign w:val="center"/>
          </w:tcPr>
          <w:p w14:paraId="1E5F59B3" w14:textId="08DCAF1E" w:rsidR="00ED5BA7" w:rsidRPr="00ED5BA7" w:rsidRDefault="00ED5BA7" w:rsidP="003D6506">
            <w:pPr>
              <w:pStyle w:val="Tabletext"/>
              <w:jc w:val="center"/>
              <w:rPr>
                <w:sz w:val="18"/>
                <w:szCs w:val="18"/>
              </w:rPr>
            </w:pPr>
            <w:r w:rsidRPr="00ED5BA7">
              <w:rPr>
                <w:rFonts w:eastAsia="나눔고딕"/>
                <w:sz w:val="18"/>
                <w:szCs w:val="18"/>
              </w:rPr>
              <w:t>2.8</w:t>
            </w:r>
          </w:p>
        </w:tc>
        <w:tc>
          <w:tcPr>
            <w:tcW w:w="503" w:type="dxa"/>
            <w:vAlign w:val="center"/>
          </w:tcPr>
          <w:p w14:paraId="6B6BA0CE" w14:textId="1536C7ED" w:rsidR="00ED5BA7" w:rsidRPr="00ED5BA7" w:rsidRDefault="00ED5BA7" w:rsidP="003D6506">
            <w:pPr>
              <w:pStyle w:val="Tabletext"/>
              <w:jc w:val="center"/>
              <w:rPr>
                <w:sz w:val="18"/>
                <w:szCs w:val="18"/>
              </w:rPr>
            </w:pPr>
            <w:r w:rsidRPr="00ED5BA7">
              <w:rPr>
                <w:rFonts w:eastAsia="나눔고딕"/>
                <w:sz w:val="18"/>
                <w:szCs w:val="18"/>
              </w:rPr>
              <w:t>51.7%</w:t>
            </w:r>
          </w:p>
        </w:tc>
      </w:tr>
      <w:tr w:rsidR="003D6506" w:rsidRPr="00811AF2" w14:paraId="50AC7F31" w14:textId="1B04FD2B" w:rsidTr="003D6506">
        <w:trPr>
          <w:trHeight w:val="226"/>
          <w:jc w:val="center"/>
        </w:trPr>
        <w:tc>
          <w:tcPr>
            <w:tcW w:w="1165" w:type="dxa"/>
            <w:shd w:val="clear" w:color="auto" w:fill="auto"/>
            <w:tcMar>
              <w:top w:w="28" w:type="dxa"/>
              <w:left w:w="102" w:type="dxa"/>
              <w:bottom w:w="28" w:type="dxa"/>
              <w:right w:w="102" w:type="dxa"/>
            </w:tcMar>
            <w:vAlign w:val="center"/>
          </w:tcPr>
          <w:p w14:paraId="703ED594" w14:textId="5FA801AC"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N</w:t>
            </w:r>
            <w:r>
              <w:rPr>
                <w:rFonts w:eastAsia="나눔고딕"/>
                <w:sz w:val="18"/>
                <w:szCs w:val="18"/>
                <w:lang w:eastAsia="ko-KR"/>
              </w:rPr>
              <w:t>etherlands</w:t>
            </w:r>
          </w:p>
        </w:tc>
        <w:tc>
          <w:tcPr>
            <w:tcW w:w="844" w:type="dxa"/>
            <w:shd w:val="clear" w:color="auto" w:fill="auto"/>
            <w:tcMar>
              <w:top w:w="28" w:type="dxa"/>
              <w:left w:w="102" w:type="dxa"/>
              <w:bottom w:w="28" w:type="dxa"/>
              <w:right w:w="102" w:type="dxa"/>
            </w:tcMar>
            <w:vAlign w:val="center"/>
          </w:tcPr>
          <w:p w14:paraId="35949317" w14:textId="35877588" w:rsidR="00ED5BA7" w:rsidRPr="00ED5BA7" w:rsidRDefault="00ED5BA7" w:rsidP="003D6506">
            <w:pPr>
              <w:pStyle w:val="Tabletext"/>
              <w:jc w:val="center"/>
              <w:rPr>
                <w:sz w:val="18"/>
                <w:szCs w:val="18"/>
              </w:rPr>
            </w:pPr>
            <w:r w:rsidRPr="00ED5BA7">
              <w:rPr>
                <w:rFonts w:eastAsia="나눔고딕"/>
                <w:sz w:val="18"/>
                <w:szCs w:val="18"/>
              </w:rPr>
              <w:t>6.1</w:t>
            </w:r>
          </w:p>
        </w:tc>
        <w:tc>
          <w:tcPr>
            <w:tcW w:w="864" w:type="dxa"/>
            <w:shd w:val="clear" w:color="auto" w:fill="auto"/>
            <w:tcMar>
              <w:top w:w="28" w:type="dxa"/>
              <w:left w:w="102" w:type="dxa"/>
              <w:bottom w:w="28" w:type="dxa"/>
              <w:right w:w="102" w:type="dxa"/>
            </w:tcMar>
            <w:vAlign w:val="center"/>
          </w:tcPr>
          <w:p w14:paraId="1FDBAACE" w14:textId="28B4BD72"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49346552" w14:textId="38D48C7D"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7A1FD560" w14:textId="4D1E7B97" w:rsidR="00ED5BA7" w:rsidRPr="00ED5BA7" w:rsidRDefault="00ED5BA7" w:rsidP="003D6506">
            <w:pPr>
              <w:pStyle w:val="Tabletext"/>
              <w:jc w:val="center"/>
              <w:rPr>
                <w:sz w:val="18"/>
                <w:szCs w:val="18"/>
              </w:rPr>
            </w:pPr>
            <w:r w:rsidRPr="00ED5BA7">
              <w:rPr>
                <w:rFonts w:eastAsia="나눔고딕"/>
                <w:sz w:val="18"/>
                <w:szCs w:val="18"/>
              </w:rPr>
              <w:t>6.1</w:t>
            </w:r>
          </w:p>
        </w:tc>
        <w:tc>
          <w:tcPr>
            <w:tcW w:w="772" w:type="dxa"/>
            <w:shd w:val="clear" w:color="auto" w:fill="auto"/>
            <w:tcMar>
              <w:top w:w="28" w:type="dxa"/>
              <w:left w:w="102" w:type="dxa"/>
              <w:bottom w:w="28" w:type="dxa"/>
              <w:right w:w="102" w:type="dxa"/>
            </w:tcMar>
            <w:vAlign w:val="center"/>
          </w:tcPr>
          <w:p w14:paraId="3249B4DE" w14:textId="25782414"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45658F8E" w14:textId="0D0CCD0A" w:rsidR="00ED5BA7" w:rsidRPr="00ED5BA7" w:rsidRDefault="00ED5BA7" w:rsidP="003D6506">
            <w:pPr>
              <w:pStyle w:val="Tabletext"/>
              <w:jc w:val="center"/>
              <w:rPr>
                <w:sz w:val="18"/>
                <w:szCs w:val="18"/>
              </w:rPr>
            </w:pPr>
            <w:r w:rsidRPr="00ED5BA7">
              <w:rPr>
                <w:rFonts w:eastAsia="나눔고딕"/>
                <w:sz w:val="18"/>
                <w:szCs w:val="18"/>
              </w:rPr>
              <w:t>1.4</w:t>
            </w:r>
          </w:p>
        </w:tc>
        <w:tc>
          <w:tcPr>
            <w:tcW w:w="503" w:type="dxa"/>
            <w:vAlign w:val="center"/>
          </w:tcPr>
          <w:p w14:paraId="1DAA9CB9" w14:textId="3F22ADD5" w:rsidR="00ED5BA7" w:rsidRPr="00ED5BA7" w:rsidRDefault="00ED5BA7" w:rsidP="003D6506">
            <w:pPr>
              <w:pStyle w:val="Tabletext"/>
              <w:jc w:val="center"/>
              <w:rPr>
                <w:sz w:val="18"/>
                <w:szCs w:val="18"/>
              </w:rPr>
            </w:pPr>
            <w:r w:rsidRPr="00ED5BA7">
              <w:rPr>
                <w:rFonts w:eastAsia="나눔고딕"/>
                <w:sz w:val="18"/>
                <w:szCs w:val="18"/>
              </w:rPr>
              <w:t>22.3%</w:t>
            </w:r>
          </w:p>
        </w:tc>
        <w:tc>
          <w:tcPr>
            <w:tcW w:w="495" w:type="dxa"/>
            <w:vAlign w:val="center"/>
          </w:tcPr>
          <w:p w14:paraId="656402F8" w14:textId="30739CDF" w:rsidR="00ED5BA7" w:rsidRPr="00ED5BA7" w:rsidRDefault="00ED5BA7" w:rsidP="003D6506">
            <w:pPr>
              <w:pStyle w:val="Tabletext"/>
              <w:jc w:val="center"/>
              <w:rPr>
                <w:sz w:val="18"/>
                <w:szCs w:val="18"/>
              </w:rPr>
            </w:pPr>
            <w:r w:rsidRPr="00ED5BA7">
              <w:rPr>
                <w:rFonts w:eastAsia="나눔고딕"/>
                <w:sz w:val="18"/>
                <w:szCs w:val="18"/>
              </w:rPr>
              <w:t>1.4</w:t>
            </w:r>
          </w:p>
        </w:tc>
        <w:tc>
          <w:tcPr>
            <w:tcW w:w="591" w:type="dxa"/>
            <w:vAlign w:val="center"/>
          </w:tcPr>
          <w:p w14:paraId="50F751A7" w14:textId="5E55DE58" w:rsidR="00ED5BA7" w:rsidRPr="00ED5BA7" w:rsidRDefault="00ED5BA7" w:rsidP="003D6506">
            <w:pPr>
              <w:pStyle w:val="Tabletext"/>
              <w:jc w:val="center"/>
              <w:rPr>
                <w:sz w:val="18"/>
                <w:szCs w:val="18"/>
              </w:rPr>
            </w:pPr>
            <w:r w:rsidRPr="00ED5BA7">
              <w:rPr>
                <w:rFonts w:eastAsia="나눔고딕"/>
                <w:sz w:val="18"/>
                <w:szCs w:val="18"/>
              </w:rPr>
              <w:t>22.3%</w:t>
            </w:r>
          </w:p>
        </w:tc>
        <w:tc>
          <w:tcPr>
            <w:tcW w:w="994" w:type="dxa"/>
            <w:vAlign w:val="center"/>
          </w:tcPr>
          <w:p w14:paraId="7DCBD4AF" w14:textId="1F3FACD0"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297117B0" w14:textId="68D56F0B"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1129BC0C" w14:textId="72A69633" w:rsidTr="003D6506">
        <w:trPr>
          <w:trHeight w:val="226"/>
          <w:jc w:val="center"/>
        </w:trPr>
        <w:tc>
          <w:tcPr>
            <w:tcW w:w="1165" w:type="dxa"/>
            <w:shd w:val="clear" w:color="auto" w:fill="auto"/>
            <w:tcMar>
              <w:top w:w="28" w:type="dxa"/>
              <w:left w:w="102" w:type="dxa"/>
              <w:bottom w:w="28" w:type="dxa"/>
              <w:right w:w="102" w:type="dxa"/>
            </w:tcMar>
            <w:vAlign w:val="center"/>
          </w:tcPr>
          <w:p w14:paraId="04984CC7" w14:textId="6AAABC10"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R</w:t>
            </w:r>
            <w:r>
              <w:rPr>
                <w:rFonts w:eastAsia="나눔고딕"/>
                <w:sz w:val="18"/>
                <w:szCs w:val="18"/>
                <w:lang w:eastAsia="ko-KR"/>
              </w:rPr>
              <w:t>omania</w:t>
            </w:r>
          </w:p>
        </w:tc>
        <w:tc>
          <w:tcPr>
            <w:tcW w:w="844" w:type="dxa"/>
            <w:shd w:val="clear" w:color="auto" w:fill="auto"/>
            <w:tcMar>
              <w:top w:w="28" w:type="dxa"/>
              <w:left w:w="102" w:type="dxa"/>
              <w:bottom w:w="28" w:type="dxa"/>
              <w:right w:w="102" w:type="dxa"/>
            </w:tcMar>
            <w:vAlign w:val="center"/>
          </w:tcPr>
          <w:p w14:paraId="61C616D4" w14:textId="4B75DA88" w:rsidR="00ED5BA7" w:rsidRPr="00ED5BA7" w:rsidRDefault="00ED5BA7" w:rsidP="003D6506">
            <w:pPr>
              <w:pStyle w:val="Tabletext"/>
              <w:jc w:val="center"/>
              <w:rPr>
                <w:sz w:val="18"/>
                <w:szCs w:val="18"/>
              </w:rPr>
            </w:pPr>
            <w:r w:rsidRPr="00ED5BA7">
              <w:rPr>
                <w:rFonts w:eastAsia="나눔고딕"/>
                <w:sz w:val="18"/>
                <w:szCs w:val="18"/>
              </w:rPr>
              <w:t>4.9</w:t>
            </w:r>
          </w:p>
        </w:tc>
        <w:tc>
          <w:tcPr>
            <w:tcW w:w="864" w:type="dxa"/>
            <w:shd w:val="clear" w:color="auto" w:fill="auto"/>
            <w:tcMar>
              <w:top w:w="28" w:type="dxa"/>
              <w:left w:w="102" w:type="dxa"/>
              <w:bottom w:w="28" w:type="dxa"/>
              <w:right w:w="102" w:type="dxa"/>
            </w:tcMar>
            <w:vAlign w:val="center"/>
          </w:tcPr>
          <w:p w14:paraId="0766A720" w14:textId="034D78F0"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08261D84" w14:textId="4E254762"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39470ED8" w14:textId="07305D4A" w:rsidR="00ED5BA7" w:rsidRPr="00ED5BA7" w:rsidRDefault="00ED5BA7" w:rsidP="003D6506">
            <w:pPr>
              <w:pStyle w:val="Tabletext"/>
              <w:jc w:val="center"/>
              <w:rPr>
                <w:sz w:val="18"/>
                <w:szCs w:val="18"/>
              </w:rPr>
            </w:pPr>
            <w:r w:rsidRPr="00ED5BA7">
              <w:rPr>
                <w:rFonts w:eastAsia="나눔고딕"/>
                <w:sz w:val="18"/>
                <w:szCs w:val="18"/>
              </w:rPr>
              <w:t>4.9</w:t>
            </w:r>
          </w:p>
        </w:tc>
        <w:tc>
          <w:tcPr>
            <w:tcW w:w="772" w:type="dxa"/>
            <w:shd w:val="clear" w:color="auto" w:fill="auto"/>
            <w:tcMar>
              <w:top w:w="28" w:type="dxa"/>
              <w:left w:w="102" w:type="dxa"/>
              <w:bottom w:w="28" w:type="dxa"/>
              <w:right w:w="102" w:type="dxa"/>
            </w:tcMar>
            <w:vAlign w:val="center"/>
          </w:tcPr>
          <w:p w14:paraId="76114FA7" w14:textId="65778C77"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2E8B98DA" w14:textId="36548DFE" w:rsidR="00ED5BA7" w:rsidRPr="00ED5BA7" w:rsidRDefault="00ED5BA7" w:rsidP="003D6506">
            <w:pPr>
              <w:pStyle w:val="Tabletext"/>
              <w:jc w:val="center"/>
              <w:rPr>
                <w:sz w:val="18"/>
                <w:szCs w:val="18"/>
              </w:rPr>
            </w:pPr>
            <w:r w:rsidRPr="00ED5BA7">
              <w:rPr>
                <w:rFonts w:eastAsia="나눔고딕"/>
                <w:sz w:val="18"/>
                <w:szCs w:val="18"/>
              </w:rPr>
              <w:t>1.3</w:t>
            </w:r>
          </w:p>
        </w:tc>
        <w:tc>
          <w:tcPr>
            <w:tcW w:w="503" w:type="dxa"/>
            <w:vAlign w:val="center"/>
          </w:tcPr>
          <w:p w14:paraId="20EFB5DB" w14:textId="64D81E2A" w:rsidR="00ED5BA7" w:rsidRPr="00ED5BA7" w:rsidRDefault="00ED5BA7" w:rsidP="003D6506">
            <w:pPr>
              <w:pStyle w:val="Tabletext"/>
              <w:jc w:val="center"/>
              <w:rPr>
                <w:sz w:val="18"/>
                <w:szCs w:val="18"/>
              </w:rPr>
            </w:pPr>
            <w:r w:rsidRPr="00ED5BA7">
              <w:rPr>
                <w:rFonts w:eastAsia="나눔고딕"/>
                <w:sz w:val="18"/>
                <w:szCs w:val="18"/>
              </w:rPr>
              <w:t>26.1%</w:t>
            </w:r>
          </w:p>
        </w:tc>
        <w:tc>
          <w:tcPr>
            <w:tcW w:w="495" w:type="dxa"/>
            <w:vAlign w:val="center"/>
          </w:tcPr>
          <w:p w14:paraId="5A233098" w14:textId="520A29BE" w:rsidR="00ED5BA7" w:rsidRPr="00ED5BA7" w:rsidRDefault="00ED5BA7" w:rsidP="003D6506">
            <w:pPr>
              <w:pStyle w:val="Tabletext"/>
              <w:jc w:val="center"/>
              <w:rPr>
                <w:sz w:val="18"/>
                <w:szCs w:val="18"/>
              </w:rPr>
            </w:pPr>
            <w:r w:rsidRPr="00ED5BA7">
              <w:rPr>
                <w:rFonts w:eastAsia="나눔고딕"/>
                <w:sz w:val="18"/>
                <w:szCs w:val="18"/>
              </w:rPr>
              <w:t>0.0</w:t>
            </w:r>
          </w:p>
        </w:tc>
        <w:tc>
          <w:tcPr>
            <w:tcW w:w="591" w:type="dxa"/>
            <w:vAlign w:val="center"/>
          </w:tcPr>
          <w:p w14:paraId="2F1B6607" w14:textId="6AF03ADB" w:rsidR="00ED5BA7" w:rsidRPr="00ED5BA7" w:rsidRDefault="00ED5BA7" w:rsidP="003D6506">
            <w:pPr>
              <w:pStyle w:val="Tabletext"/>
              <w:jc w:val="center"/>
              <w:rPr>
                <w:sz w:val="18"/>
                <w:szCs w:val="18"/>
              </w:rPr>
            </w:pPr>
            <w:r w:rsidRPr="00ED5BA7">
              <w:rPr>
                <w:rFonts w:eastAsia="나눔고딕"/>
                <w:sz w:val="18"/>
                <w:szCs w:val="18"/>
              </w:rPr>
              <w:t>0.0%</w:t>
            </w:r>
          </w:p>
        </w:tc>
        <w:tc>
          <w:tcPr>
            <w:tcW w:w="994" w:type="dxa"/>
            <w:vAlign w:val="center"/>
          </w:tcPr>
          <w:p w14:paraId="35B8E0B3" w14:textId="1D0EE5C9"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7BDD0581" w14:textId="5F921E2B"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5029D9E2" w14:textId="6929241E" w:rsidTr="003D6506">
        <w:trPr>
          <w:trHeight w:val="504"/>
          <w:jc w:val="center"/>
        </w:trPr>
        <w:tc>
          <w:tcPr>
            <w:tcW w:w="1165" w:type="dxa"/>
            <w:shd w:val="clear" w:color="auto" w:fill="auto"/>
            <w:tcMar>
              <w:top w:w="28" w:type="dxa"/>
              <w:left w:w="102" w:type="dxa"/>
              <w:bottom w:w="28" w:type="dxa"/>
              <w:right w:w="102" w:type="dxa"/>
            </w:tcMar>
            <w:vAlign w:val="center"/>
          </w:tcPr>
          <w:p w14:paraId="242C1ECC" w14:textId="5E5C5B02"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R</w:t>
            </w:r>
            <w:r>
              <w:rPr>
                <w:rFonts w:eastAsia="나눔고딕"/>
                <w:sz w:val="18"/>
                <w:szCs w:val="18"/>
                <w:lang w:eastAsia="ko-KR"/>
              </w:rPr>
              <w:t>ussia</w:t>
            </w:r>
          </w:p>
        </w:tc>
        <w:tc>
          <w:tcPr>
            <w:tcW w:w="844" w:type="dxa"/>
            <w:shd w:val="clear" w:color="auto" w:fill="auto"/>
            <w:tcMar>
              <w:top w:w="28" w:type="dxa"/>
              <w:left w:w="102" w:type="dxa"/>
              <w:bottom w:w="28" w:type="dxa"/>
              <w:right w:w="102" w:type="dxa"/>
            </w:tcMar>
            <w:vAlign w:val="center"/>
          </w:tcPr>
          <w:p w14:paraId="4BA62AD6" w14:textId="1CBA4FAB" w:rsidR="00ED5BA7" w:rsidRPr="00ED5BA7" w:rsidRDefault="00ED5BA7" w:rsidP="003D6506">
            <w:pPr>
              <w:pStyle w:val="Tabletext"/>
              <w:jc w:val="center"/>
              <w:rPr>
                <w:sz w:val="18"/>
                <w:szCs w:val="18"/>
              </w:rPr>
            </w:pPr>
            <w:r w:rsidRPr="00ED5BA7">
              <w:rPr>
                <w:rFonts w:eastAsia="나눔고딕"/>
                <w:sz w:val="18"/>
                <w:szCs w:val="18"/>
              </w:rPr>
              <w:t>15.6</w:t>
            </w:r>
          </w:p>
        </w:tc>
        <w:tc>
          <w:tcPr>
            <w:tcW w:w="864" w:type="dxa"/>
            <w:shd w:val="clear" w:color="auto" w:fill="auto"/>
            <w:tcMar>
              <w:top w:w="28" w:type="dxa"/>
              <w:left w:w="102" w:type="dxa"/>
              <w:bottom w:w="28" w:type="dxa"/>
              <w:right w:w="102" w:type="dxa"/>
            </w:tcMar>
            <w:vAlign w:val="center"/>
          </w:tcPr>
          <w:p w14:paraId="40C62C75" w14:textId="328F0D44" w:rsidR="00ED5BA7" w:rsidRPr="00ED5BA7" w:rsidRDefault="00ED5BA7" w:rsidP="003D6506">
            <w:pPr>
              <w:pStyle w:val="Tabletext"/>
              <w:jc w:val="center"/>
              <w:rPr>
                <w:sz w:val="18"/>
                <w:szCs w:val="18"/>
              </w:rPr>
            </w:pPr>
            <w:r w:rsidRPr="00ED5BA7">
              <w:rPr>
                <w:rFonts w:eastAsia="나눔고딕"/>
                <w:sz w:val="18"/>
                <w:szCs w:val="18"/>
              </w:rPr>
              <w:t>11.1</w:t>
            </w:r>
          </w:p>
        </w:tc>
        <w:tc>
          <w:tcPr>
            <w:tcW w:w="674" w:type="dxa"/>
            <w:shd w:val="clear" w:color="auto" w:fill="auto"/>
            <w:tcMar>
              <w:top w:w="28" w:type="dxa"/>
              <w:left w:w="102" w:type="dxa"/>
              <w:bottom w:w="28" w:type="dxa"/>
              <w:right w:w="102" w:type="dxa"/>
            </w:tcMar>
            <w:vAlign w:val="center"/>
          </w:tcPr>
          <w:p w14:paraId="0DA460BE" w14:textId="34FCC1BF" w:rsidR="00ED5BA7" w:rsidRPr="00ED5BA7" w:rsidRDefault="00ED5BA7" w:rsidP="003D6506">
            <w:pPr>
              <w:pStyle w:val="Tabletext"/>
              <w:jc w:val="center"/>
              <w:rPr>
                <w:sz w:val="18"/>
                <w:szCs w:val="18"/>
              </w:rPr>
            </w:pPr>
            <w:r w:rsidRPr="00ED5BA7">
              <w:rPr>
                <w:rFonts w:eastAsia="나눔고딕"/>
                <w:sz w:val="18"/>
                <w:szCs w:val="18"/>
              </w:rPr>
              <w:t>71.0%</w:t>
            </w:r>
          </w:p>
        </w:tc>
        <w:tc>
          <w:tcPr>
            <w:tcW w:w="811" w:type="dxa"/>
            <w:shd w:val="clear" w:color="auto" w:fill="auto"/>
            <w:tcMar>
              <w:top w:w="28" w:type="dxa"/>
              <w:left w:w="102" w:type="dxa"/>
              <w:bottom w:w="28" w:type="dxa"/>
              <w:right w:w="102" w:type="dxa"/>
            </w:tcMar>
            <w:vAlign w:val="center"/>
          </w:tcPr>
          <w:p w14:paraId="76202380" w14:textId="5FA18045" w:rsidR="00ED5BA7" w:rsidRPr="00ED5BA7" w:rsidRDefault="00ED5BA7" w:rsidP="003D6506">
            <w:pPr>
              <w:pStyle w:val="Tabletext"/>
              <w:jc w:val="center"/>
              <w:rPr>
                <w:sz w:val="18"/>
                <w:szCs w:val="18"/>
              </w:rPr>
            </w:pPr>
            <w:r w:rsidRPr="00ED5BA7">
              <w:rPr>
                <w:rFonts w:eastAsia="나눔고딕"/>
                <w:sz w:val="18"/>
                <w:szCs w:val="18"/>
              </w:rPr>
              <w:t>4.5</w:t>
            </w:r>
          </w:p>
        </w:tc>
        <w:tc>
          <w:tcPr>
            <w:tcW w:w="772" w:type="dxa"/>
            <w:shd w:val="clear" w:color="auto" w:fill="auto"/>
            <w:tcMar>
              <w:top w:w="28" w:type="dxa"/>
              <w:left w:w="102" w:type="dxa"/>
              <w:bottom w:w="28" w:type="dxa"/>
              <w:right w:w="102" w:type="dxa"/>
            </w:tcMar>
            <w:vAlign w:val="center"/>
          </w:tcPr>
          <w:p w14:paraId="49FED478" w14:textId="51C2C6A2" w:rsidR="00ED5BA7" w:rsidRPr="00ED5BA7" w:rsidRDefault="00ED5BA7" w:rsidP="003D6506">
            <w:pPr>
              <w:pStyle w:val="Tabletext"/>
              <w:jc w:val="center"/>
              <w:rPr>
                <w:sz w:val="18"/>
                <w:szCs w:val="18"/>
              </w:rPr>
            </w:pPr>
            <w:r w:rsidRPr="00ED5BA7">
              <w:rPr>
                <w:rFonts w:eastAsia="나눔고딕"/>
                <w:sz w:val="18"/>
                <w:szCs w:val="18"/>
              </w:rPr>
              <w:t>29.0%</w:t>
            </w:r>
          </w:p>
        </w:tc>
        <w:tc>
          <w:tcPr>
            <w:tcW w:w="811" w:type="dxa"/>
            <w:vAlign w:val="center"/>
          </w:tcPr>
          <w:p w14:paraId="3AF1E470" w14:textId="384B2073" w:rsidR="00ED5BA7" w:rsidRPr="00ED5BA7" w:rsidRDefault="00ED5BA7" w:rsidP="003D6506">
            <w:pPr>
              <w:pStyle w:val="Tabletext"/>
              <w:jc w:val="center"/>
              <w:rPr>
                <w:sz w:val="18"/>
                <w:szCs w:val="18"/>
              </w:rPr>
            </w:pPr>
            <w:r w:rsidRPr="00ED5BA7">
              <w:rPr>
                <w:rFonts w:eastAsia="나눔고딕"/>
                <w:sz w:val="18"/>
                <w:szCs w:val="18"/>
              </w:rPr>
              <w:t>1.1</w:t>
            </w:r>
          </w:p>
        </w:tc>
        <w:tc>
          <w:tcPr>
            <w:tcW w:w="503" w:type="dxa"/>
            <w:vAlign w:val="center"/>
          </w:tcPr>
          <w:p w14:paraId="1DCC6631" w14:textId="3528AF53" w:rsidR="00ED5BA7" w:rsidRPr="00ED5BA7" w:rsidRDefault="00ED5BA7" w:rsidP="003D6506">
            <w:pPr>
              <w:pStyle w:val="Tabletext"/>
              <w:jc w:val="center"/>
              <w:rPr>
                <w:sz w:val="18"/>
                <w:szCs w:val="18"/>
              </w:rPr>
            </w:pPr>
            <w:r w:rsidRPr="00ED5BA7">
              <w:rPr>
                <w:rFonts w:eastAsia="나눔고딕"/>
                <w:sz w:val="18"/>
                <w:szCs w:val="18"/>
              </w:rPr>
              <w:t>7.1%</w:t>
            </w:r>
          </w:p>
        </w:tc>
        <w:tc>
          <w:tcPr>
            <w:tcW w:w="495" w:type="dxa"/>
            <w:vAlign w:val="center"/>
          </w:tcPr>
          <w:p w14:paraId="54ABD371" w14:textId="74DACAEE" w:rsidR="00ED5BA7" w:rsidRPr="00ED5BA7" w:rsidRDefault="00ED5BA7" w:rsidP="003D6506">
            <w:pPr>
              <w:pStyle w:val="Tabletext"/>
              <w:jc w:val="center"/>
              <w:rPr>
                <w:sz w:val="18"/>
                <w:szCs w:val="18"/>
              </w:rPr>
            </w:pPr>
            <w:r w:rsidRPr="00ED5BA7">
              <w:rPr>
                <w:rFonts w:eastAsia="나눔고딕"/>
                <w:sz w:val="18"/>
                <w:szCs w:val="18"/>
              </w:rPr>
              <w:t>1.2</w:t>
            </w:r>
          </w:p>
        </w:tc>
        <w:tc>
          <w:tcPr>
            <w:tcW w:w="591" w:type="dxa"/>
            <w:vAlign w:val="center"/>
          </w:tcPr>
          <w:p w14:paraId="50A9FEF0" w14:textId="08A80D1E" w:rsidR="00ED5BA7" w:rsidRPr="00ED5BA7" w:rsidRDefault="00ED5BA7" w:rsidP="003D6506">
            <w:pPr>
              <w:pStyle w:val="Tabletext"/>
              <w:jc w:val="center"/>
              <w:rPr>
                <w:sz w:val="18"/>
                <w:szCs w:val="18"/>
              </w:rPr>
            </w:pPr>
            <w:r w:rsidRPr="00ED5BA7">
              <w:rPr>
                <w:rFonts w:eastAsia="나눔고딕"/>
                <w:sz w:val="18"/>
                <w:szCs w:val="18"/>
              </w:rPr>
              <w:t>7.8%</w:t>
            </w:r>
          </w:p>
        </w:tc>
        <w:tc>
          <w:tcPr>
            <w:tcW w:w="994" w:type="dxa"/>
            <w:vAlign w:val="center"/>
          </w:tcPr>
          <w:p w14:paraId="24C4B38F" w14:textId="320BE6BB"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6A5B6F48" w14:textId="0D9F5B92"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1EF7296C" w14:textId="50C91BEF" w:rsidTr="003D6506">
        <w:trPr>
          <w:trHeight w:val="226"/>
          <w:jc w:val="center"/>
        </w:trPr>
        <w:tc>
          <w:tcPr>
            <w:tcW w:w="1165" w:type="dxa"/>
            <w:shd w:val="clear" w:color="auto" w:fill="auto"/>
            <w:tcMar>
              <w:top w:w="28" w:type="dxa"/>
              <w:left w:w="102" w:type="dxa"/>
              <w:bottom w:w="28" w:type="dxa"/>
              <w:right w:w="102" w:type="dxa"/>
            </w:tcMar>
            <w:vAlign w:val="center"/>
          </w:tcPr>
          <w:p w14:paraId="70988838" w14:textId="53A2EF47"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S</w:t>
            </w:r>
            <w:r>
              <w:rPr>
                <w:rFonts w:eastAsia="나눔고딕"/>
                <w:sz w:val="18"/>
                <w:szCs w:val="18"/>
                <w:lang w:eastAsia="ko-KR"/>
              </w:rPr>
              <w:t>lovenia</w:t>
            </w:r>
          </w:p>
        </w:tc>
        <w:tc>
          <w:tcPr>
            <w:tcW w:w="844" w:type="dxa"/>
            <w:shd w:val="clear" w:color="auto" w:fill="auto"/>
            <w:tcMar>
              <w:top w:w="28" w:type="dxa"/>
              <w:left w:w="102" w:type="dxa"/>
              <w:bottom w:w="28" w:type="dxa"/>
              <w:right w:w="102" w:type="dxa"/>
            </w:tcMar>
            <w:vAlign w:val="center"/>
          </w:tcPr>
          <w:p w14:paraId="26AEB35F" w14:textId="53F067E7" w:rsidR="00ED5BA7" w:rsidRPr="00ED5BA7" w:rsidRDefault="00ED5BA7" w:rsidP="003D6506">
            <w:pPr>
              <w:pStyle w:val="Tabletext"/>
              <w:jc w:val="center"/>
              <w:rPr>
                <w:sz w:val="18"/>
                <w:szCs w:val="18"/>
              </w:rPr>
            </w:pPr>
            <w:r w:rsidRPr="00ED5BA7">
              <w:rPr>
                <w:rFonts w:eastAsia="나눔고딕"/>
                <w:sz w:val="18"/>
                <w:szCs w:val="18"/>
              </w:rPr>
              <w:t>1.4</w:t>
            </w:r>
          </w:p>
        </w:tc>
        <w:tc>
          <w:tcPr>
            <w:tcW w:w="864" w:type="dxa"/>
            <w:shd w:val="clear" w:color="auto" w:fill="auto"/>
            <w:tcMar>
              <w:top w:w="28" w:type="dxa"/>
              <w:left w:w="102" w:type="dxa"/>
              <w:bottom w:w="28" w:type="dxa"/>
              <w:right w:w="102" w:type="dxa"/>
            </w:tcMar>
            <w:vAlign w:val="center"/>
          </w:tcPr>
          <w:p w14:paraId="17241410" w14:textId="48CEEF32"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5E226767" w14:textId="45BB28AE"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68E5C018" w14:textId="38147B0C" w:rsidR="00ED5BA7" w:rsidRPr="00ED5BA7" w:rsidRDefault="00ED5BA7" w:rsidP="003D6506">
            <w:pPr>
              <w:pStyle w:val="Tabletext"/>
              <w:jc w:val="center"/>
              <w:rPr>
                <w:sz w:val="18"/>
                <w:szCs w:val="18"/>
              </w:rPr>
            </w:pPr>
            <w:r w:rsidRPr="00ED5BA7">
              <w:rPr>
                <w:rFonts w:eastAsia="나눔고딕"/>
                <w:sz w:val="18"/>
                <w:szCs w:val="18"/>
              </w:rPr>
              <w:t>1.4</w:t>
            </w:r>
          </w:p>
        </w:tc>
        <w:tc>
          <w:tcPr>
            <w:tcW w:w="772" w:type="dxa"/>
            <w:shd w:val="clear" w:color="auto" w:fill="auto"/>
            <w:tcMar>
              <w:top w:w="28" w:type="dxa"/>
              <w:left w:w="102" w:type="dxa"/>
              <w:bottom w:w="28" w:type="dxa"/>
              <w:right w:w="102" w:type="dxa"/>
            </w:tcMar>
            <w:vAlign w:val="center"/>
          </w:tcPr>
          <w:p w14:paraId="51074537" w14:textId="04C13B0D"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55C078BD" w14:textId="04032457"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542A0F2D" w14:textId="0795BD14"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2679ABCF" w14:textId="168366D5" w:rsidR="00ED5BA7" w:rsidRPr="00ED5BA7" w:rsidRDefault="00ED5BA7" w:rsidP="003D6506">
            <w:pPr>
              <w:pStyle w:val="Tabletext"/>
              <w:jc w:val="center"/>
              <w:rPr>
                <w:sz w:val="18"/>
                <w:szCs w:val="18"/>
              </w:rPr>
            </w:pPr>
            <w:r w:rsidRPr="00ED5BA7">
              <w:rPr>
                <w:rFonts w:eastAsia="나눔고딕"/>
                <w:sz w:val="18"/>
                <w:szCs w:val="18"/>
              </w:rPr>
              <w:t>1.4</w:t>
            </w:r>
          </w:p>
        </w:tc>
        <w:tc>
          <w:tcPr>
            <w:tcW w:w="591" w:type="dxa"/>
            <w:vAlign w:val="center"/>
          </w:tcPr>
          <w:p w14:paraId="1138EB74" w14:textId="4A0CC68E" w:rsidR="00ED5BA7" w:rsidRPr="00ED5BA7" w:rsidRDefault="00ED5BA7" w:rsidP="003D6506">
            <w:pPr>
              <w:pStyle w:val="Tabletext"/>
              <w:jc w:val="center"/>
              <w:rPr>
                <w:sz w:val="18"/>
                <w:szCs w:val="18"/>
              </w:rPr>
            </w:pPr>
            <w:r w:rsidRPr="00ED5BA7">
              <w:rPr>
                <w:rFonts w:eastAsia="나눔고딕"/>
                <w:sz w:val="18"/>
                <w:szCs w:val="18"/>
              </w:rPr>
              <w:t>100.0%</w:t>
            </w:r>
          </w:p>
        </w:tc>
        <w:tc>
          <w:tcPr>
            <w:tcW w:w="994" w:type="dxa"/>
            <w:vAlign w:val="center"/>
          </w:tcPr>
          <w:p w14:paraId="2E6D67D4" w14:textId="672A12DF"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4E41868D" w14:textId="5422D452"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0D4CBC05" w14:textId="42D3AA30" w:rsidTr="003D6506">
        <w:trPr>
          <w:trHeight w:val="226"/>
          <w:jc w:val="center"/>
        </w:trPr>
        <w:tc>
          <w:tcPr>
            <w:tcW w:w="1165" w:type="dxa"/>
            <w:shd w:val="clear" w:color="auto" w:fill="auto"/>
            <w:tcMar>
              <w:top w:w="28" w:type="dxa"/>
              <w:left w:w="102" w:type="dxa"/>
              <w:bottom w:w="28" w:type="dxa"/>
              <w:right w:w="102" w:type="dxa"/>
            </w:tcMar>
            <w:vAlign w:val="center"/>
          </w:tcPr>
          <w:p w14:paraId="0AFCD0EE" w14:textId="7C49130A"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S</w:t>
            </w:r>
            <w:r>
              <w:rPr>
                <w:rFonts w:eastAsia="나눔고딕"/>
                <w:sz w:val="18"/>
                <w:szCs w:val="18"/>
                <w:lang w:eastAsia="ko-KR"/>
              </w:rPr>
              <w:t>outh Africa</w:t>
            </w:r>
          </w:p>
        </w:tc>
        <w:tc>
          <w:tcPr>
            <w:tcW w:w="844" w:type="dxa"/>
            <w:shd w:val="clear" w:color="auto" w:fill="auto"/>
            <w:tcMar>
              <w:top w:w="28" w:type="dxa"/>
              <w:left w:w="102" w:type="dxa"/>
              <w:bottom w:w="28" w:type="dxa"/>
              <w:right w:w="102" w:type="dxa"/>
            </w:tcMar>
            <w:vAlign w:val="center"/>
          </w:tcPr>
          <w:p w14:paraId="1FE7F2E2" w14:textId="209A1A0F" w:rsidR="00ED5BA7" w:rsidRPr="00ED5BA7" w:rsidRDefault="00ED5BA7" w:rsidP="003D6506">
            <w:pPr>
              <w:pStyle w:val="Tabletext"/>
              <w:jc w:val="center"/>
              <w:rPr>
                <w:sz w:val="18"/>
                <w:szCs w:val="18"/>
              </w:rPr>
            </w:pPr>
            <w:r w:rsidRPr="00ED5BA7">
              <w:rPr>
                <w:rFonts w:eastAsia="나눔고딕"/>
                <w:sz w:val="18"/>
                <w:szCs w:val="18"/>
              </w:rPr>
              <w:t>33.8</w:t>
            </w:r>
          </w:p>
        </w:tc>
        <w:tc>
          <w:tcPr>
            <w:tcW w:w="864" w:type="dxa"/>
            <w:shd w:val="clear" w:color="auto" w:fill="auto"/>
            <w:tcMar>
              <w:top w:w="28" w:type="dxa"/>
              <w:left w:w="102" w:type="dxa"/>
              <w:bottom w:w="28" w:type="dxa"/>
              <w:right w:w="102" w:type="dxa"/>
            </w:tcMar>
            <w:vAlign w:val="center"/>
          </w:tcPr>
          <w:p w14:paraId="205D9953" w14:textId="52E674A9"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41CFDB18" w14:textId="6E164E9C"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5E150EAB" w14:textId="68D2A0FE" w:rsidR="00ED5BA7" w:rsidRPr="00ED5BA7" w:rsidRDefault="00ED5BA7" w:rsidP="003D6506">
            <w:pPr>
              <w:pStyle w:val="Tabletext"/>
              <w:jc w:val="center"/>
              <w:rPr>
                <w:sz w:val="18"/>
                <w:szCs w:val="18"/>
              </w:rPr>
            </w:pPr>
            <w:r w:rsidRPr="00ED5BA7">
              <w:rPr>
                <w:rFonts w:eastAsia="나눔고딕"/>
                <w:sz w:val="18"/>
                <w:szCs w:val="18"/>
              </w:rPr>
              <w:t>33.8</w:t>
            </w:r>
          </w:p>
        </w:tc>
        <w:tc>
          <w:tcPr>
            <w:tcW w:w="772" w:type="dxa"/>
            <w:shd w:val="clear" w:color="auto" w:fill="auto"/>
            <w:tcMar>
              <w:top w:w="28" w:type="dxa"/>
              <w:left w:w="102" w:type="dxa"/>
              <w:bottom w:w="28" w:type="dxa"/>
              <w:right w:w="102" w:type="dxa"/>
            </w:tcMar>
            <w:vAlign w:val="center"/>
          </w:tcPr>
          <w:p w14:paraId="68E0A5FD" w14:textId="737726E2"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0AA9704C" w14:textId="3D1B9A8C"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2EB54CC6" w14:textId="6704BCCE"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17130305" w14:textId="3BCC23C5" w:rsidR="00ED5BA7" w:rsidRPr="00ED5BA7" w:rsidRDefault="00ED5BA7" w:rsidP="003D6506">
            <w:pPr>
              <w:pStyle w:val="Tabletext"/>
              <w:jc w:val="center"/>
              <w:rPr>
                <w:sz w:val="18"/>
                <w:szCs w:val="18"/>
              </w:rPr>
            </w:pPr>
            <w:r w:rsidRPr="00ED5BA7">
              <w:rPr>
                <w:rFonts w:eastAsia="나눔고딕"/>
                <w:sz w:val="18"/>
                <w:szCs w:val="18"/>
              </w:rPr>
              <w:t>0.0</w:t>
            </w:r>
          </w:p>
        </w:tc>
        <w:tc>
          <w:tcPr>
            <w:tcW w:w="591" w:type="dxa"/>
            <w:vAlign w:val="center"/>
          </w:tcPr>
          <w:p w14:paraId="4D25FA25" w14:textId="21851CDA" w:rsidR="00ED5BA7" w:rsidRPr="00ED5BA7" w:rsidRDefault="00ED5BA7" w:rsidP="003D6506">
            <w:pPr>
              <w:pStyle w:val="Tabletext"/>
              <w:jc w:val="center"/>
              <w:rPr>
                <w:sz w:val="18"/>
                <w:szCs w:val="18"/>
              </w:rPr>
            </w:pPr>
            <w:r w:rsidRPr="00ED5BA7">
              <w:rPr>
                <w:rFonts w:eastAsia="나눔고딕"/>
                <w:sz w:val="18"/>
                <w:szCs w:val="18"/>
              </w:rPr>
              <w:t>0.0%</w:t>
            </w:r>
          </w:p>
        </w:tc>
        <w:tc>
          <w:tcPr>
            <w:tcW w:w="994" w:type="dxa"/>
            <w:vAlign w:val="center"/>
          </w:tcPr>
          <w:p w14:paraId="2752BB93" w14:textId="0AB09A56"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4D34BA8B" w14:textId="341D7F21"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2DF2C6B3" w14:textId="7AE54ECB" w:rsidTr="003D6506">
        <w:trPr>
          <w:trHeight w:val="226"/>
          <w:jc w:val="center"/>
        </w:trPr>
        <w:tc>
          <w:tcPr>
            <w:tcW w:w="1165" w:type="dxa"/>
            <w:shd w:val="clear" w:color="auto" w:fill="auto"/>
            <w:tcMar>
              <w:top w:w="28" w:type="dxa"/>
              <w:left w:w="102" w:type="dxa"/>
              <w:bottom w:w="28" w:type="dxa"/>
              <w:right w:w="102" w:type="dxa"/>
            </w:tcMar>
            <w:vAlign w:val="center"/>
          </w:tcPr>
          <w:p w14:paraId="53D5CEE0" w14:textId="7ADC54C9"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S</w:t>
            </w:r>
            <w:r>
              <w:rPr>
                <w:rFonts w:eastAsia="나눔고딕"/>
                <w:sz w:val="18"/>
                <w:szCs w:val="18"/>
                <w:lang w:eastAsia="ko-KR"/>
              </w:rPr>
              <w:t>pain</w:t>
            </w:r>
          </w:p>
        </w:tc>
        <w:tc>
          <w:tcPr>
            <w:tcW w:w="844" w:type="dxa"/>
            <w:shd w:val="clear" w:color="auto" w:fill="auto"/>
            <w:tcMar>
              <w:top w:w="28" w:type="dxa"/>
              <w:left w:w="102" w:type="dxa"/>
              <w:bottom w:w="28" w:type="dxa"/>
              <w:right w:w="102" w:type="dxa"/>
            </w:tcMar>
            <w:vAlign w:val="center"/>
          </w:tcPr>
          <w:p w14:paraId="4C6E5705" w14:textId="0507CB57" w:rsidR="00ED5BA7" w:rsidRPr="00ED5BA7" w:rsidRDefault="00ED5BA7" w:rsidP="003D6506">
            <w:pPr>
              <w:pStyle w:val="Tabletext"/>
              <w:jc w:val="center"/>
              <w:rPr>
                <w:sz w:val="18"/>
                <w:szCs w:val="18"/>
              </w:rPr>
            </w:pPr>
            <w:r w:rsidRPr="00ED5BA7">
              <w:rPr>
                <w:rFonts w:eastAsia="나눔고딕"/>
                <w:sz w:val="18"/>
                <w:szCs w:val="18"/>
              </w:rPr>
              <w:t>3.5</w:t>
            </w:r>
          </w:p>
        </w:tc>
        <w:tc>
          <w:tcPr>
            <w:tcW w:w="864" w:type="dxa"/>
            <w:shd w:val="clear" w:color="auto" w:fill="auto"/>
            <w:tcMar>
              <w:top w:w="28" w:type="dxa"/>
              <w:left w:w="102" w:type="dxa"/>
              <w:bottom w:w="28" w:type="dxa"/>
              <w:right w:w="102" w:type="dxa"/>
            </w:tcMar>
            <w:vAlign w:val="center"/>
          </w:tcPr>
          <w:p w14:paraId="400D2705" w14:textId="17108D3E"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539EBA3D" w14:textId="710745AF"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hideMark/>
          </w:tcPr>
          <w:p w14:paraId="0B5BA4AF" w14:textId="5F02CE98" w:rsidR="00ED5BA7" w:rsidRPr="00ED5BA7" w:rsidRDefault="00ED5BA7" w:rsidP="003D6506">
            <w:pPr>
              <w:pStyle w:val="Tabletext"/>
              <w:jc w:val="center"/>
              <w:rPr>
                <w:sz w:val="18"/>
                <w:szCs w:val="18"/>
              </w:rPr>
            </w:pPr>
            <w:r w:rsidRPr="00ED5BA7">
              <w:rPr>
                <w:rFonts w:eastAsia="나눔고딕"/>
                <w:sz w:val="18"/>
                <w:szCs w:val="18"/>
              </w:rPr>
              <w:t>3.5</w:t>
            </w:r>
          </w:p>
        </w:tc>
        <w:tc>
          <w:tcPr>
            <w:tcW w:w="772" w:type="dxa"/>
            <w:shd w:val="clear" w:color="auto" w:fill="auto"/>
            <w:tcMar>
              <w:top w:w="28" w:type="dxa"/>
              <w:left w:w="102" w:type="dxa"/>
              <w:bottom w:w="28" w:type="dxa"/>
              <w:right w:w="102" w:type="dxa"/>
            </w:tcMar>
            <w:vAlign w:val="center"/>
            <w:hideMark/>
          </w:tcPr>
          <w:p w14:paraId="55C97DFA" w14:textId="1E0AEDCE"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0B9A7830" w14:textId="2451BA13"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7E9684DC" w14:textId="6E5C3441"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53E61D42" w14:textId="624D9B25" w:rsidR="00ED5BA7" w:rsidRPr="00ED5BA7" w:rsidRDefault="00ED5BA7" w:rsidP="003D6506">
            <w:pPr>
              <w:pStyle w:val="Tabletext"/>
              <w:jc w:val="center"/>
              <w:rPr>
                <w:sz w:val="18"/>
                <w:szCs w:val="18"/>
              </w:rPr>
            </w:pPr>
            <w:r w:rsidRPr="00ED5BA7">
              <w:rPr>
                <w:rFonts w:eastAsia="나눔고딕"/>
                <w:sz w:val="18"/>
                <w:szCs w:val="18"/>
              </w:rPr>
              <w:t>1.2</w:t>
            </w:r>
          </w:p>
        </w:tc>
        <w:tc>
          <w:tcPr>
            <w:tcW w:w="591" w:type="dxa"/>
            <w:vAlign w:val="center"/>
          </w:tcPr>
          <w:p w14:paraId="517790AD" w14:textId="5645CC42" w:rsidR="00ED5BA7" w:rsidRPr="00ED5BA7" w:rsidRDefault="00ED5BA7" w:rsidP="003D6506">
            <w:pPr>
              <w:pStyle w:val="Tabletext"/>
              <w:jc w:val="center"/>
              <w:rPr>
                <w:sz w:val="18"/>
                <w:szCs w:val="18"/>
              </w:rPr>
            </w:pPr>
            <w:r w:rsidRPr="00ED5BA7">
              <w:rPr>
                <w:rFonts w:eastAsia="나눔고딕"/>
                <w:sz w:val="18"/>
                <w:szCs w:val="18"/>
              </w:rPr>
              <w:t>32.7%</w:t>
            </w:r>
          </w:p>
        </w:tc>
        <w:tc>
          <w:tcPr>
            <w:tcW w:w="994" w:type="dxa"/>
            <w:vAlign w:val="center"/>
          </w:tcPr>
          <w:p w14:paraId="1B122462" w14:textId="4EB9D671"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4A0CBBF4" w14:textId="4A649E6B"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7DBCF107" w14:textId="77777777" w:rsidTr="003D6506">
        <w:trPr>
          <w:trHeight w:val="226"/>
          <w:jc w:val="center"/>
        </w:trPr>
        <w:tc>
          <w:tcPr>
            <w:tcW w:w="1165" w:type="dxa"/>
            <w:shd w:val="clear" w:color="auto" w:fill="auto"/>
            <w:tcMar>
              <w:top w:w="28" w:type="dxa"/>
              <w:left w:w="102" w:type="dxa"/>
              <w:bottom w:w="28" w:type="dxa"/>
              <w:right w:w="102" w:type="dxa"/>
            </w:tcMar>
            <w:vAlign w:val="center"/>
          </w:tcPr>
          <w:p w14:paraId="351E6DF0" w14:textId="1515E63D" w:rsidR="00ED5BA7" w:rsidRPr="00ED5BA7" w:rsidRDefault="003D6506" w:rsidP="00ED5BA7">
            <w:pPr>
              <w:pStyle w:val="Tabletext"/>
              <w:rPr>
                <w:rFonts w:eastAsia="굴림"/>
                <w:color w:val="000000"/>
                <w:spacing w:val="-10"/>
                <w:w w:val="99"/>
                <w:sz w:val="18"/>
                <w:szCs w:val="18"/>
                <w:lang w:val="en-US" w:eastAsia="ko-KR"/>
              </w:rPr>
            </w:pPr>
            <w:r>
              <w:rPr>
                <w:rFonts w:eastAsia="굴림" w:hint="eastAsia"/>
                <w:color w:val="000000"/>
                <w:spacing w:val="-10"/>
                <w:w w:val="99"/>
                <w:sz w:val="18"/>
                <w:szCs w:val="18"/>
                <w:lang w:val="en-US" w:eastAsia="ko-KR"/>
              </w:rPr>
              <w:t>T</w:t>
            </w:r>
            <w:r>
              <w:rPr>
                <w:rFonts w:eastAsia="굴림"/>
                <w:color w:val="000000"/>
                <w:spacing w:val="-10"/>
                <w:w w:val="99"/>
                <w:sz w:val="18"/>
                <w:szCs w:val="18"/>
                <w:lang w:val="en-US" w:eastAsia="ko-KR"/>
              </w:rPr>
              <w:t>aiwan</w:t>
            </w:r>
          </w:p>
        </w:tc>
        <w:tc>
          <w:tcPr>
            <w:tcW w:w="844" w:type="dxa"/>
            <w:shd w:val="clear" w:color="auto" w:fill="auto"/>
            <w:tcMar>
              <w:top w:w="28" w:type="dxa"/>
              <w:left w:w="102" w:type="dxa"/>
              <w:bottom w:w="28" w:type="dxa"/>
              <w:right w:w="102" w:type="dxa"/>
            </w:tcMar>
            <w:vAlign w:val="center"/>
          </w:tcPr>
          <w:p w14:paraId="6B6C7111" w14:textId="50D2AB8F" w:rsidR="00ED5BA7" w:rsidRPr="00ED5BA7" w:rsidRDefault="00ED5BA7" w:rsidP="003D6506">
            <w:pPr>
              <w:pStyle w:val="Tabletext"/>
              <w:jc w:val="center"/>
              <w:rPr>
                <w:sz w:val="18"/>
                <w:szCs w:val="18"/>
              </w:rPr>
            </w:pPr>
            <w:r w:rsidRPr="00ED5BA7">
              <w:rPr>
                <w:rFonts w:eastAsia="나눔고딕"/>
                <w:sz w:val="18"/>
                <w:szCs w:val="18"/>
              </w:rPr>
              <w:t>13.1</w:t>
            </w:r>
          </w:p>
        </w:tc>
        <w:tc>
          <w:tcPr>
            <w:tcW w:w="864" w:type="dxa"/>
            <w:shd w:val="clear" w:color="auto" w:fill="auto"/>
            <w:tcMar>
              <w:top w:w="28" w:type="dxa"/>
              <w:left w:w="102" w:type="dxa"/>
              <w:bottom w:w="28" w:type="dxa"/>
              <w:right w:w="102" w:type="dxa"/>
            </w:tcMar>
            <w:vAlign w:val="center"/>
          </w:tcPr>
          <w:p w14:paraId="3A3A940F" w14:textId="3D0C5DB9"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744ED917" w14:textId="1E7454B5"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0FEB38CD" w14:textId="6FE256B4" w:rsidR="00ED5BA7" w:rsidRPr="00ED5BA7" w:rsidRDefault="00ED5BA7" w:rsidP="003D6506">
            <w:pPr>
              <w:pStyle w:val="Tabletext"/>
              <w:jc w:val="center"/>
              <w:rPr>
                <w:sz w:val="18"/>
                <w:szCs w:val="18"/>
              </w:rPr>
            </w:pPr>
            <w:r w:rsidRPr="00ED5BA7">
              <w:rPr>
                <w:rFonts w:eastAsia="나눔고딕"/>
                <w:sz w:val="18"/>
                <w:szCs w:val="18"/>
              </w:rPr>
              <w:t>13.1</w:t>
            </w:r>
          </w:p>
        </w:tc>
        <w:tc>
          <w:tcPr>
            <w:tcW w:w="772" w:type="dxa"/>
            <w:shd w:val="clear" w:color="auto" w:fill="auto"/>
            <w:tcMar>
              <w:top w:w="28" w:type="dxa"/>
              <w:left w:w="102" w:type="dxa"/>
              <w:bottom w:w="28" w:type="dxa"/>
              <w:right w:w="102" w:type="dxa"/>
            </w:tcMar>
            <w:vAlign w:val="center"/>
          </w:tcPr>
          <w:p w14:paraId="4DEEC43F" w14:textId="59252502"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5BEB926E" w14:textId="0109B40B"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775D753A" w14:textId="6C4CB634"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57672828" w14:textId="55F6C92C" w:rsidR="00ED5BA7" w:rsidRPr="00ED5BA7" w:rsidRDefault="00ED5BA7" w:rsidP="003D6506">
            <w:pPr>
              <w:pStyle w:val="Tabletext"/>
              <w:jc w:val="center"/>
              <w:rPr>
                <w:sz w:val="18"/>
                <w:szCs w:val="18"/>
              </w:rPr>
            </w:pPr>
            <w:r w:rsidRPr="00ED5BA7">
              <w:rPr>
                <w:rFonts w:eastAsia="나눔고딕"/>
                <w:sz w:val="18"/>
                <w:szCs w:val="18"/>
              </w:rPr>
              <w:t>13.1</w:t>
            </w:r>
          </w:p>
        </w:tc>
        <w:tc>
          <w:tcPr>
            <w:tcW w:w="591" w:type="dxa"/>
            <w:vAlign w:val="center"/>
          </w:tcPr>
          <w:p w14:paraId="2B7C6A90" w14:textId="77909218" w:rsidR="00ED5BA7" w:rsidRPr="00ED5BA7" w:rsidRDefault="00ED5BA7" w:rsidP="003D6506">
            <w:pPr>
              <w:pStyle w:val="Tabletext"/>
              <w:jc w:val="center"/>
              <w:rPr>
                <w:sz w:val="18"/>
                <w:szCs w:val="18"/>
              </w:rPr>
            </w:pPr>
            <w:r w:rsidRPr="00ED5BA7">
              <w:rPr>
                <w:rFonts w:eastAsia="나눔고딕"/>
                <w:sz w:val="18"/>
                <w:szCs w:val="18"/>
              </w:rPr>
              <w:t>100.0%</w:t>
            </w:r>
          </w:p>
        </w:tc>
        <w:tc>
          <w:tcPr>
            <w:tcW w:w="994" w:type="dxa"/>
            <w:vAlign w:val="center"/>
          </w:tcPr>
          <w:p w14:paraId="5F10DC98" w14:textId="00419F41" w:rsidR="00ED5BA7" w:rsidRPr="00ED5BA7" w:rsidRDefault="00ED5BA7" w:rsidP="003D6506">
            <w:pPr>
              <w:pStyle w:val="Tabletext"/>
              <w:jc w:val="center"/>
              <w:rPr>
                <w:sz w:val="18"/>
                <w:szCs w:val="18"/>
              </w:rPr>
            </w:pPr>
            <w:r w:rsidRPr="00ED5BA7">
              <w:rPr>
                <w:rFonts w:eastAsia="나눔고딕"/>
                <w:sz w:val="18"/>
                <w:szCs w:val="18"/>
              </w:rPr>
              <w:t>8.9</w:t>
            </w:r>
          </w:p>
        </w:tc>
        <w:tc>
          <w:tcPr>
            <w:tcW w:w="503" w:type="dxa"/>
            <w:vAlign w:val="center"/>
          </w:tcPr>
          <w:p w14:paraId="24EB9B99" w14:textId="70872FE4" w:rsidR="00ED5BA7" w:rsidRPr="00ED5BA7" w:rsidRDefault="00ED5BA7" w:rsidP="003D6506">
            <w:pPr>
              <w:pStyle w:val="Tabletext"/>
              <w:jc w:val="center"/>
              <w:rPr>
                <w:sz w:val="18"/>
                <w:szCs w:val="18"/>
              </w:rPr>
            </w:pPr>
            <w:r w:rsidRPr="00ED5BA7">
              <w:rPr>
                <w:rFonts w:eastAsia="나눔고딕"/>
                <w:sz w:val="18"/>
                <w:szCs w:val="18"/>
              </w:rPr>
              <w:t>68.0%</w:t>
            </w:r>
          </w:p>
        </w:tc>
      </w:tr>
      <w:tr w:rsidR="003D6506" w:rsidRPr="00811AF2" w14:paraId="381EDF4F" w14:textId="77777777" w:rsidTr="003D6506">
        <w:trPr>
          <w:trHeight w:val="226"/>
          <w:jc w:val="center"/>
        </w:trPr>
        <w:tc>
          <w:tcPr>
            <w:tcW w:w="1165" w:type="dxa"/>
            <w:shd w:val="clear" w:color="auto" w:fill="auto"/>
            <w:tcMar>
              <w:top w:w="28" w:type="dxa"/>
              <w:left w:w="102" w:type="dxa"/>
              <w:bottom w:w="28" w:type="dxa"/>
              <w:right w:w="102" w:type="dxa"/>
            </w:tcMar>
            <w:vAlign w:val="center"/>
          </w:tcPr>
          <w:p w14:paraId="0186D236" w14:textId="58AA1976"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T</w:t>
            </w:r>
            <w:r>
              <w:rPr>
                <w:rFonts w:eastAsia="나눔고딕"/>
                <w:sz w:val="18"/>
                <w:szCs w:val="18"/>
                <w:lang w:eastAsia="ko-KR"/>
              </w:rPr>
              <w:t>urkey</w:t>
            </w:r>
          </w:p>
        </w:tc>
        <w:tc>
          <w:tcPr>
            <w:tcW w:w="844" w:type="dxa"/>
            <w:shd w:val="clear" w:color="auto" w:fill="auto"/>
            <w:tcMar>
              <w:top w:w="28" w:type="dxa"/>
              <w:left w:w="102" w:type="dxa"/>
              <w:bottom w:w="28" w:type="dxa"/>
              <w:right w:w="102" w:type="dxa"/>
            </w:tcMar>
            <w:vAlign w:val="center"/>
          </w:tcPr>
          <w:p w14:paraId="2C3B1D1D" w14:textId="32335271" w:rsidR="00ED5BA7" w:rsidRPr="00ED5BA7" w:rsidRDefault="00ED5BA7" w:rsidP="003D6506">
            <w:pPr>
              <w:pStyle w:val="Tabletext"/>
              <w:jc w:val="center"/>
              <w:rPr>
                <w:sz w:val="18"/>
                <w:szCs w:val="18"/>
              </w:rPr>
            </w:pPr>
            <w:r w:rsidRPr="00ED5BA7">
              <w:rPr>
                <w:rFonts w:eastAsia="나눔고딕"/>
                <w:sz w:val="18"/>
                <w:szCs w:val="18"/>
              </w:rPr>
              <w:t>5.0</w:t>
            </w:r>
          </w:p>
        </w:tc>
        <w:tc>
          <w:tcPr>
            <w:tcW w:w="864" w:type="dxa"/>
            <w:shd w:val="clear" w:color="auto" w:fill="auto"/>
            <w:tcMar>
              <w:top w:w="28" w:type="dxa"/>
              <w:left w:w="102" w:type="dxa"/>
              <w:bottom w:w="28" w:type="dxa"/>
              <w:right w:w="102" w:type="dxa"/>
            </w:tcMar>
            <w:vAlign w:val="center"/>
          </w:tcPr>
          <w:p w14:paraId="72D89D8D" w14:textId="75EE93DC"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7B212284" w14:textId="5CAB64D1"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413626F3" w14:textId="3647968B" w:rsidR="00ED5BA7" w:rsidRPr="00ED5BA7" w:rsidRDefault="00ED5BA7" w:rsidP="003D6506">
            <w:pPr>
              <w:pStyle w:val="Tabletext"/>
              <w:jc w:val="center"/>
              <w:rPr>
                <w:sz w:val="18"/>
                <w:szCs w:val="18"/>
              </w:rPr>
            </w:pPr>
            <w:r w:rsidRPr="00ED5BA7">
              <w:rPr>
                <w:rFonts w:eastAsia="나눔고딕"/>
                <w:sz w:val="18"/>
                <w:szCs w:val="18"/>
              </w:rPr>
              <w:t>5.0</w:t>
            </w:r>
          </w:p>
        </w:tc>
        <w:tc>
          <w:tcPr>
            <w:tcW w:w="772" w:type="dxa"/>
            <w:shd w:val="clear" w:color="auto" w:fill="auto"/>
            <w:tcMar>
              <w:top w:w="28" w:type="dxa"/>
              <w:left w:w="102" w:type="dxa"/>
              <w:bottom w:w="28" w:type="dxa"/>
              <w:right w:w="102" w:type="dxa"/>
            </w:tcMar>
            <w:vAlign w:val="center"/>
          </w:tcPr>
          <w:p w14:paraId="55812200" w14:textId="73672C8F"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56023F27" w14:textId="58255086"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2F3D9D40" w14:textId="2A8F1825"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69C6712C" w14:textId="4E9E19C2" w:rsidR="00ED5BA7" w:rsidRPr="00ED5BA7" w:rsidRDefault="00ED5BA7" w:rsidP="003D6506">
            <w:pPr>
              <w:pStyle w:val="Tabletext"/>
              <w:jc w:val="center"/>
              <w:rPr>
                <w:sz w:val="18"/>
                <w:szCs w:val="18"/>
              </w:rPr>
            </w:pPr>
            <w:r w:rsidRPr="00ED5BA7">
              <w:rPr>
                <w:rFonts w:eastAsia="나눔고딕"/>
                <w:sz w:val="18"/>
                <w:szCs w:val="18"/>
              </w:rPr>
              <w:t>5.0</w:t>
            </w:r>
          </w:p>
        </w:tc>
        <w:tc>
          <w:tcPr>
            <w:tcW w:w="591" w:type="dxa"/>
            <w:vAlign w:val="center"/>
          </w:tcPr>
          <w:p w14:paraId="7CF0856A" w14:textId="224F0AE9" w:rsidR="00ED5BA7" w:rsidRPr="00ED5BA7" w:rsidRDefault="00ED5BA7" w:rsidP="003D6506">
            <w:pPr>
              <w:pStyle w:val="Tabletext"/>
              <w:jc w:val="center"/>
              <w:rPr>
                <w:sz w:val="18"/>
                <w:szCs w:val="18"/>
              </w:rPr>
            </w:pPr>
            <w:r w:rsidRPr="00ED5BA7">
              <w:rPr>
                <w:rFonts w:eastAsia="나눔고딕"/>
                <w:sz w:val="18"/>
                <w:szCs w:val="18"/>
              </w:rPr>
              <w:t>100.0%</w:t>
            </w:r>
          </w:p>
        </w:tc>
        <w:tc>
          <w:tcPr>
            <w:tcW w:w="994" w:type="dxa"/>
            <w:vAlign w:val="center"/>
          </w:tcPr>
          <w:p w14:paraId="323B2AF2" w14:textId="4D62418B"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22EB4E12" w14:textId="4D79547A"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0371453F" w14:textId="77777777" w:rsidTr="003D6506">
        <w:trPr>
          <w:trHeight w:val="226"/>
          <w:jc w:val="center"/>
        </w:trPr>
        <w:tc>
          <w:tcPr>
            <w:tcW w:w="1165" w:type="dxa"/>
            <w:shd w:val="clear" w:color="auto" w:fill="auto"/>
            <w:tcMar>
              <w:top w:w="28" w:type="dxa"/>
              <w:left w:w="102" w:type="dxa"/>
              <w:bottom w:w="28" w:type="dxa"/>
              <w:right w:w="102" w:type="dxa"/>
            </w:tcMar>
            <w:vAlign w:val="center"/>
          </w:tcPr>
          <w:p w14:paraId="2BF5A9EF" w14:textId="3D2DF97D"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U</w:t>
            </w:r>
            <w:r>
              <w:rPr>
                <w:rFonts w:eastAsia="나눔고딕"/>
                <w:sz w:val="18"/>
                <w:szCs w:val="18"/>
                <w:lang w:eastAsia="ko-KR"/>
              </w:rPr>
              <w:t>kraine</w:t>
            </w:r>
          </w:p>
        </w:tc>
        <w:tc>
          <w:tcPr>
            <w:tcW w:w="844" w:type="dxa"/>
            <w:shd w:val="clear" w:color="auto" w:fill="auto"/>
            <w:tcMar>
              <w:top w:w="28" w:type="dxa"/>
              <w:left w:w="102" w:type="dxa"/>
              <w:bottom w:w="28" w:type="dxa"/>
              <w:right w:w="102" w:type="dxa"/>
            </w:tcMar>
            <w:vAlign w:val="center"/>
          </w:tcPr>
          <w:p w14:paraId="0A84F54B" w14:textId="2767A80F" w:rsidR="00ED5BA7" w:rsidRPr="00ED5BA7" w:rsidRDefault="00ED5BA7" w:rsidP="003D6506">
            <w:pPr>
              <w:pStyle w:val="Tabletext"/>
              <w:jc w:val="center"/>
              <w:rPr>
                <w:sz w:val="18"/>
                <w:szCs w:val="18"/>
              </w:rPr>
            </w:pPr>
            <w:r w:rsidRPr="00ED5BA7">
              <w:rPr>
                <w:rFonts w:eastAsia="나눔고딕"/>
                <w:sz w:val="18"/>
                <w:szCs w:val="18"/>
              </w:rPr>
              <w:t>22.6</w:t>
            </w:r>
          </w:p>
        </w:tc>
        <w:tc>
          <w:tcPr>
            <w:tcW w:w="864" w:type="dxa"/>
            <w:shd w:val="clear" w:color="auto" w:fill="auto"/>
            <w:tcMar>
              <w:top w:w="28" w:type="dxa"/>
              <w:left w:w="102" w:type="dxa"/>
              <w:bottom w:w="28" w:type="dxa"/>
              <w:right w:w="102" w:type="dxa"/>
            </w:tcMar>
            <w:vAlign w:val="center"/>
          </w:tcPr>
          <w:p w14:paraId="29C2EBF4" w14:textId="4EA71D04" w:rsidR="00ED5BA7" w:rsidRPr="00ED5BA7" w:rsidRDefault="00ED5BA7" w:rsidP="003D6506">
            <w:pPr>
              <w:pStyle w:val="Tabletext"/>
              <w:jc w:val="center"/>
              <w:rPr>
                <w:sz w:val="18"/>
                <w:szCs w:val="18"/>
              </w:rPr>
            </w:pPr>
            <w:r w:rsidRPr="00ED5BA7">
              <w:rPr>
                <w:rFonts w:eastAsia="나눔고딕"/>
                <w:sz w:val="18"/>
                <w:szCs w:val="18"/>
              </w:rPr>
              <w:t>2.5</w:t>
            </w:r>
          </w:p>
        </w:tc>
        <w:tc>
          <w:tcPr>
            <w:tcW w:w="674" w:type="dxa"/>
            <w:shd w:val="clear" w:color="auto" w:fill="auto"/>
            <w:tcMar>
              <w:top w:w="28" w:type="dxa"/>
              <w:left w:w="102" w:type="dxa"/>
              <w:bottom w:w="28" w:type="dxa"/>
              <w:right w:w="102" w:type="dxa"/>
            </w:tcMar>
            <w:vAlign w:val="center"/>
          </w:tcPr>
          <w:p w14:paraId="35E2C1D7" w14:textId="7C110CEC" w:rsidR="00ED5BA7" w:rsidRPr="00ED5BA7" w:rsidRDefault="00ED5BA7" w:rsidP="003D6506">
            <w:pPr>
              <w:pStyle w:val="Tabletext"/>
              <w:jc w:val="center"/>
              <w:rPr>
                <w:sz w:val="18"/>
                <w:szCs w:val="18"/>
              </w:rPr>
            </w:pPr>
            <w:r w:rsidRPr="00ED5BA7">
              <w:rPr>
                <w:rFonts w:eastAsia="나눔고딕"/>
                <w:sz w:val="18"/>
                <w:szCs w:val="18"/>
              </w:rPr>
              <w:t>11.0%</w:t>
            </w:r>
          </w:p>
        </w:tc>
        <w:tc>
          <w:tcPr>
            <w:tcW w:w="811" w:type="dxa"/>
            <w:shd w:val="clear" w:color="auto" w:fill="auto"/>
            <w:tcMar>
              <w:top w:w="28" w:type="dxa"/>
              <w:left w:w="102" w:type="dxa"/>
              <w:bottom w:w="28" w:type="dxa"/>
              <w:right w:w="102" w:type="dxa"/>
            </w:tcMar>
            <w:vAlign w:val="center"/>
          </w:tcPr>
          <w:p w14:paraId="5733128C" w14:textId="3529BE35" w:rsidR="00ED5BA7" w:rsidRPr="00ED5BA7" w:rsidRDefault="00ED5BA7" w:rsidP="003D6506">
            <w:pPr>
              <w:pStyle w:val="Tabletext"/>
              <w:jc w:val="center"/>
              <w:rPr>
                <w:sz w:val="18"/>
                <w:szCs w:val="18"/>
              </w:rPr>
            </w:pPr>
            <w:r w:rsidRPr="00ED5BA7">
              <w:rPr>
                <w:rFonts w:eastAsia="나눔고딕"/>
                <w:sz w:val="18"/>
                <w:szCs w:val="18"/>
              </w:rPr>
              <w:t>20.1</w:t>
            </w:r>
          </w:p>
        </w:tc>
        <w:tc>
          <w:tcPr>
            <w:tcW w:w="772" w:type="dxa"/>
            <w:shd w:val="clear" w:color="auto" w:fill="auto"/>
            <w:tcMar>
              <w:top w:w="28" w:type="dxa"/>
              <w:left w:w="102" w:type="dxa"/>
              <w:bottom w:w="28" w:type="dxa"/>
              <w:right w:w="102" w:type="dxa"/>
            </w:tcMar>
            <w:vAlign w:val="center"/>
          </w:tcPr>
          <w:p w14:paraId="5D5B5C99" w14:textId="1D72D67D" w:rsidR="00ED5BA7" w:rsidRPr="00ED5BA7" w:rsidRDefault="00ED5BA7" w:rsidP="003D6506">
            <w:pPr>
              <w:pStyle w:val="Tabletext"/>
              <w:jc w:val="center"/>
              <w:rPr>
                <w:sz w:val="18"/>
                <w:szCs w:val="18"/>
              </w:rPr>
            </w:pPr>
            <w:r w:rsidRPr="00ED5BA7">
              <w:rPr>
                <w:rFonts w:eastAsia="나눔고딕"/>
                <w:sz w:val="18"/>
                <w:szCs w:val="18"/>
              </w:rPr>
              <w:t>89.0%</w:t>
            </w:r>
          </w:p>
        </w:tc>
        <w:tc>
          <w:tcPr>
            <w:tcW w:w="811" w:type="dxa"/>
            <w:vAlign w:val="center"/>
          </w:tcPr>
          <w:p w14:paraId="14FC4E53" w14:textId="599B4E14" w:rsidR="00ED5BA7" w:rsidRPr="00ED5BA7" w:rsidRDefault="00ED5BA7" w:rsidP="003D6506">
            <w:pPr>
              <w:pStyle w:val="Tabletext"/>
              <w:jc w:val="center"/>
              <w:rPr>
                <w:sz w:val="18"/>
                <w:szCs w:val="18"/>
              </w:rPr>
            </w:pPr>
            <w:r w:rsidRPr="00ED5BA7">
              <w:rPr>
                <w:rFonts w:eastAsia="나눔고딕"/>
                <w:sz w:val="18"/>
                <w:szCs w:val="18"/>
              </w:rPr>
              <w:t>4.1</w:t>
            </w:r>
          </w:p>
        </w:tc>
        <w:tc>
          <w:tcPr>
            <w:tcW w:w="503" w:type="dxa"/>
            <w:vAlign w:val="center"/>
          </w:tcPr>
          <w:p w14:paraId="2E55797B" w14:textId="360F38D9" w:rsidR="00ED5BA7" w:rsidRPr="00ED5BA7" w:rsidRDefault="00ED5BA7" w:rsidP="003D6506">
            <w:pPr>
              <w:pStyle w:val="Tabletext"/>
              <w:jc w:val="center"/>
              <w:rPr>
                <w:sz w:val="18"/>
                <w:szCs w:val="18"/>
              </w:rPr>
            </w:pPr>
            <w:r w:rsidRPr="00ED5BA7">
              <w:rPr>
                <w:rFonts w:eastAsia="나눔고딕"/>
                <w:sz w:val="18"/>
                <w:szCs w:val="18"/>
              </w:rPr>
              <w:t>18.1%</w:t>
            </w:r>
          </w:p>
        </w:tc>
        <w:tc>
          <w:tcPr>
            <w:tcW w:w="495" w:type="dxa"/>
            <w:vAlign w:val="center"/>
          </w:tcPr>
          <w:p w14:paraId="2022276C" w14:textId="01049FAC" w:rsidR="00ED5BA7" w:rsidRPr="00ED5BA7" w:rsidRDefault="00ED5BA7" w:rsidP="003D6506">
            <w:pPr>
              <w:pStyle w:val="Tabletext"/>
              <w:jc w:val="center"/>
              <w:rPr>
                <w:sz w:val="18"/>
                <w:szCs w:val="18"/>
              </w:rPr>
            </w:pPr>
            <w:r w:rsidRPr="00ED5BA7">
              <w:rPr>
                <w:rFonts w:eastAsia="나눔고딕"/>
                <w:sz w:val="18"/>
                <w:szCs w:val="18"/>
              </w:rPr>
              <w:t>0.0</w:t>
            </w:r>
          </w:p>
        </w:tc>
        <w:tc>
          <w:tcPr>
            <w:tcW w:w="591" w:type="dxa"/>
            <w:vAlign w:val="center"/>
          </w:tcPr>
          <w:p w14:paraId="594F1580" w14:textId="296E3DDC" w:rsidR="00ED5BA7" w:rsidRPr="00ED5BA7" w:rsidRDefault="00ED5BA7" w:rsidP="003D6506">
            <w:pPr>
              <w:pStyle w:val="Tabletext"/>
              <w:jc w:val="center"/>
              <w:rPr>
                <w:sz w:val="18"/>
                <w:szCs w:val="18"/>
              </w:rPr>
            </w:pPr>
            <w:r w:rsidRPr="00ED5BA7">
              <w:rPr>
                <w:rFonts w:eastAsia="나눔고딕"/>
                <w:sz w:val="18"/>
                <w:szCs w:val="18"/>
              </w:rPr>
              <w:t>0.0%</w:t>
            </w:r>
          </w:p>
        </w:tc>
        <w:tc>
          <w:tcPr>
            <w:tcW w:w="994" w:type="dxa"/>
            <w:vAlign w:val="center"/>
          </w:tcPr>
          <w:p w14:paraId="49F8C357" w14:textId="0547F97E"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676AB366" w14:textId="353B0A36"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29CC9239" w14:textId="77777777" w:rsidTr="003D6506">
        <w:trPr>
          <w:trHeight w:val="226"/>
          <w:jc w:val="center"/>
        </w:trPr>
        <w:tc>
          <w:tcPr>
            <w:tcW w:w="1165" w:type="dxa"/>
            <w:shd w:val="clear" w:color="auto" w:fill="auto"/>
            <w:tcMar>
              <w:top w:w="28" w:type="dxa"/>
              <w:left w:w="102" w:type="dxa"/>
              <w:bottom w:w="28" w:type="dxa"/>
              <w:right w:w="102" w:type="dxa"/>
            </w:tcMar>
            <w:vAlign w:val="center"/>
          </w:tcPr>
          <w:p w14:paraId="2BFBCB4A" w14:textId="4202AF06"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U</w:t>
            </w:r>
            <w:r>
              <w:rPr>
                <w:rFonts w:eastAsia="나눔고딕"/>
                <w:sz w:val="18"/>
                <w:szCs w:val="18"/>
                <w:lang w:eastAsia="ko-KR"/>
              </w:rPr>
              <w:t>nited Arab Emirates</w:t>
            </w:r>
          </w:p>
        </w:tc>
        <w:tc>
          <w:tcPr>
            <w:tcW w:w="844" w:type="dxa"/>
            <w:shd w:val="clear" w:color="auto" w:fill="auto"/>
            <w:tcMar>
              <w:top w:w="28" w:type="dxa"/>
              <w:left w:w="102" w:type="dxa"/>
              <w:bottom w:w="28" w:type="dxa"/>
              <w:right w:w="102" w:type="dxa"/>
            </w:tcMar>
            <w:vAlign w:val="center"/>
          </w:tcPr>
          <w:p w14:paraId="75B2B14B" w14:textId="665DA42D" w:rsidR="00ED5BA7" w:rsidRPr="00ED5BA7" w:rsidRDefault="00ED5BA7" w:rsidP="003D6506">
            <w:pPr>
              <w:pStyle w:val="Tabletext"/>
              <w:jc w:val="center"/>
              <w:rPr>
                <w:sz w:val="18"/>
                <w:szCs w:val="18"/>
              </w:rPr>
            </w:pPr>
            <w:r w:rsidRPr="00ED5BA7">
              <w:rPr>
                <w:rFonts w:eastAsia="나눔고딕"/>
                <w:sz w:val="18"/>
                <w:szCs w:val="18"/>
              </w:rPr>
              <w:t>1.2</w:t>
            </w:r>
          </w:p>
        </w:tc>
        <w:tc>
          <w:tcPr>
            <w:tcW w:w="864" w:type="dxa"/>
            <w:shd w:val="clear" w:color="auto" w:fill="auto"/>
            <w:tcMar>
              <w:top w:w="28" w:type="dxa"/>
              <w:left w:w="102" w:type="dxa"/>
              <w:bottom w:w="28" w:type="dxa"/>
              <w:right w:w="102" w:type="dxa"/>
            </w:tcMar>
            <w:vAlign w:val="center"/>
          </w:tcPr>
          <w:p w14:paraId="63487B29" w14:textId="317046C0"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6EA9C9E7" w14:textId="3B57013A"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02B3A659" w14:textId="13D6E0DE" w:rsidR="00ED5BA7" w:rsidRPr="00ED5BA7" w:rsidRDefault="00ED5BA7" w:rsidP="003D6506">
            <w:pPr>
              <w:pStyle w:val="Tabletext"/>
              <w:jc w:val="center"/>
              <w:rPr>
                <w:sz w:val="18"/>
                <w:szCs w:val="18"/>
              </w:rPr>
            </w:pPr>
            <w:r w:rsidRPr="00ED5BA7">
              <w:rPr>
                <w:rFonts w:eastAsia="나눔고딕"/>
                <w:sz w:val="18"/>
                <w:szCs w:val="18"/>
              </w:rPr>
              <w:t>1.2</w:t>
            </w:r>
          </w:p>
        </w:tc>
        <w:tc>
          <w:tcPr>
            <w:tcW w:w="772" w:type="dxa"/>
            <w:shd w:val="clear" w:color="auto" w:fill="auto"/>
            <w:tcMar>
              <w:top w:w="28" w:type="dxa"/>
              <w:left w:w="102" w:type="dxa"/>
              <w:bottom w:w="28" w:type="dxa"/>
              <w:right w:w="102" w:type="dxa"/>
            </w:tcMar>
            <w:vAlign w:val="center"/>
          </w:tcPr>
          <w:p w14:paraId="41014886" w14:textId="357D7379"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69480C41" w14:textId="28C3C618"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0C0B06B6" w14:textId="79935816"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1E0D3994" w14:textId="24A74E3D" w:rsidR="00ED5BA7" w:rsidRPr="00ED5BA7" w:rsidRDefault="00ED5BA7" w:rsidP="003D6506">
            <w:pPr>
              <w:pStyle w:val="Tabletext"/>
              <w:jc w:val="center"/>
              <w:rPr>
                <w:sz w:val="18"/>
                <w:szCs w:val="18"/>
              </w:rPr>
            </w:pPr>
            <w:r w:rsidRPr="00ED5BA7">
              <w:rPr>
                <w:rFonts w:eastAsia="나눔고딕"/>
                <w:sz w:val="18"/>
                <w:szCs w:val="18"/>
              </w:rPr>
              <w:t>0.0</w:t>
            </w:r>
          </w:p>
        </w:tc>
        <w:tc>
          <w:tcPr>
            <w:tcW w:w="591" w:type="dxa"/>
            <w:vAlign w:val="center"/>
          </w:tcPr>
          <w:p w14:paraId="7C66A4D9" w14:textId="41713295" w:rsidR="00ED5BA7" w:rsidRPr="00ED5BA7" w:rsidRDefault="00ED5BA7" w:rsidP="003D6506">
            <w:pPr>
              <w:pStyle w:val="Tabletext"/>
              <w:jc w:val="center"/>
              <w:rPr>
                <w:sz w:val="18"/>
                <w:szCs w:val="18"/>
              </w:rPr>
            </w:pPr>
            <w:r w:rsidRPr="00ED5BA7">
              <w:rPr>
                <w:rFonts w:eastAsia="나눔고딕"/>
                <w:sz w:val="18"/>
                <w:szCs w:val="18"/>
              </w:rPr>
              <w:t>0.0%</w:t>
            </w:r>
          </w:p>
        </w:tc>
        <w:tc>
          <w:tcPr>
            <w:tcW w:w="994" w:type="dxa"/>
            <w:vAlign w:val="center"/>
          </w:tcPr>
          <w:p w14:paraId="08CF20FB" w14:textId="2EAE4F5A"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0D30F250" w14:textId="702705A3"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57E094EE" w14:textId="77777777" w:rsidTr="003D6506">
        <w:trPr>
          <w:trHeight w:val="226"/>
          <w:jc w:val="center"/>
        </w:trPr>
        <w:tc>
          <w:tcPr>
            <w:tcW w:w="1165" w:type="dxa"/>
            <w:shd w:val="clear" w:color="auto" w:fill="auto"/>
            <w:tcMar>
              <w:top w:w="28" w:type="dxa"/>
              <w:left w:w="102" w:type="dxa"/>
              <w:bottom w:w="28" w:type="dxa"/>
              <w:right w:w="102" w:type="dxa"/>
            </w:tcMar>
            <w:vAlign w:val="center"/>
          </w:tcPr>
          <w:p w14:paraId="66981FCF" w14:textId="26D00F16"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U</w:t>
            </w:r>
            <w:r>
              <w:rPr>
                <w:rFonts w:eastAsia="나눔고딕"/>
                <w:sz w:val="18"/>
                <w:szCs w:val="18"/>
                <w:lang w:eastAsia="ko-KR"/>
              </w:rPr>
              <w:t>nited Kingdom</w:t>
            </w:r>
          </w:p>
        </w:tc>
        <w:tc>
          <w:tcPr>
            <w:tcW w:w="844" w:type="dxa"/>
            <w:shd w:val="clear" w:color="auto" w:fill="auto"/>
            <w:tcMar>
              <w:top w:w="28" w:type="dxa"/>
              <w:left w:w="102" w:type="dxa"/>
              <w:bottom w:w="28" w:type="dxa"/>
              <w:right w:w="102" w:type="dxa"/>
            </w:tcMar>
            <w:vAlign w:val="center"/>
          </w:tcPr>
          <w:p w14:paraId="75093152" w14:textId="1A6EAC47" w:rsidR="00ED5BA7" w:rsidRPr="00ED5BA7" w:rsidRDefault="00ED5BA7" w:rsidP="003D6506">
            <w:pPr>
              <w:pStyle w:val="Tabletext"/>
              <w:jc w:val="center"/>
              <w:rPr>
                <w:sz w:val="18"/>
                <w:szCs w:val="18"/>
              </w:rPr>
            </w:pPr>
            <w:r w:rsidRPr="00ED5BA7">
              <w:rPr>
                <w:rFonts w:eastAsia="나눔고딕"/>
                <w:sz w:val="18"/>
                <w:szCs w:val="18"/>
              </w:rPr>
              <w:t>8.6</w:t>
            </w:r>
          </w:p>
        </w:tc>
        <w:tc>
          <w:tcPr>
            <w:tcW w:w="864" w:type="dxa"/>
            <w:shd w:val="clear" w:color="auto" w:fill="auto"/>
            <w:tcMar>
              <w:top w:w="28" w:type="dxa"/>
              <w:left w:w="102" w:type="dxa"/>
              <w:bottom w:w="28" w:type="dxa"/>
              <w:right w:w="102" w:type="dxa"/>
            </w:tcMar>
            <w:vAlign w:val="center"/>
          </w:tcPr>
          <w:p w14:paraId="7CB610EB" w14:textId="22D3E87A" w:rsidR="00ED5BA7" w:rsidRPr="00ED5BA7" w:rsidRDefault="00ED5BA7" w:rsidP="003D6506">
            <w:pPr>
              <w:pStyle w:val="Tabletext"/>
              <w:jc w:val="center"/>
              <w:rPr>
                <w:sz w:val="18"/>
                <w:szCs w:val="18"/>
              </w:rPr>
            </w:pPr>
            <w:r w:rsidRPr="00ED5BA7">
              <w:rPr>
                <w:rFonts w:eastAsia="나눔고딕"/>
                <w:sz w:val="18"/>
                <w:szCs w:val="18"/>
              </w:rPr>
              <w:t>0.0</w:t>
            </w:r>
          </w:p>
        </w:tc>
        <w:tc>
          <w:tcPr>
            <w:tcW w:w="674" w:type="dxa"/>
            <w:shd w:val="clear" w:color="auto" w:fill="auto"/>
            <w:tcMar>
              <w:top w:w="28" w:type="dxa"/>
              <w:left w:w="102" w:type="dxa"/>
              <w:bottom w:w="28" w:type="dxa"/>
              <w:right w:w="102" w:type="dxa"/>
            </w:tcMar>
            <w:vAlign w:val="center"/>
          </w:tcPr>
          <w:p w14:paraId="6FB40A91" w14:textId="368A4B24" w:rsidR="00ED5BA7" w:rsidRPr="00ED5BA7" w:rsidRDefault="00ED5BA7" w:rsidP="003D6506">
            <w:pPr>
              <w:pStyle w:val="Tabletext"/>
              <w:jc w:val="center"/>
              <w:rPr>
                <w:sz w:val="18"/>
                <w:szCs w:val="18"/>
              </w:rPr>
            </w:pPr>
            <w:r w:rsidRPr="00ED5BA7">
              <w:rPr>
                <w:rFonts w:eastAsia="나눔고딕"/>
                <w:sz w:val="18"/>
                <w:szCs w:val="18"/>
              </w:rPr>
              <w:t>0.0%</w:t>
            </w:r>
          </w:p>
        </w:tc>
        <w:tc>
          <w:tcPr>
            <w:tcW w:w="811" w:type="dxa"/>
            <w:shd w:val="clear" w:color="auto" w:fill="auto"/>
            <w:tcMar>
              <w:top w:w="28" w:type="dxa"/>
              <w:left w:w="102" w:type="dxa"/>
              <w:bottom w:w="28" w:type="dxa"/>
              <w:right w:w="102" w:type="dxa"/>
            </w:tcMar>
            <w:vAlign w:val="center"/>
          </w:tcPr>
          <w:p w14:paraId="69065EF9" w14:textId="72716E1B" w:rsidR="00ED5BA7" w:rsidRPr="00ED5BA7" w:rsidRDefault="00ED5BA7" w:rsidP="003D6506">
            <w:pPr>
              <w:pStyle w:val="Tabletext"/>
              <w:jc w:val="center"/>
              <w:rPr>
                <w:sz w:val="18"/>
                <w:szCs w:val="18"/>
              </w:rPr>
            </w:pPr>
            <w:r w:rsidRPr="00ED5BA7">
              <w:rPr>
                <w:rFonts w:eastAsia="나눔고딕"/>
                <w:sz w:val="18"/>
                <w:szCs w:val="18"/>
              </w:rPr>
              <w:t>8.6</w:t>
            </w:r>
          </w:p>
        </w:tc>
        <w:tc>
          <w:tcPr>
            <w:tcW w:w="772" w:type="dxa"/>
            <w:shd w:val="clear" w:color="auto" w:fill="auto"/>
            <w:tcMar>
              <w:top w:w="28" w:type="dxa"/>
              <w:left w:w="102" w:type="dxa"/>
              <w:bottom w:w="28" w:type="dxa"/>
              <w:right w:w="102" w:type="dxa"/>
            </w:tcMar>
            <w:vAlign w:val="center"/>
          </w:tcPr>
          <w:p w14:paraId="347671DD" w14:textId="0499ED56" w:rsidR="00ED5BA7" w:rsidRPr="00ED5BA7" w:rsidRDefault="00ED5BA7" w:rsidP="003D6506">
            <w:pPr>
              <w:pStyle w:val="Tabletext"/>
              <w:jc w:val="center"/>
              <w:rPr>
                <w:sz w:val="18"/>
                <w:szCs w:val="18"/>
              </w:rPr>
            </w:pPr>
            <w:r w:rsidRPr="00ED5BA7">
              <w:rPr>
                <w:rFonts w:eastAsia="나눔고딕"/>
                <w:sz w:val="18"/>
                <w:szCs w:val="18"/>
              </w:rPr>
              <w:t>100.0%</w:t>
            </w:r>
          </w:p>
        </w:tc>
        <w:tc>
          <w:tcPr>
            <w:tcW w:w="811" w:type="dxa"/>
            <w:vAlign w:val="center"/>
          </w:tcPr>
          <w:p w14:paraId="3EFB0B58" w14:textId="2032A288"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3FEF0390" w14:textId="51920E47" w:rsidR="00ED5BA7" w:rsidRPr="00ED5BA7" w:rsidRDefault="00ED5BA7" w:rsidP="003D6506">
            <w:pPr>
              <w:pStyle w:val="Tabletext"/>
              <w:jc w:val="center"/>
              <w:rPr>
                <w:sz w:val="18"/>
                <w:szCs w:val="18"/>
              </w:rPr>
            </w:pPr>
            <w:r w:rsidRPr="00ED5BA7">
              <w:rPr>
                <w:rFonts w:eastAsia="나눔고딕"/>
                <w:sz w:val="18"/>
                <w:szCs w:val="18"/>
              </w:rPr>
              <w:t>0.0%</w:t>
            </w:r>
          </w:p>
        </w:tc>
        <w:tc>
          <w:tcPr>
            <w:tcW w:w="495" w:type="dxa"/>
            <w:vAlign w:val="center"/>
          </w:tcPr>
          <w:p w14:paraId="4F6887EC" w14:textId="6B3A8F95" w:rsidR="00ED5BA7" w:rsidRPr="00ED5BA7" w:rsidRDefault="00ED5BA7" w:rsidP="003D6506">
            <w:pPr>
              <w:pStyle w:val="Tabletext"/>
              <w:jc w:val="center"/>
              <w:rPr>
                <w:sz w:val="18"/>
                <w:szCs w:val="18"/>
              </w:rPr>
            </w:pPr>
            <w:r w:rsidRPr="00ED5BA7">
              <w:rPr>
                <w:rFonts w:eastAsia="나눔고딕"/>
                <w:sz w:val="18"/>
                <w:szCs w:val="18"/>
              </w:rPr>
              <w:t>0.0</w:t>
            </w:r>
          </w:p>
        </w:tc>
        <w:tc>
          <w:tcPr>
            <w:tcW w:w="591" w:type="dxa"/>
            <w:vAlign w:val="center"/>
          </w:tcPr>
          <w:p w14:paraId="7833560D" w14:textId="40A34682" w:rsidR="00ED5BA7" w:rsidRPr="00ED5BA7" w:rsidRDefault="00ED5BA7" w:rsidP="003D6506">
            <w:pPr>
              <w:pStyle w:val="Tabletext"/>
              <w:jc w:val="center"/>
              <w:rPr>
                <w:sz w:val="18"/>
                <w:szCs w:val="18"/>
              </w:rPr>
            </w:pPr>
            <w:r w:rsidRPr="00ED5BA7">
              <w:rPr>
                <w:rFonts w:eastAsia="나눔고딕"/>
                <w:sz w:val="18"/>
                <w:szCs w:val="18"/>
              </w:rPr>
              <w:t>0.0%</w:t>
            </w:r>
          </w:p>
        </w:tc>
        <w:tc>
          <w:tcPr>
            <w:tcW w:w="994" w:type="dxa"/>
            <w:vAlign w:val="center"/>
          </w:tcPr>
          <w:p w14:paraId="64793173" w14:textId="52D4BAF9" w:rsidR="00ED5BA7" w:rsidRPr="00ED5BA7" w:rsidRDefault="00ED5BA7" w:rsidP="003D6506">
            <w:pPr>
              <w:pStyle w:val="Tabletext"/>
              <w:jc w:val="center"/>
              <w:rPr>
                <w:sz w:val="18"/>
                <w:szCs w:val="18"/>
              </w:rPr>
            </w:pPr>
            <w:r w:rsidRPr="00ED5BA7">
              <w:rPr>
                <w:rFonts w:eastAsia="나눔고딕"/>
                <w:sz w:val="18"/>
                <w:szCs w:val="18"/>
              </w:rPr>
              <w:t>0.0</w:t>
            </w:r>
          </w:p>
        </w:tc>
        <w:tc>
          <w:tcPr>
            <w:tcW w:w="503" w:type="dxa"/>
            <w:vAlign w:val="center"/>
          </w:tcPr>
          <w:p w14:paraId="186AE504" w14:textId="4615C2D1" w:rsidR="00ED5BA7" w:rsidRPr="00ED5BA7" w:rsidRDefault="00ED5BA7" w:rsidP="003D6506">
            <w:pPr>
              <w:pStyle w:val="Tabletext"/>
              <w:jc w:val="center"/>
              <w:rPr>
                <w:sz w:val="18"/>
                <w:szCs w:val="18"/>
              </w:rPr>
            </w:pPr>
            <w:r w:rsidRPr="00ED5BA7">
              <w:rPr>
                <w:rFonts w:eastAsia="나눔고딕"/>
                <w:sz w:val="18"/>
                <w:szCs w:val="18"/>
              </w:rPr>
              <w:t>0.0%</w:t>
            </w:r>
          </w:p>
        </w:tc>
      </w:tr>
      <w:tr w:rsidR="003D6506" w:rsidRPr="00811AF2" w14:paraId="7A200813" w14:textId="77777777" w:rsidTr="003D6506">
        <w:trPr>
          <w:trHeight w:val="226"/>
          <w:jc w:val="center"/>
        </w:trPr>
        <w:tc>
          <w:tcPr>
            <w:tcW w:w="1165" w:type="dxa"/>
            <w:shd w:val="clear" w:color="auto" w:fill="auto"/>
            <w:tcMar>
              <w:top w:w="28" w:type="dxa"/>
              <w:left w:w="102" w:type="dxa"/>
              <w:bottom w:w="28" w:type="dxa"/>
              <w:right w:w="102" w:type="dxa"/>
            </w:tcMar>
            <w:vAlign w:val="center"/>
          </w:tcPr>
          <w:p w14:paraId="469D62E0" w14:textId="32F34B7A" w:rsidR="00ED5BA7" w:rsidRPr="00ED5BA7" w:rsidRDefault="003D6506" w:rsidP="00ED5BA7">
            <w:pPr>
              <w:pStyle w:val="Tabletext"/>
              <w:rPr>
                <w:rFonts w:eastAsia="굴림"/>
                <w:color w:val="000000"/>
                <w:spacing w:val="-10"/>
                <w:w w:val="99"/>
                <w:sz w:val="18"/>
                <w:szCs w:val="18"/>
                <w:lang w:val="en-US" w:eastAsia="ko-KR"/>
              </w:rPr>
            </w:pPr>
            <w:r>
              <w:rPr>
                <w:rFonts w:eastAsia="나눔고딕" w:hint="eastAsia"/>
                <w:sz w:val="18"/>
                <w:szCs w:val="18"/>
                <w:lang w:eastAsia="ko-KR"/>
              </w:rPr>
              <w:t>U</w:t>
            </w:r>
            <w:r>
              <w:rPr>
                <w:rFonts w:eastAsia="나눔고딕"/>
                <w:sz w:val="18"/>
                <w:szCs w:val="18"/>
                <w:lang w:eastAsia="ko-KR"/>
              </w:rPr>
              <w:t>nited States</w:t>
            </w:r>
          </w:p>
        </w:tc>
        <w:tc>
          <w:tcPr>
            <w:tcW w:w="844" w:type="dxa"/>
            <w:shd w:val="clear" w:color="auto" w:fill="auto"/>
            <w:tcMar>
              <w:top w:w="28" w:type="dxa"/>
              <w:left w:w="102" w:type="dxa"/>
              <w:bottom w:w="28" w:type="dxa"/>
              <w:right w:w="102" w:type="dxa"/>
            </w:tcMar>
            <w:vAlign w:val="center"/>
          </w:tcPr>
          <w:p w14:paraId="1EE709B6" w14:textId="24103B44" w:rsidR="00ED5BA7" w:rsidRPr="00ED5BA7" w:rsidRDefault="00ED5BA7" w:rsidP="003D6506">
            <w:pPr>
              <w:pStyle w:val="Tabletext"/>
              <w:jc w:val="center"/>
              <w:rPr>
                <w:sz w:val="18"/>
                <w:szCs w:val="18"/>
              </w:rPr>
            </w:pPr>
            <w:r w:rsidRPr="00ED5BA7">
              <w:rPr>
                <w:rFonts w:eastAsia="나눔고딕"/>
                <w:sz w:val="18"/>
                <w:szCs w:val="18"/>
              </w:rPr>
              <w:t>210.0</w:t>
            </w:r>
          </w:p>
        </w:tc>
        <w:tc>
          <w:tcPr>
            <w:tcW w:w="864" w:type="dxa"/>
            <w:shd w:val="clear" w:color="auto" w:fill="auto"/>
            <w:tcMar>
              <w:top w:w="28" w:type="dxa"/>
              <w:left w:w="102" w:type="dxa"/>
              <w:bottom w:w="28" w:type="dxa"/>
              <w:right w:w="102" w:type="dxa"/>
            </w:tcMar>
            <w:vAlign w:val="center"/>
          </w:tcPr>
          <w:p w14:paraId="206C58E5" w14:textId="1DBE5E92" w:rsidR="00ED5BA7" w:rsidRPr="00ED5BA7" w:rsidRDefault="00ED5BA7" w:rsidP="003D6506">
            <w:pPr>
              <w:pStyle w:val="Tabletext"/>
              <w:jc w:val="center"/>
              <w:rPr>
                <w:sz w:val="18"/>
                <w:szCs w:val="18"/>
              </w:rPr>
            </w:pPr>
            <w:r w:rsidRPr="00ED5BA7">
              <w:rPr>
                <w:rFonts w:eastAsia="나눔고딕"/>
                <w:sz w:val="18"/>
                <w:szCs w:val="18"/>
              </w:rPr>
              <w:t>62.4</w:t>
            </w:r>
          </w:p>
        </w:tc>
        <w:tc>
          <w:tcPr>
            <w:tcW w:w="674" w:type="dxa"/>
            <w:shd w:val="clear" w:color="auto" w:fill="auto"/>
            <w:tcMar>
              <w:top w:w="28" w:type="dxa"/>
              <w:left w:w="102" w:type="dxa"/>
              <w:bottom w:w="28" w:type="dxa"/>
              <w:right w:w="102" w:type="dxa"/>
            </w:tcMar>
            <w:vAlign w:val="center"/>
          </w:tcPr>
          <w:p w14:paraId="779B117F" w14:textId="2B3EC9BA" w:rsidR="00ED5BA7" w:rsidRPr="00ED5BA7" w:rsidRDefault="00ED5BA7" w:rsidP="003D6506">
            <w:pPr>
              <w:pStyle w:val="Tabletext"/>
              <w:jc w:val="center"/>
              <w:rPr>
                <w:sz w:val="18"/>
                <w:szCs w:val="18"/>
              </w:rPr>
            </w:pPr>
            <w:r w:rsidRPr="00ED5BA7">
              <w:rPr>
                <w:rFonts w:eastAsia="나눔고딕"/>
                <w:sz w:val="18"/>
                <w:szCs w:val="18"/>
              </w:rPr>
              <w:t>29.7%</w:t>
            </w:r>
          </w:p>
        </w:tc>
        <w:tc>
          <w:tcPr>
            <w:tcW w:w="811" w:type="dxa"/>
            <w:shd w:val="clear" w:color="auto" w:fill="auto"/>
            <w:tcMar>
              <w:top w:w="28" w:type="dxa"/>
              <w:left w:w="102" w:type="dxa"/>
              <w:bottom w:w="28" w:type="dxa"/>
              <w:right w:w="102" w:type="dxa"/>
            </w:tcMar>
            <w:vAlign w:val="center"/>
          </w:tcPr>
          <w:p w14:paraId="12FB19D8" w14:textId="22CDB160" w:rsidR="00ED5BA7" w:rsidRPr="00ED5BA7" w:rsidRDefault="00ED5BA7" w:rsidP="003D6506">
            <w:pPr>
              <w:pStyle w:val="Tabletext"/>
              <w:jc w:val="center"/>
              <w:rPr>
                <w:sz w:val="18"/>
                <w:szCs w:val="18"/>
              </w:rPr>
            </w:pPr>
            <w:r w:rsidRPr="00ED5BA7">
              <w:rPr>
                <w:rFonts w:eastAsia="나눔고딕"/>
                <w:sz w:val="18"/>
                <w:szCs w:val="18"/>
              </w:rPr>
              <w:t>127.6</w:t>
            </w:r>
          </w:p>
        </w:tc>
        <w:tc>
          <w:tcPr>
            <w:tcW w:w="772" w:type="dxa"/>
            <w:shd w:val="clear" w:color="auto" w:fill="auto"/>
            <w:tcMar>
              <w:top w:w="28" w:type="dxa"/>
              <w:left w:w="102" w:type="dxa"/>
              <w:bottom w:w="28" w:type="dxa"/>
              <w:right w:w="102" w:type="dxa"/>
            </w:tcMar>
            <w:vAlign w:val="center"/>
          </w:tcPr>
          <w:p w14:paraId="461B2BBD" w14:textId="481A6A52" w:rsidR="00ED5BA7" w:rsidRPr="00ED5BA7" w:rsidRDefault="00ED5BA7" w:rsidP="003D6506">
            <w:pPr>
              <w:pStyle w:val="Tabletext"/>
              <w:jc w:val="center"/>
              <w:rPr>
                <w:sz w:val="18"/>
                <w:szCs w:val="18"/>
              </w:rPr>
            </w:pPr>
            <w:r w:rsidRPr="00ED5BA7">
              <w:rPr>
                <w:rFonts w:eastAsia="나눔고딕"/>
                <w:sz w:val="18"/>
                <w:szCs w:val="18"/>
              </w:rPr>
              <w:t>60.7%</w:t>
            </w:r>
          </w:p>
        </w:tc>
        <w:tc>
          <w:tcPr>
            <w:tcW w:w="811" w:type="dxa"/>
            <w:vAlign w:val="center"/>
          </w:tcPr>
          <w:p w14:paraId="1B69DB50" w14:textId="386D9957" w:rsidR="00ED5BA7" w:rsidRPr="00ED5BA7" w:rsidRDefault="00ED5BA7" w:rsidP="003D6506">
            <w:pPr>
              <w:pStyle w:val="Tabletext"/>
              <w:jc w:val="center"/>
              <w:rPr>
                <w:sz w:val="18"/>
                <w:szCs w:val="18"/>
              </w:rPr>
            </w:pPr>
            <w:r w:rsidRPr="00ED5BA7">
              <w:rPr>
                <w:rFonts w:eastAsia="나눔고딕"/>
                <w:sz w:val="18"/>
                <w:szCs w:val="18"/>
              </w:rPr>
              <w:t>82.0</w:t>
            </w:r>
          </w:p>
        </w:tc>
        <w:tc>
          <w:tcPr>
            <w:tcW w:w="503" w:type="dxa"/>
            <w:vAlign w:val="center"/>
          </w:tcPr>
          <w:p w14:paraId="470F43E2" w14:textId="5FA0785E" w:rsidR="00ED5BA7" w:rsidRPr="00ED5BA7" w:rsidRDefault="00ED5BA7" w:rsidP="003D6506">
            <w:pPr>
              <w:pStyle w:val="Tabletext"/>
              <w:jc w:val="center"/>
              <w:rPr>
                <w:sz w:val="18"/>
                <w:szCs w:val="18"/>
              </w:rPr>
            </w:pPr>
            <w:r w:rsidRPr="00ED5BA7">
              <w:rPr>
                <w:rFonts w:eastAsia="나눔고딕"/>
                <w:sz w:val="18"/>
                <w:szCs w:val="18"/>
              </w:rPr>
              <w:t>39.0%</w:t>
            </w:r>
          </w:p>
        </w:tc>
        <w:tc>
          <w:tcPr>
            <w:tcW w:w="495" w:type="dxa"/>
            <w:vAlign w:val="center"/>
          </w:tcPr>
          <w:p w14:paraId="2FAC1B4E" w14:textId="2A369F38" w:rsidR="00ED5BA7" w:rsidRPr="00ED5BA7" w:rsidRDefault="00ED5BA7" w:rsidP="003D6506">
            <w:pPr>
              <w:pStyle w:val="Tabletext"/>
              <w:jc w:val="center"/>
              <w:rPr>
                <w:sz w:val="18"/>
                <w:szCs w:val="18"/>
              </w:rPr>
            </w:pPr>
            <w:r w:rsidRPr="00ED5BA7">
              <w:rPr>
                <w:rFonts w:eastAsia="나눔고딕"/>
                <w:sz w:val="18"/>
                <w:szCs w:val="18"/>
              </w:rPr>
              <w:t>3.4</w:t>
            </w:r>
          </w:p>
        </w:tc>
        <w:tc>
          <w:tcPr>
            <w:tcW w:w="591" w:type="dxa"/>
            <w:vAlign w:val="center"/>
          </w:tcPr>
          <w:p w14:paraId="78A04FE1" w14:textId="0C86DE7F" w:rsidR="00ED5BA7" w:rsidRPr="00ED5BA7" w:rsidRDefault="00ED5BA7" w:rsidP="003D6506">
            <w:pPr>
              <w:pStyle w:val="Tabletext"/>
              <w:jc w:val="center"/>
              <w:rPr>
                <w:sz w:val="18"/>
                <w:szCs w:val="18"/>
              </w:rPr>
            </w:pPr>
            <w:r w:rsidRPr="00ED5BA7">
              <w:rPr>
                <w:rFonts w:eastAsia="나눔고딕"/>
                <w:sz w:val="18"/>
                <w:szCs w:val="18"/>
              </w:rPr>
              <w:t>1.6%</w:t>
            </w:r>
          </w:p>
        </w:tc>
        <w:tc>
          <w:tcPr>
            <w:tcW w:w="994" w:type="dxa"/>
            <w:vAlign w:val="center"/>
          </w:tcPr>
          <w:p w14:paraId="3925750F" w14:textId="2D1255A0" w:rsidR="00ED5BA7" w:rsidRPr="00ED5BA7" w:rsidRDefault="00ED5BA7" w:rsidP="003D6506">
            <w:pPr>
              <w:pStyle w:val="Tabletext"/>
              <w:jc w:val="center"/>
              <w:rPr>
                <w:sz w:val="18"/>
                <w:szCs w:val="18"/>
              </w:rPr>
            </w:pPr>
            <w:r w:rsidRPr="00ED5BA7">
              <w:rPr>
                <w:rFonts w:eastAsia="나눔고딕"/>
                <w:sz w:val="18"/>
                <w:szCs w:val="18"/>
              </w:rPr>
              <w:t>1.3</w:t>
            </w:r>
          </w:p>
        </w:tc>
        <w:tc>
          <w:tcPr>
            <w:tcW w:w="503" w:type="dxa"/>
            <w:vAlign w:val="center"/>
          </w:tcPr>
          <w:p w14:paraId="6D087FE9" w14:textId="336BAA66" w:rsidR="00ED5BA7" w:rsidRPr="00ED5BA7" w:rsidRDefault="00ED5BA7" w:rsidP="003D6506">
            <w:pPr>
              <w:pStyle w:val="Tabletext"/>
              <w:jc w:val="center"/>
              <w:rPr>
                <w:sz w:val="18"/>
                <w:szCs w:val="18"/>
              </w:rPr>
            </w:pPr>
            <w:r w:rsidRPr="00ED5BA7">
              <w:rPr>
                <w:rFonts w:eastAsia="나눔고딕"/>
                <w:sz w:val="18"/>
                <w:szCs w:val="18"/>
              </w:rPr>
              <w:t>0.6%</w:t>
            </w:r>
          </w:p>
        </w:tc>
      </w:tr>
    </w:tbl>
    <w:p w14:paraId="7D43D625" w14:textId="12F7B9AA" w:rsidR="00EC135A" w:rsidRPr="003D6506" w:rsidRDefault="00EC135A" w:rsidP="003D6506">
      <w:pPr>
        <w:pStyle w:val="a1"/>
      </w:pPr>
    </w:p>
    <w:p w14:paraId="268FCBB6" w14:textId="0061059E" w:rsidR="008223B4" w:rsidRDefault="008223B4" w:rsidP="008223B4">
      <w:pPr>
        <w:pStyle w:val="a1"/>
      </w:pPr>
      <w:r>
        <w:t>Table</w:t>
      </w:r>
      <w:r w:rsidR="00762FAD">
        <w:t xml:space="preserve"> 4</w:t>
      </w:r>
      <w:r>
        <w:t xml:space="preserve"> </w:t>
      </w:r>
      <w:r w:rsidR="00885F00">
        <w:t>shows</w:t>
      </w:r>
      <w:r>
        <w:t xml:space="preserve"> the screening results for </w:t>
      </w:r>
      <w:r w:rsidR="00D20A8B">
        <w:t>Countries with SMR Plan</w:t>
      </w:r>
      <w:r>
        <w:t xml:space="preserve">. Out of four countries, Poland can consider converting 23.4% of its retiring coal capacity into SMRs. The </w:t>
      </w:r>
      <w:r w:rsidR="00762FAD">
        <w:t>remaining</w:t>
      </w:r>
      <w:r>
        <w:t xml:space="preserve"> 76.6% are excluded by the population criterion. Similarly, Indonesia, the Philippines, and Thailand have 100% of their retiring coal capacity excluded by the population criterion. In addition to that, 100% of the Philippines' coal plants do not meet both active fault lines and safe shutdown earthquake criteria. On the other hand, Thailand can consider converting 100% of its retiring coal capacity into SMRs once it can resolve the population-related issue.</w:t>
      </w:r>
    </w:p>
    <w:p w14:paraId="3AFFD9CA" w14:textId="2CA40BDB" w:rsidR="003D6506" w:rsidRDefault="003D6506" w:rsidP="003D6506">
      <w:pPr>
        <w:pStyle w:val="a1"/>
      </w:pPr>
    </w:p>
    <w:p w14:paraId="2C67963E" w14:textId="1CE2FADB" w:rsidR="002B5CFE" w:rsidRDefault="002B5CFE" w:rsidP="00762FAD">
      <w:pPr>
        <w:pStyle w:val="a1"/>
        <w:ind w:firstLine="0"/>
      </w:pPr>
      <w:r w:rsidRPr="00704810">
        <w:t xml:space="preserve">TABLE </w:t>
      </w:r>
      <w:r w:rsidR="00762FAD">
        <w:t>4</w:t>
      </w:r>
      <w:r w:rsidRPr="00704810">
        <w:t>.</w:t>
      </w:r>
      <w:r w:rsidRPr="00704810">
        <w:tab/>
      </w:r>
      <w:r w:rsidR="00762FAD">
        <w:t>The screened</w:t>
      </w:r>
      <w:r w:rsidR="00762FAD" w:rsidRPr="000F00EA">
        <w:t xml:space="preserve"> coal capacity </w:t>
      </w:r>
      <w:r w:rsidR="00762FAD">
        <w:t>of</w:t>
      </w:r>
      <w:r w:rsidR="00762FAD" w:rsidRPr="000F00EA">
        <w:t xml:space="preserve"> </w:t>
      </w:r>
      <w:r w:rsidR="00762FAD">
        <w:t>the Countries with SMR Plan (unit: GW)</w:t>
      </w:r>
    </w:p>
    <w:p w14:paraId="5DE7BFC9" w14:textId="77777777" w:rsidR="00762FAD" w:rsidRPr="002B5CFE" w:rsidRDefault="00762FAD" w:rsidP="00762FAD">
      <w:pPr>
        <w:pStyle w:val="a1"/>
        <w:ind w:firstLine="0"/>
      </w:pPr>
    </w:p>
    <w:tbl>
      <w:tblPr>
        <w:tblOverlap w:val="neve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149"/>
        <w:gridCol w:w="844"/>
        <w:gridCol w:w="864"/>
        <w:gridCol w:w="673"/>
        <w:gridCol w:w="811"/>
        <w:gridCol w:w="769"/>
        <w:gridCol w:w="811"/>
        <w:gridCol w:w="500"/>
        <w:gridCol w:w="472"/>
        <w:gridCol w:w="590"/>
        <w:gridCol w:w="959"/>
        <w:gridCol w:w="585"/>
      </w:tblGrid>
      <w:tr w:rsidR="003D6506" w:rsidRPr="00811AF2" w14:paraId="17144077" w14:textId="77777777" w:rsidTr="00033EEC">
        <w:trPr>
          <w:trHeight w:val="283"/>
          <w:jc w:val="center"/>
        </w:trPr>
        <w:tc>
          <w:tcPr>
            <w:tcW w:w="1149" w:type="dxa"/>
            <w:tcBorders>
              <w:bottom w:val="nil"/>
            </w:tcBorders>
            <w:shd w:val="clear" w:color="auto" w:fill="auto"/>
            <w:vAlign w:val="center"/>
          </w:tcPr>
          <w:p w14:paraId="4AE7CCCB" w14:textId="77777777" w:rsidR="003D6506" w:rsidRPr="00ED5BA7" w:rsidRDefault="003D6506" w:rsidP="002C5106">
            <w:pPr>
              <w:pStyle w:val="Tabletext"/>
              <w:rPr>
                <w:sz w:val="18"/>
                <w:szCs w:val="18"/>
              </w:rPr>
            </w:pPr>
          </w:p>
        </w:tc>
        <w:tc>
          <w:tcPr>
            <w:tcW w:w="844" w:type="dxa"/>
            <w:tcBorders>
              <w:bottom w:val="nil"/>
            </w:tcBorders>
            <w:shd w:val="clear" w:color="auto" w:fill="auto"/>
            <w:tcMar>
              <w:top w:w="28" w:type="dxa"/>
              <w:left w:w="102" w:type="dxa"/>
              <w:bottom w:w="28" w:type="dxa"/>
              <w:right w:w="102" w:type="dxa"/>
            </w:tcMar>
            <w:vAlign w:val="center"/>
          </w:tcPr>
          <w:p w14:paraId="39A86D6D" w14:textId="77777777" w:rsidR="003D6506" w:rsidRDefault="003D6506" w:rsidP="002C5106">
            <w:pPr>
              <w:pStyle w:val="Tabletext"/>
              <w:jc w:val="center"/>
              <w:rPr>
                <w:sz w:val="18"/>
                <w:szCs w:val="18"/>
                <w:lang w:eastAsia="ko-KR"/>
              </w:rPr>
            </w:pPr>
          </w:p>
        </w:tc>
        <w:tc>
          <w:tcPr>
            <w:tcW w:w="864" w:type="dxa"/>
            <w:tcBorders>
              <w:bottom w:val="nil"/>
            </w:tcBorders>
            <w:shd w:val="clear" w:color="auto" w:fill="auto"/>
            <w:tcMar>
              <w:top w:w="28" w:type="dxa"/>
              <w:left w:w="102" w:type="dxa"/>
              <w:bottom w:w="28" w:type="dxa"/>
              <w:right w:w="102" w:type="dxa"/>
            </w:tcMar>
            <w:vAlign w:val="center"/>
          </w:tcPr>
          <w:p w14:paraId="0D7AB4BC" w14:textId="77777777" w:rsidR="003D6506" w:rsidRDefault="003D6506" w:rsidP="002C5106">
            <w:pPr>
              <w:pStyle w:val="Tabletext"/>
              <w:jc w:val="center"/>
              <w:rPr>
                <w:sz w:val="18"/>
                <w:szCs w:val="18"/>
                <w:lang w:eastAsia="ko-KR"/>
              </w:rPr>
            </w:pPr>
          </w:p>
        </w:tc>
        <w:tc>
          <w:tcPr>
            <w:tcW w:w="673" w:type="dxa"/>
            <w:tcBorders>
              <w:bottom w:val="nil"/>
            </w:tcBorders>
            <w:shd w:val="clear" w:color="auto" w:fill="auto"/>
            <w:vAlign w:val="center"/>
          </w:tcPr>
          <w:p w14:paraId="3774445F" w14:textId="77777777" w:rsidR="003D6506" w:rsidRPr="00ED5BA7" w:rsidRDefault="003D6506" w:rsidP="002C5106">
            <w:pPr>
              <w:pStyle w:val="Tabletext"/>
              <w:jc w:val="center"/>
              <w:rPr>
                <w:sz w:val="18"/>
                <w:szCs w:val="18"/>
              </w:rPr>
            </w:pPr>
          </w:p>
        </w:tc>
        <w:tc>
          <w:tcPr>
            <w:tcW w:w="5497" w:type="dxa"/>
            <w:gridSpan w:val="8"/>
            <w:shd w:val="clear" w:color="auto" w:fill="auto"/>
            <w:vAlign w:val="center"/>
          </w:tcPr>
          <w:p w14:paraId="026FD392" w14:textId="49614903" w:rsidR="003D6506" w:rsidRPr="00ED5BA7" w:rsidRDefault="003D6506" w:rsidP="002C5106">
            <w:pPr>
              <w:pStyle w:val="Tabletext"/>
              <w:jc w:val="center"/>
              <w:rPr>
                <w:sz w:val="18"/>
                <w:szCs w:val="18"/>
                <w:lang w:eastAsia="ko-KR"/>
              </w:rPr>
            </w:pPr>
            <w:r>
              <w:rPr>
                <w:sz w:val="18"/>
                <w:szCs w:val="18"/>
                <w:lang w:eastAsia="ko-KR"/>
              </w:rPr>
              <w:t xml:space="preserve">Capacity </w:t>
            </w:r>
            <w:r w:rsidR="00A97C58">
              <w:rPr>
                <w:sz w:val="18"/>
                <w:szCs w:val="18"/>
                <w:lang w:eastAsia="ko-KR"/>
              </w:rPr>
              <w:t>Excluded</w:t>
            </w:r>
            <w:r>
              <w:rPr>
                <w:sz w:val="18"/>
                <w:szCs w:val="18"/>
                <w:lang w:eastAsia="ko-KR"/>
              </w:rPr>
              <w:t xml:space="preserve"> by Each </w:t>
            </w:r>
            <w:r>
              <w:rPr>
                <w:rFonts w:hint="eastAsia"/>
                <w:sz w:val="18"/>
                <w:szCs w:val="18"/>
                <w:lang w:eastAsia="ko-KR"/>
              </w:rPr>
              <w:t>S</w:t>
            </w:r>
            <w:r>
              <w:rPr>
                <w:sz w:val="18"/>
                <w:szCs w:val="18"/>
                <w:lang w:eastAsia="ko-KR"/>
              </w:rPr>
              <w:t>iting Criterion</w:t>
            </w:r>
          </w:p>
        </w:tc>
      </w:tr>
      <w:tr w:rsidR="00033EEC" w:rsidRPr="00811AF2" w14:paraId="2D3D373D" w14:textId="77777777" w:rsidTr="00033EEC">
        <w:trPr>
          <w:trHeight w:val="283"/>
          <w:jc w:val="center"/>
        </w:trPr>
        <w:tc>
          <w:tcPr>
            <w:tcW w:w="1149" w:type="dxa"/>
            <w:tcBorders>
              <w:top w:val="nil"/>
            </w:tcBorders>
            <w:shd w:val="clear" w:color="auto" w:fill="auto"/>
            <w:vAlign w:val="center"/>
            <w:hideMark/>
          </w:tcPr>
          <w:p w14:paraId="7EF9C017" w14:textId="77777777" w:rsidR="003D6506" w:rsidRPr="00ED5BA7" w:rsidRDefault="003D6506" w:rsidP="002C5106">
            <w:pPr>
              <w:pStyle w:val="Tabletext"/>
              <w:rPr>
                <w:rFonts w:eastAsia="굴림"/>
                <w:color w:val="000000"/>
                <w:spacing w:val="-14"/>
                <w:w w:val="99"/>
                <w:sz w:val="18"/>
                <w:szCs w:val="18"/>
                <w:lang w:val="en-US" w:eastAsia="ko-KR"/>
              </w:rPr>
            </w:pPr>
            <w:r w:rsidRPr="00ED5BA7">
              <w:rPr>
                <w:sz w:val="18"/>
                <w:szCs w:val="18"/>
              </w:rPr>
              <w:t xml:space="preserve">　</w:t>
            </w:r>
            <w:r>
              <w:rPr>
                <w:rFonts w:hint="eastAsia"/>
                <w:sz w:val="18"/>
                <w:szCs w:val="18"/>
                <w:lang w:eastAsia="ko-KR"/>
              </w:rPr>
              <w:t>C</w:t>
            </w:r>
            <w:r>
              <w:rPr>
                <w:sz w:val="18"/>
                <w:szCs w:val="18"/>
                <w:lang w:eastAsia="ko-KR"/>
              </w:rPr>
              <w:t>ountry</w:t>
            </w:r>
          </w:p>
        </w:tc>
        <w:tc>
          <w:tcPr>
            <w:tcW w:w="844" w:type="dxa"/>
            <w:tcBorders>
              <w:top w:val="nil"/>
            </w:tcBorders>
            <w:shd w:val="clear" w:color="auto" w:fill="auto"/>
            <w:tcMar>
              <w:top w:w="28" w:type="dxa"/>
              <w:left w:w="102" w:type="dxa"/>
              <w:bottom w:w="28" w:type="dxa"/>
              <w:right w:w="102" w:type="dxa"/>
            </w:tcMar>
            <w:vAlign w:val="center"/>
          </w:tcPr>
          <w:p w14:paraId="4E4B1F4D" w14:textId="77777777" w:rsidR="003D6506" w:rsidRPr="00ED5BA7" w:rsidRDefault="003D6506" w:rsidP="002C5106">
            <w:pPr>
              <w:pStyle w:val="Tabletext"/>
              <w:jc w:val="center"/>
              <w:rPr>
                <w:sz w:val="18"/>
                <w:szCs w:val="18"/>
                <w:lang w:eastAsia="ko-KR"/>
              </w:rPr>
            </w:pPr>
            <w:r>
              <w:rPr>
                <w:rFonts w:hint="eastAsia"/>
                <w:sz w:val="18"/>
                <w:szCs w:val="18"/>
                <w:lang w:eastAsia="ko-KR"/>
              </w:rPr>
              <w:t>C</w:t>
            </w:r>
            <w:r>
              <w:rPr>
                <w:sz w:val="18"/>
                <w:szCs w:val="18"/>
                <w:lang w:eastAsia="ko-KR"/>
              </w:rPr>
              <w:t>oal Capacity</w:t>
            </w:r>
          </w:p>
          <w:p w14:paraId="32FCAB02" w14:textId="77777777" w:rsidR="003D6506" w:rsidRPr="00ED5BA7" w:rsidRDefault="003D6506" w:rsidP="002C5106">
            <w:pPr>
              <w:pStyle w:val="Tabletext"/>
              <w:jc w:val="center"/>
              <w:rPr>
                <w:sz w:val="18"/>
                <w:szCs w:val="18"/>
              </w:rPr>
            </w:pPr>
            <w:r w:rsidRPr="00ED5BA7">
              <w:rPr>
                <w:sz w:val="18"/>
                <w:szCs w:val="18"/>
              </w:rPr>
              <w:t>(a)</w:t>
            </w:r>
          </w:p>
        </w:tc>
        <w:tc>
          <w:tcPr>
            <w:tcW w:w="864" w:type="dxa"/>
            <w:tcBorders>
              <w:top w:val="nil"/>
            </w:tcBorders>
            <w:shd w:val="clear" w:color="auto" w:fill="auto"/>
            <w:tcMar>
              <w:top w:w="28" w:type="dxa"/>
              <w:left w:w="102" w:type="dxa"/>
              <w:bottom w:w="28" w:type="dxa"/>
              <w:right w:w="102" w:type="dxa"/>
            </w:tcMar>
            <w:vAlign w:val="center"/>
          </w:tcPr>
          <w:p w14:paraId="223943FF" w14:textId="77777777" w:rsidR="003D6506" w:rsidRDefault="003D6506" w:rsidP="002C5106">
            <w:pPr>
              <w:pStyle w:val="Tabletext"/>
              <w:jc w:val="center"/>
              <w:rPr>
                <w:sz w:val="18"/>
                <w:szCs w:val="18"/>
                <w:lang w:eastAsia="ko-KR"/>
              </w:rPr>
            </w:pPr>
            <w:r>
              <w:rPr>
                <w:rFonts w:hint="eastAsia"/>
                <w:sz w:val="18"/>
                <w:szCs w:val="18"/>
                <w:lang w:eastAsia="ko-KR"/>
              </w:rPr>
              <w:t>S</w:t>
            </w:r>
            <w:r>
              <w:rPr>
                <w:sz w:val="18"/>
                <w:szCs w:val="18"/>
                <w:lang w:eastAsia="ko-KR"/>
              </w:rPr>
              <w:t>creened</w:t>
            </w:r>
          </w:p>
          <w:p w14:paraId="09F24011" w14:textId="77777777" w:rsidR="003D6506" w:rsidRPr="00ED5BA7" w:rsidRDefault="003D6506" w:rsidP="002C5106">
            <w:pPr>
              <w:pStyle w:val="Tabletext"/>
              <w:jc w:val="center"/>
              <w:rPr>
                <w:sz w:val="18"/>
                <w:szCs w:val="18"/>
                <w:lang w:eastAsia="ko-KR"/>
              </w:rPr>
            </w:pPr>
            <w:r>
              <w:rPr>
                <w:rFonts w:hint="eastAsia"/>
                <w:sz w:val="18"/>
                <w:szCs w:val="18"/>
                <w:lang w:eastAsia="ko-KR"/>
              </w:rPr>
              <w:t>C</w:t>
            </w:r>
            <w:r>
              <w:rPr>
                <w:sz w:val="18"/>
                <w:szCs w:val="18"/>
                <w:lang w:eastAsia="ko-KR"/>
              </w:rPr>
              <w:t>apacity</w:t>
            </w:r>
          </w:p>
          <w:p w14:paraId="2D908905" w14:textId="77777777" w:rsidR="003D6506" w:rsidRPr="00ED5BA7" w:rsidRDefault="003D6506" w:rsidP="002C5106">
            <w:pPr>
              <w:pStyle w:val="Tabletext"/>
              <w:jc w:val="center"/>
              <w:rPr>
                <w:sz w:val="18"/>
                <w:szCs w:val="18"/>
              </w:rPr>
            </w:pPr>
            <w:r w:rsidRPr="00ED5BA7">
              <w:rPr>
                <w:sz w:val="18"/>
                <w:szCs w:val="18"/>
              </w:rPr>
              <w:t>(b)</w:t>
            </w:r>
          </w:p>
        </w:tc>
        <w:tc>
          <w:tcPr>
            <w:tcW w:w="673" w:type="dxa"/>
            <w:tcBorders>
              <w:top w:val="nil"/>
            </w:tcBorders>
            <w:shd w:val="clear" w:color="auto" w:fill="auto"/>
            <w:vAlign w:val="center"/>
          </w:tcPr>
          <w:p w14:paraId="1CE54B2D" w14:textId="77777777" w:rsidR="003D6506" w:rsidRPr="00ED5BA7" w:rsidRDefault="003D6506" w:rsidP="002C5106">
            <w:pPr>
              <w:pStyle w:val="Tabletext"/>
              <w:jc w:val="center"/>
              <w:rPr>
                <w:sz w:val="18"/>
                <w:szCs w:val="18"/>
              </w:rPr>
            </w:pPr>
            <w:r w:rsidRPr="00ED5BA7">
              <w:rPr>
                <w:sz w:val="18"/>
                <w:szCs w:val="18"/>
              </w:rPr>
              <w:t>(b)/(a)</w:t>
            </w:r>
          </w:p>
        </w:tc>
        <w:tc>
          <w:tcPr>
            <w:tcW w:w="811" w:type="dxa"/>
            <w:shd w:val="clear" w:color="auto" w:fill="auto"/>
            <w:vAlign w:val="center"/>
          </w:tcPr>
          <w:p w14:paraId="2381C654" w14:textId="77777777" w:rsidR="003D6506" w:rsidRPr="00ED5BA7" w:rsidRDefault="003D6506" w:rsidP="002C5106">
            <w:pPr>
              <w:pStyle w:val="Tabletext"/>
              <w:jc w:val="center"/>
              <w:rPr>
                <w:sz w:val="18"/>
                <w:szCs w:val="18"/>
                <w:lang w:eastAsia="ko-KR"/>
              </w:rPr>
            </w:pPr>
            <w:r>
              <w:rPr>
                <w:rFonts w:hint="eastAsia"/>
                <w:sz w:val="18"/>
                <w:szCs w:val="18"/>
                <w:lang w:eastAsia="ko-KR"/>
              </w:rPr>
              <w:t>P</w:t>
            </w:r>
            <w:r>
              <w:rPr>
                <w:sz w:val="18"/>
                <w:szCs w:val="18"/>
                <w:lang w:eastAsia="ko-KR"/>
              </w:rPr>
              <w:t>opulation</w:t>
            </w:r>
          </w:p>
          <w:p w14:paraId="44A25B35" w14:textId="77777777" w:rsidR="003D6506" w:rsidRPr="00ED5BA7" w:rsidRDefault="003D6506" w:rsidP="002C5106">
            <w:pPr>
              <w:pStyle w:val="Tabletext"/>
              <w:jc w:val="center"/>
              <w:rPr>
                <w:sz w:val="18"/>
                <w:szCs w:val="18"/>
              </w:rPr>
            </w:pPr>
            <w:r w:rsidRPr="00ED5BA7">
              <w:rPr>
                <w:sz w:val="18"/>
                <w:szCs w:val="18"/>
              </w:rPr>
              <w:t>(c)</w:t>
            </w:r>
          </w:p>
        </w:tc>
        <w:tc>
          <w:tcPr>
            <w:tcW w:w="769" w:type="dxa"/>
            <w:shd w:val="clear" w:color="auto" w:fill="auto"/>
            <w:vAlign w:val="center"/>
          </w:tcPr>
          <w:p w14:paraId="2391E02A" w14:textId="77777777" w:rsidR="003D6506" w:rsidRPr="00ED5BA7" w:rsidRDefault="003D6506" w:rsidP="002C5106">
            <w:pPr>
              <w:pStyle w:val="Tabletext"/>
              <w:jc w:val="center"/>
              <w:rPr>
                <w:sz w:val="18"/>
                <w:szCs w:val="18"/>
              </w:rPr>
            </w:pPr>
            <w:r w:rsidRPr="00ED5BA7">
              <w:rPr>
                <w:sz w:val="18"/>
                <w:szCs w:val="18"/>
              </w:rPr>
              <w:t>(c)/(a)</w:t>
            </w:r>
          </w:p>
        </w:tc>
        <w:tc>
          <w:tcPr>
            <w:tcW w:w="811" w:type="dxa"/>
            <w:vAlign w:val="center"/>
          </w:tcPr>
          <w:p w14:paraId="2E5171EB" w14:textId="77777777" w:rsidR="003D6506" w:rsidRPr="00ED5BA7" w:rsidRDefault="003D6506" w:rsidP="002C5106">
            <w:pPr>
              <w:pStyle w:val="Tabletext"/>
              <w:jc w:val="center"/>
              <w:rPr>
                <w:sz w:val="18"/>
                <w:szCs w:val="18"/>
                <w:lang w:eastAsia="ko-KR"/>
              </w:rPr>
            </w:pPr>
            <w:r>
              <w:rPr>
                <w:rFonts w:hint="eastAsia"/>
                <w:sz w:val="18"/>
                <w:szCs w:val="18"/>
                <w:lang w:eastAsia="ko-KR"/>
              </w:rPr>
              <w:t>F</w:t>
            </w:r>
            <w:r>
              <w:rPr>
                <w:sz w:val="18"/>
                <w:szCs w:val="18"/>
                <w:lang w:eastAsia="ko-KR"/>
              </w:rPr>
              <w:t>loodplain</w:t>
            </w:r>
          </w:p>
          <w:p w14:paraId="058C02DD" w14:textId="77777777" w:rsidR="003D6506" w:rsidRPr="00ED5BA7" w:rsidRDefault="003D6506" w:rsidP="002C5106">
            <w:pPr>
              <w:pStyle w:val="Tabletext"/>
              <w:jc w:val="center"/>
              <w:rPr>
                <w:sz w:val="18"/>
                <w:szCs w:val="18"/>
              </w:rPr>
            </w:pPr>
            <w:r w:rsidRPr="00ED5BA7">
              <w:rPr>
                <w:sz w:val="18"/>
                <w:szCs w:val="18"/>
              </w:rPr>
              <w:t>(d)</w:t>
            </w:r>
          </w:p>
        </w:tc>
        <w:tc>
          <w:tcPr>
            <w:tcW w:w="500" w:type="dxa"/>
            <w:vAlign w:val="center"/>
          </w:tcPr>
          <w:p w14:paraId="67569E7E" w14:textId="77777777" w:rsidR="003D6506" w:rsidRPr="00ED5BA7" w:rsidRDefault="003D6506" w:rsidP="002C5106">
            <w:pPr>
              <w:pStyle w:val="Tabletext"/>
              <w:jc w:val="center"/>
              <w:rPr>
                <w:sz w:val="18"/>
                <w:szCs w:val="18"/>
              </w:rPr>
            </w:pPr>
            <w:r w:rsidRPr="00ED5BA7">
              <w:rPr>
                <w:sz w:val="18"/>
                <w:szCs w:val="18"/>
              </w:rPr>
              <w:t>(d)/(a)</w:t>
            </w:r>
          </w:p>
        </w:tc>
        <w:tc>
          <w:tcPr>
            <w:tcW w:w="472" w:type="dxa"/>
            <w:vAlign w:val="center"/>
          </w:tcPr>
          <w:p w14:paraId="010B292F" w14:textId="77777777" w:rsidR="003D6506" w:rsidRPr="00ED5BA7" w:rsidRDefault="003D6506" w:rsidP="002C5106">
            <w:pPr>
              <w:pStyle w:val="Tabletext"/>
              <w:jc w:val="center"/>
              <w:rPr>
                <w:sz w:val="18"/>
                <w:szCs w:val="18"/>
                <w:lang w:eastAsia="ko-KR"/>
              </w:rPr>
            </w:pPr>
            <w:r>
              <w:rPr>
                <w:rFonts w:hint="eastAsia"/>
                <w:sz w:val="18"/>
                <w:szCs w:val="18"/>
                <w:lang w:eastAsia="ko-KR"/>
              </w:rPr>
              <w:t>F</w:t>
            </w:r>
            <w:r>
              <w:rPr>
                <w:sz w:val="18"/>
                <w:szCs w:val="18"/>
                <w:lang w:eastAsia="ko-KR"/>
              </w:rPr>
              <w:t>ault Line</w:t>
            </w:r>
          </w:p>
          <w:p w14:paraId="2437A8A6" w14:textId="77777777" w:rsidR="003D6506" w:rsidRPr="00ED5BA7" w:rsidRDefault="003D6506" w:rsidP="002C5106">
            <w:pPr>
              <w:pStyle w:val="Tabletext"/>
              <w:jc w:val="center"/>
              <w:rPr>
                <w:sz w:val="18"/>
                <w:szCs w:val="18"/>
              </w:rPr>
            </w:pPr>
            <w:r w:rsidRPr="00ED5BA7">
              <w:rPr>
                <w:sz w:val="18"/>
                <w:szCs w:val="18"/>
              </w:rPr>
              <w:t>(e)</w:t>
            </w:r>
          </w:p>
        </w:tc>
        <w:tc>
          <w:tcPr>
            <w:tcW w:w="590" w:type="dxa"/>
            <w:vAlign w:val="center"/>
          </w:tcPr>
          <w:p w14:paraId="064DA11B" w14:textId="77777777" w:rsidR="003D6506" w:rsidRPr="00ED5BA7" w:rsidRDefault="003D6506" w:rsidP="002C5106">
            <w:pPr>
              <w:pStyle w:val="Tabletext"/>
              <w:jc w:val="center"/>
              <w:rPr>
                <w:sz w:val="18"/>
                <w:szCs w:val="18"/>
              </w:rPr>
            </w:pPr>
            <w:r w:rsidRPr="00ED5BA7">
              <w:rPr>
                <w:sz w:val="18"/>
                <w:szCs w:val="18"/>
              </w:rPr>
              <w:t>(e)/(a)</w:t>
            </w:r>
          </w:p>
        </w:tc>
        <w:tc>
          <w:tcPr>
            <w:tcW w:w="959" w:type="dxa"/>
            <w:vAlign w:val="center"/>
          </w:tcPr>
          <w:p w14:paraId="6B2A3BA5" w14:textId="77777777" w:rsidR="003D6506" w:rsidRPr="00ED5BA7" w:rsidRDefault="003D6506" w:rsidP="002C5106">
            <w:pPr>
              <w:pStyle w:val="Tabletext"/>
              <w:jc w:val="center"/>
              <w:rPr>
                <w:sz w:val="18"/>
                <w:szCs w:val="18"/>
                <w:lang w:eastAsia="ko-KR"/>
              </w:rPr>
            </w:pPr>
            <w:r>
              <w:rPr>
                <w:rFonts w:hint="eastAsia"/>
                <w:sz w:val="18"/>
                <w:szCs w:val="18"/>
                <w:lang w:eastAsia="ko-KR"/>
              </w:rPr>
              <w:t>S</w:t>
            </w:r>
            <w:r>
              <w:rPr>
                <w:sz w:val="18"/>
                <w:szCs w:val="18"/>
                <w:lang w:eastAsia="ko-KR"/>
              </w:rPr>
              <w:t>afe Shutdwon Earthquake</w:t>
            </w:r>
          </w:p>
          <w:p w14:paraId="4E3F1F4A" w14:textId="77777777" w:rsidR="003D6506" w:rsidRPr="00ED5BA7" w:rsidRDefault="003D6506" w:rsidP="002C5106">
            <w:pPr>
              <w:pStyle w:val="Tabletext"/>
              <w:jc w:val="center"/>
              <w:rPr>
                <w:sz w:val="18"/>
                <w:szCs w:val="18"/>
                <w:lang w:eastAsia="ko-KR"/>
              </w:rPr>
            </w:pPr>
            <w:r w:rsidRPr="00ED5BA7">
              <w:rPr>
                <w:sz w:val="18"/>
                <w:szCs w:val="18"/>
                <w:lang w:eastAsia="ko-KR"/>
              </w:rPr>
              <w:t>(f)</w:t>
            </w:r>
          </w:p>
        </w:tc>
        <w:tc>
          <w:tcPr>
            <w:tcW w:w="585" w:type="dxa"/>
            <w:vAlign w:val="center"/>
          </w:tcPr>
          <w:p w14:paraId="66A04328" w14:textId="77777777" w:rsidR="003D6506" w:rsidRPr="00ED5BA7" w:rsidRDefault="003D6506" w:rsidP="002C5106">
            <w:pPr>
              <w:pStyle w:val="Tabletext"/>
              <w:jc w:val="center"/>
              <w:rPr>
                <w:sz w:val="18"/>
                <w:szCs w:val="18"/>
              </w:rPr>
            </w:pPr>
            <w:r w:rsidRPr="00ED5BA7">
              <w:rPr>
                <w:sz w:val="18"/>
                <w:szCs w:val="18"/>
              </w:rPr>
              <w:t>(f)/(a)</w:t>
            </w:r>
          </w:p>
        </w:tc>
      </w:tr>
      <w:tr w:rsidR="00033EEC" w:rsidRPr="00811AF2" w14:paraId="442DAA1F" w14:textId="77777777" w:rsidTr="00033EEC">
        <w:trPr>
          <w:trHeight w:val="226"/>
          <w:jc w:val="center"/>
        </w:trPr>
        <w:tc>
          <w:tcPr>
            <w:tcW w:w="1149" w:type="dxa"/>
            <w:shd w:val="clear" w:color="auto" w:fill="auto"/>
            <w:tcMar>
              <w:top w:w="28" w:type="dxa"/>
              <w:left w:w="102" w:type="dxa"/>
              <w:bottom w:w="28" w:type="dxa"/>
              <w:right w:w="102" w:type="dxa"/>
            </w:tcMar>
            <w:vAlign w:val="center"/>
          </w:tcPr>
          <w:p w14:paraId="207CF39B" w14:textId="6F013D75" w:rsidR="00033EEC" w:rsidRPr="00033EEC" w:rsidRDefault="000C5DDA" w:rsidP="00033EEC">
            <w:pPr>
              <w:pStyle w:val="Tabletext"/>
              <w:rPr>
                <w:sz w:val="18"/>
                <w:szCs w:val="18"/>
                <w:lang w:eastAsia="ko-KR"/>
              </w:rPr>
            </w:pPr>
            <w:r>
              <w:rPr>
                <w:rFonts w:hint="eastAsia"/>
                <w:sz w:val="18"/>
                <w:szCs w:val="18"/>
                <w:lang w:eastAsia="ko-KR"/>
              </w:rPr>
              <w:t>I</w:t>
            </w:r>
            <w:r>
              <w:rPr>
                <w:sz w:val="18"/>
                <w:szCs w:val="18"/>
                <w:lang w:eastAsia="ko-KR"/>
              </w:rPr>
              <w:t>ndonesia</w:t>
            </w:r>
          </w:p>
        </w:tc>
        <w:tc>
          <w:tcPr>
            <w:tcW w:w="844" w:type="dxa"/>
            <w:shd w:val="clear" w:color="auto" w:fill="auto"/>
            <w:tcMar>
              <w:top w:w="28" w:type="dxa"/>
              <w:left w:w="102" w:type="dxa"/>
              <w:bottom w:w="28" w:type="dxa"/>
              <w:right w:w="102" w:type="dxa"/>
            </w:tcMar>
            <w:vAlign w:val="center"/>
          </w:tcPr>
          <w:p w14:paraId="749A4FFB" w14:textId="4ADA814D" w:rsidR="00033EEC" w:rsidRPr="00033EEC" w:rsidRDefault="00033EEC" w:rsidP="000C5DDA">
            <w:pPr>
              <w:pStyle w:val="Tabletext"/>
              <w:jc w:val="center"/>
              <w:rPr>
                <w:sz w:val="18"/>
                <w:szCs w:val="18"/>
              </w:rPr>
            </w:pPr>
            <w:r w:rsidRPr="00033EEC">
              <w:rPr>
                <w:sz w:val="18"/>
                <w:szCs w:val="18"/>
              </w:rPr>
              <w:t>4.4</w:t>
            </w:r>
          </w:p>
        </w:tc>
        <w:tc>
          <w:tcPr>
            <w:tcW w:w="864" w:type="dxa"/>
            <w:shd w:val="clear" w:color="auto" w:fill="auto"/>
            <w:tcMar>
              <w:top w:w="28" w:type="dxa"/>
              <w:left w:w="102" w:type="dxa"/>
              <w:bottom w:w="28" w:type="dxa"/>
              <w:right w:w="102" w:type="dxa"/>
            </w:tcMar>
            <w:vAlign w:val="center"/>
          </w:tcPr>
          <w:p w14:paraId="5EFB45BF" w14:textId="69E1E213" w:rsidR="00033EEC" w:rsidRPr="00033EEC" w:rsidRDefault="00033EEC" w:rsidP="000C5DDA">
            <w:pPr>
              <w:pStyle w:val="Tabletext"/>
              <w:jc w:val="center"/>
              <w:rPr>
                <w:sz w:val="18"/>
                <w:szCs w:val="18"/>
              </w:rPr>
            </w:pPr>
            <w:r w:rsidRPr="00033EEC">
              <w:rPr>
                <w:sz w:val="18"/>
                <w:szCs w:val="18"/>
              </w:rPr>
              <w:t>0.0</w:t>
            </w:r>
          </w:p>
        </w:tc>
        <w:tc>
          <w:tcPr>
            <w:tcW w:w="673" w:type="dxa"/>
            <w:shd w:val="clear" w:color="auto" w:fill="auto"/>
            <w:tcMar>
              <w:top w:w="28" w:type="dxa"/>
              <w:left w:w="102" w:type="dxa"/>
              <w:bottom w:w="28" w:type="dxa"/>
              <w:right w:w="102" w:type="dxa"/>
            </w:tcMar>
            <w:vAlign w:val="center"/>
          </w:tcPr>
          <w:p w14:paraId="68AF8A13" w14:textId="4AF5CA3E" w:rsidR="00033EEC" w:rsidRPr="00033EEC" w:rsidRDefault="00033EEC" w:rsidP="000C5DDA">
            <w:pPr>
              <w:pStyle w:val="Tabletext"/>
              <w:jc w:val="center"/>
              <w:rPr>
                <w:sz w:val="18"/>
                <w:szCs w:val="18"/>
              </w:rPr>
            </w:pPr>
            <w:r w:rsidRPr="00033EEC">
              <w:rPr>
                <w:sz w:val="18"/>
                <w:szCs w:val="18"/>
              </w:rPr>
              <w:t>0.0%</w:t>
            </w:r>
          </w:p>
        </w:tc>
        <w:tc>
          <w:tcPr>
            <w:tcW w:w="811" w:type="dxa"/>
            <w:shd w:val="clear" w:color="auto" w:fill="auto"/>
            <w:tcMar>
              <w:top w:w="28" w:type="dxa"/>
              <w:left w:w="102" w:type="dxa"/>
              <w:bottom w:w="28" w:type="dxa"/>
              <w:right w:w="102" w:type="dxa"/>
            </w:tcMar>
            <w:vAlign w:val="center"/>
          </w:tcPr>
          <w:p w14:paraId="3150E501" w14:textId="44A697EB" w:rsidR="00033EEC" w:rsidRPr="00033EEC" w:rsidRDefault="00033EEC" w:rsidP="000C5DDA">
            <w:pPr>
              <w:pStyle w:val="Tabletext"/>
              <w:jc w:val="center"/>
              <w:rPr>
                <w:sz w:val="18"/>
                <w:szCs w:val="18"/>
              </w:rPr>
            </w:pPr>
            <w:r w:rsidRPr="00033EEC">
              <w:rPr>
                <w:sz w:val="18"/>
                <w:szCs w:val="18"/>
              </w:rPr>
              <w:t>4.4</w:t>
            </w:r>
          </w:p>
        </w:tc>
        <w:tc>
          <w:tcPr>
            <w:tcW w:w="769" w:type="dxa"/>
            <w:shd w:val="clear" w:color="auto" w:fill="auto"/>
            <w:tcMar>
              <w:top w:w="28" w:type="dxa"/>
              <w:left w:w="102" w:type="dxa"/>
              <w:bottom w:w="28" w:type="dxa"/>
              <w:right w:w="102" w:type="dxa"/>
            </w:tcMar>
            <w:vAlign w:val="center"/>
          </w:tcPr>
          <w:p w14:paraId="076E12A3" w14:textId="2DDC8852" w:rsidR="00033EEC" w:rsidRPr="00033EEC" w:rsidRDefault="00033EEC" w:rsidP="000C5DDA">
            <w:pPr>
              <w:pStyle w:val="Tabletext"/>
              <w:jc w:val="center"/>
              <w:rPr>
                <w:sz w:val="18"/>
                <w:szCs w:val="18"/>
              </w:rPr>
            </w:pPr>
            <w:r w:rsidRPr="00033EEC">
              <w:rPr>
                <w:sz w:val="18"/>
                <w:szCs w:val="18"/>
              </w:rPr>
              <w:t>100.0%</w:t>
            </w:r>
          </w:p>
        </w:tc>
        <w:tc>
          <w:tcPr>
            <w:tcW w:w="811" w:type="dxa"/>
            <w:vAlign w:val="center"/>
          </w:tcPr>
          <w:p w14:paraId="24CD9E54" w14:textId="789A3612" w:rsidR="00033EEC" w:rsidRPr="00033EEC" w:rsidRDefault="00033EEC" w:rsidP="000C5DDA">
            <w:pPr>
              <w:pStyle w:val="Tabletext"/>
              <w:jc w:val="center"/>
              <w:rPr>
                <w:sz w:val="18"/>
                <w:szCs w:val="18"/>
              </w:rPr>
            </w:pPr>
            <w:r w:rsidRPr="00033EEC">
              <w:rPr>
                <w:sz w:val="18"/>
                <w:szCs w:val="18"/>
              </w:rPr>
              <w:t>0.0</w:t>
            </w:r>
          </w:p>
        </w:tc>
        <w:tc>
          <w:tcPr>
            <w:tcW w:w="500" w:type="dxa"/>
            <w:vAlign w:val="center"/>
          </w:tcPr>
          <w:p w14:paraId="7F3FCF4F" w14:textId="19A2E481" w:rsidR="00033EEC" w:rsidRPr="00033EEC" w:rsidRDefault="00033EEC" w:rsidP="000C5DDA">
            <w:pPr>
              <w:pStyle w:val="Tabletext"/>
              <w:jc w:val="center"/>
              <w:rPr>
                <w:sz w:val="18"/>
                <w:szCs w:val="18"/>
              </w:rPr>
            </w:pPr>
            <w:r w:rsidRPr="00033EEC">
              <w:rPr>
                <w:sz w:val="18"/>
                <w:szCs w:val="18"/>
              </w:rPr>
              <w:t>0.0%</w:t>
            </w:r>
          </w:p>
        </w:tc>
        <w:tc>
          <w:tcPr>
            <w:tcW w:w="472" w:type="dxa"/>
            <w:vAlign w:val="center"/>
          </w:tcPr>
          <w:p w14:paraId="4E00FEE3" w14:textId="372B5B82" w:rsidR="00033EEC" w:rsidRPr="00033EEC" w:rsidRDefault="00033EEC" w:rsidP="000C5DDA">
            <w:pPr>
              <w:pStyle w:val="Tabletext"/>
              <w:jc w:val="center"/>
              <w:rPr>
                <w:sz w:val="18"/>
                <w:szCs w:val="18"/>
              </w:rPr>
            </w:pPr>
            <w:r w:rsidRPr="00033EEC">
              <w:rPr>
                <w:sz w:val="18"/>
                <w:szCs w:val="18"/>
              </w:rPr>
              <w:t>1.1</w:t>
            </w:r>
          </w:p>
        </w:tc>
        <w:tc>
          <w:tcPr>
            <w:tcW w:w="590" w:type="dxa"/>
            <w:vAlign w:val="center"/>
          </w:tcPr>
          <w:p w14:paraId="173F279B" w14:textId="7BDF03BF" w:rsidR="00033EEC" w:rsidRPr="00033EEC" w:rsidRDefault="00033EEC" w:rsidP="000C5DDA">
            <w:pPr>
              <w:pStyle w:val="Tabletext"/>
              <w:jc w:val="center"/>
              <w:rPr>
                <w:sz w:val="18"/>
                <w:szCs w:val="18"/>
              </w:rPr>
            </w:pPr>
            <w:r w:rsidRPr="00033EEC">
              <w:rPr>
                <w:sz w:val="18"/>
                <w:szCs w:val="18"/>
              </w:rPr>
              <w:t>23.9%</w:t>
            </w:r>
          </w:p>
        </w:tc>
        <w:tc>
          <w:tcPr>
            <w:tcW w:w="959" w:type="dxa"/>
            <w:vAlign w:val="center"/>
          </w:tcPr>
          <w:p w14:paraId="6CDF1051" w14:textId="4CC79E2F" w:rsidR="00033EEC" w:rsidRPr="00033EEC" w:rsidRDefault="00033EEC" w:rsidP="000C5DDA">
            <w:pPr>
              <w:pStyle w:val="Tabletext"/>
              <w:jc w:val="center"/>
              <w:rPr>
                <w:sz w:val="18"/>
                <w:szCs w:val="18"/>
              </w:rPr>
            </w:pPr>
            <w:r w:rsidRPr="00033EEC">
              <w:rPr>
                <w:sz w:val="18"/>
                <w:szCs w:val="18"/>
              </w:rPr>
              <w:t>0.0</w:t>
            </w:r>
          </w:p>
        </w:tc>
        <w:tc>
          <w:tcPr>
            <w:tcW w:w="585" w:type="dxa"/>
            <w:vAlign w:val="center"/>
          </w:tcPr>
          <w:p w14:paraId="4481D74E" w14:textId="6F946553" w:rsidR="00033EEC" w:rsidRPr="00033EEC" w:rsidRDefault="00033EEC" w:rsidP="000C5DDA">
            <w:pPr>
              <w:pStyle w:val="Tabletext"/>
              <w:jc w:val="center"/>
              <w:rPr>
                <w:sz w:val="18"/>
                <w:szCs w:val="18"/>
              </w:rPr>
            </w:pPr>
            <w:r w:rsidRPr="00033EEC">
              <w:rPr>
                <w:sz w:val="18"/>
                <w:szCs w:val="18"/>
              </w:rPr>
              <w:t>0.0%</w:t>
            </w:r>
          </w:p>
        </w:tc>
      </w:tr>
      <w:tr w:rsidR="00033EEC" w:rsidRPr="00811AF2" w14:paraId="19FCECAA" w14:textId="77777777" w:rsidTr="00033EEC">
        <w:trPr>
          <w:trHeight w:val="226"/>
          <w:jc w:val="center"/>
        </w:trPr>
        <w:tc>
          <w:tcPr>
            <w:tcW w:w="1149" w:type="dxa"/>
            <w:shd w:val="clear" w:color="auto" w:fill="auto"/>
            <w:tcMar>
              <w:top w:w="28" w:type="dxa"/>
              <w:left w:w="102" w:type="dxa"/>
              <w:bottom w:w="28" w:type="dxa"/>
              <w:right w:w="102" w:type="dxa"/>
            </w:tcMar>
            <w:vAlign w:val="center"/>
          </w:tcPr>
          <w:p w14:paraId="26E4387C" w14:textId="2E3DFF34" w:rsidR="00033EEC" w:rsidRPr="00033EEC" w:rsidRDefault="000C5DDA" w:rsidP="00033EEC">
            <w:pPr>
              <w:pStyle w:val="Tabletext"/>
              <w:rPr>
                <w:sz w:val="18"/>
                <w:szCs w:val="18"/>
                <w:lang w:eastAsia="ko-KR"/>
              </w:rPr>
            </w:pPr>
            <w:r>
              <w:rPr>
                <w:rFonts w:hint="eastAsia"/>
                <w:sz w:val="18"/>
                <w:szCs w:val="18"/>
                <w:lang w:eastAsia="ko-KR"/>
              </w:rPr>
              <w:t>P</w:t>
            </w:r>
            <w:r>
              <w:rPr>
                <w:sz w:val="18"/>
                <w:szCs w:val="18"/>
                <w:lang w:eastAsia="ko-KR"/>
              </w:rPr>
              <w:t>hilippines</w:t>
            </w:r>
          </w:p>
        </w:tc>
        <w:tc>
          <w:tcPr>
            <w:tcW w:w="844" w:type="dxa"/>
            <w:shd w:val="clear" w:color="auto" w:fill="auto"/>
            <w:tcMar>
              <w:top w:w="28" w:type="dxa"/>
              <w:left w:w="102" w:type="dxa"/>
              <w:bottom w:w="28" w:type="dxa"/>
              <w:right w:w="102" w:type="dxa"/>
            </w:tcMar>
            <w:vAlign w:val="center"/>
          </w:tcPr>
          <w:p w14:paraId="1C57C2FE" w14:textId="67CDD91A" w:rsidR="00033EEC" w:rsidRPr="00033EEC" w:rsidRDefault="00033EEC" w:rsidP="000C5DDA">
            <w:pPr>
              <w:pStyle w:val="Tabletext"/>
              <w:jc w:val="center"/>
              <w:rPr>
                <w:sz w:val="18"/>
                <w:szCs w:val="18"/>
              </w:rPr>
            </w:pPr>
            <w:r w:rsidRPr="00033EEC">
              <w:rPr>
                <w:sz w:val="18"/>
                <w:szCs w:val="18"/>
              </w:rPr>
              <w:t>1.3</w:t>
            </w:r>
          </w:p>
        </w:tc>
        <w:tc>
          <w:tcPr>
            <w:tcW w:w="864" w:type="dxa"/>
            <w:shd w:val="clear" w:color="auto" w:fill="auto"/>
            <w:tcMar>
              <w:top w:w="28" w:type="dxa"/>
              <w:left w:w="102" w:type="dxa"/>
              <w:bottom w:w="28" w:type="dxa"/>
              <w:right w:w="102" w:type="dxa"/>
            </w:tcMar>
            <w:vAlign w:val="center"/>
          </w:tcPr>
          <w:p w14:paraId="6DE04ADC" w14:textId="52C227FC" w:rsidR="00033EEC" w:rsidRPr="00033EEC" w:rsidRDefault="00033EEC" w:rsidP="000C5DDA">
            <w:pPr>
              <w:pStyle w:val="Tabletext"/>
              <w:jc w:val="center"/>
              <w:rPr>
                <w:sz w:val="18"/>
                <w:szCs w:val="18"/>
              </w:rPr>
            </w:pPr>
            <w:r w:rsidRPr="00033EEC">
              <w:rPr>
                <w:sz w:val="18"/>
                <w:szCs w:val="18"/>
              </w:rPr>
              <w:t>0.0</w:t>
            </w:r>
          </w:p>
        </w:tc>
        <w:tc>
          <w:tcPr>
            <w:tcW w:w="673" w:type="dxa"/>
            <w:shd w:val="clear" w:color="auto" w:fill="auto"/>
            <w:tcMar>
              <w:top w:w="28" w:type="dxa"/>
              <w:left w:w="102" w:type="dxa"/>
              <w:bottom w:w="28" w:type="dxa"/>
              <w:right w:w="102" w:type="dxa"/>
            </w:tcMar>
            <w:vAlign w:val="center"/>
          </w:tcPr>
          <w:p w14:paraId="50A4C9CA" w14:textId="6BDCDA8E" w:rsidR="00033EEC" w:rsidRPr="00033EEC" w:rsidRDefault="00033EEC" w:rsidP="000C5DDA">
            <w:pPr>
              <w:pStyle w:val="Tabletext"/>
              <w:jc w:val="center"/>
              <w:rPr>
                <w:sz w:val="18"/>
                <w:szCs w:val="18"/>
              </w:rPr>
            </w:pPr>
            <w:r w:rsidRPr="00033EEC">
              <w:rPr>
                <w:sz w:val="18"/>
                <w:szCs w:val="18"/>
              </w:rPr>
              <w:t>0.0%</w:t>
            </w:r>
          </w:p>
        </w:tc>
        <w:tc>
          <w:tcPr>
            <w:tcW w:w="811" w:type="dxa"/>
            <w:shd w:val="clear" w:color="auto" w:fill="auto"/>
            <w:tcMar>
              <w:top w:w="28" w:type="dxa"/>
              <w:left w:w="102" w:type="dxa"/>
              <w:bottom w:w="28" w:type="dxa"/>
              <w:right w:w="102" w:type="dxa"/>
            </w:tcMar>
            <w:vAlign w:val="center"/>
          </w:tcPr>
          <w:p w14:paraId="5CDE2B90" w14:textId="6D856E87" w:rsidR="00033EEC" w:rsidRPr="00033EEC" w:rsidRDefault="00033EEC" w:rsidP="000C5DDA">
            <w:pPr>
              <w:pStyle w:val="Tabletext"/>
              <w:jc w:val="center"/>
              <w:rPr>
                <w:sz w:val="18"/>
                <w:szCs w:val="18"/>
              </w:rPr>
            </w:pPr>
            <w:r w:rsidRPr="00033EEC">
              <w:rPr>
                <w:sz w:val="18"/>
                <w:szCs w:val="18"/>
              </w:rPr>
              <w:t>1.3</w:t>
            </w:r>
          </w:p>
        </w:tc>
        <w:tc>
          <w:tcPr>
            <w:tcW w:w="769" w:type="dxa"/>
            <w:shd w:val="clear" w:color="auto" w:fill="auto"/>
            <w:tcMar>
              <w:top w:w="28" w:type="dxa"/>
              <w:left w:w="102" w:type="dxa"/>
              <w:bottom w:w="28" w:type="dxa"/>
              <w:right w:w="102" w:type="dxa"/>
            </w:tcMar>
            <w:vAlign w:val="center"/>
          </w:tcPr>
          <w:p w14:paraId="523A23B4" w14:textId="756B807F" w:rsidR="00033EEC" w:rsidRPr="00033EEC" w:rsidRDefault="00033EEC" w:rsidP="000C5DDA">
            <w:pPr>
              <w:pStyle w:val="Tabletext"/>
              <w:jc w:val="center"/>
              <w:rPr>
                <w:sz w:val="18"/>
                <w:szCs w:val="18"/>
              </w:rPr>
            </w:pPr>
            <w:r w:rsidRPr="00033EEC">
              <w:rPr>
                <w:sz w:val="18"/>
                <w:szCs w:val="18"/>
              </w:rPr>
              <w:t>100.0%</w:t>
            </w:r>
          </w:p>
        </w:tc>
        <w:tc>
          <w:tcPr>
            <w:tcW w:w="811" w:type="dxa"/>
            <w:vAlign w:val="center"/>
          </w:tcPr>
          <w:p w14:paraId="1B789BEA" w14:textId="462D5F6B" w:rsidR="00033EEC" w:rsidRPr="00033EEC" w:rsidRDefault="00033EEC" w:rsidP="000C5DDA">
            <w:pPr>
              <w:pStyle w:val="Tabletext"/>
              <w:jc w:val="center"/>
              <w:rPr>
                <w:sz w:val="18"/>
                <w:szCs w:val="18"/>
              </w:rPr>
            </w:pPr>
            <w:r w:rsidRPr="00033EEC">
              <w:rPr>
                <w:sz w:val="18"/>
                <w:szCs w:val="18"/>
              </w:rPr>
              <w:t>0.0</w:t>
            </w:r>
          </w:p>
        </w:tc>
        <w:tc>
          <w:tcPr>
            <w:tcW w:w="500" w:type="dxa"/>
            <w:vAlign w:val="center"/>
          </w:tcPr>
          <w:p w14:paraId="7D022C95" w14:textId="3814675E" w:rsidR="00033EEC" w:rsidRPr="00033EEC" w:rsidRDefault="00033EEC" w:rsidP="000C5DDA">
            <w:pPr>
              <w:pStyle w:val="Tabletext"/>
              <w:jc w:val="center"/>
              <w:rPr>
                <w:sz w:val="18"/>
                <w:szCs w:val="18"/>
              </w:rPr>
            </w:pPr>
            <w:r w:rsidRPr="00033EEC">
              <w:rPr>
                <w:sz w:val="18"/>
                <w:szCs w:val="18"/>
              </w:rPr>
              <w:t>0.0%</w:t>
            </w:r>
          </w:p>
        </w:tc>
        <w:tc>
          <w:tcPr>
            <w:tcW w:w="472" w:type="dxa"/>
            <w:vAlign w:val="center"/>
          </w:tcPr>
          <w:p w14:paraId="57754265" w14:textId="6368DA62" w:rsidR="00033EEC" w:rsidRPr="00033EEC" w:rsidRDefault="00033EEC" w:rsidP="000C5DDA">
            <w:pPr>
              <w:pStyle w:val="Tabletext"/>
              <w:jc w:val="center"/>
              <w:rPr>
                <w:sz w:val="18"/>
                <w:szCs w:val="18"/>
              </w:rPr>
            </w:pPr>
            <w:r w:rsidRPr="00033EEC">
              <w:rPr>
                <w:sz w:val="18"/>
                <w:szCs w:val="18"/>
              </w:rPr>
              <w:t>1.3</w:t>
            </w:r>
          </w:p>
        </w:tc>
        <w:tc>
          <w:tcPr>
            <w:tcW w:w="590" w:type="dxa"/>
            <w:vAlign w:val="center"/>
          </w:tcPr>
          <w:p w14:paraId="4880F6AE" w14:textId="2A4EBD79" w:rsidR="00033EEC" w:rsidRPr="00033EEC" w:rsidRDefault="00033EEC" w:rsidP="000C5DDA">
            <w:pPr>
              <w:pStyle w:val="Tabletext"/>
              <w:jc w:val="center"/>
              <w:rPr>
                <w:sz w:val="18"/>
                <w:szCs w:val="18"/>
              </w:rPr>
            </w:pPr>
            <w:r w:rsidRPr="00033EEC">
              <w:rPr>
                <w:sz w:val="18"/>
                <w:szCs w:val="18"/>
              </w:rPr>
              <w:t>100.0%</w:t>
            </w:r>
          </w:p>
        </w:tc>
        <w:tc>
          <w:tcPr>
            <w:tcW w:w="959" w:type="dxa"/>
            <w:vAlign w:val="center"/>
          </w:tcPr>
          <w:p w14:paraId="168450D3" w14:textId="681319EC" w:rsidR="00033EEC" w:rsidRPr="00033EEC" w:rsidRDefault="00033EEC" w:rsidP="000C5DDA">
            <w:pPr>
              <w:pStyle w:val="Tabletext"/>
              <w:jc w:val="center"/>
              <w:rPr>
                <w:sz w:val="18"/>
                <w:szCs w:val="18"/>
              </w:rPr>
            </w:pPr>
            <w:r w:rsidRPr="00033EEC">
              <w:rPr>
                <w:sz w:val="18"/>
                <w:szCs w:val="18"/>
              </w:rPr>
              <w:t>1.3</w:t>
            </w:r>
          </w:p>
        </w:tc>
        <w:tc>
          <w:tcPr>
            <w:tcW w:w="585" w:type="dxa"/>
            <w:vAlign w:val="center"/>
          </w:tcPr>
          <w:p w14:paraId="6D1D596F" w14:textId="1D441E0E" w:rsidR="00033EEC" w:rsidRPr="00033EEC" w:rsidRDefault="00033EEC" w:rsidP="000C5DDA">
            <w:pPr>
              <w:pStyle w:val="Tabletext"/>
              <w:jc w:val="center"/>
              <w:rPr>
                <w:sz w:val="18"/>
                <w:szCs w:val="18"/>
              </w:rPr>
            </w:pPr>
            <w:r w:rsidRPr="00033EEC">
              <w:rPr>
                <w:sz w:val="18"/>
                <w:szCs w:val="18"/>
              </w:rPr>
              <w:t>100.0%</w:t>
            </w:r>
          </w:p>
        </w:tc>
      </w:tr>
      <w:tr w:rsidR="00033EEC" w:rsidRPr="00811AF2" w14:paraId="41FD6F6E" w14:textId="77777777" w:rsidTr="00033EEC">
        <w:trPr>
          <w:trHeight w:val="226"/>
          <w:jc w:val="center"/>
        </w:trPr>
        <w:tc>
          <w:tcPr>
            <w:tcW w:w="1149" w:type="dxa"/>
            <w:shd w:val="clear" w:color="auto" w:fill="auto"/>
            <w:tcMar>
              <w:top w:w="28" w:type="dxa"/>
              <w:left w:w="102" w:type="dxa"/>
              <w:bottom w:w="28" w:type="dxa"/>
              <w:right w:w="102" w:type="dxa"/>
            </w:tcMar>
            <w:vAlign w:val="center"/>
          </w:tcPr>
          <w:p w14:paraId="170FFA9F" w14:textId="2A72CA92" w:rsidR="00033EEC" w:rsidRPr="00033EEC" w:rsidRDefault="000C5DDA" w:rsidP="00033EEC">
            <w:pPr>
              <w:pStyle w:val="Tabletext"/>
              <w:rPr>
                <w:sz w:val="18"/>
                <w:szCs w:val="18"/>
                <w:lang w:eastAsia="ko-KR"/>
              </w:rPr>
            </w:pPr>
            <w:r>
              <w:rPr>
                <w:rFonts w:hint="eastAsia"/>
                <w:sz w:val="18"/>
                <w:szCs w:val="18"/>
                <w:lang w:eastAsia="ko-KR"/>
              </w:rPr>
              <w:t>P</w:t>
            </w:r>
            <w:r>
              <w:rPr>
                <w:sz w:val="18"/>
                <w:szCs w:val="18"/>
                <w:lang w:eastAsia="ko-KR"/>
              </w:rPr>
              <w:t>oland</w:t>
            </w:r>
          </w:p>
        </w:tc>
        <w:tc>
          <w:tcPr>
            <w:tcW w:w="844" w:type="dxa"/>
            <w:shd w:val="clear" w:color="auto" w:fill="auto"/>
            <w:tcMar>
              <w:top w:w="28" w:type="dxa"/>
              <w:left w:w="102" w:type="dxa"/>
              <w:bottom w:w="28" w:type="dxa"/>
              <w:right w:w="102" w:type="dxa"/>
            </w:tcMar>
            <w:vAlign w:val="center"/>
          </w:tcPr>
          <w:p w14:paraId="5B0E5677" w14:textId="0D015272" w:rsidR="00033EEC" w:rsidRPr="00033EEC" w:rsidRDefault="00033EEC" w:rsidP="000C5DDA">
            <w:pPr>
              <w:pStyle w:val="Tabletext"/>
              <w:jc w:val="center"/>
              <w:rPr>
                <w:sz w:val="18"/>
                <w:szCs w:val="18"/>
              </w:rPr>
            </w:pPr>
            <w:r w:rsidRPr="00033EEC">
              <w:rPr>
                <w:sz w:val="18"/>
                <w:szCs w:val="18"/>
              </w:rPr>
              <w:t>23.1</w:t>
            </w:r>
          </w:p>
        </w:tc>
        <w:tc>
          <w:tcPr>
            <w:tcW w:w="864" w:type="dxa"/>
            <w:shd w:val="clear" w:color="auto" w:fill="auto"/>
            <w:tcMar>
              <w:top w:w="28" w:type="dxa"/>
              <w:left w:w="102" w:type="dxa"/>
              <w:bottom w:w="28" w:type="dxa"/>
              <w:right w:w="102" w:type="dxa"/>
            </w:tcMar>
            <w:vAlign w:val="center"/>
          </w:tcPr>
          <w:p w14:paraId="5017EF9E" w14:textId="3D8C0EC7" w:rsidR="00033EEC" w:rsidRPr="00033EEC" w:rsidRDefault="00033EEC" w:rsidP="000C5DDA">
            <w:pPr>
              <w:pStyle w:val="Tabletext"/>
              <w:jc w:val="center"/>
              <w:rPr>
                <w:sz w:val="18"/>
                <w:szCs w:val="18"/>
              </w:rPr>
            </w:pPr>
            <w:r w:rsidRPr="00033EEC">
              <w:rPr>
                <w:sz w:val="18"/>
                <w:szCs w:val="18"/>
              </w:rPr>
              <w:t>5.4</w:t>
            </w:r>
          </w:p>
        </w:tc>
        <w:tc>
          <w:tcPr>
            <w:tcW w:w="673" w:type="dxa"/>
            <w:shd w:val="clear" w:color="auto" w:fill="auto"/>
            <w:tcMar>
              <w:top w:w="28" w:type="dxa"/>
              <w:left w:w="102" w:type="dxa"/>
              <w:bottom w:w="28" w:type="dxa"/>
              <w:right w:w="102" w:type="dxa"/>
            </w:tcMar>
            <w:vAlign w:val="center"/>
          </w:tcPr>
          <w:p w14:paraId="415058D0" w14:textId="799E2D13" w:rsidR="00033EEC" w:rsidRPr="00033EEC" w:rsidRDefault="00033EEC" w:rsidP="000C5DDA">
            <w:pPr>
              <w:pStyle w:val="Tabletext"/>
              <w:jc w:val="center"/>
              <w:rPr>
                <w:sz w:val="18"/>
                <w:szCs w:val="18"/>
              </w:rPr>
            </w:pPr>
            <w:r w:rsidRPr="00033EEC">
              <w:rPr>
                <w:sz w:val="18"/>
                <w:szCs w:val="18"/>
              </w:rPr>
              <w:t>23.4%</w:t>
            </w:r>
          </w:p>
        </w:tc>
        <w:tc>
          <w:tcPr>
            <w:tcW w:w="811" w:type="dxa"/>
            <w:shd w:val="clear" w:color="auto" w:fill="auto"/>
            <w:tcMar>
              <w:top w:w="28" w:type="dxa"/>
              <w:left w:w="102" w:type="dxa"/>
              <w:bottom w:w="28" w:type="dxa"/>
              <w:right w:w="102" w:type="dxa"/>
            </w:tcMar>
            <w:vAlign w:val="center"/>
          </w:tcPr>
          <w:p w14:paraId="426C0A4A" w14:textId="1E9EA826" w:rsidR="00033EEC" w:rsidRPr="00033EEC" w:rsidRDefault="00033EEC" w:rsidP="000C5DDA">
            <w:pPr>
              <w:pStyle w:val="Tabletext"/>
              <w:jc w:val="center"/>
              <w:rPr>
                <w:sz w:val="18"/>
                <w:szCs w:val="18"/>
              </w:rPr>
            </w:pPr>
            <w:r w:rsidRPr="00033EEC">
              <w:rPr>
                <w:sz w:val="18"/>
                <w:szCs w:val="18"/>
              </w:rPr>
              <w:t>17.7</w:t>
            </w:r>
          </w:p>
        </w:tc>
        <w:tc>
          <w:tcPr>
            <w:tcW w:w="769" w:type="dxa"/>
            <w:shd w:val="clear" w:color="auto" w:fill="auto"/>
            <w:tcMar>
              <w:top w:w="28" w:type="dxa"/>
              <w:left w:w="102" w:type="dxa"/>
              <w:bottom w:w="28" w:type="dxa"/>
              <w:right w:w="102" w:type="dxa"/>
            </w:tcMar>
            <w:vAlign w:val="center"/>
          </w:tcPr>
          <w:p w14:paraId="45D393D9" w14:textId="31BFC4EC" w:rsidR="00033EEC" w:rsidRPr="00033EEC" w:rsidRDefault="00033EEC" w:rsidP="000C5DDA">
            <w:pPr>
              <w:pStyle w:val="Tabletext"/>
              <w:jc w:val="center"/>
              <w:rPr>
                <w:sz w:val="18"/>
                <w:szCs w:val="18"/>
              </w:rPr>
            </w:pPr>
            <w:r w:rsidRPr="00033EEC">
              <w:rPr>
                <w:sz w:val="18"/>
                <w:szCs w:val="18"/>
              </w:rPr>
              <w:t>76.6%</w:t>
            </w:r>
          </w:p>
        </w:tc>
        <w:tc>
          <w:tcPr>
            <w:tcW w:w="811" w:type="dxa"/>
            <w:vAlign w:val="center"/>
          </w:tcPr>
          <w:p w14:paraId="60DBB2F0" w14:textId="01CB26F3" w:rsidR="00033EEC" w:rsidRPr="00033EEC" w:rsidRDefault="00033EEC" w:rsidP="000C5DDA">
            <w:pPr>
              <w:pStyle w:val="Tabletext"/>
              <w:jc w:val="center"/>
              <w:rPr>
                <w:sz w:val="18"/>
                <w:szCs w:val="18"/>
              </w:rPr>
            </w:pPr>
            <w:r w:rsidRPr="00033EEC">
              <w:rPr>
                <w:sz w:val="18"/>
                <w:szCs w:val="18"/>
              </w:rPr>
              <w:t>1.9</w:t>
            </w:r>
          </w:p>
        </w:tc>
        <w:tc>
          <w:tcPr>
            <w:tcW w:w="500" w:type="dxa"/>
            <w:vAlign w:val="center"/>
          </w:tcPr>
          <w:p w14:paraId="676C897C" w14:textId="05D52629" w:rsidR="00033EEC" w:rsidRPr="00033EEC" w:rsidRDefault="00033EEC" w:rsidP="000C5DDA">
            <w:pPr>
              <w:pStyle w:val="Tabletext"/>
              <w:jc w:val="center"/>
              <w:rPr>
                <w:sz w:val="18"/>
                <w:szCs w:val="18"/>
              </w:rPr>
            </w:pPr>
            <w:r w:rsidRPr="00033EEC">
              <w:rPr>
                <w:sz w:val="18"/>
                <w:szCs w:val="18"/>
              </w:rPr>
              <w:t>8.2%</w:t>
            </w:r>
          </w:p>
        </w:tc>
        <w:tc>
          <w:tcPr>
            <w:tcW w:w="472" w:type="dxa"/>
            <w:vAlign w:val="center"/>
          </w:tcPr>
          <w:p w14:paraId="49E35441" w14:textId="0735EA28" w:rsidR="00033EEC" w:rsidRPr="00033EEC" w:rsidRDefault="00033EEC" w:rsidP="000C5DDA">
            <w:pPr>
              <w:pStyle w:val="Tabletext"/>
              <w:jc w:val="center"/>
              <w:rPr>
                <w:sz w:val="18"/>
                <w:szCs w:val="18"/>
              </w:rPr>
            </w:pPr>
            <w:r w:rsidRPr="00033EEC">
              <w:rPr>
                <w:sz w:val="18"/>
                <w:szCs w:val="18"/>
              </w:rPr>
              <w:t>0.0</w:t>
            </w:r>
          </w:p>
        </w:tc>
        <w:tc>
          <w:tcPr>
            <w:tcW w:w="590" w:type="dxa"/>
            <w:vAlign w:val="center"/>
          </w:tcPr>
          <w:p w14:paraId="31242545" w14:textId="41FEDD8F" w:rsidR="00033EEC" w:rsidRPr="00033EEC" w:rsidRDefault="00033EEC" w:rsidP="000C5DDA">
            <w:pPr>
              <w:pStyle w:val="Tabletext"/>
              <w:jc w:val="center"/>
              <w:rPr>
                <w:sz w:val="18"/>
                <w:szCs w:val="18"/>
              </w:rPr>
            </w:pPr>
            <w:r w:rsidRPr="00033EEC">
              <w:rPr>
                <w:sz w:val="18"/>
                <w:szCs w:val="18"/>
              </w:rPr>
              <w:t>0.0%</w:t>
            </w:r>
          </w:p>
        </w:tc>
        <w:tc>
          <w:tcPr>
            <w:tcW w:w="959" w:type="dxa"/>
            <w:vAlign w:val="center"/>
          </w:tcPr>
          <w:p w14:paraId="52B691DF" w14:textId="67D2850E" w:rsidR="00033EEC" w:rsidRPr="00033EEC" w:rsidRDefault="00033EEC" w:rsidP="000C5DDA">
            <w:pPr>
              <w:pStyle w:val="Tabletext"/>
              <w:jc w:val="center"/>
              <w:rPr>
                <w:sz w:val="18"/>
                <w:szCs w:val="18"/>
              </w:rPr>
            </w:pPr>
            <w:r w:rsidRPr="00033EEC">
              <w:rPr>
                <w:sz w:val="18"/>
                <w:szCs w:val="18"/>
              </w:rPr>
              <w:t>0.0</w:t>
            </w:r>
          </w:p>
        </w:tc>
        <w:tc>
          <w:tcPr>
            <w:tcW w:w="585" w:type="dxa"/>
            <w:vAlign w:val="center"/>
          </w:tcPr>
          <w:p w14:paraId="4106EEA1" w14:textId="58413081" w:rsidR="00033EEC" w:rsidRPr="00033EEC" w:rsidRDefault="00033EEC" w:rsidP="000C5DDA">
            <w:pPr>
              <w:pStyle w:val="Tabletext"/>
              <w:jc w:val="center"/>
              <w:rPr>
                <w:sz w:val="18"/>
                <w:szCs w:val="18"/>
              </w:rPr>
            </w:pPr>
            <w:r w:rsidRPr="00033EEC">
              <w:rPr>
                <w:sz w:val="18"/>
                <w:szCs w:val="18"/>
              </w:rPr>
              <w:t>0.0%</w:t>
            </w:r>
          </w:p>
        </w:tc>
      </w:tr>
      <w:tr w:rsidR="00033EEC" w:rsidRPr="00811AF2" w14:paraId="4DC9F6E9" w14:textId="77777777" w:rsidTr="00033EEC">
        <w:trPr>
          <w:trHeight w:val="278"/>
          <w:jc w:val="center"/>
        </w:trPr>
        <w:tc>
          <w:tcPr>
            <w:tcW w:w="1149" w:type="dxa"/>
            <w:shd w:val="clear" w:color="auto" w:fill="auto"/>
            <w:tcMar>
              <w:top w:w="28" w:type="dxa"/>
              <w:left w:w="102" w:type="dxa"/>
              <w:bottom w:w="28" w:type="dxa"/>
              <w:right w:w="102" w:type="dxa"/>
            </w:tcMar>
            <w:vAlign w:val="center"/>
          </w:tcPr>
          <w:p w14:paraId="32A899BE" w14:textId="4C237495" w:rsidR="00033EEC" w:rsidRPr="00033EEC" w:rsidRDefault="000C5DDA" w:rsidP="00033EEC">
            <w:pPr>
              <w:pStyle w:val="Tabletext"/>
              <w:rPr>
                <w:sz w:val="18"/>
                <w:szCs w:val="18"/>
                <w:lang w:eastAsia="ko-KR"/>
              </w:rPr>
            </w:pPr>
            <w:r>
              <w:rPr>
                <w:rFonts w:hint="eastAsia"/>
                <w:sz w:val="18"/>
                <w:szCs w:val="18"/>
                <w:lang w:eastAsia="ko-KR"/>
              </w:rPr>
              <w:t>T</w:t>
            </w:r>
            <w:r>
              <w:rPr>
                <w:sz w:val="18"/>
                <w:szCs w:val="18"/>
                <w:lang w:eastAsia="ko-KR"/>
              </w:rPr>
              <w:t>hailand</w:t>
            </w:r>
          </w:p>
        </w:tc>
        <w:tc>
          <w:tcPr>
            <w:tcW w:w="844" w:type="dxa"/>
            <w:shd w:val="clear" w:color="auto" w:fill="auto"/>
            <w:tcMar>
              <w:top w:w="28" w:type="dxa"/>
              <w:left w:w="102" w:type="dxa"/>
              <w:bottom w:w="28" w:type="dxa"/>
              <w:right w:w="102" w:type="dxa"/>
            </w:tcMar>
            <w:vAlign w:val="center"/>
          </w:tcPr>
          <w:p w14:paraId="091ECC25" w14:textId="4173ADE4" w:rsidR="00033EEC" w:rsidRPr="00033EEC" w:rsidRDefault="00033EEC" w:rsidP="000C5DDA">
            <w:pPr>
              <w:pStyle w:val="Tabletext"/>
              <w:jc w:val="center"/>
              <w:rPr>
                <w:sz w:val="18"/>
                <w:szCs w:val="18"/>
              </w:rPr>
            </w:pPr>
            <w:r w:rsidRPr="00033EEC">
              <w:rPr>
                <w:sz w:val="18"/>
                <w:szCs w:val="18"/>
              </w:rPr>
              <w:t>1.4</w:t>
            </w:r>
          </w:p>
        </w:tc>
        <w:tc>
          <w:tcPr>
            <w:tcW w:w="864" w:type="dxa"/>
            <w:shd w:val="clear" w:color="auto" w:fill="auto"/>
            <w:tcMar>
              <w:top w:w="28" w:type="dxa"/>
              <w:left w:w="102" w:type="dxa"/>
              <w:bottom w:w="28" w:type="dxa"/>
              <w:right w:w="102" w:type="dxa"/>
            </w:tcMar>
            <w:vAlign w:val="center"/>
          </w:tcPr>
          <w:p w14:paraId="7D8A4ACE" w14:textId="5410F2C6" w:rsidR="00033EEC" w:rsidRPr="00033EEC" w:rsidRDefault="00033EEC" w:rsidP="000C5DDA">
            <w:pPr>
              <w:pStyle w:val="Tabletext"/>
              <w:jc w:val="center"/>
              <w:rPr>
                <w:sz w:val="18"/>
                <w:szCs w:val="18"/>
              </w:rPr>
            </w:pPr>
            <w:r w:rsidRPr="00033EEC">
              <w:rPr>
                <w:sz w:val="18"/>
                <w:szCs w:val="18"/>
              </w:rPr>
              <w:t>0.0</w:t>
            </w:r>
          </w:p>
        </w:tc>
        <w:tc>
          <w:tcPr>
            <w:tcW w:w="673" w:type="dxa"/>
            <w:shd w:val="clear" w:color="auto" w:fill="auto"/>
            <w:tcMar>
              <w:top w:w="28" w:type="dxa"/>
              <w:left w:w="102" w:type="dxa"/>
              <w:bottom w:w="28" w:type="dxa"/>
              <w:right w:w="102" w:type="dxa"/>
            </w:tcMar>
            <w:vAlign w:val="center"/>
          </w:tcPr>
          <w:p w14:paraId="3D64B6D9" w14:textId="5D359483" w:rsidR="00033EEC" w:rsidRPr="00033EEC" w:rsidRDefault="00033EEC" w:rsidP="000C5DDA">
            <w:pPr>
              <w:pStyle w:val="Tabletext"/>
              <w:jc w:val="center"/>
              <w:rPr>
                <w:sz w:val="18"/>
                <w:szCs w:val="18"/>
              </w:rPr>
            </w:pPr>
            <w:r w:rsidRPr="00033EEC">
              <w:rPr>
                <w:sz w:val="18"/>
                <w:szCs w:val="18"/>
              </w:rPr>
              <w:t>0.0%</w:t>
            </w:r>
          </w:p>
        </w:tc>
        <w:tc>
          <w:tcPr>
            <w:tcW w:w="811" w:type="dxa"/>
            <w:shd w:val="clear" w:color="auto" w:fill="auto"/>
            <w:tcMar>
              <w:top w:w="28" w:type="dxa"/>
              <w:left w:w="102" w:type="dxa"/>
              <w:bottom w:w="28" w:type="dxa"/>
              <w:right w:w="102" w:type="dxa"/>
            </w:tcMar>
            <w:vAlign w:val="center"/>
          </w:tcPr>
          <w:p w14:paraId="5BC77FF7" w14:textId="712AF483" w:rsidR="00033EEC" w:rsidRPr="00033EEC" w:rsidRDefault="00033EEC" w:rsidP="000C5DDA">
            <w:pPr>
              <w:pStyle w:val="Tabletext"/>
              <w:jc w:val="center"/>
              <w:rPr>
                <w:sz w:val="18"/>
                <w:szCs w:val="18"/>
              </w:rPr>
            </w:pPr>
            <w:r w:rsidRPr="00033EEC">
              <w:rPr>
                <w:sz w:val="18"/>
                <w:szCs w:val="18"/>
              </w:rPr>
              <w:t>1.4</w:t>
            </w:r>
          </w:p>
        </w:tc>
        <w:tc>
          <w:tcPr>
            <w:tcW w:w="769" w:type="dxa"/>
            <w:shd w:val="clear" w:color="auto" w:fill="auto"/>
            <w:tcMar>
              <w:top w:w="28" w:type="dxa"/>
              <w:left w:w="102" w:type="dxa"/>
              <w:bottom w:w="28" w:type="dxa"/>
              <w:right w:w="102" w:type="dxa"/>
            </w:tcMar>
            <w:vAlign w:val="center"/>
          </w:tcPr>
          <w:p w14:paraId="0F851E78" w14:textId="664002BD" w:rsidR="00033EEC" w:rsidRPr="00033EEC" w:rsidRDefault="00033EEC" w:rsidP="000C5DDA">
            <w:pPr>
              <w:pStyle w:val="Tabletext"/>
              <w:jc w:val="center"/>
              <w:rPr>
                <w:sz w:val="18"/>
                <w:szCs w:val="18"/>
              </w:rPr>
            </w:pPr>
            <w:r w:rsidRPr="00033EEC">
              <w:rPr>
                <w:sz w:val="18"/>
                <w:szCs w:val="18"/>
              </w:rPr>
              <w:t>100.0%</w:t>
            </w:r>
          </w:p>
        </w:tc>
        <w:tc>
          <w:tcPr>
            <w:tcW w:w="811" w:type="dxa"/>
            <w:vAlign w:val="center"/>
          </w:tcPr>
          <w:p w14:paraId="00EE9F1D" w14:textId="209D088A" w:rsidR="00033EEC" w:rsidRPr="00033EEC" w:rsidRDefault="00033EEC" w:rsidP="000C5DDA">
            <w:pPr>
              <w:pStyle w:val="Tabletext"/>
              <w:jc w:val="center"/>
              <w:rPr>
                <w:sz w:val="18"/>
                <w:szCs w:val="18"/>
              </w:rPr>
            </w:pPr>
            <w:r w:rsidRPr="00033EEC">
              <w:rPr>
                <w:sz w:val="18"/>
                <w:szCs w:val="18"/>
              </w:rPr>
              <w:t>0.0</w:t>
            </w:r>
          </w:p>
        </w:tc>
        <w:tc>
          <w:tcPr>
            <w:tcW w:w="500" w:type="dxa"/>
            <w:vAlign w:val="center"/>
          </w:tcPr>
          <w:p w14:paraId="5D5AD3E1" w14:textId="710DE71A" w:rsidR="00033EEC" w:rsidRPr="00033EEC" w:rsidRDefault="00033EEC" w:rsidP="000C5DDA">
            <w:pPr>
              <w:pStyle w:val="Tabletext"/>
              <w:jc w:val="center"/>
              <w:rPr>
                <w:sz w:val="18"/>
                <w:szCs w:val="18"/>
              </w:rPr>
            </w:pPr>
            <w:r w:rsidRPr="00033EEC">
              <w:rPr>
                <w:sz w:val="18"/>
                <w:szCs w:val="18"/>
              </w:rPr>
              <w:t>0.0%</w:t>
            </w:r>
          </w:p>
        </w:tc>
        <w:tc>
          <w:tcPr>
            <w:tcW w:w="472" w:type="dxa"/>
            <w:vAlign w:val="center"/>
          </w:tcPr>
          <w:p w14:paraId="007F4F5C" w14:textId="5246676E" w:rsidR="00033EEC" w:rsidRPr="00033EEC" w:rsidRDefault="00033EEC" w:rsidP="000C5DDA">
            <w:pPr>
              <w:pStyle w:val="Tabletext"/>
              <w:jc w:val="center"/>
              <w:rPr>
                <w:sz w:val="18"/>
                <w:szCs w:val="18"/>
              </w:rPr>
            </w:pPr>
            <w:r w:rsidRPr="00033EEC">
              <w:rPr>
                <w:sz w:val="18"/>
                <w:szCs w:val="18"/>
              </w:rPr>
              <w:t>0.0</w:t>
            </w:r>
          </w:p>
        </w:tc>
        <w:tc>
          <w:tcPr>
            <w:tcW w:w="590" w:type="dxa"/>
            <w:vAlign w:val="center"/>
          </w:tcPr>
          <w:p w14:paraId="2F143B96" w14:textId="3A5BFA50" w:rsidR="00033EEC" w:rsidRPr="00033EEC" w:rsidRDefault="00033EEC" w:rsidP="000C5DDA">
            <w:pPr>
              <w:pStyle w:val="Tabletext"/>
              <w:jc w:val="center"/>
              <w:rPr>
                <w:sz w:val="18"/>
                <w:szCs w:val="18"/>
              </w:rPr>
            </w:pPr>
            <w:r w:rsidRPr="00033EEC">
              <w:rPr>
                <w:sz w:val="18"/>
                <w:szCs w:val="18"/>
              </w:rPr>
              <w:t>0.0%</w:t>
            </w:r>
          </w:p>
        </w:tc>
        <w:tc>
          <w:tcPr>
            <w:tcW w:w="959" w:type="dxa"/>
            <w:vAlign w:val="center"/>
          </w:tcPr>
          <w:p w14:paraId="363EC80E" w14:textId="5F69DE21" w:rsidR="00033EEC" w:rsidRPr="00033EEC" w:rsidRDefault="00033EEC" w:rsidP="000C5DDA">
            <w:pPr>
              <w:pStyle w:val="Tabletext"/>
              <w:jc w:val="center"/>
              <w:rPr>
                <w:sz w:val="18"/>
                <w:szCs w:val="18"/>
              </w:rPr>
            </w:pPr>
            <w:r w:rsidRPr="00033EEC">
              <w:rPr>
                <w:sz w:val="18"/>
                <w:szCs w:val="18"/>
              </w:rPr>
              <w:t>0.0</w:t>
            </w:r>
          </w:p>
        </w:tc>
        <w:tc>
          <w:tcPr>
            <w:tcW w:w="585" w:type="dxa"/>
            <w:vAlign w:val="center"/>
          </w:tcPr>
          <w:p w14:paraId="218D88E8" w14:textId="49CAA3B0" w:rsidR="00033EEC" w:rsidRPr="00033EEC" w:rsidRDefault="00033EEC" w:rsidP="000C5DDA">
            <w:pPr>
              <w:pStyle w:val="Tabletext"/>
              <w:jc w:val="center"/>
              <w:rPr>
                <w:sz w:val="18"/>
                <w:szCs w:val="18"/>
              </w:rPr>
            </w:pPr>
            <w:r w:rsidRPr="00033EEC">
              <w:rPr>
                <w:sz w:val="18"/>
                <w:szCs w:val="18"/>
              </w:rPr>
              <w:t>0.0%</w:t>
            </w:r>
          </w:p>
        </w:tc>
      </w:tr>
    </w:tbl>
    <w:p w14:paraId="3DA230C6" w14:textId="77777777" w:rsidR="003D6506" w:rsidRDefault="003D6506" w:rsidP="003D6506">
      <w:pPr>
        <w:pStyle w:val="a1"/>
      </w:pPr>
    </w:p>
    <w:p w14:paraId="08409FE3" w14:textId="7D60BB78" w:rsidR="003D6506" w:rsidRPr="00ED5BA7" w:rsidRDefault="008223B4" w:rsidP="008223B4">
      <w:pPr>
        <w:pStyle w:val="a1"/>
      </w:pPr>
      <w:r w:rsidRPr="008223B4">
        <w:t>Table</w:t>
      </w:r>
      <w:r w:rsidR="00762FAD">
        <w:t xml:space="preserve"> 5</w:t>
      </w:r>
      <w:r w:rsidRPr="008223B4">
        <w:t xml:space="preserve"> summarizes the screening results of </w:t>
      </w:r>
      <w:r w:rsidR="00D20A8B">
        <w:t>Unclassified Countries</w:t>
      </w:r>
      <w:r w:rsidRPr="008223B4">
        <w:t>: Australia (32.2%), Ireland (100%), Italy (38.4%), and Kazakhstan (100%) have the potential to convert retiring coal plants to SMRs. Except Ireland, Kazakhstan, and Kosovo, the population criterion plays a significant role in determining the eligibility of C2S. The screening results in New Zealand and Serbia are significantly affected by the floodplain criterion, while the active fault line criterion is the major factor to exclude 100% of coal plants in Bosnia and Herzegovina, Greece, Kosovo, New Zealand, and Uzbekistan. In Chile, the entire coal plants are excluded by the safe shutdown earthquake criterion.</w:t>
      </w:r>
    </w:p>
    <w:p w14:paraId="324284C2" w14:textId="77777777" w:rsidR="003D6506" w:rsidRPr="003D6506" w:rsidRDefault="003D6506" w:rsidP="003D6506">
      <w:pPr>
        <w:pStyle w:val="a1"/>
      </w:pPr>
    </w:p>
    <w:p w14:paraId="4AD4857A" w14:textId="605B9E09" w:rsidR="00762FAD" w:rsidRDefault="002B5CFE" w:rsidP="00E61606">
      <w:pPr>
        <w:pStyle w:val="a1"/>
        <w:ind w:firstLine="0"/>
      </w:pPr>
      <w:r w:rsidRPr="00704810">
        <w:t xml:space="preserve">TABLE </w:t>
      </w:r>
      <w:r w:rsidR="00762FAD">
        <w:t>5</w:t>
      </w:r>
      <w:r w:rsidRPr="00704810">
        <w:t>.</w:t>
      </w:r>
      <w:r w:rsidRPr="00704810">
        <w:tab/>
      </w:r>
      <w:r w:rsidR="00762FAD">
        <w:t>The screened</w:t>
      </w:r>
      <w:r w:rsidR="00762FAD" w:rsidRPr="000F00EA">
        <w:t xml:space="preserve"> coal capacity </w:t>
      </w:r>
      <w:r w:rsidR="00762FAD">
        <w:t>of</w:t>
      </w:r>
      <w:r w:rsidR="00762FAD" w:rsidRPr="000F00EA">
        <w:t xml:space="preserve"> </w:t>
      </w:r>
      <w:r w:rsidR="00762FAD">
        <w:t>the Unclassified Countries (unit: GW)</w:t>
      </w:r>
    </w:p>
    <w:p w14:paraId="41451D2E" w14:textId="5611710F" w:rsidR="00EC135A" w:rsidRPr="002B5CFE" w:rsidRDefault="00EC135A" w:rsidP="00762FAD">
      <w:pPr>
        <w:pStyle w:val="a1"/>
        <w:ind w:firstLine="0"/>
      </w:pPr>
    </w:p>
    <w:tbl>
      <w:tblPr>
        <w:tblOverlap w:val="neve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173"/>
        <w:gridCol w:w="844"/>
        <w:gridCol w:w="864"/>
        <w:gridCol w:w="759"/>
        <w:gridCol w:w="811"/>
        <w:gridCol w:w="759"/>
        <w:gridCol w:w="811"/>
        <w:gridCol w:w="585"/>
        <w:gridCol w:w="401"/>
        <w:gridCol w:w="585"/>
        <w:gridCol w:w="850"/>
        <w:gridCol w:w="585"/>
      </w:tblGrid>
      <w:tr w:rsidR="003D6506" w:rsidRPr="00811AF2" w14:paraId="1BF78CEA" w14:textId="77777777" w:rsidTr="000C5DDA">
        <w:trPr>
          <w:trHeight w:val="283"/>
          <w:jc w:val="center"/>
        </w:trPr>
        <w:tc>
          <w:tcPr>
            <w:tcW w:w="1268" w:type="dxa"/>
            <w:tcBorders>
              <w:bottom w:val="nil"/>
            </w:tcBorders>
            <w:shd w:val="clear" w:color="auto" w:fill="auto"/>
            <w:vAlign w:val="center"/>
          </w:tcPr>
          <w:p w14:paraId="2B533AF0" w14:textId="77777777" w:rsidR="003D6506" w:rsidRPr="00ED5BA7" w:rsidRDefault="003D6506" w:rsidP="002C5106">
            <w:pPr>
              <w:pStyle w:val="Tabletext"/>
              <w:rPr>
                <w:sz w:val="18"/>
                <w:szCs w:val="18"/>
              </w:rPr>
            </w:pPr>
          </w:p>
        </w:tc>
        <w:tc>
          <w:tcPr>
            <w:tcW w:w="835" w:type="dxa"/>
            <w:tcBorders>
              <w:bottom w:val="nil"/>
            </w:tcBorders>
            <w:shd w:val="clear" w:color="auto" w:fill="auto"/>
            <w:tcMar>
              <w:top w:w="28" w:type="dxa"/>
              <w:left w:w="102" w:type="dxa"/>
              <w:bottom w:w="28" w:type="dxa"/>
              <w:right w:w="102" w:type="dxa"/>
            </w:tcMar>
            <w:vAlign w:val="center"/>
          </w:tcPr>
          <w:p w14:paraId="3308D803" w14:textId="77777777" w:rsidR="003D6506" w:rsidRDefault="003D6506" w:rsidP="002C5106">
            <w:pPr>
              <w:pStyle w:val="Tabletext"/>
              <w:jc w:val="center"/>
              <w:rPr>
                <w:sz w:val="18"/>
                <w:szCs w:val="18"/>
                <w:lang w:eastAsia="ko-KR"/>
              </w:rPr>
            </w:pPr>
          </w:p>
        </w:tc>
        <w:tc>
          <w:tcPr>
            <w:tcW w:w="855" w:type="dxa"/>
            <w:tcBorders>
              <w:bottom w:val="nil"/>
            </w:tcBorders>
            <w:shd w:val="clear" w:color="auto" w:fill="auto"/>
            <w:tcMar>
              <w:top w:w="28" w:type="dxa"/>
              <w:left w:w="102" w:type="dxa"/>
              <w:bottom w:w="28" w:type="dxa"/>
              <w:right w:w="102" w:type="dxa"/>
            </w:tcMar>
            <w:vAlign w:val="center"/>
          </w:tcPr>
          <w:p w14:paraId="7553C839" w14:textId="77777777" w:rsidR="003D6506" w:rsidRDefault="003D6506" w:rsidP="002C5106">
            <w:pPr>
              <w:pStyle w:val="Tabletext"/>
              <w:jc w:val="center"/>
              <w:rPr>
                <w:sz w:val="18"/>
                <w:szCs w:val="18"/>
                <w:lang w:eastAsia="ko-KR"/>
              </w:rPr>
            </w:pPr>
          </w:p>
        </w:tc>
        <w:tc>
          <w:tcPr>
            <w:tcW w:w="751" w:type="dxa"/>
            <w:tcBorders>
              <w:bottom w:val="nil"/>
            </w:tcBorders>
            <w:shd w:val="clear" w:color="auto" w:fill="auto"/>
            <w:vAlign w:val="center"/>
          </w:tcPr>
          <w:p w14:paraId="2A352A72" w14:textId="77777777" w:rsidR="003D6506" w:rsidRPr="00ED5BA7" w:rsidRDefault="003D6506" w:rsidP="002C5106">
            <w:pPr>
              <w:pStyle w:val="Tabletext"/>
              <w:jc w:val="center"/>
              <w:rPr>
                <w:sz w:val="18"/>
                <w:szCs w:val="18"/>
              </w:rPr>
            </w:pPr>
          </w:p>
        </w:tc>
        <w:tc>
          <w:tcPr>
            <w:tcW w:w="5318" w:type="dxa"/>
            <w:gridSpan w:val="8"/>
            <w:shd w:val="clear" w:color="auto" w:fill="auto"/>
            <w:vAlign w:val="center"/>
          </w:tcPr>
          <w:p w14:paraId="54AA1514" w14:textId="5944782E" w:rsidR="003D6506" w:rsidRPr="00ED5BA7" w:rsidRDefault="003D6506" w:rsidP="002C5106">
            <w:pPr>
              <w:pStyle w:val="Tabletext"/>
              <w:jc w:val="center"/>
              <w:rPr>
                <w:sz w:val="18"/>
                <w:szCs w:val="18"/>
                <w:lang w:eastAsia="ko-KR"/>
              </w:rPr>
            </w:pPr>
            <w:r>
              <w:rPr>
                <w:sz w:val="18"/>
                <w:szCs w:val="18"/>
                <w:lang w:eastAsia="ko-KR"/>
              </w:rPr>
              <w:t xml:space="preserve">Capacity </w:t>
            </w:r>
            <w:r w:rsidR="00A97C58">
              <w:rPr>
                <w:sz w:val="18"/>
                <w:szCs w:val="18"/>
                <w:lang w:eastAsia="ko-KR"/>
              </w:rPr>
              <w:t>Excluded</w:t>
            </w:r>
            <w:r>
              <w:rPr>
                <w:sz w:val="18"/>
                <w:szCs w:val="18"/>
                <w:lang w:eastAsia="ko-KR"/>
              </w:rPr>
              <w:t xml:space="preserve"> by Each </w:t>
            </w:r>
            <w:r>
              <w:rPr>
                <w:rFonts w:hint="eastAsia"/>
                <w:sz w:val="18"/>
                <w:szCs w:val="18"/>
                <w:lang w:eastAsia="ko-KR"/>
              </w:rPr>
              <w:t>S</w:t>
            </w:r>
            <w:r>
              <w:rPr>
                <w:sz w:val="18"/>
                <w:szCs w:val="18"/>
                <w:lang w:eastAsia="ko-KR"/>
              </w:rPr>
              <w:t>iting Criterion</w:t>
            </w:r>
          </w:p>
        </w:tc>
      </w:tr>
      <w:tr w:rsidR="000C5DDA" w:rsidRPr="00811AF2" w14:paraId="4A170F70" w14:textId="77777777" w:rsidTr="000C5DDA">
        <w:trPr>
          <w:trHeight w:val="283"/>
          <w:jc w:val="center"/>
        </w:trPr>
        <w:tc>
          <w:tcPr>
            <w:tcW w:w="1268" w:type="dxa"/>
            <w:tcBorders>
              <w:top w:val="nil"/>
            </w:tcBorders>
            <w:shd w:val="clear" w:color="auto" w:fill="auto"/>
            <w:vAlign w:val="center"/>
            <w:hideMark/>
          </w:tcPr>
          <w:p w14:paraId="02E5AF06" w14:textId="77777777" w:rsidR="003D6506" w:rsidRPr="00ED5BA7" w:rsidRDefault="003D6506" w:rsidP="002C5106">
            <w:pPr>
              <w:pStyle w:val="Tabletext"/>
              <w:rPr>
                <w:rFonts w:eastAsia="굴림"/>
                <w:color w:val="000000"/>
                <w:spacing w:val="-14"/>
                <w:w w:val="99"/>
                <w:sz w:val="18"/>
                <w:szCs w:val="18"/>
                <w:lang w:val="en-US" w:eastAsia="ko-KR"/>
              </w:rPr>
            </w:pPr>
            <w:r w:rsidRPr="00ED5BA7">
              <w:rPr>
                <w:sz w:val="18"/>
                <w:szCs w:val="18"/>
              </w:rPr>
              <w:t xml:space="preserve">　</w:t>
            </w:r>
            <w:r>
              <w:rPr>
                <w:rFonts w:hint="eastAsia"/>
                <w:sz w:val="18"/>
                <w:szCs w:val="18"/>
                <w:lang w:eastAsia="ko-KR"/>
              </w:rPr>
              <w:t>C</w:t>
            </w:r>
            <w:r>
              <w:rPr>
                <w:sz w:val="18"/>
                <w:szCs w:val="18"/>
                <w:lang w:eastAsia="ko-KR"/>
              </w:rPr>
              <w:t>ountry</w:t>
            </w:r>
          </w:p>
        </w:tc>
        <w:tc>
          <w:tcPr>
            <w:tcW w:w="835" w:type="dxa"/>
            <w:tcBorders>
              <w:top w:val="nil"/>
            </w:tcBorders>
            <w:shd w:val="clear" w:color="auto" w:fill="auto"/>
            <w:tcMar>
              <w:top w:w="28" w:type="dxa"/>
              <w:left w:w="102" w:type="dxa"/>
              <w:bottom w:w="28" w:type="dxa"/>
              <w:right w:w="102" w:type="dxa"/>
            </w:tcMar>
            <w:vAlign w:val="center"/>
          </w:tcPr>
          <w:p w14:paraId="40782DA1" w14:textId="77777777" w:rsidR="003D6506" w:rsidRPr="00ED5BA7" w:rsidRDefault="003D6506" w:rsidP="002C5106">
            <w:pPr>
              <w:pStyle w:val="Tabletext"/>
              <w:jc w:val="center"/>
              <w:rPr>
                <w:sz w:val="18"/>
                <w:szCs w:val="18"/>
                <w:lang w:eastAsia="ko-KR"/>
              </w:rPr>
            </w:pPr>
            <w:r>
              <w:rPr>
                <w:rFonts w:hint="eastAsia"/>
                <w:sz w:val="18"/>
                <w:szCs w:val="18"/>
                <w:lang w:eastAsia="ko-KR"/>
              </w:rPr>
              <w:t>C</w:t>
            </w:r>
            <w:r>
              <w:rPr>
                <w:sz w:val="18"/>
                <w:szCs w:val="18"/>
                <w:lang w:eastAsia="ko-KR"/>
              </w:rPr>
              <w:t>oal Capacity</w:t>
            </w:r>
          </w:p>
          <w:p w14:paraId="5D7B5906" w14:textId="77777777" w:rsidR="003D6506" w:rsidRPr="00ED5BA7" w:rsidRDefault="003D6506" w:rsidP="002C5106">
            <w:pPr>
              <w:pStyle w:val="Tabletext"/>
              <w:jc w:val="center"/>
              <w:rPr>
                <w:sz w:val="18"/>
                <w:szCs w:val="18"/>
              </w:rPr>
            </w:pPr>
            <w:r w:rsidRPr="00ED5BA7">
              <w:rPr>
                <w:sz w:val="18"/>
                <w:szCs w:val="18"/>
              </w:rPr>
              <w:t>(a)</w:t>
            </w:r>
          </w:p>
        </w:tc>
        <w:tc>
          <w:tcPr>
            <w:tcW w:w="855" w:type="dxa"/>
            <w:tcBorders>
              <w:top w:val="nil"/>
            </w:tcBorders>
            <w:shd w:val="clear" w:color="auto" w:fill="auto"/>
            <w:tcMar>
              <w:top w:w="28" w:type="dxa"/>
              <w:left w:w="102" w:type="dxa"/>
              <w:bottom w:w="28" w:type="dxa"/>
              <w:right w:w="102" w:type="dxa"/>
            </w:tcMar>
            <w:vAlign w:val="center"/>
          </w:tcPr>
          <w:p w14:paraId="60131C5C" w14:textId="77777777" w:rsidR="003D6506" w:rsidRDefault="003D6506" w:rsidP="002C5106">
            <w:pPr>
              <w:pStyle w:val="Tabletext"/>
              <w:jc w:val="center"/>
              <w:rPr>
                <w:sz w:val="18"/>
                <w:szCs w:val="18"/>
                <w:lang w:eastAsia="ko-KR"/>
              </w:rPr>
            </w:pPr>
            <w:r>
              <w:rPr>
                <w:rFonts w:hint="eastAsia"/>
                <w:sz w:val="18"/>
                <w:szCs w:val="18"/>
                <w:lang w:eastAsia="ko-KR"/>
              </w:rPr>
              <w:t>S</w:t>
            </w:r>
            <w:r>
              <w:rPr>
                <w:sz w:val="18"/>
                <w:szCs w:val="18"/>
                <w:lang w:eastAsia="ko-KR"/>
              </w:rPr>
              <w:t>creened</w:t>
            </w:r>
          </w:p>
          <w:p w14:paraId="5833E5D0" w14:textId="77777777" w:rsidR="003D6506" w:rsidRPr="00ED5BA7" w:rsidRDefault="003D6506" w:rsidP="002C5106">
            <w:pPr>
              <w:pStyle w:val="Tabletext"/>
              <w:jc w:val="center"/>
              <w:rPr>
                <w:sz w:val="18"/>
                <w:szCs w:val="18"/>
                <w:lang w:eastAsia="ko-KR"/>
              </w:rPr>
            </w:pPr>
            <w:r>
              <w:rPr>
                <w:rFonts w:hint="eastAsia"/>
                <w:sz w:val="18"/>
                <w:szCs w:val="18"/>
                <w:lang w:eastAsia="ko-KR"/>
              </w:rPr>
              <w:t>C</w:t>
            </w:r>
            <w:r>
              <w:rPr>
                <w:sz w:val="18"/>
                <w:szCs w:val="18"/>
                <w:lang w:eastAsia="ko-KR"/>
              </w:rPr>
              <w:t>apacity</w:t>
            </w:r>
          </w:p>
          <w:p w14:paraId="5A044815" w14:textId="77777777" w:rsidR="003D6506" w:rsidRPr="00ED5BA7" w:rsidRDefault="003D6506" w:rsidP="002C5106">
            <w:pPr>
              <w:pStyle w:val="Tabletext"/>
              <w:jc w:val="center"/>
              <w:rPr>
                <w:sz w:val="18"/>
                <w:szCs w:val="18"/>
              </w:rPr>
            </w:pPr>
            <w:r w:rsidRPr="00ED5BA7">
              <w:rPr>
                <w:sz w:val="18"/>
                <w:szCs w:val="18"/>
              </w:rPr>
              <w:t>(b)</w:t>
            </w:r>
          </w:p>
        </w:tc>
        <w:tc>
          <w:tcPr>
            <w:tcW w:w="751" w:type="dxa"/>
            <w:tcBorders>
              <w:top w:val="nil"/>
            </w:tcBorders>
            <w:shd w:val="clear" w:color="auto" w:fill="auto"/>
            <w:vAlign w:val="center"/>
          </w:tcPr>
          <w:p w14:paraId="714E4091" w14:textId="77777777" w:rsidR="003D6506" w:rsidRPr="00ED5BA7" w:rsidRDefault="003D6506" w:rsidP="002C5106">
            <w:pPr>
              <w:pStyle w:val="Tabletext"/>
              <w:jc w:val="center"/>
              <w:rPr>
                <w:sz w:val="18"/>
                <w:szCs w:val="18"/>
              </w:rPr>
            </w:pPr>
            <w:r w:rsidRPr="00ED5BA7">
              <w:rPr>
                <w:sz w:val="18"/>
                <w:szCs w:val="18"/>
              </w:rPr>
              <w:t>(b)/(a)</w:t>
            </w:r>
          </w:p>
        </w:tc>
        <w:tc>
          <w:tcPr>
            <w:tcW w:w="802" w:type="dxa"/>
            <w:shd w:val="clear" w:color="auto" w:fill="auto"/>
            <w:vAlign w:val="center"/>
          </w:tcPr>
          <w:p w14:paraId="620FECF1" w14:textId="77777777" w:rsidR="003D6506" w:rsidRPr="00ED5BA7" w:rsidRDefault="003D6506" w:rsidP="002C5106">
            <w:pPr>
              <w:pStyle w:val="Tabletext"/>
              <w:jc w:val="center"/>
              <w:rPr>
                <w:sz w:val="18"/>
                <w:szCs w:val="18"/>
                <w:lang w:eastAsia="ko-KR"/>
              </w:rPr>
            </w:pPr>
            <w:r>
              <w:rPr>
                <w:rFonts w:hint="eastAsia"/>
                <w:sz w:val="18"/>
                <w:szCs w:val="18"/>
                <w:lang w:eastAsia="ko-KR"/>
              </w:rPr>
              <w:t>P</w:t>
            </w:r>
            <w:r>
              <w:rPr>
                <w:sz w:val="18"/>
                <w:szCs w:val="18"/>
                <w:lang w:eastAsia="ko-KR"/>
              </w:rPr>
              <w:t>opulation</w:t>
            </w:r>
          </w:p>
          <w:p w14:paraId="1801B38B" w14:textId="77777777" w:rsidR="003D6506" w:rsidRPr="00ED5BA7" w:rsidRDefault="003D6506" w:rsidP="002C5106">
            <w:pPr>
              <w:pStyle w:val="Tabletext"/>
              <w:jc w:val="center"/>
              <w:rPr>
                <w:sz w:val="18"/>
                <w:szCs w:val="18"/>
              </w:rPr>
            </w:pPr>
            <w:r w:rsidRPr="00ED5BA7">
              <w:rPr>
                <w:sz w:val="18"/>
                <w:szCs w:val="18"/>
              </w:rPr>
              <w:t>(c)</w:t>
            </w:r>
          </w:p>
        </w:tc>
        <w:tc>
          <w:tcPr>
            <w:tcW w:w="751" w:type="dxa"/>
            <w:shd w:val="clear" w:color="auto" w:fill="auto"/>
            <w:vAlign w:val="center"/>
          </w:tcPr>
          <w:p w14:paraId="145194BF" w14:textId="77777777" w:rsidR="003D6506" w:rsidRPr="00ED5BA7" w:rsidRDefault="003D6506" w:rsidP="002C5106">
            <w:pPr>
              <w:pStyle w:val="Tabletext"/>
              <w:jc w:val="center"/>
              <w:rPr>
                <w:sz w:val="18"/>
                <w:szCs w:val="18"/>
              </w:rPr>
            </w:pPr>
            <w:r w:rsidRPr="00ED5BA7">
              <w:rPr>
                <w:sz w:val="18"/>
                <w:szCs w:val="18"/>
              </w:rPr>
              <w:t>(c)/(a)</w:t>
            </w:r>
          </w:p>
        </w:tc>
        <w:tc>
          <w:tcPr>
            <w:tcW w:w="800" w:type="dxa"/>
            <w:vAlign w:val="center"/>
          </w:tcPr>
          <w:p w14:paraId="18C40E2C" w14:textId="77777777" w:rsidR="003D6506" w:rsidRPr="00ED5BA7" w:rsidRDefault="003D6506" w:rsidP="002C5106">
            <w:pPr>
              <w:pStyle w:val="Tabletext"/>
              <w:jc w:val="center"/>
              <w:rPr>
                <w:sz w:val="18"/>
                <w:szCs w:val="18"/>
                <w:lang w:eastAsia="ko-KR"/>
              </w:rPr>
            </w:pPr>
            <w:r>
              <w:rPr>
                <w:rFonts w:hint="eastAsia"/>
                <w:sz w:val="18"/>
                <w:szCs w:val="18"/>
                <w:lang w:eastAsia="ko-KR"/>
              </w:rPr>
              <w:t>F</w:t>
            </w:r>
            <w:r>
              <w:rPr>
                <w:sz w:val="18"/>
                <w:szCs w:val="18"/>
                <w:lang w:eastAsia="ko-KR"/>
              </w:rPr>
              <w:t>loodplain</w:t>
            </w:r>
          </w:p>
          <w:p w14:paraId="34607CF6" w14:textId="77777777" w:rsidR="003D6506" w:rsidRPr="00ED5BA7" w:rsidRDefault="003D6506" w:rsidP="002C5106">
            <w:pPr>
              <w:pStyle w:val="Tabletext"/>
              <w:jc w:val="center"/>
              <w:rPr>
                <w:sz w:val="18"/>
                <w:szCs w:val="18"/>
              </w:rPr>
            </w:pPr>
            <w:r w:rsidRPr="00ED5BA7">
              <w:rPr>
                <w:sz w:val="18"/>
                <w:szCs w:val="18"/>
              </w:rPr>
              <w:t>(d)</w:t>
            </w:r>
          </w:p>
        </w:tc>
        <w:tc>
          <w:tcPr>
            <w:tcW w:w="577" w:type="dxa"/>
            <w:vAlign w:val="center"/>
          </w:tcPr>
          <w:p w14:paraId="74A6AE13" w14:textId="77777777" w:rsidR="003D6506" w:rsidRPr="00ED5BA7" w:rsidRDefault="003D6506" w:rsidP="002C5106">
            <w:pPr>
              <w:pStyle w:val="Tabletext"/>
              <w:jc w:val="center"/>
              <w:rPr>
                <w:sz w:val="18"/>
                <w:szCs w:val="18"/>
              </w:rPr>
            </w:pPr>
            <w:r w:rsidRPr="00ED5BA7">
              <w:rPr>
                <w:sz w:val="18"/>
                <w:szCs w:val="18"/>
              </w:rPr>
              <w:t>(d)/(a)</w:t>
            </w:r>
          </w:p>
        </w:tc>
        <w:tc>
          <w:tcPr>
            <w:tcW w:w="396" w:type="dxa"/>
            <w:vAlign w:val="center"/>
          </w:tcPr>
          <w:p w14:paraId="3970FE65" w14:textId="77777777" w:rsidR="003D6506" w:rsidRPr="00ED5BA7" w:rsidRDefault="003D6506" w:rsidP="002C5106">
            <w:pPr>
              <w:pStyle w:val="Tabletext"/>
              <w:jc w:val="center"/>
              <w:rPr>
                <w:sz w:val="18"/>
                <w:szCs w:val="18"/>
                <w:lang w:eastAsia="ko-KR"/>
              </w:rPr>
            </w:pPr>
            <w:r>
              <w:rPr>
                <w:rFonts w:hint="eastAsia"/>
                <w:sz w:val="18"/>
                <w:szCs w:val="18"/>
                <w:lang w:eastAsia="ko-KR"/>
              </w:rPr>
              <w:t>F</w:t>
            </w:r>
            <w:r>
              <w:rPr>
                <w:sz w:val="18"/>
                <w:szCs w:val="18"/>
                <w:lang w:eastAsia="ko-KR"/>
              </w:rPr>
              <w:t>ault Line</w:t>
            </w:r>
          </w:p>
          <w:p w14:paraId="3EDC4D52" w14:textId="77777777" w:rsidR="003D6506" w:rsidRPr="00ED5BA7" w:rsidRDefault="003D6506" w:rsidP="002C5106">
            <w:pPr>
              <w:pStyle w:val="Tabletext"/>
              <w:jc w:val="center"/>
              <w:rPr>
                <w:sz w:val="18"/>
                <w:szCs w:val="18"/>
              </w:rPr>
            </w:pPr>
            <w:r w:rsidRPr="00ED5BA7">
              <w:rPr>
                <w:sz w:val="18"/>
                <w:szCs w:val="18"/>
              </w:rPr>
              <w:t>(e)</w:t>
            </w:r>
          </w:p>
        </w:tc>
        <w:tc>
          <w:tcPr>
            <w:tcW w:w="577" w:type="dxa"/>
            <w:vAlign w:val="center"/>
          </w:tcPr>
          <w:p w14:paraId="248F1A75" w14:textId="77777777" w:rsidR="003D6506" w:rsidRPr="00ED5BA7" w:rsidRDefault="003D6506" w:rsidP="002C5106">
            <w:pPr>
              <w:pStyle w:val="Tabletext"/>
              <w:jc w:val="center"/>
              <w:rPr>
                <w:sz w:val="18"/>
                <w:szCs w:val="18"/>
              </w:rPr>
            </w:pPr>
            <w:r w:rsidRPr="00ED5BA7">
              <w:rPr>
                <w:sz w:val="18"/>
                <w:szCs w:val="18"/>
              </w:rPr>
              <w:t>(e)/(a)</w:t>
            </w:r>
          </w:p>
        </w:tc>
        <w:tc>
          <w:tcPr>
            <w:tcW w:w="838" w:type="dxa"/>
            <w:vAlign w:val="center"/>
          </w:tcPr>
          <w:p w14:paraId="20F6C1EA" w14:textId="77777777" w:rsidR="003D6506" w:rsidRPr="00ED5BA7" w:rsidRDefault="003D6506" w:rsidP="002C5106">
            <w:pPr>
              <w:pStyle w:val="Tabletext"/>
              <w:jc w:val="center"/>
              <w:rPr>
                <w:sz w:val="18"/>
                <w:szCs w:val="18"/>
                <w:lang w:eastAsia="ko-KR"/>
              </w:rPr>
            </w:pPr>
            <w:r>
              <w:rPr>
                <w:rFonts w:hint="eastAsia"/>
                <w:sz w:val="18"/>
                <w:szCs w:val="18"/>
                <w:lang w:eastAsia="ko-KR"/>
              </w:rPr>
              <w:t>S</w:t>
            </w:r>
            <w:r>
              <w:rPr>
                <w:sz w:val="18"/>
                <w:szCs w:val="18"/>
                <w:lang w:eastAsia="ko-KR"/>
              </w:rPr>
              <w:t>afe Shutdwon Earthquake</w:t>
            </w:r>
          </w:p>
          <w:p w14:paraId="3579E575" w14:textId="77777777" w:rsidR="003D6506" w:rsidRPr="00ED5BA7" w:rsidRDefault="003D6506" w:rsidP="002C5106">
            <w:pPr>
              <w:pStyle w:val="Tabletext"/>
              <w:jc w:val="center"/>
              <w:rPr>
                <w:sz w:val="18"/>
                <w:szCs w:val="18"/>
                <w:lang w:eastAsia="ko-KR"/>
              </w:rPr>
            </w:pPr>
            <w:r w:rsidRPr="00ED5BA7">
              <w:rPr>
                <w:sz w:val="18"/>
                <w:szCs w:val="18"/>
                <w:lang w:eastAsia="ko-KR"/>
              </w:rPr>
              <w:t>(f)</w:t>
            </w:r>
          </w:p>
        </w:tc>
        <w:tc>
          <w:tcPr>
            <w:tcW w:w="577" w:type="dxa"/>
            <w:vAlign w:val="center"/>
          </w:tcPr>
          <w:p w14:paraId="20647CDE" w14:textId="77777777" w:rsidR="003D6506" w:rsidRPr="00ED5BA7" w:rsidRDefault="003D6506" w:rsidP="002C5106">
            <w:pPr>
              <w:pStyle w:val="Tabletext"/>
              <w:jc w:val="center"/>
              <w:rPr>
                <w:sz w:val="18"/>
                <w:szCs w:val="18"/>
              </w:rPr>
            </w:pPr>
            <w:r w:rsidRPr="00ED5BA7">
              <w:rPr>
                <w:sz w:val="18"/>
                <w:szCs w:val="18"/>
              </w:rPr>
              <w:t>(f)/(a)</w:t>
            </w:r>
          </w:p>
        </w:tc>
      </w:tr>
      <w:tr w:rsidR="000C5DDA" w:rsidRPr="00811AF2" w14:paraId="22EAC45E"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71B81DC4" w14:textId="723C16A8" w:rsidR="000C5DDA" w:rsidRPr="000C5DDA" w:rsidRDefault="000C5DDA" w:rsidP="000C5DDA">
            <w:pPr>
              <w:pStyle w:val="Tabletext"/>
              <w:rPr>
                <w:rFonts w:eastAsia="굴림"/>
                <w:color w:val="000000"/>
                <w:spacing w:val="-10"/>
                <w:w w:val="99"/>
                <w:sz w:val="18"/>
                <w:szCs w:val="18"/>
                <w:lang w:val="en-US" w:eastAsia="ko-KR"/>
              </w:rPr>
            </w:pPr>
            <w:r>
              <w:rPr>
                <w:sz w:val="18"/>
                <w:szCs w:val="18"/>
                <w:lang w:eastAsia="ko-KR"/>
              </w:rPr>
              <w:t>Australia</w:t>
            </w:r>
          </w:p>
        </w:tc>
        <w:tc>
          <w:tcPr>
            <w:tcW w:w="835" w:type="dxa"/>
            <w:shd w:val="clear" w:color="auto" w:fill="auto"/>
            <w:tcMar>
              <w:top w:w="28" w:type="dxa"/>
              <w:left w:w="102" w:type="dxa"/>
              <w:bottom w:w="28" w:type="dxa"/>
              <w:right w:w="102" w:type="dxa"/>
            </w:tcMar>
            <w:vAlign w:val="center"/>
          </w:tcPr>
          <w:p w14:paraId="3F5ADF7D" w14:textId="2C8B767B" w:rsidR="000C5DDA" w:rsidRPr="000C5DDA" w:rsidRDefault="000C5DDA" w:rsidP="000C5DDA">
            <w:pPr>
              <w:pStyle w:val="Tabletext"/>
              <w:jc w:val="center"/>
              <w:rPr>
                <w:sz w:val="18"/>
                <w:szCs w:val="18"/>
              </w:rPr>
            </w:pPr>
            <w:r w:rsidRPr="000C5DDA">
              <w:rPr>
                <w:sz w:val="18"/>
                <w:szCs w:val="18"/>
              </w:rPr>
              <w:t>23.9</w:t>
            </w:r>
          </w:p>
        </w:tc>
        <w:tc>
          <w:tcPr>
            <w:tcW w:w="855" w:type="dxa"/>
            <w:shd w:val="clear" w:color="auto" w:fill="auto"/>
            <w:tcMar>
              <w:top w:w="28" w:type="dxa"/>
              <w:left w:w="102" w:type="dxa"/>
              <w:bottom w:w="28" w:type="dxa"/>
              <w:right w:w="102" w:type="dxa"/>
            </w:tcMar>
            <w:vAlign w:val="center"/>
          </w:tcPr>
          <w:p w14:paraId="1C3C9ED8" w14:textId="0F92E4FB" w:rsidR="000C5DDA" w:rsidRPr="000C5DDA" w:rsidRDefault="000C5DDA" w:rsidP="000C5DDA">
            <w:pPr>
              <w:pStyle w:val="Tabletext"/>
              <w:jc w:val="center"/>
              <w:rPr>
                <w:sz w:val="18"/>
                <w:szCs w:val="18"/>
              </w:rPr>
            </w:pPr>
            <w:r w:rsidRPr="000C5DDA">
              <w:rPr>
                <w:sz w:val="18"/>
                <w:szCs w:val="18"/>
              </w:rPr>
              <w:t>7.7</w:t>
            </w:r>
          </w:p>
        </w:tc>
        <w:tc>
          <w:tcPr>
            <w:tcW w:w="751" w:type="dxa"/>
            <w:shd w:val="clear" w:color="auto" w:fill="auto"/>
            <w:tcMar>
              <w:top w:w="28" w:type="dxa"/>
              <w:left w:w="102" w:type="dxa"/>
              <w:bottom w:w="28" w:type="dxa"/>
              <w:right w:w="102" w:type="dxa"/>
            </w:tcMar>
            <w:vAlign w:val="center"/>
          </w:tcPr>
          <w:p w14:paraId="5CA6958A" w14:textId="3F299FB8" w:rsidR="000C5DDA" w:rsidRPr="000C5DDA" w:rsidRDefault="000C5DDA" w:rsidP="000C5DDA">
            <w:pPr>
              <w:pStyle w:val="Tabletext"/>
              <w:jc w:val="center"/>
              <w:rPr>
                <w:sz w:val="18"/>
                <w:szCs w:val="18"/>
              </w:rPr>
            </w:pPr>
            <w:r w:rsidRPr="000C5DDA">
              <w:rPr>
                <w:sz w:val="18"/>
                <w:szCs w:val="18"/>
              </w:rPr>
              <w:t>32.2%</w:t>
            </w:r>
          </w:p>
        </w:tc>
        <w:tc>
          <w:tcPr>
            <w:tcW w:w="802" w:type="dxa"/>
            <w:shd w:val="clear" w:color="auto" w:fill="auto"/>
            <w:tcMar>
              <w:top w:w="28" w:type="dxa"/>
              <w:left w:w="102" w:type="dxa"/>
              <w:bottom w:w="28" w:type="dxa"/>
              <w:right w:w="102" w:type="dxa"/>
            </w:tcMar>
            <w:vAlign w:val="center"/>
          </w:tcPr>
          <w:p w14:paraId="7DC3BD80" w14:textId="6B8D62A4" w:rsidR="000C5DDA" w:rsidRPr="000C5DDA" w:rsidRDefault="000C5DDA" w:rsidP="000C5DDA">
            <w:pPr>
              <w:pStyle w:val="Tabletext"/>
              <w:jc w:val="center"/>
              <w:rPr>
                <w:sz w:val="18"/>
                <w:szCs w:val="18"/>
              </w:rPr>
            </w:pPr>
            <w:r w:rsidRPr="000C5DDA">
              <w:rPr>
                <w:sz w:val="18"/>
                <w:szCs w:val="18"/>
              </w:rPr>
              <w:t>12.0</w:t>
            </w:r>
          </w:p>
        </w:tc>
        <w:tc>
          <w:tcPr>
            <w:tcW w:w="751" w:type="dxa"/>
            <w:shd w:val="clear" w:color="auto" w:fill="auto"/>
            <w:tcMar>
              <w:top w:w="28" w:type="dxa"/>
              <w:left w:w="102" w:type="dxa"/>
              <w:bottom w:w="28" w:type="dxa"/>
              <w:right w:w="102" w:type="dxa"/>
            </w:tcMar>
            <w:vAlign w:val="center"/>
          </w:tcPr>
          <w:p w14:paraId="5949C6B1" w14:textId="7AEE3B32" w:rsidR="000C5DDA" w:rsidRPr="000C5DDA" w:rsidRDefault="000C5DDA" w:rsidP="000C5DDA">
            <w:pPr>
              <w:pStyle w:val="Tabletext"/>
              <w:jc w:val="center"/>
              <w:rPr>
                <w:sz w:val="18"/>
                <w:szCs w:val="18"/>
              </w:rPr>
            </w:pPr>
            <w:r w:rsidRPr="000C5DDA">
              <w:rPr>
                <w:sz w:val="18"/>
                <w:szCs w:val="18"/>
              </w:rPr>
              <w:t>50.3%</w:t>
            </w:r>
          </w:p>
        </w:tc>
        <w:tc>
          <w:tcPr>
            <w:tcW w:w="800" w:type="dxa"/>
            <w:vAlign w:val="center"/>
          </w:tcPr>
          <w:p w14:paraId="7E58636A" w14:textId="677D253C"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1FEAE806" w14:textId="75B8CB86"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11D3F43E" w14:textId="2E4CCBDB" w:rsidR="000C5DDA" w:rsidRPr="000C5DDA" w:rsidRDefault="000C5DDA" w:rsidP="000C5DDA">
            <w:pPr>
              <w:pStyle w:val="Tabletext"/>
              <w:jc w:val="center"/>
              <w:rPr>
                <w:sz w:val="18"/>
                <w:szCs w:val="18"/>
              </w:rPr>
            </w:pPr>
            <w:r w:rsidRPr="000C5DDA">
              <w:rPr>
                <w:sz w:val="18"/>
                <w:szCs w:val="18"/>
              </w:rPr>
              <w:t>14.8</w:t>
            </w:r>
          </w:p>
        </w:tc>
        <w:tc>
          <w:tcPr>
            <w:tcW w:w="577" w:type="dxa"/>
            <w:vAlign w:val="center"/>
          </w:tcPr>
          <w:p w14:paraId="0B4D9BA2" w14:textId="405CDDF7" w:rsidR="000C5DDA" w:rsidRPr="000C5DDA" w:rsidRDefault="000C5DDA" w:rsidP="000C5DDA">
            <w:pPr>
              <w:pStyle w:val="Tabletext"/>
              <w:jc w:val="center"/>
              <w:rPr>
                <w:sz w:val="18"/>
                <w:szCs w:val="18"/>
              </w:rPr>
            </w:pPr>
            <w:r w:rsidRPr="000C5DDA">
              <w:rPr>
                <w:sz w:val="18"/>
                <w:szCs w:val="18"/>
              </w:rPr>
              <w:t>61.8%</w:t>
            </w:r>
          </w:p>
        </w:tc>
        <w:tc>
          <w:tcPr>
            <w:tcW w:w="838" w:type="dxa"/>
            <w:vAlign w:val="center"/>
          </w:tcPr>
          <w:p w14:paraId="3B5856AA" w14:textId="5BCD7B7B"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4701962B" w14:textId="289D327B" w:rsidR="000C5DDA" w:rsidRPr="000C5DDA" w:rsidRDefault="000C5DDA" w:rsidP="000C5DDA">
            <w:pPr>
              <w:pStyle w:val="Tabletext"/>
              <w:jc w:val="center"/>
              <w:rPr>
                <w:sz w:val="18"/>
                <w:szCs w:val="18"/>
              </w:rPr>
            </w:pPr>
            <w:r w:rsidRPr="000C5DDA">
              <w:rPr>
                <w:sz w:val="18"/>
                <w:szCs w:val="18"/>
              </w:rPr>
              <w:t>0.0%</w:t>
            </w:r>
          </w:p>
        </w:tc>
      </w:tr>
      <w:tr w:rsidR="000C5DDA" w:rsidRPr="00811AF2" w14:paraId="43531789"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7AE60615" w14:textId="77777777" w:rsidR="000C5DDA" w:rsidRDefault="000C5DDA" w:rsidP="000C5DDA">
            <w:pPr>
              <w:pStyle w:val="Tabletext"/>
              <w:rPr>
                <w:sz w:val="18"/>
                <w:szCs w:val="18"/>
                <w:lang w:eastAsia="ko-KR"/>
              </w:rPr>
            </w:pPr>
            <w:r w:rsidRPr="000C5DDA">
              <w:rPr>
                <w:sz w:val="18"/>
                <w:szCs w:val="18"/>
                <w:lang w:eastAsia="ko-KR"/>
              </w:rPr>
              <w:t>Bosnia and</w:t>
            </w:r>
          </w:p>
          <w:p w14:paraId="237C0E56" w14:textId="65844751" w:rsidR="000C5DDA" w:rsidRPr="000C5DDA" w:rsidRDefault="000C5DDA" w:rsidP="000C5DDA">
            <w:pPr>
              <w:pStyle w:val="Tabletext"/>
              <w:rPr>
                <w:rFonts w:eastAsia="굴림"/>
                <w:color w:val="000000"/>
                <w:spacing w:val="-10"/>
                <w:w w:val="99"/>
                <w:sz w:val="18"/>
                <w:szCs w:val="18"/>
                <w:lang w:val="en-US" w:eastAsia="ko-KR"/>
              </w:rPr>
            </w:pPr>
            <w:r w:rsidRPr="000C5DDA">
              <w:rPr>
                <w:sz w:val="18"/>
                <w:szCs w:val="18"/>
                <w:lang w:eastAsia="ko-KR"/>
              </w:rPr>
              <w:t>Herzegovina,</w:t>
            </w:r>
          </w:p>
        </w:tc>
        <w:tc>
          <w:tcPr>
            <w:tcW w:w="835" w:type="dxa"/>
            <w:shd w:val="clear" w:color="auto" w:fill="auto"/>
            <w:tcMar>
              <w:top w:w="28" w:type="dxa"/>
              <w:left w:w="102" w:type="dxa"/>
              <w:bottom w:w="28" w:type="dxa"/>
              <w:right w:w="102" w:type="dxa"/>
            </w:tcMar>
            <w:vAlign w:val="center"/>
          </w:tcPr>
          <w:p w14:paraId="693EB7F4" w14:textId="1EE5E281" w:rsidR="000C5DDA" w:rsidRPr="000C5DDA" w:rsidRDefault="000C5DDA" w:rsidP="000C5DDA">
            <w:pPr>
              <w:pStyle w:val="Tabletext"/>
              <w:jc w:val="center"/>
              <w:rPr>
                <w:sz w:val="18"/>
                <w:szCs w:val="18"/>
              </w:rPr>
            </w:pPr>
            <w:r w:rsidRPr="000C5DDA">
              <w:rPr>
                <w:sz w:val="18"/>
                <w:szCs w:val="18"/>
              </w:rPr>
              <w:t>0.7</w:t>
            </w:r>
          </w:p>
        </w:tc>
        <w:tc>
          <w:tcPr>
            <w:tcW w:w="855" w:type="dxa"/>
            <w:shd w:val="clear" w:color="auto" w:fill="auto"/>
            <w:tcMar>
              <w:top w:w="28" w:type="dxa"/>
              <w:left w:w="102" w:type="dxa"/>
              <w:bottom w:w="28" w:type="dxa"/>
              <w:right w:w="102" w:type="dxa"/>
            </w:tcMar>
            <w:vAlign w:val="center"/>
          </w:tcPr>
          <w:p w14:paraId="26240D1E" w14:textId="5355C676"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50180CF1" w14:textId="798B48B3"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45B5599C" w14:textId="58F33FC1" w:rsidR="000C5DDA" w:rsidRPr="000C5DDA" w:rsidRDefault="000C5DDA" w:rsidP="000C5DDA">
            <w:pPr>
              <w:pStyle w:val="Tabletext"/>
              <w:jc w:val="center"/>
              <w:rPr>
                <w:sz w:val="18"/>
                <w:szCs w:val="18"/>
              </w:rPr>
            </w:pPr>
            <w:r w:rsidRPr="000C5DDA">
              <w:rPr>
                <w:sz w:val="18"/>
                <w:szCs w:val="18"/>
              </w:rPr>
              <w:t>0.7</w:t>
            </w:r>
          </w:p>
        </w:tc>
        <w:tc>
          <w:tcPr>
            <w:tcW w:w="751" w:type="dxa"/>
            <w:shd w:val="clear" w:color="auto" w:fill="auto"/>
            <w:tcMar>
              <w:top w:w="28" w:type="dxa"/>
              <w:left w:w="102" w:type="dxa"/>
              <w:bottom w:w="28" w:type="dxa"/>
              <w:right w:w="102" w:type="dxa"/>
            </w:tcMar>
            <w:vAlign w:val="center"/>
          </w:tcPr>
          <w:p w14:paraId="593B8A44" w14:textId="1A5AA778"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5C342F50" w14:textId="3E3F0CD4"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5907FD62" w14:textId="76FA4ED5"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229072F8" w14:textId="0EEF31CF" w:rsidR="000C5DDA" w:rsidRPr="000C5DDA" w:rsidRDefault="000C5DDA" w:rsidP="000C5DDA">
            <w:pPr>
              <w:pStyle w:val="Tabletext"/>
              <w:jc w:val="center"/>
              <w:rPr>
                <w:sz w:val="18"/>
                <w:szCs w:val="18"/>
              </w:rPr>
            </w:pPr>
            <w:r w:rsidRPr="000C5DDA">
              <w:rPr>
                <w:sz w:val="18"/>
                <w:szCs w:val="18"/>
              </w:rPr>
              <w:t>0.7</w:t>
            </w:r>
          </w:p>
        </w:tc>
        <w:tc>
          <w:tcPr>
            <w:tcW w:w="577" w:type="dxa"/>
            <w:vAlign w:val="center"/>
          </w:tcPr>
          <w:p w14:paraId="1A9749D2" w14:textId="57479009" w:rsidR="000C5DDA" w:rsidRPr="000C5DDA" w:rsidRDefault="000C5DDA" w:rsidP="000C5DDA">
            <w:pPr>
              <w:pStyle w:val="Tabletext"/>
              <w:jc w:val="center"/>
              <w:rPr>
                <w:sz w:val="18"/>
                <w:szCs w:val="18"/>
              </w:rPr>
            </w:pPr>
            <w:r w:rsidRPr="000C5DDA">
              <w:rPr>
                <w:sz w:val="18"/>
                <w:szCs w:val="18"/>
              </w:rPr>
              <w:t>100.0%</w:t>
            </w:r>
          </w:p>
        </w:tc>
        <w:tc>
          <w:tcPr>
            <w:tcW w:w="838" w:type="dxa"/>
            <w:vAlign w:val="center"/>
          </w:tcPr>
          <w:p w14:paraId="38F7B9D5" w14:textId="59B2BF2B"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12A0F13B" w14:textId="339DB68A" w:rsidR="000C5DDA" w:rsidRPr="000C5DDA" w:rsidRDefault="000C5DDA" w:rsidP="000C5DDA">
            <w:pPr>
              <w:pStyle w:val="Tabletext"/>
              <w:jc w:val="center"/>
              <w:rPr>
                <w:sz w:val="18"/>
                <w:szCs w:val="18"/>
              </w:rPr>
            </w:pPr>
            <w:r w:rsidRPr="000C5DDA">
              <w:rPr>
                <w:sz w:val="18"/>
                <w:szCs w:val="18"/>
              </w:rPr>
              <w:t>0.0%</w:t>
            </w:r>
          </w:p>
        </w:tc>
      </w:tr>
      <w:tr w:rsidR="000C5DDA" w:rsidRPr="00811AF2" w14:paraId="44B349AB"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65BAB7F6" w14:textId="00E4D2A3"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C</w:t>
            </w:r>
            <w:r>
              <w:rPr>
                <w:sz w:val="18"/>
                <w:szCs w:val="18"/>
                <w:lang w:eastAsia="ko-KR"/>
              </w:rPr>
              <w:t>hile</w:t>
            </w:r>
          </w:p>
        </w:tc>
        <w:tc>
          <w:tcPr>
            <w:tcW w:w="835" w:type="dxa"/>
            <w:shd w:val="clear" w:color="auto" w:fill="auto"/>
            <w:tcMar>
              <w:top w:w="28" w:type="dxa"/>
              <w:left w:w="102" w:type="dxa"/>
              <w:bottom w:w="28" w:type="dxa"/>
              <w:right w:w="102" w:type="dxa"/>
            </w:tcMar>
            <w:vAlign w:val="center"/>
          </w:tcPr>
          <w:p w14:paraId="4730465D" w14:textId="127C2040" w:rsidR="000C5DDA" w:rsidRPr="000C5DDA" w:rsidRDefault="000C5DDA" w:rsidP="000C5DDA">
            <w:pPr>
              <w:pStyle w:val="Tabletext"/>
              <w:jc w:val="center"/>
              <w:rPr>
                <w:sz w:val="18"/>
                <w:szCs w:val="18"/>
              </w:rPr>
            </w:pPr>
            <w:r w:rsidRPr="000C5DDA">
              <w:rPr>
                <w:sz w:val="18"/>
                <w:szCs w:val="18"/>
              </w:rPr>
              <w:t>2.4</w:t>
            </w:r>
          </w:p>
        </w:tc>
        <w:tc>
          <w:tcPr>
            <w:tcW w:w="855" w:type="dxa"/>
            <w:shd w:val="clear" w:color="auto" w:fill="auto"/>
            <w:tcMar>
              <w:top w:w="28" w:type="dxa"/>
              <w:left w:w="102" w:type="dxa"/>
              <w:bottom w:w="28" w:type="dxa"/>
              <w:right w:w="102" w:type="dxa"/>
            </w:tcMar>
            <w:vAlign w:val="center"/>
          </w:tcPr>
          <w:p w14:paraId="22082A24" w14:textId="4960E716"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2E455E14" w14:textId="5587944B"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3636E52E" w14:textId="31F76C68" w:rsidR="000C5DDA" w:rsidRPr="000C5DDA" w:rsidRDefault="000C5DDA" w:rsidP="000C5DDA">
            <w:pPr>
              <w:pStyle w:val="Tabletext"/>
              <w:jc w:val="center"/>
              <w:rPr>
                <w:sz w:val="18"/>
                <w:szCs w:val="18"/>
              </w:rPr>
            </w:pPr>
            <w:r w:rsidRPr="000C5DDA">
              <w:rPr>
                <w:sz w:val="18"/>
                <w:szCs w:val="18"/>
              </w:rPr>
              <w:t>2.4</w:t>
            </w:r>
          </w:p>
        </w:tc>
        <w:tc>
          <w:tcPr>
            <w:tcW w:w="751" w:type="dxa"/>
            <w:shd w:val="clear" w:color="auto" w:fill="auto"/>
            <w:tcMar>
              <w:top w:w="28" w:type="dxa"/>
              <w:left w:w="102" w:type="dxa"/>
              <w:bottom w:w="28" w:type="dxa"/>
              <w:right w:w="102" w:type="dxa"/>
            </w:tcMar>
            <w:vAlign w:val="center"/>
          </w:tcPr>
          <w:p w14:paraId="7302ED39" w14:textId="25A55370"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5253A9E7" w14:textId="61E135ED"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6EA9E90B" w14:textId="52E5EA76"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075E3AF1" w14:textId="69A47D2E" w:rsidR="000C5DDA" w:rsidRPr="000C5DDA" w:rsidRDefault="000C5DDA" w:rsidP="000C5DDA">
            <w:pPr>
              <w:pStyle w:val="Tabletext"/>
              <w:jc w:val="center"/>
              <w:rPr>
                <w:sz w:val="18"/>
                <w:szCs w:val="18"/>
              </w:rPr>
            </w:pPr>
            <w:r w:rsidRPr="000C5DDA">
              <w:rPr>
                <w:sz w:val="18"/>
                <w:szCs w:val="18"/>
              </w:rPr>
              <w:t>0.7</w:t>
            </w:r>
          </w:p>
        </w:tc>
        <w:tc>
          <w:tcPr>
            <w:tcW w:w="577" w:type="dxa"/>
            <w:vAlign w:val="center"/>
          </w:tcPr>
          <w:p w14:paraId="4507F16A" w14:textId="07E23C04" w:rsidR="000C5DDA" w:rsidRPr="000C5DDA" w:rsidRDefault="000C5DDA" w:rsidP="000C5DDA">
            <w:pPr>
              <w:pStyle w:val="Tabletext"/>
              <w:jc w:val="center"/>
              <w:rPr>
                <w:sz w:val="18"/>
                <w:szCs w:val="18"/>
              </w:rPr>
            </w:pPr>
            <w:r w:rsidRPr="000C5DDA">
              <w:rPr>
                <w:sz w:val="18"/>
                <w:szCs w:val="18"/>
              </w:rPr>
              <w:t>30.1%</w:t>
            </w:r>
          </w:p>
        </w:tc>
        <w:tc>
          <w:tcPr>
            <w:tcW w:w="838" w:type="dxa"/>
            <w:vAlign w:val="center"/>
          </w:tcPr>
          <w:p w14:paraId="5CC53C62" w14:textId="62543E7A" w:rsidR="000C5DDA" w:rsidRPr="000C5DDA" w:rsidRDefault="000C5DDA" w:rsidP="000C5DDA">
            <w:pPr>
              <w:pStyle w:val="Tabletext"/>
              <w:jc w:val="center"/>
              <w:rPr>
                <w:sz w:val="18"/>
                <w:szCs w:val="18"/>
              </w:rPr>
            </w:pPr>
            <w:r w:rsidRPr="000C5DDA">
              <w:rPr>
                <w:sz w:val="18"/>
                <w:szCs w:val="18"/>
              </w:rPr>
              <w:t>2.4</w:t>
            </w:r>
          </w:p>
        </w:tc>
        <w:tc>
          <w:tcPr>
            <w:tcW w:w="577" w:type="dxa"/>
            <w:vAlign w:val="center"/>
          </w:tcPr>
          <w:p w14:paraId="15AA6361" w14:textId="3FB19807" w:rsidR="000C5DDA" w:rsidRPr="000C5DDA" w:rsidRDefault="000C5DDA" w:rsidP="000C5DDA">
            <w:pPr>
              <w:pStyle w:val="Tabletext"/>
              <w:jc w:val="center"/>
              <w:rPr>
                <w:sz w:val="18"/>
                <w:szCs w:val="18"/>
              </w:rPr>
            </w:pPr>
            <w:r w:rsidRPr="000C5DDA">
              <w:rPr>
                <w:sz w:val="18"/>
                <w:szCs w:val="18"/>
              </w:rPr>
              <w:t>100.0%</w:t>
            </w:r>
          </w:p>
        </w:tc>
      </w:tr>
      <w:tr w:rsidR="000C5DDA" w:rsidRPr="00811AF2" w14:paraId="4F33E14A" w14:textId="77777777" w:rsidTr="000C5DDA">
        <w:trPr>
          <w:trHeight w:val="278"/>
          <w:jc w:val="center"/>
        </w:trPr>
        <w:tc>
          <w:tcPr>
            <w:tcW w:w="1268" w:type="dxa"/>
            <w:shd w:val="clear" w:color="auto" w:fill="auto"/>
            <w:tcMar>
              <w:top w:w="28" w:type="dxa"/>
              <w:left w:w="102" w:type="dxa"/>
              <w:bottom w:w="28" w:type="dxa"/>
              <w:right w:w="102" w:type="dxa"/>
            </w:tcMar>
            <w:vAlign w:val="center"/>
          </w:tcPr>
          <w:p w14:paraId="2D1DFF43" w14:textId="3F0D9BDF" w:rsidR="000C5DDA" w:rsidRPr="000C5DDA" w:rsidRDefault="000C5DDA" w:rsidP="000C5DDA">
            <w:pPr>
              <w:pStyle w:val="Tabletext"/>
              <w:rPr>
                <w:rFonts w:eastAsia="굴림"/>
                <w:color w:val="000000"/>
                <w:spacing w:val="-10"/>
                <w:w w:val="99"/>
                <w:sz w:val="18"/>
                <w:szCs w:val="18"/>
                <w:lang w:val="en-US" w:eastAsia="ko-KR"/>
              </w:rPr>
            </w:pPr>
            <w:r>
              <w:rPr>
                <w:rFonts w:eastAsia="굴림" w:hint="eastAsia"/>
                <w:color w:val="000000"/>
                <w:spacing w:val="-10"/>
                <w:w w:val="99"/>
                <w:sz w:val="18"/>
                <w:szCs w:val="18"/>
                <w:lang w:val="en-US" w:eastAsia="ko-KR"/>
              </w:rPr>
              <w:t>D</w:t>
            </w:r>
            <w:r>
              <w:rPr>
                <w:rFonts w:eastAsia="굴림"/>
                <w:color w:val="000000"/>
                <w:spacing w:val="-10"/>
                <w:w w:val="99"/>
                <w:sz w:val="18"/>
                <w:szCs w:val="18"/>
                <w:lang w:val="en-US" w:eastAsia="ko-KR"/>
              </w:rPr>
              <w:t>enmark</w:t>
            </w:r>
          </w:p>
        </w:tc>
        <w:tc>
          <w:tcPr>
            <w:tcW w:w="835" w:type="dxa"/>
            <w:shd w:val="clear" w:color="auto" w:fill="auto"/>
            <w:tcMar>
              <w:top w:w="28" w:type="dxa"/>
              <w:left w:w="102" w:type="dxa"/>
              <w:bottom w:w="28" w:type="dxa"/>
              <w:right w:w="102" w:type="dxa"/>
            </w:tcMar>
            <w:vAlign w:val="center"/>
          </w:tcPr>
          <w:p w14:paraId="72D67485" w14:textId="00C6A116" w:rsidR="000C5DDA" w:rsidRPr="000C5DDA" w:rsidRDefault="000C5DDA" w:rsidP="000C5DDA">
            <w:pPr>
              <w:pStyle w:val="Tabletext"/>
              <w:jc w:val="center"/>
              <w:rPr>
                <w:sz w:val="18"/>
                <w:szCs w:val="18"/>
              </w:rPr>
            </w:pPr>
            <w:r w:rsidRPr="000C5DDA">
              <w:rPr>
                <w:sz w:val="18"/>
                <w:szCs w:val="18"/>
              </w:rPr>
              <w:t>1.5</w:t>
            </w:r>
          </w:p>
        </w:tc>
        <w:tc>
          <w:tcPr>
            <w:tcW w:w="855" w:type="dxa"/>
            <w:shd w:val="clear" w:color="auto" w:fill="auto"/>
            <w:tcMar>
              <w:top w:w="28" w:type="dxa"/>
              <w:left w:w="102" w:type="dxa"/>
              <w:bottom w:w="28" w:type="dxa"/>
              <w:right w:w="102" w:type="dxa"/>
            </w:tcMar>
            <w:vAlign w:val="center"/>
          </w:tcPr>
          <w:p w14:paraId="28410196" w14:textId="2E12EADB"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60E6A74A" w14:textId="7B189A94"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0BACACE2" w14:textId="63D5B3D8" w:rsidR="000C5DDA" w:rsidRPr="000C5DDA" w:rsidRDefault="000C5DDA" w:rsidP="000C5DDA">
            <w:pPr>
              <w:pStyle w:val="Tabletext"/>
              <w:jc w:val="center"/>
              <w:rPr>
                <w:sz w:val="18"/>
                <w:szCs w:val="18"/>
              </w:rPr>
            </w:pPr>
            <w:r w:rsidRPr="000C5DDA">
              <w:rPr>
                <w:sz w:val="18"/>
                <w:szCs w:val="18"/>
              </w:rPr>
              <w:t>1.5</w:t>
            </w:r>
          </w:p>
        </w:tc>
        <w:tc>
          <w:tcPr>
            <w:tcW w:w="751" w:type="dxa"/>
            <w:shd w:val="clear" w:color="auto" w:fill="auto"/>
            <w:tcMar>
              <w:top w:w="28" w:type="dxa"/>
              <w:left w:w="102" w:type="dxa"/>
              <w:bottom w:w="28" w:type="dxa"/>
              <w:right w:w="102" w:type="dxa"/>
            </w:tcMar>
            <w:vAlign w:val="center"/>
          </w:tcPr>
          <w:p w14:paraId="7A711C43" w14:textId="68A66A43"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60561F17" w14:textId="77F6640C"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62F38CCC" w14:textId="56D67D44"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346D46FA" w14:textId="28E71618"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5F48A8A1" w14:textId="00465733" w:rsidR="000C5DDA" w:rsidRPr="000C5DDA" w:rsidRDefault="000C5DDA" w:rsidP="000C5DDA">
            <w:pPr>
              <w:pStyle w:val="Tabletext"/>
              <w:jc w:val="center"/>
              <w:rPr>
                <w:sz w:val="18"/>
                <w:szCs w:val="18"/>
              </w:rPr>
            </w:pPr>
            <w:r w:rsidRPr="000C5DDA">
              <w:rPr>
                <w:sz w:val="18"/>
                <w:szCs w:val="18"/>
              </w:rPr>
              <w:t>0.0%</w:t>
            </w:r>
          </w:p>
        </w:tc>
        <w:tc>
          <w:tcPr>
            <w:tcW w:w="838" w:type="dxa"/>
            <w:vAlign w:val="center"/>
          </w:tcPr>
          <w:p w14:paraId="017A1118" w14:textId="0427485A"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42EE68B6" w14:textId="52461B30" w:rsidR="000C5DDA" w:rsidRPr="000C5DDA" w:rsidRDefault="000C5DDA" w:rsidP="000C5DDA">
            <w:pPr>
              <w:pStyle w:val="Tabletext"/>
              <w:jc w:val="center"/>
              <w:rPr>
                <w:sz w:val="18"/>
                <w:szCs w:val="18"/>
              </w:rPr>
            </w:pPr>
            <w:r w:rsidRPr="000C5DDA">
              <w:rPr>
                <w:sz w:val="18"/>
                <w:szCs w:val="18"/>
              </w:rPr>
              <w:t>0.0%</w:t>
            </w:r>
          </w:p>
        </w:tc>
      </w:tr>
      <w:tr w:rsidR="000C5DDA" w:rsidRPr="00811AF2" w14:paraId="0859B910"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1456AAA7" w14:textId="1B6ACB0F"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G</w:t>
            </w:r>
            <w:r>
              <w:rPr>
                <w:sz w:val="18"/>
                <w:szCs w:val="18"/>
                <w:lang w:eastAsia="ko-KR"/>
              </w:rPr>
              <w:t>reece</w:t>
            </w:r>
          </w:p>
        </w:tc>
        <w:tc>
          <w:tcPr>
            <w:tcW w:w="835" w:type="dxa"/>
            <w:shd w:val="clear" w:color="auto" w:fill="auto"/>
            <w:tcMar>
              <w:top w:w="28" w:type="dxa"/>
              <w:left w:w="102" w:type="dxa"/>
              <w:bottom w:w="28" w:type="dxa"/>
              <w:right w:w="102" w:type="dxa"/>
            </w:tcMar>
            <w:vAlign w:val="center"/>
          </w:tcPr>
          <w:p w14:paraId="5BDD892E" w14:textId="7831F722" w:rsidR="000C5DDA" w:rsidRPr="000C5DDA" w:rsidRDefault="000C5DDA" w:rsidP="000C5DDA">
            <w:pPr>
              <w:pStyle w:val="Tabletext"/>
              <w:jc w:val="center"/>
              <w:rPr>
                <w:sz w:val="18"/>
                <w:szCs w:val="18"/>
              </w:rPr>
            </w:pPr>
            <w:r w:rsidRPr="000C5DDA">
              <w:rPr>
                <w:sz w:val="18"/>
                <w:szCs w:val="18"/>
              </w:rPr>
              <w:t>3.7</w:t>
            </w:r>
          </w:p>
        </w:tc>
        <w:tc>
          <w:tcPr>
            <w:tcW w:w="855" w:type="dxa"/>
            <w:shd w:val="clear" w:color="auto" w:fill="auto"/>
            <w:tcMar>
              <w:top w:w="28" w:type="dxa"/>
              <w:left w:w="102" w:type="dxa"/>
              <w:bottom w:w="28" w:type="dxa"/>
              <w:right w:w="102" w:type="dxa"/>
            </w:tcMar>
            <w:vAlign w:val="center"/>
          </w:tcPr>
          <w:p w14:paraId="5CE4929C" w14:textId="2AC10D02"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47D94FE6" w14:textId="2BFC0365"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76DB139A" w14:textId="6DB55200" w:rsidR="000C5DDA" w:rsidRPr="000C5DDA" w:rsidRDefault="000C5DDA" w:rsidP="000C5DDA">
            <w:pPr>
              <w:pStyle w:val="Tabletext"/>
              <w:jc w:val="center"/>
              <w:rPr>
                <w:sz w:val="18"/>
                <w:szCs w:val="18"/>
              </w:rPr>
            </w:pPr>
            <w:r w:rsidRPr="000C5DDA">
              <w:rPr>
                <w:sz w:val="18"/>
                <w:szCs w:val="18"/>
              </w:rPr>
              <w:t>3.7</w:t>
            </w:r>
          </w:p>
        </w:tc>
        <w:tc>
          <w:tcPr>
            <w:tcW w:w="751" w:type="dxa"/>
            <w:shd w:val="clear" w:color="auto" w:fill="auto"/>
            <w:tcMar>
              <w:top w:w="28" w:type="dxa"/>
              <w:left w:w="102" w:type="dxa"/>
              <w:bottom w:w="28" w:type="dxa"/>
              <w:right w:w="102" w:type="dxa"/>
            </w:tcMar>
            <w:vAlign w:val="center"/>
          </w:tcPr>
          <w:p w14:paraId="4D8BEE1C" w14:textId="0AEBC7B2"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0C3A890F" w14:textId="6CE14A4F"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3CA8B29B" w14:textId="29E2E337"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2ED8B9F4" w14:textId="52A21AFD" w:rsidR="000C5DDA" w:rsidRPr="000C5DDA" w:rsidRDefault="000C5DDA" w:rsidP="000C5DDA">
            <w:pPr>
              <w:pStyle w:val="Tabletext"/>
              <w:jc w:val="center"/>
              <w:rPr>
                <w:sz w:val="18"/>
                <w:szCs w:val="18"/>
              </w:rPr>
            </w:pPr>
            <w:r w:rsidRPr="000C5DDA">
              <w:rPr>
                <w:sz w:val="18"/>
                <w:szCs w:val="18"/>
              </w:rPr>
              <w:t>3.7</w:t>
            </w:r>
          </w:p>
        </w:tc>
        <w:tc>
          <w:tcPr>
            <w:tcW w:w="577" w:type="dxa"/>
            <w:vAlign w:val="center"/>
          </w:tcPr>
          <w:p w14:paraId="4B6290B8" w14:textId="7C8BA9B5" w:rsidR="000C5DDA" w:rsidRPr="000C5DDA" w:rsidRDefault="000C5DDA" w:rsidP="000C5DDA">
            <w:pPr>
              <w:pStyle w:val="Tabletext"/>
              <w:jc w:val="center"/>
              <w:rPr>
                <w:sz w:val="18"/>
                <w:szCs w:val="18"/>
              </w:rPr>
            </w:pPr>
            <w:r w:rsidRPr="000C5DDA">
              <w:rPr>
                <w:sz w:val="18"/>
                <w:szCs w:val="18"/>
              </w:rPr>
              <w:t>100.0%</w:t>
            </w:r>
          </w:p>
        </w:tc>
        <w:tc>
          <w:tcPr>
            <w:tcW w:w="838" w:type="dxa"/>
            <w:vAlign w:val="center"/>
          </w:tcPr>
          <w:p w14:paraId="1F56BCD6" w14:textId="68083121"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5D9716FC" w14:textId="5F9FE055" w:rsidR="000C5DDA" w:rsidRPr="000C5DDA" w:rsidRDefault="000C5DDA" w:rsidP="000C5DDA">
            <w:pPr>
              <w:pStyle w:val="Tabletext"/>
              <w:jc w:val="center"/>
              <w:rPr>
                <w:sz w:val="18"/>
                <w:szCs w:val="18"/>
              </w:rPr>
            </w:pPr>
            <w:r w:rsidRPr="000C5DDA">
              <w:rPr>
                <w:sz w:val="18"/>
                <w:szCs w:val="18"/>
              </w:rPr>
              <w:t>0.0%</w:t>
            </w:r>
          </w:p>
        </w:tc>
      </w:tr>
      <w:tr w:rsidR="000C5DDA" w:rsidRPr="00811AF2" w14:paraId="4CBA5F0C"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27D17B13" w14:textId="6B370894"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I</w:t>
            </w:r>
            <w:r>
              <w:rPr>
                <w:sz w:val="18"/>
                <w:szCs w:val="18"/>
                <w:lang w:eastAsia="ko-KR"/>
              </w:rPr>
              <w:t>reland</w:t>
            </w:r>
          </w:p>
        </w:tc>
        <w:tc>
          <w:tcPr>
            <w:tcW w:w="835" w:type="dxa"/>
            <w:shd w:val="clear" w:color="auto" w:fill="auto"/>
            <w:tcMar>
              <w:top w:w="28" w:type="dxa"/>
              <w:left w:w="102" w:type="dxa"/>
              <w:bottom w:w="28" w:type="dxa"/>
              <w:right w:w="102" w:type="dxa"/>
            </w:tcMar>
            <w:vAlign w:val="center"/>
          </w:tcPr>
          <w:p w14:paraId="2A6B4545" w14:textId="61874F2B" w:rsidR="000C5DDA" w:rsidRPr="000C5DDA" w:rsidRDefault="000C5DDA" w:rsidP="000C5DDA">
            <w:pPr>
              <w:pStyle w:val="Tabletext"/>
              <w:jc w:val="center"/>
              <w:rPr>
                <w:sz w:val="18"/>
                <w:szCs w:val="18"/>
              </w:rPr>
            </w:pPr>
            <w:r w:rsidRPr="000C5DDA">
              <w:rPr>
                <w:sz w:val="18"/>
                <w:szCs w:val="18"/>
              </w:rPr>
              <w:t>0.9</w:t>
            </w:r>
          </w:p>
        </w:tc>
        <w:tc>
          <w:tcPr>
            <w:tcW w:w="855" w:type="dxa"/>
            <w:shd w:val="clear" w:color="auto" w:fill="auto"/>
            <w:tcMar>
              <w:top w:w="28" w:type="dxa"/>
              <w:left w:w="102" w:type="dxa"/>
              <w:bottom w:w="28" w:type="dxa"/>
              <w:right w:w="102" w:type="dxa"/>
            </w:tcMar>
            <w:vAlign w:val="center"/>
          </w:tcPr>
          <w:p w14:paraId="704D38D6" w14:textId="3C451354" w:rsidR="000C5DDA" w:rsidRPr="000C5DDA" w:rsidRDefault="000C5DDA" w:rsidP="000C5DDA">
            <w:pPr>
              <w:pStyle w:val="Tabletext"/>
              <w:jc w:val="center"/>
              <w:rPr>
                <w:sz w:val="18"/>
                <w:szCs w:val="18"/>
              </w:rPr>
            </w:pPr>
            <w:r w:rsidRPr="000C5DDA">
              <w:rPr>
                <w:sz w:val="18"/>
                <w:szCs w:val="18"/>
              </w:rPr>
              <w:t>0.9</w:t>
            </w:r>
          </w:p>
        </w:tc>
        <w:tc>
          <w:tcPr>
            <w:tcW w:w="751" w:type="dxa"/>
            <w:shd w:val="clear" w:color="auto" w:fill="auto"/>
            <w:tcMar>
              <w:top w:w="28" w:type="dxa"/>
              <w:left w:w="102" w:type="dxa"/>
              <w:bottom w:w="28" w:type="dxa"/>
              <w:right w:w="102" w:type="dxa"/>
            </w:tcMar>
            <w:vAlign w:val="center"/>
          </w:tcPr>
          <w:p w14:paraId="5D8A629A" w14:textId="35107434" w:rsidR="000C5DDA" w:rsidRPr="000C5DDA" w:rsidRDefault="000C5DDA" w:rsidP="000C5DDA">
            <w:pPr>
              <w:pStyle w:val="Tabletext"/>
              <w:jc w:val="center"/>
              <w:rPr>
                <w:sz w:val="18"/>
                <w:szCs w:val="18"/>
              </w:rPr>
            </w:pPr>
            <w:r w:rsidRPr="000C5DDA">
              <w:rPr>
                <w:sz w:val="18"/>
                <w:szCs w:val="18"/>
              </w:rPr>
              <w:t>100.0%</w:t>
            </w:r>
          </w:p>
        </w:tc>
        <w:tc>
          <w:tcPr>
            <w:tcW w:w="802" w:type="dxa"/>
            <w:shd w:val="clear" w:color="auto" w:fill="auto"/>
            <w:tcMar>
              <w:top w:w="28" w:type="dxa"/>
              <w:left w:w="102" w:type="dxa"/>
              <w:bottom w:w="28" w:type="dxa"/>
              <w:right w:w="102" w:type="dxa"/>
            </w:tcMar>
            <w:vAlign w:val="center"/>
          </w:tcPr>
          <w:p w14:paraId="20F58756" w14:textId="596DAF32"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0655BC79" w14:textId="3BCEF4A3" w:rsidR="000C5DDA" w:rsidRPr="000C5DDA" w:rsidRDefault="000C5DDA" w:rsidP="000C5DDA">
            <w:pPr>
              <w:pStyle w:val="Tabletext"/>
              <w:jc w:val="center"/>
              <w:rPr>
                <w:sz w:val="18"/>
                <w:szCs w:val="18"/>
              </w:rPr>
            </w:pPr>
            <w:r w:rsidRPr="000C5DDA">
              <w:rPr>
                <w:sz w:val="18"/>
                <w:szCs w:val="18"/>
              </w:rPr>
              <w:t>0.0%</w:t>
            </w:r>
          </w:p>
        </w:tc>
        <w:tc>
          <w:tcPr>
            <w:tcW w:w="800" w:type="dxa"/>
            <w:vAlign w:val="center"/>
          </w:tcPr>
          <w:p w14:paraId="222C1359" w14:textId="4866F08E"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0FEF0950" w14:textId="70A7C60A"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6044FC94" w14:textId="2230711C"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519AB4A6" w14:textId="60DE6C62" w:rsidR="000C5DDA" w:rsidRPr="000C5DDA" w:rsidRDefault="000C5DDA" w:rsidP="000C5DDA">
            <w:pPr>
              <w:pStyle w:val="Tabletext"/>
              <w:jc w:val="center"/>
              <w:rPr>
                <w:sz w:val="18"/>
                <w:szCs w:val="18"/>
              </w:rPr>
            </w:pPr>
            <w:r w:rsidRPr="000C5DDA">
              <w:rPr>
                <w:sz w:val="18"/>
                <w:szCs w:val="18"/>
              </w:rPr>
              <w:t>0.0%</w:t>
            </w:r>
          </w:p>
        </w:tc>
        <w:tc>
          <w:tcPr>
            <w:tcW w:w="838" w:type="dxa"/>
            <w:vAlign w:val="center"/>
          </w:tcPr>
          <w:p w14:paraId="371119F3" w14:textId="6573F375"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261D4A5B" w14:textId="0C05AE42" w:rsidR="000C5DDA" w:rsidRPr="000C5DDA" w:rsidRDefault="000C5DDA" w:rsidP="000C5DDA">
            <w:pPr>
              <w:pStyle w:val="Tabletext"/>
              <w:jc w:val="center"/>
              <w:rPr>
                <w:sz w:val="18"/>
                <w:szCs w:val="18"/>
              </w:rPr>
            </w:pPr>
            <w:r w:rsidRPr="000C5DDA">
              <w:rPr>
                <w:sz w:val="18"/>
                <w:szCs w:val="18"/>
              </w:rPr>
              <w:t>0.0%</w:t>
            </w:r>
          </w:p>
        </w:tc>
      </w:tr>
      <w:tr w:rsidR="000C5DDA" w:rsidRPr="00811AF2" w14:paraId="67318BE7"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24DD2EF8" w14:textId="64D664F0"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I</w:t>
            </w:r>
            <w:r>
              <w:rPr>
                <w:sz w:val="18"/>
                <w:szCs w:val="18"/>
                <w:lang w:eastAsia="ko-KR"/>
              </w:rPr>
              <w:t>srael</w:t>
            </w:r>
          </w:p>
        </w:tc>
        <w:tc>
          <w:tcPr>
            <w:tcW w:w="835" w:type="dxa"/>
            <w:shd w:val="clear" w:color="auto" w:fill="auto"/>
            <w:tcMar>
              <w:top w:w="28" w:type="dxa"/>
              <w:left w:w="102" w:type="dxa"/>
              <w:bottom w:w="28" w:type="dxa"/>
              <w:right w:w="102" w:type="dxa"/>
            </w:tcMar>
            <w:vAlign w:val="center"/>
          </w:tcPr>
          <w:p w14:paraId="545FB13D" w14:textId="23724EAF" w:rsidR="000C5DDA" w:rsidRPr="000C5DDA" w:rsidRDefault="000C5DDA" w:rsidP="000C5DDA">
            <w:pPr>
              <w:pStyle w:val="Tabletext"/>
              <w:jc w:val="center"/>
              <w:rPr>
                <w:sz w:val="18"/>
                <w:szCs w:val="18"/>
              </w:rPr>
            </w:pPr>
            <w:r w:rsidRPr="000C5DDA">
              <w:rPr>
                <w:sz w:val="18"/>
                <w:szCs w:val="18"/>
              </w:rPr>
              <w:t>4.9</w:t>
            </w:r>
          </w:p>
        </w:tc>
        <w:tc>
          <w:tcPr>
            <w:tcW w:w="855" w:type="dxa"/>
            <w:shd w:val="clear" w:color="auto" w:fill="auto"/>
            <w:tcMar>
              <w:top w:w="28" w:type="dxa"/>
              <w:left w:w="102" w:type="dxa"/>
              <w:bottom w:w="28" w:type="dxa"/>
              <w:right w:w="102" w:type="dxa"/>
            </w:tcMar>
            <w:vAlign w:val="center"/>
          </w:tcPr>
          <w:p w14:paraId="761F667F" w14:textId="2C6DBC19"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2DAC0136" w14:textId="10B083ED"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3AB73DD3" w14:textId="4E85D366" w:rsidR="000C5DDA" w:rsidRPr="000C5DDA" w:rsidRDefault="000C5DDA" w:rsidP="000C5DDA">
            <w:pPr>
              <w:pStyle w:val="Tabletext"/>
              <w:jc w:val="center"/>
              <w:rPr>
                <w:sz w:val="18"/>
                <w:szCs w:val="18"/>
              </w:rPr>
            </w:pPr>
            <w:r w:rsidRPr="000C5DDA">
              <w:rPr>
                <w:sz w:val="18"/>
                <w:szCs w:val="18"/>
              </w:rPr>
              <w:t>4.9</w:t>
            </w:r>
          </w:p>
        </w:tc>
        <w:tc>
          <w:tcPr>
            <w:tcW w:w="751" w:type="dxa"/>
            <w:shd w:val="clear" w:color="auto" w:fill="auto"/>
            <w:tcMar>
              <w:top w:w="28" w:type="dxa"/>
              <w:left w:w="102" w:type="dxa"/>
              <w:bottom w:w="28" w:type="dxa"/>
              <w:right w:w="102" w:type="dxa"/>
            </w:tcMar>
            <w:vAlign w:val="center"/>
          </w:tcPr>
          <w:p w14:paraId="22CB8CE3" w14:textId="024D27DE"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75E8B402" w14:textId="2AE7D4D1"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7B4E9EDE" w14:textId="0C3B22B7"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1231AB74" w14:textId="0E061C42"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168B3DE9" w14:textId="3518779E" w:rsidR="000C5DDA" w:rsidRPr="000C5DDA" w:rsidRDefault="000C5DDA" w:rsidP="000C5DDA">
            <w:pPr>
              <w:pStyle w:val="Tabletext"/>
              <w:jc w:val="center"/>
              <w:rPr>
                <w:sz w:val="18"/>
                <w:szCs w:val="18"/>
              </w:rPr>
            </w:pPr>
            <w:r w:rsidRPr="000C5DDA">
              <w:rPr>
                <w:sz w:val="18"/>
                <w:szCs w:val="18"/>
              </w:rPr>
              <w:t>0.0%</w:t>
            </w:r>
          </w:p>
        </w:tc>
        <w:tc>
          <w:tcPr>
            <w:tcW w:w="838" w:type="dxa"/>
            <w:vAlign w:val="center"/>
          </w:tcPr>
          <w:p w14:paraId="76D2D308" w14:textId="6A4AA8CA"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10F6CD60" w14:textId="4F2437A8" w:rsidR="000C5DDA" w:rsidRPr="000C5DDA" w:rsidRDefault="000C5DDA" w:rsidP="000C5DDA">
            <w:pPr>
              <w:pStyle w:val="Tabletext"/>
              <w:jc w:val="center"/>
              <w:rPr>
                <w:sz w:val="18"/>
                <w:szCs w:val="18"/>
              </w:rPr>
            </w:pPr>
            <w:r w:rsidRPr="000C5DDA">
              <w:rPr>
                <w:sz w:val="18"/>
                <w:szCs w:val="18"/>
              </w:rPr>
              <w:t>0.0%</w:t>
            </w:r>
          </w:p>
        </w:tc>
      </w:tr>
      <w:tr w:rsidR="000C5DDA" w:rsidRPr="00811AF2" w14:paraId="4714ED4B"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72D10750" w14:textId="6DF576A5"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I</w:t>
            </w:r>
            <w:r>
              <w:rPr>
                <w:sz w:val="18"/>
                <w:szCs w:val="18"/>
                <w:lang w:eastAsia="ko-KR"/>
              </w:rPr>
              <w:t>taly</w:t>
            </w:r>
          </w:p>
        </w:tc>
        <w:tc>
          <w:tcPr>
            <w:tcW w:w="835" w:type="dxa"/>
            <w:shd w:val="clear" w:color="auto" w:fill="auto"/>
            <w:tcMar>
              <w:top w:w="28" w:type="dxa"/>
              <w:left w:w="102" w:type="dxa"/>
              <w:bottom w:w="28" w:type="dxa"/>
              <w:right w:w="102" w:type="dxa"/>
            </w:tcMar>
            <w:vAlign w:val="center"/>
          </w:tcPr>
          <w:p w14:paraId="58128591" w14:textId="0E249141" w:rsidR="000C5DDA" w:rsidRPr="000C5DDA" w:rsidRDefault="000C5DDA" w:rsidP="000C5DDA">
            <w:pPr>
              <w:pStyle w:val="Tabletext"/>
              <w:jc w:val="center"/>
              <w:rPr>
                <w:sz w:val="18"/>
                <w:szCs w:val="18"/>
              </w:rPr>
            </w:pPr>
            <w:r w:rsidRPr="000C5DDA">
              <w:rPr>
                <w:sz w:val="18"/>
                <w:szCs w:val="18"/>
              </w:rPr>
              <w:t>6.9</w:t>
            </w:r>
          </w:p>
        </w:tc>
        <w:tc>
          <w:tcPr>
            <w:tcW w:w="855" w:type="dxa"/>
            <w:shd w:val="clear" w:color="auto" w:fill="auto"/>
            <w:tcMar>
              <w:top w:w="28" w:type="dxa"/>
              <w:left w:w="102" w:type="dxa"/>
              <w:bottom w:w="28" w:type="dxa"/>
              <w:right w:w="102" w:type="dxa"/>
            </w:tcMar>
            <w:vAlign w:val="center"/>
          </w:tcPr>
          <w:p w14:paraId="599AEF1B" w14:textId="10EB1C95" w:rsidR="000C5DDA" w:rsidRPr="000C5DDA" w:rsidRDefault="000C5DDA" w:rsidP="000C5DDA">
            <w:pPr>
              <w:pStyle w:val="Tabletext"/>
              <w:jc w:val="center"/>
              <w:rPr>
                <w:sz w:val="18"/>
                <w:szCs w:val="18"/>
              </w:rPr>
            </w:pPr>
            <w:r w:rsidRPr="000C5DDA">
              <w:rPr>
                <w:sz w:val="18"/>
                <w:szCs w:val="18"/>
              </w:rPr>
              <w:t>2.6</w:t>
            </w:r>
          </w:p>
        </w:tc>
        <w:tc>
          <w:tcPr>
            <w:tcW w:w="751" w:type="dxa"/>
            <w:shd w:val="clear" w:color="auto" w:fill="auto"/>
            <w:tcMar>
              <w:top w:w="28" w:type="dxa"/>
              <w:left w:w="102" w:type="dxa"/>
              <w:bottom w:w="28" w:type="dxa"/>
              <w:right w:w="102" w:type="dxa"/>
            </w:tcMar>
            <w:vAlign w:val="center"/>
          </w:tcPr>
          <w:p w14:paraId="27D3BA13" w14:textId="691E5F23" w:rsidR="000C5DDA" w:rsidRPr="000C5DDA" w:rsidRDefault="000C5DDA" w:rsidP="000C5DDA">
            <w:pPr>
              <w:pStyle w:val="Tabletext"/>
              <w:jc w:val="center"/>
              <w:rPr>
                <w:sz w:val="18"/>
                <w:szCs w:val="18"/>
              </w:rPr>
            </w:pPr>
            <w:r w:rsidRPr="000C5DDA">
              <w:rPr>
                <w:sz w:val="18"/>
                <w:szCs w:val="18"/>
              </w:rPr>
              <w:t>38.4%</w:t>
            </w:r>
          </w:p>
        </w:tc>
        <w:tc>
          <w:tcPr>
            <w:tcW w:w="802" w:type="dxa"/>
            <w:shd w:val="clear" w:color="auto" w:fill="auto"/>
            <w:tcMar>
              <w:top w:w="28" w:type="dxa"/>
              <w:left w:w="102" w:type="dxa"/>
              <w:bottom w:w="28" w:type="dxa"/>
              <w:right w:w="102" w:type="dxa"/>
            </w:tcMar>
            <w:vAlign w:val="center"/>
          </w:tcPr>
          <w:p w14:paraId="00962786" w14:textId="76BEE290" w:rsidR="000C5DDA" w:rsidRPr="000C5DDA" w:rsidRDefault="000C5DDA" w:rsidP="000C5DDA">
            <w:pPr>
              <w:pStyle w:val="Tabletext"/>
              <w:jc w:val="center"/>
              <w:rPr>
                <w:sz w:val="18"/>
                <w:szCs w:val="18"/>
              </w:rPr>
            </w:pPr>
            <w:r w:rsidRPr="000C5DDA">
              <w:rPr>
                <w:sz w:val="18"/>
                <w:szCs w:val="18"/>
              </w:rPr>
              <w:t>4.2</w:t>
            </w:r>
          </w:p>
        </w:tc>
        <w:tc>
          <w:tcPr>
            <w:tcW w:w="751" w:type="dxa"/>
            <w:shd w:val="clear" w:color="auto" w:fill="auto"/>
            <w:tcMar>
              <w:top w:w="28" w:type="dxa"/>
              <w:left w:w="102" w:type="dxa"/>
              <w:bottom w:w="28" w:type="dxa"/>
              <w:right w:w="102" w:type="dxa"/>
            </w:tcMar>
            <w:vAlign w:val="center"/>
          </w:tcPr>
          <w:p w14:paraId="1B76F123" w14:textId="60E2FE5E" w:rsidR="000C5DDA" w:rsidRPr="000C5DDA" w:rsidRDefault="000C5DDA" w:rsidP="000C5DDA">
            <w:pPr>
              <w:pStyle w:val="Tabletext"/>
              <w:jc w:val="center"/>
              <w:rPr>
                <w:sz w:val="18"/>
                <w:szCs w:val="18"/>
              </w:rPr>
            </w:pPr>
            <w:r w:rsidRPr="000C5DDA">
              <w:rPr>
                <w:sz w:val="18"/>
                <w:szCs w:val="18"/>
              </w:rPr>
              <w:t>61.6%</w:t>
            </w:r>
          </w:p>
        </w:tc>
        <w:tc>
          <w:tcPr>
            <w:tcW w:w="800" w:type="dxa"/>
            <w:vAlign w:val="center"/>
          </w:tcPr>
          <w:p w14:paraId="3D0D7AB2" w14:textId="21AA293E"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4928DFBC" w14:textId="5D9731E9"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401C0205" w14:textId="3CECCE4A" w:rsidR="000C5DDA" w:rsidRPr="000C5DDA" w:rsidRDefault="000C5DDA" w:rsidP="000C5DDA">
            <w:pPr>
              <w:pStyle w:val="Tabletext"/>
              <w:jc w:val="center"/>
              <w:rPr>
                <w:sz w:val="18"/>
                <w:szCs w:val="18"/>
              </w:rPr>
            </w:pPr>
            <w:r w:rsidRPr="000C5DDA">
              <w:rPr>
                <w:sz w:val="18"/>
                <w:szCs w:val="18"/>
              </w:rPr>
              <w:t>1.0</w:t>
            </w:r>
          </w:p>
        </w:tc>
        <w:tc>
          <w:tcPr>
            <w:tcW w:w="577" w:type="dxa"/>
            <w:vAlign w:val="center"/>
          </w:tcPr>
          <w:p w14:paraId="0D8641AD" w14:textId="597C1B89" w:rsidR="000C5DDA" w:rsidRPr="000C5DDA" w:rsidRDefault="000C5DDA" w:rsidP="000C5DDA">
            <w:pPr>
              <w:pStyle w:val="Tabletext"/>
              <w:jc w:val="center"/>
              <w:rPr>
                <w:sz w:val="18"/>
                <w:szCs w:val="18"/>
              </w:rPr>
            </w:pPr>
            <w:r w:rsidRPr="000C5DDA">
              <w:rPr>
                <w:sz w:val="18"/>
                <w:szCs w:val="18"/>
              </w:rPr>
              <w:t>14.2%</w:t>
            </w:r>
          </w:p>
        </w:tc>
        <w:tc>
          <w:tcPr>
            <w:tcW w:w="838" w:type="dxa"/>
            <w:vAlign w:val="center"/>
          </w:tcPr>
          <w:p w14:paraId="729244BD" w14:textId="7682AEDE"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7063FE05" w14:textId="337DBF6D" w:rsidR="000C5DDA" w:rsidRPr="000C5DDA" w:rsidRDefault="000C5DDA" w:rsidP="000C5DDA">
            <w:pPr>
              <w:pStyle w:val="Tabletext"/>
              <w:jc w:val="center"/>
              <w:rPr>
                <w:sz w:val="18"/>
                <w:szCs w:val="18"/>
              </w:rPr>
            </w:pPr>
            <w:r w:rsidRPr="000C5DDA">
              <w:rPr>
                <w:sz w:val="18"/>
                <w:szCs w:val="18"/>
              </w:rPr>
              <w:t>0.0%</w:t>
            </w:r>
          </w:p>
        </w:tc>
      </w:tr>
      <w:tr w:rsidR="000C5DDA" w:rsidRPr="00811AF2" w14:paraId="6E84E83C"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08E02A3F" w14:textId="69694C85"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K</w:t>
            </w:r>
            <w:r>
              <w:rPr>
                <w:sz w:val="18"/>
                <w:szCs w:val="18"/>
                <w:lang w:eastAsia="ko-KR"/>
              </w:rPr>
              <w:t>azakhstan</w:t>
            </w:r>
          </w:p>
        </w:tc>
        <w:tc>
          <w:tcPr>
            <w:tcW w:w="835" w:type="dxa"/>
            <w:shd w:val="clear" w:color="auto" w:fill="auto"/>
            <w:tcMar>
              <w:top w:w="28" w:type="dxa"/>
              <w:left w:w="102" w:type="dxa"/>
              <w:bottom w:w="28" w:type="dxa"/>
              <w:right w:w="102" w:type="dxa"/>
            </w:tcMar>
            <w:vAlign w:val="center"/>
          </w:tcPr>
          <w:p w14:paraId="1AC157C1" w14:textId="44A3DCD6" w:rsidR="000C5DDA" w:rsidRPr="000C5DDA" w:rsidRDefault="000C5DDA" w:rsidP="000C5DDA">
            <w:pPr>
              <w:pStyle w:val="Tabletext"/>
              <w:jc w:val="center"/>
              <w:rPr>
                <w:sz w:val="18"/>
                <w:szCs w:val="18"/>
              </w:rPr>
            </w:pPr>
            <w:r w:rsidRPr="000C5DDA">
              <w:rPr>
                <w:sz w:val="18"/>
                <w:szCs w:val="18"/>
              </w:rPr>
              <w:t>7.5</w:t>
            </w:r>
          </w:p>
        </w:tc>
        <w:tc>
          <w:tcPr>
            <w:tcW w:w="855" w:type="dxa"/>
            <w:shd w:val="clear" w:color="auto" w:fill="auto"/>
            <w:tcMar>
              <w:top w:w="28" w:type="dxa"/>
              <w:left w:w="102" w:type="dxa"/>
              <w:bottom w:w="28" w:type="dxa"/>
              <w:right w:w="102" w:type="dxa"/>
            </w:tcMar>
            <w:vAlign w:val="center"/>
          </w:tcPr>
          <w:p w14:paraId="065048AE" w14:textId="29B4A66C" w:rsidR="000C5DDA" w:rsidRPr="000C5DDA" w:rsidRDefault="000C5DDA" w:rsidP="000C5DDA">
            <w:pPr>
              <w:pStyle w:val="Tabletext"/>
              <w:jc w:val="center"/>
              <w:rPr>
                <w:sz w:val="18"/>
                <w:szCs w:val="18"/>
              </w:rPr>
            </w:pPr>
            <w:r w:rsidRPr="000C5DDA">
              <w:rPr>
                <w:sz w:val="18"/>
                <w:szCs w:val="18"/>
              </w:rPr>
              <w:t>7.5</w:t>
            </w:r>
          </w:p>
        </w:tc>
        <w:tc>
          <w:tcPr>
            <w:tcW w:w="751" w:type="dxa"/>
            <w:shd w:val="clear" w:color="auto" w:fill="auto"/>
            <w:tcMar>
              <w:top w:w="28" w:type="dxa"/>
              <w:left w:w="102" w:type="dxa"/>
              <w:bottom w:w="28" w:type="dxa"/>
              <w:right w:w="102" w:type="dxa"/>
            </w:tcMar>
            <w:vAlign w:val="center"/>
          </w:tcPr>
          <w:p w14:paraId="5100EC37" w14:textId="3603C2E0" w:rsidR="000C5DDA" w:rsidRPr="000C5DDA" w:rsidRDefault="000C5DDA" w:rsidP="000C5DDA">
            <w:pPr>
              <w:pStyle w:val="Tabletext"/>
              <w:jc w:val="center"/>
              <w:rPr>
                <w:sz w:val="18"/>
                <w:szCs w:val="18"/>
              </w:rPr>
            </w:pPr>
            <w:r w:rsidRPr="000C5DDA">
              <w:rPr>
                <w:sz w:val="18"/>
                <w:szCs w:val="18"/>
              </w:rPr>
              <w:t>100.0%</w:t>
            </w:r>
          </w:p>
        </w:tc>
        <w:tc>
          <w:tcPr>
            <w:tcW w:w="802" w:type="dxa"/>
            <w:shd w:val="clear" w:color="auto" w:fill="auto"/>
            <w:tcMar>
              <w:top w:w="28" w:type="dxa"/>
              <w:left w:w="102" w:type="dxa"/>
              <w:bottom w:w="28" w:type="dxa"/>
              <w:right w:w="102" w:type="dxa"/>
            </w:tcMar>
            <w:vAlign w:val="center"/>
          </w:tcPr>
          <w:p w14:paraId="2B72CBE1" w14:textId="4B7746DC"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6E043EAB" w14:textId="51FDA3F1" w:rsidR="000C5DDA" w:rsidRPr="000C5DDA" w:rsidRDefault="000C5DDA" w:rsidP="000C5DDA">
            <w:pPr>
              <w:pStyle w:val="Tabletext"/>
              <w:jc w:val="center"/>
              <w:rPr>
                <w:sz w:val="18"/>
                <w:szCs w:val="18"/>
              </w:rPr>
            </w:pPr>
            <w:r w:rsidRPr="000C5DDA">
              <w:rPr>
                <w:sz w:val="18"/>
                <w:szCs w:val="18"/>
              </w:rPr>
              <w:t>0.0%</w:t>
            </w:r>
          </w:p>
        </w:tc>
        <w:tc>
          <w:tcPr>
            <w:tcW w:w="800" w:type="dxa"/>
            <w:vAlign w:val="center"/>
          </w:tcPr>
          <w:p w14:paraId="33E50E59" w14:textId="7F450169"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75643948" w14:textId="557187AF"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20F66DE7" w14:textId="64CEFB9A"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28E2FC61" w14:textId="08351150" w:rsidR="000C5DDA" w:rsidRPr="000C5DDA" w:rsidRDefault="000C5DDA" w:rsidP="000C5DDA">
            <w:pPr>
              <w:pStyle w:val="Tabletext"/>
              <w:jc w:val="center"/>
              <w:rPr>
                <w:sz w:val="18"/>
                <w:szCs w:val="18"/>
              </w:rPr>
            </w:pPr>
            <w:r w:rsidRPr="000C5DDA">
              <w:rPr>
                <w:sz w:val="18"/>
                <w:szCs w:val="18"/>
              </w:rPr>
              <w:t>0.0%</w:t>
            </w:r>
          </w:p>
        </w:tc>
        <w:tc>
          <w:tcPr>
            <w:tcW w:w="838" w:type="dxa"/>
            <w:vAlign w:val="center"/>
          </w:tcPr>
          <w:p w14:paraId="26F8D754" w14:textId="6E8A251C"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33696CEF" w14:textId="5CC89713" w:rsidR="000C5DDA" w:rsidRPr="000C5DDA" w:rsidRDefault="000C5DDA" w:rsidP="000C5DDA">
            <w:pPr>
              <w:pStyle w:val="Tabletext"/>
              <w:jc w:val="center"/>
              <w:rPr>
                <w:sz w:val="18"/>
                <w:szCs w:val="18"/>
              </w:rPr>
            </w:pPr>
            <w:r w:rsidRPr="000C5DDA">
              <w:rPr>
                <w:sz w:val="18"/>
                <w:szCs w:val="18"/>
              </w:rPr>
              <w:t>0.0%</w:t>
            </w:r>
          </w:p>
        </w:tc>
      </w:tr>
      <w:tr w:rsidR="000C5DDA" w:rsidRPr="00811AF2" w14:paraId="25187DAC"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7BCE36B6" w14:textId="7109205E"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K</w:t>
            </w:r>
            <w:r>
              <w:rPr>
                <w:sz w:val="18"/>
                <w:szCs w:val="18"/>
                <w:lang w:eastAsia="ko-KR"/>
              </w:rPr>
              <w:t>osovo</w:t>
            </w:r>
          </w:p>
        </w:tc>
        <w:tc>
          <w:tcPr>
            <w:tcW w:w="835" w:type="dxa"/>
            <w:shd w:val="clear" w:color="auto" w:fill="auto"/>
            <w:tcMar>
              <w:top w:w="28" w:type="dxa"/>
              <w:left w:w="102" w:type="dxa"/>
              <w:bottom w:w="28" w:type="dxa"/>
              <w:right w:w="102" w:type="dxa"/>
            </w:tcMar>
            <w:vAlign w:val="center"/>
          </w:tcPr>
          <w:p w14:paraId="3115DA21" w14:textId="6D7CBBAF" w:rsidR="000C5DDA" w:rsidRPr="000C5DDA" w:rsidRDefault="000C5DDA" w:rsidP="000C5DDA">
            <w:pPr>
              <w:pStyle w:val="Tabletext"/>
              <w:jc w:val="center"/>
              <w:rPr>
                <w:sz w:val="18"/>
                <w:szCs w:val="18"/>
              </w:rPr>
            </w:pPr>
            <w:r w:rsidRPr="000C5DDA">
              <w:rPr>
                <w:sz w:val="18"/>
                <w:szCs w:val="18"/>
              </w:rPr>
              <w:t>1.5</w:t>
            </w:r>
          </w:p>
        </w:tc>
        <w:tc>
          <w:tcPr>
            <w:tcW w:w="855" w:type="dxa"/>
            <w:shd w:val="clear" w:color="auto" w:fill="auto"/>
            <w:tcMar>
              <w:top w:w="28" w:type="dxa"/>
              <w:left w:w="102" w:type="dxa"/>
              <w:bottom w:w="28" w:type="dxa"/>
              <w:right w:w="102" w:type="dxa"/>
            </w:tcMar>
            <w:vAlign w:val="center"/>
          </w:tcPr>
          <w:p w14:paraId="2E5E0120" w14:textId="587FFE6C"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675DF9FF" w14:textId="41C27464"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1B4C8F85" w14:textId="5558DD5E"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632A99A9" w14:textId="750DABF3" w:rsidR="000C5DDA" w:rsidRPr="000C5DDA" w:rsidRDefault="000C5DDA" w:rsidP="000C5DDA">
            <w:pPr>
              <w:pStyle w:val="Tabletext"/>
              <w:jc w:val="center"/>
              <w:rPr>
                <w:sz w:val="18"/>
                <w:szCs w:val="18"/>
              </w:rPr>
            </w:pPr>
            <w:r w:rsidRPr="000C5DDA">
              <w:rPr>
                <w:sz w:val="18"/>
                <w:szCs w:val="18"/>
              </w:rPr>
              <w:t>0.0%</w:t>
            </w:r>
          </w:p>
        </w:tc>
        <w:tc>
          <w:tcPr>
            <w:tcW w:w="800" w:type="dxa"/>
            <w:vAlign w:val="center"/>
          </w:tcPr>
          <w:p w14:paraId="7455D902" w14:textId="63C67C81"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1C732228" w14:textId="224EEEB6"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07F218E6" w14:textId="2FACC7A0" w:rsidR="000C5DDA" w:rsidRPr="000C5DDA" w:rsidRDefault="000C5DDA" w:rsidP="000C5DDA">
            <w:pPr>
              <w:pStyle w:val="Tabletext"/>
              <w:jc w:val="center"/>
              <w:rPr>
                <w:sz w:val="18"/>
                <w:szCs w:val="18"/>
              </w:rPr>
            </w:pPr>
            <w:r w:rsidRPr="000C5DDA">
              <w:rPr>
                <w:sz w:val="18"/>
                <w:szCs w:val="18"/>
              </w:rPr>
              <w:t>1.5</w:t>
            </w:r>
          </w:p>
        </w:tc>
        <w:tc>
          <w:tcPr>
            <w:tcW w:w="577" w:type="dxa"/>
            <w:vAlign w:val="center"/>
          </w:tcPr>
          <w:p w14:paraId="6DB1E427" w14:textId="62448042" w:rsidR="000C5DDA" w:rsidRPr="000C5DDA" w:rsidRDefault="000C5DDA" w:rsidP="000C5DDA">
            <w:pPr>
              <w:pStyle w:val="Tabletext"/>
              <w:jc w:val="center"/>
              <w:rPr>
                <w:sz w:val="18"/>
                <w:szCs w:val="18"/>
              </w:rPr>
            </w:pPr>
            <w:r w:rsidRPr="000C5DDA">
              <w:rPr>
                <w:sz w:val="18"/>
                <w:szCs w:val="18"/>
              </w:rPr>
              <w:t>100.0%</w:t>
            </w:r>
          </w:p>
        </w:tc>
        <w:tc>
          <w:tcPr>
            <w:tcW w:w="838" w:type="dxa"/>
            <w:vAlign w:val="center"/>
          </w:tcPr>
          <w:p w14:paraId="5C8A99A3" w14:textId="103D84A4"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4C34EA97" w14:textId="25B96736" w:rsidR="000C5DDA" w:rsidRPr="000C5DDA" w:rsidRDefault="000C5DDA" w:rsidP="000C5DDA">
            <w:pPr>
              <w:pStyle w:val="Tabletext"/>
              <w:jc w:val="center"/>
              <w:rPr>
                <w:sz w:val="18"/>
                <w:szCs w:val="18"/>
              </w:rPr>
            </w:pPr>
            <w:r w:rsidRPr="000C5DDA">
              <w:rPr>
                <w:sz w:val="18"/>
                <w:szCs w:val="18"/>
              </w:rPr>
              <w:t>0.0%</w:t>
            </w:r>
          </w:p>
        </w:tc>
      </w:tr>
      <w:tr w:rsidR="000C5DDA" w:rsidRPr="00811AF2" w14:paraId="6DF83345"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3799E8A8" w14:textId="1A0D7652"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M</w:t>
            </w:r>
            <w:r>
              <w:rPr>
                <w:sz w:val="18"/>
                <w:szCs w:val="18"/>
                <w:lang w:eastAsia="ko-KR"/>
              </w:rPr>
              <w:t>alaysia</w:t>
            </w:r>
          </w:p>
        </w:tc>
        <w:tc>
          <w:tcPr>
            <w:tcW w:w="835" w:type="dxa"/>
            <w:shd w:val="clear" w:color="auto" w:fill="auto"/>
            <w:tcMar>
              <w:top w:w="28" w:type="dxa"/>
              <w:left w:w="102" w:type="dxa"/>
              <w:bottom w:w="28" w:type="dxa"/>
              <w:right w:w="102" w:type="dxa"/>
            </w:tcMar>
            <w:vAlign w:val="center"/>
          </w:tcPr>
          <w:p w14:paraId="267F3F36" w14:textId="7447BAB1" w:rsidR="000C5DDA" w:rsidRPr="000C5DDA" w:rsidRDefault="000C5DDA" w:rsidP="000C5DDA">
            <w:pPr>
              <w:pStyle w:val="Tabletext"/>
              <w:jc w:val="center"/>
              <w:rPr>
                <w:sz w:val="18"/>
                <w:szCs w:val="18"/>
              </w:rPr>
            </w:pPr>
            <w:r w:rsidRPr="000C5DDA">
              <w:rPr>
                <w:sz w:val="18"/>
                <w:szCs w:val="18"/>
              </w:rPr>
              <w:t>3.0</w:t>
            </w:r>
          </w:p>
        </w:tc>
        <w:tc>
          <w:tcPr>
            <w:tcW w:w="855" w:type="dxa"/>
            <w:shd w:val="clear" w:color="auto" w:fill="auto"/>
            <w:tcMar>
              <w:top w:w="28" w:type="dxa"/>
              <w:left w:w="102" w:type="dxa"/>
              <w:bottom w:w="28" w:type="dxa"/>
              <w:right w:w="102" w:type="dxa"/>
            </w:tcMar>
            <w:vAlign w:val="center"/>
          </w:tcPr>
          <w:p w14:paraId="7AA8CDB6" w14:textId="5D9E17A0"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38E8A9D1" w14:textId="5221B2D4"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50C78394" w14:textId="4808A4F3" w:rsidR="000C5DDA" w:rsidRPr="000C5DDA" w:rsidRDefault="000C5DDA" w:rsidP="000C5DDA">
            <w:pPr>
              <w:pStyle w:val="Tabletext"/>
              <w:jc w:val="center"/>
              <w:rPr>
                <w:sz w:val="18"/>
                <w:szCs w:val="18"/>
              </w:rPr>
            </w:pPr>
            <w:r w:rsidRPr="000C5DDA">
              <w:rPr>
                <w:sz w:val="18"/>
                <w:szCs w:val="18"/>
              </w:rPr>
              <w:t>3.0</w:t>
            </w:r>
          </w:p>
        </w:tc>
        <w:tc>
          <w:tcPr>
            <w:tcW w:w="751" w:type="dxa"/>
            <w:shd w:val="clear" w:color="auto" w:fill="auto"/>
            <w:tcMar>
              <w:top w:w="28" w:type="dxa"/>
              <w:left w:w="102" w:type="dxa"/>
              <w:bottom w:w="28" w:type="dxa"/>
              <w:right w:w="102" w:type="dxa"/>
            </w:tcMar>
            <w:vAlign w:val="center"/>
          </w:tcPr>
          <w:p w14:paraId="110F97A4" w14:textId="190B3BA4"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1E391E03" w14:textId="7AEE3876"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10410BBF" w14:textId="2C6C3380"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2A6C49C6" w14:textId="02352012"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1756EAED" w14:textId="0F1C623D" w:rsidR="000C5DDA" w:rsidRPr="000C5DDA" w:rsidRDefault="000C5DDA" w:rsidP="000C5DDA">
            <w:pPr>
              <w:pStyle w:val="Tabletext"/>
              <w:jc w:val="center"/>
              <w:rPr>
                <w:sz w:val="18"/>
                <w:szCs w:val="18"/>
              </w:rPr>
            </w:pPr>
            <w:r w:rsidRPr="000C5DDA">
              <w:rPr>
                <w:sz w:val="18"/>
                <w:szCs w:val="18"/>
              </w:rPr>
              <w:t>0.0%</w:t>
            </w:r>
          </w:p>
        </w:tc>
        <w:tc>
          <w:tcPr>
            <w:tcW w:w="838" w:type="dxa"/>
            <w:vAlign w:val="center"/>
          </w:tcPr>
          <w:p w14:paraId="7C7F5033" w14:textId="22EE65DE"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3B34A705" w14:textId="18A8E766" w:rsidR="000C5DDA" w:rsidRPr="000C5DDA" w:rsidRDefault="000C5DDA" w:rsidP="000C5DDA">
            <w:pPr>
              <w:pStyle w:val="Tabletext"/>
              <w:jc w:val="center"/>
              <w:rPr>
                <w:sz w:val="18"/>
                <w:szCs w:val="18"/>
              </w:rPr>
            </w:pPr>
            <w:r w:rsidRPr="000C5DDA">
              <w:rPr>
                <w:sz w:val="18"/>
                <w:szCs w:val="18"/>
              </w:rPr>
              <w:t>0.0%</w:t>
            </w:r>
          </w:p>
        </w:tc>
      </w:tr>
      <w:tr w:rsidR="000C5DDA" w:rsidRPr="00811AF2" w14:paraId="3E484A07" w14:textId="77777777" w:rsidTr="000C5DDA">
        <w:trPr>
          <w:trHeight w:val="504"/>
          <w:jc w:val="center"/>
        </w:trPr>
        <w:tc>
          <w:tcPr>
            <w:tcW w:w="1268" w:type="dxa"/>
            <w:shd w:val="clear" w:color="auto" w:fill="auto"/>
            <w:tcMar>
              <w:top w:w="28" w:type="dxa"/>
              <w:left w:w="102" w:type="dxa"/>
              <w:bottom w:w="28" w:type="dxa"/>
              <w:right w:w="102" w:type="dxa"/>
            </w:tcMar>
            <w:vAlign w:val="center"/>
          </w:tcPr>
          <w:p w14:paraId="65D3D0B4" w14:textId="7E856738"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M</w:t>
            </w:r>
            <w:r>
              <w:rPr>
                <w:sz w:val="18"/>
                <w:szCs w:val="18"/>
                <w:lang w:eastAsia="ko-KR"/>
              </w:rPr>
              <w:t>oldova</w:t>
            </w:r>
          </w:p>
        </w:tc>
        <w:tc>
          <w:tcPr>
            <w:tcW w:w="835" w:type="dxa"/>
            <w:shd w:val="clear" w:color="auto" w:fill="auto"/>
            <w:tcMar>
              <w:top w:w="28" w:type="dxa"/>
              <w:left w:w="102" w:type="dxa"/>
              <w:bottom w:w="28" w:type="dxa"/>
              <w:right w:w="102" w:type="dxa"/>
            </w:tcMar>
            <w:vAlign w:val="center"/>
          </w:tcPr>
          <w:p w14:paraId="09FA864D" w14:textId="7650642B" w:rsidR="000C5DDA" w:rsidRPr="000C5DDA" w:rsidRDefault="000C5DDA" w:rsidP="000C5DDA">
            <w:pPr>
              <w:pStyle w:val="Tabletext"/>
              <w:jc w:val="center"/>
              <w:rPr>
                <w:sz w:val="18"/>
                <w:szCs w:val="18"/>
              </w:rPr>
            </w:pPr>
            <w:r w:rsidRPr="000C5DDA">
              <w:rPr>
                <w:sz w:val="18"/>
                <w:szCs w:val="18"/>
              </w:rPr>
              <w:t>1.6</w:t>
            </w:r>
          </w:p>
        </w:tc>
        <w:tc>
          <w:tcPr>
            <w:tcW w:w="855" w:type="dxa"/>
            <w:shd w:val="clear" w:color="auto" w:fill="auto"/>
            <w:tcMar>
              <w:top w:w="28" w:type="dxa"/>
              <w:left w:w="102" w:type="dxa"/>
              <w:bottom w:w="28" w:type="dxa"/>
              <w:right w:w="102" w:type="dxa"/>
            </w:tcMar>
            <w:vAlign w:val="center"/>
          </w:tcPr>
          <w:p w14:paraId="6AFEE394" w14:textId="2B296D1D"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4F6D9A07" w14:textId="46C67614"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3ABAE2B9" w14:textId="69166E34" w:rsidR="000C5DDA" w:rsidRPr="000C5DDA" w:rsidRDefault="000C5DDA" w:rsidP="000C5DDA">
            <w:pPr>
              <w:pStyle w:val="Tabletext"/>
              <w:jc w:val="center"/>
              <w:rPr>
                <w:sz w:val="18"/>
                <w:szCs w:val="18"/>
              </w:rPr>
            </w:pPr>
            <w:r w:rsidRPr="000C5DDA">
              <w:rPr>
                <w:sz w:val="18"/>
                <w:szCs w:val="18"/>
              </w:rPr>
              <w:t>1.6</w:t>
            </w:r>
          </w:p>
        </w:tc>
        <w:tc>
          <w:tcPr>
            <w:tcW w:w="751" w:type="dxa"/>
            <w:shd w:val="clear" w:color="auto" w:fill="auto"/>
            <w:tcMar>
              <w:top w:w="28" w:type="dxa"/>
              <w:left w:w="102" w:type="dxa"/>
              <w:bottom w:w="28" w:type="dxa"/>
              <w:right w:w="102" w:type="dxa"/>
            </w:tcMar>
            <w:vAlign w:val="center"/>
          </w:tcPr>
          <w:p w14:paraId="2E98A76E" w14:textId="2BC64510"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315BE0BB" w14:textId="6DF764B7"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2CC9417F" w14:textId="10D8CC5C"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3FE27DA1" w14:textId="5F359F49"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6EFA50D1" w14:textId="75629B22" w:rsidR="000C5DDA" w:rsidRPr="000C5DDA" w:rsidRDefault="000C5DDA" w:rsidP="000C5DDA">
            <w:pPr>
              <w:pStyle w:val="Tabletext"/>
              <w:jc w:val="center"/>
              <w:rPr>
                <w:sz w:val="18"/>
                <w:szCs w:val="18"/>
              </w:rPr>
            </w:pPr>
            <w:r w:rsidRPr="000C5DDA">
              <w:rPr>
                <w:sz w:val="18"/>
                <w:szCs w:val="18"/>
              </w:rPr>
              <w:t>0.0%</w:t>
            </w:r>
          </w:p>
        </w:tc>
        <w:tc>
          <w:tcPr>
            <w:tcW w:w="838" w:type="dxa"/>
            <w:vAlign w:val="center"/>
          </w:tcPr>
          <w:p w14:paraId="13FB5F22" w14:textId="37D855AE"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2D7D62E9" w14:textId="3B97A7E7" w:rsidR="000C5DDA" w:rsidRPr="000C5DDA" w:rsidRDefault="000C5DDA" w:rsidP="000C5DDA">
            <w:pPr>
              <w:pStyle w:val="Tabletext"/>
              <w:jc w:val="center"/>
              <w:rPr>
                <w:sz w:val="18"/>
                <w:szCs w:val="18"/>
              </w:rPr>
            </w:pPr>
            <w:r w:rsidRPr="000C5DDA">
              <w:rPr>
                <w:sz w:val="18"/>
                <w:szCs w:val="18"/>
              </w:rPr>
              <w:t>0.0%</w:t>
            </w:r>
          </w:p>
        </w:tc>
      </w:tr>
      <w:tr w:rsidR="000C5DDA" w:rsidRPr="00811AF2" w14:paraId="11EDA3A2"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764CD006" w14:textId="6DCE9A6E"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N</w:t>
            </w:r>
            <w:r>
              <w:rPr>
                <w:sz w:val="18"/>
                <w:szCs w:val="18"/>
                <w:lang w:eastAsia="ko-KR"/>
              </w:rPr>
              <w:t>ew Zealand</w:t>
            </w:r>
          </w:p>
        </w:tc>
        <w:tc>
          <w:tcPr>
            <w:tcW w:w="835" w:type="dxa"/>
            <w:shd w:val="clear" w:color="auto" w:fill="auto"/>
            <w:tcMar>
              <w:top w:w="28" w:type="dxa"/>
              <w:left w:w="102" w:type="dxa"/>
              <w:bottom w:w="28" w:type="dxa"/>
              <w:right w:w="102" w:type="dxa"/>
            </w:tcMar>
            <w:vAlign w:val="center"/>
          </w:tcPr>
          <w:p w14:paraId="7BD55C14" w14:textId="3DB5EBEF" w:rsidR="000C5DDA" w:rsidRPr="000C5DDA" w:rsidRDefault="000C5DDA" w:rsidP="000C5DDA">
            <w:pPr>
              <w:pStyle w:val="Tabletext"/>
              <w:jc w:val="center"/>
              <w:rPr>
                <w:sz w:val="18"/>
                <w:szCs w:val="18"/>
              </w:rPr>
            </w:pPr>
            <w:r w:rsidRPr="000C5DDA">
              <w:rPr>
                <w:sz w:val="18"/>
                <w:szCs w:val="18"/>
              </w:rPr>
              <w:t>1.0</w:t>
            </w:r>
          </w:p>
        </w:tc>
        <w:tc>
          <w:tcPr>
            <w:tcW w:w="855" w:type="dxa"/>
            <w:shd w:val="clear" w:color="auto" w:fill="auto"/>
            <w:tcMar>
              <w:top w:w="28" w:type="dxa"/>
              <w:left w:w="102" w:type="dxa"/>
              <w:bottom w:w="28" w:type="dxa"/>
              <w:right w:w="102" w:type="dxa"/>
            </w:tcMar>
            <w:vAlign w:val="center"/>
          </w:tcPr>
          <w:p w14:paraId="433A6CAB" w14:textId="4A7066EF"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3367AA46" w14:textId="3AC6B8A4"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2AFC0437" w14:textId="277D45AB" w:rsidR="000C5DDA" w:rsidRPr="000C5DDA" w:rsidRDefault="000C5DDA" w:rsidP="000C5DDA">
            <w:pPr>
              <w:pStyle w:val="Tabletext"/>
              <w:jc w:val="center"/>
              <w:rPr>
                <w:sz w:val="18"/>
                <w:szCs w:val="18"/>
              </w:rPr>
            </w:pPr>
            <w:r w:rsidRPr="000C5DDA">
              <w:rPr>
                <w:sz w:val="18"/>
                <w:szCs w:val="18"/>
              </w:rPr>
              <w:t>1.0</w:t>
            </w:r>
          </w:p>
        </w:tc>
        <w:tc>
          <w:tcPr>
            <w:tcW w:w="751" w:type="dxa"/>
            <w:shd w:val="clear" w:color="auto" w:fill="auto"/>
            <w:tcMar>
              <w:top w:w="28" w:type="dxa"/>
              <w:left w:w="102" w:type="dxa"/>
              <w:bottom w:w="28" w:type="dxa"/>
              <w:right w:w="102" w:type="dxa"/>
            </w:tcMar>
            <w:vAlign w:val="center"/>
          </w:tcPr>
          <w:p w14:paraId="213A8215" w14:textId="24A1E5BC"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5C9D19C6" w14:textId="2F4E01F7" w:rsidR="000C5DDA" w:rsidRPr="000C5DDA" w:rsidRDefault="000C5DDA" w:rsidP="000C5DDA">
            <w:pPr>
              <w:pStyle w:val="Tabletext"/>
              <w:jc w:val="center"/>
              <w:rPr>
                <w:sz w:val="18"/>
                <w:szCs w:val="18"/>
              </w:rPr>
            </w:pPr>
            <w:r w:rsidRPr="000C5DDA">
              <w:rPr>
                <w:sz w:val="18"/>
                <w:szCs w:val="18"/>
              </w:rPr>
              <w:t>1.0</w:t>
            </w:r>
          </w:p>
        </w:tc>
        <w:tc>
          <w:tcPr>
            <w:tcW w:w="577" w:type="dxa"/>
            <w:vAlign w:val="center"/>
          </w:tcPr>
          <w:p w14:paraId="11F298F9" w14:textId="592171B7" w:rsidR="000C5DDA" w:rsidRPr="000C5DDA" w:rsidRDefault="000C5DDA" w:rsidP="000C5DDA">
            <w:pPr>
              <w:pStyle w:val="Tabletext"/>
              <w:jc w:val="center"/>
              <w:rPr>
                <w:sz w:val="18"/>
                <w:szCs w:val="18"/>
              </w:rPr>
            </w:pPr>
            <w:r w:rsidRPr="000C5DDA">
              <w:rPr>
                <w:sz w:val="18"/>
                <w:szCs w:val="18"/>
              </w:rPr>
              <w:t>100.0%</w:t>
            </w:r>
          </w:p>
        </w:tc>
        <w:tc>
          <w:tcPr>
            <w:tcW w:w="396" w:type="dxa"/>
            <w:vAlign w:val="center"/>
          </w:tcPr>
          <w:p w14:paraId="22E34C58" w14:textId="6FEF69E3" w:rsidR="000C5DDA" w:rsidRPr="000C5DDA" w:rsidRDefault="000C5DDA" w:rsidP="000C5DDA">
            <w:pPr>
              <w:pStyle w:val="Tabletext"/>
              <w:jc w:val="center"/>
              <w:rPr>
                <w:sz w:val="18"/>
                <w:szCs w:val="18"/>
              </w:rPr>
            </w:pPr>
            <w:r w:rsidRPr="000C5DDA">
              <w:rPr>
                <w:sz w:val="18"/>
                <w:szCs w:val="18"/>
              </w:rPr>
              <w:t>1.0</w:t>
            </w:r>
          </w:p>
        </w:tc>
        <w:tc>
          <w:tcPr>
            <w:tcW w:w="577" w:type="dxa"/>
            <w:vAlign w:val="center"/>
          </w:tcPr>
          <w:p w14:paraId="04F4952D" w14:textId="6DE472CD" w:rsidR="000C5DDA" w:rsidRPr="000C5DDA" w:rsidRDefault="000C5DDA" w:rsidP="000C5DDA">
            <w:pPr>
              <w:pStyle w:val="Tabletext"/>
              <w:jc w:val="center"/>
              <w:rPr>
                <w:sz w:val="18"/>
                <w:szCs w:val="18"/>
              </w:rPr>
            </w:pPr>
            <w:r w:rsidRPr="000C5DDA">
              <w:rPr>
                <w:sz w:val="18"/>
                <w:szCs w:val="18"/>
              </w:rPr>
              <w:t>100.0%</w:t>
            </w:r>
          </w:p>
        </w:tc>
        <w:tc>
          <w:tcPr>
            <w:tcW w:w="838" w:type="dxa"/>
            <w:vAlign w:val="center"/>
          </w:tcPr>
          <w:p w14:paraId="360BA495" w14:textId="7245622E"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77B5BBAC" w14:textId="7424339D" w:rsidR="000C5DDA" w:rsidRPr="000C5DDA" w:rsidRDefault="000C5DDA" w:rsidP="000C5DDA">
            <w:pPr>
              <w:pStyle w:val="Tabletext"/>
              <w:jc w:val="center"/>
              <w:rPr>
                <w:sz w:val="18"/>
                <w:szCs w:val="18"/>
              </w:rPr>
            </w:pPr>
            <w:r w:rsidRPr="000C5DDA">
              <w:rPr>
                <w:sz w:val="18"/>
                <w:szCs w:val="18"/>
              </w:rPr>
              <w:t>0.0%</w:t>
            </w:r>
          </w:p>
        </w:tc>
      </w:tr>
      <w:tr w:rsidR="000C5DDA" w:rsidRPr="00811AF2" w14:paraId="48FDD850"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64AB31ED" w14:textId="7A351FF0"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P</w:t>
            </w:r>
            <w:r>
              <w:rPr>
                <w:sz w:val="18"/>
                <w:szCs w:val="18"/>
                <w:lang w:eastAsia="ko-KR"/>
              </w:rPr>
              <w:t>ortugal</w:t>
            </w:r>
          </w:p>
        </w:tc>
        <w:tc>
          <w:tcPr>
            <w:tcW w:w="835" w:type="dxa"/>
            <w:shd w:val="clear" w:color="auto" w:fill="auto"/>
            <w:tcMar>
              <w:top w:w="28" w:type="dxa"/>
              <w:left w:w="102" w:type="dxa"/>
              <w:bottom w:w="28" w:type="dxa"/>
              <w:right w:w="102" w:type="dxa"/>
            </w:tcMar>
            <w:vAlign w:val="center"/>
          </w:tcPr>
          <w:p w14:paraId="16A73428" w14:textId="34FAE8F6" w:rsidR="000C5DDA" w:rsidRPr="000C5DDA" w:rsidRDefault="000C5DDA" w:rsidP="000C5DDA">
            <w:pPr>
              <w:pStyle w:val="Tabletext"/>
              <w:jc w:val="center"/>
              <w:rPr>
                <w:sz w:val="18"/>
                <w:szCs w:val="18"/>
              </w:rPr>
            </w:pPr>
            <w:r w:rsidRPr="000C5DDA">
              <w:rPr>
                <w:sz w:val="18"/>
                <w:szCs w:val="18"/>
              </w:rPr>
              <w:t>2.0</w:t>
            </w:r>
          </w:p>
        </w:tc>
        <w:tc>
          <w:tcPr>
            <w:tcW w:w="855" w:type="dxa"/>
            <w:shd w:val="clear" w:color="auto" w:fill="auto"/>
            <w:tcMar>
              <w:top w:w="28" w:type="dxa"/>
              <w:left w:w="102" w:type="dxa"/>
              <w:bottom w:w="28" w:type="dxa"/>
              <w:right w:w="102" w:type="dxa"/>
            </w:tcMar>
            <w:vAlign w:val="center"/>
          </w:tcPr>
          <w:p w14:paraId="27889AF4" w14:textId="487FE97D"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3EAD53DD" w14:textId="5B2B77E0"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1A771B3B" w14:textId="531D25AB" w:rsidR="000C5DDA" w:rsidRPr="000C5DDA" w:rsidRDefault="000C5DDA" w:rsidP="000C5DDA">
            <w:pPr>
              <w:pStyle w:val="Tabletext"/>
              <w:jc w:val="center"/>
              <w:rPr>
                <w:sz w:val="18"/>
                <w:szCs w:val="18"/>
              </w:rPr>
            </w:pPr>
            <w:r w:rsidRPr="000C5DDA">
              <w:rPr>
                <w:sz w:val="18"/>
                <w:szCs w:val="18"/>
              </w:rPr>
              <w:t>2.0</w:t>
            </w:r>
          </w:p>
        </w:tc>
        <w:tc>
          <w:tcPr>
            <w:tcW w:w="751" w:type="dxa"/>
            <w:shd w:val="clear" w:color="auto" w:fill="auto"/>
            <w:tcMar>
              <w:top w:w="28" w:type="dxa"/>
              <w:left w:w="102" w:type="dxa"/>
              <w:bottom w:w="28" w:type="dxa"/>
              <w:right w:w="102" w:type="dxa"/>
            </w:tcMar>
            <w:vAlign w:val="center"/>
          </w:tcPr>
          <w:p w14:paraId="665C6705" w14:textId="130F061B"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01E91AB0" w14:textId="769E05B8"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66B18CAE" w14:textId="0646E7C4"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446ED8A3" w14:textId="54E209F2" w:rsidR="000C5DDA" w:rsidRPr="000C5DDA" w:rsidRDefault="000C5DDA" w:rsidP="000C5DDA">
            <w:pPr>
              <w:pStyle w:val="Tabletext"/>
              <w:jc w:val="center"/>
              <w:rPr>
                <w:sz w:val="18"/>
                <w:szCs w:val="18"/>
              </w:rPr>
            </w:pPr>
            <w:r w:rsidRPr="000C5DDA">
              <w:rPr>
                <w:sz w:val="18"/>
                <w:szCs w:val="18"/>
              </w:rPr>
              <w:t>0.7</w:t>
            </w:r>
          </w:p>
        </w:tc>
        <w:tc>
          <w:tcPr>
            <w:tcW w:w="577" w:type="dxa"/>
            <w:vAlign w:val="center"/>
          </w:tcPr>
          <w:p w14:paraId="6B79C57F" w14:textId="05252401" w:rsidR="000C5DDA" w:rsidRPr="000C5DDA" w:rsidRDefault="000C5DDA" w:rsidP="000C5DDA">
            <w:pPr>
              <w:pStyle w:val="Tabletext"/>
              <w:jc w:val="center"/>
              <w:rPr>
                <w:sz w:val="18"/>
                <w:szCs w:val="18"/>
              </w:rPr>
            </w:pPr>
            <w:r w:rsidRPr="000C5DDA">
              <w:rPr>
                <w:sz w:val="18"/>
                <w:szCs w:val="18"/>
              </w:rPr>
              <w:t>34.5%</w:t>
            </w:r>
          </w:p>
        </w:tc>
        <w:tc>
          <w:tcPr>
            <w:tcW w:w="838" w:type="dxa"/>
            <w:vAlign w:val="center"/>
          </w:tcPr>
          <w:p w14:paraId="399A82A3" w14:textId="263BC044"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77927776" w14:textId="3CAF2A4F" w:rsidR="000C5DDA" w:rsidRPr="000C5DDA" w:rsidRDefault="000C5DDA" w:rsidP="000C5DDA">
            <w:pPr>
              <w:pStyle w:val="Tabletext"/>
              <w:jc w:val="center"/>
              <w:rPr>
                <w:sz w:val="18"/>
                <w:szCs w:val="18"/>
              </w:rPr>
            </w:pPr>
            <w:r w:rsidRPr="000C5DDA">
              <w:rPr>
                <w:sz w:val="18"/>
                <w:szCs w:val="18"/>
              </w:rPr>
              <w:t>0.0%</w:t>
            </w:r>
          </w:p>
        </w:tc>
      </w:tr>
      <w:tr w:rsidR="000C5DDA" w:rsidRPr="00811AF2" w14:paraId="05272F49"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4D604503" w14:textId="180D59D4"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S</w:t>
            </w:r>
            <w:r>
              <w:rPr>
                <w:sz w:val="18"/>
                <w:szCs w:val="18"/>
                <w:lang w:eastAsia="ko-KR"/>
              </w:rPr>
              <w:t>erbia</w:t>
            </w:r>
          </w:p>
        </w:tc>
        <w:tc>
          <w:tcPr>
            <w:tcW w:w="835" w:type="dxa"/>
            <w:shd w:val="clear" w:color="auto" w:fill="auto"/>
            <w:tcMar>
              <w:top w:w="28" w:type="dxa"/>
              <w:left w:w="102" w:type="dxa"/>
              <w:bottom w:w="28" w:type="dxa"/>
              <w:right w:w="102" w:type="dxa"/>
            </w:tcMar>
            <w:vAlign w:val="center"/>
          </w:tcPr>
          <w:p w14:paraId="014456AA" w14:textId="31498C77" w:rsidR="000C5DDA" w:rsidRPr="000C5DDA" w:rsidRDefault="000C5DDA" w:rsidP="000C5DDA">
            <w:pPr>
              <w:pStyle w:val="Tabletext"/>
              <w:jc w:val="center"/>
              <w:rPr>
                <w:sz w:val="18"/>
                <w:szCs w:val="18"/>
              </w:rPr>
            </w:pPr>
            <w:r w:rsidRPr="000C5DDA">
              <w:rPr>
                <w:sz w:val="18"/>
                <w:szCs w:val="18"/>
              </w:rPr>
              <w:t>4.0</w:t>
            </w:r>
          </w:p>
        </w:tc>
        <w:tc>
          <w:tcPr>
            <w:tcW w:w="855" w:type="dxa"/>
            <w:shd w:val="clear" w:color="auto" w:fill="auto"/>
            <w:tcMar>
              <w:top w:w="28" w:type="dxa"/>
              <w:left w:w="102" w:type="dxa"/>
              <w:bottom w:w="28" w:type="dxa"/>
              <w:right w:w="102" w:type="dxa"/>
            </w:tcMar>
            <w:vAlign w:val="center"/>
          </w:tcPr>
          <w:p w14:paraId="35BD71AE" w14:textId="7344C5FF"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3FBEE359" w14:textId="57949C5A"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hideMark/>
          </w:tcPr>
          <w:p w14:paraId="1924A90C" w14:textId="3D9E58EE" w:rsidR="000C5DDA" w:rsidRPr="000C5DDA" w:rsidRDefault="000C5DDA" w:rsidP="000C5DDA">
            <w:pPr>
              <w:pStyle w:val="Tabletext"/>
              <w:jc w:val="center"/>
              <w:rPr>
                <w:sz w:val="18"/>
                <w:szCs w:val="18"/>
              </w:rPr>
            </w:pPr>
            <w:r w:rsidRPr="000C5DDA">
              <w:rPr>
                <w:sz w:val="18"/>
                <w:szCs w:val="18"/>
              </w:rPr>
              <w:t>4.0</w:t>
            </w:r>
          </w:p>
        </w:tc>
        <w:tc>
          <w:tcPr>
            <w:tcW w:w="751" w:type="dxa"/>
            <w:shd w:val="clear" w:color="auto" w:fill="auto"/>
            <w:tcMar>
              <w:top w:w="28" w:type="dxa"/>
              <w:left w:w="102" w:type="dxa"/>
              <w:bottom w:w="28" w:type="dxa"/>
              <w:right w:w="102" w:type="dxa"/>
            </w:tcMar>
            <w:vAlign w:val="center"/>
            <w:hideMark/>
          </w:tcPr>
          <w:p w14:paraId="2E75F16D" w14:textId="1F6D69B7"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7DBBA1AF" w14:textId="3BE18D9A" w:rsidR="000C5DDA" w:rsidRPr="000C5DDA" w:rsidRDefault="000C5DDA" w:rsidP="000C5DDA">
            <w:pPr>
              <w:pStyle w:val="Tabletext"/>
              <w:jc w:val="center"/>
              <w:rPr>
                <w:sz w:val="18"/>
                <w:szCs w:val="18"/>
              </w:rPr>
            </w:pPr>
            <w:r w:rsidRPr="000C5DDA">
              <w:rPr>
                <w:sz w:val="18"/>
                <w:szCs w:val="18"/>
              </w:rPr>
              <w:t>4.0</w:t>
            </w:r>
          </w:p>
        </w:tc>
        <w:tc>
          <w:tcPr>
            <w:tcW w:w="577" w:type="dxa"/>
            <w:vAlign w:val="center"/>
          </w:tcPr>
          <w:p w14:paraId="2236B488" w14:textId="07F00632" w:rsidR="000C5DDA" w:rsidRPr="000C5DDA" w:rsidRDefault="000C5DDA" w:rsidP="000C5DDA">
            <w:pPr>
              <w:pStyle w:val="Tabletext"/>
              <w:jc w:val="center"/>
              <w:rPr>
                <w:sz w:val="18"/>
                <w:szCs w:val="18"/>
              </w:rPr>
            </w:pPr>
            <w:r w:rsidRPr="000C5DDA">
              <w:rPr>
                <w:sz w:val="18"/>
                <w:szCs w:val="18"/>
              </w:rPr>
              <w:t>100.0%</w:t>
            </w:r>
          </w:p>
        </w:tc>
        <w:tc>
          <w:tcPr>
            <w:tcW w:w="396" w:type="dxa"/>
            <w:vAlign w:val="center"/>
          </w:tcPr>
          <w:p w14:paraId="27B885EC" w14:textId="5BE5D9C4" w:rsidR="000C5DDA" w:rsidRPr="000C5DDA" w:rsidRDefault="000C5DDA" w:rsidP="000C5DDA">
            <w:pPr>
              <w:pStyle w:val="Tabletext"/>
              <w:jc w:val="center"/>
              <w:rPr>
                <w:sz w:val="18"/>
                <w:szCs w:val="18"/>
              </w:rPr>
            </w:pPr>
            <w:r w:rsidRPr="000C5DDA">
              <w:rPr>
                <w:sz w:val="18"/>
                <w:szCs w:val="18"/>
              </w:rPr>
              <w:t>3.0</w:t>
            </w:r>
          </w:p>
        </w:tc>
        <w:tc>
          <w:tcPr>
            <w:tcW w:w="577" w:type="dxa"/>
            <w:vAlign w:val="center"/>
          </w:tcPr>
          <w:p w14:paraId="6CF67145" w14:textId="7D485082" w:rsidR="000C5DDA" w:rsidRPr="000C5DDA" w:rsidRDefault="000C5DDA" w:rsidP="000C5DDA">
            <w:pPr>
              <w:pStyle w:val="Tabletext"/>
              <w:jc w:val="center"/>
              <w:rPr>
                <w:sz w:val="18"/>
                <w:szCs w:val="18"/>
              </w:rPr>
            </w:pPr>
            <w:r w:rsidRPr="000C5DDA">
              <w:rPr>
                <w:sz w:val="18"/>
                <w:szCs w:val="18"/>
              </w:rPr>
              <w:t>75.0%</w:t>
            </w:r>
          </w:p>
        </w:tc>
        <w:tc>
          <w:tcPr>
            <w:tcW w:w="838" w:type="dxa"/>
            <w:vAlign w:val="center"/>
          </w:tcPr>
          <w:p w14:paraId="4564494B" w14:textId="3B08356E"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335CAB5F" w14:textId="420FB323" w:rsidR="000C5DDA" w:rsidRPr="000C5DDA" w:rsidRDefault="000C5DDA" w:rsidP="000C5DDA">
            <w:pPr>
              <w:pStyle w:val="Tabletext"/>
              <w:jc w:val="center"/>
              <w:rPr>
                <w:sz w:val="18"/>
                <w:szCs w:val="18"/>
              </w:rPr>
            </w:pPr>
            <w:r w:rsidRPr="000C5DDA">
              <w:rPr>
                <w:sz w:val="18"/>
                <w:szCs w:val="18"/>
              </w:rPr>
              <w:t>0.0%</w:t>
            </w:r>
          </w:p>
        </w:tc>
      </w:tr>
      <w:tr w:rsidR="000C5DDA" w:rsidRPr="00811AF2" w14:paraId="0A3A17CD"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4B4DB9D8" w14:textId="1928C9FE"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U</w:t>
            </w:r>
            <w:r>
              <w:rPr>
                <w:sz w:val="18"/>
                <w:szCs w:val="18"/>
                <w:lang w:eastAsia="ko-KR"/>
              </w:rPr>
              <w:t>zbekistan</w:t>
            </w:r>
          </w:p>
        </w:tc>
        <w:tc>
          <w:tcPr>
            <w:tcW w:w="835" w:type="dxa"/>
            <w:shd w:val="clear" w:color="auto" w:fill="auto"/>
            <w:tcMar>
              <w:top w:w="28" w:type="dxa"/>
              <w:left w:w="102" w:type="dxa"/>
              <w:bottom w:w="28" w:type="dxa"/>
              <w:right w:w="102" w:type="dxa"/>
            </w:tcMar>
            <w:vAlign w:val="center"/>
          </w:tcPr>
          <w:p w14:paraId="7FDF6164" w14:textId="4EC8C59D" w:rsidR="000C5DDA" w:rsidRPr="000C5DDA" w:rsidRDefault="000C5DDA" w:rsidP="000C5DDA">
            <w:pPr>
              <w:pStyle w:val="Tabletext"/>
              <w:jc w:val="center"/>
              <w:rPr>
                <w:sz w:val="18"/>
                <w:szCs w:val="18"/>
              </w:rPr>
            </w:pPr>
            <w:r w:rsidRPr="000C5DDA">
              <w:rPr>
                <w:sz w:val="18"/>
                <w:szCs w:val="18"/>
              </w:rPr>
              <w:t>2.1</w:t>
            </w:r>
          </w:p>
        </w:tc>
        <w:tc>
          <w:tcPr>
            <w:tcW w:w="855" w:type="dxa"/>
            <w:shd w:val="clear" w:color="auto" w:fill="auto"/>
            <w:tcMar>
              <w:top w:w="28" w:type="dxa"/>
              <w:left w:w="102" w:type="dxa"/>
              <w:bottom w:w="28" w:type="dxa"/>
              <w:right w:w="102" w:type="dxa"/>
            </w:tcMar>
            <w:vAlign w:val="center"/>
          </w:tcPr>
          <w:p w14:paraId="37A835EF" w14:textId="6D4BB4F5"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4B29EE5C" w14:textId="5E0A0D58"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22AA25C7" w14:textId="4731DCD3" w:rsidR="000C5DDA" w:rsidRPr="000C5DDA" w:rsidRDefault="000C5DDA" w:rsidP="000C5DDA">
            <w:pPr>
              <w:pStyle w:val="Tabletext"/>
              <w:jc w:val="center"/>
              <w:rPr>
                <w:sz w:val="18"/>
                <w:szCs w:val="18"/>
              </w:rPr>
            </w:pPr>
            <w:r w:rsidRPr="000C5DDA">
              <w:rPr>
                <w:sz w:val="18"/>
                <w:szCs w:val="18"/>
              </w:rPr>
              <w:t>2.1</w:t>
            </w:r>
          </w:p>
        </w:tc>
        <w:tc>
          <w:tcPr>
            <w:tcW w:w="751" w:type="dxa"/>
            <w:shd w:val="clear" w:color="auto" w:fill="auto"/>
            <w:tcMar>
              <w:top w:w="28" w:type="dxa"/>
              <w:left w:w="102" w:type="dxa"/>
              <w:bottom w:w="28" w:type="dxa"/>
              <w:right w:w="102" w:type="dxa"/>
            </w:tcMar>
            <w:vAlign w:val="center"/>
          </w:tcPr>
          <w:p w14:paraId="7477FB69" w14:textId="6F9A5112"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39F4ED39" w14:textId="3DD2D54A"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043D63C6" w14:textId="1DEE9040"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42296205" w14:textId="5599D82D" w:rsidR="000C5DDA" w:rsidRPr="000C5DDA" w:rsidRDefault="000C5DDA" w:rsidP="000C5DDA">
            <w:pPr>
              <w:pStyle w:val="Tabletext"/>
              <w:jc w:val="center"/>
              <w:rPr>
                <w:sz w:val="18"/>
                <w:szCs w:val="18"/>
              </w:rPr>
            </w:pPr>
            <w:r w:rsidRPr="000C5DDA">
              <w:rPr>
                <w:sz w:val="18"/>
                <w:szCs w:val="18"/>
              </w:rPr>
              <w:t>2.1</w:t>
            </w:r>
          </w:p>
        </w:tc>
        <w:tc>
          <w:tcPr>
            <w:tcW w:w="577" w:type="dxa"/>
            <w:vAlign w:val="center"/>
          </w:tcPr>
          <w:p w14:paraId="48A23168" w14:textId="4D43E4C1" w:rsidR="000C5DDA" w:rsidRPr="000C5DDA" w:rsidRDefault="000C5DDA" w:rsidP="000C5DDA">
            <w:pPr>
              <w:pStyle w:val="Tabletext"/>
              <w:jc w:val="center"/>
              <w:rPr>
                <w:sz w:val="18"/>
                <w:szCs w:val="18"/>
              </w:rPr>
            </w:pPr>
            <w:r w:rsidRPr="000C5DDA">
              <w:rPr>
                <w:sz w:val="18"/>
                <w:szCs w:val="18"/>
              </w:rPr>
              <w:t>100.0%</w:t>
            </w:r>
          </w:p>
        </w:tc>
        <w:tc>
          <w:tcPr>
            <w:tcW w:w="838" w:type="dxa"/>
            <w:vAlign w:val="center"/>
          </w:tcPr>
          <w:p w14:paraId="114E4996" w14:textId="129CD30C"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0369BB10" w14:textId="6AC0340E" w:rsidR="000C5DDA" w:rsidRPr="000C5DDA" w:rsidRDefault="000C5DDA" w:rsidP="000C5DDA">
            <w:pPr>
              <w:pStyle w:val="Tabletext"/>
              <w:jc w:val="center"/>
              <w:rPr>
                <w:sz w:val="18"/>
                <w:szCs w:val="18"/>
              </w:rPr>
            </w:pPr>
            <w:r w:rsidRPr="000C5DDA">
              <w:rPr>
                <w:sz w:val="18"/>
                <w:szCs w:val="18"/>
              </w:rPr>
              <w:t>0.0%</w:t>
            </w:r>
          </w:p>
        </w:tc>
      </w:tr>
      <w:tr w:rsidR="000C5DDA" w:rsidRPr="00811AF2" w14:paraId="5994A3EC"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71AFD5C8" w14:textId="5858A79F"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V</w:t>
            </w:r>
            <w:r>
              <w:rPr>
                <w:sz w:val="18"/>
                <w:szCs w:val="18"/>
                <w:lang w:eastAsia="ko-KR"/>
              </w:rPr>
              <w:t>ietnam</w:t>
            </w:r>
          </w:p>
        </w:tc>
        <w:tc>
          <w:tcPr>
            <w:tcW w:w="835" w:type="dxa"/>
            <w:shd w:val="clear" w:color="auto" w:fill="auto"/>
            <w:tcMar>
              <w:top w:w="28" w:type="dxa"/>
              <w:left w:w="102" w:type="dxa"/>
              <w:bottom w:w="28" w:type="dxa"/>
              <w:right w:w="102" w:type="dxa"/>
            </w:tcMar>
            <w:vAlign w:val="center"/>
          </w:tcPr>
          <w:p w14:paraId="01A95059" w14:textId="578B64E2" w:rsidR="000C5DDA" w:rsidRPr="000C5DDA" w:rsidRDefault="000C5DDA" w:rsidP="000C5DDA">
            <w:pPr>
              <w:pStyle w:val="Tabletext"/>
              <w:jc w:val="center"/>
              <w:rPr>
                <w:sz w:val="18"/>
                <w:szCs w:val="18"/>
              </w:rPr>
            </w:pPr>
            <w:r w:rsidRPr="000C5DDA">
              <w:rPr>
                <w:sz w:val="18"/>
                <w:szCs w:val="18"/>
              </w:rPr>
              <w:t>1.0</w:t>
            </w:r>
          </w:p>
        </w:tc>
        <w:tc>
          <w:tcPr>
            <w:tcW w:w="855" w:type="dxa"/>
            <w:shd w:val="clear" w:color="auto" w:fill="auto"/>
            <w:tcMar>
              <w:top w:w="28" w:type="dxa"/>
              <w:left w:w="102" w:type="dxa"/>
              <w:bottom w:w="28" w:type="dxa"/>
              <w:right w:w="102" w:type="dxa"/>
            </w:tcMar>
            <w:vAlign w:val="center"/>
          </w:tcPr>
          <w:p w14:paraId="577C0F04" w14:textId="2D22BC82"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4D58FE7F" w14:textId="174DAB17"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6A281E9C" w14:textId="0E15CD4E" w:rsidR="000C5DDA" w:rsidRPr="000C5DDA" w:rsidRDefault="000C5DDA" w:rsidP="000C5DDA">
            <w:pPr>
              <w:pStyle w:val="Tabletext"/>
              <w:jc w:val="center"/>
              <w:rPr>
                <w:sz w:val="18"/>
                <w:szCs w:val="18"/>
              </w:rPr>
            </w:pPr>
            <w:r w:rsidRPr="000C5DDA">
              <w:rPr>
                <w:sz w:val="18"/>
                <w:szCs w:val="18"/>
              </w:rPr>
              <w:t>1.0</w:t>
            </w:r>
          </w:p>
        </w:tc>
        <w:tc>
          <w:tcPr>
            <w:tcW w:w="751" w:type="dxa"/>
            <w:shd w:val="clear" w:color="auto" w:fill="auto"/>
            <w:tcMar>
              <w:top w:w="28" w:type="dxa"/>
              <w:left w:w="102" w:type="dxa"/>
              <w:bottom w:w="28" w:type="dxa"/>
              <w:right w:w="102" w:type="dxa"/>
            </w:tcMar>
            <w:vAlign w:val="center"/>
          </w:tcPr>
          <w:p w14:paraId="202B23A9" w14:textId="2B7611A4"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3203CDD5" w14:textId="7EFB8E5A"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56FC2A23" w14:textId="3CA374ED"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22E95EAD" w14:textId="7F1D3F43"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6DE1E424" w14:textId="41A43FA1" w:rsidR="000C5DDA" w:rsidRPr="000C5DDA" w:rsidRDefault="000C5DDA" w:rsidP="000C5DDA">
            <w:pPr>
              <w:pStyle w:val="Tabletext"/>
              <w:jc w:val="center"/>
              <w:rPr>
                <w:sz w:val="18"/>
                <w:szCs w:val="18"/>
              </w:rPr>
            </w:pPr>
            <w:r w:rsidRPr="000C5DDA">
              <w:rPr>
                <w:sz w:val="18"/>
                <w:szCs w:val="18"/>
              </w:rPr>
              <w:t>0.0%</w:t>
            </w:r>
          </w:p>
        </w:tc>
        <w:tc>
          <w:tcPr>
            <w:tcW w:w="838" w:type="dxa"/>
            <w:vAlign w:val="center"/>
          </w:tcPr>
          <w:p w14:paraId="0DFA3C5B" w14:textId="41D4D46C"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53EA2B86" w14:textId="3EB0592C" w:rsidR="000C5DDA" w:rsidRPr="000C5DDA" w:rsidRDefault="000C5DDA" w:rsidP="000C5DDA">
            <w:pPr>
              <w:pStyle w:val="Tabletext"/>
              <w:jc w:val="center"/>
              <w:rPr>
                <w:sz w:val="18"/>
                <w:szCs w:val="18"/>
              </w:rPr>
            </w:pPr>
            <w:r w:rsidRPr="000C5DDA">
              <w:rPr>
                <w:sz w:val="18"/>
                <w:szCs w:val="18"/>
              </w:rPr>
              <w:t>0.0%</w:t>
            </w:r>
          </w:p>
        </w:tc>
      </w:tr>
      <w:tr w:rsidR="000C5DDA" w:rsidRPr="00811AF2" w14:paraId="22A7063C" w14:textId="77777777" w:rsidTr="000C5DDA">
        <w:trPr>
          <w:trHeight w:val="226"/>
          <w:jc w:val="center"/>
        </w:trPr>
        <w:tc>
          <w:tcPr>
            <w:tcW w:w="1268" w:type="dxa"/>
            <w:shd w:val="clear" w:color="auto" w:fill="auto"/>
            <w:tcMar>
              <w:top w:w="28" w:type="dxa"/>
              <w:left w:w="102" w:type="dxa"/>
              <w:bottom w:w="28" w:type="dxa"/>
              <w:right w:w="102" w:type="dxa"/>
            </w:tcMar>
            <w:vAlign w:val="center"/>
          </w:tcPr>
          <w:p w14:paraId="36617252" w14:textId="70CE7146" w:rsidR="000C5DDA" w:rsidRPr="000C5DDA" w:rsidRDefault="000C5DDA" w:rsidP="000C5DDA">
            <w:pPr>
              <w:pStyle w:val="Tabletext"/>
              <w:rPr>
                <w:rFonts w:eastAsia="굴림"/>
                <w:color w:val="000000"/>
                <w:spacing w:val="-10"/>
                <w:w w:val="99"/>
                <w:sz w:val="18"/>
                <w:szCs w:val="18"/>
                <w:lang w:val="en-US" w:eastAsia="ko-KR"/>
              </w:rPr>
            </w:pPr>
            <w:r>
              <w:rPr>
                <w:rFonts w:hint="eastAsia"/>
                <w:sz w:val="18"/>
                <w:szCs w:val="18"/>
                <w:lang w:eastAsia="ko-KR"/>
              </w:rPr>
              <w:t>Z</w:t>
            </w:r>
            <w:r>
              <w:rPr>
                <w:sz w:val="18"/>
                <w:szCs w:val="18"/>
                <w:lang w:eastAsia="ko-KR"/>
              </w:rPr>
              <w:t>imbabwe</w:t>
            </w:r>
          </w:p>
        </w:tc>
        <w:tc>
          <w:tcPr>
            <w:tcW w:w="835" w:type="dxa"/>
            <w:shd w:val="clear" w:color="auto" w:fill="auto"/>
            <w:tcMar>
              <w:top w:w="28" w:type="dxa"/>
              <w:left w:w="102" w:type="dxa"/>
              <w:bottom w:w="28" w:type="dxa"/>
              <w:right w:w="102" w:type="dxa"/>
            </w:tcMar>
            <w:vAlign w:val="center"/>
          </w:tcPr>
          <w:p w14:paraId="536B889B" w14:textId="0B245E39" w:rsidR="000C5DDA" w:rsidRPr="000C5DDA" w:rsidRDefault="000C5DDA" w:rsidP="000C5DDA">
            <w:pPr>
              <w:pStyle w:val="Tabletext"/>
              <w:jc w:val="center"/>
              <w:rPr>
                <w:sz w:val="18"/>
                <w:szCs w:val="18"/>
              </w:rPr>
            </w:pPr>
            <w:r w:rsidRPr="000C5DDA">
              <w:rPr>
                <w:sz w:val="18"/>
                <w:szCs w:val="18"/>
              </w:rPr>
              <w:t>0.9</w:t>
            </w:r>
          </w:p>
        </w:tc>
        <w:tc>
          <w:tcPr>
            <w:tcW w:w="855" w:type="dxa"/>
            <w:shd w:val="clear" w:color="auto" w:fill="auto"/>
            <w:tcMar>
              <w:top w:w="28" w:type="dxa"/>
              <w:left w:w="102" w:type="dxa"/>
              <w:bottom w:w="28" w:type="dxa"/>
              <w:right w:w="102" w:type="dxa"/>
            </w:tcMar>
            <w:vAlign w:val="center"/>
          </w:tcPr>
          <w:p w14:paraId="5F6493D3" w14:textId="541E4ECE" w:rsidR="000C5DDA" w:rsidRPr="000C5DDA" w:rsidRDefault="000C5DDA" w:rsidP="000C5DDA">
            <w:pPr>
              <w:pStyle w:val="Tabletext"/>
              <w:jc w:val="center"/>
              <w:rPr>
                <w:sz w:val="18"/>
                <w:szCs w:val="18"/>
              </w:rPr>
            </w:pPr>
            <w:r w:rsidRPr="000C5DDA">
              <w:rPr>
                <w:sz w:val="18"/>
                <w:szCs w:val="18"/>
              </w:rPr>
              <w:t>0.0</w:t>
            </w:r>
          </w:p>
        </w:tc>
        <w:tc>
          <w:tcPr>
            <w:tcW w:w="751" w:type="dxa"/>
            <w:shd w:val="clear" w:color="auto" w:fill="auto"/>
            <w:tcMar>
              <w:top w:w="28" w:type="dxa"/>
              <w:left w:w="102" w:type="dxa"/>
              <w:bottom w:w="28" w:type="dxa"/>
              <w:right w:w="102" w:type="dxa"/>
            </w:tcMar>
            <w:vAlign w:val="center"/>
          </w:tcPr>
          <w:p w14:paraId="3087E69C" w14:textId="16E49B90" w:rsidR="000C5DDA" w:rsidRPr="000C5DDA" w:rsidRDefault="000C5DDA" w:rsidP="000C5DDA">
            <w:pPr>
              <w:pStyle w:val="Tabletext"/>
              <w:jc w:val="center"/>
              <w:rPr>
                <w:sz w:val="18"/>
                <w:szCs w:val="18"/>
              </w:rPr>
            </w:pPr>
            <w:r w:rsidRPr="000C5DDA">
              <w:rPr>
                <w:sz w:val="18"/>
                <w:szCs w:val="18"/>
              </w:rPr>
              <w:t>0.0%</w:t>
            </w:r>
          </w:p>
        </w:tc>
        <w:tc>
          <w:tcPr>
            <w:tcW w:w="802" w:type="dxa"/>
            <w:shd w:val="clear" w:color="auto" w:fill="auto"/>
            <w:tcMar>
              <w:top w:w="28" w:type="dxa"/>
              <w:left w:w="102" w:type="dxa"/>
              <w:bottom w:w="28" w:type="dxa"/>
              <w:right w:w="102" w:type="dxa"/>
            </w:tcMar>
            <w:vAlign w:val="center"/>
          </w:tcPr>
          <w:p w14:paraId="68A6CA28" w14:textId="738E241C" w:rsidR="000C5DDA" w:rsidRPr="000C5DDA" w:rsidRDefault="000C5DDA" w:rsidP="000C5DDA">
            <w:pPr>
              <w:pStyle w:val="Tabletext"/>
              <w:jc w:val="center"/>
              <w:rPr>
                <w:sz w:val="18"/>
                <w:szCs w:val="18"/>
              </w:rPr>
            </w:pPr>
            <w:r w:rsidRPr="000C5DDA">
              <w:rPr>
                <w:sz w:val="18"/>
                <w:szCs w:val="18"/>
              </w:rPr>
              <w:t>0.9</w:t>
            </w:r>
          </w:p>
        </w:tc>
        <w:tc>
          <w:tcPr>
            <w:tcW w:w="751" w:type="dxa"/>
            <w:shd w:val="clear" w:color="auto" w:fill="auto"/>
            <w:tcMar>
              <w:top w:w="28" w:type="dxa"/>
              <w:left w:w="102" w:type="dxa"/>
              <w:bottom w:w="28" w:type="dxa"/>
              <w:right w:w="102" w:type="dxa"/>
            </w:tcMar>
            <w:vAlign w:val="center"/>
          </w:tcPr>
          <w:p w14:paraId="61A6586A" w14:textId="0479081D" w:rsidR="000C5DDA" w:rsidRPr="000C5DDA" w:rsidRDefault="000C5DDA" w:rsidP="000C5DDA">
            <w:pPr>
              <w:pStyle w:val="Tabletext"/>
              <w:jc w:val="center"/>
              <w:rPr>
                <w:sz w:val="18"/>
                <w:szCs w:val="18"/>
              </w:rPr>
            </w:pPr>
            <w:r w:rsidRPr="000C5DDA">
              <w:rPr>
                <w:sz w:val="18"/>
                <w:szCs w:val="18"/>
              </w:rPr>
              <w:t>100.0%</w:t>
            </w:r>
          </w:p>
        </w:tc>
        <w:tc>
          <w:tcPr>
            <w:tcW w:w="800" w:type="dxa"/>
            <w:vAlign w:val="center"/>
          </w:tcPr>
          <w:p w14:paraId="459ACC53" w14:textId="4BB422C1"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5E9D629E" w14:textId="7B7A5EE6" w:rsidR="000C5DDA" w:rsidRPr="000C5DDA" w:rsidRDefault="000C5DDA" w:rsidP="000C5DDA">
            <w:pPr>
              <w:pStyle w:val="Tabletext"/>
              <w:jc w:val="center"/>
              <w:rPr>
                <w:sz w:val="18"/>
                <w:szCs w:val="18"/>
              </w:rPr>
            </w:pPr>
            <w:r w:rsidRPr="000C5DDA">
              <w:rPr>
                <w:sz w:val="18"/>
                <w:szCs w:val="18"/>
              </w:rPr>
              <w:t>0.0%</w:t>
            </w:r>
          </w:p>
        </w:tc>
        <w:tc>
          <w:tcPr>
            <w:tcW w:w="396" w:type="dxa"/>
            <w:vAlign w:val="center"/>
          </w:tcPr>
          <w:p w14:paraId="56DD38C4" w14:textId="740787BC"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7FD78A38" w14:textId="75A72D09" w:rsidR="000C5DDA" w:rsidRPr="000C5DDA" w:rsidRDefault="000C5DDA" w:rsidP="000C5DDA">
            <w:pPr>
              <w:pStyle w:val="Tabletext"/>
              <w:jc w:val="center"/>
              <w:rPr>
                <w:sz w:val="18"/>
                <w:szCs w:val="18"/>
              </w:rPr>
            </w:pPr>
            <w:r w:rsidRPr="000C5DDA">
              <w:rPr>
                <w:sz w:val="18"/>
                <w:szCs w:val="18"/>
              </w:rPr>
              <w:t>0.0%</w:t>
            </w:r>
          </w:p>
        </w:tc>
        <w:tc>
          <w:tcPr>
            <w:tcW w:w="838" w:type="dxa"/>
            <w:vAlign w:val="center"/>
          </w:tcPr>
          <w:p w14:paraId="0ADE9071" w14:textId="706B3940" w:rsidR="000C5DDA" w:rsidRPr="000C5DDA" w:rsidRDefault="000C5DDA" w:rsidP="000C5DDA">
            <w:pPr>
              <w:pStyle w:val="Tabletext"/>
              <w:jc w:val="center"/>
              <w:rPr>
                <w:sz w:val="18"/>
                <w:szCs w:val="18"/>
              </w:rPr>
            </w:pPr>
            <w:r w:rsidRPr="000C5DDA">
              <w:rPr>
                <w:sz w:val="18"/>
                <w:szCs w:val="18"/>
              </w:rPr>
              <w:t>0.0</w:t>
            </w:r>
          </w:p>
        </w:tc>
        <w:tc>
          <w:tcPr>
            <w:tcW w:w="577" w:type="dxa"/>
            <w:vAlign w:val="center"/>
          </w:tcPr>
          <w:p w14:paraId="1757E98A" w14:textId="3EA90AFE" w:rsidR="000C5DDA" w:rsidRPr="000C5DDA" w:rsidRDefault="000C5DDA" w:rsidP="000C5DDA">
            <w:pPr>
              <w:pStyle w:val="Tabletext"/>
              <w:jc w:val="center"/>
              <w:rPr>
                <w:sz w:val="18"/>
                <w:szCs w:val="18"/>
              </w:rPr>
            </w:pPr>
            <w:r w:rsidRPr="000C5DDA">
              <w:rPr>
                <w:sz w:val="18"/>
                <w:szCs w:val="18"/>
              </w:rPr>
              <w:t>0.0%</w:t>
            </w:r>
          </w:p>
        </w:tc>
      </w:tr>
    </w:tbl>
    <w:p w14:paraId="217970C4" w14:textId="77777777" w:rsidR="003D6506" w:rsidRDefault="003D6506" w:rsidP="002B5CFE">
      <w:pPr>
        <w:pStyle w:val="a1"/>
        <w:ind w:firstLine="0"/>
      </w:pPr>
    </w:p>
    <w:p w14:paraId="08A483DE" w14:textId="4A59A3CC" w:rsidR="00C56791" w:rsidRDefault="00762FAD" w:rsidP="00C56791">
      <w:pPr>
        <w:pStyle w:val="a1"/>
      </w:pPr>
      <w:r>
        <w:t>In Table 6, w</w:t>
      </w:r>
      <w:r w:rsidR="00C56791">
        <w:t>e</w:t>
      </w:r>
      <w:r w:rsidR="00183FE2" w:rsidRPr="00704810">
        <w:t xml:space="preserve"> compare the difference in nuclear power generation capacity needed to achieve the Announced Pledged Scenario (APS) and the Net Zero Emissions by 2050 Scenario (NZE) in 2050 with the current policy scenario (STEP)</w:t>
      </w:r>
      <w:r w:rsidR="0069077B" w:rsidRPr="00704810">
        <w:t>.</w:t>
      </w:r>
      <w:r w:rsidR="00183FE2" w:rsidRPr="00704810">
        <w:t xml:space="preserve"> The results indicate that among the 5</w:t>
      </w:r>
      <w:r w:rsidR="00AF413E">
        <w:t>3</w:t>
      </w:r>
      <w:r w:rsidR="00183FE2" w:rsidRPr="00704810">
        <w:t xml:space="preserve"> countries in the pre</w:t>
      </w:r>
      <w:r w:rsidR="0069077B" w:rsidRPr="00704810">
        <w:t>-</w:t>
      </w:r>
      <w:r w:rsidR="00183FE2" w:rsidRPr="00704810">
        <w:t xml:space="preserve">processed GCPT data, </w:t>
      </w:r>
      <w:r w:rsidR="00C56791">
        <w:t xml:space="preserve">the </w:t>
      </w:r>
      <w:r w:rsidR="00C56791" w:rsidRPr="00704810">
        <w:t>U.S. has 62.4 GW of coal plants available for SMR siting, which is sufficient to cover its nuclear capacity requirements of the IEA’s APS</w:t>
      </w:r>
      <w:r w:rsidR="00C56791">
        <w:t xml:space="preserve"> and NZE scenarios both</w:t>
      </w:r>
      <w:r w:rsidR="00C56791" w:rsidRPr="00704810">
        <w:t xml:space="preserve">, 13.8 GW. In China, </w:t>
      </w:r>
      <w:r w:rsidR="00C56791">
        <w:t xml:space="preserve">however, </w:t>
      </w:r>
      <w:r w:rsidR="00C56791" w:rsidRPr="00704810">
        <w:t xml:space="preserve">2.5 GW of coal plants could be suitable for SMR siting, which is less than its nuclear capacity requirements of </w:t>
      </w:r>
      <w:r w:rsidR="00C56791">
        <w:t xml:space="preserve">APS and </w:t>
      </w:r>
      <w:r w:rsidR="00C56791" w:rsidRPr="00704810">
        <w:t xml:space="preserve">NZE, </w:t>
      </w:r>
      <w:r w:rsidR="00C56791">
        <w:t xml:space="preserve">121.7 and </w:t>
      </w:r>
      <w:r w:rsidR="00C56791" w:rsidRPr="00704810">
        <w:t>110.6 GW</w:t>
      </w:r>
      <w:r w:rsidR="00C56791">
        <w:t>, respectively</w:t>
      </w:r>
      <w:r w:rsidR="00C56791" w:rsidRPr="00704810">
        <w:t>.</w:t>
      </w:r>
      <w:r w:rsidR="00C56791">
        <w:t xml:space="preserve"> Based on our siting analysis, population </w:t>
      </w:r>
      <w:r w:rsidR="00096548">
        <w:t xml:space="preserve">in China </w:t>
      </w:r>
      <w:r w:rsidR="00C56791">
        <w:t xml:space="preserve">is a major </w:t>
      </w:r>
      <w:r w:rsidR="00096548">
        <w:t>factor</w:t>
      </w:r>
      <w:r w:rsidR="00C56791">
        <w:t xml:space="preserve"> to make </w:t>
      </w:r>
      <w:r w:rsidR="00096548">
        <w:t>coal plants unsuitable for SMR replacement</w:t>
      </w:r>
      <w:r w:rsidR="00C56791">
        <w:t xml:space="preserve">. </w:t>
      </w:r>
    </w:p>
    <w:bookmarkEnd w:id="2"/>
    <w:p w14:paraId="5737740E" w14:textId="77777777" w:rsidR="00472C43" w:rsidRPr="00704810" w:rsidRDefault="00472C43" w:rsidP="00C56791">
      <w:pPr>
        <w:pStyle w:val="a1"/>
        <w:ind w:firstLine="0"/>
      </w:pPr>
    </w:p>
    <w:p w14:paraId="7DA69902" w14:textId="34F508D1" w:rsidR="00183FE2" w:rsidRPr="00704810" w:rsidRDefault="00472C43" w:rsidP="00880E11">
      <w:pPr>
        <w:pStyle w:val="a1"/>
        <w:ind w:firstLine="0"/>
      </w:pPr>
      <w:r w:rsidRPr="00704810">
        <w:t xml:space="preserve">TABLE </w:t>
      </w:r>
      <w:r w:rsidR="00762FAD">
        <w:t>6</w:t>
      </w:r>
      <w:r w:rsidRPr="00704810">
        <w:t>.</w:t>
      </w:r>
      <w:r w:rsidRPr="00704810">
        <w:tab/>
      </w:r>
      <w:r w:rsidR="00880E11" w:rsidRPr="00704810">
        <w:t xml:space="preserve">Comparison between </w:t>
      </w:r>
      <w:r w:rsidR="00A1396E" w:rsidRPr="00704810">
        <w:t>screened coal capacity and</w:t>
      </w:r>
      <w:r w:rsidR="00880E11" w:rsidRPr="00704810">
        <w:t xml:space="preserve"> </w:t>
      </w:r>
      <w:r w:rsidR="00762FAD">
        <w:t xml:space="preserve">IEA’s </w:t>
      </w:r>
      <w:r w:rsidR="00880E11" w:rsidRPr="00704810">
        <w:t>required nuclear</w:t>
      </w:r>
      <w:r w:rsidR="00A1396E" w:rsidRPr="00704810">
        <w:t xml:space="preserve"> </w:t>
      </w:r>
      <w:r w:rsidR="00880E11" w:rsidRPr="00704810">
        <w:t>capacity</w:t>
      </w:r>
    </w:p>
    <w:p w14:paraId="31A2C4C3" w14:textId="77777777" w:rsidR="007A45DA" w:rsidRPr="00704810" w:rsidRDefault="007A45DA" w:rsidP="00880E11">
      <w:pPr>
        <w:pStyle w:val="a1"/>
        <w:ind w:firstLine="0"/>
      </w:pPr>
    </w:p>
    <w:tbl>
      <w:tblPr>
        <w:tblOverlap w:val="neve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797"/>
        <w:gridCol w:w="1196"/>
        <w:gridCol w:w="1296"/>
        <w:gridCol w:w="1122"/>
        <w:gridCol w:w="1808"/>
        <w:gridCol w:w="1808"/>
      </w:tblGrid>
      <w:tr w:rsidR="007674C4" w:rsidRPr="00811AF2" w14:paraId="50812330" w14:textId="77777777" w:rsidTr="00811AF2">
        <w:trPr>
          <w:trHeight w:val="504"/>
          <w:jc w:val="center"/>
        </w:trPr>
        <w:tc>
          <w:tcPr>
            <w:tcW w:w="1844" w:type="dxa"/>
            <w:vMerge w:val="restart"/>
            <w:shd w:val="clear" w:color="auto" w:fill="auto"/>
            <w:tcMar>
              <w:top w:w="28" w:type="dxa"/>
              <w:left w:w="102" w:type="dxa"/>
              <w:bottom w:w="28" w:type="dxa"/>
              <w:right w:w="102" w:type="dxa"/>
            </w:tcMar>
            <w:vAlign w:val="center"/>
            <w:hideMark/>
          </w:tcPr>
          <w:p w14:paraId="0F0647FC" w14:textId="17A37233" w:rsidR="007674C4" w:rsidRPr="00811AF2" w:rsidRDefault="007674C4" w:rsidP="00AF413E">
            <w:pPr>
              <w:pStyle w:val="Tabletext"/>
              <w:jc w:val="left"/>
              <w:rPr>
                <w:rFonts w:eastAsia="굴림"/>
                <w:color w:val="000000"/>
                <w:spacing w:val="-14"/>
                <w:w w:val="99"/>
                <w:sz w:val="18"/>
                <w:szCs w:val="18"/>
                <w:lang w:val="en-US" w:eastAsia="ko-KR"/>
              </w:rPr>
            </w:pPr>
            <w:r w:rsidRPr="00811AF2">
              <w:rPr>
                <w:sz w:val="18"/>
                <w:szCs w:val="18"/>
              </w:rPr>
              <w:t>Country</w:t>
            </w:r>
          </w:p>
        </w:tc>
        <w:tc>
          <w:tcPr>
            <w:tcW w:w="2551" w:type="dxa"/>
            <w:gridSpan w:val="2"/>
            <w:shd w:val="clear" w:color="auto" w:fill="auto"/>
            <w:tcMar>
              <w:top w:w="28" w:type="dxa"/>
              <w:left w:w="102" w:type="dxa"/>
              <w:bottom w:w="28" w:type="dxa"/>
              <w:right w:w="102" w:type="dxa"/>
            </w:tcMar>
            <w:vAlign w:val="center"/>
            <w:hideMark/>
          </w:tcPr>
          <w:p w14:paraId="09BC8C00" w14:textId="77777777" w:rsidR="007674C4" w:rsidRPr="00811AF2" w:rsidRDefault="007674C4" w:rsidP="00811AF2">
            <w:pPr>
              <w:pStyle w:val="Tabletext"/>
              <w:jc w:val="center"/>
              <w:rPr>
                <w:sz w:val="18"/>
                <w:szCs w:val="18"/>
              </w:rPr>
            </w:pPr>
            <w:r w:rsidRPr="00811AF2">
              <w:rPr>
                <w:sz w:val="18"/>
                <w:szCs w:val="18"/>
              </w:rPr>
              <w:t>Gap in required capacity between scenarios</w:t>
            </w:r>
          </w:p>
          <w:p w14:paraId="6FB09772" w14:textId="21539912" w:rsidR="007674C4" w:rsidRPr="00811AF2" w:rsidRDefault="007674C4" w:rsidP="00811AF2">
            <w:pPr>
              <w:pStyle w:val="Tabletext"/>
              <w:jc w:val="center"/>
              <w:rPr>
                <w:sz w:val="18"/>
                <w:szCs w:val="18"/>
              </w:rPr>
            </w:pPr>
            <w:r w:rsidRPr="00811AF2">
              <w:rPr>
                <w:sz w:val="18"/>
                <w:szCs w:val="18"/>
              </w:rPr>
              <w:t>(GW)</w:t>
            </w:r>
          </w:p>
        </w:tc>
        <w:tc>
          <w:tcPr>
            <w:tcW w:w="1134" w:type="dxa"/>
            <w:vMerge w:val="restart"/>
            <w:shd w:val="clear" w:color="auto" w:fill="auto"/>
            <w:tcMar>
              <w:top w:w="28" w:type="dxa"/>
              <w:left w:w="102" w:type="dxa"/>
              <w:bottom w:w="28" w:type="dxa"/>
              <w:right w:w="102" w:type="dxa"/>
            </w:tcMar>
            <w:vAlign w:val="center"/>
            <w:hideMark/>
          </w:tcPr>
          <w:p w14:paraId="429837AB" w14:textId="77777777" w:rsidR="007674C4" w:rsidRPr="00811AF2" w:rsidRDefault="007674C4" w:rsidP="00811AF2">
            <w:pPr>
              <w:pStyle w:val="Tabletext"/>
              <w:jc w:val="center"/>
              <w:rPr>
                <w:sz w:val="18"/>
                <w:szCs w:val="18"/>
              </w:rPr>
            </w:pPr>
            <w:r w:rsidRPr="00811AF2">
              <w:rPr>
                <w:sz w:val="18"/>
                <w:szCs w:val="18"/>
              </w:rPr>
              <w:t>Screened coal plant capacity</w:t>
            </w:r>
          </w:p>
          <w:p w14:paraId="649C72EF" w14:textId="77777777" w:rsidR="007674C4" w:rsidRPr="00811AF2" w:rsidRDefault="007674C4" w:rsidP="00811AF2">
            <w:pPr>
              <w:pStyle w:val="Tabletext"/>
              <w:jc w:val="center"/>
              <w:rPr>
                <w:sz w:val="18"/>
                <w:szCs w:val="18"/>
              </w:rPr>
            </w:pPr>
            <w:r w:rsidRPr="00811AF2">
              <w:rPr>
                <w:sz w:val="18"/>
                <w:szCs w:val="18"/>
              </w:rPr>
              <w:t>(GW)</w:t>
            </w:r>
          </w:p>
          <w:p w14:paraId="26576EE3" w14:textId="60F23687" w:rsidR="007674C4" w:rsidRPr="00811AF2" w:rsidRDefault="007674C4" w:rsidP="00811AF2">
            <w:pPr>
              <w:pStyle w:val="Tabletext"/>
              <w:jc w:val="center"/>
              <w:rPr>
                <w:sz w:val="18"/>
                <w:szCs w:val="18"/>
              </w:rPr>
            </w:pPr>
            <w:r w:rsidRPr="00811AF2">
              <w:rPr>
                <w:sz w:val="18"/>
                <w:szCs w:val="18"/>
              </w:rPr>
              <w:t>[c]</w:t>
            </w:r>
          </w:p>
        </w:tc>
        <w:tc>
          <w:tcPr>
            <w:tcW w:w="1843" w:type="dxa"/>
            <w:vMerge w:val="restart"/>
            <w:shd w:val="clear" w:color="auto" w:fill="auto"/>
            <w:tcMar>
              <w:top w:w="28" w:type="dxa"/>
              <w:left w:w="102" w:type="dxa"/>
              <w:bottom w:w="28" w:type="dxa"/>
              <w:right w:w="102" w:type="dxa"/>
            </w:tcMar>
            <w:vAlign w:val="center"/>
            <w:hideMark/>
          </w:tcPr>
          <w:p w14:paraId="1E513EEF" w14:textId="77777777" w:rsidR="007674C4" w:rsidRPr="00811AF2" w:rsidRDefault="007674C4" w:rsidP="00811AF2">
            <w:pPr>
              <w:pStyle w:val="Tabletext"/>
              <w:jc w:val="center"/>
              <w:rPr>
                <w:sz w:val="18"/>
                <w:szCs w:val="18"/>
              </w:rPr>
            </w:pPr>
            <w:r w:rsidRPr="00811AF2">
              <w:rPr>
                <w:sz w:val="18"/>
                <w:szCs w:val="18"/>
              </w:rPr>
              <w:t>Comparison with</w:t>
            </w:r>
          </w:p>
          <w:p w14:paraId="2DE80E93" w14:textId="73CD63D6" w:rsidR="007674C4" w:rsidRPr="00811AF2" w:rsidRDefault="007674C4" w:rsidP="00811AF2">
            <w:pPr>
              <w:pStyle w:val="Tabletext"/>
              <w:jc w:val="center"/>
              <w:rPr>
                <w:sz w:val="18"/>
                <w:szCs w:val="18"/>
              </w:rPr>
            </w:pPr>
            <w:r w:rsidRPr="00811AF2">
              <w:rPr>
                <w:sz w:val="18"/>
                <w:szCs w:val="18"/>
              </w:rPr>
              <w:t>APS-STEP</w:t>
            </w:r>
          </w:p>
          <w:p w14:paraId="28AC68FC" w14:textId="297C00DB" w:rsidR="007674C4" w:rsidRPr="00811AF2" w:rsidRDefault="007674C4" w:rsidP="00811AF2">
            <w:pPr>
              <w:pStyle w:val="Tabletext"/>
              <w:jc w:val="center"/>
              <w:rPr>
                <w:sz w:val="18"/>
                <w:szCs w:val="18"/>
              </w:rPr>
            </w:pPr>
            <w:r w:rsidRPr="00811AF2">
              <w:rPr>
                <w:sz w:val="18"/>
                <w:szCs w:val="18"/>
              </w:rPr>
              <w:t>[a] / [c]</w:t>
            </w:r>
          </w:p>
        </w:tc>
        <w:tc>
          <w:tcPr>
            <w:tcW w:w="1843" w:type="dxa"/>
            <w:vMerge w:val="restart"/>
            <w:shd w:val="clear" w:color="auto" w:fill="auto"/>
            <w:tcMar>
              <w:top w:w="28" w:type="dxa"/>
              <w:left w:w="102" w:type="dxa"/>
              <w:bottom w:w="28" w:type="dxa"/>
              <w:right w:w="102" w:type="dxa"/>
            </w:tcMar>
            <w:vAlign w:val="center"/>
            <w:hideMark/>
          </w:tcPr>
          <w:p w14:paraId="593672A9" w14:textId="15398BA2" w:rsidR="007674C4" w:rsidRPr="00811AF2" w:rsidRDefault="007674C4" w:rsidP="00811AF2">
            <w:pPr>
              <w:pStyle w:val="Tabletext"/>
              <w:jc w:val="center"/>
              <w:rPr>
                <w:sz w:val="18"/>
                <w:szCs w:val="18"/>
              </w:rPr>
            </w:pPr>
            <w:r w:rsidRPr="00811AF2">
              <w:rPr>
                <w:sz w:val="18"/>
                <w:szCs w:val="18"/>
              </w:rPr>
              <w:t>Comparison with</w:t>
            </w:r>
          </w:p>
          <w:p w14:paraId="18D9A6AC" w14:textId="77777777" w:rsidR="007674C4" w:rsidRPr="00811AF2" w:rsidRDefault="007674C4" w:rsidP="00811AF2">
            <w:pPr>
              <w:pStyle w:val="Tabletext"/>
              <w:jc w:val="center"/>
              <w:rPr>
                <w:sz w:val="18"/>
                <w:szCs w:val="18"/>
              </w:rPr>
            </w:pPr>
            <w:r w:rsidRPr="00811AF2">
              <w:rPr>
                <w:sz w:val="18"/>
                <w:szCs w:val="18"/>
              </w:rPr>
              <w:t>NZE-STEP</w:t>
            </w:r>
          </w:p>
          <w:p w14:paraId="4CD63376" w14:textId="70DBCFD3" w:rsidR="007674C4" w:rsidRPr="00811AF2" w:rsidRDefault="007674C4" w:rsidP="00811AF2">
            <w:pPr>
              <w:pStyle w:val="Tabletext"/>
              <w:jc w:val="center"/>
              <w:rPr>
                <w:sz w:val="18"/>
                <w:szCs w:val="18"/>
              </w:rPr>
            </w:pPr>
            <w:r w:rsidRPr="00811AF2">
              <w:rPr>
                <w:sz w:val="18"/>
                <w:szCs w:val="18"/>
              </w:rPr>
              <w:t>[b] / [c]</w:t>
            </w:r>
          </w:p>
        </w:tc>
      </w:tr>
      <w:tr w:rsidR="007674C4" w:rsidRPr="00811AF2" w14:paraId="4B3923A9" w14:textId="77777777" w:rsidTr="00811AF2">
        <w:trPr>
          <w:trHeight w:val="283"/>
          <w:jc w:val="center"/>
        </w:trPr>
        <w:tc>
          <w:tcPr>
            <w:tcW w:w="1844" w:type="dxa"/>
            <w:vMerge/>
            <w:shd w:val="clear" w:color="auto" w:fill="auto"/>
            <w:vAlign w:val="center"/>
            <w:hideMark/>
          </w:tcPr>
          <w:p w14:paraId="052FC2CE" w14:textId="77777777" w:rsidR="007674C4" w:rsidRPr="00811AF2" w:rsidRDefault="007674C4" w:rsidP="00811AF2">
            <w:pPr>
              <w:pStyle w:val="Tabletext"/>
              <w:jc w:val="center"/>
              <w:rPr>
                <w:rFonts w:eastAsia="굴림"/>
                <w:color w:val="000000"/>
                <w:spacing w:val="-14"/>
                <w:w w:val="99"/>
                <w:sz w:val="18"/>
                <w:szCs w:val="18"/>
                <w:lang w:val="en-US" w:eastAsia="ko-KR"/>
              </w:rPr>
            </w:pPr>
          </w:p>
        </w:tc>
        <w:tc>
          <w:tcPr>
            <w:tcW w:w="1223" w:type="dxa"/>
            <w:shd w:val="clear" w:color="auto" w:fill="auto"/>
            <w:tcMar>
              <w:top w:w="28" w:type="dxa"/>
              <w:left w:w="102" w:type="dxa"/>
              <w:bottom w:w="28" w:type="dxa"/>
              <w:right w:w="102" w:type="dxa"/>
            </w:tcMar>
            <w:vAlign w:val="center"/>
            <w:hideMark/>
          </w:tcPr>
          <w:p w14:paraId="15C0ABB0" w14:textId="77777777" w:rsidR="007674C4" w:rsidRPr="00811AF2" w:rsidRDefault="007674C4" w:rsidP="00811AF2">
            <w:pPr>
              <w:pStyle w:val="Tabletext"/>
              <w:jc w:val="center"/>
              <w:rPr>
                <w:sz w:val="18"/>
                <w:szCs w:val="18"/>
              </w:rPr>
            </w:pPr>
            <w:r w:rsidRPr="00811AF2">
              <w:rPr>
                <w:sz w:val="18"/>
                <w:szCs w:val="18"/>
              </w:rPr>
              <w:t>APS-STEP</w:t>
            </w:r>
          </w:p>
          <w:p w14:paraId="4B7EB068" w14:textId="1B873C4E" w:rsidR="007674C4" w:rsidRPr="00811AF2" w:rsidRDefault="007674C4" w:rsidP="00811AF2">
            <w:pPr>
              <w:pStyle w:val="Tabletext"/>
              <w:jc w:val="center"/>
              <w:rPr>
                <w:sz w:val="18"/>
                <w:szCs w:val="18"/>
              </w:rPr>
            </w:pPr>
            <w:r w:rsidRPr="00811AF2">
              <w:rPr>
                <w:sz w:val="18"/>
                <w:szCs w:val="18"/>
              </w:rPr>
              <w:t>[a]</w:t>
            </w:r>
          </w:p>
        </w:tc>
        <w:tc>
          <w:tcPr>
            <w:tcW w:w="1328" w:type="dxa"/>
            <w:shd w:val="clear" w:color="auto" w:fill="auto"/>
            <w:tcMar>
              <w:top w:w="28" w:type="dxa"/>
              <w:left w:w="102" w:type="dxa"/>
              <w:bottom w:w="28" w:type="dxa"/>
              <w:right w:w="102" w:type="dxa"/>
            </w:tcMar>
            <w:vAlign w:val="center"/>
            <w:hideMark/>
          </w:tcPr>
          <w:p w14:paraId="4E97FDAB" w14:textId="77777777" w:rsidR="007674C4" w:rsidRPr="00811AF2" w:rsidRDefault="007674C4" w:rsidP="00811AF2">
            <w:pPr>
              <w:pStyle w:val="Tabletext"/>
              <w:jc w:val="center"/>
              <w:rPr>
                <w:sz w:val="18"/>
                <w:szCs w:val="18"/>
              </w:rPr>
            </w:pPr>
            <w:r w:rsidRPr="00811AF2">
              <w:rPr>
                <w:sz w:val="18"/>
                <w:szCs w:val="18"/>
              </w:rPr>
              <w:t>NZE-STEP</w:t>
            </w:r>
          </w:p>
          <w:p w14:paraId="56425F3F" w14:textId="37EB6270" w:rsidR="007674C4" w:rsidRPr="00811AF2" w:rsidRDefault="007674C4" w:rsidP="00811AF2">
            <w:pPr>
              <w:pStyle w:val="Tabletext"/>
              <w:jc w:val="center"/>
              <w:rPr>
                <w:sz w:val="18"/>
                <w:szCs w:val="18"/>
              </w:rPr>
            </w:pPr>
            <w:r w:rsidRPr="00811AF2">
              <w:rPr>
                <w:sz w:val="18"/>
                <w:szCs w:val="18"/>
              </w:rPr>
              <w:t>[b]</w:t>
            </w:r>
          </w:p>
        </w:tc>
        <w:tc>
          <w:tcPr>
            <w:tcW w:w="1134" w:type="dxa"/>
            <w:vMerge/>
            <w:shd w:val="clear" w:color="auto" w:fill="auto"/>
            <w:vAlign w:val="center"/>
            <w:hideMark/>
          </w:tcPr>
          <w:p w14:paraId="4B4CC914" w14:textId="77777777" w:rsidR="007674C4" w:rsidRPr="00811AF2" w:rsidRDefault="007674C4" w:rsidP="00811AF2">
            <w:pPr>
              <w:pStyle w:val="Tabletext"/>
              <w:jc w:val="center"/>
              <w:rPr>
                <w:sz w:val="18"/>
                <w:szCs w:val="18"/>
              </w:rPr>
            </w:pPr>
          </w:p>
        </w:tc>
        <w:tc>
          <w:tcPr>
            <w:tcW w:w="1843" w:type="dxa"/>
            <w:vMerge/>
            <w:shd w:val="clear" w:color="auto" w:fill="auto"/>
            <w:vAlign w:val="center"/>
            <w:hideMark/>
          </w:tcPr>
          <w:p w14:paraId="5BCAF242" w14:textId="77777777" w:rsidR="007674C4" w:rsidRPr="00811AF2" w:rsidRDefault="007674C4" w:rsidP="00811AF2">
            <w:pPr>
              <w:pStyle w:val="Tabletext"/>
              <w:jc w:val="center"/>
              <w:rPr>
                <w:sz w:val="18"/>
                <w:szCs w:val="18"/>
              </w:rPr>
            </w:pPr>
          </w:p>
        </w:tc>
        <w:tc>
          <w:tcPr>
            <w:tcW w:w="1843" w:type="dxa"/>
            <w:vMerge/>
            <w:shd w:val="clear" w:color="auto" w:fill="auto"/>
            <w:vAlign w:val="center"/>
            <w:hideMark/>
          </w:tcPr>
          <w:p w14:paraId="13BCC0B2" w14:textId="77777777" w:rsidR="007674C4" w:rsidRPr="00811AF2" w:rsidRDefault="007674C4" w:rsidP="00811AF2">
            <w:pPr>
              <w:pStyle w:val="Tabletext"/>
              <w:jc w:val="center"/>
              <w:rPr>
                <w:sz w:val="18"/>
                <w:szCs w:val="18"/>
              </w:rPr>
            </w:pPr>
          </w:p>
        </w:tc>
      </w:tr>
      <w:tr w:rsidR="007674C4" w:rsidRPr="00811AF2" w14:paraId="62A35764"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6A19F0AB" w14:textId="5EE632D8" w:rsidR="007674C4" w:rsidRPr="00811AF2" w:rsidRDefault="007674C4" w:rsidP="00AF413E">
            <w:pPr>
              <w:pStyle w:val="Tabletext"/>
              <w:jc w:val="left"/>
              <w:rPr>
                <w:rFonts w:eastAsia="굴림"/>
                <w:color w:val="000000"/>
                <w:spacing w:val="-10"/>
                <w:w w:val="99"/>
                <w:sz w:val="18"/>
                <w:szCs w:val="18"/>
                <w:lang w:val="en-US" w:eastAsia="ko-KR"/>
              </w:rPr>
            </w:pPr>
            <w:r w:rsidRPr="00811AF2">
              <w:rPr>
                <w:rFonts w:eastAsia="나눔고딕 Bold"/>
                <w:color w:val="000000"/>
                <w:spacing w:val="-10"/>
                <w:w w:val="99"/>
                <w:sz w:val="18"/>
                <w:szCs w:val="18"/>
                <w:lang w:val="en-US" w:eastAsia="ko-KR"/>
              </w:rPr>
              <w:t>World</w:t>
            </w:r>
          </w:p>
        </w:tc>
        <w:tc>
          <w:tcPr>
            <w:tcW w:w="1223" w:type="dxa"/>
            <w:shd w:val="clear" w:color="auto" w:fill="auto"/>
            <w:tcMar>
              <w:top w:w="28" w:type="dxa"/>
              <w:left w:w="102" w:type="dxa"/>
              <w:bottom w:w="28" w:type="dxa"/>
              <w:right w:w="102" w:type="dxa"/>
            </w:tcMar>
            <w:vAlign w:val="center"/>
            <w:hideMark/>
          </w:tcPr>
          <w:p w14:paraId="33ED926F" w14:textId="5BAE708F" w:rsidR="007674C4" w:rsidRPr="00811AF2" w:rsidRDefault="007674C4" w:rsidP="00811AF2">
            <w:pPr>
              <w:pStyle w:val="Tabletext"/>
              <w:jc w:val="center"/>
              <w:rPr>
                <w:sz w:val="18"/>
                <w:szCs w:val="18"/>
              </w:rPr>
            </w:pPr>
            <w:r w:rsidRPr="00811AF2">
              <w:rPr>
                <w:sz w:val="18"/>
                <w:szCs w:val="18"/>
              </w:rPr>
              <w:t>190.3</w:t>
            </w:r>
          </w:p>
        </w:tc>
        <w:tc>
          <w:tcPr>
            <w:tcW w:w="1328" w:type="dxa"/>
            <w:shd w:val="clear" w:color="auto" w:fill="auto"/>
            <w:tcMar>
              <w:top w:w="28" w:type="dxa"/>
              <w:left w:w="102" w:type="dxa"/>
              <w:bottom w:w="28" w:type="dxa"/>
              <w:right w:w="102" w:type="dxa"/>
            </w:tcMar>
            <w:vAlign w:val="center"/>
            <w:hideMark/>
          </w:tcPr>
          <w:p w14:paraId="3C177D53" w14:textId="4E210C51" w:rsidR="007674C4" w:rsidRPr="00811AF2" w:rsidRDefault="007674C4" w:rsidP="00811AF2">
            <w:pPr>
              <w:pStyle w:val="Tabletext"/>
              <w:jc w:val="center"/>
              <w:rPr>
                <w:sz w:val="18"/>
                <w:szCs w:val="18"/>
              </w:rPr>
            </w:pPr>
            <w:r w:rsidRPr="00811AF2">
              <w:rPr>
                <w:sz w:val="18"/>
                <w:szCs w:val="18"/>
              </w:rPr>
              <w:t>228.1</w:t>
            </w:r>
          </w:p>
        </w:tc>
        <w:tc>
          <w:tcPr>
            <w:tcW w:w="1134" w:type="dxa"/>
            <w:shd w:val="clear" w:color="auto" w:fill="auto"/>
            <w:tcMar>
              <w:top w:w="28" w:type="dxa"/>
              <w:left w:w="102" w:type="dxa"/>
              <w:bottom w:w="28" w:type="dxa"/>
              <w:right w:w="102" w:type="dxa"/>
            </w:tcMar>
            <w:vAlign w:val="center"/>
            <w:hideMark/>
          </w:tcPr>
          <w:p w14:paraId="6C2F9A30" w14:textId="77777777" w:rsidR="007674C4" w:rsidRPr="00811AF2" w:rsidRDefault="007674C4" w:rsidP="00811AF2">
            <w:pPr>
              <w:pStyle w:val="Tabletext"/>
              <w:jc w:val="center"/>
              <w:rPr>
                <w:sz w:val="18"/>
                <w:szCs w:val="18"/>
              </w:rPr>
            </w:pPr>
            <w:r w:rsidRPr="00811AF2">
              <w:rPr>
                <w:sz w:val="18"/>
                <w:szCs w:val="18"/>
              </w:rPr>
              <w:t>108.3</w:t>
            </w:r>
          </w:p>
        </w:tc>
        <w:tc>
          <w:tcPr>
            <w:tcW w:w="1843" w:type="dxa"/>
            <w:shd w:val="clear" w:color="auto" w:fill="auto"/>
            <w:tcMar>
              <w:top w:w="28" w:type="dxa"/>
              <w:left w:w="102" w:type="dxa"/>
              <w:bottom w:w="28" w:type="dxa"/>
              <w:right w:w="102" w:type="dxa"/>
            </w:tcMar>
            <w:vAlign w:val="center"/>
            <w:hideMark/>
          </w:tcPr>
          <w:p w14:paraId="793B16C0" w14:textId="77777777" w:rsidR="007674C4" w:rsidRPr="00811AF2" w:rsidRDefault="007674C4" w:rsidP="00811AF2">
            <w:pPr>
              <w:pStyle w:val="Tabletext"/>
              <w:jc w:val="center"/>
              <w:rPr>
                <w:sz w:val="18"/>
                <w:szCs w:val="18"/>
              </w:rPr>
            </w:pPr>
            <w:r w:rsidRPr="00811AF2">
              <w:rPr>
                <w:sz w:val="18"/>
                <w:szCs w:val="18"/>
              </w:rPr>
              <w:t>175.8%</w:t>
            </w:r>
          </w:p>
        </w:tc>
        <w:tc>
          <w:tcPr>
            <w:tcW w:w="1843" w:type="dxa"/>
            <w:shd w:val="clear" w:color="auto" w:fill="auto"/>
            <w:tcMar>
              <w:top w:w="28" w:type="dxa"/>
              <w:left w:w="102" w:type="dxa"/>
              <w:bottom w:w="28" w:type="dxa"/>
              <w:right w:w="102" w:type="dxa"/>
            </w:tcMar>
            <w:vAlign w:val="center"/>
            <w:hideMark/>
          </w:tcPr>
          <w:p w14:paraId="6AE4B291" w14:textId="77777777" w:rsidR="007674C4" w:rsidRPr="00811AF2" w:rsidRDefault="007674C4" w:rsidP="00811AF2">
            <w:pPr>
              <w:pStyle w:val="Tabletext"/>
              <w:jc w:val="center"/>
              <w:rPr>
                <w:sz w:val="18"/>
                <w:szCs w:val="18"/>
              </w:rPr>
            </w:pPr>
            <w:r w:rsidRPr="00811AF2">
              <w:rPr>
                <w:sz w:val="18"/>
                <w:szCs w:val="18"/>
              </w:rPr>
              <w:t>210.7%</w:t>
            </w:r>
          </w:p>
        </w:tc>
      </w:tr>
      <w:tr w:rsidR="007674C4" w:rsidRPr="00811AF2" w14:paraId="3195398A"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2F5C74C4" w14:textId="62333077" w:rsidR="007674C4" w:rsidRPr="00811AF2" w:rsidRDefault="007674C4"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North America</w:t>
            </w:r>
          </w:p>
        </w:tc>
        <w:tc>
          <w:tcPr>
            <w:tcW w:w="1223" w:type="dxa"/>
            <w:shd w:val="clear" w:color="auto" w:fill="auto"/>
            <w:tcMar>
              <w:top w:w="28" w:type="dxa"/>
              <w:left w:w="102" w:type="dxa"/>
              <w:bottom w:w="28" w:type="dxa"/>
              <w:right w:w="102" w:type="dxa"/>
            </w:tcMar>
            <w:vAlign w:val="center"/>
            <w:hideMark/>
          </w:tcPr>
          <w:p w14:paraId="6425132C" w14:textId="64E26E9E" w:rsidR="007674C4" w:rsidRPr="00811AF2" w:rsidRDefault="007674C4" w:rsidP="00811AF2">
            <w:pPr>
              <w:pStyle w:val="Tabletext"/>
              <w:jc w:val="center"/>
              <w:rPr>
                <w:sz w:val="18"/>
                <w:szCs w:val="18"/>
              </w:rPr>
            </w:pPr>
            <w:r w:rsidRPr="00811AF2">
              <w:rPr>
                <w:sz w:val="18"/>
                <w:szCs w:val="18"/>
              </w:rPr>
              <w:t>11.8</w:t>
            </w:r>
          </w:p>
        </w:tc>
        <w:tc>
          <w:tcPr>
            <w:tcW w:w="1328" w:type="dxa"/>
            <w:shd w:val="clear" w:color="auto" w:fill="auto"/>
            <w:tcMar>
              <w:top w:w="28" w:type="dxa"/>
              <w:left w:w="102" w:type="dxa"/>
              <w:bottom w:w="28" w:type="dxa"/>
              <w:right w:w="102" w:type="dxa"/>
            </w:tcMar>
            <w:vAlign w:val="center"/>
            <w:hideMark/>
          </w:tcPr>
          <w:p w14:paraId="7D5D6183" w14:textId="5DBA9284" w:rsidR="007674C4" w:rsidRPr="00811AF2" w:rsidRDefault="007674C4" w:rsidP="00811AF2">
            <w:pPr>
              <w:pStyle w:val="Tabletext"/>
              <w:jc w:val="center"/>
              <w:rPr>
                <w:sz w:val="18"/>
                <w:szCs w:val="18"/>
              </w:rPr>
            </w:pPr>
            <w:r w:rsidRPr="00811AF2">
              <w:rPr>
                <w:sz w:val="18"/>
                <w:szCs w:val="18"/>
              </w:rPr>
              <w:t>12.3</w:t>
            </w:r>
          </w:p>
        </w:tc>
        <w:tc>
          <w:tcPr>
            <w:tcW w:w="1134" w:type="dxa"/>
            <w:shd w:val="clear" w:color="auto" w:fill="auto"/>
            <w:tcMar>
              <w:top w:w="28" w:type="dxa"/>
              <w:left w:w="102" w:type="dxa"/>
              <w:bottom w:w="28" w:type="dxa"/>
              <w:right w:w="102" w:type="dxa"/>
            </w:tcMar>
            <w:vAlign w:val="center"/>
            <w:hideMark/>
          </w:tcPr>
          <w:p w14:paraId="0272D954" w14:textId="77777777" w:rsidR="007674C4" w:rsidRPr="00811AF2" w:rsidRDefault="007674C4" w:rsidP="00811AF2">
            <w:pPr>
              <w:pStyle w:val="Tabletext"/>
              <w:jc w:val="center"/>
              <w:rPr>
                <w:sz w:val="18"/>
                <w:szCs w:val="18"/>
              </w:rPr>
            </w:pPr>
            <w:r w:rsidRPr="00811AF2">
              <w:rPr>
                <w:sz w:val="18"/>
                <w:szCs w:val="18"/>
              </w:rPr>
              <w:t>68.0</w:t>
            </w:r>
          </w:p>
        </w:tc>
        <w:tc>
          <w:tcPr>
            <w:tcW w:w="1843" w:type="dxa"/>
            <w:shd w:val="clear" w:color="auto" w:fill="auto"/>
            <w:tcMar>
              <w:top w:w="28" w:type="dxa"/>
              <w:left w:w="102" w:type="dxa"/>
              <w:bottom w:w="28" w:type="dxa"/>
              <w:right w:w="102" w:type="dxa"/>
            </w:tcMar>
            <w:vAlign w:val="center"/>
            <w:hideMark/>
          </w:tcPr>
          <w:p w14:paraId="0B080D03" w14:textId="77777777" w:rsidR="007674C4" w:rsidRPr="00811AF2" w:rsidRDefault="007674C4" w:rsidP="00811AF2">
            <w:pPr>
              <w:pStyle w:val="Tabletext"/>
              <w:jc w:val="center"/>
              <w:rPr>
                <w:sz w:val="18"/>
                <w:szCs w:val="18"/>
              </w:rPr>
            </w:pPr>
            <w:r w:rsidRPr="00811AF2">
              <w:rPr>
                <w:sz w:val="18"/>
                <w:szCs w:val="18"/>
              </w:rPr>
              <w:t>17.3%</w:t>
            </w:r>
          </w:p>
        </w:tc>
        <w:tc>
          <w:tcPr>
            <w:tcW w:w="1843" w:type="dxa"/>
            <w:shd w:val="clear" w:color="auto" w:fill="auto"/>
            <w:tcMar>
              <w:top w:w="28" w:type="dxa"/>
              <w:left w:w="102" w:type="dxa"/>
              <w:bottom w:w="28" w:type="dxa"/>
              <w:right w:w="102" w:type="dxa"/>
            </w:tcMar>
            <w:vAlign w:val="center"/>
            <w:hideMark/>
          </w:tcPr>
          <w:p w14:paraId="4EE7E6FC" w14:textId="77777777" w:rsidR="007674C4" w:rsidRPr="00811AF2" w:rsidRDefault="007674C4" w:rsidP="00811AF2">
            <w:pPr>
              <w:pStyle w:val="Tabletext"/>
              <w:jc w:val="center"/>
              <w:rPr>
                <w:sz w:val="18"/>
                <w:szCs w:val="18"/>
              </w:rPr>
            </w:pPr>
            <w:r w:rsidRPr="00811AF2">
              <w:rPr>
                <w:sz w:val="18"/>
                <w:szCs w:val="18"/>
              </w:rPr>
              <w:t>18.1%</w:t>
            </w:r>
          </w:p>
        </w:tc>
      </w:tr>
      <w:tr w:rsidR="007674C4" w:rsidRPr="00811AF2" w14:paraId="03DFF224"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44CD322F" w14:textId="0ED96FB9" w:rsidR="007674C4" w:rsidRPr="00811AF2" w:rsidRDefault="007674C4" w:rsidP="00AF413E">
            <w:pPr>
              <w:pStyle w:val="Tabletext"/>
              <w:jc w:val="left"/>
              <w:rPr>
                <w:rFonts w:eastAsia="굴림"/>
                <w:color w:val="000000"/>
                <w:spacing w:val="-10"/>
                <w:w w:val="99"/>
                <w:sz w:val="18"/>
                <w:szCs w:val="18"/>
                <w:lang w:val="en-US" w:eastAsia="ko-KR"/>
              </w:rPr>
            </w:pPr>
            <w:r w:rsidRPr="00811AF2">
              <w:rPr>
                <w:rFonts w:eastAsia="굴림"/>
                <w:color w:val="000000"/>
                <w:spacing w:val="-10"/>
                <w:w w:val="99"/>
                <w:sz w:val="18"/>
                <w:szCs w:val="18"/>
                <w:lang w:val="en-US" w:eastAsia="ko-KR"/>
              </w:rPr>
              <w:t>United States</w:t>
            </w:r>
          </w:p>
        </w:tc>
        <w:tc>
          <w:tcPr>
            <w:tcW w:w="1223" w:type="dxa"/>
            <w:shd w:val="clear" w:color="auto" w:fill="auto"/>
            <w:tcMar>
              <w:top w:w="28" w:type="dxa"/>
              <w:left w:w="102" w:type="dxa"/>
              <w:bottom w:w="28" w:type="dxa"/>
              <w:right w:w="102" w:type="dxa"/>
            </w:tcMar>
            <w:vAlign w:val="center"/>
            <w:hideMark/>
          </w:tcPr>
          <w:p w14:paraId="181FD745" w14:textId="5993BA1A" w:rsidR="007674C4" w:rsidRPr="00811AF2" w:rsidRDefault="007674C4" w:rsidP="00811AF2">
            <w:pPr>
              <w:pStyle w:val="Tabletext"/>
              <w:jc w:val="center"/>
              <w:rPr>
                <w:sz w:val="18"/>
                <w:szCs w:val="18"/>
              </w:rPr>
            </w:pPr>
            <w:r w:rsidRPr="00811AF2">
              <w:rPr>
                <w:sz w:val="18"/>
                <w:szCs w:val="18"/>
              </w:rPr>
              <w:t>13.8</w:t>
            </w:r>
          </w:p>
        </w:tc>
        <w:tc>
          <w:tcPr>
            <w:tcW w:w="1328" w:type="dxa"/>
            <w:shd w:val="clear" w:color="auto" w:fill="auto"/>
            <w:tcMar>
              <w:top w:w="28" w:type="dxa"/>
              <w:left w:w="102" w:type="dxa"/>
              <w:bottom w:w="28" w:type="dxa"/>
              <w:right w:w="102" w:type="dxa"/>
            </w:tcMar>
            <w:vAlign w:val="center"/>
            <w:hideMark/>
          </w:tcPr>
          <w:p w14:paraId="18921FDA" w14:textId="135763B8" w:rsidR="007674C4" w:rsidRPr="00811AF2" w:rsidRDefault="007674C4" w:rsidP="00811AF2">
            <w:pPr>
              <w:pStyle w:val="Tabletext"/>
              <w:jc w:val="center"/>
              <w:rPr>
                <w:sz w:val="18"/>
                <w:szCs w:val="18"/>
              </w:rPr>
            </w:pPr>
            <w:r w:rsidRPr="00811AF2">
              <w:rPr>
                <w:sz w:val="18"/>
                <w:szCs w:val="18"/>
              </w:rPr>
              <w:t>13.8</w:t>
            </w:r>
          </w:p>
        </w:tc>
        <w:tc>
          <w:tcPr>
            <w:tcW w:w="1134" w:type="dxa"/>
            <w:shd w:val="clear" w:color="auto" w:fill="auto"/>
            <w:tcMar>
              <w:top w:w="28" w:type="dxa"/>
              <w:left w:w="102" w:type="dxa"/>
              <w:bottom w:w="28" w:type="dxa"/>
              <w:right w:w="102" w:type="dxa"/>
            </w:tcMar>
            <w:vAlign w:val="center"/>
            <w:hideMark/>
          </w:tcPr>
          <w:p w14:paraId="38DCA0FF" w14:textId="77777777" w:rsidR="007674C4" w:rsidRPr="00811AF2" w:rsidRDefault="007674C4" w:rsidP="00811AF2">
            <w:pPr>
              <w:pStyle w:val="Tabletext"/>
              <w:jc w:val="center"/>
              <w:rPr>
                <w:sz w:val="18"/>
                <w:szCs w:val="18"/>
              </w:rPr>
            </w:pPr>
            <w:r w:rsidRPr="00811AF2">
              <w:rPr>
                <w:sz w:val="18"/>
                <w:szCs w:val="18"/>
              </w:rPr>
              <w:t>62.4</w:t>
            </w:r>
          </w:p>
        </w:tc>
        <w:tc>
          <w:tcPr>
            <w:tcW w:w="1843" w:type="dxa"/>
            <w:shd w:val="clear" w:color="auto" w:fill="auto"/>
            <w:tcMar>
              <w:top w:w="28" w:type="dxa"/>
              <w:left w:w="102" w:type="dxa"/>
              <w:bottom w:w="28" w:type="dxa"/>
              <w:right w:w="102" w:type="dxa"/>
            </w:tcMar>
            <w:vAlign w:val="center"/>
            <w:hideMark/>
          </w:tcPr>
          <w:p w14:paraId="03193653" w14:textId="77777777" w:rsidR="007674C4" w:rsidRPr="00811AF2" w:rsidRDefault="007674C4" w:rsidP="00811AF2">
            <w:pPr>
              <w:pStyle w:val="Tabletext"/>
              <w:jc w:val="center"/>
              <w:rPr>
                <w:sz w:val="18"/>
                <w:szCs w:val="18"/>
              </w:rPr>
            </w:pPr>
            <w:r w:rsidRPr="00811AF2">
              <w:rPr>
                <w:sz w:val="18"/>
                <w:szCs w:val="18"/>
              </w:rPr>
              <w:t>22.1%</w:t>
            </w:r>
          </w:p>
        </w:tc>
        <w:tc>
          <w:tcPr>
            <w:tcW w:w="1843" w:type="dxa"/>
            <w:shd w:val="clear" w:color="auto" w:fill="auto"/>
            <w:tcMar>
              <w:top w:w="28" w:type="dxa"/>
              <w:left w:w="102" w:type="dxa"/>
              <w:bottom w:w="28" w:type="dxa"/>
              <w:right w:w="102" w:type="dxa"/>
            </w:tcMar>
            <w:vAlign w:val="center"/>
            <w:hideMark/>
          </w:tcPr>
          <w:p w14:paraId="7945BFE7" w14:textId="77777777" w:rsidR="007674C4" w:rsidRPr="00811AF2" w:rsidRDefault="007674C4" w:rsidP="00811AF2">
            <w:pPr>
              <w:pStyle w:val="Tabletext"/>
              <w:jc w:val="center"/>
              <w:rPr>
                <w:sz w:val="18"/>
                <w:szCs w:val="18"/>
              </w:rPr>
            </w:pPr>
            <w:r w:rsidRPr="00811AF2">
              <w:rPr>
                <w:sz w:val="18"/>
                <w:szCs w:val="18"/>
              </w:rPr>
              <w:t>22.1%</w:t>
            </w:r>
          </w:p>
        </w:tc>
      </w:tr>
      <w:tr w:rsidR="007674C4" w:rsidRPr="00811AF2" w14:paraId="7B3CABAE" w14:textId="77777777" w:rsidTr="00811AF2">
        <w:trPr>
          <w:trHeight w:val="278"/>
          <w:jc w:val="center"/>
        </w:trPr>
        <w:tc>
          <w:tcPr>
            <w:tcW w:w="1844" w:type="dxa"/>
            <w:shd w:val="clear" w:color="auto" w:fill="auto"/>
            <w:tcMar>
              <w:top w:w="28" w:type="dxa"/>
              <w:left w:w="102" w:type="dxa"/>
              <w:bottom w:w="28" w:type="dxa"/>
              <w:right w:w="102" w:type="dxa"/>
            </w:tcMar>
            <w:vAlign w:val="center"/>
            <w:hideMark/>
          </w:tcPr>
          <w:p w14:paraId="415904CD" w14:textId="3A7D9E5C" w:rsidR="007674C4" w:rsidRPr="00811AF2" w:rsidRDefault="007674C4"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Central and South America</w:t>
            </w:r>
          </w:p>
        </w:tc>
        <w:tc>
          <w:tcPr>
            <w:tcW w:w="1223" w:type="dxa"/>
            <w:shd w:val="clear" w:color="auto" w:fill="auto"/>
            <w:tcMar>
              <w:top w:w="28" w:type="dxa"/>
              <w:left w:w="102" w:type="dxa"/>
              <w:bottom w:w="28" w:type="dxa"/>
              <w:right w:w="102" w:type="dxa"/>
            </w:tcMar>
            <w:vAlign w:val="center"/>
            <w:hideMark/>
          </w:tcPr>
          <w:p w14:paraId="4CE49E75" w14:textId="1A994F61" w:rsidR="007674C4" w:rsidRPr="00811AF2" w:rsidRDefault="007674C4" w:rsidP="00811AF2">
            <w:pPr>
              <w:pStyle w:val="Tabletext"/>
              <w:jc w:val="center"/>
              <w:rPr>
                <w:sz w:val="18"/>
                <w:szCs w:val="18"/>
              </w:rPr>
            </w:pPr>
            <w:r w:rsidRPr="00811AF2">
              <w:rPr>
                <w:sz w:val="18"/>
                <w:szCs w:val="18"/>
              </w:rPr>
              <w:t>5.1</w:t>
            </w:r>
          </w:p>
        </w:tc>
        <w:tc>
          <w:tcPr>
            <w:tcW w:w="1328" w:type="dxa"/>
            <w:shd w:val="clear" w:color="auto" w:fill="auto"/>
            <w:tcMar>
              <w:top w:w="28" w:type="dxa"/>
              <w:left w:w="102" w:type="dxa"/>
              <w:bottom w:w="28" w:type="dxa"/>
              <w:right w:w="102" w:type="dxa"/>
            </w:tcMar>
            <w:vAlign w:val="center"/>
            <w:hideMark/>
          </w:tcPr>
          <w:p w14:paraId="799FC3D8" w14:textId="0687054C" w:rsidR="007674C4" w:rsidRPr="00811AF2" w:rsidRDefault="007674C4" w:rsidP="00811AF2">
            <w:pPr>
              <w:pStyle w:val="Tabletext"/>
              <w:jc w:val="center"/>
              <w:rPr>
                <w:sz w:val="18"/>
                <w:szCs w:val="18"/>
              </w:rPr>
            </w:pPr>
            <w:r w:rsidRPr="00811AF2">
              <w:rPr>
                <w:sz w:val="18"/>
                <w:szCs w:val="18"/>
              </w:rPr>
              <w:t>6.2</w:t>
            </w:r>
          </w:p>
        </w:tc>
        <w:tc>
          <w:tcPr>
            <w:tcW w:w="1134" w:type="dxa"/>
            <w:shd w:val="clear" w:color="auto" w:fill="auto"/>
            <w:tcMar>
              <w:top w:w="28" w:type="dxa"/>
              <w:left w:w="102" w:type="dxa"/>
              <w:bottom w:w="28" w:type="dxa"/>
              <w:right w:w="102" w:type="dxa"/>
            </w:tcMar>
            <w:vAlign w:val="center"/>
            <w:hideMark/>
          </w:tcPr>
          <w:p w14:paraId="01293168" w14:textId="77777777" w:rsidR="007674C4" w:rsidRPr="00811AF2" w:rsidRDefault="007674C4" w:rsidP="00811AF2">
            <w:pPr>
              <w:pStyle w:val="Tabletext"/>
              <w:jc w:val="center"/>
              <w:rPr>
                <w:sz w:val="18"/>
                <w:szCs w:val="18"/>
              </w:rPr>
            </w:pPr>
            <w:r w:rsidRPr="00811AF2">
              <w:rPr>
                <w:sz w:val="18"/>
                <w:szCs w:val="18"/>
              </w:rPr>
              <w:t>0.0</w:t>
            </w:r>
          </w:p>
        </w:tc>
        <w:tc>
          <w:tcPr>
            <w:tcW w:w="1843" w:type="dxa"/>
            <w:shd w:val="clear" w:color="auto" w:fill="auto"/>
            <w:tcMar>
              <w:top w:w="28" w:type="dxa"/>
              <w:left w:w="102" w:type="dxa"/>
              <w:bottom w:w="28" w:type="dxa"/>
              <w:right w:w="102" w:type="dxa"/>
            </w:tcMar>
            <w:vAlign w:val="center"/>
            <w:hideMark/>
          </w:tcPr>
          <w:p w14:paraId="245900AE" w14:textId="77777777" w:rsidR="007674C4" w:rsidRPr="00811AF2" w:rsidRDefault="007674C4" w:rsidP="00811AF2">
            <w:pPr>
              <w:pStyle w:val="Tabletext"/>
              <w:jc w:val="center"/>
              <w:rPr>
                <w:sz w:val="18"/>
                <w:szCs w:val="18"/>
              </w:rPr>
            </w:pPr>
            <w:r w:rsidRPr="00811AF2">
              <w:rPr>
                <w:sz w:val="18"/>
                <w:szCs w:val="18"/>
              </w:rPr>
              <w:t>-</w:t>
            </w:r>
          </w:p>
        </w:tc>
        <w:tc>
          <w:tcPr>
            <w:tcW w:w="1843" w:type="dxa"/>
            <w:shd w:val="clear" w:color="auto" w:fill="auto"/>
            <w:tcMar>
              <w:top w:w="28" w:type="dxa"/>
              <w:left w:w="102" w:type="dxa"/>
              <w:bottom w:w="28" w:type="dxa"/>
              <w:right w:w="102" w:type="dxa"/>
            </w:tcMar>
            <w:vAlign w:val="center"/>
            <w:hideMark/>
          </w:tcPr>
          <w:p w14:paraId="057BD8E6" w14:textId="77777777" w:rsidR="007674C4" w:rsidRPr="00811AF2" w:rsidRDefault="007674C4" w:rsidP="00811AF2">
            <w:pPr>
              <w:pStyle w:val="Tabletext"/>
              <w:jc w:val="center"/>
              <w:rPr>
                <w:sz w:val="18"/>
                <w:szCs w:val="18"/>
              </w:rPr>
            </w:pPr>
            <w:r w:rsidRPr="00811AF2">
              <w:rPr>
                <w:sz w:val="18"/>
                <w:szCs w:val="18"/>
              </w:rPr>
              <w:t>-</w:t>
            </w:r>
          </w:p>
        </w:tc>
      </w:tr>
      <w:tr w:rsidR="007674C4" w:rsidRPr="00811AF2" w14:paraId="44A9E75C"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61933CA4" w14:textId="4B30323C" w:rsidR="007674C4" w:rsidRPr="00811AF2" w:rsidRDefault="007674C4"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Brazil</w:t>
            </w:r>
          </w:p>
        </w:tc>
        <w:tc>
          <w:tcPr>
            <w:tcW w:w="1223" w:type="dxa"/>
            <w:shd w:val="clear" w:color="auto" w:fill="auto"/>
            <w:tcMar>
              <w:top w:w="28" w:type="dxa"/>
              <w:left w:w="102" w:type="dxa"/>
              <w:bottom w:w="28" w:type="dxa"/>
              <w:right w:w="102" w:type="dxa"/>
            </w:tcMar>
            <w:vAlign w:val="center"/>
            <w:hideMark/>
          </w:tcPr>
          <w:p w14:paraId="7C22004A" w14:textId="04E2EBE9" w:rsidR="007674C4" w:rsidRPr="00811AF2" w:rsidRDefault="007674C4" w:rsidP="00811AF2">
            <w:pPr>
              <w:pStyle w:val="Tabletext"/>
              <w:jc w:val="center"/>
              <w:rPr>
                <w:sz w:val="18"/>
                <w:szCs w:val="18"/>
              </w:rPr>
            </w:pPr>
            <w:r w:rsidRPr="00811AF2">
              <w:rPr>
                <w:sz w:val="18"/>
                <w:szCs w:val="18"/>
              </w:rPr>
              <w:t>2.5</w:t>
            </w:r>
          </w:p>
        </w:tc>
        <w:tc>
          <w:tcPr>
            <w:tcW w:w="1328" w:type="dxa"/>
            <w:shd w:val="clear" w:color="auto" w:fill="auto"/>
            <w:tcMar>
              <w:top w:w="28" w:type="dxa"/>
              <w:left w:w="102" w:type="dxa"/>
              <w:bottom w:w="28" w:type="dxa"/>
              <w:right w:w="102" w:type="dxa"/>
            </w:tcMar>
            <w:vAlign w:val="center"/>
            <w:hideMark/>
          </w:tcPr>
          <w:p w14:paraId="3F721B35" w14:textId="1080FF12" w:rsidR="007674C4" w:rsidRPr="00811AF2" w:rsidRDefault="007674C4" w:rsidP="00811AF2">
            <w:pPr>
              <w:pStyle w:val="Tabletext"/>
              <w:jc w:val="center"/>
              <w:rPr>
                <w:sz w:val="18"/>
                <w:szCs w:val="18"/>
              </w:rPr>
            </w:pPr>
            <w:r w:rsidRPr="00811AF2">
              <w:rPr>
                <w:sz w:val="18"/>
                <w:szCs w:val="18"/>
              </w:rPr>
              <w:t>2.5</w:t>
            </w:r>
          </w:p>
        </w:tc>
        <w:tc>
          <w:tcPr>
            <w:tcW w:w="1134" w:type="dxa"/>
            <w:shd w:val="clear" w:color="auto" w:fill="auto"/>
            <w:tcMar>
              <w:top w:w="28" w:type="dxa"/>
              <w:left w:w="102" w:type="dxa"/>
              <w:bottom w:w="28" w:type="dxa"/>
              <w:right w:w="102" w:type="dxa"/>
            </w:tcMar>
            <w:vAlign w:val="center"/>
            <w:hideMark/>
          </w:tcPr>
          <w:p w14:paraId="178A91B4" w14:textId="77777777" w:rsidR="007674C4" w:rsidRPr="00811AF2" w:rsidRDefault="007674C4" w:rsidP="00811AF2">
            <w:pPr>
              <w:pStyle w:val="Tabletext"/>
              <w:jc w:val="center"/>
              <w:rPr>
                <w:sz w:val="18"/>
                <w:szCs w:val="18"/>
              </w:rPr>
            </w:pPr>
            <w:r w:rsidRPr="00811AF2">
              <w:rPr>
                <w:sz w:val="18"/>
                <w:szCs w:val="18"/>
              </w:rPr>
              <w:t>0.0</w:t>
            </w:r>
          </w:p>
        </w:tc>
        <w:tc>
          <w:tcPr>
            <w:tcW w:w="1843" w:type="dxa"/>
            <w:shd w:val="clear" w:color="auto" w:fill="auto"/>
            <w:tcMar>
              <w:top w:w="28" w:type="dxa"/>
              <w:left w:w="102" w:type="dxa"/>
              <w:bottom w:w="28" w:type="dxa"/>
              <w:right w:w="102" w:type="dxa"/>
            </w:tcMar>
            <w:vAlign w:val="center"/>
            <w:hideMark/>
          </w:tcPr>
          <w:p w14:paraId="3A046AE0" w14:textId="77777777" w:rsidR="007674C4" w:rsidRPr="00811AF2" w:rsidRDefault="007674C4" w:rsidP="00811AF2">
            <w:pPr>
              <w:pStyle w:val="Tabletext"/>
              <w:jc w:val="center"/>
              <w:rPr>
                <w:sz w:val="18"/>
                <w:szCs w:val="18"/>
              </w:rPr>
            </w:pPr>
            <w:r w:rsidRPr="00811AF2">
              <w:rPr>
                <w:sz w:val="18"/>
                <w:szCs w:val="18"/>
              </w:rPr>
              <w:t>-</w:t>
            </w:r>
          </w:p>
        </w:tc>
        <w:tc>
          <w:tcPr>
            <w:tcW w:w="1843" w:type="dxa"/>
            <w:shd w:val="clear" w:color="auto" w:fill="auto"/>
            <w:tcMar>
              <w:top w:w="28" w:type="dxa"/>
              <w:left w:w="102" w:type="dxa"/>
              <w:bottom w:w="28" w:type="dxa"/>
              <w:right w:w="102" w:type="dxa"/>
            </w:tcMar>
            <w:vAlign w:val="center"/>
            <w:hideMark/>
          </w:tcPr>
          <w:p w14:paraId="5684EDF6" w14:textId="77777777" w:rsidR="007674C4" w:rsidRPr="00811AF2" w:rsidRDefault="007674C4" w:rsidP="00811AF2">
            <w:pPr>
              <w:pStyle w:val="Tabletext"/>
              <w:jc w:val="center"/>
              <w:rPr>
                <w:sz w:val="18"/>
                <w:szCs w:val="18"/>
              </w:rPr>
            </w:pPr>
            <w:r w:rsidRPr="00811AF2">
              <w:rPr>
                <w:sz w:val="18"/>
                <w:szCs w:val="18"/>
              </w:rPr>
              <w:t>-</w:t>
            </w:r>
          </w:p>
        </w:tc>
      </w:tr>
      <w:tr w:rsidR="007674C4" w:rsidRPr="00811AF2" w14:paraId="148A193E"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451D8AF7" w14:textId="7FD298A9" w:rsidR="007674C4" w:rsidRPr="00811AF2" w:rsidRDefault="007674C4"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Europe</w:t>
            </w:r>
          </w:p>
        </w:tc>
        <w:tc>
          <w:tcPr>
            <w:tcW w:w="1223" w:type="dxa"/>
            <w:shd w:val="clear" w:color="auto" w:fill="auto"/>
            <w:tcMar>
              <w:top w:w="28" w:type="dxa"/>
              <w:left w:w="102" w:type="dxa"/>
              <w:bottom w:w="28" w:type="dxa"/>
              <w:right w:w="102" w:type="dxa"/>
            </w:tcMar>
            <w:vAlign w:val="center"/>
            <w:hideMark/>
          </w:tcPr>
          <w:p w14:paraId="1B0091FD" w14:textId="3FC61C92" w:rsidR="007674C4" w:rsidRPr="00811AF2" w:rsidRDefault="007674C4" w:rsidP="00811AF2">
            <w:pPr>
              <w:pStyle w:val="Tabletext"/>
              <w:jc w:val="center"/>
              <w:rPr>
                <w:sz w:val="18"/>
                <w:szCs w:val="18"/>
              </w:rPr>
            </w:pPr>
            <w:r w:rsidRPr="00811AF2">
              <w:rPr>
                <w:sz w:val="18"/>
                <w:szCs w:val="18"/>
              </w:rPr>
              <w:t>6.4</w:t>
            </w:r>
          </w:p>
        </w:tc>
        <w:tc>
          <w:tcPr>
            <w:tcW w:w="1328" w:type="dxa"/>
            <w:shd w:val="clear" w:color="auto" w:fill="auto"/>
            <w:tcMar>
              <w:top w:w="28" w:type="dxa"/>
              <w:left w:w="102" w:type="dxa"/>
              <w:bottom w:w="28" w:type="dxa"/>
              <w:right w:w="102" w:type="dxa"/>
            </w:tcMar>
            <w:vAlign w:val="center"/>
            <w:hideMark/>
          </w:tcPr>
          <w:p w14:paraId="7FED6428" w14:textId="2E42EE5F" w:rsidR="007674C4" w:rsidRPr="00811AF2" w:rsidRDefault="007674C4" w:rsidP="00811AF2">
            <w:pPr>
              <w:pStyle w:val="Tabletext"/>
              <w:jc w:val="center"/>
              <w:rPr>
                <w:sz w:val="18"/>
                <w:szCs w:val="18"/>
              </w:rPr>
            </w:pPr>
            <w:r w:rsidRPr="00811AF2">
              <w:rPr>
                <w:sz w:val="18"/>
                <w:szCs w:val="18"/>
              </w:rPr>
              <w:t>8.0</w:t>
            </w:r>
          </w:p>
        </w:tc>
        <w:tc>
          <w:tcPr>
            <w:tcW w:w="1134" w:type="dxa"/>
            <w:shd w:val="clear" w:color="auto" w:fill="auto"/>
            <w:tcMar>
              <w:top w:w="28" w:type="dxa"/>
              <w:left w:w="102" w:type="dxa"/>
              <w:bottom w:w="28" w:type="dxa"/>
              <w:right w:w="102" w:type="dxa"/>
            </w:tcMar>
            <w:vAlign w:val="center"/>
            <w:hideMark/>
          </w:tcPr>
          <w:p w14:paraId="51285D26" w14:textId="58BF8A7A" w:rsidR="007674C4" w:rsidRPr="00811AF2" w:rsidRDefault="007674C4" w:rsidP="00811AF2">
            <w:pPr>
              <w:pStyle w:val="Tabletext"/>
              <w:jc w:val="center"/>
              <w:rPr>
                <w:sz w:val="18"/>
                <w:szCs w:val="18"/>
              </w:rPr>
            </w:pPr>
            <w:r w:rsidRPr="00811AF2">
              <w:rPr>
                <w:sz w:val="18"/>
                <w:szCs w:val="18"/>
              </w:rPr>
              <w:t>11.4</w:t>
            </w:r>
          </w:p>
        </w:tc>
        <w:tc>
          <w:tcPr>
            <w:tcW w:w="1843" w:type="dxa"/>
            <w:shd w:val="clear" w:color="auto" w:fill="auto"/>
            <w:tcMar>
              <w:top w:w="28" w:type="dxa"/>
              <w:left w:w="102" w:type="dxa"/>
              <w:bottom w:w="28" w:type="dxa"/>
              <w:right w:w="102" w:type="dxa"/>
            </w:tcMar>
            <w:vAlign w:val="center"/>
            <w:hideMark/>
          </w:tcPr>
          <w:p w14:paraId="148A5625" w14:textId="77777777" w:rsidR="007674C4" w:rsidRPr="00811AF2" w:rsidRDefault="007674C4" w:rsidP="00811AF2">
            <w:pPr>
              <w:pStyle w:val="Tabletext"/>
              <w:jc w:val="center"/>
              <w:rPr>
                <w:sz w:val="18"/>
                <w:szCs w:val="18"/>
              </w:rPr>
            </w:pPr>
            <w:r w:rsidRPr="00811AF2">
              <w:rPr>
                <w:sz w:val="18"/>
                <w:szCs w:val="18"/>
              </w:rPr>
              <w:t>55.9%</w:t>
            </w:r>
          </w:p>
        </w:tc>
        <w:tc>
          <w:tcPr>
            <w:tcW w:w="1843" w:type="dxa"/>
            <w:shd w:val="clear" w:color="auto" w:fill="auto"/>
            <w:tcMar>
              <w:top w:w="28" w:type="dxa"/>
              <w:left w:w="102" w:type="dxa"/>
              <w:bottom w:w="28" w:type="dxa"/>
              <w:right w:w="102" w:type="dxa"/>
            </w:tcMar>
            <w:vAlign w:val="center"/>
            <w:hideMark/>
          </w:tcPr>
          <w:p w14:paraId="1A178D08" w14:textId="77777777" w:rsidR="007674C4" w:rsidRPr="00811AF2" w:rsidRDefault="007674C4" w:rsidP="00811AF2">
            <w:pPr>
              <w:pStyle w:val="Tabletext"/>
              <w:jc w:val="center"/>
              <w:rPr>
                <w:sz w:val="18"/>
                <w:szCs w:val="18"/>
              </w:rPr>
            </w:pPr>
            <w:r w:rsidRPr="00811AF2">
              <w:rPr>
                <w:sz w:val="18"/>
                <w:szCs w:val="18"/>
              </w:rPr>
              <w:t>69.9%</w:t>
            </w:r>
          </w:p>
        </w:tc>
      </w:tr>
      <w:tr w:rsidR="007674C4" w:rsidRPr="00811AF2" w14:paraId="014CDE5C"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10F70EE2" w14:textId="6D97DE2A" w:rsidR="007674C4" w:rsidRPr="00811AF2" w:rsidRDefault="007674C4"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European Union</w:t>
            </w:r>
          </w:p>
        </w:tc>
        <w:tc>
          <w:tcPr>
            <w:tcW w:w="1223" w:type="dxa"/>
            <w:shd w:val="clear" w:color="auto" w:fill="auto"/>
            <w:tcMar>
              <w:top w:w="28" w:type="dxa"/>
              <w:left w:w="102" w:type="dxa"/>
              <w:bottom w:w="28" w:type="dxa"/>
              <w:right w:w="102" w:type="dxa"/>
            </w:tcMar>
            <w:vAlign w:val="center"/>
            <w:hideMark/>
          </w:tcPr>
          <w:p w14:paraId="25735F9A" w14:textId="47304D9A" w:rsidR="007674C4" w:rsidRPr="00811AF2" w:rsidRDefault="007674C4" w:rsidP="00811AF2">
            <w:pPr>
              <w:pStyle w:val="Tabletext"/>
              <w:jc w:val="center"/>
              <w:rPr>
                <w:sz w:val="18"/>
                <w:szCs w:val="18"/>
              </w:rPr>
            </w:pPr>
            <w:r w:rsidRPr="00811AF2">
              <w:rPr>
                <w:sz w:val="18"/>
                <w:szCs w:val="18"/>
              </w:rPr>
              <w:t>4.7</w:t>
            </w:r>
          </w:p>
        </w:tc>
        <w:tc>
          <w:tcPr>
            <w:tcW w:w="1328" w:type="dxa"/>
            <w:shd w:val="clear" w:color="auto" w:fill="auto"/>
            <w:tcMar>
              <w:top w:w="28" w:type="dxa"/>
              <w:left w:w="102" w:type="dxa"/>
              <w:bottom w:w="28" w:type="dxa"/>
              <w:right w:w="102" w:type="dxa"/>
            </w:tcMar>
            <w:vAlign w:val="center"/>
            <w:hideMark/>
          </w:tcPr>
          <w:p w14:paraId="56274C25" w14:textId="231DDA46" w:rsidR="007674C4" w:rsidRPr="00811AF2" w:rsidRDefault="007674C4" w:rsidP="00811AF2">
            <w:pPr>
              <w:pStyle w:val="Tabletext"/>
              <w:jc w:val="center"/>
              <w:rPr>
                <w:sz w:val="18"/>
                <w:szCs w:val="18"/>
              </w:rPr>
            </w:pPr>
            <w:r w:rsidRPr="00811AF2">
              <w:rPr>
                <w:sz w:val="18"/>
                <w:szCs w:val="18"/>
              </w:rPr>
              <w:t>4.7</w:t>
            </w:r>
          </w:p>
        </w:tc>
        <w:tc>
          <w:tcPr>
            <w:tcW w:w="1134" w:type="dxa"/>
            <w:shd w:val="clear" w:color="auto" w:fill="auto"/>
            <w:tcMar>
              <w:top w:w="28" w:type="dxa"/>
              <w:left w:w="102" w:type="dxa"/>
              <w:bottom w:w="28" w:type="dxa"/>
              <w:right w:w="102" w:type="dxa"/>
            </w:tcMar>
            <w:vAlign w:val="center"/>
            <w:hideMark/>
          </w:tcPr>
          <w:p w14:paraId="3CA0FFEF" w14:textId="77777777" w:rsidR="007674C4" w:rsidRPr="00811AF2" w:rsidRDefault="007674C4" w:rsidP="00811AF2">
            <w:pPr>
              <w:pStyle w:val="Tabletext"/>
              <w:jc w:val="center"/>
              <w:rPr>
                <w:sz w:val="18"/>
                <w:szCs w:val="18"/>
              </w:rPr>
            </w:pPr>
            <w:r w:rsidRPr="00811AF2">
              <w:rPr>
                <w:sz w:val="18"/>
                <w:szCs w:val="18"/>
              </w:rPr>
              <w:t>0.0</w:t>
            </w:r>
          </w:p>
        </w:tc>
        <w:tc>
          <w:tcPr>
            <w:tcW w:w="1843" w:type="dxa"/>
            <w:shd w:val="clear" w:color="auto" w:fill="auto"/>
            <w:tcMar>
              <w:top w:w="28" w:type="dxa"/>
              <w:left w:w="102" w:type="dxa"/>
              <w:bottom w:w="28" w:type="dxa"/>
              <w:right w:w="102" w:type="dxa"/>
            </w:tcMar>
            <w:vAlign w:val="center"/>
            <w:hideMark/>
          </w:tcPr>
          <w:p w14:paraId="07873B29" w14:textId="77777777" w:rsidR="007674C4" w:rsidRPr="00811AF2" w:rsidRDefault="007674C4" w:rsidP="00811AF2">
            <w:pPr>
              <w:pStyle w:val="Tabletext"/>
              <w:jc w:val="center"/>
              <w:rPr>
                <w:sz w:val="18"/>
                <w:szCs w:val="18"/>
              </w:rPr>
            </w:pPr>
            <w:r w:rsidRPr="00811AF2">
              <w:rPr>
                <w:sz w:val="18"/>
                <w:szCs w:val="18"/>
              </w:rPr>
              <w:t>-</w:t>
            </w:r>
          </w:p>
        </w:tc>
        <w:tc>
          <w:tcPr>
            <w:tcW w:w="1843" w:type="dxa"/>
            <w:shd w:val="clear" w:color="auto" w:fill="auto"/>
            <w:tcMar>
              <w:top w:w="28" w:type="dxa"/>
              <w:left w:w="102" w:type="dxa"/>
              <w:bottom w:w="28" w:type="dxa"/>
              <w:right w:w="102" w:type="dxa"/>
            </w:tcMar>
            <w:vAlign w:val="center"/>
            <w:hideMark/>
          </w:tcPr>
          <w:p w14:paraId="69F5445F" w14:textId="77777777" w:rsidR="007674C4" w:rsidRPr="00811AF2" w:rsidRDefault="007674C4" w:rsidP="00811AF2">
            <w:pPr>
              <w:pStyle w:val="Tabletext"/>
              <w:jc w:val="center"/>
              <w:rPr>
                <w:sz w:val="18"/>
                <w:szCs w:val="18"/>
              </w:rPr>
            </w:pPr>
            <w:r w:rsidRPr="00811AF2">
              <w:rPr>
                <w:sz w:val="18"/>
                <w:szCs w:val="18"/>
              </w:rPr>
              <w:t>-</w:t>
            </w:r>
          </w:p>
        </w:tc>
      </w:tr>
      <w:tr w:rsidR="007674C4" w:rsidRPr="00811AF2" w14:paraId="58DA6D57"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7CFB2DD5" w14:textId="6C8B5A7F" w:rsidR="007674C4" w:rsidRPr="00811AF2" w:rsidRDefault="007674C4"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Africa</w:t>
            </w:r>
          </w:p>
        </w:tc>
        <w:tc>
          <w:tcPr>
            <w:tcW w:w="1223" w:type="dxa"/>
            <w:shd w:val="clear" w:color="auto" w:fill="auto"/>
            <w:tcMar>
              <w:top w:w="28" w:type="dxa"/>
              <w:left w:w="102" w:type="dxa"/>
              <w:bottom w:w="28" w:type="dxa"/>
              <w:right w:w="102" w:type="dxa"/>
            </w:tcMar>
            <w:vAlign w:val="center"/>
            <w:hideMark/>
          </w:tcPr>
          <w:p w14:paraId="692B03C7" w14:textId="4B4B744A" w:rsidR="007674C4" w:rsidRPr="00811AF2" w:rsidRDefault="007674C4" w:rsidP="00811AF2">
            <w:pPr>
              <w:pStyle w:val="Tabletext"/>
              <w:jc w:val="center"/>
              <w:rPr>
                <w:sz w:val="18"/>
                <w:szCs w:val="18"/>
              </w:rPr>
            </w:pPr>
            <w:r w:rsidRPr="00811AF2">
              <w:rPr>
                <w:sz w:val="18"/>
                <w:szCs w:val="18"/>
              </w:rPr>
              <w:t>3.6</w:t>
            </w:r>
          </w:p>
        </w:tc>
        <w:tc>
          <w:tcPr>
            <w:tcW w:w="1328" w:type="dxa"/>
            <w:shd w:val="clear" w:color="auto" w:fill="auto"/>
            <w:tcMar>
              <w:top w:w="28" w:type="dxa"/>
              <w:left w:w="102" w:type="dxa"/>
              <w:bottom w:w="28" w:type="dxa"/>
              <w:right w:w="102" w:type="dxa"/>
            </w:tcMar>
            <w:vAlign w:val="center"/>
            <w:hideMark/>
          </w:tcPr>
          <w:p w14:paraId="323CDD82" w14:textId="28B911F4" w:rsidR="007674C4" w:rsidRPr="00811AF2" w:rsidRDefault="007674C4" w:rsidP="00811AF2">
            <w:pPr>
              <w:pStyle w:val="Tabletext"/>
              <w:jc w:val="center"/>
              <w:rPr>
                <w:sz w:val="18"/>
                <w:szCs w:val="18"/>
              </w:rPr>
            </w:pPr>
            <w:r w:rsidRPr="00811AF2">
              <w:rPr>
                <w:sz w:val="18"/>
                <w:szCs w:val="18"/>
              </w:rPr>
              <w:t>6.2</w:t>
            </w:r>
          </w:p>
        </w:tc>
        <w:tc>
          <w:tcPr>
            <w:tcW w:w="1134" w:type="dxa"/>
            <w:shd w:val="clear" w:color="auto" w:fill="auto"/>
            <w:tcMar>
              <w:top w:w="28" w:type="dxa"/>
              <w:left w:w="102" w:type="dxa"/>
              <w:bottom w:w="28" w:type="dxa"/>
              <w:right w:w="102" w:type="dxa"/>
            </w:tcMar>
            <w:vAlign w:val="center"/>
            <w:hideMark/>
          </w:tcPr>
          <w:p w14:paraId="640A9380" w14:textId="77777777" w:rsidR="007674C4" w:rsidRPr="00811AF2" w:rsidRDefault="007674C4" w:rsidP="00811AF2">
            <w:pPr>
              <w:pStyle w:val="Tabletext"/>
              <w:jc w:val="center"/>
              <w:rPr>
                <w:sz w:val="18"/>
                <w:szCs w:val="18"/>
              </w:rPr>
            </w:pPr>
            <w:r w:rsidRPr="00811AF2">
              <w:rPr>
                <w:sz w:val="18"/>
                <w:szCs w:val="18"/>
              </w:rPr>
              <w:t>0.0</w:t>
            </w:r>
          </w:p>
        </w:tc>
        <w:tc>
          <w:tcPr>
            <w:tcW w:w="1843" w:type="dxa"/>
            <w:shd w:val="clear" w:color="auto" w:fill="auto"/>
            <w:tcMar>
              <w:top w:w="28" w:type="dxa"/>
              <w:left w:w="102" w:type="dxa"/>
              <w:bottom w:w="28" w:type="dxa"/>
              <w:right w:w="102" w:type="dxa"/>
            </w:tcMar>
            <w:vAlign w:val="center"/>
            <w:hideMark/>
          </w:tcPr>
          <w:p w14:paraId="04C97616" w14:textId="77777777" w:rsidR="007674C4" w:rsidRPr="00811AF2" w:rsidRDefault="007674C4" w:rsidP="00811AF2">
            <w:pPr>
              <w:pStyle w:val="Tabletext"/>
              <w:jc w:val="center"/>
              <w:rPr>
                <w:sz w:val="18"/>
                <w:szCs w:val="18"/>
              </w:rPr>
            </w:pPr>
            <w:r w:rsidRPr="00811AF2">
              <w:rPr>
                <w:sz w:val="18"/>
                <w:szCs w:val="18"/>
              </w:rPr>
              <w:t>-</w:t>
            </w:r>
          </w:p>
        </w:tc>
        <w:tc>
          <w:tcPr>
            <w:tcW w:w="1843" w:type="dxa"/>
            <w:shd w:val="clear" w:color="auto" w:fill="auto"/>
            <w:tcMar>
              <w:top w:w="28" w:type="dxa"/>
              <w:left w:w="102" w:type="dxa"/>
              <w:bottom w:w="28" w:type="dxa"/>
              <w:right w:w="102" w:type="dxa"/>
            </w:tcMar>
            <w:vAlign w:val="center"/>
            <w:hideMark/>
          </w:tcPr>
          <w:p w14:paraId="3FC3E2A3" w14:textId="77777777" w:rsidR="007674C4" w:rsidRPr="00811AF2" w:rsidRDefault="007674C4" w:rsidP="00811AF2">
            <w:pPr>
              <w:pStyle w:val="Tabletext"/>
              <w:jc w:val="center"/>
              <w:rPr>
                <w:sz w:val="18"/>
                <w:szCs w:val="18"/>
              </w:rPr>
            </w:pPr>
            <w:r w:rsidRPr="00811AF2">
              <w:rPr>
                <w:sz w:val="18"/>
                <w:szCs w:val="18"/>
              </w:rPr>
              <w:t>-</w:t>
            </w:r>
          </w:p>
        </w:tc>
      </w:tr>
      <w:tr w:rsidR="007674C4" w:rsidRPr="00811AF2" w14:paraId="4DE9DDD9"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4EA1928C" w14:textId="2562F6D6" w:rsidR="007674C4" w:rsidRPr="00811AF2" w:rsidRDefault="007674C4" w:rsidP="00AF413E">
            <w:pPr>
              <w:pStyle w:val="Tabletext"/>
              <w:jc w:val="left"/>
              <w:rPr>
                <w:rFonts w:eastAsia="굴림"/>
                <w:color w:val="000000"/>
                <w:spacing w:val="-10"/>
                <w:w w:val="99"/>
                <w:sz w:val="18"/>
                <w:szCs w:val="18"/>
                <w:lang w:val="en-US" w:eastAsia="ko-KR"/>
              </w:rPr>
            </w:pPr>
            <w:r w:rsidRPr="00811AF2">
              <w:rPr>
                <w:rFonts w:eastAsia="굴림"/>
                <w:color w:val="000000"/>
                <w:spacing w:val="-10"/>
                <w:w w:val="99"/>
                <w:sz w:val="18"/>
                <w:szCs w:val="18"/>
                <w:lang w:val="en-US" w:eastAsia="ko-KR"/>
              </w:rPr>
              <w:t>Central Asia</w:t>
            </w:r>
          </w:p>
        </w:tc>
        <w:tc>
          <w:tcPr>
            <w:tcW w:w="1223" w:type="dxa"/>
            <w:shd w:val="clear" w:color="auto" w:fill="auto"/>
            <w:tcMar>
              <w:top w:w="28" w:type="dxa"/>
              <w:left w:w="102" w:type="dxa"/>
              <w:bottom w:w="28" w:type="dxa"/>
              <w:right w:w="102" w:type="dxa"/>
            </w:tcMar>
            <w:vAlign w:val="center"/>
            <w:hideMark/>
          </w:tcPr>
          <w:p w14:paraId="3F7425A5" w14:textId="5EF273AA" w:rsidR="007674C4" w:rsidRPr="00811AF2" w:rsidRDefault="007674C4" w:rsidP="00811AF2">
            <w:pPr>
              <w:pStyle w:val="Tabletext"/>
              <w:jc w:val="center"/>
              <w:rPr>
                <w:sz w:val="18"/>
                <w:szCs w:val="18"/>
              </w:rPr>
            </w:pPr>
            <w:r w:rsidRPr="00811AF2">
              <w:rPr>
                <w:sz w:val="18"/>
                <w:szCs w:val="18"/>
              </w:rPr>
              <w:t>6.3</w:t>
            </w:r>
          </w:p>
        </w:tc>
        <w:tc>
          <w:tcPr>
            <w:tcW w:w="1328" w:type="dxa"/>
            <w:shd w:val="clear" w:color="auto" w:fill="auto"/>
            <w:tcMar>
              <w:top w:w="28" w:type="dxa"/>
              <w:left w:w="102" w:type="dxa"/>
              <w:bottom w:w="28" w:type="dxa"/>
              <w:right w:w="102" w:type="dxa"/>
            </w:tcMar>
            <w:vAlign w:val="center"/>
            <w:hideMark/>
          </w:tcPr>
          <w:p w14:paraId="65D4F3B2" w14:textId="164C192D" w:rsidR="007674C4" w:rsidRPr="00811AF2" w:rsidRDefault="007674C4" w:rsidP="00811AF2">
            <w:pPr>
              <w:pStyle w:val="Tabletext"/>
              <w:jc w:val="center"/>
              <w:rPr>
                <w:sz w:val="18"/>
                <w:szCs w:val="18"/>
              </w:rPr>
            </w:pPr>
            <w:r w:rsidRPr="00811AF2">
              <w:rPr>
                <w:sz w:val="18"/>
                <w:szCs w:val="18"/>
              </w:rPr>
              <w:t>13.8</w:t>
            </w:r>
          </w:p>
        </w:tc>
        <w:tc>
          <w:tcPr>
            <w:tcW w:w="1134" w:type="dxa"/>
            <w:shd w:val="clear" w:color="auto" w:fill="auto"/>
            <w:tcMar>
              <w:top w:w="28" w:type="dxa"/>
              <w:left w:w="102" w:type="dxa"/>
              <w:bottom w:w="28" w:type="dxa"/>
              <w:right w:w="102" w:type="dxa"/>
            </w:tcMar>
            <w:vAlign w:val="center"/>
            <w:hideMark/>
          </w:tcPr>
          <w:p w14:paraId="3595DBD1" w14:textId="77777777" w:rsidR="007674C4" w:rsidRPr="00811AF2" w:rsidRDefault="007674C4" w:rsidP="00811AF2">
            <w:pPr>
              <w:pStyle w:val="Tabletext"/>
              <w:jc w:val="center"/>
              <w:rPr>
                <w:sz w:val="18"/>
                <w:szCs w:val="18"/>
              </w:rPr>
            </w:pPr>
            <w:r w:rsidRPr="00811AF2">
              <w:rPr>
                <w:sz w:val="18"/>
                <w:szCs w:val="18"/>
              </w:rPr>
              <w:t>0.0</w:t>
            </w:r>
          </w:p>
        </w:tc>
        <w:tc>
          <w:tcPr>
            <w:tcW w:w="1843" w:type="dxa"/>
            <w:shd w:val="clear" w:color="auto" w:fill="auto"/>
            <w:tcMar>
              <w:top w:w="28" w:type="dxa"/>
              <w:left w:w="102" w:type="dxa"/>
              <w:bottom w:w="28" w:type="dxa"/>
              <w:right w:w="102" w:type="dxa"/>
            </w:tcMar>
            <w:vAlign w:val="center"/>
            <w:hideMark/>
          </w:tcPr>
          <w:p w14:paraId="511EA6D5" w14:textId="77777777" w:rsidR="007674C4" w:rsidRPr="00811AF2" w:rsidRDefault="007674C4" w:rsidP="00811AF2">
            <w:pPr>
              <w:pStyle w:val="Tabletext"/>
              <w:jc w:val="center"/>
              <w:rPr>
                <w:sz w:val="18"/>
                <w:szCs w:val="18"/>
              </w:rPr>
            </w:pPr>
            <w:r w:rsidRPr="00811AF2">
              <w:rPr>
                <w:sz w:val="18"/>
                <w:szCs w:val="18"/>
              </w:rPr>
              <w:t>-</w:t>
            </w:r>
          </w:p>
        </w:tc>
        <w:tc>
          <w:tcPr>
            <w:tcW w:w="1843" w:type="dxa"/>
            <w:shd w:val="clear" w:color="auto" w:fill="auto"/>
            <w:tcMar>
              <w:top w:w="28" w:type="dxa"/>
              <w:left w:w="102" w:type="dxa"/>
              <w:bottom w:w="28" w:type="dxa"/>
              <w:right w:w="102" w:type="dxa"/>
            </w:tcMar>
            <w:vAlign w:val="center"/>
            <w:hideMark/>
          </w:tcPr>
          <w:p w14:paraId="1FF32547" w14:textId="77777777" w:rsidR="007674C4" w:rsidRPr="00811AF2" w:rsidRDefault="007674C4" w:rsidP="00811AF2">
            <w:pPr>
              <w:pStyle w:val="Tabletext"/>
              <w:jc w:val="center"/>
              <w:rPr>
                <w:sz w:val="18"/>
                <w:szCs w:val="18"/>
              </w:rPr>
            </w:pPr>
            <w:r w:rsidRPr="00811AF2">
              <w:rPr>
                <w:sz w:val="18"/>
                <w:szCs w:val="18"/>
              </w:rPr>
              <w:t>-</w:t>
            </w:r>
          </w:p>
        </w:tc>
      </w:tr>
      <w:tr w:rsidR="007674C4" w:rsidRPr="00811AF2" w14:paraId="7FAF4D88"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1FF0AB7F" w14:textId="4CCEFC09" w:rsidR="007674C4" w:rsidRPr="00811AF2" w:rsidRDefault="007674C4"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Eurasia</w:t>
            </w:r>
          </w:p>
        </w:tc>
        <w:tc>
          <w:tcPr>
            <w:tcW w:w="1223" w:type="dxa"/>
            <w:shd w:val="clear" w:color="auto" w:fill="auto"/>
            <w:tcMar>
              <w:top w:w="28" w:type="dxa"/>
              <w:left w:w="102" w:type="dxa"/>
              <w:bottom w:w="28" w:type="dxa"/>
              <w:right w:w="102" w:type="dxa"/>
            </w:tcMar>
            <w:vAlign w:val="center"/>
            <w:hideMark/>
          </w:tcPr>
          <w:p w14:paraId="63D6DC4C" w14:textId="006E93B7" w:rsidR="007674C4" w:rsidRPr="00811AF2" w:rsidRDefault="007674C4" w:rsidP="00811AF2">
            <w:pPr>
              <w:pStyle w:val="Tabletext"/>
              <w:jc w:val="center"/>
              <w:rPr>
                <w:sz w:val="18"/>
                <w:szCs w:val="18"/>
              </w:rPr>
            </w:pPr>
            <w:r w:rsidRPr="00811AF2">
              <w:rPr>
                <w:sz w:val="18"/>
                <w:szCs w:val="18"/>
              </w:rPr>
              <w:t>8.9</w:t>
            </w:r>
          </w:p>
        </w:tc>
        <w:tc>
          <w:tcPr>
            <w:tcW w:w="1328" w:type="dxa"/>
            <w:shd w:val="clear" w:color="auto" w:fill="auto"/>
            <w:tcMar>
              <w:top w:w="28" w:type="dxa"/>
              <w:left w:w="102" w:type="dxa"/>
              <w:bottom w:w="28" w:type="dxa"/>
              <w:right w:w="102" w:type="dxa"/>
            </w:tcMar>
            <w:vAlign w:val="center"/>
            <w:hideMark/>
          </w:tcPr>
          <w:p w14:paraId="44CE4DF1" w14:textId="2D258815" w:rsidR="007674C4" w:rsidRPr="00811AF2" w:rsidRDefault="007674C4" w:rsidP="00811AF2">
            <w:pPr>
              <w:pStyle w:val="Tabletext"/>
              <w:jc w:val="center"/>
              <w:rPr>
                <w:sz w:val="18"/>
                <w:szCs w:val="18"/>
              </w:rPr>
            </w:pPr>
            <w:r w:rsidRPr="00811AF2">
              <w:rPr>
                <w:sz w:val="18"/>
                <w:szCs w:val="18"/>
              </w:rPr>
              <w:t>29.4</w:t>
            </w:r>
          </w:p>
        </w:tc>
        <w:tc>
          <w:tcPr>
            <w:tcW w:w="1134" w:type="dxa"/>
            <w:shd w:val="clear" w:color="auto" w:fill="auto"/>
            <w:tcMar>
              <w:top w:w="28" w:type="dxa"/>
              <w:left w:w="102" w:type="dxa"/>
              <w:bottom w:w="28" w:type="dxa"/>
              <w:right w:w="102" w:type="dxa"/>
            </w:tcMar>
            <w:vAlign w:val="center"/>
            <w:hideMark/>
          </w:tcPr>
          <w:p w14:paraId="3990EA79" w14:textId="77777777" w:rsidR="007674C4" w:rsidRPr="00811AF2" w:rsidRDefault="007674C4" w:rsidP="00811AF2">
            <w:pPr>
              <w:pStyle w:val="Tabletext"/>
              <w:jc w:val="center"/>
              <w:rPr>
                <w:sz w:val="18"/>
                <w:szCs w:val="18"/>
              </w:rPr>
            </w:pPr>
            <w:r w:rsidRPr="00811AF2">
              <w:rPr>
                <w:sz w:val="18"/>
                <w:szCs w:val="18"/>
              </w:rPr>
              <w:t>18.6</w:t>
            </w:r>
          </w:p>
        </w:tc>
        <w:tc>
          <w:tcPr>
            <w:tcW w:w="1843" w:type="dxa"/>
            <w:shd w:val="clear" w:color="auto" w:fill="auto"/>
            <w:tcMar>
              <w:top w:w="28" w:type="dxa"/>
              <w:left w:w="102" w:type="dxa"/>
              <w:bottom w:w="28" w:type="dxa"/>
              <w:right w:w="102" w:type="dxa"/>
            </w:tcMar>
            <w:vAlign w:val="center"/>
            <w:hideMark/>
          </w:tcPr>
          <w:p w14:paraId="077FE838" w14:textId="77777777" w:rsidR="007674C4" w:rsidRPr="00811AF2" w:rsidRDefault="007674C4" w:rsidP="00811AF2">
            <w:pPr>
              <w:pStyle w:val="Tabletext"/>
              <w:jc w:val="center"/>
              <w:rPr>
                <w:sz w:val="18"/>
                <w:szCs w:val="18"/>
              </w:rPr>
            </w:pPr>
            <w:r w:rsidRPr="00811AF2">
              <w:rPr>
                <w:sz w:val="18"/>
                <w:szCs w:val="18"/>
              </w:rPr>
              <w:t>47.9%</w:t>
            </w:r>
          </w:p>
        </w:tc>
        <w:tc>
          <w:tcPr>
            <w:tcW w:w="1843" w:type="dxa"/>
            <w:shd w:val="clear" w:color="auto" w:fill="auto"/>
            <w:tcMar>
              <w:top w:w="28" w:type="dxa"/>
              <w:left w:w="102" w:type="dxa"/>
              <w:bottom w:w="28" w:type="dxa"/>
              <w:right w:w="102" w:type="dxa"/>
            </w:tcMar>
            <w:vAlign w:val="center"/>
            <w:hideMark/>
          </w:tcPr>
          <w:p w14:paraId="50FC7207" w14:textId="77777777" w:rsidR="007674C4" w:rsidRPr="00811AF2" w:rsidRDefault="007674C4" w:rsidP="00811AF2">
            <w:pPr>
              <w:pStyle w:val="Tabletext"/>
              <w:jc w:val="center"/>
              <w:rPr>
                <w:sz w:val="18"/>
                <w:szCs w:val="18"/>
              </w:rPr>
            </w:pPr>
            <w:r w:rsidRPr="00811AF2">
              <w:rPr>
                <w:sz w:val="18"/>
                <w:szCs w:val="18"/>
              </w:rPr>
              <w:t>158.2%</w:t>
            </w:r>
          </w:p>
        </w:tc>
      </w:tr>
      <w:tr w:rsidR="007674C4" w:rsidRPr="00811AF2" w14:paraId="244BD133"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033E5631" w14:textId="2F3C0C4D" w:rsidR="007674C4" w:rsidRPr="00811AF2" w:rsidRDefault="00D74C8F"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Russia</w:t>
            </w:r>
          </w:p>
        </w:tc>
        <w:tc>
          <w:tcPr>
            <w:tcW w:w="1223" w:type="dxa"/>
            <w:shd w:val="clear" w:color="auto" w:fill="auto"/>
            <w:tcMar>
              <w:top w:w="28" w:type="dxa"/>
              <w:left w:w="102" w:type="dxa"/>
              <w:bottom w:w="28" w:type="dxa"/>
              <w:right w:w="102" w:type="dxa"/>
            </w:tcMar>
            <w:vAlign w:val="center"/>
            <w:hideMark/>
          </w:tcPr>
          <w:p w14:paraId="592C7BAD" w14:textId="13E254BD" w:rsidR="007674C4" w:rsidRPr="00811AF2" w:rsidRDefault="007674C4" w:rsidP="00811AF2">
            <w:pPr>
              <w:pStyle w:val="Tabletext"/>
              <w:jc w:val="center"/>
              <w:rPr>
                <w:sz w:val="18"/>
                <w:szCs w:val="18"/>
              </w:rPr>
            </w:pPr>
            <w:r w:rsidRPr="00811AF2">
              <w:rPr>
                <w:sz w:val="18"/>
                <w:szCs w:val="18"/>
              </w:rPr>
              <w:t>8.0</w:t>
            </w:r>
          </w:p>
        </w:tc>
        <w:tc>
          <w:tcPr>
            <w:tcW w:w="1328" w:type="dxa"/>
            <w:shd w:val="clear" w:color="auto" w:fill="auto"/>
            <w:tcMar>
              <w:top w:w="28" w:type="dxa"/>
              <w:left w:w="102" w:type="dxa"/>
              <w:bottom w:w="28" w:type="dxa"/>
              <w:right w:w="102" w:type="dxa"/>
            </w:tcMar>
            <w:vAlign w:val="center"/>
            <w:hideMark/>
          </w:tcPr>
          <w:p w14:paraId="1A91859D" w14:textId="6CD9A419" w:rsidR="007674C4" w:rsidRPr="00811AF2" w:rsidRDefault="007674C4" w:rsidP="00811AF2">
            <w:pPr>
              <w:pStyle w:val="Tabletext"/>
              <w:jc w:val="center"/>
              <w:rPr>
                <w:sz w:val="18"/>
                <w:szCs w:val="18"/>
              </w:rPr>
            </w:pPr>
            <w:r w:rsidRPr="00811AF2">
              <w:rPr>
                <w:sz w:val="18"/>
                <w:szCs w:val="18"/>
              </w:rPr>
              <w:t>27.1</w:t>
            </w:r>
          </w:p>
        </w:tc>
        <w:tc>
          <w:tcPr>
            <w:tcW w:w="1134" w:type="dxa"/>
            <w:shd w:val="clear" w:color="auto" w:fill="auto"/>
            <w:tcMar>
              <w:top w:w="28" w:type="dxa"/>
              <w:left w:w="102" w:type="dxa"/>
              <w:bottom w:w="28" w:type="dxa"/>
              <w:right w:w="102" w:type="dxa"/>
            </w:tcMar>
            <w:vAlign w:val="center"/>
            <w:hideMark/>
          </w:tcPr>
          <w:p w14:paraId="5BBF8717" w14:textId="77777777" w:rsidR="007674C4" w:rsidRPr="00811AF2" w:rsidRDefault="007674C4" w:rsidP="00811AF2">
            <w:pPr>
              <w:pStyle w:val="Tabletext"/>
              <w:jc w:val="center"/>
              <w:rPr>
                <w:sz w:val="18"/>
                <w:szCs w:val="18"/>
              </w:rPr>
            </w:pPr>
            <w:r w:rsidRPr="00811AF2">
              <w:rPr>
                <w:sz w:val="18"/>
                <w:szCs w:val="18"/>
              </w:rPr>
              <w:t>11.1</w:t>
            </w:r>
          </w:p>
        </w:tc>
        <w:tc>
          <w:tcPr>
            <w:tcW w:w="1843" w:type="dxa"/>
            <w:shd w:val="clear" w:color="auto" w:fill="auto"/>
            <w:tcMar>
              <w:top w:w="28" w:type="dxa"/>
              <w:left w:w="102" w:type="dxa"/>
              <w:bottom w:w="28" w:type="dxa"/>
              <w:right w:w="102" w:type="dxa"/>
            </w:tcMar>
            <w:vAlign w:val="center"/>
            <w:hideMark/>
          </w:tcPr>
          <w:p w14:paraId="5DAE59E4" w14:textId="77777777" w:rsidR="007674C4" w:rsidRPr="00811AF2" w:rsidRDefault="007674C4" w:rsidP="00811AF2">
            <w:pPr>
              <w:pStyle w:val="Tabletext"/>
              <w:jc w:val="center"/>
              <w:rPr>
                <w:sz w:val="18"/>
                <w:szCs w:val="18"/>
              </w:rPr>
            </w:pPr>
            <w:r w:rsidRPr="00811AF2">
              <w:rPr>
                <w:sz w:val="18"/>
                <w:szCs w:val="18"/>
              </w:rPr>
              <w:t>72.2%</w:t>
            </w:r>
          </w:p>
        </w:tc>
        <w:tc>
          <w:tcPr>
            <w:tcW w:w="1843" w:type="dxa"/>
            <w:shd w:val="clear" w:color="auto" w:fill="auto"/>
            <w:tcMar>
              <w:top w:w="28" w:type="dxa"/>
              <w:left w:w="102" w:type="dxa"/>
              <w:bottom w:w="28" w:type="dxa"/>
              <w:right w:w="102" w:type="dxa"/>
            </w:tcMar>
            <w:vAlign w:val="center"/>
            <w:hideMark/>
          </w:tcPr>
          <w:p w14:paraId="04BB662F" w14:textId="77777777" w:rsidR="007674C4" w:rsidRPr="00811AF2" w:rsidRDefault="007674C4" w:rsidP="00811AF2">
            <w:pPr>
              <w:pStyle w:val="Tabletext"/>
              <w:jc w:val="center"/>
              <w:rPr>
                <w:sz w:val="18"/>
                <w:szCs w:val="18"/>
              </w:rPr>
            </w:pPr>
            <w:r w:rsidRPr="00811AF2">
              <w:rPr>
                <w:sz w:val="18"/>
                <w:szCs w:val="18"/>
              </w:rPr>
              <w:t>244.7%</w:t>
            </w:r>
          </w:p>
        </w:tc>
      </w:tr>
      <w:tr w:rsidR="007674C4" w:rsidRPr="00811AF2" w14:paraId="1EE5DCE4"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0BA546E1" w14:textId="4E989C66" w:rsidR="007674C4" w:rsidRPr="00811AF2" w:rsidRDefault="00D74C8F"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Asia-Pacific</w:t>
            </w:r>
          </w:p>
        </w:tc>
        <w:tc>
          <w:tcPr>
            <w:tcW w:w="1223" w:type="dxa"/>
            <w:shd w:val="clear" w:color="auto" w:fill="auto"/>
            <w:tcMar>
              <w:top w:w="28" w:type="dxa"/>
              <w:left w:w="102" w:type="dxa"/>
              <w:bottom w:w="28" w:type="dxa"/>
              <w:right w:w="102" w:type="dxa"/>
            </w:tcMar>
            <w:vAlign w:val="center"/>
            <w:hideMark/>
          </w:tcPr>
          <w:p w14:paraId="6C9731B0" w14:textId="74793593" w:rsidR="007674C4" w:rsidRPr="00811AF2" w:rsidRDefault="007674C4" w:rsidP="00811AF2">
            <w:pPr>
              <w:pStyle w:val="Tabletext"/>
              <w:jc w:val="center"/>
              <w:rPr>
                <w:sz w:val="18"/>
                <w:szCs w:val="18"/>
              </w:rPr>
            </w:pPr>
            <w:r w:rsidRPr="00811AF2">
              <w:rPr>
                <w:sz w:val="18"/>
                <w:szCs w:val="18"/>
              </w:rPr>
              <w:t>148.2</w:t>
            </w:r>
          </w:p>
        </w:tc>
        <w:tc>
          <w:tcPr>
            <w:tcW w:w="1328" w:type="dxa"/>
            <w:shd w:val="clear" w:color="auto" w:fill="auto"/>
            <w:tcMar>
              <w:top w:w="28" w:type="dxa"/>
              <w:left w:w="102" w:type="dxa"/>
              <w:bottom w:w="28" w:type="dxa"/>
              <w:right w:w="102" w:type="dxa"/>
            </w:tcMar>
            <w:vAlign w:val="center"/>
            <w:hideMark/>
          </w:tcPr>
          <w:p w14:paraId="7F5A13BC" w14:textId="69092C94" w:rsidR="007674C4" w:rsidRPr="00811AF2" w:rsidRDefault="007674C4" w:rsidP="00811AF2">
            <w:pPr>
              <w:pStyle w:val="Tabletext"/>
              <w:jc w:val="center"/>
              <w:rPr>
                <w:sz w:val="18"/>
                <w:szCs w:val="18"/>
              </w:rPr>
            </w:pPr>
            <w:r w:rsidRPr="00811AF2">
              <w:rPr>
                <w:sz w:val="18"/>
                <w:szCs w:val="18"/>
              </w:rPr>
              <w:t>152.2</w:t>
            </w:r>
          </w:p>
        </w:tc>
        <w:tc>
          <w:tcPr>
            <w:tcW w:w="1134" w:type="dxa"/>
            <w:shd w:val="clear" w:color="auto" w:fill="auto"/>
            <w:tcMar>
              <w:top w:w="28" w:type="dxa"/>
              <w:left w:w="102" w:type="dxa"/>
              <w:bottom w:w="28" w:type="dxa"/>
              <w:right w:w="102" w:type="dxa"/>
            </w:tcMar>
            <w:vAlign w:val="center"/>
            <w:hideMark/>
          </w:tcPr>
          <w:p w14:paraId="3DB41B98" w14:textId="77777777" w:rsidR="007674C4" w:rsidRPr="00811AF2" w:rsidRDefault="007674C4" w:rsidP="00811AF2">
            <w:pPr>
              <w:pStyle w:val="Tabletext"/>
              <w:jc w:val="center"/>
              <w:rPr>
                <w:sz w:val="18"/>
                <w:szCs w:val="18"/>
              </w:rPr>
            </w:pPr>
            <w:r w:rsidRPr="00811AF2">
              <w:rPr>
                <w:sz w:val="18"/>
                <w:szCs w:val="18"/>
              </w:rPr>
              <w:t>10.2</w:t>
            </w:r>
          </w:p>
        </w:tc>
        <w:tc>
          <w:tcPr>
            <w:tcW w:w="1843" w:type="dxa"/>
            <w:shd w:val="clear" w:color="auto" w:fill="auto"/>
            <w:tcMar>
              <w:top w:w="28" w:type="dxa"/>
              <w:left w:w="102" w:type="dxa"/>
              <w:bottom w:w="28" w:type="dxa"/>
              <w:right w:w="102" w:type="dxa"/>
            </w:tcMar>
            <w:vAlign w:val="center"/>
            <w:hideMark/>
          </w:tcPr>
          <w:p w14:paraId="41935948" w14:textId="77777777" w:rsidR="007674C4" w:rsidRPr="00811AF2" w:rsidRDefault="007674C4" w:rsidP="00811AF2">
            <w:pPr>
              <w:pStyle w:val="Tabletext"/>
              <w:jc w:val="center"/>
              <w:rPr>
                <w:sz w:val="18"/>
                <w:szCs w:val="18"/>
              </w:rPr>
            </w:pPr>
            <w:r w:rsidRPr="00811AF2">
              <w:rPr>
                <w:sz w:val="18"/>
                <w:szCs w:val="18"/>
              </w:rPr>
              <w:t>1450.8%</w:t>
            </w:r>
          </w:p>
        </w:tc>
        <w:tc>
          <w:tcPr>
            <w:tcW w:w="1843" w:type="dxa"/>
            <w:shd w:val="clear" w:color="auto" w:fill="auto"/>
            <w:tcMar>
              <w:top w:w="28" w:type="dxa"/>
              <w:left w:w="102" w:type="dxa"/>
              <w:bottom w:w="28" w:type="dxa"/>
              <w:right w:w="102" w:type="dxa"/>
            </w:tcMar>
            <w:vAlign w:val="center"/>
            <w:hideMark/>
          </w:tcPr>
          <w:p w14:paraId="4CD4E870" w14:textId="77777777" w:rsidR="007674C4" w:rsidRPr="00811AF2" w:rsidRDefault="007674C4" w:rsidP="00811AF2">
            <w:pPr>
              <w:pStyle w:val="Tabletext"/>
              <w:jc w:val="center"/>
              <w:rPr>
                <w:sz w:val="18"/>
                <w:szCs w:val="18"/>
              </w:rPr>
            </w:pPr>
            <w:r w:rsidRPr="00811AF2">
              <w:rPr>
                <w:sz w:val="18"/>
                <w:szCs w:val="18"/>
              </w:rPr>
              <w:t>1490.0%</w:t>
            </w:r>
          </w:p>
        </w:tc>
      </w:tr>
      <w:tr w:rsidR="007674C4" w:rsidRPr="00811AF2" w14:paraId="628B70E7" w14:textId="77777777" w:rsidTr="00811AF2">
        <w:trPr>
          <w:trHeight w:val="504"/>
          <w:jc w:val="center"/>
        </w:trPr>
        <w:tc>
          <w:tcPr>
            <w:tcW w:w="1844" w:type="dxa"/>
            <w:shd w:val="clear" w:color="auto" w:fill="auto"/>
            <w:tcMar>
              <w:top w:w="28" w:type="dxa"/>
              <w:left w:w="102" w:type="dxa"/>
              <w:bottom w:w="28" w:type="dxa"/>
              <w:right w:w="102" w:type="dxa"/>
            </w:tcMar>
            <w:vAlign w:val="center"/>
            <w:hideMark/>
          </w:tcPr>
          <w:p w14:paraId="0E2913C6" w14:textId="38F043E9" w:rsidR="007674C4" w:rsidRPr="00811AF2" w:rsidRDefault="00D74C8F"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China</w:t>
            </w:r>
          </w:p>
        </w:tc>
        <w:tc>
          <w:tcPr>
            <w:tcW w:w="1223" w:type="dxa"/>
            <w:shd w:val="clear" w:color="auto" w:fill="auto"/>
            <w:tcMar>
              <w:top w:w="28" w:type="dxa"/>
              <w:left w:w="102" w:type="dxa"/>
              <w:bottom w:w="28" w:type="dxa"/>
              <w:right w:w="102" w:type="dxa"/>
            </w:tcMar>
            <w:vAlign w:val="center"/>
            <w:hideMark/>
          </w:tcPr>
          <w:p w14:paraId="74C610E7" w14:textId="2000246D" w:rsidR="007674C4" w:rsidRPr="00811AF2" w:rsidRDefault="007674C4" w:rsidP="00811AF2">
            <w:pPr>
              <w:pStyle w:val="Tabletext"/>
              <w:jc w:val="center"/>
              <w:rPr>
                <w:sz w:val="18"/>
                <w:szCs w:val="18"/>
              </w:rPr>
            </w:pPr>
            <w:r w:rsidRPr="00811AF2">
              <w:rPr>
                <w:sz w:val="18"/>
                <w:szCs w:val="18"/>
              </w:rPr>
              <w:t>121.7</w:t>
            </w:r>
          </w:p>
        </w:tc>
        <w:tc>
          <w:tcPr>
            <w:tcW w:w="1328" w:type="dxa"/>
            <w:shd w:val="clear" w:color="auto" w:fill="auto"/>
            <w:tcMar>
              <w:top w:w="28" w:type="dxa"/>
              <w:left w:w="102" w:type="dxa"/>
              <w:bottom w:w="28" w:type="dxa"/>
              <w:right w:w="102" w:type="dxa"/>
            </w:tcMar>
            <w:vAlign w:val="center"/>
            <w:hideMark/>
          </w:tcPr>
          <w:p w14:paraId="6D835385" w14:textId="40822A56" w:rsidR="007674C4" w:rsidRPr="00811AF2" w:rsidRDefault="007674C4" w:rsidP="00811AF2">
            <w:pPr>
              <w:pStyle w:val="Tabletext"/>
              <w:jc w:val="center"/>
              <w:rPr>
                <w:sz w:val="18"/>
                <w:szCs w:val="18"/>
              </w:rPr>
            </w:pPr>
            <w:r w:rsidRPr="00811AF2">
              <w:rPr>
                <w:sz w:val="18"/>
                <w:szCs w:val="18"/>
              </w:rPr>
              <w:t>110.6</w:t>
            </w:r>
          </w:p>
        </w:tc>
        <w:tc>
          <w:tcPr>
            <w:tcW w:w="1134" w:type="dxa"/>
            <w:shd w:val="clear" w:color="auto" w:fill="auto"/>
            <w:tcMar>
              <w:top w:w="28" w:type="dxa"/>
              <w:left w:w="102" w:type="dxa"/>
              <w:bottom w:w="28" w:type="dxa"/>
              <w:right w:w="102" w:type="dxa"/>
            </w:tcMar>
            <w:vAlign w:val="center"/>
            <w:hideMark/>
          </w:tcPr>
          <w:p w14:paraId="6227FAD8" w14:textId="77777777" w:rsidR="007674C4" w:rsidRPr="00811AF2" w:rsidRDefault="007674C4" w:rsidP="00811AF2">
            <w:pPr>
              <w:pStyle w:val="Tabletext"/>
              <w:jc w:val="center"/>
              <w:rPr>
                <w:sz w:val="18"/>
                <w:szCs w:val="18"/>
              </w:rPr>
            </w:pPr>
            <w:r w:rsidRPr="00811AF2">
              <w:rPr>
                <w:sz w:val="18"/>
                <w:szCs w:val="18"/>
              </w:rPr>
              <w:t>2.5</w:t>
            </w:r>
          </w:p>
        </w:tc>
        <w:tc>
          <w:tcPr>
            <w:tcW w:w="1843" w:type="dxa"/>
            <w:shd w:val="clear" w:color="auto" w:fill="auto"/>
            <w:tcMar>
              <w:top w:w="28" w:type="dxa"/>
              <w:left w:w="102" w:type="dxa"/>
              <w:bottom w:w="28" w:type="dxa"/>
              <w:right w:w="102" w:type="dxa"/>
            </w:tcMar>
            <w:vAlign w:val="center"/>
            <w:hideMark/>
          </w:tcPr>
          <w:p w14:paraId="32CF0F1B" w14:textId="77777777" w:rsidR="007674C4" w:rsidRPr="00811AF2" w:rsidRDefault="007674C4" w:rsidP="00811AF2">
            <w:pPr>
              <w:pStyle w:val="Tabletext"/>
              <w:jc w:val="center"/>
              <w:rPr>
                <w:sz w:val="18"/>
                <w:szCs w:val="18"/>
              </w:rPr>
            </w:pPr>
            <w:r w:rsidRPr="00811AF2">
              <w:rPr>
                <w:sz w:val="18"/>
                <w:szCs w:val="18"/>
              </w:rPr>
              <w:t>4829.4%</w:t>
            </w:r>
          </w:p>
        </w:tc>
        <w:tc>
          <w:tcPr>
            <w:tcW w:w="1843" w:type="dxa"/>
            <w:shd w:val="clear" w:color="auto" w:fill="auto"/>
            <w:tcMar>
              <w:top w:w="28" w:type="dxa"/>
              <w:left w:w="102" w:type="dxa"/>
              <w:bottom w:w="28" w:type="dxa"/>
              <w:right w:w="102" w:type="dxa"/>
            </w:tcMar>
            <w:vAlign w:val="center"/>
            <w:hideMark/>
          </w:tcPr>
          <w:p w14:paraId="4C834218" w14:textId="77777777" w:rsidR="007674C4" w:rsidRPr="00811AF2" w:rsidRDefault="007674C4" w:rsidP="00811AF2">
            <w:pPr>
              <w:pStyle w:val="Tabletext"/>
              <w:jc w:val="center"/>
              <w:rPr>
                <w:sz w:val="18"/>
                <w:szCs w:val="18"/>
              </w:rPr>
            </w:pPr>
            <w:r w:rsidRPr="00811AF2">
              <w:rPr>
                <w:sz w:val="18"/>
                <w:szCs w:val="18"/>
              </w:rPr>
              <w:t>4388.9%</w:t>
            </w:r>
          </w:p>
        </w:tc>
      </w:tr>
      <w:tr w:rsidR="007674C4" w:rsidRPr="00811AF2" w14:paraId="0F1EFBF8"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1A77341F" w14:textId="5C630B13" w:rsidR="007674C4" w:rsidRPr="00811AF2" w:rsidRDefault="00D74C8F"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India</w:t>
            </w:r>
          </w:p>
        </w:tc>
        <w:tc>
          <w:tcPr>
            <w:tcW w:w="1223" w:type="dxa"/>
            <w:shd w:val="clear" w:color="auto" w:fill="auto"/>
            <w:tcMar>
              <w:top w:w="28" w:type="dxa"/>
              <w:left w:w="102" w:type="dxa"/>
              <w:bottom w:w="28" w:type="dxa"/>
              <w:right w:w="102" w:type="dxa"/>
            </w:tcMar>
            <w:vAlign w:val="center"/>
            <w:hideMark/>
          </w:tcPr>
          <w:p w14:paraId="6EA643D8" w14:textId="5C9EFCAF" w:rsidR="007674C4" w:rsidRPr="00811AF2" w:rsidRDefault="007674C4" w:rsidP="00811AF2">
            <w:pPr>
              <w:pStyle w:val="Tabletext"/>
              <w:jc w:val="center"/>
              <w:rPr>
                <w:sz w:val="18"/>
                <w:szCs w:val="18"/>
              </w:rPr>
            </w:pPr>
            <w:r w:rsidRPr="00811AF2">
              <w:rPr>
                <w:sz w:val="18"/>
                <w:szCs w:val="18"/>
              </w:rPr>
              <w:t>26.1</w:t>
            </w:r>
          </w:p>
        </w:tc>
        <w:tc>
          <w:tcPr>
            <w:tcW w:w="1328" w:type="dxa"/>
            <w:shd w:val="clear" w:color="auto" w:fill="auto"/>
            <w:tcMar>
              <w:top w:w="28" w:type="dxa"/>
              <w:left w:w="102" w:type="dxa"/>
              <w:bottom w:w="28" w:type="dxa"/>
              <w:right w:w="102" w:type="dxa"/>
            </w:tcMar>
            <w:vAlign w:val="center"/>
            <w:hideMark/>
          </w:tcPr>
          <w:p w14:paraId="7B85A1F6" w14:textId="5A509E70" w:rsidR="007674C4" w:rsidRPr="00811AF2" w:rsidRDefault="007674C4" w:rsidP="00811AF2">
            <w:pPr>
              <w:pStyle w:val="Tabletext"/>
              <w:jc w:val="center"/>
              <w:rPr>
                <w:sz w:val="18"/>
                <w:szCs w:val="18"/>
              </w:rPr>
            </w:pPr>
            <w:r w:rsidRPr="00811AF2">
              <w:rPr>
                <w:sz w:val="18"/>
                <w:szCs w:val="18"/>
              </w:rPr>
              <w:t>27.7</w:t>
            </w:r>
          </w:p>
        </w:tc>
        <w:tc>
          <w:tcPr>
            <w:tcW w:w="1134" w:type="dxa"/>
            <w:shd w:val="clear" w:color="auto" w:fill="auto"/>
            <w:tcMar>
              <w:top w:w="28" w:type="dxa"/>
              <w:left w:w="102" w:type="dxa"/>
              <w:bottom w:w="28" w:type="dxa"/>
              <w:right w:w="102" w:type="dxa"/>
            </w:tcMar>
            <w:vAlign w:val="center"/>
            <w:hideMark/>
          </w:tcPr>
          <w:p w14:paraId="50A35B2B" w14:textId="77777777" w:rsidR="007674C4" w:rsidRPr="00811AF2" w:rsidRDefault="007674C4" w:rsidP="00811AF2">
            <w:pPr>
              <w:pStyle w:val="Tabletext"/>
              <w:jc w:val="center"/>
              <w:rPr>
                <w:sz w:val="18"/>
                <w:szCs w:val="18"/>
              </w:rPr>
            </w:pPr>
            <w:r w:rsidRPr="00811AF2">
              <w:rPr>
                <w:sz w:val="18"/>
                <w:szCs w:val="18"/>
              </w:rPr>
              <w:t>0.0</w:t>
            </w:r>
          </w:p>
        </w:tc>
        <w:tc>
          <w:tcPr>
            <w:tcW w:w="1843" w:type="dxa"/>
            <w:shd w:val="clear" w:color="auto" w:fill="auto"/>
            <w:tcMar>
              <w:top w:w="28" w:type="dxa"/>
              <w:left w:w="102" w:type="dxa"/>
              <w:bottom w:w="28" w:type="dxa"/>
              <w:right w:w="102" w:type="dxa"/>
            </w:tcMar>
            <w:vAlign w:val="center"/>
            <w:hideMark/>
          </w:tcPr>
          <w:p w14:paraId="25ED63C1" w14:textId="77777777" w:rsidR="007674C4" w:rsidRPr="00811AF2" w:rsidRDefault="007674C4" w:rsidP="00811AF2">
            <w:pPr>
              <w:pStyle w:val="Tabletext"/>
              <w:jc w:val="center"/>
              <w:rPr>
                <w:sz w:val="18"/>
                <w:szCs w:val="18"/>
              </w:rPr>
            </w:pPr>
            <w:r w:rsidRPr="00811AF2">
              <w:rPr>
                <w:sz w:val="18"/>
                <w:szCs w:val="18"/>
              </w:rPr>
              <w:t>-</w:t>
            </w:r>
          </w:p>
        </w:tc>
        <w:tc>
          <w:tcPr>
            <w:tcW w:w="1843" w:type="dxa"/>
            <w:shd w:val="clear" w:color="auto" w:fill="auto"/>
            <w:tcMar>
              <w:top w:w="28" w:type="dxa"/>
              <w:left w:w="102" w:type="dxa"/>
              <w:bottom w:w="28" w:type="dxa"/>
              <w:right w:w="102" w:type="dxa"/>
            </w:tcMar>
            <w:vAlign w:val="center"/>
            <w:hideMark/>
          </w:tcPr>
          <w:p w14:paraId="1F18A281" w14:textId="77777777" w:rsidR="007674C4" w:rsidRPr="00811AF2" w:rsidRDefault="007674C4" w:rsidP="00811AF2">
            <w:pPr>
              <w:pStyle w:val="Tabletext"/>
              <w:jc w:val="center"/>
              <w:rPr>
                <w:sz w:val="18"/>
                <w:szCs w:val="18"/>
              </w:rPr>
            </w:pPr>
            <w:r w:rsidRPr="00811AF2">
              <w:rPr>
                <w:sz w:val="18"/>
                <w:szCs w:val="18"/>
              </w:rPr>
              <w:t>-</w:t>
            </w:r>
          </w:p>
        </w:tc>
      </w:tr>
      <w:tr w:rsidR="007674C4" w:rsidRPr="00811AF2" w14:paraId="2836ABC0"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32B5090D" w14:textId="30EC821A" w:rsidR="007674C4" w:rsidRPr="00811AF2" w:rsidRDefault="00D74C8F" w:rsidP="00AF413E">
            <w:pPr>
              <w:pStyle w:val="Tabletext"/>
              <w:jc w:val="left"/>
              <w:rPr>
                <w:rFonts w:eastAsia="굴림"/>
                <w:color w:val="000000"/>
                <w:spacing w:val="-10"/>
                <w:w w:val="99"/>
                <w:sz w:val="18"/>
                <w:szCs w:val="18"/>
                <w:lang w:val="en-US" w:eastAsia="ko-KR"/>
              </w:rPr>
            </w:pPr>
            <w:r w:rsidRPr="00811AF2">
              <w:rPr>
                <w:rFonts w:eastAsia="굴림"/>
                <w:color w:val="000000"/>
                <w:spacing w:val="-10"/>
                <w:w w:val="99"/>
                <w:sz w:val="18"/>
                <w:szCs w:val="18"/>
                <w:lang w:val="en-US" w:eastAsia="ko-KR"/>
              </w:rPr>
              <w:t>Japan</w:t>
            </w:r>
          </w:p>
        </w:tc>
        <w:tc>
          <w:tcPr>
            <w:tcW w:w="1223" w:type="dxa"/>
            <w:shd w:val="clear" w:color="auto" w:fill="auto"/>
            <w:tcMar>
              <w:top w:w="28" w:type="dxa"/>
              <w:left w:w="102" w:type="dxa"/>
              <w:bottom w:w="28" w:type="dxa"/>
              <w:right w:w="102" w:type="dxa"/>
            </w:tcMar>
            <w:vAlign w:val="center"/>
            <w:hideMark/>
          </w:tcPr>
          <w:p w14:paraId="5EDBD0EC" w14:textId="61DB18DC" w:rsidR="007674C4" w:rsidRPr="00811AF2" w:rsidRDefault="007674C4" w:rsidP="00811AF2">
            <w:pPr>
              <w:pStyle w:val="Tabletext"/>
              <w:jc w:val="center"/>
              <w:rPr>
                <w:sz w:val="18"/>
                <w:szCs w:val="18"/>
              </w:rPr>
            </w:pPr>
            <w:r w:rsidRPr="00811AF2">
              <w:rPr>
                <w:sz w:val="18"/>
                <w:szCs w:val="18"/>
              </w:rPr>
              <w:t>9.1</w:t>
            </w:r>
          </w:p>
        </w:tc>
        <w:tc>
          <w:tcPr>
            <w:tcW w:w="1328" w:type="dxa"/>
            <w:shd w:val="clear" w:color="auto" w:fill="auto"/>
            <w:tcMar>
              <w:top w:w="28" w:type="dxa"/>
              <w:left w:w="102" w:type="dxa"/>
              <w:bottom w:w="28" w:type="dxa"/>
              <w:right w:w="102" w:type="dxa"/>
            </w:tcMar>
            <w:vAlign w:val="center"/>
            <w:hideMark/>
          </w:tcPr>
          <w:p w14:paraId="31EAC58D" w14:textId="2D559886" w:rsidR="007674C4" w:rsidRPr="00811AF2" w:rsidRDefault="007674C4" w:rsidP="00811AF2">
            <w:pPr>
              <w:pStyle w:val="Tabletext"/>
              <w:jc w:val="center"/>
              <w:rPr>
                <w:sz w:val="18"/>
                <w:szCs w:val="18"/>
              </w:rPr>
            </w:pPr>
            <w:r w:rsidRPr="00811AF2">
              <w:rPr>
                <w:sz w:val="18"/>
                <w:szCs w:val="18"/>
              </w:rPr>
              <w:t>9.1</w:t>
            </w:r>
          </w:p>
        </w:tc>
        <w:tc>
          <w:tcPr>
            <w:tcW w:w="1134" w:type="dxa"/>
            <w:shd w:val="clear" w:color="auto" w:fill="auto"/>
            <w:tcMar>
              <w:top w:w="28" w:type="dxa"/>
              <w:left w:w="102" w:type="dxa"/>
              <w:bottom w:w="28" w:type="dxa"/>
              <w:right w:w="102" w:type="dxa"/>
            </w:tcMar>
            <w:vAlign w:val="center"/>
            <w:hideMark/>
          </w:tcPr>
          <w:p w14:paraId="16A98792" w14:textId="77777777" w:rsidR="007674C4" w:rsidRPr="00811AF2" w:rsidRDefault="007674C4" w:rsidP="00811AF2">
            <w:pPr>
              <w:pStyle w:val="Tabletext"/>
              <w:jc w:val="center"/>
              <w:rPr>
                <w:sz w:val="18"/>
                <w:szCs w:val="18"/>
              </w:rPr>
            </w:pPr>
            <w:r w:rsidRPr="00811AF2">
              <w:rPr>
                <w:sz w:val="18"/>
                <w:szCs w:val="18"/>
              </w:rPr>
              <w:t>0.0</w:t>
            </w:r>
          </w:p>
        </w:tc>
        <w:tc>
          <w:tcPr>
            <w:tcW w:w="1843" w:type="dxa"/>
            <w:shd w:val="clear" w:color="auto" w:fill="auto"/>
            <w:tcMar>
              <w:top w:w="28" w:type="dxa"/>
              <w:left w:w="102" w:type="dxa"/>
              <w:bottom w:w="28" w:type="dxa"/>
              <w:right w:w="102" w:type="dxa"/>
            </w:tcMar>
            <w:vAlign w:val="center"/>
            <w:hideMark/>
          </w:tcPr>
          <w:p w14:paraId="00C29B40" w14:textId="77777777" w:rsidR="007674C4" w:rsidRPr="00811AF2" w:rsidRDefault="007674C4" w:rsidP="00811AF2">
            <w:pPr>
              <w:pStyle w:val="Tabletext"/>
              <w:jc w:val="center"/>
              <w:rPr>
                <w:sz w:val="18"/>
                <w:szCs w:val="18"/>
              </w:rPr>
            </w:pPr>
            <w:r w:rsidRPr="00811AF2">
              <w:rPr>
                <w:sz w:val="18"/>
                <w:szCs w:val="18"/>
              </w:rPr>
              <w:t>-</w:t>
            </w:r>
          </w:p>
        </w:tc>
        <w:tc>
          <w:tcPr>
            <w:tcW w:w="1843" w:type="dxa"/>
            <w:shd w:val="clear" w:color="auto" w:fill="auto"/>
            <w:tcMar>
              <w:top w:w="28" w:type="dxa"/>
              <w:left w:w="102" w:type="dxa"/>
              <w:bottom w:w="28" w:type="dxa"/>
              <w:right w:w="102" w:type="dxa"/>
            </w:tcMar>
            <w:vAlign w:val="center"/>
            <w:hideMark/>
          </w:tcPr>
          <w:p w14:paraId="44CA83FF" w14:textId="77777777" w:rsidR="007674C4" w:rsidRPr="00811AF2" w:rsidRDefault="007674C4" w:rsidP="00811AF2">
            <w:pPr>
              <w:pStyle w:val="Tabletext"/>
              <w:jc w:val="center"/>
              <w:rPr>
                <w:sz w:val="18"/>
                <w:szCs w:val="18"/>
              </w:rPr>
            </w:pPr>
            <w:r w:rsidRPr="00811AF2">
              <w:rPr>
                <w:sz w:val="18"/>
                <w:szCs w:val="18"/>
              </w:rPr>
              <w:t>-</w:t>
            </w:r>
          </w:p>
        </w:tc>
      </w:tr>
      <w:tr w:rsidR="007674C4" w:rsidRPr="00811AF2" w14:paraId="66A977B1" w14:textId="77777777" w:rsidTr="00811AF2">
        <w:trPr>
          <w:trHeight w:val="226"/>
          <w:jc w:val="center"/>
        </w:trPr>
        <w:tc>
          <w:tcPr>
            <w:tcW w:w="1844" w:type="dxa"/>
            <w:shd w:val="clear" w:color="auto" w:fill="auto"/>
            <w:tcMar>
              <w:top w:w="28" w:type="dxa"/>
              <w:left w:w="102" w:type="dxa"/>
              <w:bottom w:w="28" w:type="dxa"/>
              <w:right w:w="102" w:type="dxa"/>
            </w:tcMar>
            <w:vAlign w:val="center"/>
            <w:hideMark/>
          </w:tcPr>
          <w:p w14:paraId="5467A915" w14:textId="070AA9A4" w:rsidR="007674C4" w:rsidRPr="00811AF2" w:rsidRDefault="00D74C8F" w:rsidP="00AF413E">
            <w:pPr>
              <w:pStyle w:val="Tabletext"/>
              <w:jc w:val="left"/>
              <w:rPr>
                <w:rFonts w:eastAsia="굴림"/>
                <w:color w:val="000000"/>
                <w:spacing w:val="-10"/>
                <w:w w:val="99"/>
                <w:sz w:val="18"/>
                <w:szCs w:val="18"/>
                <w:lang w:val="en-US" w:eastAsia="ko-KR"/>
              </w:rPr>
            </w:pPr>
            <w:r w:rsidRPr="00811AF2">
              <w:rPr>
                <w:rFonts w:eastAsia="나눔고딕"/>
                <w:color w:val="000000"/>
                <w:spacing w:val="-10"/>
                <w:w w:val="99"/>
                <w:sz w:val="18"/>
                <w:szCs w:val="18"/>
                <w:lang w:val="en-US" w:eastAsia="ko-KR"/>
              </w:rPr>
              <w:t>Southeast Asia</w:t>
            </w:r>
          </w:p>
        </w:tc>
        <w:tc>
          <w:tcPr>
            <w:tcW w:w="1223" w:type="dxa"/>
            <w:shd w:val="clear" w:color="auto" w:fill="auto"/>
            <w:tcMar>
              <w:top w:w="28" w:type="dxa"/>
              <w:left w:w="102" w:type="dxa"/>
              <w:bottom w:w="28" w:type="dxa"/>
              <w:right w:w="102" w:type="dxa"/>
            </w:tcMar>
            <w:vAlign w:val="center"/>
            <w:hideMark/>
          </w:tcPr>
          <w:p w14:paraId="0101025C" w14:textId="47C91609" w:rsidR="007674C4" w:rsidRPr="00811AF2" w:rsidRDefault="007674C4" w:rsidP="00811AF2">
            <w:pPr>
              <w:pStyle w:val="Tabletext"/>
              <w:jc w:val="center"/>
              <w:rPr>
                <w:sz w:val="18"/>
                <w:szCs w:val="18"/>
              </w:rPr>
            </w:pPr>
            <w:r w:rsidRPr="00811AF2">
              <w:rPr>
                <w:sz w:val="18"/>
                <w:szCs w:val="18"/>
              </w:rPr>
              <w:t>3.4</w:t>
            </w:r>
          </w:p>
        </w:tc>
        <w:tc>
          <w:tcPr>
            <w:tcW w:w="1328" w:type="dxa"/>
            <w:shd w:val="clear" w:color="auto" w:fill="auto"/>
            <w:tcMar>
              <w:top w:w="28" w:type="dxa"/>
              <w:left w:w="102" w:type="dxa"/>
              <w:bottom w:w="28" w:type="dxa"/>
              <w:right w:w="102" w:type="dxa"/>
            </w:tcMar>
            <w:vAlign w:val="center"/>
            <w:hideMark/>
          </w:tcPr>
          <w:p w14:paraId="1EC43613" w14:textId="085F2A72" w:rsidR="007674C4" w:rsidRPr="00811AF2" w:rsidRDefault="007674C4" w:rsidP="00811AF2">
            <w:pPr>
              <w:pStyle w:val="Tabletext"/>
              <w:jc w:val="center"/>
              <w:rPr>
                <w:sz w:val="18"/>
                <w:szCs w:val="18"/>
              </w:rPr>
            </w:pPr>
            <w:r w:rsidRPr="00811AF2">
              <w:rPr>
                <w:sz w:val="18"/>
                <w:szCs w:val="18"/>
              </w:rPr>
              <w:t>5.6</w:t>
            </w:r>
          </w:p>
        </w:tc>
        <w:tc>
          <w:tcPr>
            <w:tcW w:w="1134" w:type="dxa"/>
            <w:shd w:val="clear" w:color="auto" w:fill="auto"/>
            <w:tcMar>
              <w:top w:w="28" w:type="dxa"/>
              <w:left w:w="102" w:type="dxa"/>
              <w:bottom w:w="28" w:type="dxa"/>
              <w:right w:w="102" w:type="dxa"/>
            </w:tcMar>
            <w:vAlign w:val="center"/>
            <w:hideMark/>
          </w:tcPr>
          <w:p w14:paraId="685B48A6" w14:textId="77777777" w:rsidR="007674C4" w:rsidRPr="00811AF2" w:rsidRDefault="007674C4" w:rsidP="00811AF2">
            <w:pPr>
              <w:pStyle w:val="Tabletext"/>
              <w:jc w:val="center"/>
              <w:rPr>
                <w:sz w:val="18"/>
                <w:szCs w:val="18"/>
              </w:rPr>
            </w:pPr>
            <w:r w:rsidRPr="00811AF2">
              <w:rPr>
                <w:sz w:val="18"/>
                <w:szCs w:val="18"/>
              </w:rPr>
              <w:t>0.0</w:t>
            </w:r>
          </w:p>
        </w:tc>
        <w:tc>
          <w:tcPr>
            <w:tcW w:w="1843" w:type="dxa"/>
            <w:shd w:val="clear" w:color="auto" w:fill="auto"/>
            <w:tcMar>
              <w:top w:w="28" w:type="dxa"/>
              <w:left w:w="102" w:type="dxa"/>
              <w:bottom w:w="28" w:type="dxa"/>
              <w:right w:w="102" w:type="dxa"/>
            </w:tcMar>
            <w:vAlign w:val="center"/>
            <w:hideMark/>
          </w:tcPr>
          <w:p w14:paraId="10FEF42B" w14:textId="77777777" w:rsidR="007674C4" w:rsidRPr="00811AF2" w:rsidRDefault="007674C4" w:rsidP="00811AF2">
            <w:pPr>
              <w:pStyle w:val="Tabletext"/>
              <w:jc w:val="center"/>
              <w:rPr>
                <w:sz w:val="18"/>
                <w:szCs w:val="18"/>
              </w:rPr>
            </w:pPr>
            <w:r w:rsidRPr="00811AF2">
              <w:rPr>
                <w:sz w:val="18"/>
                <w:szCs w:val="18"/>
              </w:rPr>
              <w:t>-</w:t>
            </w:r>
          </w:p>
        </w:tc>
        <w:tc>
          <w:tcPr>
            <w:tcW w:w="1843" w:type="dxa"/>
            <w:shd w:val="clear" w:color="auto" w:fill="auto"/>
            <w:tcMar>
              <w:top w:w="28" w:type="dxa"/>
              <w:left w:w="102" w:type="dxa"/>
              <w:bottom w:w="28" w:type="dxa"/>
              <w:right w:w="102" w:type="dxa"/>
            </w:tcMar>
            <w:vAlign w:val="center"/>
            <w:hideMark/>
          </w:tcPr>
          <w:p w14:paraId="1FE9C7FA" w14:textId="77777777" w:rsidR="007674C4" w:rsidRPr="00811AF2" w:rsidRDefault="007674C4" w:rsidP="00811AF2">
            <w:pPr>
              <w:pStyle w:val="Tabletext"/>
              <w:jc w:val="center"/>
              <w:rPr>
                <w:sz w:val="18"/>
                <w:szCs w:val="18"/>
              </w:rPr>
            </w:pPr>
            <w:r w:rsidRPr="00811AF2">
              <w:rPr>
                <w:sz w:val="18"/>
                <w:szCs w:val="18"/>
              </w:rPr>
              <w:t>-</w:t>
            </w:r>
          </w:p>
        </w:tc>
      </w:tr>
    </w:tbl>
    <w:p w14:paraId="5116A44E" w14:textId="77777777" w:rsidR="007674C4" w:rsidRPr="00811AF2" w:rsidRDefault="007674C4" w:rsidP="00880E11">
      <w:pPr>
        <w:pStyle w:val="a1"/>
        <w:ind w:firstLine="0"/>
        <w:rPr>
          <w:sz w:val="18"/>
          <w:szCs w:val="18"/>
        </w:rPr>
      </w:pPr>
    </w:p>
    <w:p w14:paraId="10AE8702" w14:textId="372A9F20" w:rsidR="00704810" w:rsidRDefault="00811AF2" w:rsidP="00704810">
      <w:pPr>
        <w:pStyle w:val="2"/>
        <w:numPr>
          <w:ilvl w:val="1"/>
          <w:numId w:val="10"/>
        </w:numPr>
      </w:pPr>
      <w:r>
        <w:t>conclusion</w:t>
      </w:r>
    </w:p>
    <w:p w14:paraId="6750626C" w14:textId="7960252F" w:rsidR="00762FAD" w:rsidRDefault="00704810" w:rsidP="00BD4407">
      <w:pPr>
        <w:pStyle w:val="a1"/>
      </w:pPr>
      <w:r>
        <w:rPr>
          <w:lang w:val="en-US" w:eastAsia="ko-KR"/>
        </w:rPr>
        <w:t>This study</w:t>
      </w:r>
      <w:r w:rsidRPr="00704810">
        <w:rPr>
          <w:lang w:val="en-US" w:eastAsia="ko-KR"/>
        </w:rPr>
        <w:t xml:space="preserve"> explore</w:t>
      </w:r>
      <w:r>
        <w:rPr>
          <w:lang w:val="en-US" w:eastAsia="ko-KR"/>
        </w:rPr>
        <w:t>s</w:t>
      </w:r>
      <w:r w:rsidRPr="00704810">
        <w:rPr>
          <w:lang w:val="en-US" w:eastAsia="ko-KR"/>
        </w:rPr>
        <w:t xml:space="preserve"> the </w:t>
      </w:r>
      <w:r w:rsidR="00762FAD">
        <w:rPr>
          <w:lang w:val="en-US" w:eastAsia="ko-KR"/>
        </w:rPr>
        <w:t>potential</w:t>
      </w:r>
      <w:r w:rsidRPr="00704810">
        <w:rPr>
          <w:lang w:val="en-US" w:eastAsia="ko-KR"/>
        </w:rPr>
        <w:t xml:space="preserve"> of SMRs </w:t>
      </w:r>
      <w:r w:rsidR="00762FAD">
        <w:rPr>
          <w:lang w:val="en-US" w:eastAsia="ko-KR"/>
        </w:rPr>
        <w:t>as an attractive option for energy transition to achieve 2050 net-zero goals.</w:t>
      </w:r>
      <w:r>
        <w:rPr>
          <w:lang w:val="en-US" w:eastAsia="ko-KR"/>
        </w:rPr>
        <w:t xml:space="preserve"> </w:t>
      </w:r>
      <w:r w:rsidR="00B52081">
        <w:rPr>
          <w:lang w:val="en-US" w:eastAsia="ko-KR"/>
        </w:rPr>
        <w:t>In particular, w</w:t>
      </w:r>
      <w:r w:rsidR="00762FAD">
        <w:rPr>
          <w:lang w:val="en-US" w:eastAsia="ko-KR"/>
        </w:rPr>
        <w:t xml:space="preserve">e measure the extent of converting the retiring coal plants to </w:t>
      </w:r>
      <w:r w:rsidR="00B52081">
        <w:rPr>
          <w:lang w:val="en-US" w:eastAsia="ko-KR"/>
        </w:rPr>
        <w:t>SMR, C2S,</w:t>
      </w:r>
      <w:r w:rsidR="00762FAD">
        <w:rPr>
          <w:lang w:val="en-US" w:eastAsia="ko-KR"/>
        </w:rPr>
        <w:t xml:space="preserve"> by applying </w:t>
      </w:r>
      <w:r w:rsidR="00762FAD">
        <w:t xml:space="preserve">site-screening criteria </w:t>
      </w:r>
      <w:r w:rsidR="00B52081">
        <w:t xml:space="preserve">and focusing on i-SMR as a </w:t>
      </w:r>
      <w:r w:rsidR="00BD4407">
        <w:t>representative</w:t>
      </w:r>
      <w:r w:rsidR="00B52081">
        <w:t xml:space="preserve"> of SMRs</w:t>
      </w:r>
      <w:r w:rsidR="00BD4407">
        <w:t>.</w:t>
      </w:r>
      <w:r w:rsidR="00BD4407">
        <w:rPr>
          <w:lang w:val="en-US" w:eastAsia="ko-KR"/>
        </w:rPr>
        <w:t xml:space="preserve"> </w:t>
      </w:r>
      <w:r w:rsidR="00762FAD">
        <w:rPr>
          <w:lang w:val="en-US" w:eastAsia="ko-KR"/>
        </w:rPr>
        <w:t>W</w:t>
      </w:r>
      <w:r w:rsidR="00096548" w:rsidRPr="00704810">
        <w:t xml:space="preserve">e </w:t>
      </w:r>
      <w:r w:rsidR="00096548">
        <w:t>show</w:t>
      </w:r>
      <w:r w:rsidR="00096548" w:rsidRPr="00704810">
        <w:t xml:space="preserve"> that 108 GW </w:t>
      </w:r>
      <w:r w:rsidR="00096548">
        <w:t xml:space="preserve">of coal plants in the </w:t>
      </w:r>
      <w:r w:rsidR="007D1B7C">
        <w:t>53 countries</w:t>
      </w:r>
      <w:r w:rsidR="00096548">
        <w:t xml:space="preserve"> </w:t>
      </w:r>
      <w:r w:rsidR="00096548" w:rsidRPr="00704810">
        <w:t xml:space="preserve">could be </w:t>
      </w:r>
      <w:r w:rsidR="00096548">
        <w:t>suitable</w:t>
      </w:r>
      <w:r w:rsidR="00096548" w:rsidRPr="00704810">
        <w:t xml:space="preserve"> for SMR siting, out of the 899 GW of coal plants retiring (or retired) between 2021 and 2050.</w:t>
      </w:r>
      <w:r w:rsidR="00096548">
        <w:t xml:space="preserve"> </w:t>
      </w:r>
    </w:p>
    <w:p w14:paraId="26D15BB2" w14:textId="1C4E3244" w:rsidR="00BD4407" w:rsidRPr="00BD4407" w:rsidRDefault="007D1B7C" w:rsidP="00BD4407">
      <w:pPr>
        <w:pStyle w:val="a1"/>
        <w:rPr>
          <w:lang w:val="en-US" w:eastAsia="ko-KR"/>
        </w:rPr>
      </w:pPr>
      <w:r>
        <w:rPr>
          <w:lang w:val="en-US" w:eastAsia="ko-KR"/>
        </w:rPr>
        <w:t>We categorize 53 countries into three groups based on the policy-based potential to introduce SMRs to figure out which site-screening criteria play a significant role for C2S. When it comes to the NPP Operating Countries and Countries with SMR plan, it is the population-related criterion that</w:t>
      </w:r>
      <w:r w:rsidR="00841C12">
        <w:rPr>
          <w:lang w:val="en-US" w:eastAsia="ko-KR"/>
        </w:rPr>
        <w:t xml:space="preserve"> critically</w:t>
      </w:r>
      <w:r>
        <w:rPr>
          <w:lang w:val="en-US" w:eastAsia="ko-KR"/>
        </w:rPr>
        <w:t xml:space="preserve"> determines the screened coal capacity for C2S.</w:t>
      </w:r>
      <w:r w:rsidR="00841C12">
        <w:rPr>
          <w:lang w:val="en-US" w:eastAsia="ko-KR"/>
        </w:rPr>
        <w:t xml:space="preserve"> </w:t>
      </w:r>
      <w:r w:rsidR="00FF4BCE">
        <w:rPr>
          <w:lang w:val="en-US" w:eastAsia="ko-KR"/>
        </w:rPr>
        <w:t xml:space="preserve">This implies that </w:t>
      </w:r>
      <w:r w:rsidR="00D9021D">
        <w:rPr>
          <w:lang w:val="en-US" w:eastAsia="ko-KR"/>
        </w:rPr>
        <w:t>i</w:t>
      </w:r>
      <w:r w:rsidR="00D9021D" w:rsidRPr="00D9021D">
        <w:rPr>
          <w:lang w:val="en-US" w:eastAsia="ko-KR"/>
        </w:rPr>
        <w:t xml:space="preserve">f </w:t>
      </w:r>
      <w:r w:rsidR="00D9021D">
        <w:rPr>
          <w:lang w:val="en-US" w:eastAsia="ko-KR"/>
        </w:rPr>
        <w:t xml:space="preserve">SMR’s </w:t>
      </w:r>
      <w:r w:rsidR="00D9021D" w:rsidRPr="00D9021D">
        <w:rPr>
          <w:lang w:val="en-US" w:eastAsia="ko-KR"/>
        </w:rPr>
        <w:t>safeguards</w:t>
      </w:r>
      <w:r w:rsidR="00D9021D">
        <w:rPr>
          <w:lang w:val="en-US" w:eastAsia="ko-KR"/>
        </w:rPr>
        <w:t xml:space="preserve"> </w:t>
      </w:r>
      <w:r w:rsidR="006A6168">
        <w:rPr>
          <w:lang w:val="en-US" w:eastAsia="ko-KR"/>
        </w:rPr>
        <w:t>are improved so that</w:t>
      </w:r>
      <w:r w:rsidR="00D9021D" w:rsidRPr="00D9021D">
        <w:rPr>
          <w:lang w:val="en-US" w:eastAsia="ko-KR"/>
        </w:rPr>
        <w:t xml:space="preserve"> </w:t>
      </w:r>
      <w:r w:rsidR="00B006FF">
        <w:rPr>
          <w:lang w:val="en-US" w:eastAsia="ko-KR"/>
        </w:rPr>
        <w:t>it</w:t>
      </w:r>
      <w:r w:rsidR="00D9021D" w:rsidRPr="00D9021D">
        <w:rPr>
          <w:lang w:val="en-US" w:eastAsia="ko-KR"/>
        </w:rPr>
        <w:t xml:space="preserve"> sufficient</w:t>
      </w:r>
      <w:r w:rsidR="00850E6D">
        <w:rPr>
          <w:lang w:val="en-US" w:eastAsia="ko-KR"/>
        </w:rPr>
        <w:t>ly</w:t>
      </w:r>
      <w:r w:rsidR="00D9021D" w:rsidRPr="00D9021D">
        <w:rPr>
          <w:lang w:val="en-US" w:eastAsia="ko-KR"/>
        </w:rPr>
        <w:t xml:space="preserve"> satisf</w:t>
      </w:r>
      <w:r w:rsidR="00B006FF">
        <w:rPr>
          <w:lang w:val="en-US" w:eastAsia="ko-KR"/>
        </w:rPr>
        <w:t>ies the population-related regulation,</w:t>
      </w:r>
      <w:r w:rsidR="00D9021D" w:rsidRPr="00D9021D">
        <w:rPr>
          <w:lang w:val="en-US" w:eastAsia="ko-KR"/>
        </w:rPr>
        <w:t xml:space="preserve"> </w:t>
      </w:r>
      <w:r w:rsidR="00B006FF">
        <w:rPr>
          <w:lang w:val="en-US" w:eastAsia="ko-KR"/>
        </w:rPr>
        <w:t>more coal plants in those countries turn into the ideal sites for C2S.</w:t>
      </w:r>
    </w:p>
    <w:p w14:paraId="13715751" w14:textId="00FF54DD" w:rsidR="00704810" w:rsidRPr="00762FAD" w:rsidRDefault="00BD4407" w:rsidP="00762FAD">
      <w:pPr>
        <w:pStyle w:val="a1"/>
        <w:rPr>
          <w:lang w:val="en-US" w:eastAsia="ko-KR"/>
        </w:rPr>
      </w:pPr>
      <w:r>
        <w:rPr>
          <w:lang w:val="en-US" w:eastAsia="ko-KR"/>
        </w:rPr>
        <w:t>Also, w</w:t>
      </w:r>
      <w:r w:rsidR="00762FAD">
        <w:rPr>
          <w:lang w:val="en-US" w:eastAsia="ko-KR"/>
        </w:rPr>
        <w:t xml:space="preserve">e </w:t>
      </w:r>
      <w:r w:rsidR="00762FAD" w:rsidRPr="00704810">
        <w:rPr>
          <w:lang w:val="en-US" w:eastAsia="ko-KR"/>
        </w:rPr>
        <w:t xml:space="preserve">compare the capacity of screened coal plants suitable for </w:t>
      </w:r>
      <w:r w:rsidR="00B006FF">
        <w:rPr>
          <w:lang w:val="en-US" w:eastAsia="ko-KR"/>
        </w:rPr>
        <w:t>C2S</w:t>
      </w:r>
      <w:r w:rsidR="00762FAD" w:rsidRPr="00704810">
        <w:rPr>
          <w:lang w:val="en-US" w:eastAsia="ko-KR"/>
        </w:rPr>
        <w:t xml:space="preserve"> with the nuclear power capacity required to achieve carbon neutrality as outlined by the IEA.</w:t>
      </w:r>
      <w:r w:rsidR="00762FAD">
        <w:rPr>
          <w:lang w:val="en-US" w:eastAsia="ko-KR"/>
        </w:rPr>
        <w:t xml:space="preserve"> </w:t>
      </w:r>
      <w:r w:rsidR="00762FAD">
        <w:t>As a result, t</w:t>
      </w:r>
      <w:r w:rsidR="00096548">
        <w:t xml:space="preserve">he </w:t>
      </w:r>
      <w:r w:rsidR="00096548" w:rsidRPr="00704810">
        <w:t>U</w:t>
      </w:r>
      <w:r>
        <w:t xml:space="preserve">nited </w:t>
      </w:r>
      <w:r w:rsidR="00096548" w:rsidRPr="00704810">
        <w:t>S</w:t>
      </w:r>
      <w:r>
        <w:t>tates</w:t>
      </w:r>
      <w:r w:rsidR="00096548" w:rsidRPr="00704810">
        <w:t xml:space="preserve"> has 62.4 GW of coal plants available for SMR siting, which is sufficient to cover its nuclear capacity requirements of the</w:t>
      </w:r>
      <w:r w:rsidR="00096548">
        <w:t xml:space="preserve"> required nuclear capacity. On the other hand, </w:t>
      </w:r>
      <w:r w:rsidR="00096548" w:rsidRPr="00704810">
        <w:t xml:space="preserve">2.5 GW of coal plants </w:t>
      </w:r>
      <w:r w:rsidR="00096548">
        <w:t xml:space="preserve">in China </w:t>
      </w:r>
      <w:r w:rsidR="00096548" w:rsidRPr="00704810">
        <w:t>could be suitable for SMR siting, which is less than its nuclear capacity requirements.</w:t>
      </w:r>
      <w:r w:rsidR="00096548">
        <w:t xml:space="preserve"> </w:t>
      </w:r>
    </w:p>
    <w:p w14:paraId="1FA60CE5" w14:textId="77777777" w:rsidR="00704810" w:rsidRDefault="00704810">
      <w:pPr>
        <w:overflowPunct/>
        <w:autoSpaceDE/>
        <w:autoSpaceDN/>
        <w:adjustRightInd/>
        <w:textAlignment w:val="auto"/>
        <w:rPr>
          <w:rFonts w:ascii="Times New Roman Bold" w:hAnsi="Times New Roman Bold" w:hint="eastAsia"/>
          <w:b/>
          <w:caps/>
          <w:sz w:val="20"/>
        </w:rPr>
      </w:pPr>
      <w:r>
        <w:rPr>
          <w:rFonts w:hint="eastAsia"/>
        </w:rPr>
        <w:br w:type="page"/>
      </w:r>
    </w:p>
    <w:p w14:paraId="32B76F9D" w14:textId="62B6F370" w:rsidR="00D26ADA" w:rsidRPr="00704810" w:rsidRDefault="00D26ADA" w:rsidP="00537496">
      <w:pPr>
        <w:pStyle w:val="Otherunnumberedheadings"/>
        <w:rPr>
          <w:rFonts w:hint="eastAsia"/>
        </w:rPr>
      </w:pPr>
      <w:r w:rsidRPr="00704810">
        <w:t>References</w:t>
      </w:r>
    </w:p>
    <w:p w14:paraId="76A25F3E" w14:textId="72CAE7A0" w:rsidR="007C06F7" w:rsidRPr="00704810" w:rsidRDefault="007C06F7" w:rsidP="007C06F7">
      <w:pPr>
        <w:pStyle w:val="Referencelist"/>
      </w:pPr>
      <w:r w:rsidRPr="00704810">
        <w:t>Belles, R., Omitaomu, O., &amp; Worrall, A. 2021. “TVA Coal-Fired Plant Potential for</w:t>
      </w:r>
      <w:r w:rsidRPr="00704810">
        <w:rPr>
          <w:rFonts w:hint="eastAsia"/>
          <w:lang w:eastAsia="ko-KR"/>
        </w:rPr>
        <w:t xml:space="preserve"> </w:t>
      </w:r>
      <w:r w:rsidRPr="00704810">
        <w:t xml:space="preserve">Advanced Reactor Siting”. Oak Ridge National Laboratory. </w:t>
      </w:r>
    </w:p>
    <w:p w14:paraId="28786356" w14:textId="1D5D10E0" w:rsidR="007C06F7" w:rsidRPr="00704810" w:rsidRDefault="007C06F7" w:rsidP="007C06F7">
      <w:pPr>
        <w:pStyle w:val="Referencelist"/>
      </w:pPr>
      <w:r w:rsidRPr="00704810">
        <w:t>DOE. 2022. “Investigating benefits and challenges of converting retiring coal plants</w:t>
      </w:r>
      <w:r w:rsidRPr="00704810">
        <w:rPr>
          <w:rFonts w:hint="eastAsia"/>
          <w:lang w:eastAsia="ko-KR"/>
        </w:rPr>
        <w:t xml:space="preserve"> </w:t>
      </w:r>
      <w:r w:rsidRPr="00704810">
        <w:t xml:space="preserve">into nuclear plants”. Idaho National Laboratory. </w:t>
      </w:r>
    </w:p>
    <w:p w14:paraId="2D879BE1" w14:textId="77777777" w:rsidR="007C06F7" w:rsidRPr="00704810" w:rsidRDefault="007C06F7" w:rsidP="007C06F7">
      <w:pPr>
        <w:pStyle w:val="Referencelist"/>
      </w:pPr>
      <w:r w:rsidRPr="00704810">
        <w:t xml:space="preserve">EPRI. 2022. “Advanced Nuclear Technology: Site Selection and Evaluation Criteria for New Nuclear Energy Generation Facilities (Siting Guide): 2022 Revision”. </w:t>
      </w:r>
    </w:p>
    <w:p w14:paraId="6727D7AD" w14:textId="3DF2C095" w:rsidR="007C06F7" w:rsidRPr="00704810" w:rsidRDefault="007C06F7" w:rsidP="007C06F7">
      <w:pPr>
        <w:pStyle w:val="Referencelist"/>
      </w:pPr>
      <w:r w:rsidRPr="00704810">
        <w:t>Global Earthquake Model Foundation. (2020). Global Active Faluts Database. https://</w:t>
      </w:r>
      <w:r w:rsidRPr="00704810">
        <w:rPr>
          <w:rFonts w:hint="eastAsia"/>
        </w:rPr>
        <w:t>www.globalquakemodel.org/product/active-faults-database</w:t>
      </w:r>
      <w:r w:rsidRPr="00704810">
        <w:t>.</w:t>
      </w:r>
    </w:p>
    <w:p w14:paraId="0DC30AA9" w14:textId="2CE45E45" w:rsidR="007C06F7" w:rsidRPr="00704810" w:rsidRDefault="007C06F7" w:rsidP="007C06F7">
      <w:pPr>
        <w:pStyle w:val="Referencelist"/>
      </w:pPr>
      <w:r w:rsidRPr="00704810">
        <w:t>Global Earthquake Model Foundation. (2023). Global Seismic Hazard Map. https://</w:t>
      </w:r>
      <w:r w:rsidRPr="00704810">
        <w:rPr>
          <w:rFonts w:hint="eastAsia"/>
        </w:rPr>
        <w:t>www.globalquakemodel.org/product/global-seismic-hazard-map</w:t>
      </w:r>
      <w:r w:rsidRPr="00704810">
        <w:t>.</w:t>
      </w:r>
    </w:p>
    <w:p w14:paraId="601F3C68" w14:textId="0E62853D" w:rsidR="007C06F7" w:rsidRPr="00704810" w:rsidRDefault="007C06F7" w:rsidP="007C06F7">
      <w:pPr>
        <w:pStyle w:val="Referencelist"/>
      </w:pPr>
      <w:r w:rsidRPr="00704810">
        <w:t>Global Energy Monitor. (2023). Global Coal Plant Tracker January Edition. https://globalenergymonitor.org/projects/global-coal-plant-tracker/download-data/.</w:t>
      </w:r>
    </w:p>
    <w:p w14:paraId="796BCCEE" w14:textId="77777777" w:rsidR="007C06F7" w:rsidRPr="00704810" w:rsidRDefault="007C06F7" w:rsidP="007C06F7">
      <w:pPr>
        <w:pStyle w:val="Referencelist"/>
      </w:pPr>
      <w:r w:rsidRPr="00704810">
        <w:t>IEA. 2021. “World Energy Outlook 2021”.</w:t>
      </w:r>
    </w:p>
    <w:p w14:paraId="37A1BD5F" w14:textId="77777777" w:rsidR="007C06F7" w:rsidRPr="00704810" w:rsidRDefault="007C06F7" w:rsidP="007C06F7">
      <w:pPr>
        <w:pStyle w:val="Referencelist"/>
      </w:pPr>
      <w:r w:rsidRPr="00704810">
        <w:t>IEA. 2022. “Projected Cost of Generating Electricity-2020 Edition”.</w:t>
      </w:r>
    </w:p>
    <w:p w14:paraId="14429FC8" w14:textId="6E16C51E" w:rsidR="007C06F7" w:rsidRPr="00704810" w:rsidRDefault="007C06F7" w:rsidP="007C06F7">
      <w:pPr>
        <w:pStyle w:val="Referencelist"/>
      </w:pPr>
      <w:r w:rsidRPr="00704810">
        <w:t>Joint Research Centre. (2016). Flood hazard map of the World: 100-year return</w:t>
      </w:r>
      <w:r w:rsidRPr="00704810">
        <w:rPr>
          <w:rFonts w:hint="eastAsia"/>
          <w:lang w:eastAsia="ko-KR"/>
        </w:rPr>
        <w:t xml:space="preserve"> </w:t>
      </w:r>
      <w:r w:rsidRPr="00704810">
        <w:t>period. https://data.jrc.ec.europa.eu/dataset/jrc-floods-floodmapgl_rp100y-tif.</w:t>
      </w:r>
    </w:p>
    <w:p w14:paraId="4983B4DC" w14:textId="695F541A" w:rsidR="007C06F7" w:rsidRPr="00704810" w:rsidRDefault="007C06F7" w:rsidP="007C06F7">
      <w:pPr>
        <w:pStyle w:val="Referencelist"/>
      </w:pPr>
      <w:r w:rsidRPr="00704810">
        <w:t>WorldPop. (2020). Population Counts: Unconstrained Individual Countries (1 km</w:t>
      </w:r>
      <w:r w:rsidRPr="00704810">
        <w:rPr>
          <w:rFonts w:hint="eastAsia"/>
          <w:lang w:eastAsia="ko-KR"/>
        </w:rPr>
        <w:t xml:space="preserve"> </w:t>
      </w:r>
      <w:r w:rsidRPr="00704810">
        <w:rPr>
          <w:rFonts w:hint="eastAsia"/>
        </w:rPr>
        <w:t xml:space="preserve">Resolution). www.worldpop.org. </w:t>
      </w:r>
    </w:p>
    <w:p w14:paraId="3BA56E06" w14:textId="77777777" w:rsidR="00F45EEE" w:rsidRPr="00662532" w:rsidRDefault="00F45EEE" w:rsidP="00537496">
      <w:pPr>
        <w:pStyle w:val="a1"/>
        <w:ind w:firstLine="0"/>
        <w:jc w:val="left"/>
      </w:pPr>
    </w:p>
    <w:sectPr w:rsidR="00F45EEE"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65DA4" w14:textId="77777777" w:rsidR="004E214E" w:rsidRDefault="004E214E">
      <w:r>
        <w:separator/>
      </w:r>
    </w:p>
  </w:endnote>
  <w:endnote w:type="continuationSeparator" w:id="0">
    <w:p w14:paraId="46CCAD5D" w14:textId="77777777" w:rsidR="004E214E" w:rsidRDefault="004E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나눔고딕 Bold">
    <w:altName w:val="나눔고딕"/>
    <w:panose1 w:val="020B0604020202020204"/>
    <w:charset w:val="81"/>
    <w:family w:val="modern"/>
    <w:pitch w:val="variable"/>
    <w:sig w:usb0="800002A7" w:usb1="29D7FCFB" w:usb2="00000010" w:usb3="00000000" w:csb0="0008000D" w:csb1="00000000"/>
  </w:font>
  <w:font w:name="굴림">
    <w:altName w:val="Gulim"/>
    <w:panose1 w:val="020B0600000101010101"/>
    <w:charset w:val="81"/>
    <w:family w:val="swiss"/>
    <w:pitch w:val="variable"/>
    <w:sig w:usb0="B00002AF" w:usb1="69D77CFB" w:usb2="00000030" w:usb3="00000000" w:csb0="0008009F" w:csb1="00000000"/>
  </w:font>
  <w:font w:name="나눔고딕">
    <w:altName w:val="NanumGothic"/>
    <w:panose1 w:val="00000000000000000000"/>
    <w:charset w:val="81"/>
    <w:family w:val="auto"/>
    <w:pitch w:val="variable"/>
    <w:sig w:usb0="80000003" w:usb1="09D7FCEB" w:usb2="00000010" w:usb3="00000000" w:csb0="00080001"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D5BA7" w:rsidRDefault="00ED5BA7">
    <w:pPr>
      <w:pStyle w:val="zyxClassification1"/>
    </w:pPr>
    <w:r>
      <w:fldChar w:fldCharType="begin"/>
    </w:r>
    <w:r>
      <w:instrText xml:space="preserve"> DOCPROPERTY "IaeaClassification"  \* MERGEFORMAT </w:instrText>
    </w:r>
    <w:r>
      <w:fldChar w:fldCharType="end"/>
    </w:r>
  </w:p>
  <w:p w14:paraId="1FDEB1B7" w14:textId="0ED3327B" w:rsidR="00ED5BA7" w:rsidRDefault="00ED5BA7">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D5BA7" w:rsidRDefault="00ED5BA7">
    <w:pPr>
      <w:pStyle w:val="zyxClassification1"/>
    </w:pPr>
    <w:r>
      <w:fldChar w:fldCharType="begin"/>
    </w:r>
    <w:r>
      <w:instrText xml:space="preserve"> DOCPROPERTY "IaeaClassification"  \* MERGEFORMAT </w:instrText>
    </w:r>
    <w:r>
      <w:fldChar w:fldCharType="end"/>
    </w:r>
  </w:p>
  <w:p w14:paraId="7E32AC2C" w14:textId="07C52EB6" w:rsidR="00ED5BA7" w:rsidRPr="00037321" w:rsidRDefault="00ED5BA7">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D5BA7" w14:paraId="2AC0DA17" w14:textId="77777777">
      <w:trPr>
        <w:cantSplit/>
      </w:trPr>
      <w:tc>
        <w:tcPr>
          <w:tcW w:w="4644" w:type="dxa"/>
        </w:tcPr>
        <w:p w14:paraId="6CFF9F49" w14:textId="0172A26A" w:rsidR="00ED5BA7" w:rsidRDefault="00ED5BA7">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D5BA7" w:rsidRDefault="00ED5BA7">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4" w:name="DOC_bkmClassification2"/>
      <w:tc>
        <w:tcPr>
          <w:tcW w:w="5670" w:type="dxa"/>
          <w:tcMar>
            <w:right w:w="249" w:type="dxa"/>
          </w:tcMar>
        </w:tcPr>
        <w:p w14:paraId="6BE850AD" w14:textId="6BACBAB6" w:rsidR="00ED5BA7" w:rsidRDefault="00ED5BA7">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A6BF5C8" w14:textId="4D4577F5" w:rsidR="00ED5BA7" w:rsidRDefault="00ED5BA7">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5" w:name="DOC_bkmFileName"/>
  <w:p w14:paraId="437B756E" w14:textId="14A092E5" w:rsidR="00ED5BA7" w:rsidRDefault="00ED5BA7">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11209" w14:textId="77777777" w:rsidR="004E214E" w:rsidRDefault="004E214E">
      <w:r>
        <w:t>___________________________________________________________________________</w:t>
      </w:r>
    </w:p>
  </w:footnote>
  <w:footnote w:type="continuationSeparator" w:id="0">
    <w:p w14:paraId="1E50240D" w14:textId="77777777" w:rsidR="004E214E" w:rsidRDefault="004E214E">
      <w:r>
        <w:t>___________________________________________________________________________</w:t>
      </w:r>
    </w:p>
  </w:footnote>
  <w:footnote w:type="continuationNotice" w:id="1">
    <w:p w14:paraId="73791AEF" w14:textId="77777777" w:rsidR="004E214E" w:rsidRDefault="004E214E"/>
  </w:footnote>
  <w:footnote w:id="2">
    <w:p w14:paraId="21143492" w14:textId="21EDB24B" w:rsidR="008223B4" w:rsidRPr="008223B4" w:rsidRDefault="008223B4">
      <w:pPr>
        <w:pStyle w:val="a8"/>
        <w:rPr>
          <w:lang w:val="en-US"/>
        </w:rPr>
      </w:pPr>
      <w:r>
        <w:rPr>
          <w:rStyle w:val="ab"/>
        </w:rPr>
        <w:footnoteRef/>
      </w:r>
      <w:r>
        <w:t xml:space="preserve"> </w:t>
      </w:r>
      <w:r w:rsidRPr="008223B4">
        <w:t xml:space="preserve">Of the 24 countries in </w:t>
      </w:r>
      <w:r w:rsidR="00D20A8B">
        <w:t>NPP Operating Countries</w:t>
      </w:r>
      <w:r w:rsidRPr="008223B4">
        <w:t>, Bangladesh and Pakistan are excluded from the results in Table ___ because they do not have any coal-fired plants retiring between 2021-50.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ED5BA7" w:rsidRDefault="00ED5BA7" w:rsidP="00CF7AF3">
    <w:pPr>
      <w:pStyle w:val="Runninghead"/>
    </w:pPr>
    <w:r>
      <w:tab/>
      <w:t>IAEA-CN-123/45</w:t>
    </w:r>
  </w:p>
  <w:p w14:paraId="4D70767E" w14:textId="77777777" w:rsidR="00ED5BA7" w:rsidRPr="009E1558" w:rsidRDefault="00ED5BA7"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D5BA7" w:rsidRDefault="00ED5BA7"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ED5BA7" w:rsidRDefault="00ED5BA7">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0DDF0BAD" w:rsidR="00ED5BA7" w:rsidRDefault="00ED5BA7" w:rsidP="00B82FA5">
    <w:pPr>
      <w:pStyle w:val="Runninghead"/>
    </w:pPr>
    <w:r>
      <w:t>Shin and Kim</w:t>
    </w:r>
  </w:p>
  <w:p w14:paraId="2762EF17" w14:textId="77777777" w:rsidR="00ED5BA7" w:rsidRPr="009E1558" w:rsidRDefault="00ED5BA7" w:rsidP="00037321">
    <w:pPr>
      <w:jc w:val="center"/>
      <w:rPr>
        <w:color w:val="BFBFBF" w:themeColor="background1" w:themeShade="BF"/>
        <w:sz w:val="16"/>
        <w:szCs w:val="16"/>
      </w:rPr>
    </w:pPr>
    <w:r>
      <w:rPr>
        <w:color w:val="BFBFBF" w:themeColor="background1" w:themeShade="BF"/>
        <w:sz w:val="16"/>
        <w:szCs w:val="16"/>
      </w:rPr>
      <w:t>[</w:t>
    </w:r>
    <w:r w:rsidRPr="009E1558">
      <w:rPr>
        <w:color w:val="BFBFBF" w:themeColor="background1" w:themeShade="BF"/>
        <w:sz w:val="16"/>
        <w:szCs w:val="16"/>
      </w:rPr>
      <w:t>Left hand page running head is author’s name in Times New Roman 8 p</w:t>
    </w:r>
    <w:r>
      <w:rPr>
        <w:color w:val="BFBFBF" w:themeColor="background1" w:themeShade="BF"/>
        <w:sz w:val="16"/>
        <w:szCs w:val="16"/>
      </w:rPr>
      <w:t>oin</w:t>
    </w:r>
    <w:r w:rsidRPr="009E1558">
      <w:rPr>
        <w:color w:val="BFBFBF" w:themeColor="background1" w:themeShade="BF"/>
        <w:sz w:val="16"/>
        <w:szCs w:val="16"/>
      </w:rPr>
      <w:t>t bold capitals, centred</w:t>
    </w:r>
    <w:r>
      <w:rPr>
        <w:color w:val="BFBFBF" w:themeColor="background1" w:themeShade="BF"/>
        <w:sz w:val="16"/>
        <w:szCs w:val="16"/>
      </w:rPr>
      <w:t>. F</w:t>
    </w:r>
    <w:r w:rsidRPr="009E1558">
      <w:rPr>
        <w:color w:val="BFBFBF" w:themeColor="background1" w:themeShade="BF"/>
        <w:sz w:val="16"/>
        <w:szCs w:val="16"/>
      </w:rPr>
      <w:t xml:space="preserve">or more </w:t>
    </w:r>
    <w:r>
      <w:rPr>
        <w:color w:val="BFBFBF" w:themeColor="background1" w:themeShade="BF"/>
        <w:sz w:val="16"/>
        <w:szCs w:val="16"/>
      </w:rPr>
      <w:t xml:space="preserve">than two </w:t>
    </w:r>
    <w:r w:rsidRPr="009E1558">
      <w:rPr>
        <w:color w:val="BFBFBF" w:themeColor="background1" w:themeShade="BF"/>
        <w:sz w:val="16"/>
        <w:szCs w:val="16"/>
      </w:rPr>
      <w:t>authors</w:t>
    </w:r>
    <w:r>
      <w:rPr>
        <w:color w:val="BFBFBF" w:themeColor="background1" w:themeShade="BF"/>
        <w:sz w:val="16"/>
        <w:szCs w:val="16"/>
      </w:rPr>
      <w:t>,</w:t>
    </w:r>
    <w:r w:rsidRPr="009E1558">
      <w:rPr>
        <w:color w:val="BFBFBF" w:themeColor="background1" w:themeShade="BF"/>
        <w:sz w:val="16"/>
        <w:szCs w:val="16"/>
      </w:rPr>
      <w:t xml:space="preserve"> write </w:t>
    </w:r>
    <w:r>
      <w:rPr>
        <w:b/>
        <w:color w:val="BFBFBF" w:themeColor="background1" w:themeShade="BF"/>
        <w:sz w:val="16"/>
        <w:szCs w:val="16"/>
      </w:rPr>
      <w:t>AUTHOR</w:t>
    </w:r>
    <w:r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D5BA7" w14:paraId="2C69EA9B" w14:textId="77777777">
      <w:trPr>
        <w:cantSplit/>
        <w:trHeight w:val="716"/>
      </w:trPr>
      <w:tc>
        <w:tcPr>
          <w:tcW w:w="979" w:type="dxa"/>
          <w:vMerge w:val="restart"/>
        </w:tcPr>
        <w:p w14:paraId="2A6ADF80" w14:textId="77777777" w:rsidR="00ED5BA7" w:rsidRDefault="00ED5BA7">
          <w:pPr>
            <w:spacing w:before="180"/>
            <w:ind w:left="17"/>
          </w:pPr>
        </w:p>
      </w:tc>
      <w:tc>
        <w:tcPr>
          <w:tcW w:w="3638" w:type="dxa"/>
          <w:vAlign w:val="bottom"/>
        </w:tcPr>
        <w:p w14:paraId="610CF310" w14:textId="77777777" w:rsidR="00ED5BA7" w:rsidRDefault="00ED5BA7">
          <w:pPr>
            <w:spacing w:after="20"/>
          </w:pPr>
        </w:p>
      </w:tc>
      <w:bookmarkStart w:id="3" w:name="DOC_bkmClassification1"/>
      <w:tc>
        <w:tcPr>
          <w:tcW w:w="5702" w:type="dxa"/>
          <w:vMerge w:val="restart"/>
          <w:tcMar>
            <w:right w:w="193" w:type="dxa"/>
          </w:tcMar>
        </w:tcPr>
        <w:p w14:paraId="48D5842E" w14:textId="65BC9385" w:rsidR="00ED5BA7" w:rsidRDefault="00ED5BA7">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23CAA9C" w14:textId="4809B93E" w:rsidR="00ED5BA7" w:rsidRDefault="00ED5BA7">
          <w:pPr>
            <w:pStyle w:val="zyxConfid2Red"/>
          </w:pPr>
          <w:r>
            <w:fldChar w:fldCharType="begin"/>
          </w:r>
          <w:r>
            <w:instrText>DOCPROPERTY "IaeaClassification2"  \* MERGEFORMAT</w:instrText>
          </w:r>
          <w:r>
            <w:fldChar w:fldCharType="end"/>
          </w:r>
        </w:p>
      </w:tc>
    </w:tr>
    <w:tr w:rsidR="00ED5BA7" w14:paraId="7130D945" w14:textId="77777777">
      <w:trPr>
        <w:cantSplit/>
        <w:trHeight w:val="167"/>
      </w:trPr>
      <w:tc>
        <w:tcPr>
          <w:tcW w:w="979" w:type="dxa"/>
          <w:vMerge/>
        </w:tcPr>
        <w:p w14:paraId="7659FE2B" w14:textId="77777777" w:rsidR="00ED5BA7" w:rsidRDefault="00ED5BA7">
          <w:pPr>
            <w:spacing w:before="57"/>
          </w:pPr>
        </w:p>
      </w:tc>
      <w:tc>
        <w:tcPr>
          <w:tcW w:w="3638" w:type="dxa"/>
          <w:vAlign w:val="bottom"/>
        </w:tcPr>
        <w:p w14:paraId="7578AADC" w14:textId="77777777" w:rsidR="00ED5BA7" w:rsidRDefault="00ED5BA7">
          <w:pPr>
            <w:pStyle w:val="9"/>
            <w:spacing w:before="0" w:after="10"/>
          </w:pPr>
        </w:p>
      </w:tc>
      <w:tc>
        <w:tcPr>
          <w:tcW w:w="5702" w:type="dxa"/>
          <w:vMerge/>
          <w:vAlign w:val="bottom"/>
        </w:tcPr>
        <w:p w14:paraId="313FA1D9" w14:textId="77777777" w:rsidR="00ED5BA7" w:rsidRDefault="00ED5BA7">
          <w:pPr>
            <w:pStyle w:val="9"/>
            <w:spacing w:before="0" w:after="10"/>
          </w:pPr>
        </w:p>
      </w:tc>
    </w:tr>
  </w:tbl>
  <w:p w14:paraId="7A0C2B4B" w14:textId="77777777" w:rsidR="00ED5BA7" w:rsidRDefault="00ED5B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85112038">
    <w:abstractNumId w:val="7"/>
  </w:num>
  <w:num w:numId="2" w16cid:durableId="2142113072">
    <w:abstractNumId w:val="4"/>
  </w:num>
  <w:num w:numId="3" w16cid:durableId="1054043459">
    <w:abstractNumId w:val="10"/>
  </w:num>
  <w:num w:numId="4" w16cid:durableId="1571497801">
    <w:abstractNumId w:val="10"/>
  </w:num>
  <w:num w:numId="5" w16cid:durableId="2137945641">
    <w:abstractNumId w:val="10"/>
  </w:num>
  <w:num w:numId="6" w16cid:durableId="1559395716">
    <w:abstractNumId w:val="5"/>
  </w:num>
  <w:num w:numId="7" w16cid:durableId="1901597475">
    <w:abstractNumId w:val="8"/>
  </w:num>
  <w:num w:numId="8" w16cid:durableId="290404733">
    <w:abstractNumId w:val="11"/>
  </w:num>
  <w:num w:numId="9" w16cid:durableId="1942880426">
    <w:abstractNumId w:val="1"/>
  </w:num>
  <w:num w:numId="10" w16cid:durableId="724720157">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183588841">
    <w:abstractNumId w:val="10"/>
  </w:num>
  <w:num w:numId="12" w16cid:durableId="999844531">
    <w:abstractNumId w:val="10"/>
  </w:num>
  <w:num w:numId="13" w16cid:durableId="1453934866">
    <w:abstractNumId w:val="10"/>
  </w:num>
  <w:num w:numId="14" w16cid:durableId="932326809">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490637750">
    <w:abstractNumId w:val="10"/>
  </w:num>
  <w:num w:numId="16" w16cid:durableId="1789856310">
    <w:abstractNumId w:val="10"/>
  </w:num>
  <w:num w:numId="17" w16cid:durableId="145054596">
    <w:abstractNumId w:val="10"/>
  </w:num>
  <w:num w:numId="18" w16cid:durableId="481046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7258608">
    <w:abstractNumId w:val="10"/>
  </w:num>
  <w:num w:numId="20" w16cid:durableId="1207181030">
    <w:abstractNumId w:val="2"/>
  </w:num>
  <w:num w:numId="21" w16cid:durableId="1944341537">
    <w:abstractNumId w:val="10"/>
  </w:num>
  <w:num w:numId="22" w16cid:durableId="829833531">
    <w:abstractNumId w:val="3"/>
  </w:num>
  <w:num w:numId="23" w16cid:durableId="93020483">
    <w:abstractNumId w:val="0"/>
  </w:num>
  <w:num w:numId="24" w16cid:durableId="1518738473">
    <w:abstractNumId w:val="9"/>
  </w:num>
  <w:num w:numId="25" w16cid:durableId="1478960829">
    <w:abstractNumId w:val="10"/>
  </w:num>
  <w:num w:numId="26" w16cid:durableId="272790092">
    <w:abstractNumId w:val="10"/>
  </w:num>
  <w:num w:numId="27" w16cid:durableId="1329403466">
    <w:abstractNumId w:val="10"/>
  </w:num>
  <w:num w:numId="28" w16cid:durableId="1290433949">
    <w:abstractNumId w:val="10"/>
  </w:num>
  <w:num w:numId="29" w16cid:durableId="322708017">
    <w:abstractNumId w:val="10"/>
  </w:num>
  <w:num w:numId="30" w16cid:durableId="19211169">
    <w:abstractNumId w:val="6"/>
  </w:num>
  <w:num w:numId="31" w16cid:durableId="1445617378">
    <w:abstractNumId w:val="6"/>
  </w:num>
  <w:num w:numId="32" w16cid:durableId="1245725284">
    <w:abstractNumId w:val="10"/>
  </w:num>
  <w:num w:numId="33" w16cid:durableId="594166137">
    <w:abstractNumId w:val="10"/>
  </w:num>
  <w:num w:numId="34" w16cid:durableId="327903621">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5" w16cid:durableId="1641960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F91"/>
    <w:rsid w:val="0000223F"/>
    <w:rsid w:val="000229AB"/>
    <w:rsid w:val="0002569A"/>
    <w:rsid w:val="00033EEC"/>
    <w:rsid w:val="00037321"/>
    <w:rsid w:val="00045BE1"/>
    <w:rsid w:val="00062B8E"/>
    <w:rsid w:val="00096548"/>
    <w:rsid w:val="000A0299"/>
    <w:rsid w:val="000C3B97"/>
    <w:rsid w:val="000C5DDA"/>
    <w:rsid w:val="000C6F25"/>
    <w:rsid w:val="000F00EA"/>
    <w:rsid w:val="000F3A12"/>
    <w:rsid w:val="000F7E94"/>
    <w:rsid w:val="001029D2"/>
    <w:rsid w:val="001044D2"/>
    <w:rsid w:val="001119D6"/>
    <w:rsid w:val="001202E9"/>
    <w:rsid w:val="001308F2"/>
    <w:rsid w:val="001313E8"/>
    <w:rsid w:val="00183FE2"/>
    <w:rsid w:val="001866E7"/>
    <w:rsid w:val="001C480C"/>
    <w:rsid w:val="001C58F5"/>
    <w:rsid w:val="001D5CEE"/>
    <w:rsid w:val="001F3701"/>
    <w:rsid w:val="001F4C8E"/>
    <w:rsid w:val="002071D9"/>
    <w:rsid w:val="0024464C"/>
    <w:rsid w:val="00256822"/>
    <w:rsid w:val="0026525A"/>
    <w:rsid w:val="00270017"/>
    <w:rsid w:val="00274790"/>
    <w:rsid w:val="00280791"/>
    <w:rsid w:val="00285755"/>
    <w:rsid w:val="002A1F9C"/>
    <w:rsid w:val="002A3502"/>
    <w:rsid w:val="002B29C2"/>
    <w:rsid w:val="002B5CFE"/>
    <w:rsid w:val="002C4208"/>
    <w:rsid w:val="002F5C10"/>
    <w:rsid w:val="003047BD"/>
    <w:rsid w:val="00352DE1"/>
    <w:rsid w:val="00355CD9"/>
    <w:rsid w:val="00371122"/>
    <w:rsid w:val="003728E6"/>
    <w:rsid w:val="00390DAD"/>
    <w:rsid w:val="003B5E0E"/>
    <w:rsid w:val="003D255A"/>
    <w:rsid w:val="003D6506"/>
    <w:rsid w:val="003E7D9C"/>
    <w:rsid w:val="00416949"/>
    <w:rsid w:val="00425FB5"/>
    <w:rsid w:val="0042604E"/>
    <w:rsid w:val="004370D8"/>
    <w:rsid w:val="00472C43"/>
    <w:rsid w:val="00480001"/>
    <w:rsid w:val="004A66BE"/>
    <w:rsid w:val="004B238D"/>
    <w:rsid w:val="004E214E"/>
    <w:rsid w:val="004F6DB6"/>
    <w:rsid w:val="00537496"/>
    <w:rsid w:val="00544ED3"/>
    <w:rsid w:val="00552827"/>
    <w:rsid w:val="0056594B"/>
    <w:rsid w:val="00570E88"/>
    <w:rsid w:val="0058119E"/>
    <w:rsid w:val="005824E3"/>
    <w:rsid w:val="00583BCA"/>
    <w:rsid w:val="0058477B"/>
    <w:rsid w:val="0058654F"/>
    <w:rsid w:val="00596ACA"/>
    <w:rsid w:val="005A0C7A"/>
    <w:rsid w:val="005A5F14"/>
    <w:rsid w:val="005B3D9A"/>
    <w:rsid w:val="005E39BC"/>
    <w:rsid w:val="005F00A0"/>
    <w:rsid w:val="00600E70"/>
    <w:rsid w:val="00603834"/>
    <w:rsid w:val="00647F33"/>
    <w:rsid w:val="0066143F"/>
    <w:rsid w:val="00662532"/>
    <w:rsid w:val="00667A98"/>
    <w:rsid w:val="00677F4A"/>
    <w:rsid w:val="0069077B"/>
    <w:rsid w:val="006A6168"/>
    <w:rsid w:val="006A789F"/>
    <w:rsid w:val="006B2274"/>
    <w:rsid w:val="006C0FB6"/>
    <w:rsid w:val="006C6833"/>
    <w:rsid w:val="006D26D4"/>
    <w:rsid w:val="006E27B5"/>
    <w:rsid w:val="006E7D3D"/>
    <w:rsid w:val="00704810"/>
    <w:rsid w:val="00716670"/>
    <w:rsid w:val="00717C6F"/>
    <w:rsid w:val="007445DA"/>
    <w:rsid w:val="00754204"/>
    <w:rsid w:val="007569D7"/>
    <w:rsid w:val="00757933"/>
    <w:rsid w:val="00762FAD"/>
    <w:rsid w:val="007674C4"/>
    <w:rsid w:val="00786EB7"/>
    <w:rsid w:val="00791D58"/>
    <w:rsid w:val="007A45DA"/>
    <w:rsid w:val="007B4FD1"/>
    <w:rsid w:val="007C06F7"/>
    <w:rsid w:val="007D1B7C"/>
    <w:rsid w:val="00802381"/>
    <w:rsid w:val="00806E31"/>
    <w:rsid w:val="00811AF2"/>
    <w:rsid w:val="008223B4"/>
    <w:rsid w:val="00841C12"/>
    <w:rsid w:val="0085033A"/>
    <w:rsid w:val="00850E6D"/>
    <w:rsid w:val="00880E11"/>
    <w:rsid w:val="00883848"/>
    <w:rsid w:val="00885F00"/>
    <w:rsid w:val="00893305"/>
    <w:rsid w:val="00897ED5"/>
    <w:rsid w:val="008A47CE"/>
    <w:rsid w:val="008B6BB9"/>
    <w:rsid w:val="008B7C9E"/>
    <w:rsid w:val="008C3526"/>
    <w:rsid w:val="008D1BA6"/>
    <w:rsid w:val="008F403A"/>
    <w:rsid w:val="00911543"/>
    <w:rsid w:val="00937363"/>
    <w:rsid w:val="009519C9"/>
    <w:rsid w:val="00987E8C"/>
    <w:rsid w:val="009D0531"/>
    <w:rsid w:val="009D0B86"/>
    <w:rsid w:val="009E0D5B"/>
    <w:rsid w:val="009E1558"/>
    <w:rsid w:val="00A07296"/>
    <w:rsid w:val="00A1396E"/>
    <w:rsid w:val="00A3728A"/>
    <w:rsid w:val="00A42898"/>
    <w:rsid w:val="00A97C58"/>
    <w:rsid w:val="00AA1F00"/>
    <w:rsid w:val="00AB6ACE"/>
    <w:rsid w:val="00AC52A5"/>
    <w:rsid w:val="00AC5A3A"/>
    <w:rsid w:val="00AF413E"/>
    <w:rsid w:val="00B006FF"/>
    <w:rsid w:val="00B03F64"/>
    <w:rsid w:val="00B12409"/>
    <w:rsid w:val="00B21E1E"/>
    <w:rsid w:val="00B52081"/>
    <w:rsid w:val="00B7118F"/>
    <w:rsid w:val="00B82FA5"/>
    <w:rsid w:val="00B948E8"/>
    <w:rsid w:val="00BD1400"/>
    <w:rsid w:val="00BD4407"/>
    <w:rsid w:val="00BD605C"/>
    <w:rsid w:val="00BE2A76"/>
    <w:rsid w:val="00C431DB"/>
    <w:rsid w:val="00C56791"/>
    <w:rsid w:val="00C62770"/>
    <w:rsid w:val="00C65055"/>
    <w:rsid w:val="00C65E60"/>
    <w:rsid w:val="00CB41BA"/>
    <w:rsid w:val="00CB6971"/>
    <w:rsid w:val="00CD1DEF"/>
    <w:rsid w:val="00CE2549"/>
    <w:rsid w:val="00CE5A52"/>
    <w:rsid w:val="00CF55BF"/>
    <w:rsid w:val="00CF7AF3"/>
    <w:rsid w:val="00D00345"/>
    <w:rsid w:val="00D2087F"/>
    <w:rsid w:val="00D20A8B"/>
    <w:rsid w:val="00D26ADA"/>
    <w:rsid w:val="00D35A78"/>
    <w:rsid w:val="00D36525"/>
    <w:rsid w:val="00D46E78"/>
    <w:rsid w:val="00D555A1"/>
    <w:rsid w:val="00D64DC2"/>
    <w:rsid w:val="00D74C8F"/>
    <w:rsid w:val="00D82CD0"/>
    <w:rsid w:val="00D9021D"/>
    <w:rsid w:val="00DA3A85"/>
    <w:rsid w:val="00DA46CA"/>
    <w:rsid w:val="00DC490E"/>
    <w:rsid w:val="00DF21EB"/>
    <w:rsid w:val="00DF5254"/>
    <w:rsid w:val="00E1723E"/>
    <w:rsid w:val="00E20E70"/>
    <w:rsid w:val="00E25B68"/>
    <w:rsid w:val="00E54511"/>
    <w:rsid w:val="00E72216"/>
    <w:rsid w:val="00E74A55"/>
    <w:rsid w:val="00E84003"/>
    <w:rsid w:val="00E90648"/>
    <w:rsid w:val="00EC10FC"/>
    <w:rsid w:val="00EC135A"/>
    <w:rsid w:val="00ED5BA7"/>
    <w:rsid w:val="00EE0041"/>
    <w:rsid w:val="00EE29B9"/>
    <w:rsid w:val="00F004EE"/>
    <w:rsid w:val="00F11955"/>
    <w:rsid w:val="00F42E23"/>
    <w:rsid w:val="00F4414B"/>
    <w:rsid w:val="00F45EEE"/>
    <w:rsid w:val="00F51E9C"/>
    <w:rsid w:val="00F523CA"/>
    <w:rsid w:val="00F74A9D"/>
    <w:rsid w:val="00FB2627"/>
    <w:rsid w:val="00FF386F"/>
    <w:rsid w:val="00FF4BCE"/>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link w:val="3Char"/>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1"/>
    <w:uiPriority w:val="49"/>
    <w:locked/>
    <w:rsid w:val="005F00A0"/>
    <w:rPr>
      <w:rFonts w:ascii="Tahoma" w:hAnsi="Tahoma" w:cs="Tahoma"/>
      <w:sz w:val="16"/>
      <w:szCs w:val="16"/>
    </w:rPr>
  </w:style>
  <w:style w:type="character" w:customStyle="1" w:styleId="Char1">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paragraph" w:customStyle="1" w:styleId="ae">
    <w:name w:val="표머리(에경연)"/>
    <w:basedOn w:val="a"/>
    <w:rsid w:val="00880E11"/>
    <w:pPr>
      <w:widowControl w:val="0"/>
      <w:overflowPunct/>
      <w:adjustRightInd/>
      <w:snapToGrid w:val="0"/>
      <w:spacing w:line="312" w:lineRule="auto"/>
      <w:jc w:val="center"/>
    </w:pPr>
    <w:rPr>
      <w:rFonts w:ascii="나눔고딕 Bold" w:eastAsia="굴림" w:hAnsi="굴림" w:cs="굴림"/>
      <w:color w:val="000000"/>
      <w:spacing w:val="-14"/>
      <w:w w:val="99"/>
      <w:sz w:val="17"/>
      <w:szCs w:val="17"/>
      <w:lang w:val="en-US" w:eastAsia="ko-KR"/>
    </w:rPr>
  </w:style>
  <w:style w:type="paragraph" w:customStyle="1" w:styleId="af">
    <w:name w:val="표본문(가운데 문자)(에경연)"/>
    <w:basedOn w:val="a"/>
    <w:rsid w:val="00880E11"/>
    <w:pPr>
      <w:widowControl w:val="0"/>
      <w:overflowPunct/>
      <w:adjustRightInd/>
      <w:snapToGrid w:val="0"/>
      <w:spacing w:line="312" w:lineRule="auto"/>
      <w:jc w:val="center"/>
    </w:pPr>
    <w:rPr>
      <w:rFonts w:ascii="나눔고딕" w:eastAsia="굴림" w:hAnsi="굴림" w:cs="굴림"/>
      <w:color w:val="000000"/>
      <w:spacing w:val="-10"/>
      <w:w w:val="99"/>
      <w:sz w:val="17"/>
      <w:szCs w:val="17"/>
      <w:lang w:val="en-US" w:eastAsia="ko-KR"/>
    </w:rPr>
  </w:style>
  <w:style w:type="character" w:customStyle="1" w:styleId="3Char">
    <w:name w:val="제목 3 Char"/>
    <w:aliases w:val="2nd level paper heading Char"/>
    <w:basedOn w:val="a2"/>
    <w:link w:val="3"/>
    <w:uiPriority w:val="4"/>
    <w:rsid w:val="00FB2627"/>
    <w:rPr>
      <w:b/>
      <w:lang w:eastAsia="en-US"/>
    </w:rPr>
  </w:style>
  <w:style w:type="paragraph" w:customStyle="1" w:styleId="p1">
    <w:name w:val="p1"/>
    <w:basedOn w:val="a"/>
    <w:rsid w:val="00062B8E"/>
    <w:pPr>
      <w:overflowPunct/>
      <w:autoSpaceDE/>
      <w:autoSpaceDN/>
      <w:adjustRightInd/>
      <w:textAlignment w:val="auto"/>
    </w:pPr>
    <w:rPr>
      <w:rFonts w:ascii=".AppleSystemUIFont" w:eastAsia="굴림" w:hAnsi=".AppleSystemUIFont" w:cs="굴림"/>
      <w:sz w:val="28"/>
      <w:szCs w:val="28"/>
      <w:lang w:val="en-US" w:eastAsia="ko-KR"/>
    </w:rPr>
  </w:style>
  <w:style w:type="paragraph" w:customStyle="1" w:styleId="p2">
    <w:name w:val="p2"/>
    <w:basedOn w:val="a"/>
    <w:rsid w:val="00062B8E"/>
    <w:pPr>
      <w:overflowPunct/>
      <w:autoSpaceDE/>
      <w:autoSpaceDN/>
      <w:adjustRightInd/>
      <w:textAlignment w:val="auto"/>
    </w:pPr>
    <w:rPr>
      <w:rFonts w:ascii=".AppleSystemUIFont" w:eastAsia="굴림" w:hAnsi=".AppleSystemUIFont" w:cs="굴림"/>
      <w:sz w:val="28"/>
      <w:szCs w:val="28"/>
      <w:lang w:val="en-US" w:eastAsia="ko-KR"/>
    </w:rPr>
  </w:style>
  <w:style w:type="character" w:customStyle="1" w:styleId="s1">
    <w:name w:val="s1"/>
    <w:basedOn w:val="a2"/>
    <w:rsid w:val="00062B8E"/>
    <w:rPr>
      <w:rFonts w:ascii="UICTFontTextStyleBody" w:hAnsi="UICTFontTextStyleBody" w:hint="default"/>
      <w:b w:val="0"/>
      <w:bCs w:val="0"/>
      <w:i w:val="0"/>
      <w:iCs w:val="0"/>
      <w:sz w:val="28"/>
      <w:szCs w:val="28"/>
    </w:rPr>
  </w:style>
  <w:style w:type="character" w:customStyle="1" w:styleId="apple-converted-space">
    <w:name w:val="apple-converted-space"/>
    <w:basedOn w:val="a2"/>
    <w:rsid w:val="00062B8E"/>
  </w:style>
  <w:style w:type="paragraph" w:styleId="af0">
    <w:name w:val="endnote text"/>
    <w:basedOn w:val="a"/>
    <w:link w:val="Char2"/>
    <w:uiPriority w:val="49"/>
    <w:locked/>
    <w:rsid w:val="008223B4"/>
    <w:pPr>
      <w:snapToGrid w:val="0"/>
    </w:pPr>
  </w:style>
  <w:style w:type="character" w:customStyle="1" w:styleId="Char2">
    <w:name w:val="미주 텍스트 Char"/>
    <w:basedOn w:val="a2"/>
    <w:link w:val="af0"/>
    <w:uiPriority w:val="49"/>
    <w:rsid w:val="008223B4"/>
    <w:rPr>
      <w:sz w:val="22"/>
      <w:lang w:eastAsia="en-US"/>
    </w:rPr>
  </w:style>
  <w:style w:type="character" w:styleId="af1">
    <w:name w:val="endnote reference"/>
    <w:basedOn w:val="a2"/>
    <w:uiPriority w:val="49"/>
    <w:locked/>
    <w:rsid w:val="00822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95466">
      <w:bodyDiv w:val="1"/>
      <w:marLeft w:val="0"/>
      <w:marRight w:val="0"/>
      <w:marTop w:val="0"/>
      <w:marBottom w:val="0"/>
      <w:divBdr>
        <w:top w:val="none" w:sz="0" w:space="0" w:color="auto"/>
        <w:left w:val="none" w:sz="0" w:space="0" w:color="auto"/>
        <w:bottom w:val="none" w:sz="0" w:space="0" w:color="auto"/>
        <w:right w:val="none" w:sz="0" w:space="0" w:color="auto"/>
      </w:divBdr>
    </w:div>
    <w:div w:id="338773743">
      <w:bodyDiv w:val="1"/>
      <w:marLeft w:val="0"/>
      <w:marRight w:val="0"/>
      <w:marTop w:val="0"/>
      <w:marBottom w:val="0"/>
      <w:divBdr>
        <w:top w:val="none" w:sz="0" w:space="0" w:color="auto"/>
        <w:left w:val="none" w:sz="0" w:space="0" w:color="auto"/>
        <w:bottom w:val="none" w:sz="0" w:space="0" w:color="auto"/>
        <w:right w:val="none" w:sz="0" w:space="0" w:color="auto"/>
      </w:divBdr>
    </w:div>
    <w:div w:id="386150534">
      <w:bodyDiv w:val="1"/>
      <w:marLeft w:val="0"/>
      <w:marRight w:val="0"/>
      <w:marTop w:val="0"/>
      <w:marBottom w:val="0"/>
      <w:divBdr>
        <w:top w:val="none" w:sz="0" w:space="0" w:color="auto"/>
        <w:left w:val="none" w:sz="0" w:space="0" w:color="auto"/>
        <w:bottom w:val="none" w:sz="0" w:space="0" w:color="auto"/>
        <w:right w:val="none" w:sz="0" w:space="0" w:color="auto"/>
      </w:divBdr>
    </w:div>
    <w:div w:id="433088618">
      <w:bodyDiv w:val="1"/>
      <w:marLeft w:val="0"/>
      <w:marRight w:val="0"/>
      <w:marTop w:val="0"/>
      <w:marBottom w:val="0"/>
      <w:divBdr>
        <w:top w:val="none" w:sz="0" w:space="0" w:color="auto"/>
        <w:left w:val="none" w:sz="0" w:space="0" w:color="auto"/>
        <w:bottom w:val="none" w:sz="0" w:space="0" w:color="auto"/>
        <w:right w:val="none" w:sz="0" w:space="0" w:color="auto"/>
      </w:divBdr>
    </w:div>
    <w:div w:id="459736862">
      <w:bodyDiv w:val="1"/>
      <w:marLeft w:val="0"/>
      <w:marRight w:val="0"/>
      <w:marTop w:val="0"/>
      <w:marBottom w:val="0"/>
      <w:divBdr>
        <w:top w:val="none" w:sz="0" w:space="0" w:color="auto"/>
        <w:left w:val="none" w:sz="0" w:space="0" w:color="auto"/>
        <w:bottom w:val="none" w:sz="0" w:space="0" w:color="auto"/>
        <w:right w:val="none" w:sz="0" w:space="0" w:color="auto"/>
      </w:divBdr>
    </w:div>
    <w:div w:id="464087926">
      <w:bodyDiv w:val="1"/>
      <w:marLeft w:val="0"/>
      <w:marRight w:val="0"/>
      <w:marTop w:val="0"/>
      <w:marBottom w:val="0"/>
      <w:divBdr>
        <w:top w:val="none" w:sz="0" w:space="0" w:color="auto"/>
        <w:left w:val="none" w:sz="0" w:space="0" w:color="auto"/>
        <w:bottom w:val="none" w:sz="0" w:space="0" w:color="auto"/>
        <w:right w:val="none" w:sz="0" w:space="0" w:color="auto"/>
      </w:divBdr>
    </w:div>
    <w:div w:id="548104093">
      <w:bodyDiv w:val="1"/>
      <w:marLeft w:val="0"/>
      <w:marRight w:val="0"/>
      <w:marTop w:val="0"/>
      <w:marBottom w:val="0"/>
      <w:divBdr>
        <w:top w:val="none" w:sz="0" w:space="0" w:color="auto"/>
        <w:left w:val="none" w:sz="0" w:space="0" w:color="auto"/>
        <w:bottom w:val="none" w:sz="0" w:space="0" w:color="auto"/>
        <w:right w:val="none" w:sz="0" w:space="0" w:color="auto"/>
      </w:divBdr>
      <w:divsChild>
        <w:div w:id="760108149">
          <w:marLeft w:val="0"/>
          <w:marRight w:val="0"/>
          <w:marTop w:val="0"/>
          <w:marBottom w:val="0"/>
          <w:divBdr>
            <w:top w:val="none" w:sz="0" w:space="0" w:color="auto"/>
            <w:left w:val="none" w:sz="0" w:space="0" w:color="auto"/>
            <w:bottom w:val="none" w:sz="0" w:space="0" w:color="auto"/>
            <w:right w:val="none" w:sz="0" w:space="0" w:color="auto"/>
          </w:divBdr>
          <w:divsChild>
            <w:div w:id="1782530354">
              <w:marLeft w:val="0"/>
              <w:marRight w:val="0"/>
              <w:marTop w:val="0"/>
              <w:marBottom w:val="0"/>
              <w:divBdr>
                <w:top w:val="none" w:sz="0" w:space="0" w:color="auto"/>
                <w:left w:val="none" w:sz="0" w:space="0" w:color="auto"/>
                <w:bottom w:val="none" w:sz="0" w:space="0" w:color="auto"/>
                <w:right w:val="none" w:sz="0" w:space="0" w:color="auto"/>
              </w:divBdr>
              <w:divsChild>
                <w:div w:id="514225827">
                  <w:marLeft w:val="0"/>
                  <w:marRight w:val="0"/>
                  <w:marTop w:val="0"/>
                  <w:marBottom w:val="0"/>
                  <w:divBdr>
                    <w:top w:val="none" w:sz="0" w:space="0" w:color="auto"/>
                    <w:left w:val="none" w:sz="0" w:space="0" w:color="auto"/>
                    <w:bottom w:val="none" w:sz="0" w:space="0" w:color="auto"/>
                    <w:right w:val="none" w:sz="0" w:space="0" w:color="auto"/>
                  </w:divBdr>
                  <w:divsChild>
                    <w:div w:id="16789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6540">
      <w:bodyDiv w:val="1"/>
      <w:marLeft w:val="0"/>
      <w:marRight w:val="0"/>
      <w:marTop w:val="0"/>
      <w:marBottom w:val="0"/>
      <w:divBdr>
        <w:top w:val="none" w:sz="0" w:space="0" w:color="auto"/>
        <w:left w:val="none" w:sz="0" w:space="0" w:color="auto"/>
        <w:bottom w:val="none" w:sz="0" w:space="0" w:color="auto"/>
        <w:right w:val="none" w:sz="0" w:space="0" w:color="auto"/>
      </w:divBdr>
    </w:div>
    <w:div w:id="745229237">
      <w:bodyDiv w:val="1"/>
      <w:marLeft w:val="0"/>
      <w:marRight w:val="0"/>
      <w:marTop w:val="0"/>
      <w:marBottom w:val="0"/>
      <w:divBdr>
        <w:top w:val="none" w:sz="0" w:space="0" w:color="auto"/>
        <w:left w:val="none" w:sz="0" w:space="0" w:color="auto"/>
        <w:bottom w:val="none" w:sz="0" w:space="0" w:color="auto"/>
        <w:right w:val="none" w:sz="0" w:space="0" w:color="auto"/>
      </w:divBdr>
    </w:div>
    <w:div w:id="774205593">
      <w:bodyDiv w:val="1"/>
      <w:marLeft w:val="0"/>
      <w:marRight w:val="0"/>
      <w:marTop w:val="0"/>
      <w:marBottom w:val="0"/>
      <w:divBdr>
        <w:top w:val="none" w:sz="0" w:space="0" w:color="auto"/>
        <w:left w:val="none" w:sz="0" w:space="0" w:color="auto"/>
        <w:bottom w:val="none" w:sz="0" w:space="0" w:color="auto"/>
        <w:right w:val="none" w:sz="0" w:space="0" w:color="auto"/>
      </w:divBdr>
    </w:div>
    <w:div w:id="804467814">
      <w:bodyDiv w:val="1"/>
      <w:marLeft w:val="0"/>
      <w:marRight w:val="0"/>
      <w:marTop w:val="0"/>
      <w:marBottom w:val="0"/>
      <w:divBdr>
        <w:top w:val="none" w:sz="0" w:space="0" w:color="auto"/>
        <w:left w:val="none" w:sz="0" w:space="0" w:color="auto"/>
        <w:bottom w:val="none" w:sz="0" w:space="0" w:color="auto"/>
        <w:right w:val="none" w:sz="0" w:space="0" w:color="auto"/>
      </w:divBdr>
    </w:div>
    <w:div w:id="902177666">
      <w:bodyDiv w:val="1"/>
      <w:marLeft w:val="0"/>
      <w:marRight w:val="0"/>
      <w:marTop w:val="0"/>
      <w:marBottom w:val="0"/>
      <w:divBdr>
        <w:top w:val="none" w:sz="0" w:space="0" w:color="auto"/>
        <w:left w:val="none" w:sz="0" w:space="0" w:color="auto"/>
        <w:bottom w:val="none" w:sz="0" w:space="0" w:color="auto"/>
        <w:right w:val="none" w:sz="0" w:space="0" w:color="auto"/>
      </w:divBdr>
    </w:div>
    <w:div w:id="1107308492">
      <w:bodyDiv w:val="1"/>
      <w:marLeft w:val="0"/>
      <w:marRight w:val="0"/>
      <w:marTop w:val="0"/>
      <w:marBottom w:val="0"/>
      <w:divBdr>
        <w:top w:val="none" w:sz="0" w:space="0" w:color="auto"/>
        <w:left w:val="none" w:sz="0" w:space="0" w:color="auto"/>
        <w:bottom w:val="none" w:sz="0" w:space="0" w:color="auto"/>
        <w:right w:val="none" w:sz="0" w:space="0" w:color="auto"/>
      </w:divBdr>
    </w:div>
    <w:div w:id="1259950945">
      <w:bodyDiv w:val="1"/>
      <w:marLeft w:val="0"/>
      <w:marRight w:val="0"/>
      <w:marTop w:val="0"/>
      <w:marBottom w:val="0"/>
      <w:divBdr>
        <w:top w:val="none" w:sz="0" w:space="0" w:color="auto"/>
        <w:left w:val="none" w:sz="0" w:space="0" w:color="auto"/>
        <w:bottom w:val="none" w:sz="0" w:space="0" w:color="auto"/>
        <w:right w:val="none" w:sz="0" w:space="0" w:color="auto"/>
      </w:divBdr>
    </w:div>
    <w:div w:id="1367562228">
      <w:bodyDiv w:val="1"/>
      <w:marLeft w:val="0"/>
      <w:marRight w:val="0"/>
      <w:marTop w:val="0"/>
      <w:marBottom w:val="0"/>
      <w:divBdr>
        <w:top w:val="none" w:sz="0" w:space="0" w:color="auto"/>
        <w:left w:val="none" w:sz="0" w:space="0" w:color="auto"/>
        <w:bottom w:val="none" w:sz="0" w:space="0" w:color="auto"/>
        <w:right w:val="none" w:sz="0" w:space="0" w:color="auto"/>
      </w:divBdr>
      <w:divsChild>
        <w:div w:id="490828707">
          <w:marLeft w:val="0"/>
          <w:marRight w:val="0"/>
          <w:marTop w:val="0"/>
          <w:marBottom w:val="0"/>
          <w:divBdr>
            <w:top w:val="none" w:sz="0" w:space="0" w:color="auto"/>
            <w:left w:val="none" w:sz="0" w:space="0" w:color="auto"/>
            <w:bottom w:val="none" w:sz="0" w:space="0" w:color="auto"/>
            <w:right w:val="none" w:sz="0" w:space="0" w:color="auto"/>
          </w:divBdr>
          <w:divsChild>
            <w:div w:id="245501753">
              <w:marLeft w:val="0"/>
              <w:marRight w:val="0"/>
              <w:marTop w:val="0"/>
              <w:marBottom w:val="0"/>
              <w:divBdr>
                <w:top w:val="none" w:sz="0" w:space="0" w:color="auto"/>
                <w:left w:val="none" w:sz="0" w:space="0" w:color="auto"/>
                <w:bottom w:val="none" w:sz="0" w:space="0" w:color="auto"/>
                <w:right w:val="none" w:sz="0" w:space="0" w:color="auto"/>
              </w:divBdr>
              <w:divsChild>
                <w:div w:id="152718161">
                  <w:marLeft w:val="0"/>
                  <w:marRight w:val="0"/>
                  <w:marTop w:val="0"/>
                  <w:marBottom w:val="0"/>
                  <w:divBdr>
                    <w:top w:val="none" w:sz="0" w:space="0" w:color="auto"/>
                    <w:left w:val="none" w:sz="0" w:space="0" w:color="auto"/>
                    <w:bottom w:val="none" w:sz="0" w:space="0" w:color="auto"/>
                    <w:right w:val="none" w:sz="0" w:space="0" w:color="auto"/>
                  </w:divBdr>
                  <w:divsChild>
                    <w:div w:id="1799912794">
                      <w:marLeft w:val="0"/>
                      <w:marRight w:val="0"/>
                      <w:marTop w:val="0"/>
                      <w:marBottom w:val="0"/>
                      <w:divBdr>
                        <w:top w:val="none" w:sz="0" w:space="0" w:color="auto"/>
                        <w:left w:val="none" w:sz="0" w:space="0" w:color="auto"/>
                        <w:bottom w:val="none" w:sz="0" w:space="0" w:color="auto"/>
                        <w:right w:val="none" w:sz="0" w:space="0" w:color="auto"/>
                      </w:divBdr>
                      <w:divsChild>
                        <w:div w:id="1476027986">
                          <w:marLeft w:val="0"/>
                          <w:marRight w:val="0"/>
                          <w:marTop w:val="0"/>
                          <w:marBottom w:val="0"/>
                          <w:divBdr>
                            <w:top w:val="none" w:sz="0" w:space="0" w:color="auto"/>
                            <w:left w:val="none" w:sz="0" w:space="0" w:color="auto"/>
                            <w:bottom w:val="none" w:sz="0" w:space="0" w:color="auto"/>
                            <w:right w:val="none" w:sz="0" w:space="0" w:color="auto"/>
                          </w:divBdr>
                          <w:divsChild>
                            <w:div w:id="1833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16380">
      <w:bodyDiv w:val="1"/>
      <w:marLeft w:val="0"/>
      <w:marRight w:val="0"/>
      <w:marTop w:val="0"/>
      <w:marBottom w:val="0"/>
      <w:divBdr>
        <w:top w:val="none" w:sz="0" w:space="0" w:color="auto"/>
        <w:left w:val="none" w:sz="0" w:space="0" w:color="auto"/>
        <w:bottom w:val="none" w:sz="0" w:space="0" w:color="auto"/>
        <w:right w:val="none" w:sz="0" w:space="0" w:color="auto"/>
      </w:divBdr>
      <w:divsChild>
        <w:div w:id="1782801587">
          <w:marLeft w:val="0"/>
          <w:marRight w:val="0"/>
          <w:marTop w:val="0"/>
          <w:marBottom w:val="0"/>
          <w:divBdr>
            <w:top w:val="none" w:sz="0" w:space="0" w:color="auto"/>
            <w:left w:val="none" w:sz="0" w:space="0" w:color="auto"/>
            <w:bottom w:val="none" w:sz="0" w:space="0" w:color="auto"/>
            <w:right w:val="none" w:sz="0" w:space="0" w:color="auto"/>
          </w:divBdr>
          <w:divsChild>
            <w:div w:id="2049719963">
              <w:marLeft w:val="0"/>
              <w:marRight w:val="0"/>
              <w:marTop w:val="0"/>
              <w:marBottom w:val="0"/>
              <w:divBdr>
                <w:top w:val="none" w:sz="0" w:space="0" w:color="auto"/>
                <w:left w:val="none" w:sz="0" w:space="0" w:color="auto"/>
                <w:bottom w:val="none" w:sz="0" w:space="0" w:color="auto"/>
                <w:right w:val="none" w:sz="0" w:space="0" w:color="auto"/>
              </w:divBdr>
              <w:divsChild>
                <w:div w:id="48113316">
                  <w:marLeft w:val="0"/>
                  <w:marRight w:val="0"/>
                  <w:marTop w:val="0"/>
                  <w:marBottom w:val="0"/>
                  <w:divBdr>
                    <w:top w:val="none" w:sz="0" w:space="0" w:color="auto"/>
                    <w:left w:val="none" w:sz="0" w:space="0" w:color="auto"/>
                    <w:bottom w:val="none" w:sz="0" w:space="0" w:color="auto"/>
                    <w:right w:val="none" w:sz="0" w:space="0" w:color="auto"/>
                  </w:divBdr>
                  <w:divsChild>
                    <w:div w:id="545487110">
                      <w:marLeft w:val="0"/>
                      <w:marRight w:val="0"/>
                      <w:marTop w:val="0"/>
                      <w:marBottom w:val="0"/>
                      <w:divBdr>
                        <w:top w:val="none" w:sz="0" w:space="0" w:color="auto"/>
                        <w:left w:val="none" w:sz="0" w:space="0" w:color="auto"/>
                        <w:bottom w:val="none" w:sz="0" w:space="0" w:color="auto"/>
                        <w:right w:val="none" w:sz="0" w:space="0" w:color="auto"/>
                      </w:divBdr>
                      <w:divsChild>
                        <w:div w:id="630281499">
                          <w:marLeft w:val="0"/>
                          <w:marRight w:val="0"/>
                          <w:marTop w:val="0"/>
                          <w:marBottom w:val="0"/>
                          <w:divBdr>
                            <w:top w:val="none" w:sz="0" w:space="0" w:color="auto"/>
                            <w:left w:val="none" w:sz="0" w:space="0" w:color="auto"/>
                            <w:bottom w:val="none" w:sz="0" w:space="0" w:color="auto"/>
                            <w:right w:val="none" w:sz="0" w:space="0" w:color="auto"/>
                          </w:divBdr>
                          <w:divsChild>
                            <w:div w:id="10933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2812">
      <w:bodyDiv w:val="1"/>
      <w:marLeft w:val="0"/>
      <w:marRight w:val="0"/>
      <w:marTop w:val="0"/>
      <w:marBottom w:val="0"/>
      <w:divBdr>
        <w:top w:val="none" w:sz="0" w:space="0" w:color="auto"/>
        <w:left w:val="none" w:sz="0" w:space="0" w:color="auto"/>
        <w:bottom w:val="none" w:sz="0" w:space="0" w:color="auto"/>
        <w:right w:val="none" w:sz="0" w:space="0" w:color="auto"/>
      </w:divBdr>
      <w:divsChild>
        <w:div w:id="1990019209">
          <w:marLeft w:val="0"/>
          <w:marRight w:val="0"/>
          <w:marTop w:val="0"/>
          <w:marBottom w:val="0"/>
          <w:divBdr>
            <w:top w:val="none" w:sz="0" w:space="0" w:color="auto"/>
            <w:left w:val="none" w:sz="0" w:space="0" w:color="auto"/>
            <w:bottom w:val="none" w:sz="0" w:space="0" w:color="auto"/>
            <w:right w:val="none" w:sz="0" w:space="0" w:color="auto"/>
          </w:divBdr>
          <w:divsChild>
            <w:div w:id="1657222768">
              <w:marLeft w:val="0"/>
              <w:marRight w:val="0"/>
              <w:marTop w:val="0"/>
              <w:marBottom w:val="0"/>
              <w:divBdr>
                <w:top w:val="none" w:sz="0" w:space="0" w:color="auto"/>
                <w:left w:val="none" w:sz="0" w:space="0" w:color="auto"/>
                <w:bottom w:val="none" w:sz="0" w:space="0" w:color="auto"/>
                <w:right w:val="none" w:sz="0" w:space="0" w:color="auto"/>
              </w:divBdr>
              <w:divsChild>
                <w:div w:id="1112286877">
                  <w:marLeft w:val="0"/>
                  <w:marRight w:val="0"/>
                  <w:marTop w:val="0"/>
                  <w:marBottom w:val="0"/>
                  <w:divBdr>
                    <w:top w:val="none" w:sz="0" w:space="0" w:color="auto"/>
                    <w:left w:val="none" w:sz="0" w:space="0" w:color="auto"/>
                    <w:bottom w:val="none" w:sz="0" w:space="0" w:color="auto"/>
                    <w:right w:val="none" w:sz="0" w:space="0" w:color="auto"/>
                  </w:divBdr>
                  <w:divsChild>
                    <w:div w:id="236131544">
                      <w:marLeft w:val="0"/>
                      <w:marRight w:val="0"/>
                      <w:marTop w:val="0"/>
                      <w:marBottom w:val="0"/>
                      <w:divBdr>
                        <w:top w:val="none" w:sz="0" w:space="0" w:color="auto"/>
                        <w:left w:val="none" w:sz="0" w:space="0" w:color="auto"/>
                        <w:bottom w:val="none" w:sz="0" w:space="0" w:color="auto"/>
                        <w:right w:val="none" w:sz="0" w:space="0" w:color="auto"/>
                      </w:divBdr>
                      <w:divsChild>
                        <w:div w:id="878585452">
                          <w:marLeft w:val="0"/>
                          <w:marRight w:val="0"/>
                          <w:marTop w:val="0"/>
                          <w:marBottom w:val="0"/>
                          <w:divBdr>
                            <w:top w:val="none" w:sz="0" w:space="0" w:color="auto"/>
                            <w:left w:val="none" w:sz="0" w:space="0" w:color="auto"/>
                            <w:bottom w:val="none" w:sz="0" w:space="0" w:color="auto"/>
                            <w:right w:val="none" w:sz="0" w:space="0" w:color="auto"/>
                          </w:divBdr>
                          <w:divsChild>
                            <w:div w:id="18607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796157">
      <w:bodyDiv w:val="1"/>
      <w:marLeft w:val="0"/>
      <w:marRight w:val="0"/>
      <w:marTop w:val="0"/>
      <w:marBottom w:val="0"/>
      <w:divBdr>
        <w:top w:val="none" w:sz="0" w:space="0" w:color="auto"/>
        <w:left w:val="none" w:sz="0" w:space="0" w:color="auto"/>
        <w:bottom w:val="none" w:sz="0" w:space="0" w:color="auto"/>
        <w:right w:val="none" w:sz="0" w:space="0" w:color="auto"/>
      </w:divBdr>
      <w:divsChild>
        <w:div w:id="1298950808">
          <w:marLeft w:val="0"/>
          <w:marRight w:val="0"/>
          <w:marTop w:val="0"/>
          <w:marBottom w:val="0"/>
          <w:divBdr>
            <w:top w:val="none" w:sz="0" w:space="0" w:color="auto"/>
            <w:left w:val="none" w:sz="0" w:space="0" w:color="auto"/>
            <w:bottom w:val="none" w:sz="0" w:space="0" w:color="auto"/>
            <w:right w:val="none" w:sz="0" w:space="0" w:color="auto"/>
          </w:divBdr>
          <w:divsChild>
            <w:div w:id="1104374430">
              <w:marLeft w:val="0"/>
              <w:marRight w:val="0"/>
              <w:marTop w:val="0"/>
              <w:marBottom w:val="0"/>
              <w:divBdr>
                <w:top w:val="none" w:sz="0" w:space="0" w:color="auto"/>
                <w:left w:val="none" w:sz="0" w:space="0" w:color="auto"/>
                <w:bottom w:val="none" w:sz="0" w:space="0" w:color="auto"/>
                <w:right w:val="none" w:sz="0" w:space="0" w:color="auto"/>
              </w:divBdr>
              <w:divsChild>
                <w:div w:id="1040056462">
                  <w:marLeft w:val="0"/>
                  <w:marRight w:val="0"/>
                  <w:marTop w:val="0"/>
                  <w:marBottom w:val="0"/>
                  <w:divBdr>
                    <w:top w:val="none" w:sz="0" w:space="0" w:color="auto"/>
                    <w:left w:val="none" w:sz="0" w:space="0" w:color="auto"/>
                    <w:bottom w:val="none" w:sz="0" w:space="0" w:color="auto"/>
                    <w:right w:val="none" w:sz="0" w:space="0" w:color="auto"/>
                  </w:divBdr>
                  <w:divsChild>
                    <w:div w:id="10762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5789">
          <w:marLeft w:val="0"/>
          <w:marRight w:val="0"/>
          <w:marTop w:val="0"/>
          <w:marBottom w:val="0"/>
          <w:divBdr>
            <w:top w:val="none" w:sz="0" w:space="0" w:color="auto"/>
            <w:left w:val="none" w:sz="0" w:space="0" w:color="auto"/>
            <w:bottom w:val="none" w:sz="0" w:space="0" w:color="auto"/>
            <w:right w:val="none" w:sz="0" w:space="0" w:color="auto"/>
          </w:divBdr>
          <w:divsChild>
            <w:div w:id="264459711">
              <w:marLeft w:val="0"/>
              <w:marRight w:val="0"/>
              <w:marTop w:val="0"/>
              <w:marBottom w:val="0"/>
              <w:divBdr>
                <w:top w:val="none" w:sz="0" w:space="0" w:color="auto"/>
                <w:left w:val="none" w:sz="0" w:space="0" w:color="auto"/>
                <w:bottom w:val="none" w:sz="0" w:space="0" w:color="auto"/>
                <w:right w:val="none" w:sz="0" w:space="0" w:color="auto"/>
              </w:divBdr>
              <w:divsChild>
                <w:div w:id="580136877">
                  <w:marLeft w:val="0"/>
                  <w:marRight w:val="0"/>
                  <w:marTop w:val="0"/>
                  <w:marBottom w:val="0"/>
                  <w:divBdr>
                    <w:top w:val="none" w:sz="0" w:space="0" w:color="auto"/>
                    <w:left w:val="none" w:sz="0" w:space="0" w:color="auto"/>
                    <w:bottom w:val="none" w:sz="0" w:space="0" w:color="auto"/>
                    <w:right w:val="none" w:sz="0" w:space="0" w:color="auto"/>
                  </w:divBdr>
                  <w:divsChild>
                    <w:div w:id="1673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7339">
      <w:bodyDiv w:val="1"/>
      <w:marLeft w:val="0"/>
      <w:marRight w:val="0"/>
      <w:marTop w:val="0"/>
      <w:marBottom w:val="0"/>
      <w:divBdr>
        <w:top w:val="none" w:sz="0" w:space="0" w:color="auto"/>
        <w:left w:val="none" w:sz="0" w:space="0" w:color="auto"/>
        <w:bottom w:val="none" w:sz="0" w:space="0" w:color="auto"/>
        <w:right w:val="none" w:sz="0" w:space="0" w:color="auto"/>
      </w:divBdr>
      <w:divsChild>
        <w:div w:id="640355260">
          <w:marLeft w:val="0"/>
          <w:marRight w:val="0"/>
          <w:marTop w:val="0"/>
          <w:marBottom w:val="0"/>
          <w:divBdr>
            <w:top w:val="none" w:sz="0" w:space="0" w:color="auto"/>
            <w:left w:val="none" w:sz="0" w:space="0" w:color="auto"/>
            <w:bottom w:val="none" w:sz="0" w:space="0" w:color="auto"/>
            <w:right w:val="none" w:sz="0" w:space="0" w:color="auto"/>
          </w:divBdr>
          <w:divsChild>
            <w:div w:id="438794316">
              <w:marLeft w:val="0"/>
              <w:marRight w:val="0"/>
              <w:marTop w:val="0"/>
              <w:marBottom w:val="0"/>
              <w:divBdr>
                <w:top w:val="none" w:sz="0" w:space="0" w:color="auto"/>
                <w:left w:val="none" w:sz="0" w:space="0" w:color="auto"/>
                <w:bottom w:val="none" w:sz="0" w:space="0" w:color="auto"/>
                <w:right w:val="none" w:sz="0" w:space="0" w:color="auto"/>
              </w:divBdr>
              <w:divsChild>
                <w:div w:id="1948073278">
                  <w:marLeft w:val="0"/>
                  <w:marRight w:val="0"/>
                  <w:marTop w:val="0"/>
                  <w:marBottom w:val="0"/>
                  <w:divBdr>
                    <w:top w:val="none" w:sz="0" w:space="0" w:color="auto"/>
                    <w:left w:val="none" w:sz="0" w:space="0" w:color="auto"/>
                    <w:bottom w:val="none" w:sz="0" w:space="0" w:color="auto"/>
                    <w:right w:val="none" w:sz="0" w:space="0" w:color="auto"/>
                  </w:divBdr>
                  <w:divsChild>
                    <w:div w:id="523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84153">
          <w:marLeft w:val="0"/>
          <w:marRight w:val="0"/>
          <w:marTop w:val="0"/>
          <w:marBottom w:val="0"/>
          <w:divBdr>
            <w:top w:val="none" w:sz="0" w:space="0" w:color="auto"/>
            <w:left w:val="none" w:sz="0" w:space="0" w:color="auto"/>
            <w:bottom w:val="none" w:sz="0" w:space="0" w:color="auto"/>
            <w:right w:val="none" w:sz="0" w:space="0" w:color="auto"/>
          </w:divBdr>
          <w:divsChild>
            <w:div w:id="1539588343">
              <w:marLeft w:val="0"/>
              <w:marRight w:val="0"/>
              <w:marTop w:val="0"/>
              <w:marBottom w:val="0"/>
              <w:divBdr>
                <w:top w:val="none" w:sz="0" w:space="0" w:color="auto"/>
                <w:left w:val="none" w:sz="0" w:space="0" w:color="auto"/>
                <w:bottom w:val="none" w:sz="0" w:space="0" w:color="auto"/>
                <w:right w:val="none" w:sz="0" w:space="0" w:color="auto"/>
              </w:divBdr>
              <w:divsChild>
                <w:div w:id="1290697092">
                  <w:marLeft w:val="0"/>
                  <w:marRight w:val="0"/>
                  <w:marTop w:val="0"/>
                  <w:marBottom w:val="0"/>
                  <w:divBdr>
                    <w:top w:val="none" w:sz="0" w:space="0" w:color="auto"/>
                    <w:left w:val="none" w:sz="0" w:space="0" w:color="auto"/>
                    <w:bottom w:val="none" w:sz="0" w:space="0" w:color="auto"/>
                    <w:right w:val="none" w:sz="0" w:space="0" w:color="auto"/>
                  </w:divBdr>
                  <w:divsChild>
                    <w:div w:id="8290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20175">
      <w:bodyDiv w:val="1"/>
      <w:marLeft w:val="0"/>
      <w:marRight w:val="0"/>
      <w:marTop w:val="0"/>
      <w:marBottom w:val="0"/>
      <w:divBdr>
        <w:top w:val="none" w:sz="0" w:space="0" w:color="auto"/>
        <w:left w:val="none" w:sz="0" w:space="0" w:color="auto"/>
        <w:bottom w:val="none" w:sz="0" w:space="0" w:color="auto"/>
        <w:right w:val="none" w:sz="0" w:space="0" w:color="auto"/>
      </w:divBdr>
    </w:div>
    <w:div w:id="1896550310">
      <w:bodyDiv w:val="1"/>
      <w:marLeft w:val="0"/>
      <w:marRight w:val="0"/>
      <w:marTop w:val="0"/>
      <w:marBottom w:val="0"/>
      <w:divBdr>
        <w:top w:val="none" w:sz="0" w:space="0" w:color="auto"/>
        <w:left w:val="none" w:sz="0" w:space="0" w:color="auto"/>
        <w:bottom w:val="none" w:sz="0" w:space="0" w:color="auto"/>
        <w:right w:val="none" w:sz="0" w:space="0" w:color="auto"/>
      </w:divBdr>
    </w:div>
    <w:div w:id="1946764216">
      <w:bodyDiv w:val="1"/>
      <w:marLeft w:val="0"/>
      <w:marRight w:val="0"/>
      <w:marTop w:val="0"/>
      <w:marBottom w:val="0"/>
      <w:divBdr>
        <w:top w:val="none" w:sz="0" w:space="0" w:color="auto"/>
        <w:left w:val="none" w:sz="0" w:space="0" w:color="auto"/>
        <w:bottom w:val="none" w:sz="0" w:space="0" w:color="auto"/>
        <w:right w:val="none" w:sz="0" w:space="0" w:color="auto"/>
      </w:divBdr>
    </w:div>
    <w:div w:id="2000769482">
      <w:bodyDiv w:val="1"/>
      <w:marLeft w:val="0"/>
      <w:marRight w:val="0"/>
      <w:marTop w:val="0"/>
      <w:marBottom w:val="0"/>
      <w:divBdr>
        <w:top w:val="none" w:sz="0" w:space="0" w:color="auto"/>
        <w:left w:val="none" w:sz="0" w:space="0" w:color="auto"/>
        <w:bottom w:val="none" w:sz="0" w:space="0" w:color="auto"/>
        <w:right w:val="none" w:sz="0" w:space="0" w:color="auto"/>
      </w:divBdr>
    </w:div>
    <w:div w:id="2033414855">
      <w:bodyDiv w:val="1"/>
      <w:marLeft w:val="0"/>
      <w:marRight w:val="0"/>
      <w:marTop w:val="0"/>
      <w:marBottom w:val="0"/>
      <w:divBdr>
        <w:top w:val="none" w:sz="0" w:space="0" w:color="auto"/>
        <w:left w:val="none" w:sz="0" w:space="0" w:color="auto"/>
        <w:bottom w:val="none" w:sz="0" w:space="0" w:color="auto"/>
        <w:right w:val="none" w:sz="0" w:space="0" w:color="auto"/>
      </w:divBdr>
      <w:divsChild>
        <w:div w:id="1518156524">
          <w:marLeft w:val="0"/>
          <w:marRight w:val="0"/>
          <w:marTop w:val="0"/>
          <w:marBottom w:val="0"/>
          <w:divBdr>
            <w:top w:val="none" w:sz="0" w:space="0" w:color="auto"/>
            <w:left w:val="none" w:sz="0" w:space="0" w:color="auto"/>
            <w:bottom w:val="none" w:sz="0" w:space="0" w:color="auto"/>
            <w:right w:val="none" w:sz="0" w:space="0" w:color="auto"/>
          </w:divBdr>
          <w:divsChild>
            <w:div w:id="364331639">
              <w:marLeft w:val="0"/>
              <w:marRight w:val="0"/>
              <w:marTop w:val="0"/>
              <w:marBottom w:val="0"/>
              <w:divBdr>
                <w:top w:val="none" w:sz="0" w:space="0" w:color="auto"/>
                <w:left w:val="none" w:sz="0" w:space="0" w:color="auto"/>
                <w:bottom w:val="none" w:sz="0" w:space="0" w:color="auto"/>
                <w:right w:val="none" w:sz="0" w:space="0" w:color="auto"/>
              </w:divBdr>
              <w:divsChild>
                <w:div w:id="578364809">
                  <w:marLeft w:val="0"/>
                  <w:marRight w:val="0"/>
                  <w:marTop w:val="0"/>
                  <w:marBottom w:val="0"/>
                  <w:divBdr>
                    <w:top w:val="none" w:sz="0" w:space="0" w:color="auto"/>
                    <w:left w:val="none" w:sz="0" w:space="0" w:color="auto"/>
                    <w:bottom w:val="none" w:sz="0" w:space="0" w:color="auto"/>
                    <w:right w:val="none" w:sz="0" w:space="0" w:color="auto"/>
                  </w:divBdr>
                  <w:divsChild>
                    <w:div w:id="1860508081">
                      <w:marLeft w:val="0"/>
                      <w:marRight w:val="0"/>
                      <w:marTop w:val="0"/>
                      <w:marBottom w:val="0"/>
                      <w:divBdr>
                        <w:top w:val="none" w:sz="0" w:space="0" w:color="auto"/>
                        <w:left w:val="none" w:sz="0" w:space="0" w:color="auto"/>
                        <w:bottom w:val="none" w:sz="0" w:space="0" w:color="auto"/>
                        <w:right w:val="none" w:sz="0" w:space="0" w:color="auto"/>
                      </w:divBdr>
                      <w:divsChild>
                        <w:div w:id="1516068837">
                          <w:marLeft w:val="0"/>
                          <w:marRight w:val="0"/>
                          <w:marTop w:val="0"/>
                          <w:marBottom w:val="0"/>
                          <w:divBdr>
                            <w:top w:val="none" w:sz="0" w:space="0" w:color="auto"/>
                            <w:left w:val="none" w:sz="0" w:space="0" w:color="auto"/>
                            <w:bottom w:val="none" w:sz="0" w:space="0" w:color="auto"/>
                            <w:right w:val="none" w:sz="0" w:space="0" w:color="auto"/>
                          </w:divBdr>
                          <w:divsChild>
                            <w:div w:id="19943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732117">
      <w:bodyDiv w:val="1"/>
      <w:marLeft w:val="0"/>
      <w:marRight w:val="0"/>
      <w:marTop w:val="0"/>
      <w:marBottom w:val="0"/>
      <w:divBdr>
        <w:top w:val="none" w:sz="0" w:space="0" w:color="auto"/>
        <w:left w:val="none" w:sz="0" w:space="0" w:color="auto"/>
        <w:bottom w:val="none" w:sz="0" w:space="0" w:color="auto"/>
        <w:right w:val="none" w:sz="0" w:space="0" w:color="auto"/>
      </w:divBdr>
    </w:div>
    <w:div w:id="21372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904C6536-C98A-4D0A-8E29-6AEAD2E2CC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IAEA%20Blank%20(r01).dotx</Template>
  <TotalTime>0</TotalTime>
  <Pages>3</Pages>
  <Words>3504</Words>
  <Characters>19976</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Jaejeong Shin</cp:lastModifiedBy>
  <cp:revision>2</cp:revision>
  <cp:lastPrinted>2024-03-19T13:52:00Z</cp:lastPrinted>
  <dcterms:created xsi:type="dcterms:W3CDTF">2024-09-06T16:56:00Z</dcterms:created>
  <dcterms:modified xsi:type="dcterms:W3CDTF">2024-09-06T16:56:00Z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