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3E2AB" w14:textId="17696459" w:rsidR="00390F66" w:rsidRPr="0079384F" w:rsidRDefault="00390F66" w:rsidP="00390F66">
      <w:pPr>
        <w:pStyle w:val="Overskrift1"/>
      </w:pPr>
      <w:r w:rsidRPr="0079384F">
        <w:t>The green shift – extracting synergies from the oil and gas sector when establishing nuclear in Norway</w:t>
      </w:r>
    </w:p>
    <w:p w14:paraId="2518AE7F" w14:textId="77777777" w:rsidR="00390F66" w:rsidRPr="0079384F" w:rsidRDefault="00390F66" w:rsidP="00390F66">
      <w:pPr>
        <w:pStyle w:val="Undertittel"/>
      </w:pPr>
    </w:p>
    <w:p w14:paraId="4D1B799F" w14:textId="77777777" w:rsidR="00802381" w:rsidRPr="0079384F" w:rsidRDefault="00802381" w:rsidP="00537496">
      <w:pPr>
        <w:pStyle w:val="Authornameandaffiliation"/>
      </w:pPr>
    </w:p>
    <w:p w14:paraId="288B5316" w14:textId="4ED0AC44" w:rsidR="00C33032" w:rsidRPr="00EC2B62" w:rsidRDefault="00C33032" w:rsidP="00C33032">
      <w:pPr>
        <w:pStyle w:val="Authornameandaffiliation"/>
        <w:rPr>
          <w:lang w:val="nb-NO"/>
        </w:rPr>
      </w:pPr>
      <w:r w:rsidRPr="00EC2B62">
        <w:rPr>
          <w:lang w:val="nb-NO"/>
        </w:rPr>
        <w:t xml:space="preserve">S. O. SAELE, </w:t>
      </w:r>
      <w:r w:rsidR="009A0F57" w:rsidRPr="00EC2B62">
        <w:rPr>
          <w:lang w:val="nb-NO"/>
        </w:rPr>
        <w:t xml:space="preserve">O. AAS-HANSEN, </w:t>
      </w:r>
      <w:r w:rsidRPr="00EC2B62">
        <w:rPr>
          <w:lang w:val="nb-NO"/>
        </w:rPr>
        <w:t>S. ROSE, H. KRISTIANSEN, J. HESTHAMMER</w:t>
      </w:r>
      <w:r w:rsidR="00E96B28" w:rsidRPr="00EC2B62">
        <w:rPr>
          <w:lang w:val="nb-NO"/>
        </w:rPr>
        <w:t>, S.</w:t>
      </w:r>
      <w:r w:rsidR="00826482" w:rsidRPr="00EC2B62">
        <w:rPr>
          <w:lang w:val="nb-NO"/>
        </w:rPr>
        <w:t xml:space="preserve"> M. SPERREVIK</w:t>
      </w:r>
    </w:p>
    <w:p w14:paraId="63BA13F5" w14:textId="77777777" w:rsidR="00C33032" w:rsidRPr="0079384F" w:rsidRDefault="00C33032" w:rsidP="00537496">
      <w:pPr>
        <w:pStyle w:val="Authornameandaffiliation"/>
      </w:pPr>
      <w:r w:rsidRPr="0079384F">
        <w:t>Norsk Kjernekraft AS</w:t>
      </w:r>
    </w:p>
    <w:p w14:paraId="14684DE2" w14:textId="7B2902BB" w:rsidR="00FF386F" w:rsidRPr="0079384F" w:rsidRDefault="003D452E" w:rsidP="00537496">
      <w:pPr>
        <w:pStyle w:val="Authornameandaffiliation"/>
      </w:pPr>
      <w:r w:rsidRPr="0079384F">
        <w:t>Bergen</w:t>
      </w:r>
      <w:r w:rsidR="00FF386F" w:rsidRPr="0079384F">
        <w:t xml:space="preserve">, </w:t>
      </w:r>
      <w:r w:rsidR="00C33032" w:rsidRPr="0079384F">
        <w:t>Norway</w:t>
      </w:r>
    </w:p>
    <w:p w14:paraId="077B7130" w14:textId="77777777" w:rsidR="003D452E" w:rsidRPr="0079384F" w:rsidRDefault="003D452E" w:rsidP="00537496">
      <w:pPr>
        <w:pStyle w:val="Authornameandaffiliation"/>
      </w:pPr>
    </w:p>
    <w:p w14:paraId="0080899C" w14:textId="4E54442A" w:rsidR="00FF386F" w:rsidRPr="0079384F" w:rsidRDefault="00FF386F" w:rsidP="00537496">
      <w:pPr>
        <w:pStyle w:val="Authornameandaffiliation"/>
      </w:pPr>
      <w:r w:rsidRPr="0079384F">
        <w:t xml:space="preserve">Email: </w:t>
      </w:r>
      <w:hyperlink r:id="rId8" w:history="1">
        <w:r w:rsidR="009A0F57" w:rsidRPr="00A2262E">
          <w:rPr>
            <w:rStyle w:val="Hyperkobling"/>
            <w:shd w:val="clear" w:color="auto" w:fill="FFFFFF"/>
          </w:rPr>
          <w:t>steffen.oliver.saele@norskkjernekraft.com</w:t>
        </w:r>
      </w:hyperlink>
    </w:p>
    <w:p w14:paraId="5E2BDA1F" w14:textId="77777777" w:rsidR="00FF386F" w:rsidRPr="0079384F" w:rsidRDefault="00FF386F" w:rsidP="00537496">
      <w:pPr>
        <w:pStyle w:val="Authornameandaffiliation"/>
      </w:pPr>
    </w:p>
    <w:p w14:paraId="274C1BF4" w14:textId="77777777" w:rsidR="003D452E" w:rsidRPr="0079384F" w:rsidRDefault="003D452E" w:rsidP="00537496">
      <w:pPr>
        <w:pStyle w:val="Authornameandaffiliation"/>
      </w:pPr>
      <w:r w:rsidRPr="0079384F">
        <w:t xml:space="preserve">N. AMOSOVA, J. KICKHOFEL </w:t>
      </w:r>
    </w:p>
    <w:p w14:paraId="008085C2" w14:textId="7B62A603" w:rsidR="00FF386F" w:rsidRPr="0079384F" w:rsidRDefault="003D452E" w:rsidP="00537496">
      <w:pPr>
        <w:pStyle w:val="Authornameandaffiliation"/>
      </w:pPr>
      <w:r w:rsidRPr="0079384F">
        <w:t>Apollo+</w:t>
      </w:r>
    </w:p>
    <w:p w14:paraId="5D980831" w14:textId="088F0821" w:rsidR="00FF386F" w:rsidRPr="0079384F" w:rsidRDefault="003D452E" w:rsidP="00537496">
      <w:pPr>
        <w:pStyle w:val="Authornameandaffiliation"/>
      </w:pPr>
      <w:r w:rsidRPr="0079384F">
        <w:t>Zurich, Switzerland</w:t>
      </w:r>
    </w:p>
    <w:p w14:paraId="2C7F19CB" w14:textId="77777777" w:rsidR="00FF386F" w:rsidRPr="0079384F" w:rsidRDefault="00FF386F" w:rsidP="00537496">
      <w:pPr>
        <w:pStyle w:val="Authornameandaffiliation"/>
      </w:pPr>
    </w:p>
    <w:p w14:paraId="230D4575" w14:textId="77777777" w:rsidR="00647F33" w:rsidRPr="0079384F" w:rsidRDefault="00647F33" w:rsidP="00537496">
      <w:pPr>
        <w:pStyle w:val="Authornameandaffiliation"/>
        <w:rPr>
          <w:b/>
        </w:rPr>
      </w:pPr>
      <w:r w:rsidRPr="0079384F">
        <w:rPr>
          <w:b/>
        </w:rPr>
        <w:t>Abstract</w:t>
      </w:r>
    </w:p>
    <w:p w14:paraId="335B1A95" w14:textId="77777777" w:rsidR="007E39A0" w:rsidRPr="0079384F" w:rsidRDefault="007E39A0" w:rsidP="007E39A0">
      <w:pPr>
        <w:pStyle w:val="Abstracttext"/>
        <w:ind w:firstLine="0"/>
      </w:pPr>
    </w:p>
    <w:p w14:paraId="2CF7741A" w14:textId="0D5B7CBB" w:rsidR="005C68A4" w:rsidRPr="0079384F" w:rsidRDefault="007E39A0" w:rsidP="00A2262E">
      <w:pPr>
        <w:pStyle w:val="Abstracttext"/>
        <w:jc w:val="both"/>
      </w:pPr>
      <w:r w:rsidRPr="0079384F">
        <w:t xml:space="preserve">Today, the oil and gas sector is by far the main driver in the Norwegian economy but also a main contributor to Norway’s CO2 emissions. To achieve the national goal of (close to) net zero emissions by 2050, it is of paramount importance to the Norwegian economy to identify and extract synergies from the oil and gas sector in the transition to competitive clean energy systems of the future. In the present paper we </w:t>
      </w:r>
      <w:r w:rsidR="004B7F20" w:rsidRPr="0079384F">
        <w:t>emphasize</w:t>
      </w:r>
      <w:r w:rsidRPr="0079384F">
        <w:t xml:space="preserve"> that investments in SMR technology can be an alternative to small- to medium sized oil and gas fields in Norway. SMRs may also play a crucial role in decarbonization and electrification </w:t>
      </w:r>
      <w:r w:rsidRPr="00FE2025">
        <w:t xml:space="preserve">of the oil and gas industry during the transition phase, while simultaneously enabling the use of process heat for </w:t>
      </w:r>
      <w:r w:rsidR="00CC59E0" w:rsidRPr="00FE2025">
        <w:t>carbon capture and storage</w:t>
      </w:r>
      <w:r w:rsidR="00CC59E0">
        <w:t>,</w:t>
      </w:r>
      <w:r w:rsidR="00CC59E0" w:rsidRPr="0079384F">
        <w:t xml:space="preserve"> </w:t>
      </w:r>
      <w:r w:rsidRPr="0079384F">
        <w:t>and the production of hydrogen and synthetic fuels. Further, similarities between the sectors may facilitate transfer of competence and work-force as well as supply chains between the industries while creating new business opportunities for the Norwegian oil and gas sector.</w:t>
      </w:r>
    </w:p>
    <w:p w14:paraId="3BF4C009" w14:textId="4279F568" w:rsidR="002458E3" w:rsidRPr="00A2262E" w:rsidRDefault="002458E3" w:rsidP="00A94A1C">
      <w:pPr>
        <w:pStyle w:val="Overskrift2"/>
        <w:rPr>
          <w:lang w:val="en-US"/>
        </w:rPr>
      </w:pPr>
      <w:r w:rsidRPr="00A2262E">
        <w:rPr>
          <w:lang w:val="en-US"/>
        </w:rPr>
        <w:t>Introduction</w:t>
      </w:r>
      <w:r w:rsidR="007878EF" w:rsidRPr="00A2262E">
        <w:rPr>
          <w:lang w:val="en-US"/>
        </w:rPr>
        <w:t xml:space="preserve"> to Norwegian </w:t>
      </w:r>
      <w:r w:rsidR="003B0C94" w:rsidRPr="00A2262E">
        <w:rPr>
          <w:lang w:val="en-US"/>
        </w:rPr>
        <w:t>oil and gas</w:t>
      </w:r>
    </w:p>
    <w:p w14:paraId="43CDBFA2" w14:textId="5A590BEE" w:rsidR="00945047" w:rsidRPr="0079384F" w:rsidRDefault="00CC190B" w:rsidP="009C7864">
      <w:pPr>
        <w:pStyle w:val="Brdtekst"/>
        <w:rPr>
          <w:lang w:val="en-US"/>
        </w:rPr>
      </w:pPr>
      <w:r w:rsidRPr="0079384F">
        <w:rPr>
          <w:lang w:val="en-US"/>
        </w:rPr>
        <w:t>In the 1960, Norway’s venture into the oil and ga</w:t>
      </w:r>
      <w:r w:rsidR="00422738" w:rsidRPr="0079384F">
        <w:rPr>
          <w:lang w:val="en-US"/>
        </w:rPr>
        <w:t xml:space="preserve">s industry began, with the first significant discovery </w:t>
      </w:r>
      <w:r w:rsidR="005169EC" w:rsidRPr="0079384F">
        <w:rPr>
          <w:lang w:val="en-US"/>
        </w:rPr>
        <w:t xml:space="preserve">of oil in </w:t>
      </w:r>
      <w:r w:rsidR="00DA32AC" w:rsidRPr="0079384F">
        <w:rPr>
          <w:lang w:val="en-US"/>
        </w:rPr>
        <w:t xml:space="preserve">December </w:t>
      </w:r>
      <w:r w:rsidR="005169EC" w:rsidRPr="0079384F">
        <w:rPr>
          <w:lang w:val="en-US"/>
        </w:rPr>
        <w:t>1969 at the Ekofisk field</w:t>
      </w:r>
      <w:r w:rsidR="00DA32AC" w:rsidRPr="0079384F">
        <w:rPr>
          <w:lang w:val="en-US"/>
        </w:rPr>
        <w:t xml:space="preserve">, south of Stavanger, in the North Sea by the Phillips Petroleum Company. </w:t>
      </w:r>
      <w:r w:rsidR="00FA5C57" w:rsidRPr="0079384F">
        <w:rPr>
          <w:lang w:val="en-US"/>
        </w:rPr>
        <w:t xml:space="preserve">The </w:t>
      </w:r>
      <w:r w:rsidR="00096D0E" w:rsidRPr="0079384F">
        <w:rPr>
          <w:lang w:val="en-US"/>
        </w:rPr>
        <w:t xml:space="preserve">finding marked the beginning of the transition of Norway into a major </w:t>
      </w:r>
      <w:r w:rsidR="0018752C" w:rsidRPr="0079384F">
        <w:rPr>
          <w:lang w:val="en-US"/>
        </w:rPr>
        <w:t>supplier of oil and gas</w:t>
      </w:r>
      <w:r w:rsidR="00BF0CC9" w:rsidRPr="0079384F">
        <w:rPr>
          <w:lang w:val="en-US"/>
        </w:rPr>
        <w:t xml:space="preserve"> </w:t>
      </w:r>
      <w:r w:rsidR="00466AF5" w:rsidRPr="0079384F">
        <w:rPr>
          <w:lang w:val="en-US"/>
        </w:rPr>
        <w:t xml:space="preserve">(O&amp;G) </w:t>
      </w:r>
      <w:r w:rsidR="00BF0CC9" w:rsidRPr="0079384F">
        <w:rPr>
          <w:lang w:val="en-US"/>
        </w:rPr>
        <w:t xml:space="preserve">resources. </w:t>
      </w:r>
    </w:p>
    <w:p w14:paraId="716D59B5" w14:textId="3168B9C6" w:rsidR="00885D82" w:rsidRPr="0079384F" w:rsidRDefault="00885D82" w:rsidP="00A94A1C">
      <w:pPr>
        <w:pStyle w:val="Brdtekst"/>
        <w:ind w:firstLine="0"/>
        <w:rPr>
          <w:lang w:val="en-US"/>
        </w:rPr>
      </w:pPr>
      <w:r w:rsidRPr="0079384F">
        <w:rPr>
          <w:lang w:val="en-US"/>
        </w:rPr>
        <w:tab/>
      </w:r>
      <w:r w:rsidR="005606D6" w:rsidRPr="0079384F">
        <w:rPr>
          <w:lang w:val="en-US"/>
        </w:rPr>
        <w:t>In the initial phases of the</w:t>
      </w:r>
      <w:r w:rsidRPr="0079384F">
        <w:rPr>
          <w:lang w:val="en-US"/>
        </w:rPr>
        <w:t xml:space="preserve"> </w:t>
      </w:r>
      <w:r w:rsidR="00466AF5" w:rsidRPr="0079384F">
        <w:rPr>
          <w:lang w:val="en-US"/>
        </w:rPr>
        <w:t xml:space="preserve">exploration for </w:t>
      </w:r>
      <w:r w:rsidR="00A107A2" w:rsidRPr="0079384F">
        <w:rPr>
          <w:lang w:val="en-US"/>
        </w:rPr>
        <w:t xml:space="preserve">Norwegian </w:t>
      </w:r>
      <w:r w:rsidR="00466AF5" w:rsidRPr="0079384F">
        <w:rPr>
          <w:lang w:val="en-US"/>
        </w:rPr>
        <w:t>O&amp;G resources</w:t>
      </w:r>
      <w:r w:rsidR="009908F8" w:rsidRPr="0079384F">
        <w:rPr>
          <w:lang w:val="en-US"/>
        </w:rPr>
        <w:t xml:space="preserve">, </w:t>
      </w:r>
      <w:r w:rsidR="00D459A9" w:rsidRPr="0079384F">
        <w:rPr>
          <w:lang w:val="en-US"/>
        </w:rPr>
        <w:t xml:space="preserve">in the 60s to 70s, </w:t>
      </w:r>
      <w:r w:rsidR="009908F8" w:rsidRPr="0079384F">
        <w:rPr>
          <w:lang w:val="en-US"/>
        </w:rPr>
        <w:t xml:space="preserve">the Norwegian government </w:t>
      </w:r>
      <w:r w:rsidR="00781E76" w:rsidRPr="0079384F">
        <w:rPr>
          <w:lang w:val="en-US"/>
        </w:rPr>
        <w:t xml:space="preserve">took on </w:t>
      </w:r>
      <w:r w:rsidR="00D459A9" w:rsidRPr="0079384F">
        <w:rPr>
          <w:lang w:val="en-US"/>
        </w:rPr>
        <w:t>a strategic role</w:t>
      </w:r>
      <w:r w:rsidR="0029038E" w:rsidRPr="0079384F">
        <w:rPr>
          <w:lang w:val="en-US"/>
        </w:rPr>
        <w:t>, enabling the regulatory frameworks</w:t>
      </w:r>
      <w:r w:rsidR="00B66667" w:rsidRPr="0079384F">
        <w:rPr>
          <w:lang w:val="en-US"/>
        </w:rPr>
        <w:t xml:space="preserve">, encouraged </w:t>
      </w:r>
      <w:r w:rsidR="00B27E36" w:rsidRPr="0079384F">
        <w:rPr>
          <w:lang w:val="en-US"/>
        </w:rPr>
        <w:t xml:space="preserve">the establishment of national supply chains and </w:t>
      </w:r>
      <w:r w:rsidR="00337C78" w:rsidRPr="0079384F">
        <w:rPr>
          <w:lang w:val="en-US"/>
        </w:rPr>
        <w:t xml:space="preserve">prepared for state participation, while the </w:t>
      </w:r>
      <w:r w:rsidR="0033025E" w:rsidRPr="0079384F">
        <w:rPr>
          <w:lang w:val="en-US"/>
        </w:rPr>
        <w:t>exploration activities themselves were provided by already experienced global companies</w:t>
      </w:r>
      <w:r w:rsidR="0077095E" w:rsidRPr="0079384F">
        <w:rPr>
          <w:lang w:val="en-US"/>
        </w:rPr>
        <w:t xml:space="preserve"> such as Esso, Phillips Petroleum and Shell.</w:t>
      </w:r>
      <w:r w:rsidR="002448DC" w:rsidRPr="0079384F">
        <w:rPr>
          <w:lang w:val="en-US"/>
        </w:rPr>
        <w:t xml:space="preserve"> </w:t>
      </w:r>
      <w:r w:rsidR="003D3AA7" w:rsidRPr="0079384F">
        <w:rPr>
          <w:lang w:val="en-US"/>
        </w:rPr>
        <w:t xml:space="preserve">When large oil companies challenged </w:t>
      </w:r>
      <w:r w:rsidR="00F90B87" w:rsidRPr="0079384F">
        <w:rPr>
          <w:lang w:val="en-US"/>
        </w:rPr>
        <w:t xml:space="preserve">the notion that Norwegian supply chains </w:t>
      </w:r>
      <w:r w:rsidR="00BA6B82" w:rsidRPr="0079384F">
        <w:rPr>
          <w:lang w:val="en-US"/>
        </w:rPr>
        <w:t xml:space="preserve">had the necessary proficiency </w:t>
      </w:r>
      <w:r w:rsidR="00185083" w:rsidRPr="0079384F">
        <w:rPr>
          <w:lang w:val="en-US"/>
        </w:rPr>
        <w:t>to partake in the O&amp;G industry, Norwegian official</w:t>
      </w:r>
      <w:r w:rsidR="0099110F">
        <w:rPr>
          <w:lang w:val="en-US"/>
        </w:rPr>
        <w:t>s</w:t>
      </w:r>
      <w:r w:rsidR="00185083" w:rsidRPr="0079384F">
        <w:rPr>
          <w:lang w:val="en-US"/>
        </w:rPr>
        <w:t xml:space="preserve"> referenced</w:t>
      </w:r>
      <w:r w:rsidR="00F207B8" w:rsidRPr="0079384F">
        <w:rPr>
          <w:lang w:val="en-US"/>
        </w:rPr>
        <w:t xml:space="preserve"> the Norwegians</w:t>
      </w:r>
      <w:r w:rsidR="00DF2205" w:rsidRPr="0079384F">
        <w:rPr>
          <w:lang w:val="en-US"/>
        </w:rPr>
        <w:t>’</w:t>
      </w:r>
      <w:r w:rsidR="00F207B8" w:rsidRPr="0079384F">
        <w:rPr>
          <w:lang w:val="en-US"/>
        </w:rPr>
        <w:t xml:space="preserve"> early </w:t>
      </w:r>
      <w:r w:rsidR="00790DE7" w:rsidRPr="0079384F">
        <w:rPr>
          <w:lang w:val="en-US"/>
        </w:rPr>
        <w:t xml:space="preserve">entrance to the field of nuclear science, building and operating its first </w:t>
      </w:r>
      <w:r w:rsidR="00AE041D" w:rsidRPr="0079384F">
        <w:rPr>
          <w:lang w:val="en-US"/>
        </w:rPr>
        <w:t xml:space="preserve">nuclear reactor </w:t>
      </w:r>
      <w:r w:rsidR="000D4CD9" w:rsidRPr="0079384F">
        <w:rPr>
          <w:lang w:val="en-US"/>
        </w:rPr>
        <w:t xml:space="preserve">already in </w:t>
      </w:r>
      <w:r w:rsidR="00D1359C" w:rsidRPr="0079384F">
        <w:rPr>
          <w:lang w:val="en-US"/>
        </w:rPr>
        <w:t>1951</w:t>
      </w:r>
      <w:r w:rsidR="001F1D42">
        <w:rPr>
          <w:lang w:val="en-US"/>
        </w:rPr>
        <w:t xml:space="preserve">, providing credence to the Norwegian </w:t>
      </w:r>
      <w:r w:rsidR="008F44FD">
        <w:rPr>
          <w:lang w:val="en-US"/>
        </w:rPr>
        <w:t xml:space="preserve">industrial </w:t>
      </w:r>
      <w:r w:rsidR="00691016">
        <w:rPr>
          <w:lang w:val="en-US"/>
        </w:rPr>
        <w:t>aptitude</w:t>
      </w:r>
      <w:r w:rsidR="00D1359C" w:rsidRPr="0079384F">
        <w:rPr>
          <w:lang w:val="en-US"/>
        </w:rPr>
        <w:t xml:space="preserve">. </w:t>
      </w:r>
      <w:r w:rsidR="006D72B9" w:rsidRPr="0079384F">
        <w:rPr>
          <w:lang w:val="en-US"/>
        </w:rPr>
        <w:t xml:space="preserve">Significant localization of supply chains and ownership of the natural resources </w:t>
      </w:r>
      <w:r w:rsidR="00DF2205" w:rsidRPr="0079384F">
        <w:rPr>
          <w:lang w:val="en-US"/>
        </w:rPr>
        <w:t>was eventually assured</w:t>
      </w:r>
      <w:r w:rsidR="006D72B9" w:rsidRPr="0079384F">
        <w:rPr>
          <w:lang w:val="en-US"/>
        </w:rPr>
        <w:t xml:space="preserve">. </w:t>
      </w:r>
    </w:p>
    <w:p w14:paraId="787F08A5" w14:textId="1E384CEA" w:rsidR="002668D8" w:rsidRPr="00FE2025" w:rsidRDefault="002668D8" w:rsidP="00A94A1C">
      <w:pPr>
        <w:pStyle w:val="Brdtekst"/>
        <w:ind w:firstLine="0"/>
        <w:rPr>
          <w:lang w:val="en-US"/>
        </w:rPr>
      </w:pPr>
      <w:r w:rsidRPr="0079384F">
        <w:rPr>
          <w:lang w:val="en-US"/>
        </w:rPr>
        <w:tab/>
        <w:t>In 1972, Statoil (now Equinor) was formed</w:t>
      </w:r>
      <w:r w:rsidR="00862AC8" w:rsidRPr="0079384F">
        <w:rPr>
          <w:lang w:val="en-US"/>
        </w:rPr>
        <w:t xml:space="preserve"> by the Norwegian government</w:t>
      </w:r>
      <w:r w:rsidR="00A11181" w:rsidRPr="0079384F">
        <w:rPr>
          <w:lang w:val="en-US"/>
        </w:rPr>
        <w:t xml:space="preserve"> to secure state control and significant participation in the O&amp;G industry. </w:t>
      </w:r>
      <w:r w:rsidR="00413CAA" w:rsidRPr="0079384F">
        <w:rPr>
          <w:lang w:val="en-US"/>
        </w:rPr>
        <w:t xml:space="preserve">Production and </w:t>
      </w:r>
      <w:r w:rsidR="006E2C79" w:rsidRPr="0079384F">
        <w:rPr>
          <w:lang w:val="en-US"/>
        </w:rPr>
        <w:t>revenue rapidly expanded in the 80s and 90s</w:t>
      </w:r>
      <w:r w:rsidR="007C5A0F" w:rsidRPr="0079384F">
        <w:rPr>
          <w:lang w:val="en-US"/>
        </w:rPr>
        <w:t xml:space="preserve"> after discovering additional significant fields including Statfjord, Oseberg and Gullfaks. </w:t>
      </w:r>
      <w:r w:rsidR="007C6A92" w:rsidRPr="0079384F">
        <w:rPr>
          <w:lang w:val="en-US"/>
        </w:rPr>
        <w:t xml:space="preserve">In 2001, </w:t>
      </w:r>
      <w:r w:rsidR="001C25A6" w:rsidRPr="0079384F">
        <w:rPr>
          <w:lang w:val="en-US"/>
        </w:rPr>
        <w:t xml:space="preserve">a new era </w:t>
      </w:r>
      <w:r w:rsidR="005711AB" w:rsidRPr="0079384F">
        <w:rPr>
          <w:lang w:val="en-US"/>
        </w:rPr>
        <w:t>of global expansion and increased efficiency begun for Stat</w:t>
      </w:r>
      <w:r w:rsidR="001874E2" w:rsidRPr="0079384F">
        <w:rPr>
          <w:lang w:val="en-US"/>
        </w:rPr>
        <w:t>oil</w:t>
      </w:r>
      <w:r w:rsidR="00837B67" w:rsidRPr="0079384F">
        <w:rPr>
          <w:lang w:val="en-US"/>
        </w:rPr>
        <w:t xml:space="preserve"> as a part of </w:t>
      </w:r>
      <w:r w:rsidR="00B83FC1">
        <w:rPr>
          <w:lang w:val="en-US"/>
        </w:rPr>
        <w:t xml:space="preserve">a </w:t>
      </w:r>
      <w:r w:rsidR="00837B67" w:rsidRPr="0079384F">
        <w:rPr>
          <w:lang w:val="en-US"/>
        </w:rPr>
        <w:t>partial privatization of the company</w:t>
      </w:r>
      <w:r w:rsidR="001874E2" w:rsidRPr="0079384F">
        <w:rPr>
          <w:lang w:val="en-US"/>
        </w:rPr>
        <w:t>.</w:t>
      </w:r>
      <w:r w:rsidR="00175099" w:rsidRPr="0079384F">
        <w:rPr>
          <w:lang w:val="en-US"/>
        </w:rPr>
        <w:t xml:space="preserve"> Equinor</w:t>
      </w:r>
      <w:r w:rsidR="009A1C94" w:rsidRPr="0079384F">
        <w:rPr>
          <w:lang w:val="en-US"/>
        </w:rPr>
        <w:t xml:space="preserve"> (Statoil’s new name since 2018)</w:t>
      </w:r>
      <w:r w:rsidR="00FC4773" w:rsidRPr="0079384F">
        <w:rPr>
          <w:lang w:val="en-US"/>
        </w:rPr>
        <w:t xml:space="preserve">, is today the largest </w:t>
      </w:r>
      <w:r w:rsidR="005E7EFF" w:rsidRPr="0079384F">
        <w:rPr>
          <w:lang w:val="en-US"/>
        </w:rPr>
        <w:t xml:space="preserve">operator on the Norwegian continental shelf (NCS), </w:t>
      </w:r>
      <w:r w:rsidR="005111EB" w:rsidRPr="0079384F">
        <w:rPr>
          <w:lang w:val="en-US"/>
        </w:rPr>
        <w:t xml:space="preserve">accompanied by </w:t>
      </w:r>
      <w:r w:rsidR="00355A49" w:rsidRPr="0079384F">
        <w:rPr>
          <w:lang w:val="en-US"/>
        </w:rPr>
        <w:t xml:space="preserve">international companies </w:t>
      </w:r>
      <w:r w:rsidR="00355A49" w:rsidRPr="00FE2025">
        <w:rPr>
          <w:lang w:val="en-US"/>
        </w:rPr>
        <w:t xml:space="preserve">such as Shell, Total, BP, and ExxonMobil, as well as </w:t>
      </w:r>
      <w:r w:rsidR="000F1E62" w:rsidRPr="00FE2025">
        <w:rPr>
          <w:lang w:val="en-US"/>
        </w:rPr>
        <w:t>Norwegian companies such as Aker</w:t>
      </w:r>
      <w:r w:rsidR="00C71808" w:rsidRPr="00FE2025">
        <w:rPr>
          <w:lang w:val="en-US"/>
        </w:rPr>
        <w:t xml:space="preserve"> BP, OKEA ASA</w:t>
      </w:r>
      <w:r w:rsidR="00072213" w:rsidRPr="00FE2025">
        <w:rPr>
          <w:lang w:val="en-US"/>
        </w:rPr>
        <w:t xml:space="preserve"> and Vår Energi</w:t>
      </w:r>
      <w:r w:rsidR="000F1E62" w:rsidRPr="00FE2025">
        <w:rPr>
          <w:lang w:val="en-US"/>
        </w:rPr>
        <w:t xml:space="preserve">. </w:t>
      </w:r>
    </w:p>
    <w:p w14:paraId="798D1D9A" w14:textId="7B8629B4" w:rsidR="00591143" w:rsidRPr="0079384F" w:rsidRDefault="00893E50" w:rsidP="00A94A1C">
      <w:pPr>
        <w:pStyle w:val="Brdtekst"/>
        <w:ind w:firstLine="0"/>
        <w:rPr>
          <w:lang w:val="en-US"/>
        </w:rPr>
      </w:pPr>
      <w:r w:rsidRPr="00FE2025">
        <w:rPr>
          <w:lang w:val="en-US"/>
        </w:rPr>
        <w:tab/>
        <w:t>Revenues from the O&amp;G industry has played an increasingly important role in the Norwegian economy</w:t>
      </w:r>
      <w:r w:rsidR="0002531E" w:rsidRPr="00FE2025">
        <w:rPr>
          <w:lang w:val="en-US"/>
        </w:rPr>
        <w:t>. In 202</w:t>
      </w:r>
      <w:r w:rsidR="00CC2EFC">
        <w:rPr>
          <w:lang w:val="en-US"/>
        </w:rPr>
        <w:t>3</w:t>
      </w:r>
      <w:r w:rsidR="0002531E" w:rsidRPr="00FE2025">
        <w:rPr>
          <w:lang w:val="en-US"/>
        </w:rPr>
        <w:t xml:space="preserve">, </w:t>
      </w:r>
      <w:r w:rsidR="00051407">
        <w:rPr>
          <w:lang w:val="en-US"/>
        </w:rPr>
        <w:t>62</w:t>
      </w:r>
      <w:r w:rsidR="0002531E" w:rsidRPr="00FE2025">
        <w:rPr>
          <w:lang w:val="en-US"/>
        </w:rPr>
        <w:t xml:space="preserve"> %</w:t>
      </w:r>
      <w:r w:rsidR="008C37D8" w:rsidRPr="00FE2025">
        <w:rPr>
          <w:lang w:val="en-US"/>
        </w:rPr>
        <w:t xml:space="preserve">, approximately </w:t>
      </w:r>
      <w:r w:rsidR="00FE2025" w:rsidRPr="00A2262E">
        <w:rPr>
          <w:lang w:val="en-US"/>
        </w:rPr>
        <w:t xml:space="preserve">NOK </w:t>
      </w:r>
      <w:r w:rsidR="003963E4" w:rsidRPr="00FE2025">
        <w:rPr>
          <w:lang w:val="en-US"/>
        </w:rPr>
        <w:t>1</w:t>
      </w:r>
      <w:r w:rsidR="003963E4">
        <w:rPr>
          <w:lang w:val="en-US"/>
        </w:rPr>
        <w:t>2</w:t>
      </w:r>
      <w:r w:rsidR="003963E4" w:rsidRPr="00FE2025">
        <w:rPr>
          <w:lang w:val="en-US"/>
        </w:rPr>
        <w:t xml:space="preserve">00 </w:t>
      </w:r>
      <w:r w:rsidR="003963E4">
        <w:rPr>
          <w:lang w:val="en-US"/>
        </w:rPr>
        <w:t>b</w:t>
      </w:r>
      <w:r w:rsidR="003963E4" w:rsidRPr="00A2262E">
        <w:rPr>
          <w:lang w:val="en-US"/>
        </w:rPr>
        <w:t>illion</w:t>
      </w:r>
      <w:r w:rsidR="00C604EC">
        <w:rPr>
          <w:lang w:val="en-US"/>
        </w:rPr>
        <w:t>,</w:t>
      </w:r>
      <w:r w:rsidR="0002531E" w:rsidRPr="00FE2025">
        <w:rPr>
          <w:lang w:val="en-US"/>
        </w:rPr>
        <w:t xml:space="preserve"> of the total export</w:t>
      </w:r>
      <w:r w:rsidR="008C37D8" w:rsidRPr="00FE2025">
        <w:rPr>
          <w:lang w:val="en-US"/>
        </w:rPr>
        <w:t xml:space="preserve"> values of Norwegian goods were accounted for by the O&amp;G industry</w:t>
      </w:r>
      <w:r w:rsidR="00426BB2" w:rsidRPr="00FE2025">
        <w:rPr>
          <w:lang w:val="en-US"/>
        </w:rPr>
        <w:t>, demonstrating the significance of the Norway’s natural resources on the NCS</w:t>
      </w:r>
      <w:r w:rsidR="00DD6D7C" w:rsidRPr="00FE2025">
        <w:rPr>
          <w:lang w:val="en-US"/>
        </w:rPr>
        <w:t xml:space="preserve"> </w:t>
      </w:r>
      <w:r w:rsidR="00D55D78" w:rsidRPr="00FE2025">
        <w:rPr>
          <w:lang w:val="en-US"/>
        </w:rPr>
        <w:t>[1]</w:t>
      </w:r>
      <w:r w:rsidR="00426BB2" w:rsidRPr="00FE2025">
        <w:rPr>
          <w:lang w:val="en-US"/>
        </w:rPr>
        <w:t xml:space="preserve">. </w:t>
      </w:r>
      <w:r w:rsidR="00830E62" w:rsidRPr="00FE2025">
        <w:rPr>
          <w:lang w:val="en-US"/>
        </w:rPr>
        <w:t xml:space="preserve">Through the Sovereign Welfare Fund, established by law in 1990, </w:t>
      </w:r>
      <w:r w:rsidR="00536E49" w:rsidRPr="00FE2025">
        <w:rPr>
          <w:lang w:val="en-US"/>
        </w:rPr>
        <w:t xml:space="preserve">much of </w:t>
      </w:r>
      <w:r w:rsidR="00FE6107" w:rsidRPr="00FE2025">
        <w:rPr>
          <w:lang w:val="en-US"/>
        </w:rPr>
        <w:t xml:space="preserve">the monetary values of these natural resources are </w:t>
      </w:r>
      <w:r w:rsidR="00536E49" w:rsidRPr="00FE2025">
        <w:rPr>
          <w:lang w:val="en-US"/>
        </w:rPr>
        <w:t>essentially owned by the Norwegian</w:t>
      </w:r>
      <w:r w:rsidR="00536E49" w:rsidRPr="0079384F">
        <w:rPr>
          <w:lang w:val="en-US"/>
        </w:rPr>
        <w:t xml:space="preserve"> public, ensuring </w:t>
      </w:r>
      <w:r w:rsidR="00C1095D" w:rsidRPr="0079384F">
        <w:rPr>
          <w:lang w:val="en-US"/>
        </w:rPr>
        <w:t>large yearly additions to the Norwegian state budget</w:t>
      </w:r>
      <w:r w:rsidR="00F63750" w:rsidRPr="0079384F">
        <w:rPr>
          <w:lang w:val="en-US"/>
        </w:rPr>
        <w:t xml:space="preserve">, funding services and infrastructure such as hospitals, </w:t>
      </w:r>
      <w:r w:rsidR="00454719" w:rsidRPr="0079384F">
        <w:rPr>
          <w:lang w:val="en-US"/>
        </w:rPr>
        <w:t>education</w:t>
      </w:r>
      <w:r w:rsidR="00F63750" w:rsidRPr="0079384F">
        <w:rPr>
          <w:lang w:val="en-US"/>
        </w:rPr>
        <w:t>, roads</w:t>
      </w:r>
      <w:r w:rsidR="000F14CF" w:rsidRPr="0079384F">
        <w:rPr>
          <w:lang w:val="en-US"/>
        </w:rPr>
        <w:t xml:space="preserve">, research etc. </w:t>
      </w:r>
    </w:p>
    <w:p w14:paraId="1132A563" w14:textId="465F04D0" w:rsidR="00591143" w:rsidRPr="0079384F" w:rsidRDefault="007878EF" w:rsidP="008117E5">
      <w:pPr>
        <w:pStyle w:val="Overskrift2"/>
        <w:rPr>
          <w:lang w:val="en-US"/>
        </w:rPr>
      </w:pPr>
      <w:r w:rsidRPr="0079384F">
        <w:rPr>
          <w:lang w:val="en-US"/>
        </w:rPr>
        <w:lastRenderedPageBreak/>
        <w:t>In</w:t>
      </w:r>
      <w:r w:rsidR="003B0C94" w:rsidRPr="0079384F">
        <w:rPr>
          <w:lang w:val="en-US"/>
        </w:rPr>
        <w:t>troduction to Norwegian nuclear</w:t>
      </w:r>
      <w:r w:rsidR="00FF4B71" w:rsidRPr="0079384F">
        <w:rPr>
          <w:lang w:val="en-US"/>
        </w:rPr>
        <w:t xml:space="preserve"> history and infrastructure</w:t>
      </w:r>
    </w:p>
    <w:p w14:paraId="6480406F" w14:textId="29FFBE4D" w:rsidR="00FF4B71" w:rsidRPr="0079384F" w:rsidRDefault="00587340" w:rsidP="00A94A1C">
      <w:pPr>
        <w:pStyle w:val="Brdtekst"/>
        <w:ind w:firstLine="0"/>
        <w:rPr>
          <w:lang w:val="en-US"/>
        </w:rPr>
      </w:pPr>
      <w:r w:rsidRPr="0079384F">
        <w:rPr>
          <w:lang w:val="en-US"/>
        </w:rPr>
        <w:t xml:space="preserve">Despite not yet having </w:t>
      </w:r>
      <w:r w:rsidR="004E12DF" w:rsidRPr="0079384F">
        <w:rPr>
          <w:lang w:val="en-US"/>
        </w:rPr>
        <w:t xml:space="preserve">established nuclear power, Norway </w:t>
      </w:r>
      <w:r w:rsidR="00E86624" w:rsidRPr="0079384F">
        <w:rPr>
          <w:lang w:val="en-US"/>
        </w:rPr>
        <w:t xml:space="preserve">has a long history </w:t>
      </w:r>
      <w:r w:rsidR="00D45677" w:rsidRPr="0079384F">
        <w:rPr>
          <w:lang w:val="en-US"/>
        </w:rPr>
        <w:t>within the nuclear domain</w:t>
      </w:r>
      <w:r w:rsidR="00C06E75" w:rsidRPr="0079384F">
        <w:rPr>
          <w:lang w:val="en-US"/>
        </w:rPr>
        <w:t xml:space="preserve"> and has already implemented and matured the infrastructure needed to implement nuclear power</w:t>
      </w:r>
      <w:r w:rsidR="002D5985" w:rsidRPr="0079384F">
        <w:rPr>
          <w:lang w:val="en-US"/>
        </w:rPr>
        <w:t xml:space="preserve">. </w:t>
      </w:r>
      <w:r w:rsidR="001315AB" w:rsidRPr="0079384F">
        <w:rPr>
          <w:lang w:val="en-US"/>
        </w:rPr>
        <w:t>I</w:t>
      </w:r>
      <w:r w:rsidR="00934DF9" w:rsidRPr="0079384F">
        <w:rPr>
          <w:lang w:val="en-US"/>
        </w:rPr>
        <w:t xml:space="preserve">n 1951, the first Norwegian nuclear reactor, </w:t>
      </w:r>
      <w:r w:rsidR="006A625D" w:rsidRPr="0079384F">
        <w:rPr>
          <w:lang w:val="en-US"/>
        </w:rPr>
        <w:t xml:space="preserve">JEEP 1, </w:t>
      </w:r>
      <w:r w:rsidR="00256F28" w:rsidRPr="0079384F">
        <w:rPr>
          <w:lang w:val="en-US"/>
        </w:rPr>
        <w:t>was put into operation, three years after the decision was made to pursue nuclear technology in a peaceful manner</w:t>
      </w:r>
      <w:r w:rsidR="00D13CF0" w:rsidRPr="0079384F">
        <w:rPr>
          <w:lang w:val="en-US"/>
        </w:rPr>
        <w:t>.</w:t>
      </w:r>
      <w:r w:rsidR="00954559" w:rsidRPr="0079384F">
        <w:rPr>
          <w:lang w:val="en-US"/>
        </w:rPr>
        <w:t xml:space="preserve"> As such, Norway was one of the first countries in the world to </w:t>
      </w:r>
      <w:r w:rsidR="00213F29" w:rsidRPr="0079384F">
        <w:rPr>
          <w:lang w:val="en-US"/>
        </w:rPr>
        <w:t>deploy nuclear reactors.</w:t>
      </w:r>
      <w:r w:rsidR="00D13CF0" w:rsidRPr="0079384F">
        <w:rPr>
          <w:lang w:val="en-US"/>
        </w:rPr>
        <w:t xml:space="preserve"> </w:t>
      </w:r>
      <w:r w:rsidR="00EB42B9" w:rsidRPr="0079384F">
        <w:rPr>
          <w:lang w:val="en-US"/>
        </w:rPr>
        <w:t>Throughout the 50s and 60s</w:t>
      </w:r>
      <w:r w:rsidR="008F0E59" w:rsidRPr="0079384F">
        <w:rPr>
          <w:lang w:val="en-US"/>
        </w:rPr>
        <w:t xml:space="preserve">, three more research reactors, </w:t>
      </w:r>
      <w:r w:rsidR="00784F1C" w:rsidRPr="0079384F">
        <w:rPr>
          <w:lang w:val="en-US"/>
        </w:rPr>
        <w:t xml:space="preserve">the HBWR, </w:t>
      </w:r>
      <w:r w:rsidR="004D7986" w:rsidRPr="0079384F">
        <w:rPr>
          <w:lang w:val="en-US"/>
        </w:rPr>
        <w:t>NORA, and JEEP II</w:t>
      </w:r>
      <w:r w:rsidR="007B44C1" w:rsidRPr="0079384F">
        <w:rPr>
          <w:lang w:val="en-US"/>
        </w:rPr>
        <w:t xml:space="preserve">, </w:t>
      </w:r>
      <w:r w:rsidR="008B66E9" w:rsidRPr="0079384F">
        <w:rPr>
          <w:lang w:val="en-US"/>
        </w:rPr>
        <w:t xml:space="preserve">were constructed, the </w:t>
      </w:r>
      <w:r w:rsidR="00BE3063" w:rsidRPr="0079384F">
        <w:rPr>
          <w:lang w:val="en-US"/>
        </w:rPr>
        <w:t>l</w:t>
      </w:r>
      <w:r w:rsidR="001A24FF" w:rsidRPr="0079384F">
        <w:rPr>
          <w:lang w:val="en-US"/>
        </w:rPr>
        <w:t>atter of which was operated until 20</w:t>
      </w:r>
      <w:r w:rsidR="00EB42B9" w:rsidRPr="0079384F">
        <w:rPr>
          <w:lang w:val="en-US"/>
        </w:rPr>
        <w:t xml:space="preserve">19. </w:t>
      </w:r>
      <w:r w:rsidR="004D7984" w:rsidRPr="0079384F">
        <w:rPr>
          <w:lang w:val="en-US"/>
        </w:rPr>
        <w:t xml:space="preserve">All were </w:t>
      </w:r>
      <w:r w:rsidR="00AD4FEE" w:rsidRPr="0079384F">
        <w:rPr>
          <w:lang w:val="en-US"/>
        </w:rPr>
        <w:t xml:space="preserve">owned and operated by </w:t>
      </w:r>
      <w:r w:rsidR="00841043" w:rsidRPr="0079384F">
        <w:rPr>
          <w:lang w:val="en-US"/>
        </w:rPr>
        <w:t xml:space="preserve">the </w:t>
      </w:r>
      <w:r w:rsidR="004E7F40" w:rsidRPr="0079384F">
        <w:rPr>
          <w:lang w:val="en-US"/>
        </w:rPr>
        <w:t xml:space="preserve">Institute for Energy Technology (IFE, then IFA, the </w:t>
      </w:r>
      <w:r w:rsidR="00AD7D19" w:rsidRPr="0079384F">
        <w:rPr>
          <w:lang w:val="en-US"/>
        </w:rPr>
        <w:t>Institute for Atomic Energy)</w:t>
      </w:r>
      <w:r w:rsidR="00A30681" w:rsidRPr="0079384F">
        <w:rPr>
          <w:lang w:val="en-US"/>
        </w:rPr>
        <w:t xml:space="preserve">, providing valuable research to </w:t>
      </w:r>
      <w:r w:rsidR="00C0354F" w:rsidRPr="0079384F">
        <w:rPr>
          <w:lang w:val="en-US"/>
        </w:rPr>
        <w:t xml:space="preserve">the </w:t>
      </w:r>
      <w:r w:rsidR="002F3C24" w:rsidRPr="0079384F">
        <w:rPr>
          <w:lang w:val="en-US"/>
        </w:rPr>
        <w:t xml:space="preserve">global </w:t>
      </w:r>
      <w:r w:rsidR="00C0354F" w:rsidRPr="0079384F">
        <w:rPr>
          <w:lang w:val="en-US"/>
        </w:rPr>
        <w:t>nuclear domain</w:t>
      </w:r>
      <w:r w:rsidR="00A915B8" w:rsidRPr="0079384F">
        <w:rPr>
          <w:lang w:val="en-US"/>
        </w:rPr>
        <w:t xml:space="preserve"> and even</w:t>
      </w:r>
      <w:r w:rsidR="00C0354F" w:rsidRPr="0079384F">
        <w:rPr>
          <w:lang w:val="en-US"/>
        </w:rPr>
        <w:t xml:space="preserve"> </w:t>
      </w:r>
      <w:r w:rsidR="00A915B8" w:rsidRPr="0079384F">
        <w:rPr>
          <w:lang w:val="en-US"/>
        </w:rPr>
        <w:t>the Norwegian O&amp;G industry</w:t>
      </w:r>
      <w:r w:rsidR="00A84655" w:rsidRPr="0079384F">
        <w:rPr>
          <w:lang w:val="en-US"/>
        </w:rPr>
        <w:t xml:space="preserve"> where </w:t>
      </w:r>
      <w:r w:rsidR="009A3003" w:rsidRPr="0079384F">
        <w:rPr>
          <w:lang w:val="en-US"/>
        </w:rPr>
        <w:t xml:space="preserve">the issues of </w:t>
      </w:r>
      <w:r w:rsidR="00093100" w:rsidRPr="0079384F">
        <w:rPr>
          <w:lang w:val="en-US"/>
        </w:rPr>
        <w:t>three</w:t>
      </w:r>
      <w:r w:rsidR="00A84655" w:rsidRPr="0079384F">
        <w:rPr>
          <w:lang w:val="en-US"/>
        </w:rPr>
        <w:t xml:space="preserve">-phase flow </w:t>
      </w:r>
      <w:r w:rsidR="009A3003" w:rsidRPr="0079384F">
        <w:rPr>
          <w:lang w:val="en-US"/>
        </w:rPr>
        <w:t xml:space="preserve">was solved, culminating in the OLGA-software, </w:t>
      </w:r>
      <w:r w:rsidR="007B6A9E" w:rsidRPr="0079384F">
        <w:rPr>
          <w:lang w:val="en-US"/>
        </w:rPr>
        <w:t xml:space="preserve">significantly contributing to Norwegian O&amp;G production and revenues. </w:t>
      </w:r>
    </w:p>
    <w:p w14:paraId="7AF516C3" w14:textId="12090FD9" w:rsidR="00AD02B6" w:rsidRPr="0079384F" w:rsidRDefault="00AD02B6" w:rsidP="00A94A1C">
      <w:pPr>
        <w:pStyle w:val="Brdtekst"/>
        <w:ind w:firstLine="0"/>
        <w:rPr>
          <w:lang w:val="en-US"/>
        </w:rPr>
      </w:pPr>
      <w:r w:rsidRPr="0079384F">
        <w:rPr>
          <w:lang w:val="en-US"/>
        </w:rPr>
        <w:tab/>
      </w:r>
      <w:r w:rsidR="00CD2EE0" w:rsidRPr="0079384F">
        <w:rPr>
          <w:lang w:val="en-US"/>
        </w:rPr>
        <w:t>In the 70s</w:t>
      </w:r>
      <w:r w:rsidR="00AF452E" w:rsidRPr="0079384F">
        <w:rPr>
          <w:lang w:val="en-US"/>
        </w:rPr>
        <w:t>, it was anticipated that hydropower resources, which ma</w:t>
      </w:r>
      <w:r w:rsidR="00B17FB1" w:rsidRPr="0079384F">
        <w:rPr>
          <w:lang w:val="en-US"/>
        </w:rPr>
        <w:t>de, and still makes up, the vast majority of Norwegian electricity production,</w:t>
      </w:r>
      <w:r w:rsidR="00AF452E" w:rsidRPr="0079384F">
        <w:rPr>
          <w:lang w:val="en-US"/>
        </w:rPr>
        <w:t xml:space="preserve"> would eventually</w:t>
      </w:r>
      <w:r w:rsidR="00B17FB1" w:rsidRPr="0079384F">
        <w:rPr>
          <w:lang w:val="en-US"/>
        </w:rPr>
        <w:t xml:space="preserve"> be depleted</w:t>
      </w:r>
      <w:r w:rsidR="003D0148" w:rsidRPr="0079384F">
        <w:rPr>
          <w:lang w:val="en-US"/>
        </w:rPr>
        <w:t xml:space="preserve"> and so nuclear power was briefly pursued. </w:t>
      </w:r>
      <w:r w:rsidR="00996968" w:rsidRPr="0079384F">
        <w:rPr>
          <w:lang w:val="en-US"/>
        </w:rPr>
        <w:t xml:space="preserve">New legislation was established, the Atomic Energy Act no. 28 of May 1972, and the </w:t>
      </w:r>
      <w:r w:rsidR="0060685A" w:rsidRPr="0079384F">
        <w:rPr>
          <w:lang w:val="en-US"/>
        </w:rPr>
        <w:t xml:space="preserve">Norwegian </w:t>
      </w:r>
      <w:r w:rsidR="00DF757B" w:rsidRPr="0079384F">
        <w:rPr>
          <w:lang w:val="en-US"/>
        </w:rPr>
        <w:t>g</w:t>
      </w:r>
      <w:r w:rsidR="0060685A" w:rsidRPr="0079384F">
        <w:rPr>
          <w:lang w:val="en-US"/>
        </w:rPr>
        <w:t xml:space="preserve">overnment commissioned </w:t>
      </w:r>
      <w:r w:rsidR="00D03E31" w:rsidRPr="0079384F">
        <w:rPr>
          <w:lang w:val="en-US"/>
        </w:rPr>
        <w:t xml:space="preserve">a </w:t>
      </w:r>
      <w:r w:rsidR="0060685A" w:rsidRPr="0079384F">
        <w:rPr>
          <w:lang w:val="en-US"/>
        </w:rPr>
        <w:t>national assessment</w:t>
      </w:r>
      <w:r w:rsidR="00796DD6" w:rsidRPr="0079384F">
        <w:rPr>
          <w:lang w:val="en-US"/>
        </w:rPr>
        <w:t xml:space="preserve"> (</w:t>
      </w:r>
      <w:r w:rsidR="009C0808" w:rsidRPr="0079384F">
        <w:rPr>
          <w:lang w:val="en-US"/>
        </w:rPr>
        <w:t xml:space="preserve">Official Norwegian </w:t>
      </w:r>
      <w:r w:rsidR="008A4343" w:rsidRPr="0079384F">
        <w:rPr>
          <w:lang w:val="en-US"/>
        </w:rPr>
        <w:t>R</w:t>
      </w:r>
      <w:r w:rsidR="009C0808" w:rsidRPr="0079384F">
        <w:rPr>
          <w:lang w:val="en-US"/>
        </w:rPr>
        <w:t xml:space="preserve">eport; </w:t>
      </w:r>
      <w:r w:rsidR="00796DD6" w:rsidRPr="0079384F">
        <w:rPr>
          <w:lang w:val="en-US"/>
        </w:rPr>
        <w:t>NOU)</w:t>
      </w:r>
      <w:r w:rsidR="00D578C2" w:rsidRPr="0079384F">
        <w:rPr>
          <w:lang w:val="en-US"/>
        </w:rPr>
        <w:t xml:space="preserve"> of nuclear power</w:t>
      </w:r>
      <w:r w:rsidR="00D56D2D" w:rsidRPr="0079384F">
        <w:rPr>
          <w:lang w:val="en-US"/>
        </w:rPr>
        <w:t>’</w:t>
      </w:r>
      <w:r w:rsidR="00D578C2" w:rsidRPr="0079384F">
        <w:rPr>
          <w:lang w:val="en-US"/>
        </w:rPr>
        <w:t xml:space="preserve">s potential role in the Norwegian electricity mix, </w:t>
      </w:r>
      <w:r w:rsidR="00D03E31" w:rsidRPr="0079384F">
        <w:rPr>
          <w:lang w:val="en-US"/>
        </w:rPr>
        <w:t xml:space="preserve">and </w:t>
      </w:r>
      <w:r w:rsidR="00D578C2" w:rsidRPr="0079384F">
        <w:rPr>
          <w:lang w:val="en-US"/>
        </w:rPr>
        <w:t>the</w:t>
      </w:r>
      <w:r w:rsidR="003D0148" w:rsidRPr="0079384F">
        <w:rPr>
          <w:lang w:val="en-US"/>
        </w:rPr>
        <w:t xml:space="preserve"> Norwegian </w:t>
      </w:r>
      <w:r w:rsidR="00740447" w:rsidRPr="0079384F">
        <w:rPr>
          <w:lang w:val="en-US"/>
        </w:rPr>
        <w:t xml:space="preserve">Directorate for </w:t>
      </w:r>
      <w:r w:rsidR="0060685A" w:rsidRPr="0079384F">
        <w:rPr>
          <w:lang w:val="en-US"/>
        </w:rPr>
        <w:t xml:space="preserve">Waterways and Energy (NVE) identified </w:t>
      </w:r>
      <w:r w:rsidR="00D578C2" w:rsidRPr="0079384F">
        <w:rPr>
          <w:lang w:val="en-US"/>
        </w:rPr>
        <w:t>a multitude of suitable sites</w:t>
      </w:r>
      <w:r w:rsidR="00D03E31" w:rsidRPr="0079384F">
        <w:rPr>
          <w:lang w:val="en-US"/>
        </w:rPr>
        <w:t>.</w:t>
      </w:r>
      <w:r w:rsidR="00B76070" w:rsidRPr="0079384F">
        <w:rPr>
          <w:lang w:val="en-US"/>
        </w:rPr>
        <w:t xml:space="preserve"> [2, 3]</w:t>
      </w:r>
      <w:r w:rsidR="004C684A" w:rsidRPr="0079384F">
        <w:rPr>
          <w:lang w:val="en-US"/>
        </w:rPr>
        <w:t xml:space="preserve"> </w:t>
      </w:r>
      <w:r w:rsidR="002B25DD" w:rsidRPr="0079384F">
        <w:rPr>
          <w:lang w:val="en-US"/>
        </w:rPr>
        <w:t xml:space="preserve">However, </w:t>
      </w:r>
      <w:r w:rsidR="00FB309E" w:rsidRPr="0079384F">
        <w:rPr>
          <w:lang w:val="en-US"/>
        </w:rPr>
        <w:t xml:space="preserve">despite </w:t>
      </w:r>
      <w:r w:rsidR="00D85E70" w:rsidRPr="0079384F">
        <w:rPr>
          <w:lang w:val="en-US"/>
        </w:rPr>
        <w:t>the NOU concluding positively to establishing nuclear power in Norway</w:t>
      </w:r>
      <w:r w:rsidR="000E6DD3" w:rsidRPr="0079384F">
        <w:rPr>
          <w:lang w:val="en-US"/>
        </w:rPr>
        <w:t>,</w:t>
      </w:r>
      <w:r w:rsidR="00D85E70" w:rsidRPr="0079384F">
        <w:rPr>
          <w:lang w:val="en-US"/>
        </w:rPr>
        <w:t xml:space="preserve"> </w:t>
      </w:r>
      <w:r w:rsidR="00E03226" w:rsidRPr="0079384F">
        <w:rPr>
          <w:lang w:val="en-US"/>
        </w:rPr>
        <w:t xml:space="preserve">the pursuit towards nuclear power was halted and political interest dissipated. </w:t>
      </w:r>
      <w:r w:rsidR="008A75B0" w:rsidRPr="0079384F">
        <w:rPr>
          <w:lang w:val="en-US"/>
        </w:rPr>
        <w:t>Hydropower resources were better utilized</w:t>
      </w:r>
      <w:r w:rsidR="00342003" w:rsidRPr="0079384F">
        <w:rPr>
          <w:lang w:val="en-US"/>
        </w:rPr>
        <w:t>,</w:t>
      </w:r>
      <w:r w:rsidR="008A75B0" w:rsidRPr="0079384F">
        <w:rPr>
          <w:lang w:val="en-US"/>
        </w:rPr>
        <w:t xml:space="preserve"> and </w:t>
      </w:r>
      <w:r w:rsidR="0061429D" w:rsidRPr="0079384F">
        <w:rPr>
          <w:lang w:val="en-US"/>
        </w:rPr>
        <w:t xml:space="preserve">much of the political and industrial efforts </w:t>
      </w:r>
      <w:r w:rsidR="008270E6" w:rsidRPr="0079384F">
        <w:rPr>
          <w:lang w:val="en-US"/>
        </w:rPr>
        <w:t xml:space="preserve">were rather </w:t>
      </w:r>
      <w:r w:rsidR="0061429D" w:rsidRPr="0079384F">
        <w:rPr>
          <w:lang w:val="en-US"/>
        </w:rPr>
        <w:t xml:space="preserve">focused on </w:t>
      </w:r>
      <w:r w:rsidR="00677EB4" w:rsidRPr="0079384F">
        <w:rPr>
          <w:lang w:val="en-US"/>
        </w:rPr>
        <w:t>building</w:t>
      </w:r>
      <w:r w:rsidR="0061429D" w:rsidRPr="0079384F">
        <w:rPr>
          <w:lang w:val="en-US"/>
        </w:rPr>
        <w:t xml:space="preserve"> the O&amp;G industry</w:t>
      </w:r>
      <w:r w:rsidR="00CB2CA5" w:rsidRPr="0079384F">
        <w:rPr>
          <w:lang w:val="en-US"/>
        </w:rPr>
        <w:t xml:space="preserve">. </w:t>
      </w:r>
      <w:r w:rsidR="00342003" w:rsidRPr="0079384F">
        <w:rPr>
          <w:lang w:val="en-US"/>
        </w:rPr>
        <w:t>Notably, this shift also coincided</w:t>
      </w:r>
      <w:r w:rsidR="00110112" w:rsidRPr="0079384F">
        <w:rPr>
          <w:lang w:val="en-US"/>
        </w:rPr>
        <w:t xml:space="preserve"> </w:t>
      </w:r>
      <w:r w:rsidR="00342003" w:rsidRPr="0079384F">
        <w:rPr>
          <w:lang w:val="en-US"/>
        </w:rPr>
        <w:t xml:space="preserve">with a </w:t>
      </w:r>
      <w:r w:rsidR="00DE6447" w:rsidRPr="0079384F">
        <w:rPr>
          <w:lang w:val="en-US"/>
        </w:rPr>
        <w:t>lack of public support</w:t>
      </w:r>
      <w:r w:rsidR="00D56D2D" w:rsidRPr="0079384F">
        <w:rPr>
          <w:lang w:val="en-US"/>
        </w:rPr>
        <w:t xml:space="preserve"> for nuclear development</w:t>
      </w:r>
      <w:r w:rsidR="00DE6447" w:rsidRPr="0079384F">
        <w:rPr>
          <w:lang w:val="en-US"/>
        </w:rPr>
        <w:t>,</w:t>
      </w:r>
      <w:r w:rsidR="00517B63" w:rsidRPr="0079384F">
        <w:rPr>
          <w:lang w:val="en-US"/>
        </w:rPr>
        <w:t xml:space="preserve"> </w:t>
      </w:r>
      <w:r w:rsidR="00342003" w:rsidRPr="0079384F">
        <w:rPr>
          <w:lang w:val="en-US"/>
        </w:rPr>
        <w:t xml:space="preserve">stemming </w:t>
      </w:r>
      <w:r w:rsidR="00517B63" w:rsidRPr="0079384F">
        <w:rPr>
          <w:lang w:val="en-US"/>
        </w:rPr>
        <w:t>from concerns about safety a</w:t>
      </w:r>
      <w:r w:rsidR="00645349" w:rsidRPr="0079384F">
        <w:rPr>
          <w:lang w:val="en-US"/>
        </w:rPr>
        <w:t>nd seemingly also from</w:t>
      </w:r>
      <w:r w:rsidR="00517B63" w:rsidRPr="0079384F">
        <w:rPr>
          <w:lang w:val="en-US"/>
        </w:rPr>
        <w:t xml:space="preserve"> the “top-down” </w:t>
      </w:r>
      <w:r w:rsidR="00072F4E" w:rsidRPr="0079384F">
        <w:rPr>
          <w:lang w:val="en-US"/>
        </w:rPr>
        <w:t xml:space="preserve">implementation </w:t>
      </w:r>
      <w:r w:rsidR="00517B63" w:rsidRPr="0079384F">
        <w:rPr>
          <w:lang w:val="en-US"/>
        </w:rPr>
        <w:t xml:space="preserve">approach </w:t>
      </w:r>
      <w:r w:rsidR="005A5323" w:rsidRPr="0079384F">
        <w:rPr>
          <w:lang w:val="en-US"/>
        </w:rPr>
        <w:t>used at the time</w:t>
      </w:r>
      <w:r w:rsidR="00567ADE" w:rsidRPr="0079384F">
        <w:rPr>
          <w:lang w:val="en-US"/>
        </w:rPr>
        <w:t xml:space="preserve"> with government agencies planning nuclear sites without much </w:t>
      </w:r>
      <w:r w:rsidR="00581872">
        <w:rPr>
          <w:lang w:val="en-US"/>
        </w:rPr>
        <w:t xml:space="preserve">prior </w:t>
      </w:r>
      <w:r w:rsidR="00567ADE" w:rsidRPr="0079384F">
        <w:rPr>
          <w:lang w:val="en-US"/>
        </w:rPr>
        <w:t>local involvement and acceptance</w:t>
      </w:r>
      <w:r w:rsidR="00980C9A" w:rsidRPr="0079384F">
        <w:rPr>
          <w:lang w:val="en-US"/>
        </w:rPr>
        <w:t xml:space="preserve">. </w:t>
      </w:r>
    </w:p>
    <w:p w14:paraId="5FFF1D24" w14:textId="7D6C9B1B" w:rsidR="00FC526D" w:rsidRPr="0079384F" w:rsidRDefault="00871B82" w:rsidP="00A94A1C">
      <w:pPr>
        <w:pStyle w:val="Brdtekst"/>
        <w:ind w:firstLine="0"/>
        <w:rPr>
          <w:lang w:val="en-US"/>
        </w:rPr>
      </w:pPr>
      <w:r w:rsidRPr="0079384F">
        <w:rPr>
          <w:lang w:val="en-US"/>
        </w:rPr>
        <w:tab/>
      </w:r>
      <w:r w:rsidR="00FA4E80" w:rsidRPr="0079384F">
        <w:rPr>
          <w:lang w:val="en-US"/>
        </w:rPr>
        <w:t>The pursuit of nuclear power in the 70</w:t>
      </w:r>
      <w:r w:rsidR="00613DC2" w:rsidRPr="0079384F">
        <w:rPr>
          <w:lang w:val="en-US"/>
        </w:rPr>
        <w:t>s</w:t>
      </w:r>
      <w:r w:rsidR="00FA4E80" w:rsidRPr="0079384F">
        <w:rPr>
          <w:lang w:val="en-US"/>
        </w:rPr>
        <w:t xml:space="preserve"> di</w:t>
      </w:r>
      <w:r w:rsidR="000734E7" w:rsidRPr="0079384F">
        <w:rPr>
          <w:lang w:val="en-US"/>
        </w:rPr>
        <w:t>d</w:t>
      </w:r>
      <w:r w:rsidR="00D56D2D" w:rsidRPr="0079384F">
        <w:rPr>
          <w:lang w:val="en-US"/>
        </w:rPr>
        <w:t>,</w:t>
      </w:r>
      <w:r w:rsidR="00613DC2" w:rsidRPr="0079384F">
        <w:rPr>
          <w:lang w:val="en-US"/>
        </w:rPr>
        <w:t xml:space="preserve"> however,</w:t>
      </w:r>
      <w:r w:rsidR="000734E7" w:rsidRPr="0079384F">
        <w:rPr>
          <w:lang w:val="en-US"/>
        </w:rPr>
        <w:t xml:space="preserve"> </w:t>
      </w:r>
      <w:r w:rsidR="00D34ABD" w:rsidRPr="0079384F">
        <w:rPr>
          <w:lang w:val="en-US"/>
        </w:rPr>
        <w:t>largely prepare Norway</w:t>
      </w:r>
      <w:r w:rsidR="000734E7" w:rsidRPr="0079384F">
        <w:rPr>
          <w:lang w:val="en-US"/>
        </w:rPr>
        <w:t xml:space="preserve"> </w:t>
      </w:r>
      <w:r w:rsidR="00D34ABD" w:rsidRPr="0079384F">
        <w:rPr>
          <w:lang w:val="en-US"/>
        </w:rPr>
        <w:t>to</w:t>
      </w:r>
      <w:r w:rsidR="001207AC" w:rsidRPr="0079384F">
        <w:rPr>
          <w:lang w:val="en-US"/>
        </w:rPr>
        <w:t xml:space="preserve"> embark on</w:t>
      </w:r>
      <w:r w:rsidR="000734E7" w:rsidRPr="0079384F">
        <w:rPr>
          <w:lang w:val="en-US"/>
        </w:rPr>
        <w:t xml:space="preserve"> such </w:t>
      </w:r>
      <w:r w:rsidR="001207AC" w:rsidRPr="0079384F">
        <w:rPr>
          <w:lang w:val="en-US"/>
        </w:rPr>
        <w:t>endeavors</w:t>
      </w:r>
      <w:r w:rsidR="000734E7" w:rsidRPr="0079384F">
        <w:rPr>
          <w:lang w:val="en-US"/>
        </w:rPr>
        <w:t xml:space="preserve"> </w:t>
      </w:r>
      <w:r w:rsidR="00D56D2D" w:rsidRPr="0079384F">
        <w:rPr>
          <w:lang w:val="en-US"/>
        </w:rPr>
        <w:t>in the future</w:t>
      </w:r>
      <w:r w:rsidR="000734E7" w:rsidRPr="0079384F">
        <w:rPr>
          <w:lang w:val="en-US"/>
        </w:rPr>
        <w:t>. Norway has also established a</w:t>
      </w:r>
      <w:r w:rsidR="001949FA" w:rsidRPr="0079384F">
        <w:rPr>
          <w:lang w:val="en-US"/>
        </w:rPr>
        <w:t>n independent</w:t>
      </w:r>
      <w:r w:rsidR="000734E7" w:rsidRPr="0079384F">
        <w:rPr>
          <w:lang w:val="en-US"/>
        </w:rPr>
        <w:t xml:space="preserve"> nuclear regul</w:t>
      </w:r>
      <w:r w:rsidR="00FC23D1" w:rsidRPr="0079384F">
        <w:rPr>
          <w:lang w:val="en-US"/>
        </w:rPr>
        <w:t>ator,</w:t>
      </w:r>
      <w:r w:rsidR="001949FA" w:rsidRPr="0079384F">
        <w:rPr>
          <w:lang w:val="en-US"/>
        </w:rPr>
        <w:t xml:space="preserve"> the Norwegian Radiation and Nuclear Safety Authority (DSA), </w:t>
      </w:r>
      <w:r w:rsidR="00476585" w:rsidRPr="0079384F">
        <w:rPr>
          <w:lang w:val="en-US"/>
        </w:rPr>
        <w:t xml:space="preserve">and Norway </w:t>
      </w:r>
      <w:r w:rsidR="00A21B36" w:rsidRPr="0079384F">
        <w:rPr>
          <w:lang w:val="en-US"/>
        </w:rPr>
        <w:t xml:space="preserve">is </w:t>
      </w:r>
      <w:r w:rsidR="003F3DE4" w:rsidRPr="0079384F">
        <w:rPr>
          <w:lang w:val="en-US"/>
        </w:rPr>
        <w:t xml:space="preserve">party to several international </w:t>
      </w:r>
      <w:r w:rsidR="002D1E60" w:rsidRPr="0079384F">
        <w:rPr>
          <w:lang w:val="en-US"/>
        </w:rPr>
        <w:t>conventions related to nuclear safety</w:t>
      </w:r>
      <w:r w:rsidR="00557A92" w:rsidRPr="0079384F">
        <w:rPr>
          <w:lang w:val="en-US"/>
        </w:rPr>
        <w:t>, spent fuel management</w:t>
      </w:r>
      <w:r w:rsidR="005E566B" w:rsidRPr="0079384F">
        <w:rPr>
          <w:lang w:val="en-US"/>
        </w:rPr>
        <w:t xml:space="preserve">, </w:t>
      </w:r>
      <w:r w:rsidR="00A9094F" w:rsidRPr="0079384F">
        <w:rPr>
          <w:lang w:val="en-US"/>
        </w:rPr>
        <w:t>waste management</w:t>
      </w:r>
      <w:r w:rsidR="00327E0B" w:rsidRPr="0079384F">
        <w:rPr>
          <w:lang w:val="en-US"/>
        </w:rPr>
        <w:t xml:space="preserve">, and early </w:t>
      </w:r>
      <w:r w:rsidR="00CF7095" w:rsidRPr="0079384F">
        <w:rPr>
          <w:lang w:val="en-US"/>
        </w:rPr>
        <w:t>notification</w:t>
      </w:r>
      <w:r w:rsidR="00D56D2D" w:rsidRPr="0079384F">
        <w:rPr>
          <w:lang w:val="en-US"/>
        </w:rPr>
        <w:t>.</w:t>
      </w:r>
      <w:r w:rsidR="00292FD7" w:rsidRPr="0079384F">
        <w:rPr>
          <w:lang w:val="en-US"/>
        </w:rPr>
        <w:t xml:space="preserve"> </w:t>
      </w:r>
      <w:r w:rsidR="00136331" w:rsidRPr="0079384F">
        <w:rPr>
          <w:lang w:val="en-US"/>
        </w:rPr>
        <w:t>Several</w:t>
      </w:r>
      <w:r w:rsidR="00292FD7" w:rsidRPr="0079384F">
        <w:rPr>
          <w:lang w:val="en-US"/>
        </w:rPr>
        <w:t xml:space="preserve"> educational programs </w:t>
      </w:r>
      <w:r w:rsidR="00C97BD0" w:rsidRPr="0079384F">
        <w:rPr>
          <w:lang w:val="en-US"/>
        </w:rPr>
        <w:t>directed towards the nuclear sphere has been established,</w:t>
      </w:r>
      <w:r w:rsidR="00CF7095" w:rsidRPr="0079384F">
        <w:rPr>
          <w:lang w:val="en-US"/>
        </w:rPr>
        <w:t xml:space="preserve"> </w:t>
      </w:r>
      <w:r w:rsidR="005835B6" w:rsidRPr="0079384F">
        <w:rPr>
          <w:lang w:val="en-US"/>
        </w:rPr>
        <w:t xml:space="preserve">and the </w:t>
      </w:r>
      <w:r w:rsidR="00CC7234" w:rsidRPr="0079384F">
        <w:rPr>
          <w:lang w:val="en-US"/>
        </w:rPr>
        <w:t xml:space="preserve">Atomic Energy Act is supported by a number of </w:t>
      </w:r>
      <w:r w:rsidR="00A221FD" w:rsidRPr="0079384F">
        <w:rPr>
          <w:lang w:val="en-US"/>
        </w:rPr>
        <w:t xml:space="preserve">acts, </w:t>
      </w:r>
      <w:r w:rsidR="008D235A" w:rsidRPr="0079384F">
        <w:rPr>
          <w:lang w:val="en-US"/>
        </w:rPr>
        <w:t>regulations an</w:t>
      </w:r>
      <w:r w:rsidR="00ED2BE8" w:rsidRPr="0079384F">
        <w:rPr>
          <w:lang w:val="en-US"/>
        </w:rPr>
        <w:t xml:space="preserve">d </w:t>
      </w:r>
      <w:r w:rsidR="00A221FD" w:rsidRPr="0079384F">
        <w:rPr>
          <w:lang w:val="en-US"/>
        </w:rPr>
        <w:t>guidelines</w:t>
      </w:r>
      <w:r w:rsidR="00ED2BE8" w:rsidRPr="0079384F">
        <w:rPr>
          <w:lang w:val="en-US"/>
        </w:rPr>
        <w:t>, which</w:t>
      </w:r>
      <w:r w:rsidR="00AB4609" w:rsidRPr="0079384F">
        <w:rPr>
          <w:lang w:val="en-US"/>
        </w:rPr>
        <w:t xml:space="preserve"> combined sets out a clear path to safely and securely plan</w:t>
      </w:r>
      <w:r w:rsidR="004B67AB" w:rsidRPr="0079384F">
        <w:rPr>
          <w:lang w:val="en-US"/>
        </w:rPr>
        <w:t xml:space="preserve">, license, construct and operate nuclear power plants, as well as </w:t>
      </w:r>
      <w:r w:rsidR="00CD3451" w:rsidRPr="0079384F">
        <w:rPr>
          <w:lang w:val="en-US"/>
        </w:rPr>
        <w:t xml:space="preserve">appointing </w:t>
      </w:r>
      <w:r w:rsidR="006F6642" w:rsidRPr="0079384F">
        <w:rPr>
          <w:lang w:val="en-US"/>
        </w:rPr>
        <w:t>the various responsible authorities</w:t>
      </w:r>
      <w:r w:rsidR="009C3AE2" w:rsidRPr="0079384F">
        <w:rPr>
          <w:lang w:val="en-US"/>
        </w:rPr>
        <w:t xml:space="preserve"> for </w:t>
      </w:r>
      <w:r w:rsidR="0059482D" w:rsidRPr="0079384F">
        <w:rPr>
          <w:lang w:val="en-US"/>
        </w:rPr>
        <w:t xml:space="preserve">overseeing </w:t>
      </w:r>
      <w:r w:rsidR="009C3AE2" w:rsidRPr="0079384F">
        <w:rPr>
          <w:lang w:val="en-US"/>
        </w:rPr>
        <w:t xml:space="preserve">these activities. </w:t>
      </w:r>
    </w:p>
    <w:p w14:paraId="315E4936" w14:textId="7FA32EF4" w:rsidR="00871B82" w:rsidRPr="0079384F" w:rsidRDefault="000115C2" w:rsidP="00FC526D">
      <w:pPr>
        <w:pStyle w:val="Brdtekst"/>
        <w:rPr>
          <w:lang w:val="en-US"/>
        </w:rPr>
      </w:pPr>
      <w:r w:rsidRPr="0079384F">
        <w:rPr>
          <w:lang w:val="en-US"/>
        </w:rPr>
        <w:t>Altogether, the existing</w:t>
      </w:r>
      <w:r w:rsidR="00D56D2D" w:rsidRPr="0079384F">
        <w:rPr>
          <w:lang w:val="en-US"/>
        </w:rPr>
        <w:t>,</w:t>
      </w:r>
      <w:r w:rsidRPr="0079384F">
        <w:rPr>
          <w:lang w:val="en-US"/>
        </w:rPr>
        <w:t xml:space="preserve"> well established </w:t>
      </w:r>
      <w:r w:rsidR="00FC526D" w:rsidRPr="0079384F">
        <w:rPr>
          <w:lang w:val="en-US"/>
        </w:rPr>
        <w:t xml:space="preserve">nuclear </w:t>
      </w:r>
      <w:r w:rsidRPr="0079384F">
        <w:rPr>
          <w:lang w:val="en-US"/>
        </w:rPr>
        <w:t xml:space="preserve">infrastructure and </w:t>
      </w:r>
      <w:r w:rsidR="005D42D1" w:rsidRPr="0079384F">
        <w:rPr>
          <w:lang w:val="en-US"/>
        </w:rPr>
        <w:t>long history in the field of nuclear technology, along with</w:t>
      </w:r>
      <w:r w:rsidR="00FC526D" w:rsidRPr="0079384F">
        <w:rPr>
          <w:lang w:val="en-US"/>
        </w:rPr>
        <w:t xml:space="preserve"> high availability of </w:t>
      </w:r>
      <w:r w:rsidR="00CB18C9" w:rsidRPr="0079384F">
        <w:rPr>
          <w:lang w:val="en-US"/>
        </w:rPr>
        <w:t xml:space="preserve">private and public </w:t>
      </w:r>
      <w:r w:rsidR="00FC526D" w:rsidRPr="0079384F">
        <w:rPr>
          <w:lang w:val="en-US"/>
        </w:rPr>
        <w:t xml:space="preserve">capital, much </w:t>
      </w:r>
      <w:r w:rsidR="00D56D2D" w:rsidRPr="0079384F">
        <w:rPr>
          <w:lang w:val="en-US"/>
        </w:rPr>
        <w:t xml:space="preserve">thanks </w:t>
      </w:r>
      <w:r w:rsidR="00FC526D" w:rsidRPr="0079384F">
        <w:rPr>
          <w:lang w:val="en-US"/>
        </w:rPr>
        <w:t>to the O&amp;G industry</w:t>
      </w:r>
      <w:r w:rsidR="00CB18C9" w:rsidRPr="0079384F">
        <w:rPr>
          <w:lang w:val="en-US"/>
        </w:rPr>
        <w:t xml:space="preserve">, Norway is well situated </w:t>
      </w:r>
      <w:r w:rsidR="00BC3C16" w:rsidRPr="0079384F">
        <w:rPr>
          <w:lang w:val="en-US"/>
        </w:rPr>
        <w:t>to embark on nuclear power.</w:t>
      </w:r>
    </w:p>
    <w:p w14:paraId="3A9D40E4" w14:textId="000B20ED" w:rsidR="00E95A52" w:rsidRPr="0079384F" w:rsidRDefault="00E95A52" w:rsidP="008117E5">
      <w:pPr>
        <w:pStyle w:val="Overskrift2"/>
        <w:rPr>
          <w:lang w:val="en-US"/>
        </w:rPr>
      </w:pPr>
      <w:r w:rsidRPr="0079384F">
        <w:rPr>
          <w:lang w:val="en-US"/>
        </w:rPr>
        <w:t>The renewed interest for Norwegian nuclear power</w:t>
      </w:r>
    </w:p>
    <w:p w14:paraId="170C4950" w14:textId="471AF455" w:rsidR="00E95A52" w:rsidRPr="0079384F" w:rsidRDefault="00712556" w:rsidP="00A94A1C">
      <w:pPr>
        <w:pStyle w:val="Brdtekst"/>
        <w:ind w:firstLine="0"/>
        <w:rPr>
          <w:lang w:val="en-US"/>
        </w:rPr>
      </w:pPr>
      <w:r w:rsidRPr="0079384F">
        <w:rPr>
          <w:b/>
          <w:bCs/>
          <w:lang w:val="en-US"/>
        </w:rPr>
        <w:tab/>
      </w:r>
      <w:r w:rsidR="004468DA" w:rsidRPr="0079384F">
        <w:rPr>
          <w:lang w:val="en-US"/>
        </w:rPr>
        <w:t>As is the case in many other countries, Norway</w:t>
      </w:r>
      <w:r w:rsidR="00451E81" w:rsidRPr="0079384F">
        <w:rPr>
          <w:lang w:val="en-US"/>
        </w:rPr>
        <w:t xml:space="preserve"> anticipates a significant increase in </w:t>
      </w:r>
      <w:r w:rsidR="00947DB2" w:rsidRPr="0079384F">
        <w:rPr>
          <w:lang w:val="en-US"/>
        </w:rPr>
        <w:t xml:space="preserve">clean </w:t>
      </w:r>
      <w:r w:rsidR="00451E81" w:rsidRPr="0079384F">
        <w:rPr>
          <w:lang w:val="en-US"/>
        </w:rPr>
        <w:t>energy demand due to the need to cut greenhouse gas (GHG) emissions</w:t>
      </w:r>
      <w:r w:rsidR="00947DB2" w:rsidRPr="0079384F">
        <w:rPr>
          <w:lang w:val="en-US"/>
        </w:rPr>
        <w:t>, an expected population growth</w:t>
      </w:r>
      <w:r w:rsidR="004D024F" w:rsidRPr="0079384F">
        <w:rPr>
          <w:lang w:val="en-US"/>
        </w:rPr>
        <w:t>, and expanding existing- and developing new industries.</w:t>
      </w:r>
      <w:r w:rsidR="00D957EB" w:rsidRPr="0079384F">
        <w:rPr>
          <w:lang w:val="en-US"/>
        </w:rPr>
        <w:t xml:space="preserve"> By 2050, several </w:t>
      </w:r>
      <w:r w:rsidR="00D56D2D" w:rsidRPr="0079384F">
        <w:rPr>
          <w:lang w:val="en-US"/>
        </w:rPr>
        <w:t>hundred</w:t>
      </w:r>
      <w:r w:rsidR="00D957EB" w:rsidRPr="0079384F">
        <w:rPr>
          <w:lang w:val="en-US"/>
        </w:rPr>
        <w:t xml:space="preserve"> </w:t>
      </w:r>
      <w:r w:rsidR="0086418A" w:rsidRPr="0079384F">
        <w:rPr>
          <w:lang w:val="en-US"/>
        </w:rPr>
        <w:t xml:space="preserve">new TWh’s of clean energy production is stipulated. </w:t>
      </w:r>
      <w:r w:rsidR="004802D5" w:rsidRPr="0079384F">
        <w:rPr>
          <w:lang w:val="en-US"/>
        </w:rPr>
        <w:t xml:space="preserve">In recent years, the possibility of establishing nuclear power has been discussed </w:t>
      </w:r>
      <w:r w:rsidR="00094271" w:rsidRPr="0079384F">
        <w:rPr>
          <w:lang w:val="en-US"/>
        </w:rPr>
        <w:t xml:space="preserve">to an increasing extent in the national discourse, where both challenges and advantages have been </w:t>
      </w:r>
      <w:r w:rsidR="00287E58" w:rsidRPr="0079384F">
        <w:rPr>
          <w:lang w:val="en-US"/>
        </w:rPr>
        <w:t>highlighted. As the topic has increasingly been discussed</w:t>
      </w:r>
      <w:r w:rsidR="00F40CB0" w:rsidRPr="0079384F">
        <w:rPr>
          <w:lang w:val="en-US"/>
        </w:rPr>
        <w:t xml:space="preserve"> by NGOs, politicians and other public figures, as well as industrial entities</w:t>
      </w:r>
      <w:r w:rsidR="00287E58" w:rsidRPr="0079384F">
        <w:rPr>
          <w:lang w:val="en-US"/>
        </w:rPr>
        <w:t xml:space="preserve">, the popularity has also grown significantly from being the most unpopular energy source in 2017 to now being the most </w:t>
      </w:r>
      <w:r w:rsidR="003C02F1" w:rsidRPr="0079384F">
        <w:rPr>
          <w:lang w:val="en-US"/>
        </w:rPr>
        <w:t>popular energy source, even more popular than hydropower</w:t>
      </w:r>
      <w:r w:rsidR="00EE12C8" w:rsidRPr="0079384F">
        <w:rPr>
          <w:lang w:val="en-US"/>
        </w:rPr>
        <w:t>, and far exceeding the popularity of wind and solar power, according to recent polls</w:t>
      </w:r>
      <w:r w:rsidR="00D55D78" w:rsidRPr="0079384F">
        <w:rPr>
          <w:lang w:val="en-US"/>
        </w:rPr>
        <w:t xml:space="preserve"> [</w:t>
      </w:r>
      <w:r w:rsidR="00B76070" w:rsidRPr="0079384F">
        <w:rPr>
          <w:lang w:val="en-US"/>
        </w:rPr>
        <w:t>4</w:t>
      </w:r>
      <w:r w:rsidR="00D55D78" w:rsidRPr="0079384F">
        <w:rPr>
          <w:lang w:val="en-US"/>
        </w:rPr>
        <w:t>]</w:t>
      </w:r>
      <w:r w:rsidR="00EE12C8" w:rsidRPr="0079384F">
        <w:rPr>
          <w:lang w:val="en-US"/>
        </w:rPr>
        <w:t xml:space="preserve">. </w:t>
      </w:r>
      <w:r w:rsidR="00E40D2D" w:rsidRPr="0079384F">
        <w:rPr>
          <w:lang w:val="en-US"/>
        </w:rPr>
        <w:t>The Russian aggression towards Ukraine</w:t>
      </w:r>
      <w:r w:rsidR="00327DD8" w:rsidRPr="0079384F">
        <w:rPr>
          <w:lang w:val="en-US"/>
        </w:rPr>
        <w:t xml:space="preserve"> and associated</w:t>
      </w:r>
      <w:r w:rsidR="00AC4C50" w:rsidRPr="0079384F">
        <w:rPr>
          <w:lang w:val="en-US"/>
        </w:rPr>
        <w:t xml:space="preserve"> increasing power prices,</w:t>
      </w:r>
      <w:r w:rsidR="00E40D2D" w:rsidRPr="0079384F">
        <w:rPr>
          <w:lang w:val="en-US"/>
        </w:rPr>
        <w:t xml:space="preserve"> also highlighted the need for security of power supply</w:t>
      </w:r>
      <w:r w:rsidR="00AC4C50" w:rsidRPr="0079384F">
        <w:rPr>
          <w:lang w:val="en-US"/>
        </w:rPr>
        <w:t>, possibly increasing the positive public perception o</w:t>
      </w:r>
      <w:r w:rsidR="00365D43" w:rsidRPr="0079384F">
        <w:rPr>
          <w:lang w:val="en-US"/>
        </w:rPr>
        <w:t>f</w:t>
      </w:r>
      <w:r w:rsidR="00AC4C50" w:rsidRPr="0079384F">
        <w:rPr>
          <w:lang w:val="en-US"/>
        </w:rPr>
        <w:t xml:space="preserve"> nuclear power</w:t>
      </w:r>
      <w:r w:rsidR="00157D37" w:rsidRPr="0079384F">
        <w:rPr>
          <w:lang w:val="en-US"/>
        </w:rPr>
        <w:t xml:space="preserve"> additionally</w:t>
      </w:r>
      <w:r w:rsidR="00AC4C50" w:rsidRPr="0079384F">
        <w:rPr>
          <w:lang w:val="en-US"/>
        </w:rPr>
        <w:t>.</w:t>
      </w:r>
    </w:p>
    <w:p w14:paraId="24C85AE3" w14:textId="59C128CB" w:rsidR="0059482D" w:rsidRPr="0079384F" w:rsidRDefault="0059482D" w:rsidP="00A94A1C">
      <w:pPr>
        <w:pStyle w:val="Brdtekst"/>
        <w:ind w:firstLine="0"/>
        <w:rPr>
          <w:lang w:val="en-US"/>
        </w:rPr>
      </w:pPr>
      <w:r w:rsidRPr="0079384F">
        <w:rPr>
          <w:lang w:val="en-US"/>
        </w:rPr>
        <w:tab/>
      </w:r>
      <w:r w:rsidR="00327DD8" w:rsidRPr="0079384F">
        <w:rPr>
          <w:lang w:val="en-US"/>
        </w:rPr>
        <w:t>A</w:t>
      </w:r>
      <w:r w:rsidR="00476496" w:rsidRPr="0079384F">
        <w:rPr>
          <w:lang w:val="en-US"/>
        </w:rPr>
        <w:t xml:space="preserve">fter decades of </w:t>
      </w:r>
      <w:r w:rsidR="00411B62" w:rsidRPr="0079384F">
        <w:rPr>
          <w:lang w:val="en-US"/>
        </w:rPr>
        <w:t>marginal</w:t>
      </w:r>
      <w:r w:rsidR="00476496" w:rsidRPr="0079384F">
        <w:rPr>
          <w:lang w:val="en-US"/>
        </w:rPr>
        <w:t xml:space="preserve"> top-level political interest, </w:t>
      </w:r>
      <w:r w:rsidR="00A030CA" w:rsidRPr="0079384F">
        <w:rPr>
          <w:lang w:val="en-US"/>
        </w:rPr>
        <w:t>almost all parties in the Norwegian Parliament</w:t>
      </w:r>
      <w:r w:rsidR="00E40A5C" w:rsidRPr="0079384F">
        <w:rPr>
          <w:lang w:val="en-US"/>
        </w:rPr>
        <w:t xml:space="preserve">, have implemented positive policies or provided </w:t>
      </w:r>
      <w:r w:rsidR="000C34C1" w:rsidRPr="0079384F">
        <w:rPr>
          <w:lang w:val="en-US"/>
        </w:rPr>
        <w:t>Parliamentary proposals in favor of nuclear power in Norway</w:t>
      </w:r>
      <w:r w:rsidR="00BA5B9D" w:rsidRPr="0079384F">
        <w:rPr>
          <w:lang w:val="en-US"/>
        </w:rPr>
        <w:t xml:space="preserve">, and the </w:t>
      </w:r>
      <w:r w:rsidR="000C34C1" w:rsidRPr="0079384F">
        <w:rPr>
          <w:lang w:val="en-US"/>
        </w:rPr>
        <w:t>Norwegian government</w:t>
      </w:r>
      <w:r w:rsidR="00796DD6" w:rsidRPr="0079384F">
        <w:rPr>
          <w:lang w:val="en-US"/>
        </w:rPr>
        <w:t xml:space="preserve"> decided </w:t>
      </w:r>
      <w:r w:rsidR="002C5B74" w:rsidRPr="0079384F">
        <w:rPr>
          <w:lang w:val="en-US"/>
        </w:rPr>
        <w:t xml:space="preserve">in May 2024 </w:t>
      </w:r>
      <w:r w:rsidR="00796DD6" w:rsidRPr="0079384F">
        <w:rPr>
          <w:lang w:val="en-US"/>
        </w:rPr>
        <w:t xml:space="preserve">to conduct an NOU, an </w:t>
      </w:r>
      <w:r w:rsidR="001D5BAC" w:rsidRPr="0079384F">
        <w:rPr>
          <w:lang w:val="en-US"/>
        </w:rPr>
        <w:t xml:space="preserve">official </w:t>
      </w:r>
      <w:r w:rsidR="00796DD6" w:rsidRPr="0079384F">
        <w:rPr>
          <w:lang w:val="en-US"/>
        </w:rPr>
        <w:t>assessment</w:t>
      </w:r>
      <w:r w:rsidR="007D37A4">
        <w:rPr>
          <w:lang w:val="en-US"/>
        </w:rPr>
        <w:t>,</w:t>
      </w:r>
      <w:r w:rsidR="00796DD6" w:rsidRPr="0079384F">
        <w:rPr>
          <w:lang w:val="en-US"/>
        </w:rPr>
        <w:t xml:space="preserve"> </w:t>
      </w:r>
      <w:r w:rsidR="001D5BAC" w:rsidRPr="0079384F">
        <w:rPr>
          <w:lang w:val="en-US"/>
        </w:rPr>
        <w:t xml:space="preserve">to </w:t>
      </w:r>
      <w:r w:rsidR="001702CD" w:rsidRPr="0079384F">
        <w:rPr>
          <w:lang w:val="en-US"/>
        </w:rPr>
        <w:t>consider</w:t>
      </w:r>
      <w:r w:rsidR="001D5BAC" w:rsidRPr="0079384F">
        <w:rPr>
          <w:lang w:val="en-US"/>
        </w:rPr>
        <w:t xml:space="preserve"> </w:t>
      </w:r>
      <w:r w:rsidR="00796DD6" w:rsidRPr="0079384F">
        <w:rPr>
          <w:lang w:val="en-US"/>
        </w:rPr>
        <w:t xml:space="preserve">the </w:t>
      </w:r>
      <w:r w:rsidR="001702CD" w:rsidRPr="0079384F">
        <w:rPr>
          <w:lang w:val="en-US"/>
        </w:rPr>
        <w:t xml:space="preserve">potential </w:t>
      </w:r>
      <w:r w:rsidR="00796DD6" w:rsidRPr="0079384F">
        <w:rPr>
          <w:lang w:val="en-US"/>
        </w:rPr>
        <w:t>implementation of nuclear power in Norway</w:t>
      </w:r>
      <w:r w:rsidR="00BA5B9D" w:rsidRPr="0079384F">
        <w:rPr>
          <w:lang w:val="en-US"/>
        </w:rPr>
        <w:t xml:space="preserve">. </w:t>
      </w:r>
    </w:p>
    <w:p w14:paraId="489B02E4" w14:textId="772C13A2" w:rsidR="005F4C81" w:rsidRPr="0079384F" w:rsidRDefault="005F4C81" w:rsidP="00A94A1C">
      <w:pPr>
        <w:pStyle w:val="Brdtekst"/>
        <w:ind w:firstLine="0"/>
        <w:rPr>
          <w:lang w:val="en-US"/>
        </w:rPr>
      </w:pPr>
      <w:r w:rsidRPr="0079384F">
        <w:rPr>
          <w:lang w:val="en-US"/>
        </w:rPr>
        <w:tab/>
        <w:t xml:space="preserve">Many municipalities have also </w:t>
      </w:r>
      <w:r w:rsidR="00C443E3" w:rsidRPr="0079384F">
        <w:rPr>
          <w:lang w:val="en-US"/>
        </w:rPr>
        <w:t>implemented positive decisions to be a potential future host of nuclear power plants</w:t>
      </w:r>
      <w:r w:rsidR="00A80000" w:rsidRPr="0079384F">
        <w:rPr>
          <w:lang w:val="en-US"/>
        </w:rPr>
        <w:t>, and</w:t>
      </w:r>
      <w:r w:rsidR="00EA259A" w:rsidRPr="0079384F">
        <w:rPr>
          <w:lang w:val="en-US"/>
        </w:rPr>
        <w:t xml:space="preserve"> over</w:t>
      </w:r>
      <w:r w:rsidR="00A80000" w:rsidRPr="0079384F">
        <w:rPr>
          <w:lang w:val="en-US"/>
        </w:rPr>
        <w:t xml:space="preserve"> 40 municipalities and counties have </w:t>
      </w:r>
      <w:r w:rsidR="006E04E1" w:rsidRPr="0079384F">
        <w:rPr>
          <w:lang w:val="en-US"/>
        </w:rPr>
        <w:t xml:space="preserve">recently </w:t>
      </w:r>
      <w:r w:rsidR="00575A70" w:rsidRPr="0079384F">
        <w:rPr>
          <w:lang w:val="en-US"/>
        </w:rPr>
        <w:t xml:space="preserve">formed the </w:t>
      </w:r>
      <w:r w:rsidR="00327DD8" w:rsidRPr="0079384F">
        <w:rPr>
          <w:lang w:val="en-US"/>
        </w:rPr>
        <w:t xml:space="preserve">organization </w:t>
      </w:r>
      <w:r w:rsidR="00575A70" w:rsidRPr="0079384F">
        <w:rPr>
          <w:lang w:val="en-US"/>
        </w:rPr>
        <w:t>“Norwegian Nuclear Municipalities”</w:t>
      </w:r>
      <w:r w:rsidR="0090151F" w:rsidRPr="0079384F">
        <w:rPr>
          <w:lang w:val="en-US"/>
        </w:rPr>
        <w:t xml:space="preserve"> to increase awareness and knowledge about the energy source and lobby for their mutual interest </w:t>
      </w:r>
      <w:r w:rsidR="0090151F" w:rsidRPr="0079384F">
        <w:rPr>
          <w:lang w:val="en-US"/>
        </w:rPr>
        <w:lastRenderedPageBreak/>
        <w:t xml:space="preserve">towards the government. </w:t>
      </w:r>
      <w:r w:rsidR="00E7203B" w:rsidRPr="0079384F">
        <w:rPr>
          <w:lang w:val="en-US"/>
        </w:rPr>
        <w:t xml:space="preserve">Other organizations, such as the Norwegian Nuclear Association and the NGO </w:t>
      </w:r>
      <w:r w:rsidR="00DA772D" w:rsidRPr="0079384F">
        <w:rPr>
          <w:lang w:val="en-US"/>
        </w:rPr>
        <w:t>“Climate Friends for Nuclear” has also been established partly or fully in response to the need for</w:t>
      </w:r>
      <w:r w:rsidR="00113C73" w:rsidRPr="0079384F">
        <w:rPr>
          <w:lang w:val="en-US"/>
        </w:rPr>
        <w:t xml:space="preserve"> nuclear power</w:t>
      </w:r>
      <w:r w:rsidR="004A077E" w:rsidRPr="0079384F">
        <w:rPr>
          <w:lang w:val="en-US"/>
        </w:rPr>
        <w:t xml:space="preserve"> to address climate concerns and </w:t>
      </w:r>
      <w:r w:rsidR="00342696" w:rsidRPr="0079384F">
        <w:rPr>
          <w:lang w:val="en-US"/>
        </w:rPr>
        <w:t>foster sustainable growth</w:t>
      </w:r>
      <w:r w:rsidR="00113C73" w:rsidRPr="0079384F">
        <w:rPr>
          <w:lang w:val="en-US"/>
        </w:rPr>
        <w:t xml:space="preserve">. </w:t>
      </w:r>
    </w:p>
    <w:p w14:paraId="7783988B" w14:textId="2969A302" w:rsidR="005C68A4" w:rsidRPr="0079384F" w:rsidRDefault="00113C73" w:rsidP="00210D37">
      <w:pPr>
        <w:pStyle w:val="Brdtekst"/>
        <w:ind w:firstLine="0"/>
        <w:rPr>
          <w:lang w:val="en-US"/>
        </w:rPr>
      </w:pPr>
      <w:r w:rsidRPr="0079384F">
        <w:rPr>
          <w:lang w:val="en-US"/>
        </w:rPr>
        <w:tab/>
      </w:r>
      <w:r w:rsidR="00B852C3" w:rsidRPr="0079384F">
        <w:rPr>
          <w:lang w:val="en-US"/>
        </w:rPr>
        <w:t xml:space="preserve">As for </w:t>
      </w:r>
      <w:r w:rsidR="00B235D8" w:rsidRPr="0079384F">
        <w:rPr>
          <w:lang w:val="en-US"/>
        </w:rPr>
        <w:t>interest from the private sphere, i</w:t>
      </w:r>
      <w:r w:rsidR="004B4A85" w:rsidRPr="0079384F">
        <w:rPr>
          <w:lang w:val="en-US"/>
        </w:rPr>
        <w:t xml:space="preserve">n 2022, the company </w:t>
      </w:r>
      <w:r w:rsidR="004B4A85" w:rsidRPr="0079384F">
        <w:rPr>
          <w:i/>
          <w:iCs/>
          <w:lang w:val="en-US"/>
        </w:rPr>
        <w:t>Norsk Kjernekraft</w:t>
      </w:r>
      <w:r w:rsidR="004B4A85" w:rsidRPr="0079384F">
        <w:rPr>
          <w:lang w:val="en-US"/>
        </w:rPr>
        <w:t xml:space="preserve"> (NK, English: Norwegian Nuclear</w:t>
      </w:r>
      <w:r w:rsidR="00327DD8" w:rsidRPr="0079384F">
        <w:rPr>
          <w:lang w:val="en-US"/>
        </w:rPr>
        <w:t xml:space="preserve"> Power</w:t>
      </w:r>
      <w:r w:rsidR="004B4A85" w:rsidRPr="0079384F">
        <w:rPr>
          <w:lang w:val="en-US"/>
        </w:rPr>
        <w:t>)</w:t>
      </w:r>
      <w:r w:rsidR="000B21C9" w:rsidRPr="0079384F">
        <w:rPr>
          <w:lang w:val="en-US"/>
        </w:rPr>
        <w:t xml:space="preserve"> was established by several </w:t>
      </w:r>
      <w:r w:rsidR="00DB67FC" w:rsidRPr="0079384F">
        <w:rPr>
          <w:lang w:val="en-US"/>
        </w:rPr>
        <w:t>high-net-worth</w:t>
      </w:r>
      <w:r w:rsidR="000B21C9" w:rsidRPr="0079384F">
        <w:rPr>
          <w:lang w:val="en-US"/>
        </w:rPr>
        <w:t xml:space="preserve"> individuals with backgrounds in a multitude of industries, </w:t>
      </w:r>
      <w:r w:rsidR="00E905BD" w:rsidRPr="0079384F">
        <w:rPr>
          <w:lang w:val="en-US"/>
        </w:rPr>
        <w:t>among these the O&amp;G industry, to</w:t>
      </w:r>
      <w:r w:rsidR="000C3949" w:rsidRPr="0079384F">
        <w:rPr>
          <w:lang w:val="en-US"/>
        </w:rPr>
        <w:t xml:space="preserve"> implement SMR</w:t>
      </w:r>
      <w:r w:rsidR="009E5233" w:rsidRPr="0079384F">
        <w:rPr>
          <w:lang w:val="en-US"/>
        </w:rPr>
        <w:t>-NPP</w:t>
      </w:r>
      <w:r w:rsidR="000C3949" w:rsidRPr="0079384F">
        <w:rPr>
          <w:lang w:val="en-US"/>
        </w:rPr>
        <w:t xml:space="preserve">s into the Norwegian energy mix </w:t>
      </w:r>
      <w:r w:rsidR="00AF2E76" w:rsidRPr="0079384F">
        <w:rPr>
          <w:lang w:val="en-US"/>
        </w:rPr>
        <w:t xml:space="preserve">from the 2030s and onwards. The company aims to be </w:t>
      </w:r>
      <w:r w:rsidR="00D87387" w:rsidRPr="0079384F">
        <w:rPr>
          <w:lang w:val="en-US"/>
        </w:rPr>
        <w:t>operator of these SMRs</w:t>
      </w:r>
      <w:r w:rsidR="0085428F" w:rsidRPr="0079384F">
        <w:rPr>
          <w:lang w:val="en-US"/>
        </w:rPr>
        <w:t>,</w:t>
      </w:r>
      <w:r w:rsidR="007A61A2" w:rsidRPr="0079384F">
        <w:rPr>
          <w:lang w:val="en-US"/>
        </w:rPr>
        <w:t xml:space="preserve"> utilizing Nth of a kind </w:t>
      </w:r>
      <w:r w:rsidR="00234CFC" w:rsidRPr="0079384F">
        <w:rPr>
          <w:lang w:val="en-US"/>
        </w:rPr>
        <w:t xml:space="preserve">(NOAK) </w:t>
      </w:r>
      <w:r w:rsidR="007A61A2" w:rsidRPr="0079384F">
        <w:rPr>
          <w:lang w:val="en-US"/>
        </w:rPr>
        <w:t>technology,</w:t>
      </w:r>
      <w:r w:rsidR="00D87387" w:rsidRPr="0079384F">
        <w:rPr>
          <w:lang w:val="en-US"/>
        </w:rPr>
        <w:t xml:space="preserve"> and</w:t>
      </w:r>
      <w:r w:rsidR="00052371" w:rsidRPr="0079384F">
        <w:rPr>
          <w:lang w:val="en-US"/>
        </w:rPr>
        <w:t xml:space="preserve"> </w:t>
      </w:r>
      <w:r w:rsidR="00192D30" w:rsidRPr="0079384F">
        <w:rPr>
          <w:lang w:val="en-US"/>
        </w:rPr>
        <w:t>sharing</w:t>
      </w:r>
      <w:r w:rsidR="00052371" w:rsidRPr="0079384F">
        <w:rPr>
          <w:lang w:val="en-US"/>
        </w:rPr>
        <w:t xml:space="preserve"> ownership with existing utilities, </w:t>
      </w:r>
      <w:r w:rsidR="00FD4F23" w:rsidRPr="0079384F">
        <w:rPr>
          <w:lang w:val="en-US"/>
        </w:rPr>
        <w:t xml:space="preserve">new and existing </w:t>
      </w:r>
      <w:r w:rsidR="00327DD8" w:rsidRPr="0079384F">
        <w:rPr>
          <w:lang w:val="en-US"/>
        </w:rPr>
        <w:t xml:space="preserve">energy-intensive </w:t>
      </w:r>
      <w:r w:rsidR="00FD4F23" w:rsidRPr="0079384F">
        <w:rPr>
          <w:lang w:val="en-US"/>
        </w:rPr>
        <w:t xml:space="preserve">industries, as well as Norwegian host municipalities, establishing such structures through </w:t>
      </w:r>
      <w:r w:rsidR="008E3FD3" w:rsidRPr="0079384F">
        <w:rPr>
          <w:lang w:val="en-US"/>
        </w:rPr>
        <w:t xml:space="preserve">several </w:t>
      </w:r>
      <w:r w:rsidR="00FD4F23" w:rsidRPr="0079384F">
        <w:rPr>
          <w:lang w:val="en-US"/>
        </w:rPr>
        <w:t>Special Purpose Vehicles (SPVs)</w:t>
      </w:r>
      <w:r w:rsidR="008E3FD3" w:rsidRPr="0079384F">
        <w:rPr>
          <w:lang w:val="en-US"/>
        </w:rPr>
        <w:t xml:space="preserve"> </w:t>
      </w:r>
      <w:r w:rsidR="00FC4B5A" w:rsidRPr="0079384F">
        <w:rPr>
          <w:lang w:val="en-US"/>
        </w:rPr>
        <w:t>for the most promising sites</w:t>
      </w:r>
      <w:r w:rsidR="00084236" w:rsidRPr="0079384F">
        <w:rPr>
          <w:lang w:val="en-US"/>
        </w:rPr>
        <w:t xml:space="preserve">. The company </w:t>
      </w:r>
      <w:r w:rsidR="001C33D6" w:rsidRPr="0079384F">
        <w:rPr>
          <w:lang w:val="en-US"/>
        </w:rPr>
        <w:t>adopts</w:t>
      </w:r>
      <w:r w:rsidR="00084236" w:rsidRPr="0079384F">
        <w:rPr>
          <w:lang w:val="en-US"/>
        </w:rPr>
        <w:t xml:space="preserve"> the </w:t>
      </w:r>
      <w:r w:rsidR="001C33D6" w:rsidRPr="0079384F">
        <w:rPr>
          <w:lang w:val="en-US"/>
        </w:rPr>
        <w:t>IAEA Milestones Approach</w:t>
      </w:r>
      <w:r w:rsidR="005F2695" w:rsidRPr="0079384F">
        <w:rPr>
          <w:lang w:val="en-US"/>
        </w:rPr>
        <w:t>,</w:t>
      </w:r>
      <w:r w:rsidR="002F3459" w:rsidRPr="0079384F">
        <w:rPr>
          <w:lang w:val="en-US"/>
        </w:rPr>
        <w:t xml:space="preserve"> conducting </w:t>
      </w:r>
      <w:r w:rsidR="00E22B4A" w:rsidRPr="0079384F">
        <w:rPr>
          <w:lang w:val="en-US"/>
        </w:rPr>
        <w:t>several studies and assessments</w:t>
      </w:r>
      <w:r w:rsidR="008F3284" w:rsidRPr="0079384F">
        <w:rPr>
          <w:lang w:val="en-US"/>
        </w:rPr>
        <w:t xml:space="preserve"> (see for instance </w:t>
      </w:r>
      <w:r w:rsidR="00B07368" w:rsidRPr="0079384F">
        <w:rPr>
          <w:lang w:val="en-US"/>
        </w:rPr>
        <w:t>feasibility study of implementing nuclear power program [</w:t>
      </w:r>
      <w:r w:rsidR="00B76070" w:rsidRPr="0079384F">
        <w:rPr>
          <w:lang w:val="en-US"/>
        </w:rPr>
        <w:t>5</w:t>
      </w:r>
      <w:r w:rsidR="00B07368" w:rsidRPr="0079384F">
        <w:rPr>
          <w:lang w:val="en-US"/>
        </w:rPr>
        <w:t>])</w:t>
      </w:r>
      <w:r w:rsidR="00E22B4A" w:rsidRPr="0079384F">
        <w:rPr>
          <w:lang w:val="en-US"/>
        </w:rPr>
        <w:t xml:space="preserve">, </w:t>
      </w:r>
      <w:r w:rsidR="00A34705" w:rsidRPr="0079384F">
        <w:rPr>
          <w:lang w:val="en-US"/>
        </w:rPr>
        <w:t xml:space="preserve">embarking on the Norwegian permitting process and </w:t>
      </w:r>
      <w:r w:rsidR="00A42FBE" w:rsidRPr="0079384F">
        <w:rPr>
          <w:lang w:val="en-US"/>
        </w:rPr>
        <w:t>emphasize industrial and public engagement</w:t>
      </w:r>
      <w:r w:rsidR="00A0391D" w:rsidRPr="0079384F">
        <w:rPr>
          <w:lang w:val="en-US"/>
        </w:rPr>
        <w:t>, communicating both challenges and advantages</w:t>
      </w:r>
      <w:r w:rsidR="003B5854" w:rsidRPr="0079384F">
        <w:rPr>
          <w:lang w:val="en-US"/>
        </w:rPr>
        <w:t xml:space="preserve"> in a “bottom-up” manner rather than “top-down”</w:t>
      </w:r>
      <w:r w:rsidR="00F92CAB" w:rsidRPr="0079384F">
        <w:rPr>
          <w:lang w:val="en-US"/>
        </w:rPr>
        <w:t xml:space="preserve"> </w:t>
      </w:r>
      <w:r w:rsidR="005D26B0" w:rsidRPr="0079384F">
        <w:rPr>
          <w:lang w:val="en-US"/>
        </w:rPr>
        <w:t>approach used in the 70s</w:t>
      </w:r>
      <w:r w:rsidR="00E33CF8" w:rsidRPr="0079384F">
        <w:rPr>
          <w:lang w:val="en-US"/>
        </w:rPr>
        <w:t>, as described earlier. Additionally, learnings from the strategy</w:t>
      </w:r>
      <w:r w:rsidR="003853EF" w:rsidRPr="0079384F">
        <w:rPr>
          <w:lang w:val="en-US"/>
        </w:rPr>
        <w:t xml:space="preserve"> used</w:t>
      </w:r>
      <w:r w:rsidR="00E33CF8" w:rsidRPr="0079384F">
        <w:rPr>
          <w:lang w:val="en-US"/>
        </w:rPr>
        <w:t xml:space="preserve"> in the 60s and 70s when </w:t>
      </w:r>
      <w:r w:rsidR="003853EF" w:rsidRPr="0079384F">
        <w:rPr>
          <w:lang w:val="en-US"/>
        </w:rPr>
        <w:t xml:space="preserve">Norway embarked on its O&amp;G venture are employed, </w:t>
      </w:r>
      <w:r w:rsidR="004A1EF3" w:rsidRPr="0079384F">
        <w:rPr>
          <w:lang w:val="en-US"/>
        </w:rPr>
        <w:t xml:space="preserve">making sure the Norwegian nuclear program </w:t>
      </w:r>
      <w:r w:rsidR="00526692" w:rsidRPr="0079384F">
        <w:rPr>
          <w:lang w:val="en-US"/>
        </w:rPr>
        <w:t xml:space="preserve">attracts, and </w:t>
      </w:r>
      <w:r w:rsidR="004A1EF3" w:rsidRPr="0079384F">
        <w:rPr>
          <w:lang w:val="en-US"/>
        </w:rPr>
        <w:t xml:space="preserve">is </w:t>
      </w:r>
      <w:r w:rsidR="00AB4EA3">
        <w:rPr>
          <w:lang w:val="en-US"/>
        </w:rPr>
        <w:t>assisted</w:t>
      </w:r>
      <w:r w:rsidR="004A1EF3" w:rsidRPr="0079384F">
        <w:rPr>
          <w:lang w:val="en-US"/>
        </w:rPr>
        <w:t xml:space="preserve"> by</w:t>
      </w:r>
      <w:r w:rsidR="00526692" w:rsidRPr="0079384F">
        <w:rPr>
          <w:lang w:val="en-US"/>
        </w:rPr>
        <w:t>,</w:t>
      </w:r>
      <w:r w:rsidR="004A1EF3" w:rsidRPr="0079384F">
        <w:rPr>
          <w:lang w:val="en-US"/>
        </w:rPr>
        <w:t xml:space="preserve"> </w:t>
      </w:r>
      <w:r w:rsidR="00D16008" w:rsidRPr="0079384F">
        <w:rPr>
          <w:lang w:val="en-US"/>
        </w:rPr>
        <w:t xml:space="preserve">already existing global expertise in the field of nuclear power.  </w:t>
      </w:r>
    </w:p>
    <w:p w14:paraId="6F241A82" w14:textId="309282C8" w:rsidR="00310CA6" w:rsidRPr="0079384F" w:rsidRDefault="00BB65A1" w:rsidP="00210D37">
      <w:pPr>
        <w:pStyle w:val="Overskrift2"/>
        <w:rPr>
          <w:lang w:val="en-US"/>
        </w:rPr>
      </w:pPr>
      <w:r w:rsidRPr="00A2262E">
        <w:rPr>
          <w:lang w:val="en-US"/>
        </w:rPr>
        <w:t>TRANSITIONING</w:t>
      </w:r>
      <w:r w:rsidRPr="0079384F">
        <w:rPr>
          <w:lang w:val="en-US"/>
        </w:rPr>
        <w:t xml:space="preserve"> THE O&amp;G INDUSTRY</w:t>
      </w:r>
    </w:p>
    <w:p w14:paraId="2F1607D7" w14:textId="37025D8B" w:rsidR="00483ECE" w:rsidRPr="0079384F" w:rsidRDefault="006E2350" w:rsidP="00336B89">
      <w:pPr>
        <w:pStyle w:val="Brdtekst"/>
        <w:rPr>
          <w:lang w:val="en-US"/>
        </w:rPr>
      </w:pPr>
      <w:r w:rsidRPr="0079384F">
        <w:rPr>
          <w:lang w:val="en-US"/>
        </w:rPr>
        <w:t xml:space="preserve">The Norwegian O&amp;G </w:t>
      </w:r>
      <w:r w:rsidR="00271A4F" w:rsidRPr="0079384F">
        <w:rPr>
          <w:lang w:val="en-US"/>
        </w:rPr>
        <w:t>industry</w:t>
      </w:r>
      <w:r w:rsidR="009421C7" w:rsidRPr="0079384F">
        <w:rPr>
          <w:lang w:val="en-US"/>
        </w:rPr>
        <w:t xml:space="preserve"> </w:t>
      </w:r>
      <w:r w:rsidR="00271A4F" w:rsidRPr="0079384F">
        <w:rPr>
          <w:lang w:val="en-US"/>
        </w:rPr>
        <w:t>produced</w:t>
      </w:r>
      <w:r w:rsidR="00CC3794" w:rsidRPr="0079384F">
        <w:rPr>
          <w:lang w:val="en-US"/>
        </w:rPr>
        <w:t xml:space="preserve"> an energy equivalent of </w:t>
      </w:r>
      <w:r w:rsidR="00C60582" w:rsidRPr="0079384F">
        <w:rPr>
          <w:lang w:val="en-US"/>
        </w:rPr>
        <w:t>2510 TWh</w:t>
      </w:r>
      <w:r w:rsidR="00CC3794" w:rsidRPr="0079384F">
        <w:rPr>
          <w:lang w:val="en-US"/>
        </w:rPr>
        <w:t xml:space="preserve"> in 2022</w:t>
      </w:r>
      <w:r w:rsidR="00C60582" w:rsidRPr="0079384F">
        <w:rPr>
          <w:lang w:val="en-US"/>
        </w:rPr>
        <w:t>,</w:t>
      </w:r>
      <w:r w:rsidR="00CC3794" w:rsidRPr="0079384F">
        <w:rPr>
          <w:lang w:val="en-US"/>
        </w:rPr>
        <w:t xml:space="preserve"> were</w:t>
      </w:r>
      <w:r w:rsidR="00C60582" w:rsidRPr="0079384F">
        <w:rPr>
          <w:lang w:val="en-US"/>
        </w:rPr>
        <w:t xml:space="preserve"> </w:t>
      </w:r>
      <w:r w:rsidR="00CC3794" w:rsidRPr="0079384F">
        <w:rPr>
          <w:lang w:val="en-US"/>
        </w:rPr>
        <w:t>most</w:t>
      </w:r>
      <w:r w:rsidR="00271A4F" w:rsidRPr="0079384F">
        <w:rPr>
          <w:lang w:val="en-US"/>
        </w:rPr>
        <w:t xml:space="preserve"> were for export</w:t>
      </w:r>
      <w:r w:rsidR="00CC3794" w:rsidRPr="0079384F">
        <w:rPr>
          <w:lang w:val="en-US"/>
        </w:rPr>
        <w:t xml:space="preserve">, </w:t>
      </w:r>
      <w:r w:rsidR="00C60582" w:rsidRPr="0079384F">
        <w:rPr>
          <w:lang w:val="en-US"/>
        </w:rPr>
        <w:t>2</w:t>
      </w:r>
      <w:r w:rsidR="009421C7" w:rsidRPr="0079384F">
        <w:rPr>
          <w:lang w:val="en-US"/>
        </w:rPr>
        <w:t>335</w:t>
      </w:r>
      <w:r w:rsidR="00CC3794" w:rsidRPr="0079384F">
        <w:rPr>
          <w:lang w:val="en-US"/>
        </w:rPr>
        <w:t xml:space="preserve"> TWh</w:t>
      </w:r>
      <w:r w:rsidR="00D55D78" w:rsidRPr="0079384F">
        <w:rPr>
          <w:lang w:val="en-US"/>
        </w:rPr>
        <w:t xml:space="preserve"> [</w:t>
      </w:r>
      <w:r w:rsidR="00B76070" w:rsidRPr="0079384F">
        <w:rPr>
          <w:lang w:val="en-US"/>
        </w:rPr>
        <w:t>6</w:t>
      </w:r>
      <w:r w:rsidR="00D55D78" w:rsidRPr="0079384F">
        <w:rPr>
          <w:lang w:val="en-US"/>
        </w:rPr>
        <w:t>]</w:t>
      </w:r>
      <w:r w:rsidR="00271A4F" w:rsidRPr="0079384F">
        <w:rPr>
          <w:lang w:val="en-US"/>
        </w:rPr>
        <w:t xml:space="preserve">. This </w:t>
      </w:r>
      <w:r w:rsidR="00156ADE" w:rsidRPr="0079384F">
        <w:rPr>
          <w:lang w:val="en-US"/>
        </w:rPr>
        <w:t>represents</w:t>
      </w:r>
      <w:r w:rsidR="00271A4F" w:rsidRPr="0079384F">
        <w:rPr>
          <w:lang w:val="en-US"/>
        </w:rPr>
        <w:t xml:space="preserve"> a significant </w:t>
      </w:r>
      <w:r w:rsidR="008F07CD" w:rsidRPr="0079384F">
        <w:rPr>
          <w:lang w:val="en-US"/>
        </w:rPr>
        <w:t>volume</w:t>
      </w:r>
      <w:r w:rsidR="00676DD6" w:rsidRPr="0079384F">
        <w:rPr>
          <w:lang w:val="en-US"/>
        </w:rPr>
        <w:t>,</w:t>
      </w:r>
      <w:r w:rsidR="00C60582" w:rsidRPr="0079384F">
        <w:rPr>
          <w:lang w:val="en-US"/>
        </w:rPr>
        <w:t xml:space="preserve"> </w:t>
      </w:r>
      <w:r w:rsidR="00676DD6" w:rsidRPr="0079384F">
        <w:rPr>
          <w:lang w:val="en-US"/>
        </w:rPr>
        <w:t xml:space="preserve">25 </w:t>
      </w:r>
      <w:r w:rsidR="001536A6" w:rsidRPr="0079384F">
        <w:rPr>
          <w:lang w:val="en-US"/>
        </w:rPr>
        <w:t>%</w:t>
      </w:r>
      <w:r w:rsidR="00676DD6" w:rsidRPr="0079384F">
        <w:rPr>
          <w:lang w:val="en-US"/>
        </w:rPr>
        <w:t xml:space="preserve"> of EUs gas consumption</w:t>
      </w:r>
      <w:r w:rsidR="00163680" w:rsidRPr="0079384F">
        <w:rPr>
          <w:lang w:val="en-US"/>
        </w:rPr>
        <w:t xml:space="preserve"> is from Norway,</w:t>
      </w:r>
      <w:r w:rsidR="00676DD6" w:rsidRPr="0079384F">
        <w:rPr>
          <w:lang w:val="en-US"/>
        </w:rPr>
        <w:t xml:space="preserve"> and more than</w:t>
      </w:r>
      <w:r w:rsidR="00C60582" w:rsidRPr="0079384F">
        <w:rPr>
          <w:lang w:val="en-US"/>
        </w:rPr>
        <w:t xml:space="preserve"> 40 </w:t>
      </w:r>
      <w:r w:rsidR="001536A6" w:rsidRPr="0079384F">
        <w:rPr>
          <w:lang w:val="en-US"/>
        </w:rPr>
        <w:t>%</w:t>
      </w:r>
      <w:r w:rsidR="008F07CD" w:rsidRPr="0079384F">
        <w:rPr>
          <w:lang w:val="en-US"/>
        </w:rPr>
        <w:t xml:space="preserve"> of Germany’s</w:t>
      </w:r>
      <w:r w:rsidR="00D55D78" w:rsidRPr="0079384F">
        <w:rPr>
          <w:lang w:val="en-US"/>
        </w:rPr>
        <w:t xml:space="preserve"> [</w:t>
      </w:r>
      <w:r w:rsidR="00B76070" w:rsidRPr="0079384F">
        <w:rPr>
          <w:lang w:val="en-US"/>
        </w:rPr>
        <w:t>7</w:t>
      </w:r>
      <w:r w:rsidR="00D55D78" w:rsidRPr="0079384F">
        <w:rPr>
          <w:lang w:val="en-US"/>
        </w:rPr>
        <w:t>]</w:t>
      </w:r>
      <w:r w:rsidR="00676DD6" w:rsidRPr="0079384F">
        <w:rPr>
          <w:lang w:val="en-US"/>
        </w:rPr>
        <w:t xml:space="preserve">. </w:t>
      </w:r>
      <w:r w:rsidR="008F07CD" w:rsidRPr="0079384F">
        <w:rPr>
          <w:lang w:val="en-US"/>
        </w:rPr>
        <w:tab/>
      </w:r>
    </w:p>
    <w:p w14:paraId="75551BDF" w14:textId="70CB6832" w:rsidR="008D49AF" w:rsidRPr="0079384F" w:rsidRDefault="007A456D" w:rsidP="008D49AF">
      <w:pPr>
        <w:pStyle w:val="Brdtekst"/>
        <w:rPr>
          <w:lang w:val="en-US"/>
        </w:rPr>
      </w:pPr>
      <w:r w:rsidRPr="0079384F">
        <w:rPr>
          <w:lang w:val="en-US"/>
        </w:rPr>
        <w:t>The production of O&amp;G</w:t>
      </w:r>
      <w:r w:rsidR="00483ECE" w:rsidRPr="0079384F">
        <w:rPr>
          <w:lang w:val="en-US"/>
        </w:rPr>
        <w:t xml:space="preserve"> generated</w:t>
      </w:r>
      <w:r w:rsidR="00A715C4" w:rsidRPr="0079384F">
        <w:rPr>
          <w:lang w:val="en-US"/>
        </w:rPr>
        <w:t xml:space="preserve"> 12 million metric tons</w:t>
      </w:r>
      <w:r w:rsidR="00B708F8" w:rsidRPr="0079384F">
        <w:rPr>
          <w:lang w:val="en-US"/>
        </w:rPr>
        <w:t xml:space="preserve"> (MT)</w:t>
      </w:r>
      <w:r w:rsidR="00A715C4" w:rsidRPr="0079384F">
        <w:rPr>
          <w:lang w:val="en-US"/>
        </w:rPr>
        <w:t xml:space="preserve"> of CO</w:t>
      </w:r>
      <w:r w:rsidR="00A715C4" w:rsidRPr="0079384F">
        <w:rPr>
          <w:vertAlign w:val="subscript"/>
          <w:lang w:val="en-US"/>
        </w:rPr>
        <w:t>2</w:t>
      </w:r>
      <w:r w:rsidR="00A715C4" w:rsidRPr="0079384F">
        <w:rPr>
          <w:lang w:val="en-US"/>
        </w:rPr>
        <w:t xml:space="preserve"> equivalents </w:t>
      </w:r>
      <w:r w:rsidR="006B6CF4" w:rsidRPr="0079384F">
        <w:rPr>
          <w:lang w:val="en-US"/>
        </w:rPr>
        <w:t>in 202</w:t>
      </w:r>
      <w:r w:rsidR="00F96D1F" w:rsidRPr="0079384F">
        <w:rPr>
          <w:lang w:val="en-US"/>
        </w:rPr>
        <w:t>3</w:t>
      </w:r>
      <w:r w:rsidR="006B6CF4" w:rsidRPr="0079384F">
        <w:rPr>
          <w:lang w:val="en-US"/>
        </w:rPr>
        <w:t>, approximately one quarter of the total Norwegian emissions</w:t>
      </w:r>
      <w:r w:rsidR="00115B9B" w:rsidRPr="0079384F">
        <w:rPr>
          <w:lang w:val="en-US"/>
        </w:rPr>
        <w:t xml:space="preserve">, and is the single largest </w:t>
      </w:r>
      <w:r w:rsidR="004B36FE" w:rsidRPr="0079384F">
        <w:rPr>
          <w:lang w:val="en-US"/>
        </w:rPr>
        <w:t>emitting industry of Norway</w:t>
      </w:r>
      <w:r w:rsidR="00BB0BFF" w:rsidRPr="0079384F">
        <w:rPr>
          <w:lang w:val="en-US"/>
        </w:rPr>
        <w:t xml:space="preserve">. Most of these emissions are associated with </w:t>
      </w:r>
      <w:r w:rsidR="00A85911" w:rsidRPr="0079384F">
        <w:rPr>
          <w:lang w:val="en-US"/>
        </w:rPr>
        <w:t xml:space="preserve">energy production for O&amp;G installations offshore, where gas turbines accounted for </w:t>
      </w:r>
      <w:r w:rsidR="00115B9B" w:rsidRPr="0079384F">
        <w:rPr>
          <w:lang w:val="en-US"/>
        </w:rPr>
        <w:t>8.35</w:t>
      </w:r>
      <w:r w:rsidR="00A85911" w:rsidRPr="0079384F">
        <w:rPr>
          <w:lang w:val="en-US"/>
        </w:rPr>
        <w:t xml:space="preserve"> million MT</w:t>
      </w:r>
      <w:r w:rsidR="00B708F8" w:rsidRPr="0079384F">
        <w:rPr>
          <w:lang w:val="en-US"/>
        </w:rPr>
        <w:t xml:space="preserve"> and usage of diesel for 1</w:t>
      </w:r>
      <w:r w:rsidR="00F12E56" w:rsidRPr="0079384F">
        <w:rPr>
          <w:lang w:val="en-US"/>
        </w:rPr>
        <w:t>.13</w:t>
      </w:r>
      <w:r w:rsidR="00B708F8" w:rsidRPr="0079384F">
        <w:rPr>
          <w:lang w:val="en-US"/>
        </w:rPr>
        <w:t xml:space="preserve"> million MT.</w:t>
      </w:r>
      <w:r w:rsidR="00F12E56" w:rsidRPr="0079384F">
        <w:rPr>
          <w:lang w:val="en-US"/>
        </w:rPr>
        <w:t xml:space="preserve"> </w:t>
      </w:r>
      <w:r w:rsidR="008310FE" w:rsidRPr="0079384F">
        <w:rPr>
          <w:lang w:val="en-US"/>
        </w:rPr>
        <w:t xml:space="preserve">Gas turbines on onshore facilities produced 1.39 million MT and the rest is associated with </w:t>
      </w:r>
      <w:r w:rsidR="001C1996" w:rsidRPr="0079384F">
        <w:rPr>
          <w:lang w:val="en-US"/>
        </w:rPr>
        <w:t>flaring</w:t>
      </w:r>
      <w:r w:rsidR="008310FE" w:rsidRPr="0079384F">
        <w:rPr>
          <w:lang w:val="en-US"/>
        </w:rPr>
        <w:t xml:space="preserve">, </w:t>
      </w:r>
      <w:r w:rsidR="00476024" w:rsidRPr="0079384F">
        <w:rPr>
          <w:lang w:val="en-US"/>
        </w:rPr>
        <w:t>venting and leakages, and loading of oil, in descending order</w:t>
      </w:r>
      <w:r w:rsidR="007D31A1" w:rsidRPr="0079384F">
        <w:rPr>
          <w:lang w:val="en-US"/>
        </w:rPr>
        <w:t xml:space="preserve"> [</w:t>
      </w:r>
      <w:r w:rsidR="00B76070" w:rsidRPr="0079384F">
        <w:rPr>
          <w:lang w:val="en-US"/>
        </w:rPr>
        <w:t>8</w:t>
      </w:r>
      <w:r w:rsidR="007D31A1" w:rsidRPr="0079384F">
        <w:rPr>
          <w:lang w:val="en-US"/>
        </w:rPr>
        <w:t>]</w:t>
      </w:r>
      <w:r w:rsidR="00476024" w:rsidRPr="0079384F">
        <w:rPr>
          <w:lang w:val="en-US"/>
        </w:rPr>
        <w:t>.</w:t>
      </w:r>
    </w:p>
    <w:p w14:paraId="6D92AA07" w14:textId="46694A0A" w:rsidR="00941CA1" w:rsidRPr="0079384F" w:rsidRDefault="002F16BE" w:rsidP="00210D37">
      <w:pPr>
        <w:pStyle w:val="Brdtekst"/>
        <w:rPr>
          <w:lang w:val="en-US"/>
        </w:rPr>
      </w:pPr>
      <w:r w:rsidRPr="0079384F">
        <w:rPr>
          <w:lang w:val="en-US"/>
        </w:rPr>
        <w:t xml:space="preserve">To meet the Norwegian climate ambitions, </w:t>
      </w:r>
      <w:r w:rsidR="00187FD4" w:rsidRPr="0079384F">
        <w:rPr>
          <w:lang w:val="en-US"/>
        </w:rPr>
        <w:t xml:space="preserve">to adhere to the industry’s social responsibility, </w:t>
      </w:r>
      <w:r w:rsidR="00B4783F" w:rsidRPr="0079384F">
        <w:rPr>
          <w:lang w:val="en-US"/>
        </w:rPr>
        <w:t xml:space="preserve">and to avoid </w:t>
      </w:r>
      <w:r w:rsidR="007A16E0" w:rsidRPr="0079384F">
        <w:rPr>
          <w:lang w:val="en-US"/>
        </w:rPr>
        <w:t xml:space="preserve">tax </w:t>
      </w:r>
      <w:r w:rsidR="00B642D6" w:rsidRPr="0079384F">
        <w:rPr>
          <w:lang w:val="en-US"/>
        </w:rPr>
        <w:t>levies</w:t>
      </w:r>
      <w:r w:rsidR="00370690" w:rsidRPr="0079384F">
        <w:rPr>
          <w:lang w:val="en-US"/>
        </w:rPr>
        <w:t xml:space="preserve"> of </w:t>
      </w:r>
      <w:r w:rsidR="000A1386" w:rsidRPr="0079384F">
        <w:rPr>
          <w:lang w:val="en-US"/>
        </w:rPr>
        <w:t xml:space="preserve">approximately </w:t>
      </w:r>
      <w:r w:rsidR="00CA2ADB" w:rsidRPr="0079384F">
        <w:rPr>
          <w:lang w:val="en-US"/>
        </w:rPr>
        <w:t xml:space="preserve">175 </w:t>
      </w:r>
      <w:r w:rsidR="000A1386" w:rsidRPr="0079384F">
        <w:rPr>
          <w:lang w:val="en-US"/>
        </w:rPr>
        <w:t>€</w:t>
      </w:r>
      <w:r w:rsidR="00CA2ADB" w:rsidRPr="0079384F">
        <w:rPr>
          <w:lang w:val="en-US"/>
        </w:rPr>
        <w:t xml:space="preserve"> </w:t>
      </w:r>
      <w:r w:rsidR="00370690" w:rsidRPr="0079384F">
        <w:rPr>
          <w:lang w:val="en-US"/>
        </w:rPr>
        <w:t>per MT CO</w:t>
      </w:r>
      <w:r w:rsidR="00370690" w:rsidRPr="0079384F">
        <w:rPr>
          <w:vertAlign w:val="subscript"/>
          <w:lang w:val="en-US"/>
        </w:rPr>
        <w:t>2</w:t>
      </w:r>
      <w:r w:rsidR="00370690" w:rsidRPr="0079384F">
        <w:rPr>
          <w:lang w:val="en-US"/>
        </w:rPr>
        <w:t xml:space="preserve"> </w:t>
      </w:r>
      <w:r w:rsidR="00587801" w:rsidRPr="0079384F">
        <w:rPr>
          <w:lang w:val="en-US"/>
        </w:rPr>
        <w:t>(the level set by the Norwegian government for 2030)</w:t>
      </w:r>
      <w:r w:rsidR="00B642D6" w:rsidRPr="0079384F">
        <w:rPr>
          <w:lang w:val="en-US"/>
        </w:rPr>
        <w:t xml:space="preserve"> or more, </w:t>
      </w:r>
      <w:r w:rsidRPr="0079384F">
        <w:rPr>
          <w:lang w:val="en-US"/>
        </w:rPr>
        <w:t>these emissions need to be cut dramatically</w:t>
      </w:r>
      <w:r w:rsidR="0029401D" w:rsidRPr="0079384F">
        <w:rPr>
          <w:lang w:val="en-US"/>
        </w:rPr>
        <w:t xml:space="preserve">, mainly through electrification </w:t>
      </w:r>
      <w:r w:rsidR="00CA0CAE" w:rsidRPr="0079384F">
        <w:rPr>
          <w:lang w:val="en-US"/>
        </w:rPr>
        <w:t>by low emitting sources</w:t>
      </w:r>
      <w:r w:rsidRPr="0079384F">
        <w:rPr>
          <w:lang w:val="en-US"/>
        </w:rPr>
        <w:t xml:space="preserve">. </w:t>
      </w:r>
      <w:r w:rsidR="00520569" w:rsidRPr="0079384F">
        <w:rPr>
          <w:lang w:val="en-US"/>
        </w:rPr>
        <w:t xml:space="preserve">Although Norwegian authorities have required low carbon electricity for offshore O&amp;G installations in connection with establishing new oil fields or significant renovations of existing fields since 1969, by 2023, only 13 </w:t>
      </w:r>
      <w:r w:rsidR="001536A6" w:rsidRPr="0079384F">
        <w:rPr>
          <w:lang w:val="en-US"/>
        </w:rPr>
        <w:t>%</w:t>
      </w:r>
      <w:r w:rsidR="00520569" w:rsidRPr="0079384F">
        <w:rPr>
          <w:lang w:val="en-US"/>
        </w:rPr>
        <w:t xml:space="preserve"> (9 out of 68 TWh) of the electricity consumption of the O&amp;G sector </w:t>
      </w:r>
      <w:r w:rsidR="00327DD8" w:rsidRPr="0079384F">
        <w:rPr>
          <w:lang w:val="en-US"/>
        </w:rPr>
        <w:t xml:space="preserve">had been </w:t>
      </w:r>
      <w:r w:rsidR="00520569" w:rsidRPr="0079384F">
        <w:rPr>
          <w:lang w:val="en-US"/>
        </w:rPr>
        <w:t>electrified by clean sources</w:t>
      </w:r>
      <w:r w:rsidR="007D31A1" w:rsidRPr="0079384F">
        <w:rPr>
          <w:lang w:val="en-US"/>
        </w:rPr>
        <w:t xml:space="preserve"> [</w:t>
      </w:r>
      <w:r w:rsidR="00B76070" w:rsidRPr="0079384F">
        <w:rPr>
          <w:lang w:val="en-US"/>
        </w:rPr>
        <w:t>9</w:t>
      </w:r>
      <w:r w:rsidR="007D31A1" w:rsidRPr="0079384F">
        <w:rPr>
          <w:lang w:val="en-US"/>
        </w:rPr>
        <w:t>]</w:t>
      </w:r>
      <w:r w:rsidR="00520569" w:rsidRPr="0079384F">
        <w:rPr>
          <w:lang w:val="en-US"/>
        </w:rPr>
        <w:t xml:space="preserve">. </w:t>
      </w:r>
    </w:p>
    <w:p w14:paraId="27E3BFD9" w14:textId="3A7D5EDF" w:rsidR="00CA0CAE" w:rsidRPr="0079384F" w:rsidRDefault="00CA0CAE" w:rsidP="00210D37">
      <w:pPr>
        <w:pStyle w:val="Overskrift3"/>
        <w:rPr>
          <w:lang w:val="en-US"/>
        </w:rPr>
      </w:pPr>
      <w:r w:rsidRPr="0079384F">
        <w:rPr>
          <w:lang w:val="en-US"/>
        </w:rPr>
        <w:t>Current strategies for electrification</w:t>
      </w:r>
    </w:p>
    <w:p w14:paraId="2A8E7B77" w14:textId="50812FB5" w:rsidR="00F92863" w:rsidRPr="0079384F" w:rsidRDefault="00223318" w:rsidP="004A5202">
      <w:pPr>
        <w:pStyle w:val="Brdtekst"/>
        <w:rPr>
          <w:lang w:val="en-US"/>
        </w:rPr>
      </w:pPr>
      <w:r w:rsidRPr="0079384F">
        <w:rPr>
          <w:lang w:val="en-US"/>
        </w:rPr>
        <w:t>Existing strategies</w:t>
      </w:r>
      <w:r w:rsidR="00941CA1" w:rsidRPr="0079384F">
        <w:rPr>
          <w:lang w:val="en-US"/>
        </w:rPr>
        <w:t xml:space="preserve"> for </w:t>
      </w:r>
      <w:r w:rsidR="000264F0" w:rsidRPr="0079384F">
        <w:rPr>
          <w:lang w:val="en-US"/>
        </w:rPr>
        <w:t xml:space="preserve">electrification of the remainder of the O&amp;G sector can roughly be </w:t>
      </w:r>
      <w:r w:rsidR="001F5B68" w:rsidRPr="0079384F">
        <w:rPr>
          <w:lang w:val="en-US"/>
        </w:rPr>
        <w:t>separated into two main paths</w:t>
      </w:r>
      <w:r w:rsidR="000557B5" w:rsidRPr="0079384F">
        <w:rPr>
          <w:rFonts w:ascii="Segoe UI Emoji" w:eastAsia="Segoe UI Emoji" w:hAnsi="Segoe UI Emoji" w:cs="Segoe UI Emoji"/>
          <w:lang w:val="en-US"/>
        </w:rPr>
        <w:t>:</w:t>
      </w:r>
      <w:r w:rsidR="0083375B" w:rsidRPr="0079384F">
        <w:rPr>
          <w:lang w:val="en-US"/>
        </w:rPr>
        <w:t xml:space="preserve"> electrification </w:t>
      </w:r>
      <w:r w:rsidR="0076344F" w:rsidRPr="0079384F">
        <w:rPr>
          <w:lang w:val="en-US"/>
        </w:rPr>
        <w:t xml:space="preserve">via sea cable to the onshore grid or through installing </w:t>
      </w:r>
      <w:r w:rsidR="00677184" w:rsidRPr="0079384F">
        <w:rPr>
          <w:lang w:val="en-US"/>
        </w:rPr>
        <w:t>and connecting offshore wind power</w:t>
      </w:r>
      <w:r w:rsidR="00C8442C" w:rsidRPr="0079384F">
        <w:rPr>
          <w:lang w:val="en-US"/>
        </w:rPr>
        <w:t xml:space="preserve">. </w:t>
      </w:r>
      <w:r w:rsidR="00387548" w:rsidRPr="0079384F">
        <w:rPr>
          <w:lang w:val="en-US"/>
        </w:rPr>
        <w:t xml:space="preserve">The main </w:t>
      </w:r>
      <w:r w:rsidR="00677184" w:rsidRPr="0079384F">
        <w:rPr>
          <w:lang w:val="en-US"/>
        </w:rPr>
        <w:t>issue</w:t>
      </w:r>
      <w:r w:rsidR="00387548" w:rsidRPr="0079384F">
        <w:rPr>
          <w:lang w:val="en-US"/>
        </w:rPr>
        <w:t xml:space="preserve"> with the former option is that the onshore grid is already strained</w:t>
      </w:r>
      <w:r w:rsidR="00893D40" w:rsidRPr="0079384F">
        <w:rPr>
          <w:lang w:val="en-US"/>
        </w:rPr>
        <w:t xml:space="preserve"> and both</w:t>
      </w:r>
      <w:r w:rsidR="00B07F36" w:rsidRPr="0079384F">
        <w:rPr>
          <w:lang w:val="en-US"/>
        </w:rPr>
        <w:t xml:space="preserve"> onshore wind power </w:t>
      </w:r>
      <w:r w:rsidR="00893D40" w:rsidRPr="0079384F">
        <w:rPr>
          <w:lang w:val="en-US"/>
        </w:rPr>
        <w:t xml:space="preserve">and </w:t>
      </w:r>
      <w:r w:rsidR="00052297" w:rsidRPr="0079384F">
        <w:rPr>
          <w:lang w:val="en-US"/>
        </w:rPr>
        <w:t xml:space="preserve">expanded </w:t>
      </w:r>
      <w:r w:rsidR="00893D40" w:rsidRPr="0079384F">
        <w:rPr>
          <w:lang w:val="en-US"/>
        </w:rPr>
        <w:t>hydro power is either unpopular</w:t>
      </w:r>
      <w:r w:rsidR="00BD201B" w:rsidRPr="0079384F">
        <w:rPr>
          <w:lang w:val="en-US"/>
        </w:rPr>
        <w:t xml:space="preserve"> or the natural resources are depleted. </w:t>
      </w:r>
      <w:r w:rsidR="00856653" w:rsidRPr="0079384F">
        <w:rPr>
          <w:lang w:val="en-US"/>
        </w:rPr>
        <w:t xml:space="preserve">Furthermore, even if a license to connect may be obtained, these licenses will </w:t>
      </w:r>
      <w:r w:rsidR="00E22D7E" w:rsidRPr="0079384F">
        <w:rPr>
          <w:lang w:val="en-US"/>
        </w:rPr>
        <w:t xml:space="preserve">include provisions </w:t>
      </w:r>
      <w:r w:rsidR="0069369F" w:rsidRPr="0079384F">
        <w:rPr>
          <w:lang w:val="en-US"/>
        </w:rPr>
        <w:t xml:space="preserve">for </w:t>
      </w:r>
      <w:r w:rsidR="00E22D7E" w:rsidRPr="0079384F">
        <w:rPr>
          <w:lang w:val="en-US"/>
        </w:rPr>
        <w:t>disconnect</w:t>
      </w:r>
      <w:r w:rsidR="0069369F" w:rsidRPr="0079384F">
        <w:rPr>
          <w:lang w:val="en-US"/>
        </w:rPr>
        <w:t>ion to preserve onshore grid stability</w:t>
      </w:r>
      <w:r w:rsidR="00BF4A0A" w:rsidRPr="0079384F">
        <w:rPr>
          <w:lang w:val="en-US"/>
        </w:rPr>
        <w:t xml:space="preserve"> when necessary</w:t>
      </w:r>
      <w:r w:rsidR="0019096B" w:rsidRPr="0079384F">
        <w:rPr>
          <w:lang w:val="en-US"/>
        </w:rPr>
        <w:t xml:space="preserve">, leading to low </w:t>
      </w:r>
      <w:r w:rsidR="00FA21A3" w:rsidRPr="0079384F">
        <w:rPr>
          <w:lang w:val="en-US"/>
        </w:rPr>
        <w:t xml:space="preserve">reliability. </w:t>
      </w:r>
    </w:p>
    <w:p w14:paraId="3ECC5172" w14:textId="504A2F7C" w:rsidR="00873061" w:rsidRPr="0079384F" w:rsidRDefault="002E1ACD" w:rsidP="00586FBC">
      <w:pPr>
        <w:pStyle w:val="Brdtekst"/>
        <w:rPr>
          <w:lang w:val="en-US"/>
        </w:rPr>
      </w:pPr>
      <w:r w:rsidRPr="0079384F">
        <w:rPr>
          <w:lang w:val="en-US"/>
        </w:rPr>
        <w:t>Issues with the latter strategy</w:t>
      </w:r>
      <w:r w:rsidR="00BF4A0A" w:rsidRPr="0079384F">
        <w:rPr>
          <w:lang w:val="en-US"/>
        </w:rPr>
        <w:t xml:space="preserve"> of </w:t>
      </w:r>
      <w:r w:rsidR="00FD26B3" w:rsidRPr="0079384F">
        <w:rPr>
          <w:lang w:val="en-US"/>
        </w:rPr>
        <w:t>offshore</w:t>
      </w:r>
      <w:r w:rsidR="00BF4A0A" w:rsidRPr="0079384F">
        <w:rPr>
          <w:lang w:val="en-US"/>
        </w:rPr>
        <w:t xml:space="preserve"> wind</w:t>
      </w:r>
      <w:r w:rsidRPr="0079384F">
        <w:rPr>
          <w:lang w:val="en-US"/>
        </w:rPr>
        <w:t xml:space="preserve"> </w:t>
      </w:r>
      <w:r w:rsidR="00223318" w:rsidRPr="0079384F">
        <w:rPr>
          <w:lang w:val="en-US"/>
        </w:rPr>
        <w:t>is generally high costs</w:t>
      </w:r>
      <w:r w:rsidR="00FE1D2D" w:rsidRPr="0079384F">
        <w:rPr>
          <w:lang w:val="en-US"/>
        </w:rPr>
        <w:t>,</w:t>
      </w:r>
      <w:r w:rsidR="00CC0C46" w:rsidRPr="0079384F">
        <w:rPr>
          <w:lang w:val="en-US"/>
        </w:rPr>
        <w:t xml:space="preserve"> wake effects,</w:t>
      </w:r>
      <w:r w:rsidR="00B670F5" w:rsidRPr="0079384F">
        <w:rPr>
          <w:lang w:val="en-US"/>
        </w:rPr>
        <w:t xml:space="preserve"> </w:t>
      </w:r>
      <w:r w:rsidR="00D02B86" w:rsidRPr="0079384F">
        <w:rPr>
          <w:lang w:val="en-US"/>
        </w:rPr>
        <w:t xml:space="preserve">“cannibalization” effects, severe volatility (power production is roughly proportional to </w:t>
      </w:r>
      <w:r w:rsidR="00CC0C46" w:rsidRPr="0079384F">
        <w:rPr>
          <w:lang w:val="en-US"/>
        </w:rPr>
        <w:t xml:space="preserve">the wind speed cubed), and </w:t>
      </w:r>
      <w:r w:rsidR="00FE1D2D" w:rsidRPr="0079384F">
        <w:rPr>
          <w:lang w:val="en-US"/>
        </w:rPr>
        <w:t>the need for back</w:t>
      </w:r>
      <w:r w:rsidR="007A2F03" w:rsidRPr="0079384F">
        <w:rPr>
          <w:lang w:val="en-US"/>
        </w:rPr>
        <w:t>-</w:t>
      </w:r>
      <w:r w:rsidR="00FE1D2D" w:rsidRPr="0079384F">
        <w:rPr>
          <w:lang w:val="en-US"/>
        </w:rPr>
        <w:t xml:space="preserve">up power production by </w:t>
      </w:r>
      <w:r w:rsidR="000739F1" w:rsidRPr="0079384F">
        <w:rPr>
          <w:lang w:val="en-US"/>
        </w:rPr>
        <w:t>offshore gas turbines.</w:t>
      </w:r>
      <w:r w:rsidR="007D3161" w:rsidRPr="0079384F">
        <w:rPr>
          <w:lang w:val="en-US"/>
        </w:rPr>
        <w:t xml:space="preserve"> </w:t>
      </w:r>
      <w:r w:rsidR="00BF4A0A" w:rsidRPr="0079384F">
        <w:rPr>
          <w:lang w:val="en-US"/>
        </w:rPr>
        <w:t>In practice, t</w:t>
      </w:r>
      <w:r w:rsidR="007D3161" w:rsidRPr="0079384F">
        <w:rPr>
          <w:lang w:val="en-US"/>
        </w:rPr>
        <w:t xml:space="preserve">he </w:t>
      </w:r>
      <w:r w:rsidR="007A2F03" w:rsidRPr="0079384F">
        <w:rPr>
          <w:lang w:val="en-US"/>
        </w:rPr>
        <w:t xml:space="preserve">“back-up” </w:t>
      </w:r>
      <w:r w:rsidR="007D3161" w:rsidRPr="0079384F">
        <w:rPr>
          <w:lang w:val="en-US"/>
        </w:rPr>
        <w:t xml:space="preserve">gas turbines need to </w:t>
      </w:r>
      <w:r w:rsidR="00675EB1" w:rsidRPr="0079384F">
        <w:rPr>
          <w:lang w:val="en-US"/>
        </w:rPr>
        <w:t>be online almost continuously</w:t>
      </w:r>
      <w:r w:rsidR="00DD1D92" w:rsidRPr="0079384F">
        <w:rPr>
          <w:lang w:val="en-US"/>
        </w:rPr>
        <w:t xml:space="preserve">, and </w:t>
      </w:r>
      <w:r w:rsidR="00FC337E" w:rsidRPr="0079384F">
        <w:rPr>
          <w:lang w:val="en-US"/>
        </w:rPr>
        <w:t xml:space="preserve">operated </w:t>
      </w:r>
      <w:r w:rsidR="00DD1D92" w:rsidRPr="0079384F">
        <w:rPr>
          <w:lang w:val="en-US"/>
        </w:rPr>
        <w:t>sub</w:t>
      </w:r>
      <w:r w:rsidR="00FC337E" w:rsidRPr="0079384F">
        <w:rPr>
          <w:lang w:val="en-US"/>
        </w:rPr>
        <w:t>-</w:t>
      </w:r>
      <w:r w:rsidR="00DD1D92" w:rsidRPr="0079384F">
        <w:rPr>
          <w:lang w:val="en-US"/>
        </w:rPr>
        <w:t>optimally,</w:t>
      </w:r>
      <w:r w:rsidR="00675EB1" w:rsidRPr="0079384F">
        <w:rPr>
          <w:lang w:val="en-US"/>
        </w:rPr>
        <w:t xml:space="preserve"> to account for </w:t>
      </w:r>
      <w:r w:rsidR="002E51D5" w:rsidRPr="0079384F">
        <w:rPr>
          <w:lang w:val="en-US"/>
        </w:rPr>
        <w:t xml:space="preserve">wind variability. </w:t>
      </w:r>
      <w:r w:rsidR="006D477A" w:rsidRPr="0079384F">
        <w:rPr>
          <w:lang w:val="en-US"/>
        </w:rPr>
        <w:t>According to planning projections</w:t>
      </w:r>
      <w:r w:rsidR="007A2F03" w:rsidRPr="0079384F">
        <w:rPr>
          <w:lang w:val="en-US"/>
        </w:rPr>
        <w:t>, as well as</w:t>
      </w:r>
      <w:r w:rsidR="006D477A" w:rsidRPr="0079384F">
        <w:rPr>
          <w:lang w:val="en-US"/>
        </w:rPr>
        <w:t xml:space="preserve"> </w:t>
      </w:r>
      <w:r w:rsidR="006D477A" w:rsidRPr="0079384F">
        <w:rPr>
          <w:i/>
          <w:iCs/>
          <w:lang w:val="en-US"/>
        </w:rPr>
        <w:t>Applied Energy</w:t>
      </w:r>
      <w:r w:rsidR="006D477A" w:rsidRPr="0079384F">
        <w:rPr>
          <w:lang w:val="en-US"/>
        </w:rPr>
        <w:t xml:space="preserve"> by Jan Emblemsvåg</w:t>
      </w:r>
      <w:r w:rsidR="007D31A1" w:rsidRPr="0079384F">
        <w:rPr>
          <w:lang w:val="en-US"/>
        </w:rPr>
        <w:t xml:space="preserve"> [</w:t>
      </w:r>
      <w:r w:rsidR="00B76070" w:rsidRPr="0079384F">
        <w:rPr>
          <w:lang w:val="en-US"/>
        </w:rPr>
        <w:t>10</w:t>
      </w:r>
      <w:r w:rsidR="007D31A1" w:rsidRPr="0079384F">
        <w:rPr>
          <w:lang w:val="en-US"/>
        </w:rPr>
        <w:t>]</w:t>
      </w:r>
      <w:r w:rsidR="006D477A" w:rsidRPr="0079384F">
        <w:rPr>
          <w:lang w:val="en-US"/>
        </w:rPr>
        <w:t xml:space="preserve">, </w:t>
      </w:r>
      <w:r w:rsidR="00A51550" w:rsidRPr="0079384F">
        <w:rPr>
          <w:lang w:val="en-US"/>
        </w:rPr>
        <w:t>80-85 % of the GHG emissions will remain after the offshore wind turbines are connected, leading to approximately 400 g CO</w:t>
      </w:r>
      <w:r w:rsidR="00A51550" w:rsidRPr="0079384F">
        <w:rPr>
          <w:vertAlign w:val="subscript"/>
          <w:lang w:val="en-US"/>
        </w:rPr>
        <w:t>2</w:t>
      </w:r>
      <w:r w:rsidR="00A51550" w:rsidRPr="0079384F">
        <w:rPr>
          <w:lang w:val="en-US"/>
        </w:rPr>
        <w:t xml:space="preserve">/kWh </w:t>
      </w:r>
      <w:r w:rsidR="00451881" w:rsidRPr="0079384F">
        <w:rPr>
          <w:lang w:val="en-US"/>
        </w:rPr>
        <w:t xml:space="preserve">emissions </w:t>
      </w:r>
      <w:r w:rsidR="00A51550" w:rsidRPr="0079384F">
        <w:rPr>
          <w:lang w:val="en-US"/>
        </w:rPr>
        <w:t>for the system</w:t>
      </w:r>
      <w:r w:rsidR="007A2F03" w:rsidRPr="0079384F">
        <w:rPr>
          <w:lang w:val="en-US"/>
        </w:rPr>
        <w:t xml:space="preserve"> (offshore wind and gas turbines for back-up)</w:t>
      </w:r>
      <w:r w:rsidR="00A51550" w:rsidRPr="0079384F">
        <w:rPr>
          <w:lang w:val="en-US"/>
        </w:rPr>
        <w:t>. Yet, this option</w:t>
      </w:r>
      <w:r w:rsidR="001878D1" w:rsidRPr="0079384F">
        <w:rPr>
          <w:lang w:val="en-US"/>
        </w:rPr>
        <w:t xml:space="preserve"> is </w:t>
      </w:r>
      <w:r w:rsidR="00392F35" w:rsidRPr="0079384F">
        <w:rPr>
          <w:lang w:val="en-US"/>
        </w:rPr>
        <w:t>currently</w:t>
      </w:r>
      <w:r w:rsidR="001878D1" w:rsidRPr="0079384F">
        <w:rPr>
          <w:lang w:val="en-US"/>
        </w:rPr>
        <w:t xml:space="preserve"> </w:t>
      </w:r>
      <w:r w:rsidR="00E92179" w:rsidRPr="0079384F">
        <w:rPr>
          <w:lang w:val="en-US"/>
        </w:rPr>
        <w:t>favored</w:t>
      </w:r>
      <w:r w:rsidR="00D8397F" w:rsidRPr="0079384F">
        <w:rPr>
          <w:lang w:val="en-US"/>
        </w:rPr>
        <w:t xml:space="preserve"> </w:t>
      </w:r>
      <w:r w:rsidR="00392F35" w:rsidRPr="0079384F">
        <w:rPr>
          <w:lang w:val="en-US"/>
        </w:rPr>
        <w:t xml:space="preserve">over attempting to connect to the </w:t>
      </w:r>
      <w:r w:rsidR="00A13B57" w:rsidRPr="0079384F">
        <w:rPr>
          <w:lang w:val="en-US"/>
        </w:rPr>
        <w:t>onshore grid,</w:t>
      </w:r>
      <w:r w:rsidR="00316908" w:rsidRPr="0079384F">
        <w:rPr>
          <w:lang w:val="en-US"/>
        </w:rPr>
        <w:t xml:space="preserve"> partly due to low availability of </w:t>
      </w:r>
      <w:r w:rsidR="00F24AEE" w:rsidRPr="0079384F">
        <w:rPr>
          <w:lang w:val="en-US"/>
        </w:rPr>
        <w:t xml:space="preserve">new grid connections, and partly due to political and public sentiment. </w:t>
      </w:r>
    </w:p>
    <w:p w14:paraId="1BF665EB" w14:textId="4F3AD070" w:rsidR="00FE1521" w:rsidRPr="0079384F" w:rsidRDefault="00873061" w:rsidP="00873061">
      <w:pPr>
        <w:pStyle w:val="Brdtekst"/>
        <w:rPr>
          <w:lang w:val="en-US"/>
        </w:rPr>
      </w:pPr>
      <w:r w:rsidRPr="0079384F">
        <w:rPr>
          <w:lang w:val="en-US"/>
        </w:rPr>
        <w:t>Recently,</w:t>
      </w:r>
      <w:r w:rsidR="00316908" w:rsidRPr="0079384F">
        <w:rPr>
          <w:lang w:val="en-US"/>
        </w:rPr>
        <w:t xml:space="preserve"> </w:t>
      </w:r>
      <w:r w:rsidR="00295357" w:rsidRPr="0079384F">
        <w:rPr>
          <w:lang w:val="en-US"/>
        </w:rPr>
        <w:t xml:space="preserve">the first of a kind </w:t>
      </w:r>
      <w:r w:rsidR="00234CFC" w:rsidRPr="0079384F">
        <w:rPr>
          <w:lang w:val="en-US"/>
        </w:rPr>
        <w:t xml:space="preserve">(FOAK) </w:t>
      </w:r>
      <w:r w:rsidR="00295357" w:rsidRPr="0079384F">
        <w:rPr>
          <w:lang w:val="en-US"/>
        </w:rPr>
        <w:t xml:space="preserve">offshore wind-project, Hywind </w:t>
      </w:r>
      <w:r w:rsidR="002C76C0" w:rsidRPr="0079384F">
        <w:rPr>
          <w:lang w:val="en-US"/>
        </w:rPr>
        <w:t xml:space="preserve">Tampen, </w:t>
      </w:r>
      <w:r w:rsidRPr="0079384F">
        <w:rPr>
          <w:lang w:val="en-US"/>
        </w:rPr>
        <w:t xml:space="preserve">was </w:t>
      </w:r>
      <w:r w:rsidR="002C76C0" w:rsidRPr="0079384F">
        <w:rPr>
          <w:lang w:val="en-US"/>
        </w:rPr>
        <w:t xml:space="preserve">put into operation. </w:t>
      </w:r>
      <w:r w:rsidR="00652D13" w:rsidRPr="0079384F">
        <w:rPr>
          <w:lang w:val="en-US"/>
        </w:rPr>
        <w:t xml:space="preserve">This is the </w:t>
      </w:r>
      <w:r w:rsidR="00451881" w:rsidRPr="0079384F">
        <w:rPr>
          <w:lang w:val="en-US"/>
        </w:rPr>
        <w:t>world’s</w:t>
      </w:r>
      <w:r w:rsidR="00652D13" w:rsidRPr="0079384F">
        <w:rPr>
          <w:lang w:val="en-US"/>
        </w:rPr>
        <w:t xml:space="preserve"> largest offshore wind power plant, with an installed capacity of 88 MW, costing almost </w:t>
      </w:r>
      <w:r w:rsidR="0002694A" w:rsidRPr="0079384F">
        <w:rPr>
          <w:lang w:val="en-US"/>
        </w:rPr>
        <w:t xml:space="preserve">1 billion </w:t>
      </w:r>
      <w:r w:rsidR="0002694A" w:rsidRPr="0079384F">
        <w:rPr>
          <w:lang w:val="en-US"/>
        </w:rPr>
        <w:lastRenderedPageBreak/>
        <w:t>Euros.</w:t>
      </w:r>
      <w:r w:rsidRPr="0079384F">
        <w:rPr>
          <w:lang w:val="en-US"/>
        </w:rPr>
        <w:t xml:space="preserve"> </w:t>
      </w:r>
      <w:r w:rsidR="007B5EFD" w:rsidRPr="0079384F">
        <w:rPr>
          <w:lang w:val="en-US"/>
        </w:rPr>
        <w:t xml:space="preserve">At such high costs relative to production and </w:t>
      </w:r>
      <w:r w:rsidR="00252F93" w:rsidRPr="0079384F">
        <w:rPr>
          <w:lang w:val="en-US"/>
        </w:rPr>
        <w:t xml:space="preserve">low </w:t>
      </w:r>
      <w:r w:rsidR="007B5EFD" w:rsidRPr="0079384F">
        <w:rPr>
          <w:lang w:val="en-US"/>
        </w:rPr>
        <w:t xml:space="preserve">cuts in GHG of O&amp;G production, </w:t>
      </w:r>
      <w:r w:rsidR="00220D7E" w:rsidRPr="0079384F">
        <w:rPr>
          <w:lang w:val="en-US"/>
        </w:rPr>
        <w:t xml:space="preserve">such projects are </w:t>
      </w:r>
      <w:r w:rsidR="00122C6F" w:rsidRPr="0079384F">
        <w:rPr>
          <w:lang w:val="en-US"/>
        </w:rPr>
        <w:t>challenging</w:t>
      </w:r>
      <w:r w:rsidR="00220D7E" w:rsidRPr="0079384F">
        <w:rPr>
          <w:lang w:val="en-US"/>
        </w:rPr>
        <w:t xml:space="preserve"> to provide the owners with a positive Net Present Value (NPV)</w:t>
      </w:r>
      <w:r w:rsidR="00122C6F" w:rsidRPr="0079384F">
        <w:rPr>
          <w:lang w:val="en-US"/>
        </w:rPr>
        <w:t xml:space="preserve">, and, as such, significantly hindering further electrification projects. </w:t>
      </w:r>
    </w:p>
    <w:p w14:paraId="2781D7DF" w14:textId="105E93F8" w:rsidR="00C414FF" w:rsidRPr="0079384F" w:rsidRDefault="0053618F" w:rsidP="001536A6">
      <w:pPr>
        <w:pStyle w:val="Overskrift2"/>
        <w:rPr>
          <w:lang w:val="en-US"/>
        </w:rPr>
      </w:pPr>
      <w:r w:rsidRPr="0079384F">
        <w:rPr>
          <w:lang w:val="en-US"/>
        </w:rPr>
        <w:t>TRANSITIONING THE O&amp;G INDUSTRY BY SMRS</w:t>
      </w:r>
    </w:p>
    <w:p w14:paraId="48C3A274" w14:textId="16A9C44F" w:rsidR="006252FE" w:rsidRPr="0079384F" w:rsidRDefault="0017322F" w:rsidP="00252F93">
      <w:pPr>
        <w:pStyle w:val="Brdtekst"/>
        <w:rPr>
          <w:lang w:val="en-US"/>
        </w:rPr>
      </w:pPr>
      <w:r w:rsidRPr="0079384F">
        <w:rPr>
          <w:lang w:val="en-US"/>
        </w:rPr>
        <w:t xml:space="preserve">An alternative strategy </w:t>
      </w:r>
      <w:r w:rsidR="004576ED" w:rsidRPr="0079384F">
        <w:rPr>
          <w:lang w:val="en-US"/>
        </w:rPr>
        <w:t xml:space="preserve">is electrification of the offshore O&amp;G installations by use of partly or fully dedicated SMRs. </w:t>
      </w:r>
      <w:r w:rsidR="002A4223" w:rsidRPr="0079384F">
        <w:rPr>
          <w:lang w:val="en-US"/>
        </w:rPr>
        <w:t xml:space="preserve">Offshore nuclear power plants </w:t>
      </w:r>
      <w:r w:rsidR="00123892" w:rsidRPr="0079384F">
        <w:rPr>
          <w:lang w:val="en-US"/>
        </w:rPr>
        <w:t xml:space="preserve">may be </w:t>
      </w:r>
      <w:r w:rsidR="002A4223" w:rsidRPr="0079384F">
        <w:rPr>
          <w:lang w:val="en-US"/>
        </w:rPr>
        <w:t>attractive option</w:t>
      </w:r>
      <w:r w:rsidR="00123892" w:rsidRPr="0079384F">
        <w:rPr>
          <w:lang w:val="en-US"/>
        </w:rPr>
        <w:t>s</w:t>
      </w:r>
      <w:r w:rsidR="002A4223" w:rsidRPr="0079384F">
        <w:rPr>
          <w:lang w:val="en-US"/>
        </w:rPr>
        <w:t xml:space="preserve"> and may be feasible in the coming decades</w:t>
      </w:r>
      <w:r w:rsidR="00123892" w:rsidRPr="0079384F">
        <w:rPr>
          <w:lang w:val="en-US"/>
        </w:rPr>
        <w:t xml:space="preserve">. However, so as to not </w:t>
      </w:r>
      <w:r w:rsidR="00FD2C1E" w:rsidRPr="0079384F">
        <w:rPr>
          <w:lang w:val="en-US"/>
        </w:rPr>
        <w:t xml:space="preserve">include too many novelties in the </w:t>
      </w:r>
      <w:r w:rsidR="00325C1A" w:rsidRPr="0079384F">
        <w:rPr>
          <w:lang w:val="en-US"/>
        </w:rPr>
        <w:t xml:space="preserve">electrification strategy, a reasonable option is to </w:t>
      </w:r>
      <w:r w:rsidR="003E1B7E" w:rsidRPr="0079384F">
        <w:rPr>
          <w:lang w:val="en-US"/>
        </w:rPr>
        <w:t xml:space="preserve">site the SMRs </w:t>
      </w:r>
      <w:r w:rsidR="00770D33" w:rsidRPr="0079384F">
        <w:rPr>
          <w:lang w:val="en-US"/>
        </w:rPr>
        <w:t xml:space="preserve">conventionally, </w:t>
      </w:r>
      <w:r w:rsidR="003E1B7E" w:rsidRPr="0079384F">
        <w:rPr>
          <w:lang w:val="en-US"/>
        </w:rPr>
        <w:t>onshore</w:t>
      </w:r>
      <w:r w:rsidR="00770D33" w:rsidRPr="0079384F">
        <w:rPr>
          <w:lang w:val="en-US"/>
        </w:rPr>
        <w:t>,</w:t>
      </w:r>
      <w:r w:rsidR="003E1B7E" w:rsidRPr="0079384F">
        <w:rPr>
          <w:lang w:val="en-US"/>
        </w:rPr>
        <w:t xml:space="preserve"> and connect to offshore installations via existing or new sea cables. </w:t>
      </w:r>
      <w:r w:rsidR="006252FE" w:rsidRPr="0079384F">
        <w:rPr>
          <w:lang w:val="en-US"/>
        </w:rPr>
        <w:t>This way, the SMRs may also be used to electrify onshore installations, supporting additional industries like steel manufacturing, mineral processing, fertilizer production, marine food production such as salmon</w:t>
      </w:r>
      <w:r w:rsidR="006656B4" w:rsidRPr="0079384F">
        <w:rPr>
          <w:lang w:val="en-US"/>
        </w:rPr>
        <w:t xml:space="preserve"> </w:t>
      </w:r>
      <w:r w:rsidR="00F04C7F" w:rsidRPr="0079384F">
        <w:rPr>
          <w:lang w:val="en-US"/>
        </w:rPr>
        <w:t xml:space="preserve">onshore </w:t>
      </w:r>
      <w:r w:rsidR="006656B4" w:rsidRPr="0079384F">
        <w:rPr>
          <w:lang w:val="en-US"/>
        </w:rPr>
        <w:t>aquaculture</w:t>
      </w:r>
      <w:r w:rsidR="006252FE" w:rsidRPr="0079384F">
        <w:rPr>
          <w:lang w:val="en-US"/>
        </w:rPr>
        <w:t xml:space="preserve">, </w:t>
      </w:r>
      <w:r w:rsidR="00451881" w:rsidRPr="0079384F">
        <w:rPr>
          <w:lang w:val="en-US"/>
        </w:rPr>
        <w:t xml:space="preserve">battery factories, </w:t>
      </w:r>
      <w:r w:rsidR="006252FE" w:rsidRPr="0079384F">
        <w:rPr>
          <w:lang w:val="en-US"/>
        </w:rPr>
        <w:t>datacenters etc. and increasing the redundancy and security of supply of the onshore grid</w:t>
      </w:r>
      <w:r w:rsidR="00504810" w:rsidRPr="0079384F">
        <w:rPr>
          <w:lang w:val="en-US"/>
        </w:rPr>
        <w:t>.</w:t>
      </w:r>
    </w:p>
    <w:p w14:paraId="2214F8BD" w14:textId="06A32A66" w:rsidR="0066292D" w:rsidRPr="0079384F" w:rsidRDefault="00F955D3" w:rsidP="009C3037">
      <w:pPr>
        <w:pStyle w:val="Brdtekst"/>
        <w:ind w:firstLine="0"/>
        <w:rPr>
          <w:lang w:val="en-US"/>
        </w:rPr>
      </w:pPr>
      <w:r w:rsidRPr="0079384F">
        <w:rPr>
          <w:lang w:val="en-US"/>
        </w:rPr>
        <w:tab/>
      </w:r>
      <w:r w:rsidR="00451881" w:rsidRPr="0079384F">
        <w:rPr>
          <w:lang w:val="en-US"/>
        </w:rPr>
        <w:t xml:space="preserve">At the shores </w:t>
      </w:r>
      <w:r w:rsidRPr="0079384F">
        <w:rPr>
          <w:lang w:val="en-US"/>
        </w:rPr>
        <w:t>near</w:t>
      </w:r>
      <w:r w:rsidR="00DF0533" w:rsidRPr="0079384F">
        <w:rPr>
          <w:lang w:val="en-US"/>
        </w:rPr>
        <w:t xml:space="preserve"> offshore</w:t>
      </w:r>
      <w:r w:rsidRPr="0079384F">
        <w:rPr>
          <w:lang w:val="en-US"/>
        </w:rPr>
        <w:t xml:space="preserve"> O&amp;G installations there</w:t>
      </w:r>
      <w:r w:rsidR="00451881" w:rsidRPr="0079384F">
        <w:rPr>
          <w:lang w:val="en-US"/>
        </w:rPr>
        <w:t xml:space="preserve"> are usually many</w:t>
      </w:r>
      <w:r w:rsidR="00ED1EB6" w:rsidRPr="0079384F">
        <w:rPr>
          <w:lang w:val="en-US"/>
        </w:rPr>
        <w:t xml:space="preserve"> sites available where </w:t>
      </w:r>
      <w:r w:rsidR="00DF0533" w:rsidRPr="0079384F">
        <w:rPr>
          <w:lang w:val="en-US"/>
        </w:rPr>
        <w:t>infrastructure serving the existing O&amp;G installations is already in place, such as ports</w:t>
      </w:r>
      <w:r w:rsidR="009010D6" w:rsidRPr="0079384F">
        <w:rPr>
          <w:lang w:val="en-US"/>
        </w:rPr>
        <w:t xml:space="preserve">, service businesses, access roads, </w:t>
      </w:r>
      <w:r w:rsidR="007C2FF4" w:rsidRPr="0079384F">
        <w:rPr>
          <w:lang w:val="en-US"/>
        </w:rPr>
        <w:t>human resources</w:t>
      </w:r>
      <w:r w:rsidR="005E3E35" w:rsidRPr="0079384F">
        <w:rPr>
          <w:lang w:val="en-US"/>
        </w:rPr>
        <w:t xml:space="preserve">, </w:t>
      </w:r>
      <w:r w:rsidR="009010D6" w:rsidRPr="0079384F">
        <w:rPr>
          <w:lang w:val="en-US"/>
        </w:rPr>
        <w:t>available housing</w:t>
      </w:r>
      <w:r w:rsidR="005E3E35" w:rsidRPr="0079384F">
        <w:rPr>
          <w:lang w:val="en-US"/>
        </w:rPr>
        <w:t xml:space="preserve"> or land for housing</w:t>
      </w:r>
      <w:r w:rsidR="000959DA" w:rsidRPr="0079384F">
        <w:rPr>
          <w:lang w:val="en-US"/>
        </w:rPr>
        <w:t xml:space="preserve"> etc. Such sites also provide ample access to year-round cold water for efficient cooling </w:t>
      </w:r>
      <w:r w:rsidR="007C2FF4" w:rsidRPr="0079384F">
        <w:rPr>
          <w:lang w:val="en-US"/>
        </w:rPr>
        <w:t>of the SMRs</w:t>
      </w:r>
      <w:r w:rsidR="00A27E5E" w:rsidRPr="0079384F">
        <w:rPr>
          <w:lang w:val="en-US"/>
        </w:rPr>
        <w:t>, which is</w:t>
      </w:r>
      <w:r w:rsidR="000C7F5C" w:rsidRPr="0079384F">
        <w:rPr>
          <w:lang w:val="en-US"/>
        </w:rPr>
        <w:t xml:space="preserve"> easily accessible throughout </w:t>
      </w:r>
      <w:r w:rsidR="00A74595" w:rsidRPr="0079384F">
        <w:rPr>
          <w:lang w:val="en-US"/>
        </w:rPr>
        <w:t xml:space="preserve">the Norwegian coastline (Norway has the second longest coastline in the world). </w:t>
      </w:r>
    </w:p>
    <w:p w14:paraId="55AB338A" w14:textId="77777777" w:rsidR="0066292D" w:rsidRPr="0079384F" w:rsidRDefault="0066292D" w:rsidP="009C3037">
      <w:pPr>
        <w:pStyle w:val="Brdtekst"/>
        <w:ind w:firstLine="0"/>
        <w:rPr>
          <w:lang w:val="en-US"/>
        </w:rPr>
      </w:pPr>
    </w:p>
    <w:p w14:paraId="06DA9616" w14:textId="634D7944" w:rsidR="004576ED" w:rsidRPr="0079384F" w:rsidRDefault="002A4AF5" w:rsidP="001536A6">
      <w:pPr>
        <w:pStyle w:val="Overskrift3"/>
        <w:rPr>
          <w:lang w:val="en-US"/>
        </w:rPr>
      </w:pPr>
      <w:r w:rsidRPr="0079384F">
        <w:rPr>
          <w:lang w:val="en-US"/>
        </w:rPr>
        <w:t>The investment case</w:t>
      </w:r>
    </w:p>
    <w:p w14:paraId="4D51DD0B" w14:textId="6FB655FB" w:rsidR="00E723D5" w:rsidRPr="0079384F" w:rsidRDefault="0000044D" w:rsidP="00321DF1">
      <w:pPr>
        <w:pStyle w:val="Brdtekst"/>
        <w:rPr>
          <w:lang w:val="en-US"/>
        </w:rPr>
      </w:pPr>
      <w:r w:rsidRPr="0079384F">
        <w:rPr>
          <w:lang w:val="en-US"/>
        </w:rPr>
        <w:t>A</w:t>
      </w:r>
      <w:r w:rsidR="00331B96" w:rsidRPr="0079384F">
        <w:rPr>
          <w:lang w:val="en-US"/>
        </w:rPr>
        <w:t xml:space="preserve">n </w:t>
      </w:r>
      <w:r w:rsidR="0019719E" w:rsidRPr="0079384F">
        <w:rPr>
          <w:lang w:val="en-US"/>
        </w:rPr>
        <w:t>Overnight Cost of Capital (OCC)</w:t>
      </w:r>
      <w:r w:rsidR="00BA3DEB" w:rsidRPr="0079384F">
        <w:rPr>
          <w:lang w:val="en-US"/>
        </w:rPr>
        <w:t xml:space="preserve"> </w:t>
      </w:r>
      <w:r w:rsidRPr="0079384F">
        <w:rPr>
          <w:lang w:val="en-US"/>
        </w:rPr>
        <w:t>of approximately 1-2 billion Euros per SMR</w:t>
      </w:r>
      <w:r w:rsidR="00AF2966" w:rsidRPr="0079384F">
        <w:rPr>
          <w:lang w:val="en-US"/>
        </w:rPr>
        <w:t xml:space="preserve"> </w:t>
      </w:r>
      <w:r w:rsidR="00D17226" w:rsidRPr="0079384F">
        <w:rPr>
          <w:lang w:val="en-US"/>
        </w:rPr>
        <w:t xml:space="preserve">producing approximately </w:t>
      </w:r>
      <w:r w:rsidR="009C3037" w:rsidRPr="0079384F">
        <w:rPr>
          <w:lang w:val="en-US"/>
        </w:rPr>
        <w:t>300 MW electric</w:t>
      </w:r>
      <w:r w:rsidR="00E723D5" w:rsidRPr="0079384F">
        <w:rPr>
          <w:lang w:val="en-US"/>
        </w:rPr>
        <w:t xml:space="preserve"> is </w:t>
      </w:r>
      <w:r w:rsidR="00F201A9" w:rsidRPr="0079384F">
        <w:rPr>
          <w:lang w:val="en-US"/>
        </w:rPr>
        <w:t xml:space="preserve">generally </w:t>
      </w:r>
      <w:r w:rsidR="00E723D5" w:rsidRPr="0079384F">
        <w:rPr>
          <w:lang w:val="en-US"/>
        </w:rPr>
        <w:t xml:space="preserve">anticipated for a NOAK SMR, close to NOAK, or </w:t>
      </w:r>
      <w:r w:rsidR="008D2AF8" w:rsidRPr="0079384F">
        <w:rPr>
          <w:lang w:val="en-US"/>
        </w:rPr>
        <w:t>as a unit cost when constructing a fleet of SMRs.</w:t>
      </w:r>
      <w:r w:rsidR="00F201A9" w:rsidRPr="0079384F">
        <w:rPr>
          <w:lang w:val="en-US"/>
        </w:rPr>
        <w:t xml:space="preserve"> </w:t>
      </w:r>
      <w:r w:rsidR="00BE2907" w:rsidRPr="0079384F">
        <w:rPr>
          <w:lang w:val="en-US"/>
        </w:rPr>
        <w:t>This</w:t>
      </w:r>
      <w:r w:rsidR="00BA3DEB" w:rsidRPr="0079384F">
        <w:rPr>
          <w:lang w:val="en-US"/>
        </w:rPr>
        <w:t xml:space="preserve"> investment</w:t>
      </w:r>
      <w:r w:rsidR="00BE2907" w:rsidRPr="0079384F">
        <w:rPr>
          <w:lang w:val="en-US"/>
        </w:rPr>
        <w:t xml:space="preserve"> level may be </w:t>
      </w:r>
      <w:r w:rsidR="00B33F70" w:rsidRPr="0079384F">
        <w:rPr>
          <w:lang w:val="en-US"/>
        </w:rPr>
        <w:t xml:space="preserve">comparable to the cost of developing and establishing an oil field with a potential production of </w:t>
      </w:r>
      <w:r w:rsidR="0095082E" w:rsidRPr="0079384F">
        <w:rPr>
          <w:lang w:val="en-US"/>
        </w:rPr>
        <w:t>fifty to one hundred million barrels of oil</w:t>
      </w:r>
      <w:r w:rsidR="00E70C68" w:rsidRPr="0079384F">
        <w:rPr>
          <w:lang w:val="en-US"/>
        </w:rPr>
        <w:t xml:space="preserve"> per year</w:t>
      </w:r>
      <w:r w:rsidR="0095082E" w:rsidRPr="0079384F">
        <w:rPr>
          <w:lang w:val="en-US"/>
        </w:rPr>
        <w:t xml:space="preserve">. </w:t>
      </w:r>
      <w:r w:rsidR="001C5E0D" w:rsidRPr="0079384F">
        <w:rPr>
          <w:lang w:val="en-US"/>
        </w:rPr>
        <w:t>Ho</w:t>
      </w:r>
      <w:r w:rsidR="006E0854" w:rsidRPr="0079384F">
        <w:rPr>
          <w:lang w:val="en-US"/>
        </w:rPr>
        <w:t xml:space="preserve">wever, </w:t>
      </w:r>
      <w:r w:rsidR="001C5E0D" w:rsidRPr="0079384F">
        <w:rPr>
          <w:lang w:val="en-US"/>
        </w:rPr>
        <w:t xml:space="preserve">the actual size of the field, how much </w:t>
      </w:r>
      <w:r w:rsidR="006E4DCE" w:rsidRPr="0079384F">
        <w:rPr>
          <w:lang w:val="en-US"/>
        </w:rPr>
        <w:t xml:space="preserve">oil may technically be extracted, </w:t>
      </w:r>
      <w:r w:rsidR="00275DBC" w:rsidRPr="0079384F">
        <w:rPr>
          <w:lang w:val="en-US"/>
        </w:rPr>
        <w:t xml:space="preserve">and </w:t>
      </w:r>
      <w:r w:rsidR="006E4DCE" w:rsidRPr="0079384F">
        <w:rPr>
          <w:lang w:val="en-US"/>
        </w:rPr>
        <w:t xml:space="preserve">the selling price of the oil, </w:t>
      </w:r>
      <w:r w:rsidR="00275DBC" w:rsidRPr="0079384F">
        <w:rPr>
          <w:lang w:val="en-US"/>
        </w:rPr>
        <w:t xml:space="preserve">adds uncertainties and financial risks. </w:t>
      </w:r>
      <w:r w:rsidR="006E2869" w:rsidRPr="0079384F">
        <w:rPr>
          <w:lang w:val="en-US"/>
        </w:rPr>
        <w:t xml:space="preserve">Lately, political decisions and increasing carbon taxes </w:t>
      </w:r>
      <w:r w:rsidR="00451881" w:rsidRPr="0079384F">
        <w:rPr>
          <w:lang w:val="en-US"/>
        </w:rPr>
        <w:t>are</w:t>
      </w:r>
      <w:r w:rsidR="006E2869" w:rsidRPr="0079384F">
        <w:rPr>
          <w:lang w:val="en-US"/>
        </w:rPr>
        <w:t xml:space="preserve"> increasing risks associated with </w:t>
      </w:r>
      <w:r w:rsidR="00451881" w:rsidRPr="0079384F">
        <w:rPr>
          <w:lang w:val="en-US"/>
        </w:rPr>
        <w:t xml:space="preserve">such </w:t>
      </w:r>
      <w:r w:rsidR="006E2869" w:rsidRPr="0079384F">
        <w:rPr>
          <w:lang w:val="en-US"/>
        </w:rPr>
        <w:t>investment</w:t>
      </w:r>
      <w:r w:rsidR="00451881" w:rsidRPr="0079384F">
        <w:rPr>
          <w:lang w:val="en-US"/>
        </w:rPr>
        <w:t>s</w:t>
      </w:r>
      <w:r w:rsidR="00D5161F">
        <w:rPr>
          <w:lang w:val="en-US"/>
        </w:rPr>
        <w:t xml:space="preserve"> further</w:t>
      </w:r>
      <w:r w:rsidR="008424FB" w:rsidRPr="0079384F">
        <w:rPr>
          <w:lang w:val="en-US"/>
        </w:rPr>
        <w:t xml:space="preserve">. </w:t>
      </w:r>
      <w:r w:rsidR="00AE1812" w:rsidRPr="0079384F">
        <w:rPr>
          <w:lang w:val="en-US"/>
        </w:rPr>
        <w:t xml:space="preserve">Compared to SMRs, which will benefit from stable </w:t>
      </w:r>
      <w:r w:rsidR="00574A6D" w:rsidRPr="0079384F">
        <w:rPr>
          <w:lang w:val="en-US"/>
        </w:rPr>
        <w:t xml:space="preserve">and far greater energy </w:t>
      </w:r>
      <w:r w:rsidR="00AE1812" w:rsidRPr="0079384F">
        <w:rPr>
          <w:lang w:val="en-US"/>
        </w:rPr>
        <w:t>production</w:t>
      </w:r>
      <w:r w:rsidR="00574A6D" w:rsidRPr="0079384F">
        <w:rPr>
          <w:lang w:val="en-US"/>
        </w:rPr>
        <w:t xml:space="preserve"> during its lifetime</w:t>
      </w:r>
      <w:r w:rsidR="00AE1812" w:rsidRPr="0079384F">
        <w:rPr>
          <w:lang w:val="en-US"/>
        </w:rPr>
        <w:t xml:space="preserve">, political </w:t>
      </w:r>
      <w:r w:rsidR="001127E5" w:rsidRPr="0079384F">
        <w:rPr>
          <w:lang w:val="en-US"/>
        </w:rPr>
        <w:t xml:space="preserve">and public </w:t>
      </w:r>
      <w:r w:rsidR="00AE1812" w:rsidRPr="0079384F">
        <w:rPr>
          <w:lang w:val="en-US"/>
        </w:rPr>
        <w:t>good-will,</w:t>
      </w:r>
      <w:r w:rsidR="001127E5" w:rsidRPr="0079384F">
        <w:rPr>
          <w:lang w:val="en-US"/>
        </w:rPr>
        <w:t xml:space="preserve"> </w:t>
      </w:r>
      <w:r w:rsidR="00961EBA" w:rsidRPr="0079384F">
        <w:rPr>
          <w:lang w:val="en-US"/>
        </w:rPr>
        <w:t>increased</w:t>
      </w:r>
      <w:r w:rsidR="00AE1812" w:rsidRPr="0079384F">
        <w:rPr>
          <w:lang w:val="en-US"/>
        </w:rPr>
        <w:t xml:space="preserve"> competitiveness due to</w:t>
      </w:r>
      <w:r w:rsidR="00574A6D" w:rsidRPr="0079384F">
        <w:rPr>
          <w:lang w:val="en-US"/>
        </w:rPr>
        <w:t xml:space="preserve"> carbon taxes</w:t>
      </w:r>
      <w:r w:rsidR="001127E5" w:rsidRPr="0079384F">
        <w:rPr>
          <w:lang w:val="en-US"/>
        </w:rPr>
        <w:t xml:space="preserve">, </w:t>
      </w:r>
      <w:r w:rsidR="0083195C" w:rsidRPr="0079384F">
        <w:rPr>
          <w:lang w:val="en-US"/>
        </w:rPr>
        <w:t xml:space="preserve">and low and predictable operational costs, </w:t>
      </w:r>
      <w:r w:rsidR="001127E5" w:rsidRPr="0079384F">
        <w:rPr>
          <w:lang w:val="en-US"/>
        </w:rPr>
        <w:t xml:space="preserve">the investment </w:t>
      </w:r>
      <w:r w:rsidR="002C3B8A" w:rsidRPr="0079384F">
        <w:rPr>
          <w:lang w:val="en-US"/>
        </w:rPr>
        <w:t xml:space="preserve">risk is lower, particularly if NOAK SMRs or a fleet of SMRs </w:t>
      </w:r>
      <w:r w:rsidR="00A07380" w:rsidRPr="0079384F">
        <w:rPr>
          <w:lang w:val="en-US"/>
        </w:rPr>
        <w:t xml:space="preserve">serving multiple industries are employed. </w:t>
      </w:r>
    </w:p>
    <w:p w14:paraId="3376EF89" w14:textId="31B8C70E" w:rsidR="00A07380" w:rsidRPr="0079384F" w:rsidRDefault="00A07380" w:rsidP="009C3037">
      <w:pPr>
        <w:pStyle w:val="Brdtekst"/>
        <w:ind w:firstLine="0"/>
        <w:rPr>
          <w:lang w:val="en-US"/>
        </w:rPr>
      </w:pPr>
      <w:r w:rsidRPr="0079384F">
        <w:rPr>
          <w:lang w:val="en-US"/>
        </w:rPr>
        <w:tab/>
        <w:t xml:space="preserve">Furthermore, there are great potential </w:t>
      </w:r>
      <w:r w:rsidR="0047035B" w:rsidRPr="0079384F">
        <w:rPr>
          <w:lang w:val="en-US"/>
        </w:rPr>
        <w:t xml:space="preserve">prospects for asset value increase even after </w:t>
      </w:r>
      <w:r w:rsidR="00CC59E0">
        <w:rPr>
          <w:lang w:val="en-US"/>
        </w:rPr>
        <w:t>c</w:t>
      </w:r>
      <w:r w:rsidR="00CC59E0" w:rsidRPr="0079384F">
        <w:rPr>
          <w:lang w:val="en-US"/>
        </w:rPr>
        <w:t xml:space="preserve">ommercial </w:t>
      </w:r>
      <w:r w:rsidR="00CC59E0">
        <w:rPr>
          <w:lang w:val="en-US"/>
        </w:rPr>
        <w:t>o</w:t>
      </w:r>
      <w:r w:rsidR="00CC59E0" w:rsidRPr="0079384F">
        <w:rPr>
          <w:lang w:val="en-US"/>
        </w:rPr>
        <w:t xml:space="preserve">peration </w:t>
      </w:r>
      <w:r w:rsidR="00CC59E0">
        <w:rPr>
          <w:lang w:val="en-US"/>
        </w:rPr>
        <w:t>d</w:t>
      </w:r>
      <w:r w:rsidR="00CC59E0" w:rsidRPr="0079384F">
        <w:rPr>
          <w:lang w:val="en-US"/>
        </w:rPr>
        <w:t xml:space="preserve">ate </w:t>
      </w:r>
      <w:r w:rsidR="0047035B" w:rsidRPr="0079384F">
        <w:rPr>
          <w:lang w:val="en-US"/>
        </w:rPr>
        <w:t xml:space="preserve">(COD), </w:t>
      </w:r>
      <w:r w:rsidR="006B6AD3" w:rsidRPr="0079384F">
        <w:rPr>
          <w:lang w:val="en-US"/>
        </w:rPr>
        <w:t xml:space="preserve">due to </w:t>
      </w:r>
      <w:r w:rsidR="000937B0" w:rsidRPr="0079384F">
        <w:rPr>
          <w:lang w:val="en-US"/>
        </w:rPr>
        <w:t>possible</w:t>
      </w:r>
      <w:r w:rsidR="006B6AD3" w:rsidRPr="0079384F">
        <w:rPr>
          <w:lang w:val="en-US"/>
        </w:rPr>
        <w:t xml:space="preserve"> plant uprates, increasing energy production </w:t>
      </w:r>
      <w:r w:rsidR="006516E0" w:rsidRPr="0079384F">
        <w:rPr>
          <w:lang w:val="en-US"/>
        </w:rPr>
        <w:t xml:space="preserve">via technical modifications, and </w:t>
      </w:r>
      <w:r w:rsidR="000937B0" w:rsidRPr="0079384F">
        <w:rPr>
          <w:lang w:val="en-US"/>
        </w:rPr>
        <w:t xml:space="preserve">utilization of heat using </w:t>
      </w:r>
      <w:r w:rsidR="00DE2D8E" w:rsidRPr="0079384F">
        <w:rPr>
          <w:lang w:val="en-US"/>
        </w:rPr>
        <w:t xml:space="preserve">techniques not available or applied </w:t>
      </w:r>
      <w:r w:rsidR="009F35B8" w:rsidRPr="0079384F">
        <w:rPr>
          <w:lang w:val="en-US"/>
        </w:rPr>
        <w:t xml:space="preserve">initially, such as </w:t>
      </w:r>
      <w:r w:rsidR="00315E92" w:rsidRPr="0079384F">
        <w:rPr>
          <w:lang w:val="en-US"/>
        </w:rPr>
        <w:t xml:space="preserve">some prospective </w:t>
      </w:r>
      <w:r w:rsidR="00C52595" w:rsidRPr="0079384F">
        <w:rPr>
          <w:lang w:val="en-US"/>
        </w:rPr>
        <w:t xml:space="preserve">hydrogen production </w:t>
      </w:r>
      <w:r w:rsidR="00EF5FE1" w:rsidRPr="0079384F">
        <w:rPr>
          <w:lang w:val="en-US"/>
        </w:rPr>
        <w:t>technologies</w:t>
      </w:r>
      <w:r w:rsidR="00C52595" w:rsidRPr="0079384F">
        <w:rPr>
          <w:lang w:val="en-US"/>
        </w:rPr>
        <w:t xml:space="preserve"> like </w:t>
      </w:r>
      <w:r w:rsidR="00CC59E0">
        <w:rPr>
          <w:lang w:val="en-US"/>
        </w:rPr>
        <w:t>s</w:t>
      </w:r>
      <w:r w:rsidR="00CC59E0" w:rsidRPr="0079384F">
        <w:rPr>
          <w:lang w:val="en-US"/>
        </w:rPr>
        <w:t xml:space="preserve">olid </w:t>
      </w:r>
      <w:r w:rsidR="00CC59E0">
        <w:rPr>
          <w:lang w:val="en-US"/>
        </w:rPr>
        <w:t>o</w:t>
      </w:r>
      <w:r w:rsidR="00CC59E0" w:rsidRPr="0079384F">
        <w:rPr>
          <w:lang w:val="en-US"/>
        </w:rPr>
        <w:t xml:space="preserve">xide </w:t>
      </w:r>
      <w:r w:rsidR="00CC59E0">
        <w:rPr>
          <w:lang w:val="en-US"/>
        </w:rPr>
        <w:t>e</w:t>
      </w:r>
      <w:r w:rsidR="00F56821" w:rsidRPr="0079384F">
        <w:rPr>
          <w:lang w:val="en-US"/>
        </w:rPr>
        <w:t xml:space="preserve">lectrolysis </w:t>
      </w:r>
      <w:r w:rsidR="008628CA" w:rsidRPr="0079384F">
        <w:rPr>
          <w:lang w:val="en-US"/>
        </w:rPr>
        <w:t xml:space="preserve">(SOE), </w:t>
      </w:r>
      <w:r w:rsidR="00CC59E0">
        <w:rPr>
          <w:lang w:val="en-US"/>
        </w:rPr>
        <w:t>c</w:t>
      </w:r>
      <w:r w:rsidR="008628CA" w:rsidRPr="0079384F">
        <w:rPr>
          <w:lang w:val="en-US"/>
        </w:rPr>
        <w:t xml:space="preserve">arbon </w:t>
      </w:r>
      <w:r w:rsidR="00CC59E0">
        <w:rPr>
          <w:lang w:val="en-US"/>
        </w:rPr>
        <w:t>c</w:t>
      </w:r>
      <w:r w:rsidR="008628CA" w:rsidRPr="0079384F">
        <w:rPr>
          <w:lang w:val="en-US"/>
        </w:rPr>
        <w:t xml:space="preserve">apture and </w:t>
      </w:r>
      <w:r w:rsidR="00CC59E0">
        <w:rPr>
          <w:lang w:val="en-US"/>
        </w:rPr>
        <w:t>s</w:t>
      </w:r>
      <w:r w:rsidR="00CC59E0" w:rsidRPr="0079384F">
        <w:rPr>
          <w:lang w:val="en-US"/>
        </w:rPr>
        <w:t xml:space="preserve">torage </w:t>
      </w:r>
      <w:r w:rsidR="008628CA" w:rsidRPr="0079384F">
        <w:rPr>
          <w:lang w:val="en-US"/>
        </w:rPr>
        <w:t xml:space="preserve">(CCS) or </w:t>
      </w:r>
      <w:r w:rsidR="00CC59E0">
        <w:rPr>
          <w:lang w:val="en-US"/>
        </w:rPr>
        <w:t>u</w:t>
      </w:r>
      <w:r w:rsidR="00CC59E0" w:rsidRPr="0079384F">
        <w:rPr>
          <w:lang w:val="en-US"/>
        </w:rPr>
        <w:t xml:space="preserve">tilization </w:t>
      </w:r>
      <w:r w:rsidR="008628CA" w:rsidRPr="0079384F">
        <w:rPr>
          <w:lang w:val="en-US"/>
        </w:rPr>
        <w:t>(CCU)</w:t>
      </w:r>
      <w:r w:rsidR="00A343B7" w:rsidRPr="0079384F">
        <w:rPr>
          <w:lang w:val="en-US"/>
        </w:rPr>
        <w:t xml:space="preserve">, fish farming, or cooling- or freezing techniques. </w:t>
      </w:r>
      <w:r w:rsidR="00CB6DFD" w:rsidRPr="0079384F">
        <w:rPr>
          <w:lang w:val="en-US"/>
        </w:rPr>
        <w:t>If only 10 % of the</w:t>
      </w:r>
      <w:r w:rsidR="00FB0C7C" w:rsidRPr="0079384F">
        <w:rPr>
          <w:lang w:val="en-US"/>
        </w:rPr>
        <w:t xml:space="preserve"> excess heat from a light water reactor may be utilized</w:t>
      </w:r>
      <w:r w:rsidR="0063465B" w:rsidRPr="0079384F">
        <w:rPr>
          <w:lang w:val="en-US"/>
        </w:rPr>
        <w:t>, this may increase the volume of sold energy by 20 %</w:t>
      </w:r>
      <w:r w:rsidR="00B66AD4" w:rsidRPr="0079384F">
        <w:rPr>
          <w:lang w:val="en-US"/>
        </w:rPr>
        <w:t xml:space="preserve">, indicating great potential for </w:t>
      </w:r>
      <w:r w:rsidR="00255C52" w:rsidRPr="0079384F">
        <w:rPr>
          <w:lang w:val="en-US"/>
        </w:rPr>
        <w:t>such prospects.</w:t>
      </w:r>
      <w:r w:rsidR="00B66AD4" w:rsidRPr="0079384F">
        <w:rPr>
          <w:lang w:val="en-US"/>
        </w:rPr>
        <w:t xml:space="preserve"> </w:t>
      </w:r>
    </w:p>
    <w:p w14:paraId="2CC72735" w14:textId="50995286" w:rsidR="00BA7534" w:rsidRPr="0079384F" w:rsidRDefault="00BA7534" w:rsidP="00AD68FF">
      <w:pPr>
        <w:pStyle w:val="Brdtekst"/>
        <w:ind w:firstLine="360"/>
        <w:rPr>
          <w:lang w:val="en-US"/>
        </w:rPr>
      </w:pPr>
      <w:r w:rsidRPr="0079384F">
        <w:rPr>
          <w:lang w:val="en-US"/>
        </w:rPr>
        <w:t xml:space="preserve">For investments </w:t>
      </w:r>
      <w:r w:rsidR="00B51C39" w:rsidRPr="0079384F">
        <w:rPr>
          <w:lang w:val="en-US"/>
        </w:rPr>
        <w:t xml:space="preserve">in the O&amp;G industry, the Petroleum Taxation Act, Act no. 35 of 13 June 1975, </w:t>
      </w:r>
      <w:r w:rsidR="00BA0FBA" w:rsidRPr="0079384F">
        <w:rPr>
          <w:lang w:val="en-US"/>
        </w:rPr>
        <w:t xml:space="preserve">also </w:t>
      </w:r>
      <w:r w:rsidR="003D6D7D" w:rsidRPr="0079384F">
        <w:rPr>
          <w:lang w:val="en-US"/>
        </w:rPr>
        <w:t>provides opportunities to de-risk investment</w:t>
      </w:r>
      <w:r w:rsidR="00BA0FBA" w:rsidRPr="0079384F">
        <w:rPr>
          <w:lang w:val="en-US"/>
        </w:rPr>
        <w:t>s</w:t>
      </w:r>
      <w:r w:rsidR="0050586F" w:rsidRPr="0079384F">
        <w:rPr>
          <w:lang w:val="en-US"/>
        </w:rPr>
        <w:t xml:space="preserve">, as investments securing production of O&amp;G, such as an SMR </w:t>
      </w:r>
      <w:r w:rsidR="00DF5E24" w:rsidRPr="0079384F">
        <w:rPr>
          <w:lang w:val="en-US"/>
        </w:rPr>
        <w:t>securing</w:t>
      </w:r>
      <w:r w:rsidR="0050586F" w:rsidRPr="0079384F">
        <w:rPr>
          <w:lang w:val="en-US"/>
        </w:rPr>
        <w:t xml:space="preserve"> </w:t>
      </w:r>
      <w:r w:rsidR="00EF7505" w:rsidRPr="0079384F">
        <w:rPr>
          <w:lang w:val="en-US"/>
        </w:rPr>
        <w:t>lower emissions</w:t>
      </w:r>
      <w:r w:rsidR="0050586F" w:rsidRPr="0079384F">
        <w:rPr>
          <w:lang w:val="en-US"/>
        </w:rPr>
        <w:t xml:space="preserve"> </w:t>
      </w:r>
      <w:r w:rsidR="00EF7505" w:rsidRPr="0079384F">
        <w:rPr>
          <w:lang w:val="en-US"/>
        </w:rPr>
        <w:t xml:space="preserve">O&amp;G production, </w:t>
      </w:r>
      <w:r w:rsidR="00DF5E24" w:rsidRPr="0079384F">
        <w:rPr>
          <w:lang w:val="en-US"/>
        </w:rPr>
        <w:t>will</w:t>
      </w:r>
      <w:r w:rsidR="00824B27" w:rsidRPr="0079384F">
        <w:rPr>
          <w:lang w:val="en-US"/>
        </w:rPr>
        <w:t xml:space="preserve"> be entitled to tax deductions of approximately 78 % of the </w:t>
      </w:r>
      <w:r w:rsidR="00331B96" w:rsidRPr="0079384F">
        <w:rPr>
          <w:lang w:val="en-US"/>
        </w:rPr>
        <w:t>investment</w:t>
      </w:r>
      <w:r w:rsidR="00824B27" w:rsidRPr="0079384F">
        <w:rPr>
          <w:lang w:val="en-US"/>
        </w:rPr>
        <w:t xml:space="preserve">. This </w:t>
      </w:r>
      <w:r w:rsidR="00234132" w:rsidRPr="0079384F">
        <w:rPr>
          <w:lang w:val="en-US"/>
        </w:rPr>
        <w:t>mechanism has already been demonstrated for power production facilities dedicated to electrification of O&amp;G platforms, such as the offshore wind project Hywind Tampen</w:t>
      </w:r>
      <w:r w:rsidR="00173315" w:rsidRPr="0079384F">
        <w:rPr>
          <w:lang w:val="en-US"/>
        </w:rPr>
        <w:t>, previously referenced</w:t>
      </w:r>
      <w:r w:rsidR="00234132" w:rsidRPr="0079384F">
        <w:rPr>
          <w:lang w:val="en-US"/>
        </w:rPr>
        <w:t xml:space="preserve">. </w:t>
      </w:r>
      <w:r w:rsidR="002E36CC" w:rsidRPr="0079384F">
        <w:rPr>
          <w:lang w:val="en-US"/>
        </w:rPr>
        <w:t>An OCC of initially 1-2 billion Euros</w:t>
      </w:r>
      <w:r w:rsidR="00845C27" w:rsidRPr="0079384F">
        <w:rPr>
          <w:lang w:val="en-US"/>
        </w:rPr>
        <w:t xml:space="preserve"> for an SMR</w:t>
      </w:r>
      <w:r w:rsidR="002E36CC" w:rsidRPr="0079384F">
        <w:rPr>
          <w:lang w:val="en-US"/>
        </w:rPr>
        <w:t xml:space="preserve">, would then in practice </w:t>
      </w:r>
      <w:r w:rsidR="00845C27" w:rsidRPr="0079384F">
        <w:rPr>
          <w:lang w:val="en-US"/>
        </w:rPr>
        <w:t xml:space="preserve">only necessitate </w:t>
      </w:r>
      <w:r w:rsidR="00515C7E" w:rsidRPr="0079384F">
        <w:rPr>
          <w:lang w:val="en-US"/>
        </w:rPr>
        <w:t>approximately 200 to 400 million Euros</w:t>
      </w:r>
      <w:r w:rsidR="00522B04" w:rsidRPr="0079384F">
        <w:rPr>
          <w:lang w:val="en-US"/>
        </w:rPr>
        <w:t xml:space="preserve"> of </w:t>
      </w:r>
      <w:r w:rsidR="007E7B54" w:rsidRPr="0079384F">
        <w:rPr>
          <w:lang w:val="en-US"/>
        </w:rPr>
        <w:t>owner’s</w:t>
      </w:r>
      <w:r w:rsidR="00522B04" w:rsidRPr="0079384F">
        <w:rPr>
          <w:lang w:val="en-US"/>
        </w:rPr>
        <w:t xml:space="preserve"> investment.</w:t>
      </w:r>
      <w:r w:rsidR="009520C4" w:rsidRPr="0079384F">
        <w:rPr>
          <w:lang w:val="en-US"/>
        </w:rPr>
        <w:t xml:space="preserve"> This </w:t>
      </w:r>
      <w:r w:rsidR="008648A9" w:rsidRPr="0079384F">
        <w:rPr>
          <w:lang w:val="en-US"/>
        </w:rPr>
        <w:t xml:space="preserve">represents significant opportunities, not only for making the Norwegian O&amp;G sector more sustainable, but also to </w:t>
      </w:r>
      <w:r w:rsidR="001534C5" w:rsidRPr="0079384F">
        <w:rPr>
          <w:lang w:val="en-US"/>
        </w:rPr>
        <w:t xml:space="preserve">enable a </w:t>
      </w:r>
      <w:r w:rsidR="00FF4A6D" w:rsidRPr="0079384F">
        <w:rPr>
          <w:lang w:val="en-US"/>
        </w:rPr>
        <w:t xml:space="preserve">substantially </w:t>
      </w:r>
      <w:r w:rsidR="001534C5" w:rsidRPr="0079384F">
        <w:rPr>
          <w:lang w:val="en-US"/>
        </w:rPr>
        <w:t xml:space="preserve">lower </w:t>
      </w:r>
      <w:r w:rsidR="00FF031A" w:rsidRPr="0079384F">
        <w:rPr>
          <w:lang w:val="en-US"/>
        </w:rPr>
        <w:t xml:space="preserve">financial </w:t>
      </w:r>
      <w:r w:rsidR="001534C5" w:rsidRPr="0079384F">
        <w:rPr>
          <w:lang w:val="en-US"/>
        </w:rPr>
        <w:t xml:space="preserve">threshold </w:t>
      </w:r>
      <w:r w:rsidR="00FF031A" w:rsidRPr="0079384F">
        <w:rPr>
          <w:lang w:val="en-US"/>
        </w:rPr>
        <w:t>for implementation of nuclear power in Norway to also enable cutting GHG emissions in subsequent industries</w:t>
      </w:r>
      <w:r w:rsidR="0061700B" w:rsidRPr="0079384F">
        <w:rPr>
          <w:lang w:val="en-US"/>
        </w:rPr>
        <w:t>.</w:t>
      </w:r>
    </w:p>
    <w:p w14:paraId="20B21D38" w14:textId="7223FD0D" w:rsidR="00BA0FBA" w:rsidRPr="0079384F" w:rsidRDefault="005C440C" w:rsidP="00BD5AE4">
      <w:pPr>
        <w:pStyle w:val="Brdtekst"/>
        <w:ind w:firstLine="360"/>
        <w:rPr>
          <w:lang w:val="en-US"/>
        </w:rPr>
      </w:pPr>
      <w:r w:rsidRPr="0079384F">
        <w:rPr>
          <w:lang w:val="en-US"/>
        </w:rPr>
        <w:tab/>
        <w:t xml:space="preserve">Conservative estimates for </w:t>
      </w:r>
      <w:r w:rsidR="005A5FDA" w:rsidRPr="0079384F">
        <w:rPr>
          <w:lang w:val="en-US"/>
        </w:rPr>
        <w:t xml:space="preserve">NPV </w:t>
      </w:r>
      <w:r w:rsidRPr="0079384F">
        <w:rPr>
          <w:lang w:val="en-US"/>
        </w:rPr>
        <w:t xml:space="preserve">of such SMR projects, </w:t>
      </w:r>
      <w:r w:rsidR="005A5FDA" w:rsidRPr="0079384F">
        <w:rPr>
          <w:lang w:val="en-US"/>
        </w:rPr>
        <w:t>excluding tax benefits</w:t>
      </w:r>
      <w:r w:rsidR="009E4904" w:rsidRPr="0079384F">
        <w:rPr>
          <w:lang w:val="en-US"/>
        </w:rPr>
        <w:t xml:space="preserve"> enabled by the Petroleum Taxation Act</w:t>
      </w:r>
      <w:r w:rsidR="00496470" w:rsidRPr="0079384F">
        <w:rPr>
          <w:lang w:val="en-US"/>
        </w:rPr>
        <w:t>, are in the hundreds of millions of Euros per SMR</w:t>
      </w:r>
      <w:r w:rsidR="00DC1AD8" w:rsidRPr="0079384F">
        <w:rPr>
          <w:lang w:val="en-US"/>
        </w:rPr>
        <w:t>, indicating more than sufficient margins to pursue the prospect of SMRs</w:t>
      </w:r>
      <w:r w:rsidR="00882B56" w:rsidRPr="0079384F">
        <w:rPr>
          <w:lang w:val="en-US"/>
        </w:rPr>
        <w:t xml:space="preserve"> for enabling cleaner O&amp;G production on the NCS, as well as</w:t>
      </w:r>
      <w:r w:rsidR="003A73CB" w:rsidRPr="0079384F">
        <w:rPr>
          <w:lang w:val="en-US"/>
        </w:rPr>
        <w:t xml:space="preserve"> reducing emissions</w:t>
      </w:r>
      <w:r w:rsidR="00B90E1E" w:rsidRPr="0079384F">
        <w:rPr>
          <w:lang w:val="en-US"/>
        </w:rPr>
        <w:t>, and fostering growth,</w:t>
      </w:r>
      <w:r w:rsidR="003A73CB" w:rsidRPr="0079384F">
        <w:rPr>
          <w:lang w:val="en-US"/>
        </w:rPr>
        <w:t xml:space="preserve"> in other industries. </w:t>
      </w:r>
    </w:p>
    <w:p w14:paraId="18E7F74B" w14:textId="33ADD148" w:rsidR="006D57FD" w:rsidRPr="0079384F" w:rsidRDefault="006D57FD" w:rsidP="00BD5AE4">
      <w:pPr>
        <w:pStyle w:val="Brdtekst"/>
        <w:ind w:firstLine="360"/>
        <w:rPr>
          <w:lang w:val="en-US"/>
        </w:rPr>
      </w:pPr>
      <w:r w:rsidRPr="0079384F">
        <w:rPr>
          <w:lang w:val="en-US"/>
        </w:rPr>
        <w:lastRenderedPageBreak/>
        <w:t xml:space="preserve">Due to the long lifetimes of nuclear power plants, potentially spanning </w:t>
      </w:r>
      <w:r w:rsidR="00634F1C" w:rsidRPr="0079384F">
        <w:rPr>
          <w:lang w:val="en-US"/>
        </w:rPr>
        <w:t>many</w:t>
      </w:r>
      <w:r w:rsidRPr="0079384F">
        <w:rPr>
          <w:lang w:val="en-US"/>
        </w:rPr>
        <w:t xml:space="preserve"> generations,</w:t>
      </w:r>
      <w:r w:rsidR="00033E30" w:rsidRPr="0079384F">
        <w:rPr>
          <w:lang w:val="en-US"/>
        </w:rPr>
        <w:t xml:space="preserve"> </w:t>
      </w:r>
      <w:r w:rsidR="00FB3409" w:rsidRPr="0079384F">
        <w:rPr>
          <w:lang w:val="en-US"/>
        </w:rPr>
        <w:t>assets</w:t>
      </w:r>
      <w:r w:rsidR="00033E30" w:rsidRPr="0079384F">
        <w:rPr>
          <w:lang w:val="en-US"/>
        </w:rPr>
        <w:t xml:space="preserve"> initially established to cut emissions for </w:t>
      </w:r>
      <w:r w:rsidR="001361E8" w:rsidRPr="0079384F">
        <w:rPr>
          <w:lang w:val="en-US"/>
        </w:rPr>
        <w:t xml:space="preserve">the O&amp;G industry may also serve as new business opportunities </w:t>
      </w:r>
      <w:r w:rsidR="00FB3409" w:rsidRPr="0079384F">
        <w:rPr>
          <w:lang w:val="en-US"/>
        </w:rPr>
        <w:t>for companies in th</w:t>
      </w:r>
      <w:r w:rsidR="00C470CE" w:rsidRPr="0079384F">
        <w:rPr>
          <w:lang w:val="en-US"/>
        </w:rPr>
        <w:t xml:space="preserve">e industry to enable growth even after </w:t>
      </w:r>
      <w:r w:rsidR="00F67714" w:rsidRPr="0079384F">
        <w:rPr>
          <w:lang w:val="en-US"/>
        </w:rPr>
        <w:t xml:space="preserve">demand for O&amp;G, or availability of O&amp;G on the NCS, declines. </w:t>
      </w:r>
    </w:p>
    <w:p w14:paraId="43A909CB" w14:textId="0F3DCA6B" w:rsidR="00B50142" w:rsidRPr="0079384F" w:rsidRDefault="00DE6D16" w:rsidP="001536A6">
      <w:pPr>
        <w:pStyle w:val="Overskrift3"/>
        <w:rPr>
          <w:lang w:val="en-US"/>
        </w:rPr>
      </w:pPr>
      <w:r w:rsidRPr="0079384F">
        <w:rPr>
          <w:lang w:val="en-US"/>
        </w:rPr>
        <w:t>Potential sites</w:t>
      </w:r>
    </w:p>
    <w:p w14:paraId="022C841F" w14:textId="632DE72F" w:rsidR="00DE6D16" w:rsidRPr="0079384F" w:rsidRDefault="00DE6D16" w:rsidP="00634F1C">
      <w:pPr>
        <w:pStyle w:val="Brdtekst"/>
        <w:rPr>
          <w:lang w:val="en-US"/>
        </w:rPr>
      </w:pPr>
      <w:r w:rsidRPr="0079384F">
        <w:rPr>
          <w:lang w:val="en-US"/>
        </w:rPr>
        <w:t xml:space="preserve">As previously discussed, there are </w:t>
      </w:r>
      <w:r w:rsidR="00A13531" w:rsidRPr="0079384F">
        <w:rPr>
          <w:lang w:val="en-US"/>
        </w:rPr>
        <w:t xml:space="preserve">plenty of siting opportunities at coastlines near </w:t>
      </w:r>
      <w:r w:rsidR="009A7CC1" w:rsidRPr="0079384F">
        <w:rPr>
          <w:lang w:val="en-US"/>
        </w:rPr>
        <w:t>offshore O&amp;G installations. Often present at such sites,</w:t>
      </w:r>
      <w:r w:rsidRPr="0079384F">
        <w:rPr>
          <w:lang w:val="en-US"/>
        </w:rPr>
        <w:t xml:space="preserve"> and in </w:t>
      </w:r>
      <w:r w:rsidR="009A7CC1" w:rsidRPr="0079384F">
        <w:rPr>
          <w:lang w:val="en-US"/>
        </w:rPr>
        <w:t>Norway</w:t>
      </w:r>
      <w:r w:rsidRPr="0079384F">
        <w:rPr>
          <w:lang w:val="en-US"/>
        </w:rPr>
        <w:t xml:space="preserve"> in general</w:t>
      </w:r>
      <w:r w:rsidR="009A7CC1" w:rsidRPr="0079384F">
        <w:rPr>
          <w:lang w:val="en-US"/>
        </w:rPr>
        <w:t>,</w:t>
      </w:r>
      <w:r w:rsidRPr="0079384F">
        <w:rPr>
          <w:lang w:val="en-US"/>
        </w:rPr>
        <w:t xml:space="preserve"> is stable bedrock, low seismicity, stable climate, and abundant available land.</w:t>
      </w:r>
      <w:r w:rsidR="0018496C" w:rsidRPr="0079384F">
        <w:rPr>
          <w:lang w:val="en-US"/>
        </w:rPr>
        <w:t xml:space="preserve"> </w:t>
      </w:r>
    </w:p>
    <w:p w14:paraId="67708F3A" w14:textId="5854DDFD" w:rsidR="00B4365F" w:rsidRPr="0079384F" w:rsidRDefault="00B4365F" w:rsidP="00B50142">
      <w:pPr>
        <w:pStyle w:val="Brdtekst"/>
        <w:ind w:firstLine="0"/>
        <w:rPr>
          <w:lang w:val="en-US"/>
        </w:rPr>
      </w:pPr>
      <w:r w:rsidRPr="0079384F">
        <w:rPr>
          <w:lang w:val="en-US"/>
        </w:rPr>
        <w:tab/>
        <w:t xml:space="preserve">Norsk Kjernekraft is the early planning phase for </w:t>
      </w:r>
      <w:r w:rsidR="00436ED9" w:rsidRPr="0079384F">
        <w:rPr>
          <w:lang w:val="en-US"/>
        </w:rPr>
        <w:t>several SMR projects at such sites</w:t>
      </w:r>
      <w:r w:rsidR="005C333F" w:rsidRPr="0079384F">
        <w:rPr>
          <w:lang w:val="en-US"/>
        </w:rPr>
        <w:t>, engaging with the potential future host municipalities, the local residents and nearby industry</w:t>
      </w:r>
      <w:r w:rsidR="000423B5" w:rsidRPr="0079384F">
        <w:rPr>
          <w:lang w:val="en-US"/>
        </w:rPr>
        <w:t xml:space="preserve">. Such sites </w:t>
      </w:r>
      <w:r w:rsidR="00830247" w:rsidRPr="0079384F">
        <w:rPr>
          <w:lang w:val="en-US"/>
        </w:rPr>
        <w:t>include the Taftøy-site in Heim and Aure municipalities</w:t>
      </w:r>
      <w:r w:rsidR="004D5114" w:rsidRPr="0079384F">
        <w:rPr>
          <w:lang w:val="en-US"/>
        </w:rPr>
        <w:t xml:space="preserve">, in the mid-region of Norway, situated </w:t>
      </w:r>
      <w:r w:rsidR="00BA76EB" w:rsidRPr="0079384F">
        <w:rPr>
          <w:lang w:val="en-US"/>
        </w:rPr>
        <w:t>adjacent</w:t>
      </w:r>
      <w:r w:rsidR="004D5114" w:rsidRPr="0079384F">
        <w:rPr>
          <w:lang w:val="en-US"/>
        </w:rPr>
        <w:t xml:space="preserve"> to the existing </w:t>
      </w:r>
      <w:r w:rsidR="009A69D2" w:rsidRPr="0079384F">
        <w:rPr>
          <w:lang w:val="en-US"/>
        </w:rPr>
        <w:t>Equinor Tjeld</w:t>
      </w:r>
      <w:r w:rsidR="00B34C7A" w:rsidRPr="0079384F">
        <w:rPr>
          <w:lang w:val="en-US"/>
        </w:rPr>
        <w:t>bergodden industrial facility (</w:t>
      </w:r>
      <w:r w:rsidR="007D0D40" w:rsidRPr="0079384F">
        <w:rPr>
          <w:lang w:val="en-US"/>
        </w:rPr>
        <w:t>methanol plant, a gas receiving terminal and an air separation plant</w:t>
      </w:r>
      <w:r w:rsidR="00B46131" w:rsidRPr="0079384F">
        <w:rPr>
          <w:lang w:val="en-US"/>
        </w:rPr>
        <w:t>)</w:t>
      </w:r>
      <w:r w:rsidR="004D5114" w:rsidRPr="0079384F">
        <w:rPr>
          <w:lang w:val="en-US"/>
        </w:rPr>
        <w:t xml:space="preserve"> </w:t>
      </w:r>
      <w:r w:rsidR="00BA76EB" w:rsidRPr="0079384F">
        <w:rPr>
          <w:lang w:val="en-US"/>
        </w:rPr>
        <w:t xml:space="preserve">and near the offshore O&amp;G installations at </w:t>
      </w:r>
      <w:r w:rsidR="005C440C" w:rsidRPr="0079384F">
        <w:rPr>
          <w:lang w:val="en-US"/>
        </w:rPr>
        <w:t>Halte</w:t>
      </w:r>
      <w:r w:rsidR="00EE6764" w:rsidRPr="0079384F">
        <w:rPr>
          <w:lang w:val="en-US"/>
        </w:rPr>
        <w:t>n-fields</w:t>
      </w:r>
      <w:r w:rsidR="00255C52" w:rsidRPr="0079384F">
        <w:rPr>
          <w:lang w:val="en-US"/>
        </w:rPr>
        <w:t>, in need</w:t>
      </w:r>
      <w:r w:rsidR="00B778D5" w:rsidRPr="0079384F">
        <w:rPr>
          <w:lang w:val="en-US"/>
        </w:rPr>
        <w:t xml:space="preserve"> </w:t>
      </w:r>
      <w:r w:rsidR="003C5F29">
        <w:rPr>
          <w:lang w:val="en-US"/>
        </w:rPr>
        <w:t xml:space="preserve">of </w:t>
      </w:r>
      <w:r w:rsidR="00B778D5" w:rsidRPr="0079384F">
        <w:rPr>
          <w:lang w:val="en-US"/>
        </w:rPr>
        <w:t xml:space="preserve">substantial volumes of clean </w:t>
      </w:r>
      <w:r w:rsidR="00B2327C" w:rsidRPr="0079384F">
        <w:rPr>
          <w:lang w:val="en-US"/>
        </w:rPr>
        <w:t xml:space="preserve">and reliable </w:t>
      </w:r>
      <w:r w:rsidR="00B778D5" w:rsidRPr="0079384F">
        <w:rPr>
          <w:lang w:val="en-US"/>
        </w:rPr>
        <w:t>electricity</w:t>
      </w:r>
      <w:r w:rsidR="00B2327C" w:rsidRPr="0079384F">
        <w:rPr>
          <w:lang w:val="en-US"/>
        </w:rPr>
        <w:t xml:space="preserve">, and where heat may be utilized for production of hydrogen or hydrogen derivatives, </w:t>
      </w:r>
      <w:r w:rsidR="008C5CBF" w:rsidRPr="0079384F">
        <w:rPr>
          <w:lang w:val="en-US"/>
        </w:rPr>
        <w:t>and</w:t>
      </w:r>
      <w:r w:rsidR="00B2327C" w:rsidRPr="0079384F">
        <w:rPr>
          <w:lang w:val="en-US"/>
        </w:rPr>
        <w:t xml:space="preserve"> CCS/CCU.</w:t>
      </w:r>
      <w:r w:rsidR="008C5CBF" w:rsidRPr="0079384F">
        <w:rPr>
          <w:lang w:val="en-US"/>
        </w:rPr>
        <w:t xml:space="preserve"> The site anticipated for the SMRs is </w:t>
      </w:r>
      <w:r w:rsidR="006A62B0" w:rsidRPr="0079384F">
        <w:rPr>
          <w:lang w:val="en-US"/>
        </w:rPr>
        <w:t>large enough to host</w:t>
      </w:r>
      <w:r w:rsidR="008F0119" w:rsidRPr="0079384F">
        <w:rPr>
          <w:lang w:val="en-US"/>
        </w:rPr>
        <w:t xml:space="preserve"> several</w:t>
      </w:r>
      <w:r w:rsidR="006A62B0" w:rsidRPr="0079384F">
        <w:rPr>
          <w:lang w:val="en-US"/>
        </w:rPr>
        <w:t xml:space="preserve"> </w:t>
      </w:r>
      <w:r w:rsidR="008F0119" w:rsidRPr="0079384F">
        <w:rPr>
          <w:lang w:val="en-US"/>
        </w:rPr>
        <w:t>SMRs totaling at least</w:t>
      </w:r>
      <w:r w:rsidR="006A62B0" w:rsidRPr="0079384F">
        <w:rPr>
          <w:lang w:val="en-US"/>
        </w:rPr>
        <w:t xml:space="preserve"> </w:t>
      </w:r>
      <w:r w:rsidR="008F0119" w:rsidRPr="0079384F">
        <w:rPr>
          <w:lang w:val="en-US"/>
        </w:rPr>
        <w:t>1</w:t>
      </w:r>
      <w:r w:rsidR="00C121FE">
        <w:rPr>
          <w:lang w:val="en-US"/>
        </w:rPr>
        <w:t>,</w:t>
      </w:r>
      <w:r w:rsidR="00955675" w:rsidRPr="0079384F">
        <w:rPr>
          <w:lang w:val="en-US"/>
        </w:rPr>
        <w:t>500</w:t>
      </w:r>
      <w:r w:rsidR="008F0119" w:rsidRPr="0079384F">
        <w:rPr>
          <w:lang w:val="en-US"/>
        </w:rPr>
        <w:t xml:space="preserve"> </w:t>
      </w:r>
      <w:r w:rsidR="00955675" w:rsidRPr="0079384F">
        <w:rPr>
          <w:lang w:val="en-US"/>
        </w:rPr>
        <w:t>M</w:t>
      </w:r>
      <w:r w:rsidR="008F0119" w:rsidRPr="0079384F">
        <w:rPr>
          <w:lang w:val="en-US"/>
        </w:rPr>
        <w:t xml:space="preserve">W of </w:t>
      </w:r>
      <w:r w:rsidR="00732EE0" w:rsidRPr="0079384F">
        <w:rPr>
          <w:lang w:val="en-US"/>
        </w:rPr>
        <w:t xml:space="preserve">electrical </w:t>
      </w:r>
      <w:r w:rsidR="008F0119" w:rsidRPr="0079384F">
        <w:rPr>
          <w:lang w:val="en-US"/>
        </w:rPr>
        <w:t xml:space="preserve">production, which is estimated to be </w:t>
      </w:r>
      <w:r w:rsidR="00EE6764" w:rsidRPr="0079384F">
        <w:rPr>
          <w:lang w:val="en-US"/>
        </w:rPr>
        <w:t xml:space="preserve">near </w:t>
      </w:r>
      <w:r w:rsidR="008F0119" w:rsidRPr="0079384F">
        <w:rPr>
          <w:lang w:val="en-US"/>
        </w:rPr>
        <w:t>sufficient for local needs.</w:t>
      </w:r>
      <w:r w:rsidR="00EE6764" w:rsidRPr="0079384F">
        <w:rPr>
          <w:lang w:val="en-US"/>
        </w:rPr>
        <w:t xml:space="preserve"> The electrification of the Halten-fields and </w:t>
      </w:r>
      <w:r w:rsidR="000E252A" w:rsidRPr="0079384F">
        <w:rPr>
          <w:lang w:val="en-US"/>
        </w:rPr>
        <w:t>Tjeldbergodden have estimated a need for 275 and 480 MW of electricity respectively</w:t>
      </w:r>
      <w:r w:rsidR="00C91B12" w:rsidRPr="0079384F">
        <w:rPr>
          <w:lang w:val="en-US"/>
        </w:rPr>
        <w:t>, while other industries nearby have estimated needs of approximately</w:t>
      </w:r>
      <w:r w:rsidR="00955675" w:rsidRPr="0079384F">
        <w:rPr>
          <w:lang w:val="en-US"/>
        </w:rPr>
        <w:t xml:space="preserve"> 1</w:t>
      </w:r>
      <w:r w:rsidR="00C121FE">
        <w:rPr>
          <w:lang w:val="en-US"/>
        </w:rPr>
        <w:t>,</w:t>
      </w:r>
      <w:r w:rsidR="00955675" w:rsidRPr="0079384F">
        <w:rPr>
          <w:lang w:val="en-US"/>
        </w:rPr>
        <w:t>080 MW, 1</w:t>
      </w:r>
      <w:r w:rsidR="00C121FE">
        <w:rPr>
          <w:lang w:val="en-US"/>
        </w:rPr>
        <w:t>,</w:t>
      </w:r>
      <w:r w:rsidR="00955675" w:rsidRPr="0079384F">
        <w:rPr>
          <w:lang w:val="en-US"/>
        </w:rPr>
        <w:t>835 MW in total.</w:t>
      </w:r>
      <w:r w:rsidR="00732EE0" w:rsidRPr="0079384F">
        <w:rPr>
          <w:lang w:val="en-US"/>
        </w:rPr>
        <w:t xml:space="preserve"> If all of these needs, or even additional needs, are realized, there’s</w:t>
      </w:r>
      <w:r w:rsidR="00D909C8" w:rsidRPr="0079384F">
        <w:rPr>
          <w:lang w:val="en-US"/>
        </w:rPr>
        <w:t xml:space="preserve"> sufficient land </w:t>
      </w:r>
      <w:r w:rsidR="00435BC6">
        <w:rPr>
          <w:lang w:val="en-US"/>
        </w:rPr>
        <w:t>in the surrounding area</w:t>
      </w:r>
      <w:r w:rsidR="007E35A1" w:rsidRPr="0079384F">
        <w:rPr>
          <w:lang w:val="en-US"/>
        </w:rPr>
        <w:t xml:space="preserve"> </w:t>
      </w:r>
      <w:r w:rsidR="00D909C8" w:rsidRPr="0079384F">
        <w:rPr>
          <w:lang w:val="en-US"/>
        </w:rPr>
        <w:t xml:space="preserve">to facilitate </w:t>
      </w:r>
      <w:r w:rsidR="007E35A1" w:rsidRPr="0079384F">
        <w:rPr>
          <w:lang w:val="en-US"/>
        </w:rPr>
        <w:t xml:space="preserve">these. </w:t>
      </w:r>
    </w:p>
    <w:p w14:paraId="5224CA0F" w14:textId="6C91CC87" w:rsidR="00C414FF" w:rsidRPr="0079384F" w:rsidRDefault="002529A0" w:rsidP="001536A6">
      <w:pPr>
        <w:pStyle w:val="Brdtekst"/>
        <w:ind w:firstLine="0"/>
        <w:rPr>
          <w:lang w:val="en-US"/>
        </w:rPr>
      </w:pPr>
      <w:r w:rsidRPr="0079384F">
        <w:rPr>
          <w:lang w:val="en-US"/>
        </w:rPr>
        <w:tab/>
      </w:r>
      <w:r w:rsidR="00180A66" w:rsidRPr="0079384F">
        <w:rPr>
          <w:lang w:val="en-US"/>
        </w:rPr>
        <w:t xml:space="preserve">Additionally, </w:t>
      </w:r>
      <w:r w:rsidR="0058465C" w:rsidRPr="0079384F">
        <w:rPr>
          <w:lang w:val="en-US"/>
        </w:rPr>
        <w:t>projects at</w:t>
      </w:r>
      <w:r w:rsidR="009B448F" w:rsidRPr="0079384F">
        <w:rPr>
          <w:lang w:val="en-US"/>
        </w:rPr>
        <w:t xml:space="preserve"> sites north of the city of Bergen, in the municipalities of Øygarden and Austrheim, and</w:t>
      </w:r>
      <w:r w:rsidR="00180A66" w:rsidRPr="0079384F">
        <w:rPr>
          <w:lang w:val="en-US"/>
        </w:rPr>
        <w:t xml:space="preserve"> near the offshore O&amp;G Troll-field, </w:t>
      </w:r>
      <w:r w:rsidR="0058465C" w:rsidRPr="0079384F">
        <w:rPr>
          <w:lang w:val="en-US"/>
        </w:rPr>
        <w:t>are in the early planning phases</w:t>
      </w:r>
      <w:r w:rsidR="00852E8B" w:rsidRPr="0079384F">
        <w:rPr>
          <w:lang w:val="en-US"/>
        </w:rPr>
        <w:t xml:space="preserve"> by Norsk Kjernekraft. </w:t>
      </w:r>
      <w:r w:rsidR="0010292F" w:rsidRPr="0079384F">
        <w:rPr>
          <w:lang w:val="en-US"/>
        </w:rPr>
        <w:t xml:space="preserve">The municipalities of Øygarden and Austrheim are also home to onshore </w:t>
      </w:r>
      <w:r w:rsidR="00CE43E8" w:rsidRPr="0079384F">
        <w:rPr>
          <w:lang w:val="en-US"/>
        </w:rPr>
        <w:t xml:space="preserve">petroleum installations, the </w:t>
      </w:r>
      <w:r w:rsidR="00404662" w:rsidRPr="0079384F">
        <w:rPr>
          <w:lang w:val="en-US"/>
        </w:rPr>
        <w:t xml:space="preserve">Equinor </w:t>
      </w:r>
      <w:r w:rsidR="00CE43E8" w:rsidRPr="0079384F">
        <w:rPr>
          <w:lang w:val="en-US"/>
        </w:rPr>
        <w:t xml:space="preserve">Kollsnes </w:t>
      </w:r>
      <w:r w:rsidR="00EE7533" w:rsidRPr="0079384F">
        <w:rPr>
          <w:lang w:val="en-US"/>
        </w:rPr>
        <w:t xml:space="preserve">gas processing </w:t>
      </w:r>
      <w:r w:rsidR="00293135" w:rsidRPr="0079384F">
        <w:rPr>
          <w:lang w:val="en-US"/>
        </w:rPr>
        <w:t>plant</w:t>
      </w:r>
      <w:r w:rsidR="00CE43E8" w:rsidRPr="0079384F">
        <w:rPr>
          <w:lang w:val="en-US"/>
        </w:rPr>
        <w:t xml:space="preserve"> and </w:t>
      </w:r>
      <w:r w:rsidR="00293135" w:rsidRPr="0079384F">
        <w:rPr>
          <w:lang w:val="en-US"/>
        </w:rPr>
        <w:t xml:space="preserve">the </w:t>
      </w:r>
      <w:r w:rsidR="0017513E" w:rsidRPr="0079384F">
        <w:rPr>
          <w:lang w:val="en-US"/>
        </w:rPr>
        <w:t xml:space="preserve">Equinor </w:t>
      </w:r>
      <w:r w:rsidR="00CE43E8" w:rsidRPr="0079384F">
        <w:rPr>
          <w:lang w:val="en-US"/>
        </w:rPr>
        <w:t>Mongstad Oil Refinery</w:t>
      </w:r>
      <w:r w:rsidR="00E07246" w:rsidRPr="0079384F">
        <w:rPr>
          <w:lang w:val="en-US"/>
        </w:rPr>
        <w:t>,</w:t>
      </w:r>
      <w:r w:rsidR="00CE43E8" w:rsidRPr="0079384F">
        <w:rPr>
          <w:lang w:val="en-US"/>
        </w:rPr>
        <w:t xml:space="preserve"> respectively. Sites in both municipalities are sufficiently large to host several GW of installed electrical production. </w:t>
      </w:r>
      <w:r w:rsidR="007C64AB" w:rsidRPr="0079384F">
        <w:rPr>
          <w:lang w:val="en-US"/>
        </w:rPr>
        <w:t>The Transmission System Operator (TSO) of Norway, Statnett, has also already begun expanding the grid capacity connecting these two sites</w:t>
      </w:r>
      <w:r w:rsidR="00AC5348" w:rsidRPr="0079384F">
        <w:rPr>
          <w:lang w:val="en-US"/>
        </w:rPr>
        <w:t xml:space="preserve">, so that situating in either municipality may facilitate the </w:t>
      </w:r>
      <w:r w:rsidR="009512BD" w:rsidRPr="0079384F">
        <w:rPr>
          <w:lang w:val="en-US"/>
        </w:rPr>
        <w:t>partial or full electrification</w:t>
      </w:r>
      <w:r w:rsidR="00AB5BCC" w:rsidRPr="0079384F">
        <w:rPr>
          <w:lang w:val="en-US"/>
        </w:rPr>
        <w:t xml:space="preserve"> of the offshore and onshore O&amp;G installations</w:t>
      </w:r>
      <w:r w:rsidR="009512BD" w:rsidRPr="0079384F">
        <w:rPr>
          <w:lang w:val="en-US"/>
        </w:rPr>
        <w:t xml:space="preserve">, as well as </w:t>
      </w:r>
      <w:r w:rsidR="00540A8B" w:rsidRPr="0079384F">
        <w:rPr>
          <w:lang w:val="en-US"/>
        </w:rPr>
        <w:t xml:space="preserve">other </w:t>
      </w:r>
      <w:r w:rsidR="009512BD" w:rsidRPr="0079384F">
        <w:rPr>
          <w:lang w:val="en-US"/>
        </w:rPr>
        <w:t>industrial expansion</w:t>
      </w:r>
      <w:r w:rsidR="00540A8B" w:rsidRPr="0079384F">
        <w:rPr>
          <w:lang w:val="en-US"/>
        </w:rPr>
        <w:t xml:space="preserve">s planned for the area. The latter includes </w:t>
      </w:r>
      <w:r w:rsidR="00B528E7" w:rsidRPr="0079384F">
        <w:rPr>
          <w:lang w:val="en-US"/>
        </w:rPr>
        <w:t xml:space="preserve">potential </w:t>
      </w:r>
      <w:r w:rsidR="00B6550F" w:rsidRPr="0079384F">
        <w:rPr>
          <w:lang w:val="en-US"/>
        </w:rPr>
        <w:t>CCS, clean steel manufacturing, establishing of datacenters</w:t>
      </w:r>
      <w:r w:rsidR="00B528E7" w:rsidRPr="0079384F">
        <w:rPr>
          <w:lang w:val="en-US"/>
        </w:rPr>
        <w:t xml:space="preserve">, and hydrogen production to </w:t>
      </w:r>
      <w:r w:rsidR="00682FE2" w:rsidRPr="0079384F">
        <w:rPr>
          <w:lang w:val="en-US"/>
        </w:rPr>
        <w:t>be transported</w:t>
      </w:r>
      <w:r w:rsidR="00154A20" w:rsidRPr="0079384F">
        <w:rPr>
          <w:lang w:val="en-US"/>
        </w:rPr>
        <w:t xml:space="preserve"> via existing pipelines</w:t>
      </w:r>
      <w:r w:rsidR="00682FE2" w:rsidRPr="0079384F">
        <w:rPr>
          <w:lang w:val="en-US"/>
        </w:rPr>
        <w:t xml:space="preserve"> to</w:t>
      </w:r>
      <w:r w:rsidR="00B528E7" w:rsidRPr="0079384F">
        <w:rPr>
          <w:lang w:val="en-US"/>
        </w:rPr>
        <w:t xml:space="preserve"> German</w:t>
      </w:r>
      <w:r w:rsidR="00682FE2" w:rsidRPr="0079384F">
        <w:rPr>
          <w:lang w:val="en-US"/>
        </w:rPr>
        <w:t xml:space="preserve">y </w:t>
      </w:r>
      <w:r w:rsidR="004409CA">
        <w:rPr>
          <w:lang w:val="en-US"/>
        </w:rPr>
        <w:t>to</w:t>
      </w:r>
      <w:r w:rsidR="00682FE2" w:rsidRPr="0079384F">
        <w:rPr>
          <w:lang w:val="en-US"/>
        </w:rPr>
        <w:t xml:space="preserve"> </w:t>
      </w:r>
      <w:r w:rsidR="00CD0BB6" w:rsidRPr="0079384F">
        <w:rPr>
          <w:lang w:val="en-US"/>
        </w:rPr>
        <w:t xml:space="preserve">aid their ambitions of utilizing hydrogen </w:t>
      </w:r>
      <w:r w:rsidR="00154A20" w:rsidRPr="0079384F">
        <w:rPr>
          <w:lang w:val="en-US"/>
        </w:rPr>
        <w:t>as a substitute for natural gas</w:t>
      </w:r>
      <w:r w:rsidR="00873D1D" w:rsidRPr="0079384F">
        <w:rPr>
          <w:lang w:val="en-US"/>
        </w:rPr>
        <w:t xml:space="preserve"> </w:t>
      </w:r>
      <w:r w:rsidR="0079384F">
        <w:rPr>
          <w:lang w:val="en-US"/>
        </w:rPr>
        <w:t>[11]</w:t>
      </w:r>
      <w:r w:rsidR="00154A20" w:rsidRPr="0079384F">
        <w:rPr>
          <w:lang w:val="en-US"/>
        </w:rPr>
        <w:t>.</w:t>
      </w:r>
      <w:r w:rsidR="00CD0BB6" w:rsidRPr="0079384F">
        <w:rPr>
          <w:lang w:val="en-US"/>
        </w:rPr>
        <w:t xml:space="preserve"> </w:t>
      </w:r>
      <w:r w:rsidR="00E015F7" w:rsidRPr="0079384F">
        <w:rPr>
          <w:lang w:val="en-US"/>
        </w:rPr>
        <w:t xml:space="preserve">The early phases of </w:t>
      </w:r>
      <w:r w:rsidR="007F2E1B" w:rsidRPr="0079384F">
        <w:rPr>
          <w:lang w:val="en-US"/>
        </w:rPr>
        <w:t>Norsk Kjernekraft</w:t>
      </w:r>
      <w:r w:rsidR="004D6345">
        <w:rPr>
          <w:lang w:val="en-US"/>
        </w:rPr>
        <w:t>’</w:t>
      </w:r>
      <w:r w:rsidR="007F2E1B" w:rsidRPr="0079384F">
        <w:rPr>
          <w:lang w:val="en-US"/>
        </w:rPr>
        <w:t xml:space="preserve">s </w:t>
      </w:r>
      <w:r w:rsidR="00E015F7" w:rsidRPr="0079384F">
        <w:rPr>
          <w:lang w:val="en-US"/>
        </w:rPr>
        <w:t>project in Austrheim has already attracted global part</w:t>
      </w:r>
      <w:r w:rsidR="007F2E1B" w:rsidRPr="0079384F">
        <w:rPr>
          <w:lang w:val="en-US"/>
        </w:rPr>
        <w:t>ners</w:t>
      </w:r>
      <w:r w:rsidR="00E015F7" w:rsidRPr="0079384F">
        <w:rPr>
          <w:lang w:val="en-US"/>
        </w:rPr>
        <w:t xml:space="preserve">, the South-Korean based DL </w:t>
      </w:r>
      <w:r w:rsidR="001C22CC" w:rsidRPr="0079384F">
        <w:rPr>
          <w:lang w:val="en-US"/>
        </w:rPr>
        <w:t>Energy and DL E&amp;C, enabling</w:t>
      </w:r>
      <w:r w:rsidR="003457C9" w:rsidRPr="0079384F">
        <w:rPr>
          <w:lang w:val="en-US"/>
        </w:rPr>
        <w:t xml:space="preserve"> the utilization of existing expertise in the nuclear domain. </w:t>
      </w:r>
    </w:p>
    <w:p w14:paraId="2CA1EC06" w14:textId="7F680126" w:rsidR="00381EFA" w:rsidRPr="0079384F" w:rsidRDefault="00381EFA" w:rsidP="001536A6">
      <w:pPr>
        <w:pStyle w:val="Brdtekst"/>
        <w:ind w:firstLine="0"/>
        <w:rPr>
          <w:lang w:val="en-US"/>
        </w:rPr>
      </w:pPr>
      <w:r w:rsidRPr="0079384F">
        <w:rPr>
          <w:lang w:val="en-US"/>
        </w:rPr>
        <w:tab/>
        <w:t xml:space="preserve">Further prospects are plentiful, including </w:t>
      </w:r>
      <w:r w:rsidR="008C3E8D" w:rsidRPr="0079384F">
        <w:rPr>
          <w:lang w:val="en-US"/>
        </w:rPr>
        <w:t xml:space="preserve">the onshore </w:t>
      </w:r>
      <w:r w:rsidR="0006756F" w:rsidRPr="0079384F">
        <w:rPr>
          <w:lang w:val="en-US"/>
        </w:rPr>
        <w:t xml:space="preserve">Hammerfest LNG </w:t>
      </w:r>
      <w:r w:rsidR="004D6345" w:rsidRPr="0079384F">
        <w:rPr>
          <w:lang w:val="en-US"/>
        </w:rPr>
        <w:t>facility in</w:t>
      </w:r>
      <w:r w:rsidR="008C3E8D" w:rsidRPr="0079384F">
        <w:rPr>
          <w:lang w:val="en-US"/>
        </w:rPr>
        <w:t xml:space="preserve"> </w:t>
      </w:r>
      <w:r w:rsidR="00B44729" w:rsidRPr="0079384F">
        <w:rPr>
          <w:lang w:val="en-US"/>
        </w:rPr>
        <w:t>Finnmark</w:t>
      </w:r>
      <w:r w:rsidR="0045247A" w:rsidRPr="0079384F">
        <w:rPr>
          <w:lang w:val="en-US"/>
        </w:rPr>
        <w:t xml:space="preserve"> county</w:t>
      </w:r>
      <w:r w:rsidR="005F54A1" w:rsidRPr="0079384F">
        <w:rPr>
          <w:lang w:val="en-US"/>
        </w:rPr>
        <w:t>, northern Norway</w:t>
      </w:r>
      <w:r w:rsidRPr="0079384F">
        <w:rPr>
          <w:lang w:val="en-US"/>
        </w:rPr>
        <w:t xml:space="preserve"> and </w:t>
      </w:r>
      <w:r w:rsidR="00A959C2" w:rsidRPr="0079384F">
        <w:rPr>
          <w:lang w:val="en-US"/>
        </w:rPr>
        <w:t xml:space="preserve">the </w:t>
      </w:r>
      <w:r w:rsidR="00A173FA" w:rsidRPr="0079384F">
        <w:rPr>
          <w:lang w:val="en-US"/>
        </w:rPr>
        <w:t xml:space="preserve">associated </w:t>
      </w:r>
      <w:r w:rsidR="00A959C2" w:rsidRPr="0079384F">
        <w:rPr>
          <w:lang w:val="en-US"/>
        </w:rPr>
        <w:t xml:space="preserve">offshore </w:t>
      </w:r>
      <w:r w:rsidRPr="0079384F">
        <w:rPr>
          <w:lang w:val="en-US"/>
        </w:rPr>
        <w:t>Snøhvit</w:t>
      </w:r>
      <w:r w:rsidR="0045247A" w:rsidRPr="0079384F">
        <w:rPr>
          <w:lang w:val="en-US"/>
        </w:rPr>
        <w:t>-field</w:t>
      </w:r>
      <w:r w:rsidRPr="0079384F">
        <w:rPr>
          <w:lang w:val="en-US"/>
        </w:rPr>
        <w:t xml:space="preserve"> </w:t>
      </w:r>
      <w:r w:rsidR="005C4685" w:rsidRPr="0079384F">
        <w:rPr>
          <w:lang w:val="en-US"/>
        </w:rPr>
        <w:t>installations</w:t>
      </w:r>
      <w:r w:rsidR="006B568D" w:rsidRPr="0079384F">
        <w:rPr>
          <w:lang w:val="en-US"/>
        </w:rPr>
        <w:t xml:space="preserve"> in the </w:t>
      </w:r>
      <w:r w:rsidR="00A173FA" w:rsidRPr="0079384F">
        <w:rPr>
          <w:lang w:val="en-US"/>
        </w:rPr>
        <w:t xml:space="preserve">Barents </w:t>
      </w:r>
      <w:r w:rsidR="0045247A" w:rsidRPr="0079384F">
        <w:rPr>
          <w:lang w:val="en-US"/>
        </w:rPr>
        <w:t>S</w:t>
      </w:r>
      <w:r w:rsidR="00A173FA" w:rsidRPr="0079384F">
        <w:rPr>
          <w:lang w:val="en-US"/>
        </w:rPr>
        <w:t>ea</w:t>
      </w:r>
      <w:r w:rsidR="005C4685" w:rsidRPr="0079384F">
        <w:rPr>
          <w:lang w:val="en-US"/>
        </w:rPr>
        <w:t>, the Kårs</w:t>
      </w:r>
      <w:r w:rsidR="008E4F81" w:rsidRPr="0079384F">
        <w:rPr>
          <w:lang w:val="en-US"/>
        </w:rPr>
        <w:t>t</w:t>
      </w:r>
      <w:r w:rsidR="005C4685" w:rsidRPr="0079384F">
        <w:rPr>
          <w:lang w:val="en-US"/>
        </w:rPr>
        <w:t>ø processing facility</w:t>
      </w:r>
      <w:r w:rsidR="007645CA" w:rsidRPr="0079384F">
        <w:rPr>
          <w:lang w:val="en-US"/>
        </w:rPr>
        <w:t xml:space="preserve"> </w:t>
      </w:r>
      <w:r w:rsidR="004D794C" w:rsidRPr="0079384F">
        <w:rPr>
          <w:lang w:val="en-US"/>
        </w:rPr>
        <w:t>in</w:t>
      </w:r>
      <w:r w:rsidR="00766C90" w:rsidRPr="0079384F">
        <w:rPr>
          <w:lang w:val="en-US"/>
        </w:rPr>
        <w:t xml:space="preserve"> Rogaland</w:t>
      </w:r>
      <w:r w:rsidR="0045247A" w:rsidRPr="0079384F">
        <w:rPr>
          <w:lang w:val="en-US"/>
        </w:rPr>
        <w:t xml:space="preserve"> county</w:t>
      </w:r>
      <w:r w:rsidR="00766C90" w:rsidRPr="0079384F">
        <w:rPr>
          <w:lang w:val="en-US"/>
        </w:rPr>
        <w:t>,</w:t>
      </w:r>
      <w:r w:rsidR="004D794C" w:rsidRPr="0079384F">
        <w:rPr>
          <w:lang w:val="en-US"/>
        </w:rPr>
        <w:t xml:space="preserve"> south-west Norway</w:t>
      </w:r>
      <w:r w:rsidR="00C4312B">
        <w:rPr>
          <w:lang w:val="en-US"/>
        </w:rPr>
        <w:t>,</w:t>
      </w:r>
      <w:r w:rsidR="00766C90" w:rsidRPr="0079384F">
        <w:rPr>
          <w:lang w:val="en-US"/>
        </w:rPr>
        <w:t xml:space="preserve"> </w:t>
      </w:r>
      <w:r w:rsidR="007645CA" w:rsidRPr="0079384F">
        <w:rPr>
          <w:lang w:val="en-US"/>
        </w:rPr>
        <w:t xml:space="preserve">and </w:t>
      </w:r>
      <w:r w:rsidR="00134EBE" w:rsidRPr="0079384F">
        <w:rPr>
          <w:lang w:val="en-US"/>
        </w:rPr>
        <w:t xml:space="preserve">connected offshore fields of Statfjord, Gullfaks, Sleipner, and Åsgard, as well as many others. </w:t>
      </w:r>
    </w:p>
    <w:p w14:paraId="5029E1D4" w14:textId="1F942B12" w:rsidR="009E33B3" w:rsidRPr="0079384F" w:rsidRDefault="009E33B3" w:rsidP="001536A6">
      <w:pPr>
        <w:pStyle w:val="Overskrift2"/>
        <w:rPr>
          <w:lang w:val="en-US"/>
        </w:rPr>
      </w:pPr>
      <w:r w:rsidRPr="0079384F">
        <w:rPr>
          <w:lang w:val="en-US"/>
        </w:rPr>
        <w:t>UTILIZIN</w:t>
      </w:r>
      <w:r w:rsidR="0050069A" w:rsidRPr="0079384F">
        <w:rPr>
          <w:lang w:val="en-US"/>
        </w:rPr>
        <w:t>G</w:t>
      </w:r>
      <w:r w:rsidRPr="0079384F">
        <w:rPr>
          <w:lang w:val="en-US"/>
        </w:rPr>
        <w:t xml:space="preserve"> THE EXISTING O&amp;G </w:t>
      </w:r>
      <w:r w:rsidR="00CD4049" w:rsidRPr="0079384F">
        <w:rPr>
          <w:lang w:val="en-US"/>
        </w:rPr>
        <w:t>WORKFORCE</w:t>
      </w:r>
    </w:p>
    <w:p w14:paraId="00310AF9" w14:textId="54ECC08D" w:rsidR="00626953" w:rsidRPr="0079384F" w:rsidRDefault="00005AEE" w:rsidP="004F04C5">
      <w:pPr>
        <w:pStyle w:val="Brdtekst"/>
        <w:rPr>
          <w:lang w:val="en-US"/>
        </w:rPr>
      </w:pPr>
      <w:r w:rsidRPr="0079384F">
        <w:rPr>
          <w:lang w:val="en-US"/>
        </w:rPr>
        <w:t>The Norwegian O&amp;G sector employs, directly and indirectly, around 200</w:t>
      </w:r>
      <w:r w:rsidR="00C121FE">
        <w:rPr>
          <w:lang w:val="en-US"/>
        </w:rPr>
        <w:t>,</w:t>
      </w:r>
      <w:r w:rsidRPr="0079384F">
        <w:rPr>
          <w:lang w:val="en-US"/>
        </w:rPr>
        <w:t>000 workers</w:t>
      </w:r>
      <w:r w:rsidR="00045DFC" w:rsidRPr="0079384F">
        <w:rPr>
          <w:lang w:val="en-US"/>
        </w:rPr>
        <w:t xml:space="preserve">, </w:t>
      </w:r>
      <w:r w:rsidR="001F5E06" w:rsidRPr="0079384F">
        <w:rPr>
          <w:lang w:val="en-US"/>
        </w:rPr>
        <w:t xml:space="preserve">a significant share of the </w:t>
      </w:r>
      <w:r w:rsidR="001A2C56" w:rsidRPr="0079384F">
        <w:rPr>
          <w:lang w:val="en-US"/>
        </w:rPr>
        <w:t xml:space="preserve">total </w:t>
      </w:r>
      <w:r w:rsidR="001F5E06" w:rsidRPr="0079384F">
        <w:rPr>
          <w:lang w:val="en-US"/>
        </w:rPr>
        <w:t xml:space="preserve">Norwegian </w:t>
      </w:r>
      <w:r w:rsidR="00450C1F" w:rsidRPr="0079384F">
        <w:rPr>
          <w:lang w:val="en-US"/>
        </w:rPr>
        <w:t>workforce</w:t>
      </w:r>
      <w:r w:rsidR="001F5E06" w:rsidRPr="0079384F">
        <w:rPr>
          <w:lang w:val="en-US"/>
        </w:rPr>
        <w:t xml:space="preserve">. </w:t>
      </w:r>
      <w:r w:rsidR="00954DFA" w:rsidRPr="0079384F">
        <w:rPr>
          <w:lang w:val="en-US"/>
        </w:rPr>
        <w:t xml:space="preserve">Many </w:t>
      </w:r>
      <w:r w:rsidR="001F5E06" w:rsidRPr="0079384F">
        <w:rPr>
          <w:lang w:val="en-US"/>
        </w:rPr>
        <w:t xml:space="preserve">of the </w:t>
      </w:r>
      <w:r w:rsidR="00155680" w:rsidRPr="0079384F">
        <w:rPr>
          <w:lang w:val="en-US"/>
        </w:rPr>
        <w:t xml:space="preserve">businesses, </w:t>
      </w:r>
      <w:r w:rsidR="006C390B" w:rsidRPr="0079384F">
        <w:rPr>
          <w:lang w:val="en-US"/>
        </w:rPr>
        <w:t>functions and competencies employed in the O&amp;G sector may</w:t>
      </w:r>
      <w:r w:rsidR="00693A00" w:rsidRPr="0079384F">
        <w:rPr>
          <w:lang w:val="en-US"/>
        </w:rPr>
        <w:t xml:space="preserve"> directly</w:t>
      </w:r>
      <w:r w:rsidR="00954DFA" w:rsidRPr="0079384F">
        <w:rPr>
          <w:lang w:val="en-US"/>
        </w:rPr>
        <w:t>, indirectly, or,</w:t>
      </w:r>
      <w:r w:rsidR="00693A00" w:rsidRPr="0079384F">
        <w:rPr>
          <w:lang w:val="en-US"/>
        </w:rPr>
        <w:t xml:space="preserve"> </w:t>
      </w:r>
      <w:r w:rsidR="00C771EB" w:rsidRPr="0079384F">
        <w:rPr>
          <w:lang w:val="en-US"/>
        </w:rPr>
        <w:t xml:space="preserve">after </w:t>
      </w:r>
      <w:r w:rsidR="001A2C56" w:rsidRPr="0079384F">
        <w:rPr>
          <w:lang w:val="en-US"/>
        </w:rPr>
        <w:t xml:space="preserve">some </w:t>
      </w:r>
      <w:r w:rsidR="00C771EB" w:rsidRPr="0079384F">
        <w:rPr>
          <w:lang w:val="en-US"/>
        </w:rPr>
        <w:t>additional education</w:t>
      </w:r>
      <w:r w:rsidR="00857AD2" w:rsidRPr="0079384F">
        <w:rPr>
          <w:lang w:val="en-US"/>
        </w:rPr>
        <w:t>,</w:t>
      </w:r>
      <w:r w:rsidR="00C771EB" w:rsidRPr="0079384F">
        <w:rPr>
          <w:lang w:val="en-US"/>
        </w:rPr>
        <w:t xml:space="preserve"> training</w:t>
      </w:r>
      <w:r w:rsidR="00857AD2" w:rsidRPr="0079384F">
        <w:rPr>
          <w:lang w:val="en-US"/>
        </w:rPr>
        <w:t xml:space="preserve"> and qualification</w:t>
      </w:r>
      <w:r w:rsidR="00C771EB" w:rsidRPr="0079384F">
        <w:rPr>
          <w:lang w:val="en-US"/>
        </w:rPr>
        <w:t>,</w:t>
      </w:r>
      <w:r w:rsidR="00954DFA" w:rsidRPr="0079384F">
        <w:rPr>
          <w:lang w:val="en-US"/>
        </w:rPr>
        <w:t xml:space="preserve"> </w:t>
      </w:r>
      <w:r w:rsidR="00815525" w:rsidRPr="0079384F">
        <w:rPr>
          <w:lang w:val="en-US"/>
        </w:rPr>
        <w:t xml:space="preserve">be </w:t>
      </w:r>
      <w:r w:rsidR="00954DFA" w:rsidRPr="0079384F">
        <w:rPr>
          <w:lang w:val="en-US"/>
        </w:rPr>
        <w:t>applicable to the nuclear sector</w:t>
      </w:r>
      <w:r w:rsidR="00E47E8C" w:rsidRPr="0079384F">
        <w:rPr>
          <w:lang w:val="en-US"/>
        </w:rPr>
        <w:t>, in planning, licensing, design,</w:t>
      </w:r>
      <w:r w:rsidR="00E76208" w:rsidRPr="0079384F">
        <w:rPr>
          <w:lang w:val="en-US"/>
        </w:rPr>
        <w:t xml:space="preserve"> </w:t>
      </w:r>
      <w:r w:rsidR="00E47E8C" w:rsidRPr="0079384F">
        <w:rPr>
          <w:lang w:val="en-US"/>
        </w:rPr>
        <w:t xml:space="preserve">construction, </w:t>
      </w:r>
      <w:r w:rsidR="00155680" w:rsidRPr="0079384F">
        <w:rPr>
          <w:lang w:val="en-US"/>
        </w:rPr>
        <w:t xml:space="preserve">manufacturing, </w:t>
      </w:r>
      <w:r w:rsidR="00E76208" w:rsidRPr="0079384F">
        <w:rPr>
          <w:lang w:val="en-US"/>
        </w:rPr>
        <w:t>operation and servicing</w:t>
      </w:r>
      <w:r w:rsidR="001A2C56" w:rsidRPr="0079384F">
        <w:rPr>
          <w:lang w:val="en-US"/>
        </w:rPr>
        <w:t xml:space="preserve"> SMRs</w:t>
      </w:r>
      <w:r w:rsidR="00E76208" w:rsidRPr="0079384F">
        <w:rPr>
          <w:lang w:val="en-US"/>
        </w:rPr>
        <w:t>.</w:t>
      </w:r>
      <w:r w:rsidR="00894C53" w:rsidRPr="0079384F">
        <w:rPr>
          <w:lang w:val="en-US"/>
        </w:rPr>
        <w:t xml:space="preserve"> </w:t>
      </w:r>
      <w:r w:rsidR="00F609B9" w:rsidRPr="0079384F">
        <w:rPr>
          <w:lang w:val="en-US"/>
        </w:rPr>
        <w:t>Particularly, s</w:t>
      </w:r>
      <w:r w:rsidR="00894C53" w:rsidRPr="0079384F">
        <w:rPr>
          <w:lang w:val="en-US"/>
        </w:rPr>
        <w:t xml:space="preserve">taff that’s been working as </w:t>
      </w:r>
      <w:r w:rsidR="00480A83" w:rsidRPr="0079384F">
        <w:rPr>
          <w:lang w:val="en-US"/>
        </w:rPr>
        <w:t>h</w:t>
      </w:r>
      <w:r w:rsidR="00894C53" w:rsidRPr="0079384F">
        <w:rPr>
          <w:lang w:val="en-US"/>
        </w:rPr>
        <w:t xml:space="preserve">igher management, </w:t>
      </w:r>
      <w:r w:rsidR="00480A83" w:rsidRPr="0079384F">
        <w:rPr>
          <w:lang w:val="en-US"/>
        </w:rPr>
        <w:t>m</w:t>
      </w:r>
      <w:r w:rsidR="00894C53" w:rsidRPr="0079384F">
        <w:rPr>
          <w:lang w:val="en-US"/>
        </w:rPr>
        <w:t xml:space="preserve">anagers and </w:t>
      </w:r>
      <w:r w:rsidR="00480A83" w:rsidRPr="0079384F">
        <w:rPr>
          <w:lang w:val="en-US"/>
        </w:rPr>
        <w:t>s</w:t>
      </w:r>
      <w:r w:rsidR="00894C53" w:rsidRPr="0079384F">
        <w:rPr>
          <w:lang w:val="en-US"/>
        </w:rPr>
        <w:t xml:space="preserve">upervisors, </w:t>
      </w:r>
      <w:r w:rsidR="00480A83" w:rsidRPr="0079384F">
        <w:rPr>
          <w:lang w:val="en-US"/>
        </w:rPr>
        <w:t>c</w:t>
      </w:r>
      <w:r w:rsidR="00894C53" w:rsidRPr="0079384F">
        <w:rPr>
          <w:lang w:val="en-US"/>
        </w:rPr>
        <w:t xml:space="preserve">ontrol room </w:t>
      </w:r>
      <w:r w:rsidR="00480A83" w:rsidRPr="0079384F">
        <w:rPr>
          <w:lang w:val="en-US"/>
        </w:rPr>
        <w:t>o</w:t>
      </w:r>
      <w:r w:rsidR="00894C53" w:rsidRPr="0079384F">
        <w:rPr>
          <w:lang w:val="en-US"/>
        </w:rPr>
        <w:t xml:space="preserve">perators, </w:t>
      </w:r>
      <w:r w:rsidR="00480A83" w:rsidRPr="0079384F">
        <w:rPr>
          <w:lang w:val="en-US"/>
        </w:rPr>
        <w:t>m</w:t>
      </w:r>
      <w:r w:rsidR="00894C53" w:rsidRPr="0079384F">
        <w:rPr>
          <w:lang w:val="en-US"/>
        </w:rPr>
        <w:t xml:space="preserve">echanical-, </w:t>
      </w:r>
      <w:r w:rsidR="00480A83" w:rsidRPr="0079384F">
        <w:rPr>
          <w:lang w:val="en-US"/>
        </w:rPr>
        <w:t>e</w:t>
      </w:r>
      <w:r w:rsidR="00894C53" w:rsidRPr="0079384F">
        <w:rPr>
          <w:lang w:val="en-US"/>
        </w:rPr>
        <w:t>lectrical- and I&amp;C-</w:t>
      </w:r>
      <w:r w:rsidR="00480A83" w:rsidRPr="0079384F">
        <w:rPr>
          <w:lang w:val="en-US"/>
        </w:rPr>
        <w:t>m</w:t>
      </w:r>
      <w:r w:rsidR="00894C53" w:rsidRPr="0079384F">
        <w:rPr>
          <w:lang w:val="en-US"/>
        </w:rPr>
        <w:t>aintenance,</w:t>
      </w:r>
      <w:r w:rsidR="004124D3" w:rsidRPr="0079384F">
        <w:rPr>
          <w:lang w:val="en-US"/>
        </w:rPr>
        <w:t xml:space="preserve"> and</w:t>
      </w:r>
      <w:r w:rsidR="00894C53" w:rsidRPr="0079384F">
        <w:rPr>
          <w:lang w:val="en-US"/>
        </w:rPr>
        <w:t xml:space="preserve"> </w:t>
      </w:r>
      <w:r w:rsidR="00480A83" w:rsidRPr="0079384F">
        <w:rPr>
          <w:lang w:val="en-US"/>
        </w:rPr>
        <w:t>s</w:t>
      </w:r>
      <w:r w:rsidR="00894C53" w:rsidRPr="0079384F">
        <w:rPr>
          <w:lang w:val="en-US"/>
        </w:rPr>
        <w:t xml:space="preserve">tation </w:t>
      </w:r>
      <w:r w:rsidR="00480A83" w:rsidRPr="0079384F">
        <w:rPr>
          <w:lang w:val="en-US"/>
        </w:rPr>
        <w:t>e</w:t>
      </w:r>
      <w:r w:rsidR="00894C53" w:rsidRPr="0079384F">
        <w:rPr>
          <w:lang w:val="en-US"/>
        </w:rPr>
        <w:t xml:space="preserve">ngineering all </w:t>
      </w:r>
      <w:r w:rsidR="00D920D5" w:rsidRPr="0079384F">
        <w:rPr>
          <w:lang w:val="en-US"/>
        </w:rPr>
        <w:t xml:space="preserve">have </w:t>
      </w:r>
      <w:r w:rsidR="00894C53" w:rsidRPr="0079384F">
        <w:rPr>
          <w:lang w:val="en-US"/>
        </w:rPr>
        <w:t xml:space="preserve">a </w:t>
      </w:r>
      <w:r w:rsidR="0012688E" w:rsidRPr="0079384F">
        <w:rPr>
          <w:lang w:val="en-US"/>
        </w:rPr>
        <w:t>solid</w:t>
      </w:r>
      <w:r w:rsidR="00894C53" w:rsidRPr="0079384F">
        <w:rPr>
          <w:lang w:val="en-US"/>
        </w:rPr>
        <w:t xml:space="preserve"> basic training level.</w:t>
      </w:r>
      <w:r w:rsidR="00626953" w:rsidRPr="0079384F">
        <w:rPr>
          <w:lang w:val="en-US"/>
        </w:rPr>
        <w:t xml:space="preserve"> </w:t>
      </w:r>
    </w:p>
    <w:p w14:paraId="07520F99" w14:textId="42D7FA7F" w:rsidR="006B312C" w:rsidRPr="0079384F" w:rsidRDefault="00626953" w:rsidP="00A70BAF">
      <w:pPr>
        <w:pStyle w:val="Brdtekst"/>
        <w:ind w:firstLine="0"/>
        <w:rPr>
          <w:lang w:val="en-US"/>
        </w:rPr>
      </w:pPr>
      <w:r w:rsidRPr="0079384F">
        <w:rPr>
          <w:lang w:val="en-US"/>
        </w:rPr>
        <w:tab/>
      </w:r>
      <w:r w:rsidR="005533DA" w:rsidRPr="0079384F">
        <w:rPr>
          <w:lang w:val="en-US"/>
        </w:rPr>
        <w:t xml:space="preserve">As the need for O&amp;G may </w:t>
      </w:r>
      <w:r w:rsidR="008E118C" w:rsidRPr="0079384F">
        <w:rPr>
          <w:lang w:val="en-US"/>
        </w:rPr>
        <w:t xml:space="preserve">decline in the coming decades, if GHG-policies are implemented, </w:t>
      </w:r>
      <w:r w:rsidR="00AF773E" w:rsidRPr="0079384F">
        <w:rPr>
          <w:lang w:val="en-US"/>
        </w:rPr>
        <w:t>there’s ample room for</w:t>
      </w:r>
      <w:r w:rsidR="00735066" w:rsidRPr="0079384F">
        <w:rPr>
          <w:lang w:val="en-US"/>
        </w:rPr>
        <w:t xml:space="preserve"> a significant share of</w:t>
      </w:r>
      <w:r w:rsidR="00AF773E" w:rsidRPr="0079384F">
        <w:rPr>
          <w:lang w:val="en-US"/>
        </w:rPr>
        <w:t xml:space="preserve"> these </w:t>
      </w:r>
      <w:r w:rsidR="00735066" w:rsidRPr="0079384F">
        <w:rPr>
          <w:lang w:val="en-US"/>
        </w:rPr>
        <w:t>roughly 200</w:t>
      </w:r>
      <w:r w:rsidR="00C121FE">
        <w:rPr>
          <w:lang w:val="en-US"/>
        </w:rPr>
        <w:t>,</w:t>
      </w:r>
      <w:r w:rsidR="00735066" w:rsidRPr="0079384F">
        <w:rPr>
          <w:lang w:val="en-US"/>
        </w:rPr>
        <w:t xml:space="preserve">000 workers to enter the nuclear </w:t>
      </w:r>
      <w:r w:rsidR="00E94462" w:rsidRPr="0079384F">
        <w:rPr>
          <w:lang w:val="en-US"/>
        </w:rPr>
        <w:t xml:space="preserve">sector. As there’s generally a </w:t>
      </w:r>
      <w:r w:rsidR="001C7538" w:rsidRPr="0079384F">
        <w:rPr>
          <w:lang w:val="en-US"/>
        </w:rPr>
        <w:t xml:space="preserve">high demand for human resources in </w:t>
      </w:r>
      <w:r w:rsidR="00A937D0" w:rsidRPr="0079384F">
        <w:rPr>
          <w:lang w:val="en-US"/>
        </w:rPr>
        <w:t>the global nuclear</w:t>
      </w:r>
      <w:r w:rsidR="001C7538" w:rsidRPr="0079384F">
        <w:rPr>
          <w:lang w:val="en-US"/>
        </w:rPr>
        <w:t xml:space="preserve"> industry already, there are significant market opportunities </w:t>
      </w:r>
      <w:r w:rsidR="00190B05" w:rsidRPr="0079384F">
        <w:rPr>
          <w:lang w:val="en-US"/>
        </w:rPr>
        <w:t>for newcomers from fields of particular relevance</w:t>
      </w:r>
      <w:r w:rsidR="001A2C56" w:rsidRPr="0079384F">
        <w:rPr>
          <w:lang w:val="en-US"/>
        </w:rPr>
        <w:t>,</w:t>
      </w:r>
      <w:r w:rsidR="005A78D3" w:rsidRPr="0079384F">
        <w:rPr>
          <w:lang w:val="en-US"/>
        </w:rPr>
        <w:t xml:space="preserve"> such as the O&amp;G</w:t>
      </w:r>
      <w:r w:rsidR="007D6F8C" w:rsidRPr="0079384F">
        <w:rPr>
          <w:lang w:val="en-US"/>
        </w:rPr>
        <w:t xml:space="preserve"> </w:t>
      </w:r>
      <w:r w:rsidR="005A78D3" w:rsidRPr="0079384F">
        <w:rPr>
          <w:lang w:val="en-US"/>
        </w:rPr>
        <w:t xml:space="preserve">sector. </w:t>
      </w:r>
      <w:r w:rsidR="005B00AA" w:rsidRPr="0079384F">
        <w:rPr>
          <w:lang w:val="en-US"/>
        </w:rPr>
        <w:t>Th</w:t>
      </w:r>
      <w:r w:rsidR="003044F2" w:rsidRPr="0079384F">
        <w:rPr>
          <w:lang w:val="en-US"/>
        </w:rPr>
        <w:t>e</w:t>
      </w:r>
      <w:r w:rsidR="005B00AA" w:rsidRPr="0079384F">
        <w:rPr>
          <w:lang w:val="en-US"/>
        </w:rPr>
        <w:t xml:space="preserve"> growing global nuclear industry</w:t>
      </w:r>
      <w:r w:rsidR="00422AEC" w:rsidRPr="0079384F">
        <w:rPr>
          <w:lang w:val="en-US"/>
        </w:rPr>
        <w:t xml:space="preserve"> also provides ample opportunities </w:t>
      </w:r>
      <w:r w:rsidR="0079384F">
        <w:rPr>
          <w:lang w:val="en-US"/>
        </w:rPr>
        <w:t>for Norwegian industry</w:t>
      </w:r>
      <w:r w:rsidR="0079384F" w:rsidRPr="0079384F">
        <w:rPr>
          <w:lang w:val="en-US"/>
        </w:rPr>
        <w:t xml:space="preserve"> </w:t>
      </w:r>
      <w:r w:rsidR="0079384F">
        <w:rPr>
          <w:lang w:val="en-US"/>
        </w:rPr>
        <w:t>such that nuclear industry experience</w:t>
      </w:r>
      <w:r w:rsidR="00382E21" w:rsidRPr="0079384F">
        <w:rPr>
          <w:lang w:val="en-US"/>
        </w:rPr>
        <w:t xml:space="preserve"> may be attained </w:t>
      </w:r>
      <w:r w:rsidR="000E0ADD">
        <w:rPr>
          <w:lang w:val="en-US"/>
        </w:rPr>
        <w:t xml:space="preserve">even </w:t>
      </w:r>
      <w:r w:rsidR="00382E21" w:rsidRPr="0079384F">
        <w:rPr>
          <w:lang w:val="en-US"/>
        </w:rPr>
        <w:t xml:space="preserve">before </w:t>
      </w:r>
      <w:r w:rsidR="006B312C" w:rsidRPr="0079384F">
        <w:rPr>
          <w:lang w:val="en-US"/>
        </w:rPr>
        <w:t xml:space="preserve">Norway implements its first SMRs. </w:t>
      </w:r>
    </w:p>
    <w:p w14:paraId="10D5AA38" w14:textId="3BFFA8A8" w:rsidR="0096797D" w:rsidRDefault="006B312C" w:rsidP="00A70BAF">
      <w:pPr>
        <w:pStyle w:val="Brdtekst"/>
        <w:ind w:firstLine="0"/>
        <w:rPr>
          <w:lang w:val="en-US"/>
        </w:rPr>
      </w:pPr>
      <w:r w:rsidRPr="0079384F">
        <w:rPr>
          <w:lang w:val="en-US"/>
        </w:rPr>
        <w:tab/>
        <w:t xml:space="preserve">Other Norwegian </w:t>
      </w:r>
      <w:r w:rsidR="007D6F8C" w:rsidRPr="0079384F">
        <w:rPr>
          <w:lang w:val="en-US"/>
        </w:rPr>
        <w:t>industry segments</w:t>
      </w:r>
      <w:r w:rsidRPr="0079384F">
        <w:rPr>
          <w:lang w:val="en-US"/>
        </w:rPr>
        <w:t xml:space="preserve">, such as the maritime </w:t>
      </w:r>
      <w:r w:rsidR="00EC2FEC" w:rsidRPr="0079384F">
        <w:rPr>
          <w:lang w:val="en-US"/>
        </w:rPr>
        <w:t xml:space="preserve">and process </w:t>
      </w:r>
      <w:r w:rsidRPr="0079384F">
        <w:rPr>
          <w:lang w:val="en-US"/>
        </w:rPr>
        <w:t xml:space="preserve">industries, closely </w:t>
      </w:r>
      <w:r w:rsidR="005E016B" w:rsidRPr="0079384F">
        <w:rPr>
          <w:lang w:val="en-US"/>
        </w:rPr>
        <w:t>integrated to the O&amp;G</w:t>
      </w:r>
      <w:r w:rsidR="007D6F8C" w:rsidRPr="0079384F">
        <w:rPr>
          <w:lang w:val="en-US"/>
        </w:rPr>
        <w:t xml:space="preserve"> sector, are also well positioned </w:t>
      </w:r>
      <w:r w:rsidR="008D5FD6" w:rsidRPr="0079384F">
        <w:rPr>
          <w:lang w:val="en-US"/>
        </w:rPr>
        <w:t xml:space="preserve">to </w:t>
      </w:r>
      <w:r w:rsidR="00623F64" w:rsidRPr="0079384F">
        <w:rPr>
          <w:lang w:val="en-US"/>
        </w:rPr>
        <w:t>support a</w:t>
      </w:r>
      <w:r w:rsidR="008D5FD6" w:rsidRPr="0079384F">
        <w:rPr>
          <w:lang w:val="en-US"/>
        </w:rPr>
        <w:t xml:space="preserve"> nuclear industry</w:t>
      </w:r>
      <w:r w:rsidR="009E0E20" w:rsidRPr="0079384F">
        <w:rPr>
          <w:lang w:val="en-US"/>
        </w:rPr>
        <w:t xml:space="preserve">, of which there’s particular historical </w:t>
      </w:r>
      <w:r w:rsidR="009E0E20" w:rsidRPr="0079384F">
        <w:rPr>
          <w:lang w:val="en-US"/>
        </w:rPr>
        <w:lastRenderedPageBreak/>
        <w:t>precedence in our neighboring country, Sweden, where</w:t>
      </w:r>
      <w:r w:rsidR="0029226B" w:rsidRPr="0079384F">
        <w:rPr>
          <w:lang w:val="en-US"/>
        </w:rPr>
        <w:t xml:space="preserve">, in the 70s, staff from shipping and other process industries were attracted to </w:t>
      </w:r>
      <w:r w:rsidR="00623F64" w:rsidRPr="0079384F">
        <w:rPr>
          <w:lang w:val="en-US"/>
        </w:rPr>
        <w:t xml:space="preserve">the </w:t>
      </w:r>
      <w:r w:rsidR="0029226B" w:rsidRPr="0079384F">
        <w:rPr>
          <w:lang w:val="en-US"/>
        </w:rPr>
        <w:t>new and expanding business</w:t>
      </w:r>
      <w:r w:rsidR="00623F64" w:rsidRPr="0079384F">
        <w:rPr>
          <w:lang w:val="en-US"/>
        </w:rPr>
        <w:t xml:space="preserve"> of nuclear power</w:t>
      </w:r>
      <w:r w:rsidR="0029226B" w:rsidRPr="0079384F">
        <w:rPr>
          <w:lang w:val="en-US"/>
        </w:rPr>
        <w:t>.</w:t>
      </w:r>
      <w:r w:rsidR="00EC2FEC" w:rsidRPr="0079384F">
        <w:rPr>
          <w:lang w:val="en-US"/>
        </w:rPr>
        <w:t xml:space="preserve"> </w:t>
      </w:r>
    </w:p>
    <w:p w14:paraId="29F53697" w14:textId="182ED2FA" w:rsidR="00E74A0D" w:rsidRPr="0079384F" w:rsidRDefault="00E74A0D" w:rsidP="00E74A0D">
      <w:pPr>
        <w:pStyle w:val="Brdtekst"/>
        <w:rPr>
          <w:lang w:val="en-US"/>
        </w:rPr>
      </w:pPr>
      <w:r>
        <w:rPr>
          <w:lang w:val="en-US"/>
        </w:rPr>
        <w:t>T</w:t>
      </w:r>
      <w:r w:rsidRPr="0079384F">
        <w:rPr>
          <w:lang w:val="en-US"/>
        </w:rPr>
        <w:t>he prospects of exploring nuclear propulsion in ships to reach the International Maritime Organization</w:t>
      </w:r>
      <w:r w:rsidR="00725042">
        <w:rPr>
          <w:lang w:val="en-US"/>
        </w:rPr>
        <w:t>s’</w:t>
      </w:r>
      <w:r w:rsidRPr="0079384F">
        <w:rPr>
          <w:lang w:val="en-US"/>
        </w:rPr>
        <w:t xml:space="preserve"> </w:t>
      </w:r>
      <w:r w:rsidR="00725042">
        <w:rPr>
          <w:lang w:val="en-US"/>
        </w:rPr>
        <w:t xml:space="preserve">goal of </w:t>
      </w:r>
      <w:r w:rsidRPr="0079384F">
        <w:rPr>
          <w:lang w:val="en-US"/>
        </w:rPr>
        <w:t>net zero around 2050 has manifested Norwegian-led international initiatives such as an OSM Thome-led pilot-project “Grønt skipsfartsprogram”</w:t>
      </w:r>
      <w:r>
        <w:rPr>
          <w:lang w:val="en-US"/>
        </w:rPr>
        <w:t xml:space="preserve"> [12]</w:t>
      </w:r>
      <w:r w:rsidRPr="0079384F">
        <w:rPr>
          <w:lang w:val="en-US"/>
        </w:rPr>
        <w:t xml:space="preserve"> and the Norwegian University of Science and Technology led project NUPROSHIP</w:t>
      </w:r>
      <w:r>
        <w:rPr>
          <w:lang w:val="en-US"/>
        </w:rPr>
        <w:t xml:space="preserve"> [13]</w:t>
      </w:r>
      <w:r w:rsidRPr="0079384F">
        <w:rPr>
          <w:lang w:val="en-US"/>
        </w:rPr>
        <w:t>, investigating the use of SMRs, highlighting it’s huge potential for Norwegian shipping and O&amp;G actors as part of the green shift away from fossil fuels.</w:t>
      </w:r>
    </w:p>
    <w:p w14:paraId="74C031D4" w14:textId="77777777" w:rsidR="00E74A0D" w:rsidRDefault="00BD5A44" w:rsidP="00BD5AE4">
      <w:pPr>
        <w:pStyle w:val="Brdtekst"/>
        <w:rPr>
          <w:lang w:val="en-US"/>
        </w:rPr>
      </w:pPr>
      <w:r w:rsidRPr="0079384F">
        <w:rPr>
          <w:lang w:val="en-US"/>
        </w:rPr>
        <w:t xml:space="preserve">Today, </w:t>
      </w:r>
      <w:r w:rsidR="00F27A96" w:rsidRPr="0079384F">
        <w:rPr>
          <w:lang w:val="en-US"/>
        </w:rPr>
        <w:t xml:space="preserve">Norway, </w:t>
      </w:r>
      <w:r w:rsidRPr="0079384F">
        <w:rPr>
          <w:lang w:val="en-US"/>
        </w:rPr>
        <w:t>Estonia</w:t>
      </w:r>
      <w:r w:rsidR="0096797D" w:rsidRPr="0079384F">
        <w:rPr>
          <w:lang w:val="en-US"/>
        </w:rPr>
        <w:t xml:space="preserve">, Poland, and several other countries, are </w:t>
      </w:r>
      <w:r w:rsidR="00F27A96" w:rsidRPr="0079384F">
        <w:rPr>
          <w:lang w:val="en-US"/>
        </w:rPr>
        <w:t>exploring the prospects of reschooling personnel from other industries, particularly O&amp;G</w:t>
      </w:r>
      <w:r w:rsidR="00117100" w:rsidRPr="0079384F">
        <w:rPr>
          <w:lang w:val="en-US"/>
        </w:rPr>
        <w:t xml:space="preserve">. In Norway, Norsk Kjernekraft </w:t>
      </w:r>
      <w:r w:rsidR="00172A46" w:rsidRPr="0079384F">
        <w:rPr>
          <w:lang w:val="en-US"/>
        </w:rPr>
        <w:t>has already embarked on developing reschooling</w:t>
      </w:r>
      <w:r w:rsidR="009C6019" w:rsidRPr="0079384F">
        <w:rPr>
          <w:lang w:val="en-US"/>
        </w:rPr>
        <w:t xml:space="preserve"> strategies, </w:t>
      </w:r>
      <w:r w:rsidR="00623F64" w:rsidRPr="0079384F">
        <w:rPr>
          <w:lang w:val="en-US"/>
        </w:rPr>
        <w:t>entering</w:t>
      </w:r>
      <w:r w:rsidR="009C6019" w:rsidRPr="0079384F">
        <w:rPr>
          <w:lang w:val="en-US"/>
        </w:rPr>
        <w:t xml:space="preserve"> promising discussions with large O&amp;G-companies</w:t>
      </w:r>
      <w:r w:rsidR="00050868" w:rsidRPr="0079384F">
        <w:rPr>
          <w:lang w:val="en-US"/>
        </w:rPr>
        <w:t xml:space="preserve">, </w:t>
      </w:r>
      <w:r w:rsidR="00057BC5">
        <w:rPr>
          <w:lang w:val="en-US"/>
        </w:rPr>
        <w:t xml:space="preserve">and </w:t>
      </w:r>
      <w:r w:rsidR="00282930" w:rsidRPr="0079384F">
        <w:rPr>
          <w:lang w:val="en-US"/>
        </w:rPr>
        <w:t xml:space="preserve">several counties are exploring the establishment of </w:t>
      </w:r>
      <w:r w:rsidR="00623F64" w:rsidRPr="0079384F">
        <w:rPr>
          <w:lang w:val="en-US"/>
        </w:rPr>
        <w:t xml:space="preserve">nuclear engineering </w:t>
      </w:r>
      <w:r w:rsidR="00282930" w:rsidRPr="0079384F">
        <w:rPr>
          <w:lang w:val="en-US"/>
        </w:rPr>
        <w:t>educational and training programs</w:t>
      </w:r>
      <w:r w:rsidR="00806A88" w:rsidRPr="0079384F">
        <w:rPr>
          <w:lang w:val="en-US"/>
        </w:rPr>
        <w:t xml:space="preserve">. </w:t>
      </w:r>
    </w:p>
    <w:p w14:paraId="681A1131" w14:textId="3450D153" w:rsidR="00E57B55" w:rsidRPr="0079384F" w:rsidRDefault="00E57B55" w:rsidP="001536A6">
      <w:pPr>
        <w:pStyle w:val="Overskrift2"/>
        <w:rPr>
          <w:lang w:val="en-US"/>
        </w:rPr>
      </w:pPr>
      <w:r w:rsidRPr="0079384F">
        <w:rPr>
          <w:lang w:val="en-US"/>
        </w:rPr>
        <w:t>C</w:t>
      </w:r>
      <w:r w:rsidR="0050069A" w:rsidRPr="0079384F">
        <w:rPr>
          <w:lang w:val="en-US"/>
        </w:rPr>
        <w:t>ONCLUSION</w:t>
      </w:r>
    </w:p>
    <w:p w14:paraId="61D7E251" w14:textId="464CA1B0" w:rsidR="002E3E71" w:rsidRPr="0079384F" w:rsidRDefault="00121C8A" w:rsidP="00BE65F5">
      <w:pPr>
        <w:pStyle w:val="Brdtekst"/>
        <w:rPr>
          <w:lang w:val="en-US"/>
        </w:rPr>
      </w:pPr>
      <w:r w:rsidRPr="0079384F">
        <w:rPr>
          <w:lang w:val="en-US"/>
        </w:rPr>
        <w:t xml:space="preserve">Norway is </w:t>
      </w:r>
      <w:r w:rsidR="002C23D9" w:rsidRPr="0079384F">
        <w:rPr>
          <w:lang w:val="en-US"/>
        </w:rPr>
        <w:t xml:space="preserve">advantageously positioned </w:t>
      </w:r>
      <w:r w:rsidR="00821DA2" w:rsidRPr="0079384F">
        <w:rPr>
          <w:lang w:val="en-US"/>
        </w:rPr>
        <w:t xml:space="preserve">to implement </w:t>
      </w:r>
      <w:r w:rsidR="00C34966" w:rsidRPr="0079384F">
        <w:rPr>
          <w:lang w:val="en-US"/>
        </w:rPr>
        <w:t>SMRs</w:t>
      </w:r>
      <w:r w:rsidR="00821DA2" w:rsidRPr="0079384F">
        <w:rPr>
          <w:lang w:val="en-US"/>
        </w:rPr>
        <w:t xml:space="preserve"> </w:t>
      </w:r>
      <w:r w:rsidR="00A5483D" w:rsidRPr="0079384F">
        <w:rPr>
          <w:lang w:val="en-US"/>
        </w:rPr>
        <w:t>to transition its O&amp;G secto</w:t>
      </w:r>
      <w:r w:rsidR="00B1065A" w:rsidRPr="0079384F">
        <w:rPr>
          <w:lang w:val="en-US"/>
        </w:rPr>
        <w:t>r</w:t>
      </w:r>
      <w:r w:rsidR="00A5483D" w:rsidRPr="0079384F">
        <w:rPr>
          <w:lang w:val="en-US"/>
        </w:rPr>
        <w:t xml:space="preserve"> into a </w:t>
      </w:r>
      <w:r w:rsidR="00003C10" w:rsidRPr="0079384F">
        <w:rPr>
          <w:lang w:val="en-US"/>
        </w:rPr>
        <w:t>more sustainable industry</w:t>
      </w:r>
      <w:r w:rsidR="00623F64" w:rsidRPr="0079384F">
        <w:rPr>
          <w:lang w:val="en-US"/>
        </w:rPr>
        <w:t xml:space="preserve"> while bringing </w:t>
      </w:r>
      <w:r w:rsidR="00ED186C" w:rsidRPr="0079384F">
        <w:rPr>
          <w:lang w:val="en-US"/>
        </w:rPr>
        <w:t>significant local benefits</w:t>
      </w:r>
      <w:r w:rsidR="004312D2" w:rsidRPr="0079384F">
        <w:rPr>
          <w:lang w:val="en-US"/>
        </w:rPr>
        <w:t xml:space="preserve">. </w:t>
      </w:r>
      <w:r w:rsidR="00917B69" w:rsidRPr="0079384F">
        <w:rPr>
          <w:lang w:val="en-US"/>
        </w:rPr>
        <w:t xml:space="preserve">Norway has </w:t>
      </w:r>
      <w:r w:rsidR="00245E8F" w:rsidRPr="0079384F">
        <w:rPr>
          <w:lang w:val="en-US"/>
        </w:rPr>
        <w:t>already the necessary legal and regulatory infrastructure</w:t>
      </w:r>
      <w:r w:rsidR="002E3E71" w:rsidRPr="0079384F">
        <w:rPr>
          <w:lang w:val="en-US"/>
        </w:rPr>
        <w:t xml:space="preserve"> in place</w:t>
      </w:r>
      <w:r w:rsidR="00245E8F" w:rsidRPr="0079384F">
        <w:rPr>
          <w:lang w:val="en-US"/>
        </w:rPr>
        <w:t>,</w:t>
      </w:r>
      <w:r w:rsidR="00A25413" w:rsidRPr="0079384F">
        <w:rPr>
          <w:lang w:val="en-US"/>
        </w:rPr>
        <w:t xml:space="preserve"> </w:t>
      </w:r>
      <w:r w:rsidR="00245E8F" w:rsidRPr="0079384F">
        <w:rPr>
          <w:lang w:val="en-US"/>
        </w:rPr>
        <w:t>a</w:t>
      </w:r>
      <w:r w:rsidR="000272DA" w:rsidRPr="0079384F">
        <w:rPr>
          <w:lang w:val="en-US"/>
        </w:rPr>
        <w:t xml:space="preserve">n independent </w:t>
      </w:r>
      <w:r w:rsidR="00245E8F" w:rsidRPr="0079384F">
        <w:rPr>
          <w:lang w:val="en-US"/>
        </w:rPr>
        <w:t>regulatory body,</w:t>
      </w:r>
      <w:r w:rsidR="00C12627" w:rsidRPr="0079384F">
        <w:rPr>
          <w:lang w:val="en-US"/>
        </w:rPr>
        <w:t xml:space="preserve"> </w:t>
      </w:r>
      <w:r w:rsidR="000272DA" w:rsidRPr="0079384F">
        <w:rPr>
          <w:lang w:val="en-US"/>
        </w:rPr>
        <w:t>and</w:t>
      </w:r>
      <w:r w:rsidR="00ED186C" w:rsidRPr="0079384F">
        <w:rPr>
          <w:lang w:val="en-US"/>
        </w:rPr>
        <w:t>,</w:t>
      </w:r>
      <w:r w:rsidR="00213F29" w:rsidRPr="0079384F">
        <w:rPr>
          <w:lang w:val="en-US"/>
        </w:rPr>
        <w:t xml:space="preserve"> being one of the first countries in world to implement nuclear </w:t>
      </w:r>
      <w:r w:rsidR="001D5C90" w:rsidRPr="0079384F">
        <w:rPr>
          <w:lang w:val="en-US"/>
        </w:rPr>
        <w:t xml:space="preserve">reactors, a long history within the nuclear domain. </w:t>
      </w:r>
    </w:p>
    <w:p w14:paraId="779F3D69" w14:textId="4476591A" w:rsidR="00EB39BB" w:rsidRPr="0079384F" w:rsidRDefault="000272DA" w:rsidP="00AF61EB">
      <w:pPr>
        <w:pStyle w:val="Brdtekst"/>
        <w:ind w:firstLine="0"/>
        <w:rPr>
          <w:lang w:val="en-US"/>
        </w:rPr>
      </w:pPr>
      <w:r w:rsidRPr="0079384F">
        <w:rPr>
          <w:lang w:val="en-US"/>
        </w:rPr>
        <w:tab/>
      </w:r>
      <w:r w:rsidR="003D6379" w:rsidRPr="0079384F">
        <w:rPr>
          <w:lang w:val="en-US"/>
        </w:rPr>
        <w:t>Impo</w:t>
      </w:r>
      <w:r w:rsidR="00007E36" w:rsidRPr="0079384F">
        <w:rPr>
          <w:lang w:val="en-US"/>
        </w:rPr>
        <w:t xml:space="preserve">rtantly, the public perception of nuclear power has been improving </w:t>
      </w:r>
      <w:r w:rsidR="00ED186C" w:rsidRPr="0079384F">
        <w:rPr>
          <w:lang w:val="en-US"/>
        </w:rPr>
        <w:t xml:space="preserve">at </w:t>
      </w:r>
      <w:r w:rsidR="00007E36" w:rsidRPr="0079384F">
        <w:rPr>
          <w:lang w:val="en-US"/>
        </w:rPr>
        <w:t>an extraordinary pa</w:t>
      </w:r>
      <w:r w:rsidR="00AD44F9" w:rsidRPr="0079384F">
        <w:rPr>
          <w:lang w:val="en-US"/>
        </w:rPr>
        <w:t>c</w:t>
      </w:r>
      <w:r w:rsidR="00007E36" w:rsidRPr="0079384F">
        <w:rPr>
          <w:lang w:val="en-US"/>
        </w:rPr>
        <w:t>e</w:t>
      </w:r>
      <w:r w:rsidR="008D0C1A" w:rsidRPr="0079384F">
        <w:rPr>
          <w:lang w:val="en-US"/>
        </w:rPr>
        <w:t xml:space="preserve">, a broad national political support is developing, </w:t>
      </w:r>
      <w:r w:rsidR="00D60315" w:rsidRPr="0079384F">
        <w:rPr>
          <w:lang w:val="en-US"/>
        </w:rPr>
        <w:t xml:space="preserve">and key industrial entities </w:t>
      </w:r>
      <w:r w:rsidR="00ED186C" w:rsidRPr="0079384F">
        <w:rPr>
          <w:lang w:val="en-US"/>
        </w:rPr>
        <w:t xml:space="preserve">have </w:t>
      </w:r>
      <w:r w:rsidR="00EB39BB" w:rsidRPr="0079384F">
        <w:rPr>
          <w:lang w:val="en-US"/>
        </w:rPr>
        <w:t>gained a renewed interest in the power source</w:t>
      </w:r>
      <w:r w:rsidR="00E46885" w:rsidRPr="0079384F">
        <w:rPr>
          <w:lang w:val="en-US"/>
        </w:rPr>
        <w:t xml:space="preserve">, </w:t>
      </w:r>
      <w:r w:rsidR="00ED186C" w:rsidRPr="0079384F">
        <w:rPr>
          <w:lang w:val="en-US"/>
        </w:rPr>
        <w:t xml:space="preserve">setting the stage for </w:t>
      </w:r>
      <w:r w:rsidR="0013476E" w:rsidRPr="0079384F">
        <w:rPr>
          <w:lang w:val="en-US"/>
        </w:rPr>
        <w:t xml:space="preserve">tremendous capital resources to be directed towards </w:t>
      </w:r>
      <w:r w:rsidR="00DD5B36" w:rsidRPr="0079384F">
        <w:rPr>
          <w:lang w:val="en-US"/>
        </w:rPr>
        <w:t xml:space="preserve">its </w:t>
      </w:r>
      <w:r w:rsidR="0013476E" w:rsidRPr="0079384F">
        <w:rPr>
          <w:lang w:val="en-US"/>
        </w:rPr>
        <w:t>implementation</w:t>
      </w:r>
      <w:r w:rsidR="00EB39BB" w:rsidRPr="0079384F">
        <w:rPr>
          <w:lang w:val="en-US"/>
        </w:rPr>
        <w:t xml:space="preserve">. </w:t>
      </w:r>
    </w:p>
    <w:p w14:paraId="4A72E3E7" w14:textId="2E412E63" w:rsidR="000272DA" w:rsidRPr="0079384F" w:rsidRDefault="00EB39BB" w:rsidP="00AF61EB">
      <w:pPr>
        <w:pStyle w:val="Brdtekst"/>
        <w:ind w:firstLine="0"/>
        <w:rPr>
          <w:lang w:val="en-US"/>
        </w:rPr>
      </w:pPr>
      <w:r w:rsidRPr="0079384F">
        <w:rPr>
          <w:lang w:val="en-US"/>
        </w:rPr>
        <w:tab/>
      </w:r>
      <w:r w:rsidR="004441CC" w:rsidRPr="0079384F">
        <w:rPr>
          <w:lang w:val="en-US"/>
        </w:rPr>
        <w:t xml:space="preserve">The business case for </w:t>
      </w:r>
      <w:r w:rsidR="00584E5F" w:rsidRPr="0079384F">
        <w:rPr>
          <w:lang w:val="en-US"/>
        </w:rPr>
        <w:t>deploying SMRs for the electrification of O&amp;G installations is s</w:t>
      </w:r>
      <w:r w:rsidR="00FB45F3" w:rsidRPr="0079384F">
        <w:rPr>
          <w:lang w:val="en-US"/>
        </w:rPr>
        <w:t>olid</w:t>
      </w:r>
      <w:r w:rsidR="00D673F8" w:rsidRPr="0079384F">
        <w:rPr>
          <w:lang w:val="en-US"/>
        </w:rPr>
        <w:t>, with estimated NPVs of several hundred million Euros per SMR</w:t>
      </w:r>
      <w:r w:rsidR="00584E5F" w:rsidRPr="0079384F">
        <w:rPr>
          <w:lang w:val="en-US"/>
        </w:rPr>
        <w:t xml:space="preserve">. </w:t>
      </w:r>
      <w:r w:rsidR="006749B0" w:rsidRPr="0079384F">
        <w:rPr>
          <w:lang w:val="en-US"/>
        </w:rPr>
        <w:t xml:space="preserve">There’s a tremendous need for clean </w:t>
      </w:r>
      <w:r w:rsidR="00D673F8" w:rsidRPr="0079384F">
        <w:rPr>
          <w:lang w:val="en-US"/>
        </w:rPr>
        <w:t xml:space="preserve">and reliable </w:t>
      </w:r>
      <w:r w:rsidR="006749B0" w:rsidRPr="0079384F">
        <w:rPr>
          <w:lang w:val="en-US"/>
        </w:rPr>
        <w:t xml:space="preserve">electricity </w:t>
      </w:r>
      <w:r w:rsidR="00ED186C" w:rsidRPr="0079384F">
        <w:rPr>
          <w:lang w:val="en-US"/>
        </w:rPr>
        <w:t>in Norway, and</w:t>
      </w:r>
      <w:r w:rsidR="006749B0" w:rsidRPr="0079384F">
        <w:rPr>
          <w:lang w:val="en-US"/>
        </w:rPr>
        <w:t xml:space="preserve"> the investment threshold is similar to a </w:t>
      </w:r>
      <w:r w:rsidR="00E36E4A" w:rsidRPr="0079384F">
        <w:rPr>
          <w:lang w:val="en-US"/>
        </w:rPr>
        <w:t xml:space="preserve">medium sized </w:t>
      </w:r>
      <w:r w:rsidR="00BA0194" w:rsidRPr="0079384F">
        <w:rPr>
          <w:lang w:val="en-US"/>
        </w:rPr>
        <w:t>oil field</w:t>
      </w:r>
      <w:r w:rsidR="00ED186C" w:rsidRPr="0079384F">
        <w:rPr>
          <w:lang w:val="en-US"/>
        </w:rPr>
        <w:t>,</w:t>
      </w:r>
      <w:r w:rsidR="00DD5B36" w:rsidRPr="0079384F">
        <w:rPr>
          <w:lang w:val="en-US"/>
        </w:rPr>
        <w:t xml:space="preserve"> but with significantly lower risks and with prospects for </w:t>
      </w:r>
      <w:r w:rsidR="00631B61" w:rsidRPr="0079384F">
        <w:rPr>
          <w:lang w:val="en-US"/>
        </w:rPr>
        <w:t xml:space="preserve">further added asset values through heat utilization and </w:t>
      </w:r>
      <w:r w:rsidR="001516F2" w:rsidRPr="0079384F">
        <w:rPr>
          <w:lang w:val="en-US"/>
        </w:rPr>
        <w:t xml:space="preserve">future uprates. </w:t>
      </w:r>
      <w:r w:rsidR="006B6DE4" w:rsidRPr="0079384F">
        <w:rPr>
          <w:lang w:val="en-US"/>
        </w:rPr>
        <w:t>The business case is further aided</w:t>
      </w:r>
      <w:r w:rsidR="006B1173" w:rsidRPr="0079384F">
        <w:rPr>
          <w:lang w:val="en-US"/>
        </w:rPr>
        <w:t xml:space="preserve"> significantly</w:t>
      </w:r>
      <w:r w:rsidR="006B6DE4" w:rsidRPr="0079384F">
        <w:rPr>
          <w:lang w:val="en-US"/>
        </w:rPr>
        <w:t xml:space="preserve"> by prospects of utilizing generous tax deduction mechanisms</w:t>
      </w:r>
      <w:r w:rsidR="00C062FC" w:rsidRPr="0079384F">
        <w:rPr>
          <w:lang w:val="en-US"/>
        </w:rPr>
        <w:t xml:space="preserve">, enabled through the Petroleum Taxation Act. </w:t>
      </w:r>
      <w:r w:rsidR="00F449F3" w:rsidRPr="0079384F">
        <w:rPr>
          <w:lang w:val="en-US"/>
        </w:rPr>
        <w:t xml:space="preserve">Such mechanisms may also </w:t>
      </w:r>
      <w:r w:rsidR="00D673F8" w:rsidRPr="0079384F">
        <w:rPr>
          <w:lang w:val="en-US"/>
        </w:rPr>
        <w:t xml:space="preserve">further </w:t>
      </w:r>
      <w:r w:rsidR="00F449F3" w:rsidRPr="0079384F">
        <w:rPr>
          <w:lang w:val="en-US"/>
        </w:rPr>
        <w:t xml:space="preserve">aid </w:t>
      </w:r>
      <w:r w:rsidR="00A9491A" w:rsidRPr="0079384F">
        <w:rPr>
          <w:lang w:val="en-US"/>
        </w:rPr>
        <w:t>significant</w:t>
      </w:r>
      <w:r w:rsidR="00A32643" w:rsidRPr="0079384F">
        <w:rPr>
          <w:lang w:val="en-US"/>
        </w:rPr>
        <w:t xml:space="preserve"> deployment</w:t>
      </w:r>
      <w:r w:rsidR="00A9491A" w:rsidRPr="0079384F">
        <w:rPr>
          <w:lang w:val="en-US"/>
        </w:rPr>
        <w:t>s</w:t>
      </w:r>
      <w:r w:rsidR="00A32643" w:rsidRPr="0079384F">
        <w:rPr>
          <w:lang w:val="en-US"/>
        </w:rPr>
        <w:t xml:space="preserve"> of capital into </w:t>
      </w:r>
      <w:r w:rsidR="00D70FDB" w:rsidRPr="0079384F">
        <w:rPr>
          <w:lang w:val="en-US"/>
        </w:rPr>
        <w:t xml:space="preserve">a Norwegian SMR venture, </w:t>
      </w:r>
      <w:r w:rsidR="00A9491A" w:rsidRPr="0079384F">
        <w:rPr>
          <w:lang w:val="en-US"/>
        </w:rPr>
        <w:t xml:space="preserve">fostering the utilization of SMRs </w:t>
      </w:r>
      <w:r w:rsidR="00AD7E5B" w:rsidRPr="0079384F">
        <w:rPr>
          <w:lang w:val="en-US"/>
        </w:rPr>
        <w:t xml:space="preserve">to reduce </w:t>
      </w:r>
      <w:r w:rsidR="00ED186C" w:rsidRPr="0079384F">
        <w:rPr>
          <w:lang w:val="en-US"/>
        </w:rPr>
        <w:t xml:space="preserve">industrial </w:t>
      </w:r>
      <w:r w:rsidR="00AD7E5B" w:rsidRPr="0079384F">
        <w:rPr>
          <w:lang w:val="en-US"/>
        </w:rPr>
        <w:t>GHG emissions</w:t>
      </w:r>
      <w:r w:rsidR="00745A6F" w:rsidRPr="0079384F">
        <w:rPr>
          <w:lang w:val="en-US"/>
        </w:rPr>
        <w:t xml:space="preserve">, as well as securing growth and sustainable development for existing Norwegian industries. </w:t>
      </w:r>
      <w:r w:rsidR="00A64CA9" w:rsidRPr="0079384F">
        <w:rPr>
          <w:lang w:val="en-US"/>
        </w:rPr>
        <w:t>Many</w:t>
      </w:r>
      <w:r w:rsidR="00ED186C" w:rsidRPr="0079384F">
        <w:rPr>
          <w:lang w:val="en-US"/>
        </w:rPr>
        <w:t xml:space="preserve"> potential SMR</w:t>
      </w:r>
      <w:r w:rsidR="00A64CA9" w:rsidRPr="0079384F">
        <w:rPr>
          <w:lang w:val="en-US"/>
        </w:rPr>
        <w:t xml:space="preserve"> sites </w:t>
      </w:r>
      <w:r w:rsidR="008702DA" w:rsidRPr="0079384F">
        <w:rPr>
          <w:lang w:val="en-US"/>
        </w:rPr>
        <w:t>of Norsk Kjernekraft</w:t>
      </w:r>
      <w:r w:rsidR="00ED186C" w:rsidRPr="0079384F">
        <w:rPr>
          <w:lang w:val="en-US"/>
        </w:rPr>
        <w:t>,</w:t>
      </w:r>
      <w:r w:rsidR="008702DA" w:rsidRPr="0079384F">
        <w:rPr>
          <w:lang w:val="en-US"/>
        </w:rPr>
        <w:t xml:space="preserve"> </w:t>
      </w:r>
      <w:r w:rsidR="00A64CA9" w:rsidRPr="0079384F">
        <w:rPr>
          <w:lang w:val="en-US"/>
        </w:rPr>
        <w:t xml:space="preserve">now in </w:t>
      </w:r>
      <w:r w:rsidR="008702DA" w:rsidRPr="0079384F">
        <w:rPr>
          <w:lang w:val="en-US"/>
        </w:rPr>
        <w:t xml:space="preserve">the </w:t>
      </w:r>
      <w:r w:rsidR="00A64CA9" w:rsidRPr="0079384F">
        <w:rPr>
          <w:lang w:val="en-US"/>
        </w:rPr>
        <w:t>early development stages</w:t>
      </w:r>
      <w:r w:rsidR="00ED186C" w:rsidRPr="0079384F">
        <w:rPr>
          <w:lang w:val="en-US"/>
        </w:rPr>
        <w:t>,</w:t>
      </w:r>
      <w:r w:rsidR="005158FC" w:rsidRPr="0079384F">
        <w:rPr>
          <w:lang w:val="en-US"/>
        </w:rPr>
        <w:t xml:space="preserve"> are suitable for not only enabling a more sustainable O&amp;G industry but also </w:t>
      </w:r>
      <w:r w:rsidR="0076315E" w:rsidRPr="0079384F">
        <w:rPr>
          <w:lang w:val="en-US"/>
        </w:rPr>
        <w:t xml:space="preserve">facilitating other clean industries such as production and transportation of hydrogen and hydrogen derivatives, production of </w:t>
      </w:r>
      <w:r w:rsidR="00A256B9" w:rsidRPr="0079384F">
        <w:rPr>
          <w:lang w:val="en-US"/>
        </w:rPr>
        <w:t>food, CCS/CCU, clean steel manufacturing</w:t>
      </w:r>
      <w:r w:rsidR="008702DA" w:rsidRPr="0079384F">
        <w:rPr>
          <w:lang w:val="en-US"/>
        </w:rPr>
        <w:t>,</w:t>
      </w:r>
      <w:r w:rsidR="00A256B9" w:rsidRPr="0079384F">
        <w:rPr>
          <w:lang w:val="en-US"/>
        </w:rPr>
        <w:t xml:space="preserve"> low carbon datacenters</w:t>
      </w:r>
      <w:r w:rsidR="008702DA" w:rsidRPr="0079384F">
        <w:rPr>
          <w:lang w:val="en-US"/>
        </w:rPr>
        <w:t xml:space="preserve"> and many others</w:t>
      </w:r>
      <w:r w:rsidR="00A256B9" w:rsidRPr="0079384F">
        <w:rPr>
          <w:lang w:val="en-US"/>
        </w:rPr>
        <w:t xml:space="preserve">. </w:t>
      </w:r>
    </w:p>
    <w:p w14:paraId="1635BF82" w14:textId="27CB68E7" w:rsidR="003E31EF" w:rsidRPr="0079384F" w:rsidRDefault="002A5B06" w:rsidP="00AF61EB">
      <w:pPr>
        <w:pStyle w:val="Brdtekst"/>
        <w:ind w:firstLine="0"/>
        <w:rPr>
          <w:lang w:val="en-US"/>
        </w:rPr>
      </w:pPr>
      <w:r w:rsidRPr="0079384F">
        <w:rPr>
          <w:lang w:val="en-US"/>
        </w:rPr>
        <w:tab/>
      </w:r>
      <w:r w:rsidR="006A1473" w:rsidRPr="0079384F">
        <w:rPr>
          <w:lang w:val="en-US"/>
        </w:rPr>
        <w:t>As there are many similarities between the expertise</w:t>
      </w:r>
      <w:r w:rsidR="004A590C" w:rsidRPr="0079384F">
        <w:rPr>
          <w:lang w:val="en-US"/>
        </w:rPr>
        <w:t xml:space="preserve"> and supply chains</w:t>
      </w:r>
      <w:r w:rsidR="006A1473" w:rsidRPr="0079384F">
        <w:rPr>
          <w:lang w:val="en-US"/>
        </w:rPr>
        <w:t xml:space="preserve"> needed</w:t>
      </w:r>
      <w:r w:rsidR="004A590C" w:rsidRPr="0079384F">
        <w:rPr>
          <w:lang w:val="en-US"/>
        </w:rPr>
        <w:t xml:space="preserve"> in the nuclear industry and the O&amp;G industry, ample opportunities for synergies </w:t>
      </w:r>
      <w:r w:rsidR="00E66659" w:rsidRPr="0079384F">
        <w:rPr>
          <w:lang w:val="en-US"/>
        </w:rPr>
        <w:t xml:space="preserve">between the two sectors naturally arise. Furthermore, as there </w:t>
      </w:r>
      <w:r w:rsidR="003E31EF" w:rsidRPr="0079384F">
        <w:rPr>
          <w:lang w:val="en-US"/>
        </w:rPr>
        <w:t>is</w:t>
      </w:r>
      <w:r w:rsidR="00E66659" w:rsidRPr="0079384F">
        <w:rPr>
          <w:lang w:val="en-US"/>
        </w:rPr>
        <w:t xml:space="preserve"> already a </w:t>
      </w:r>
      <w:r w:rsidR="003E31EF" w:rsidRPr="0079384F">
        <w:rPr>
          <w:lang w:val="en-US"/>
        </w:rPr>
        <w:t>growing need</w:t>
      </w:r>
      <w:r w:rsidR="00E66659" w:rsidRPr="0079384F">
        <w:rPr>
          <w:lang w:val="en-US"/>
        </w:rPr>
        <w:t xml:space="preserve"> in the nuclear industry for </w:t>
      </w:r>
      <w:r w:rsidR="00E15603" w:rsidRPr="0079384F">
        <w:rPr>
          <w:lang w:val="en-US"/>
        </w:rPr>
        <w:t>strengthening supply chains and increasing human resources, while</w:t>
      </w:r>
      <w:r w:rsidR="00C51403" w:rsidRPr="0079384F">
        <w:rPr>
          <w:lang w:val="en-US"/>
        </w:rPr>
        <w:t xml:space="preserve"> at</w:t>
      </w:r>
      <w:r w:rsidR="00E15603" w:rsidRPr="0079384F">
        <w:rPr>
          <w:lang w:val="en-US"/>
        </w:rPr>
        <w:t xml:space="preserve"> the </w:t>
      </w:r>
      <w:r w:rsidR="00C51403" w:rsidRPr="0079384F">
        <w:rPr>
          <w:lang w:val="en-US"/>
        </w:rPr>
        <w:t xml:space="preserve">same time the </w:t>
      </w:r>
      <w:r w:rsidR="00E15603" w:rsidRPr="0079384F">
        <w:rPr>
          <w:lang w:val="en-US"/>
        </w:rPr>
        <w:t xml:space="preserve">need for O&amp;G </w:t>
      </w:r>
      <w:r w:rsidR="00C51403" w:rsidRPr="0079384F">
        <w:rPr>
          <w:lang w:val="en-US"/>
        </w:rPr>
        <w:t>may decline in the coming decades</w:t>
      </w:r>
      <w:r w:rsidR="002B151A" w:rsidRPr="0079384F">
        <w:rPr>
          <w:lang w:val="en-US"/>
        </w:rPr>
        <w:t>, companies in the O&amp;G industries</w:t>
      </w:r>
      <w:r w:rsidR="00A55EE9" w:rsidRPr="0079384F">
        <w:rPr>
          <w:lang w:val="en-US"/>
        </w:rPr>
        <w:t xml:space="preserve"> </w:t>
      </w:r>
      <w:r w:rsidR="00781568" w:rsidRPr="0079384F">
        <w:rPr>
          <w:lang w:val="en-US"/>
        </w:rPr>
        <w:t>are</w:t>
      </w:r>
      <w:r w:rsidR="000E261E" w:rsidRPr="0079384F">
        <w:rPr>
          <w:lang w:val="en-US"/>
        </w:rPr>
        <w:t xml:space="preserve"> advised to </w:t>
      </w:r>
      <w:r w:rsidR="00A55EE9" w:rsidRPr="0079384F">
        <w:rPr>
          <w:lang w:val="en-US"/>
        </w:rPr>
        <w:t xml:space="preserve">as soon as possible </w:t>
      </w:r>
      <w:r w:rsidR="004D693A" w:rsidRPr="0079384F">
        <w:rPr>
          <w:lang w:val="en-US"/>
        </w:rPr>
        <w:t xml:space="preserve">explore opportunities in the </w:t>
      </w:r>
      <w:r w:rsidR="003E31EF" w:rsidRPr="0079384F">
        <w:rPr>
          <w:lang w:val="en-US"/>
        </w:rPr>
        <w:t xml:space="preserve">growing nuclear domain. </w:t>
      </w:r>
    </w:p>
    <w:p w14:paraId="3FB985A4" w14:textId="784A6BF1" w:rsidR="005C17E9" w:rsidRPr="0079384F" w:rsidRDefault="003B152E" w:rsidP="003E31EF">
      <w:pPr>
        <w:pStyle w:val="Brdtekst"/>
        <w:rPr>
          <w:lang w:val="en-US"/>
        </w:rPr>
      </w:pPr>
      <w:r w:rsidRPr="0079384F">
        <w:rPr>
          <w:lang w:val="en-US"/>
        </w:rPr>
        <w:t xml:space="preserve">As such, </w:t>
      </w:r>
      <w:r w:rsidR="008333B7" w:rsidRPr="0079384F">
        <w:rPr>
          <w:lang w:val="en-US"/>
        </w:rPr>
        <w:t>Norway</w:t>
      </w:r>
      <w:r w:rsidR="00000B68" w:rsidRPr="0079384F">
        <w:rPr>
          <w:lang w:val="en-US"/>
        </w:rPr>
        <w:t xml:space="preserve">, with its particularly good conditions for enabling SMR deployments, </w:t>
      </w:r>
      <w:r w:rsidR="005F41C8" w:rsidRPr="0079384F">
        <w:rPr>
          <w:lang w:val="en-US"/>
        </w:rPr>
        <w:t xml:space="preserve">may </w:t>
      </w:r>
      <w:r w:rsidR="007E1B0D" w:rsidRPr="0079384F">
        <w:rPr>
          <w:lang w:val="en-US"/>
        </w:rPr>
        <w:t xml:space="preserve">provide </w:t>
      </w:r>
      <w:r w:rsidR="00D34D75" w:rsidRPr="0079384F">
        <w:rPr>
          <w:lang w:val="en-US"/>
        </w:rPr>
        <w:t>excellent</w:t>
      </w:r>
      <w:r w:rsidRPr="0079384F">
        <w:rPr>
          <w:lang w:val="en-US"/>
        </w:rPr>
        <w:t xml:space="preserve"> examples for other countries to follow in the coming decades</w:t>
      </w:r>
      <w:r w:rsidR="004171DC" w:rsidRPr="0079384F">
        <w:rPr>
          <w:lang w:val="en-US"/>
        </w:rPr>
        <w:t xml:space="preserve"> as to how </w:t>
      </w:r>
      <w:r w:rsidR="00D12036" w:rsidRPr="0079384F">
        <w:rPr>
          <w:lang w:val="en-US"/>
        </w:rPr>
        <w:t xml:space="preserve">more sustainable O&amp;G production may be achieved, </w:t>
      </w:r>
      <w:r w:rsidR="00E461C7" w:rsidRPr="0079384F">
        <w:rPr>
          <w:lang w:val="en-US"/>
        </w:rPr>
        <w:t>and</w:t>
      </w:r>
      <w:r w:rsidR="0053201D" w:rsidRPr="0079384F">
        <w:rPr>
          <w:lang w:val="en-US"/>
        </w:rPr>
        <w:t xml:space="preserve"> subsequently</w:t>
      </w:r>
      <w:r w:rsidR="00D12036" w:rsidRPr="0079384F">
        <w:rPr>
          <w:lang w:val="en-US"/>
        </w:rPr>
        <w:t xml:space="preserve"> utiliz</w:t>
      </w:r>
      <w:r w:rsidR="0053201D" w:rsidRPr="0079384F">
        <w:rPr>
          <w:lang w:val="en-US"/>
        </w:rPr>
        <w:t>ing</w:t>
      </w:r>
      <w:r w:rsidR="00D12036" w:rsidRPr="0079384F">
        <w:rPr>
          <w:lang w:val="en-US"/>
        </w:rPr>
        <w:t xml:space="preserve"> these achievements to further </w:t>
      </w:r>
      <w:r w:rsidR="00CE5A36" w:rsidRPr="0079384F">
        <w:rPr>
          <w:lang w:val="en-US"/>
        </w:rPr>
        <w:t xml:space="preserve">transition to </w:t>
      </w:r>
      <w:r w:rsidR="0064480C" w:rsidRPr="0079384F">
        <w:rPr>
          <w:lang w:val="en-US"/>
        </w:rPr>
        <w:t>net-zero societies.</w:t>
      </w:r>
    </w:p>
    <w:p w14:paraId="6F8F2BD2" w14:textId="77777777" w:rsidR="002E3E71" w:rsidRPr="0079384F" w:rsidRDefault="002E3E71" w:rsidP="00AF61EB">
      <w:pPr>
        <w:pStyle w:val="Brdtekst"/>
        <w:ind w:firstLine="0"/>
        <w:rPr>
          <w:lang w:val="en-US"/>
        </w:rPr>
      </w:pPr>
    </w:p>
    <w:p w14:paraId="240B3B49" w14:textId="77777777" w:rsidR="00B76070" w:rsidRPr="0079384F" w:rsidRDefault="00B76070" w:rsidP="00537496">
      <w:pPr>
        <w:pStyle w:val="Otherunnumberedheadings"/>
        <w:rPr>
          <w:lang w:val="en-US"/>
        </w:rPr>
      </w:pPr>
    </w:p>
    <w:p w14:paraId="5872B9DD" w14:textId="77777777" w:rsidR="00B76070" w:rsidRPr="0079384F" w:rsidRDefault="00B76070" w:rsidP="00537496">
      <w:pPr>
        <w:pStyle w:val="Otherunnumberedheadings"/>
        <w:rPr>
          <w:lang w:val="en-US"/>
        </w:rPr>
      </w:pPr>
    </w:p>
    <w:p w14:paraId="15F4F300" w14:textId="7DB30925" w:rsidR="00285755" w:rsidRPr="0079384F" w:rsidRDefault="00285755" w:rsidP="00537496">
      <w:pPr>
        <w:pStyle w:val="Otherunnumberedheadings"/>
        <w:rPr>
          <w:lang w:val="en-US"/>
        </w:rPr>
      </w:pPr>
      <w:r w:rsidRPr="0079384F">
        <w:rPr>
          <w:lang w:val="en-US"/>
        </w:rPr>
        <w:t>ACKNOWLEDGEMENTS</w:t>
      </w:r>
    </w:p>
    <w:p w14:paraId="37193A5D" w14:textId="5315B01C" w:rsidR="00D56F35" w:rsidRPr="0079384F" w:rsidRDefault="00FD22D1" w:rsidP="00A2262E">
      <w:pPr>
        <w:pStyle w:val="Brdtekst"/>
        <w:jc w:val="center"/>
        <w:rPr>
          <w:lang w:val="en-US"/>
        </w:rPr>
      </w:pPr>
      <w:r w:rsidRPr="0079384F">
        <w:rPr>
          <w:lang w:val="en-US"/>
        </w:rPr>
        <w:t>Acknowled</w:t>
      </w:r>
      <w:r w:rsidR="00E32DD0" w:rsidRPr="0079384F">
        <w:rPr>
          <w:lang w:val="en-US"/>
        </w:rPr>
        <w:t xml:space="preserve">gements are provided to the early </w:t>
      </w:r>
      <w:r w:rsidR="00E968A2" w:rsidRPr="0079384F">
        <w:rPr>
          <w:lang w:val="en-US"/>
        </w:rPr>
        <w:t xml:space="preserve">enablers and investors </w:t>
      </w:r>
      <w:r w:rsidR="00370029" w:rsidRPr="0079384F">
        <w:rPr>
          <w:lang w:val="en-US"/>
        </w:rPr>
        <w:t xml:space="preserve">of Norsk Kjernekraft: Trond Mohn, Lars Moldestad, </w:t>
      </w:r>
      <w:r w:rsidR="003A3E0C" w:rsidRPr="0079384F">
        <w:rPr>
          <w:lang w:val="en-US"/>
        </w:rPr>
        <w:t xml:space="preserve">GC Rieber GROWIT, </w:t>
      </w:r>
      <w:r w:rsidR="005C458E" w:rsidRPr="0079384F">
        <w:rPr>
          <w:lang w:val="en-US"/>
        </w:rPr>
        <w:t>Jakob Hatteland, and Espen Nordhus.</w:t>
      </w:r>
    </w:p>
    <w:p w14:paraId="01A62F10" w14:textId="207F5160" w:rsidR="00DD6D7C" w:rsidRPr="0079384F" w:rsidRDefault="00D26ADA" w:rsidP="00DD6D7C">
      <w:pPr>
        <w:pStyle w:val="Otherunnumberedheadings"/>
        <w:rPr>
          <w:lang w:val="en-US"/>
        </w:rPr>
      </w:pPr>
      <w:r w:rsidRPr="0079384F">
        <w:rPr>
          <w:lang w:val="en-US"/>
        </w:rPr>
        <w:lastRenderedPageBreak/>
        <w:t>References</w:t>
      </w:r>
    </w:p>
    <w:p w14:paraId="38475DC6" w14:textId="77777777" w:rsidR="00DD6D7C" w:rsidRPr="0079384F" w:rsidRDefault="00DD6D7C" w:rsidP="00DD6D7C">
      <w:pPr>
        <w:pStyle w:val="Brdtekst"/>
        <w:rPr>
          <w:lang w:val="en-US"/>
        </w:rPr>
      </w:pPr>
    </w:p>
    <w:p w14:paraId="6FB5EECA" w14:textId="0211F964" w:rsidR="00DD6D7C" w:rsidRPr="00A2262E" w:rsidRDefault="00371CDB" w:rsidP="00B76070">
      <w:pPr>
        <w:pStyle w:val="Referencelist"/>
        <w:jc w:val="left"/>
        <w:rPr>
          <w:rStyle w:val="Hyperkobling"/>
          <w:color w:val="auto"/>
          <w:u w:val="none"/>
          <w:lang w:val="en-US"/>
        </w:rPr>
      </w:pPr>
      <w:r w:rsidRPr="0079384F">
        <w:rPr>
          <w:lang w:val="en-US"/>
        </w:rPr>
        <w:t>NORSK PETROLEUM</w:t>
      </w:r>
      <w:r w:rsidR="003A3C6E" w:rsidRPr="0079384F">
        <w:rPr>
          <w:lang w:val="en-US"/>
        </w:rPr>
        <w:t>, Exports of oil and gas</w:t>
      </w:r>
      <w:r w:rsidR="005335C6" w:rsidRPr="0079384F">
        <w:rPr>
          <w:lang w:val="en-US"/>
        </w:rPr>
        <w:t xml:space="preserve"> </w:t>
      </w:r>
      <w:r w:rsidR="0095195E" w:rsidRPr="0079384F">
        <w:rPr>
          <w:lang w:val="en-US"/>
        </w:rPr>
        <w:t>(</w:t>
      </w:r>
      <w:r w:rsidR="005335C6" w:rsidRPr="0079384F">
        <w:rPr>
          <w:lang w:val="en-US"/>
        </w:rPr>
        <w:t>2023</w:t>
      </w:r>
      <w:r w:rsidR="0095195E" w:rsidRPr="0079384F">
        <w:rPr>
          <w:lang w:val="en-US"/>
        </w:rPr>
        <w:t>)</w:t>
      </w:r>
      <w:r w:rsidR="0079384F">
        <w:rPr>
          <w:lang w:val="en-US"/>
        </w:rPr>
        <w:t>,</w:t>
      </w:r>
      <w:r w:rsidRPr="0079384F">
        <w:rPr>
          <w:lang w:val="en-US"/>
        </w:rPr>
        <w:t xml:space="preserve"> </w:t>
      </w:r>
      <w:hyperlink r:id="rId9" w:history="1">
        <w:r w:rsidRPr="00A2262E">
          <w:rPr>
            <w:rStyle w:val="Hyperkobling"/>
            <w:lang w:val="en-US"/>
          </w:rPr>
          <w:t>https://www.norskpetroleum.no/en/production-and-exports/exports-of-oil-and-gas/</w:t>
        </w:r>
      </w:hyperlink>
    </w:p>
    <w:p w14:paraId="7725E659" w14:textId="77777777" w:rsidR="00B76070" w:rsidRPr="00A2262E" w:rsidRDefault="00B76070" w:rsidP="00B76070">
      <w:pPr>
        <w:pStyle w:val="Referencelist"/>
        <w:jc w:val="left"/>
        <w:rPr>
          <w:lang w:val="en-US"/>
        </w:rPr>
      </w:pPr>
      <w:r w:rsidRPr="00A2262E">
        <w:rPr>
          <w:lang w:val="en-US"/>
        </w:rPr>
        <w:t>GRANLI, L., “Kjernekraft og sikkerhet», Norges Offentlige Utredninger”, NOU 1978: 35A, Universitetsbiblioteket, Engers Boktrykkeri A/S, Oslo, 1978.</w:t>
      </w:r>
      <w:r w:rsidRPr="00A2262E" w:rsidDel="009D2380">
        <w:rPr>
          <w:lang w:val="en-US"/>
        </w:rPr>
        <w:t xml:space="preserve"> </w:t>
      </w:r>
    </w:p>
    <w:p w14:paraId="7328684E" w14:textId="032EB0BB" w:rsidR="00B76070" w:rsidRPr="0079384F" w:rsidRDefault="00B76070" w:rsidP="00A2262E">
      <w:pPr>
        <w:pStyle w:val="Referencelist"/>
        <w:jc w:val="left"/>
        <w:rPr>
          <w:lang w:val="en-US"/>
        </w:rPr>
      </w:pPr>
      <w:r w:rsidRPr="0079384F">
        <w:rPr>
          <w:caps/>
          <w:lang w:val="en-US"/>
        </w:rPr>
        <w:t>Ministry of Industry and Fisheries</w:t>
      </w:r>
      <w:r w:rsidRPr="0079384F">
        <w:rPr>
          <w:lang w:val="en-US"/>
        </w:rPr>
        <w:t>, “Trygg nedbygging av norske atomanlegg og håndtering av atomavfall”, Meld.St. 2020, Oslo, 2021.</w:t>
      </w:r>
    </w:p>
    <w:p w14:paraId="49324208" w14:textId="0699354B" w:rsidR="00D55D78" w:rsidRPr="0079384F" w:rsidRDefault="003A3C6E" w:rsidP="00A2262E">
      <w:pPr>
        <w:pStyle w:val="Referencelist"/>
        <w:jc w:val="left"/>
        <w:rPr>
          <w:lang w:val="en-US"/>
        </w:rPr>
      </w:pPr>
      <w:r w:rsidRPr="0079384F">
        <w:rPr>
          <w:lang w:val="en-US"/>
        </w:rPr>
        <w:t>NRK</w:t>
      </w:r>
      <w:r w:rsidR="008C651C" w:rsidRPr="0079384F">
        <w:rPr>
          <w:lang w:val="en-US"/>
        </w:rPr>
        <w:t xml:space="preserve">, Nuclear power for the first time more popular than hydropower </w:t>
      </w:r>
      <w:r w:rsidR="0095195E" w:rsidRPr="0079384F">
        <w:rPr>
          <w:lang w:val="en-US"/>
        </w:rPr>
        <w:t>(</w:t>
      </w:r>
      <w:r w:rsidR="008C651C" w:rsidRPr="0079384F">
        <w:rPr>
          <w:lang w:val="en-US"/>
        </w:rPr>
        <w:t>2024</w:t>
      </w:r>
      <w:r w:rsidR="0095195E" w:rsidRPr="0079384F">
        <w:rPr>
          <w:lang w:val="en-US"/>
        </w:rPr>
        <w:t>)</w:t>
      </w:r>
      <w:r w:rsidR="008C651C" w:rsidRPr="0079384F">
        <w:rPr>
          <w:lang w:val="en-US"/>
        </w:rPr>
        <w:t xml:space="preserve">, </w:t>
      </w:r>
      <w:hyperlink r:id="rId10" w:history="1">
        <w:r w:rsidR="008C651C" w:rsidRPr="00A2262E">
          <w:rPr>
            <w:rStyle w:val="Hyperkobling"/>
            <w:lang w:val="en-US"/>
          </w:rPr>
          <w:t>https://www.nrk.no/vestland/kjernekraft-for-forste-gong-meir-populaert-enn-vasskraft-1.16876021</w:t>
        </w:r>
      </w:hyperlink>
    </w:p>
    <w:p w14:paraId="5A9EDF18" w14:textId="3E9E280F" w:rsidR="00927296" w:rsidRPr="0079384F" w:rsidRDefault="00927296" w:rsidP="00A2262E">
      <w:pPr>
        <w:pStyle w:val="Referencelist"/>
        <w:jc w:val="left"/>
        <w:rPr>
          <w:lang w:val="en-US"/>
        </w:rPr>
      </w:pPr>
      <w:r w:rsidRPr="0079384F">
        <w:rPr>
          <w:lang w:val="en-US"/>
        </w:rPr>
        <w:t xml:space="preserve">NORSK KJERNEKRAFT AS, Fra ord til handling – en innledende mulighetsstudie om kjernekraft i Norge </w:t>
      </w:r>
      <w:r w:rsidR="0095195E" w:rsidRPr="0079384F">
        <w:rPr>
          <w:lang w:val="en-US"/>
        </w:rPr>
        <w:t>(</w:t>
      </w:r>
      <w:r w:rsidRPr="0079384F">
        <w:rPr>
          <w:lang w:val="en-US"/>
        </w:rPr>
        <w:t>2023</w:t>
      </w:r>
      <w:r w:rsidR="0095195E" w:rsidRPr="0079384F">
        <w:rPr>
          <w:lang w:val="en-US"/>
        </w:rPr>
        <w:t>)</w:t>
      </w:r>
      <w:r w:rsidRPr="0079384F">
        <w:rPr>
          <w:lang w:val="en-US"/>
        </w:rPr>
        <w:t xml:space="preserve">, </w:t>
      </w:r>
      <w:hyperlink r:id="rId11" w:history="1">
        <w:r w:rsidRPr="0079384F">
          <w:rPr>
            <w:rStyle w:val="Hyperkobling"/>
            <w:lang w:val="en-US"/>
          </w:rPr>
          <w:t>https://usercontent.one/wp/www.norskkjernekraft.com/wp-content/uploads/2023/10/Fra-ord-til-handling-Innledende-mulighetsstudie.pdf</w:t>
        </w:r>
      </w:hyperlink>
    </w:p>
    <w:p w14:paraId="311F302A" w14:textId="74D00BCB" w:rsidR="00D55D78" w:rsidRPr="0079384F" w:rsidRDefault="008859C5" w:rsidP="00A2262E">
      <w:pPr>
        <w:pStyle w:val="Referencelist"/>
        <w:jc w:val="left"/>
        <w:rPr>
          <w:lang w:val="en-US"/>
        </w:rPr>
      </w:pPr>
      <w:r w:rsidRPr="00A2262E">
        <w:rPr>
          <w:caps/>
          <w:lang w:val="en-US"/>
        </w:rPr>
        <w:t>Statistisk sentralbyrå</w:t>
      </w:r>
      <w:r w:rsidRPr="0079384F">
        <w:rPr>
          <w:lang w:val="en-US"/>
        </w:rPr>
        <w:t xml:space="preserve">, </w:t>
      </w:r>
      <w:r w:rsidR="0079384F" w:rsidRPr="0079384F">
        <w:rPr>
          <w:lang w:val="en-US"/>
        </w:rPr>
        <w:t>Production and consumption of energy, energy balance and energy account</w:t>
      </w:r>
      <w:r w:rsidR="0079384F">
        <w:rPr>
          <w:lang w:val="en-US"/>
        </w:rPr>
        <w:t xml:space="preserve"> </w:t>
      </w:r>
      <w:r w:rsidR="00935A46" w:rsidRPr="0079384F">
        <w:rPr>
          <w:lang w:val="en-US"/>
        </w:rPr>
        <w:t>(</w:t>
      </w:r>
      <w:r w:rsidRPr="0079384F">
        <w:rPr>
          <w:lang w:val="en-US"/>
        </w:rPr>
        <w:t>2023</w:t>
      </w:r>
      <w:r w:rsidR="00935A46" w:rsidRPr="0079384F">
        <w:rPr>
          <w:lang w:val="en-US"/>
        </w:rPr>
        <w:t>)</w:t>
      </w:r>
      <w:r w:rsidR="0079384F">
        <w:rPr>
          <w:lang w:val="en-US"/>
        </w:rPr>
        <w:t xml:space="preserve">, </w:t>
      </w:r>
      <w:hyperlink r:id="rId12" w:history="1">
        <w:r w:rsidR="0079384F" w:rsidRPr="006D7376">
          <w:rPr>
            <w:rStyle w:val="Hyperkobling"/>
            <w:lang w:val="en-US"/>
          </w:rPr>
          <w:t>https://www.ssb.no/en/energi-og-industri/energi/statistikk/produksjon-og-forbruk-av-energi-energibalanse-og-energiregnskap</w:t>
        </w:r>
      </w:hyperlink>
      <w:r w:rsidR="0079384F">
        <w:rPr>
          <w:lang w:val="en-US"/>
        </w:rPr>
        <w:t xml:space="preserve"> </w:t>
      </w:r>
    </w:p>
    <w:p w14:paraId="55352BE3" w14:textId="70FA5677" w:rsidR="00D55D78" w:rsidRPr="0079384F" w:rsidRDefault="0079384F" w:rsidP="00A2262E">
      <w:pPr>
        <w:pStyle w:val="Referencelist"/>
        <w:jc w:val="left"/>
        <w:rPr>
          <w:lang w:val="en-US"/>
        </w:rPr>
      </w:pPr>
      <w:r>
        <w:rPr>
          <w:lang w:val="en-US"/>
        </w:rPr>
        <w:t>WETTENGEL, J.</w:t>
      </w:r>
      <w:r w:rsidR="00AD2C88" w:rsidRPr="0079384F">
        <w:rPr>
          <w:lang w:val="en-US"/>
        </w:rPr>
        <w:t xml:space="preserve">, German gas use decreases while imports and exports drop in 2023 </w:t>
      </w:r>
      <w:r w:rsidR="00E16181" w:rsidRPr="0079384F">
        <w:rPr>
          <w:lang w:val="en-US"/>
        </w:rPr>
        <w:t>(</w:t>
      </w:r>
      <w:r w:rsidR="00064B53" w:rsidRPr="0079384F">
        <w:rPr>
          <w:lang w:val="en-US"/>
        </w:rPr>
        <w:t>2024</w:t>
      </w:r>
      <w:r w:rsidR="00935A46" w:rsidRPr="0079384F">
        <w:rPr>
          <w:lang w:val="en-US"/>
        </w:rPr>
        <w:t>)</w:t>
      </w:r>
      <w:r w:rsidR="00064B53" w:rsidRPr="0079384F">
        <w:rPr>
          <w:lang w:val="en-US"/>
        </w:rPr>
        <w:t>,</w:t>
      </w:r>
      <w:r w:rsidR="00AD2C88" w:rsidRPr="0079384F">
        <w:rPr>
          <w:lang w:val="en-US"/>
        </w:rPr>
        <w:t xml:space="preserve"> </w:t>
      </w:r>
      <w:hyperlink r:id="rId13" w:history="1">
        <w:r w:rsidR="00934CF6" w:rsidRPr="00A2262E">
          <w:rPr>
            <w:rStyle w:val="cf01"/>
            <w:rFonts w:ascii="Times New Roman" w:hAnsi="Times New Roman" w:cs="Times New Roman"/>
            <w:color w:val="0000FF"/>
            <w:u w:val="single"/>
            <w:lang w:val="en-US"/>
          </w:rPr>
          <w:t>https://www.cleanenergywire.org/news/german-gas-use-decreases-while-imports-and-exports-drop-2023</w:t>
        </w:r>
      </w:hyperlink>
    </w:p>
    <w:p w14:paraId="407A35D6" w14:textId="5C0A623A" w:rsidR="00934CF6" w:rsidRPr="0079384F" w:rsidRDefault="00064B53" w:rsidP="00A2262E">
      <w:pPr>
        <w:pStyle w:val="Referencelist"/>
        <w:jc w:val="left"/>
        <w:rPr>
          <w:rStyle w:val="cf01"/>
          <w:rFonts w:ascii="Times New Roman" w:hAnsi="Times New Roman" w:cs="Times New Roman"/>
          <w:lang w:val="en-US"/>
        </w:rPr>
      </w:pPr>
      <w:r w:rsidRPr="00A2262E">
        <w:rPr>
          <w:caps/>
          <w:lang w:val="en-US"/>
        </w:rPr>
        <w:t>Miljøstatus</w:t>
      </w:r>
      <w:r w:rsidRPr="0079384F">
        <w:rPr>
          <w:lang w:val="en-US"/>
        </w:rPr>
        <w:t xml:space="preserve">, </w:t>
      </w:r>
      <w:r w:rsidR="0079384F" w:rsidRPr="0079384F">
        <w:rPr>
          <w:lang w:val="en-US"/>
        </w:rPr>
        <w:t>Greenhouse gas emissions from oil and gas extraction in Norway</w:t>
      </w:r>
      <w:r w:rsidR="00BA146D" w:rsidRPr="0079384F">
        <w:rPr>
          <w:lang w:val="en-US"/>
        </w:rPr>
        <w:t xml:space="preserve"> </w:t>
      </w:r>
      <w:r w:rsidR="00E16181" w:rsidRPr="0079384F">
        <w:rPr>
          <w:lang w:val="en-US"/>
        </w:rPr>
        <w:t>(</w:t>
      </w:r>
      <w:r w:rsidR="00BA146D" w:rsidRPr="0079384F">
        <w:rPr>
          <w:lang w:val="en-US"/>
        </w:rPr>
        <w:t>2023</w:t>
      </w:r>
      <w:r w:rsidR="00E16181" w:rsidRPr="0079384F">
        <w:rPr>
          <w:lang w:val="en-US"/>
        </w:rPr>
        <w:t>)</w:t>
      </w:r>
      <w:r w:rsidR="00BA146D" w:rsidRPr="0079384F">
        <w:rPr>
          <w:lang w:val="en-US"/>
        </w:rPr>
        <w:t>,</w:t>
      </w:r>
      <w:r w:rsidR="0079384F">
        <w:rPr>
          <w:lang w:val="en-US"/>
        </w:rPr>
        <w:t xml:space="preserve"> </w:t>
      </w:r>
      <w:hyperlink r:id="rId14" w:history="1">
        <w:r w:rsidR="0079384F" w:rsidRPr="00A2262E">
          <w:rPr>
            <w:rStyle w:val="Hyperkobling"/>
            <w:lang w:val="en-US"/>
          </w:rPr>
          <w:t>https://miljostatus.miljodirektoratet.no/tema/klima/norske-utslipp-av-klimagasser/klimagassutslipp-fra-olje--og-gassutvinning/</w:t>
        </w:r>
      </w:hyperlink>
      <w:r w:rsidR="00097D50" w:rsidRPr="00A2262E">
        <w:rPr>
          <w:rStyle w:val="cf01"/>
          <w:rFonts w:ascii="Times New Roman" w:hAnsi="Times New Roman" w:cs="Times New Roman"/>
          <w:lang w:val="en-US"/>
        </w:rPr>
        <w:t xml:space="preserve"> </w:t>
      </w:r>
      <w:r w:rsidR="00934CF6" w:rsidRPr="00A2262E">
        <w:rPr>
          <w:rStyle w:val="cf01"/>
          <w:rFonts w:ascii="Times New Roman" w:hAnsi="Times New Roman" w:cs="Times New Roman"/>
          <w:lang w:val="en-US"/>
        </w:rPr>
        <w:t xml:space="preserve"> </w:t>
      </w:r>
    </w:p>
    <w:p w14:paraId="0DE3FB9B" w14:textId="6E760379" w:rsidR="00934CF6" w:rsidRPr="00A2262E" w:rsidRDefault="007D31A1" w:rsidP="00A2262E">
      <w:pPr>
        <w:pStyle w:val="Referencelist"/>
        <w:jc w:val="left"/>
        <w:rPr>
          <w:rStyle w:val="cf01"/>
          <w:rFonts w:ascii="Times New Roman" w:hAnsi="Times New Roman" w:cs="Times New Roman"/>
          <w:lang w:val="en-US"/>
        </w:rPr>
      </w:pPr>
      <w:r w:rsidRPr="00A2262E">
        <w:rPr>
          <w:rStyle w:val="cf01"/>
          <w:rFonts w:ascii="Times New Roman" w:hAnsi="Times New Roman" w:cs="Times New Roman"/>
          <w:caps/>
          <w:lang w:val="en-US"/>
        </w:rPr>
        <w:t>Energikommisjonen</w:t>
      </w:r>
      <w:r w:rsidRPr="00A2262E">
        <w:rPr>
          <w:rStyle w:val="cf01"/>
          <w:rFonts w:ascii="Times New Roman" w:hAnsi="Times New Roman" w:cs="Times New Roman"/>
          <w:lang w:val="en-US"/>
        </w:rPr>
        <w:t xml:space="preserve">, </w:t>
      </w:r>
      <w:r w:rsidR="00910434">
        <w:rPr>
          <w:rStyle w:val="cf01"/>
          <w:rFonts w:ascii="Times New Roman" w:hAnsi="Times New Roman" w:cs="Times New Roman"/>
          <w:lang w:val="en-US"/>
        </w:rPr>
        <w:t>“</w:t>
      </w:r>
      <w:r w:rsidRPr="00A2262E">
        <w:rPr>
          <w:rStyle w:val="cf01"/>
          <w:rFonts w:ascii="Times New Roman" w:hAnsi="Times New Roman" w:cs="Times New Roman"/>
          <w:lang w:val="en-US"/>
        </w:rPr>
        <w:t>NOU 2023:3 Mer av alt – raskere</w:t>
      </w:r>
      <w:r w:rsidR="00910434">
        <w:rPr>
          <w:rStyle w:val="cf01"/>
          <w:rFonts w:ascii="Times New Roman" w:hAnsi="Times New Roman" w:cs="Times New Roman"/>
          <w:lang w:val="en-US"/>
        </w:rPr>
        <w:t>”</w:t>
      </w:r>
      <w:r w:rsidR="00BA146D" w:rsidRPr="00A2262E">
        <w:rPr>
          <w:rStyle w:val="cf01"/>
          <w:rFonts w:ascii="Times New Roman" w:hAnsi="Times New Roman" w:cs="Times New Roman"/>
          <w:lang w:val="en-US"/>
        </w:rPr>
        <w:t xml:space="preserve">, </w:t>
      </w:r>
      <w:r w:rsidRPr="00A2262E">
        <w:rPr>
          <w:rStyle w:val="cf01"/>
          <w:rFonts w:ascii="Times New Roman" w:hAnsi="Times New Roman" w:cs="Times New Roman"/>
          <w:lang w:val="en-US"/>
        </w:rPr>
        <w:t xml:space="preserve">Olje- og energidepartementet, Oslo, </w:t>
      </w:r>
      <w:r w:rsidR="005409D7" w:rsidRPr="00A2262E">
        <w:rPr>
          <w:rStyle w:val="cf01"/>
          <w:rFonts w:ascii="Times New Roman" w:hAnsi="Times New Roman" w:cs="Times New Roman"/>
          <w:lang w:val="en-US"/>
        </w:rPr>
        <w:t>(</w:t>
      </w:r>
      <w:r w:rsidRPr="00A2262E">
        <w:rPr>
          <w:rStyle w:val="cf01"/>
          <w:rFonts w:ascii="Times New Roman" w:hAnsi="Times New Roman" w:cs="Times New Roman"/>
          <w:lang w:val="en-US"/>
        </w:rPr>
        <w:t>2023</w:t>
      </w:r>
      <w:r w:rsidR="005409D7" w:rsidRPr="00A2262E">
        <w:rPr>
          <w:rStyle w:val="cf01"/>
          <w:rFonts w:ascii="Times New Roman" w:hAnsi="Times New Roman" w:cs="Times New Roman"/>
          <w:lang w:val="en-US"/>
        </w:rPr>
        <w:t>)</w:t>
      </w:r>
      <w:r w:rsidRPr="00A2262E">
        <w:rPr>
          <w:rStyle w:val="cf01"/>
          <w:rFonts w:ascii="Times New Roman" w:hAnsi="Times New Roman" w:cs="Times New Roman"/>
          <w:lang w:val="en-US"/>
        </w:rPr>
        <w:t>.</w:t>
      </w:r>
    </w:p>
    <w:p w14:paraId="42E77D57" w14:textId="2095C509" w:rsidR="00DD6D7C" w:rsidRDefault="007D31A1" w:rsidP="00B76070">
      <w:pPr>
        <w:pStyle w:val="Referencelist"/>
        <w:jc w:val="left"/>
        <w:rPr>
          <w:rStyle w:val="cf01"/>
          <w:rFonts w:ascii="Times New Roman" w:hAnsi="Times New Roman" w:cs="Times New Roman"/>
          <w:lang w:val="en-US"/>
        </w:rPr>
      </w:pPr>
      <w:r w:rsidRPr="00A2262E">
        <w:rPr>
          <w:rStyle w:val="cf01"/>
          <w:rFonts w:ascii="Times New Roman" w:hAnsi="Times New Roman" w:cs="Times New Roman"/>
          <w:caps/>
          <w:lang w:val="en-US"/>
        </w:rPr>
        <w:t>Emblemsvåg</w:t>
      </w:r>
      <w:r w:rsidRPr="00A2262E">
        <w:rPr>
          <w:rStyle w:val="cf01"/>
          <w:rFonts w:ascii="Times New Roman" w:hAnsi="Times New Roman" w:cs="Times New Roman"/>
          <w:lang w:val="en-US"/>
        </w:rPr>
        <w:t xml:space="preserve">, </w:t>
      </w:r>
      <w:r w:rsidR="0079384F" w:rsidRPr="00A2262E">
        <w:rPr>
          <w:rStyle w:val="cf01"/>
          <w:rFonts w:ascii="Times New Roman" w:hAnsi="Times New Roman" w:cs="Times New Roman"/>
          <w:lang w:val="en-US"/>
        </w:rPr>
        <w:t xml:space="preserve">J., Applied Energy, </w:t>
      </w:r>
      <w:r w:rsidRPr="00A2262E">
        <w:rPr>
          <w:rStyle w:val="cf01"/>
          <w:rFonts w:ascii="Times New Roman" w:hAnsi="Times New Roman" w:cs="Times New Roman"/>
          <w:lang w:val="en-US"/>
        </w:rPr>
        <w:t>Wind energy is not sustainable when balanced by fossil energy</w:t>
      </w:r>
      <w:r w:rsidR="00A73FD0" w:rsidRPr="00A2262E">
        <w:rPr>
          <w:rStyle w:val="cf01"/>
          <w:rFonts w:ascii="Times New Roman" w:hAnsi="Times New Roman" w:cs="Times New Roman"/>
          <w:lang w:val="en-US"/>
        </w:rPr>
        <w:t>,</w:t>
      </w:r>
      <w:r w:rsidR="0079384F" w:rsidRPr="00A2262E">
        <w:rPr>
          <w:rStyle w:val="cf01"/>
          <w:rFonts w:ascii="Times New Roman" w:hAnsi="Times New Roman" w:cs="Times New Roman"/>
          <w:lang w:val="en-US"/>
        </w:rPr>
        <w:t xml:space="preserve"> 305 </w:t>
      </w:r>
      <w:r w:rsidR="005409D7" w:rsidRPr="00A2262E">
        <w:rPr>
          <w:rStyle w:val="cf01"/>
          <w:rFonts w:ascii="Times New Roman" w:hAnsi="Times New Roman" w:cs="Times New Roman"/>
          <w:lang w:val="en-US"/>
        </w:rPr>
        <w:t>(</w:t>
      </w:r>
      <w:r w:rsidRPr="00A2262E">
        <w:rPr>
          <w:rStyle w:val="cf01"/>
          <w:rFonts w:ascii="Times New Roman" w:hAnsi="Times New Roman" w:cs="Times New Roman"/>
          <w:lang w:val="en-US"/>
        </w:rPr>
        <w:t>2022</w:t>
      </w:r>
      <w:r w:rsidR="005409D7" w:rsidRPr="00A2262E">
        <w:rPr>
          <w:rStyle w:val="cf01"/>
          <w:rFonts w:ascii="Times New Roman" w:hAnsi="Times New Roman" w:cs="Times New Roman"/>
          <w:lang w:val="en-US"/>
        </w:rPr>
        <w:t>)</w:t>
      </w:r>
      <w:r w:rsidR="0079384F" w:rsidRPr="00A2262E">
        <w:rPr>
          <w:rStyle w:val="cf01"/>
          <w:rFonts w:ascii="Times New Roman" w:hAnsi="Times New Roman" w:cs="Times New Roman"/>
          <w:lang w:val="en-US"/>
        </w:rPr>
        <w:t xml:space="preserve"> 117748.</w:t>
      </w:r>
      <w:r w:rsidR="008458F2" w:rsidRPr="00A2262E">
        <w:rPr>
          <w:rStyle w:val="cf01"/>
          <w:rFonts w:ascii="Times New Roman" w:hAnsi="Times New Roman" w:cs="Times New Roman"/>
          <w:lang w:val="en-US"/>
        </w:rPr>
        <w:t xml:space="preserve"> </w:t>
      </w:r>
    </w:p>
    <w:p w14:paraId="7FD69586" w14:textId="3A5502C4" w:rsidR="0079384F" w:rsidRDefault="004D6345" w:rsidP="00B76070">
      <w:pPr>
        <w:pStyle w:val="Referencelist"/>
        <w:jc w:val="left"/>
        <w:rPr>
          <w:rStyle w:val="cf01"/>
          <w:rFonts w:ascii="Times New Roman" w:hAnsi="Times New Roman" w:cs="Times New Roman"/>
          <w:lang w:val="en-US"/>
        </w:rPr>
      </w:pPr>
      <w:r>
        <w:rPr>
          <w:rStyle w:val="cf01"/>
          <w:rFonts w:ascii="Times New Roman" w:hAnsi="Times New Roman" w:cs="Times New Roman"/>
          <w:lang w:val="en-US"/>
        </w:rPr>
        <w:t xml:space="preserve">NORWEGIAN GOVERNMENT, </w:t>
      </w:r>
      <w:r w:rsidRPr="004D6345">
        <w:rPr>
          <w:rStyle w:val="cf01"/>
          <w:rFonts w:ascii="Times New Roman" w:hAnsi="Times New Roman" w:cs="Times New Roman"/>
          <w:lang w:val="en-US"/>
        </w:rPr>
        <w:t xml:space="preserve">Joint Statement - Germany – Norway </w:t>
      </w:r>
      <w:r>
        <w:rPr>
          <w:rStyle w:val="cf01"/>
          <w:rFonts w:ascii="Times New Roman" w:hAnsi="Times New Roman" w:cs="Times New Roman"/>
          <w:lang w:val="en-US"/>
        </w:rPr>
        <w:t>–</w:t>
      </w:r>
      <w:r w:rsidRPr="004D6345">
        <w:rPr>
          <w:rStyle w:val="cf01"/>
          <w:rFonts w:ascii="Times New Roman" w:hAnsi="Times New Roman" w:cs="Times New Roman"/>
          <w:lang w:val="en-US"/>
        </w:rPr>
        <w:t xml:space="preserve"> Hydrogen</w:t>
      </w:r>
      <w:r>
        <w:rPr>
          <w:rStyle w:val="cf01"/>
          <w:rFonts w:ascii="Times New Roman" w:hAnsi="Times New Roman" w:cs="Times New Roman"/>
          <w:lang w:val="en-US"/>
        </w:rPr>
        <w:t xml:space="preserve"> (2023), </w:t>
      </w:r>
      <w:hyperlink r:id="rId15" w:history="1">
        <w:r w:rsidRPr="006D7376">
          <w:rPr>
            <w:rStyle w:val="Hyperkobling"/>
            <w:lang w:val="en-US"/>
          </w:rPr>
          <w:t>https://www.regjeringen.no/en/whatsnew/dep/smk/press-releases/2023/closer-cooperation-between-norway-and-germany-to-develop-green-industry/joint-statement-germany-norway-hydrogen/id2958105/</w:t>
        </w:r>
      </w:hyperlink>
      <w:r>
        <w:rPr>
          <w:rStyle w:val="cf01"/>
          <w:rFonts w:ascii="Times New Roman" w:hAnsi="Times New Roman" w:cs="Times New Roman"/>
          <w:lang w:val="en-US"/>
        </w:rPr>
        <w:t xml:space="preserve"> </w:t>
      </w:r>
    </w:p>
    <w:p w14:paraId="364D0D2C" w14:textId="07933425" w:rsidR="004D6345" w:rsidRDefault="00E3586B" w:rsidP="00B76070">
      <w:pPr>
        <w:pStyle w:val="Referencelist"/>
        <w:jc w:val="left"/>
        <w:rPr>
          <w:lang w:val="en-US"/>
        </w:rPr>
      </w:pPr>
      <w:r w:rsidRPr="00A2262E">
        <w:rPr>
          <w:caps/>
          <w:lang w:val="en-US"/>
        </w:rPr>
        <w:t>Grønt Skipfartsprogram</w:t>
      </w:r>
      <w:r>
        <w:rPr>
          <w:lang w:val="en-US"/>
        </w:rPr>
        <w:t xml:space="preserve">, </w:t>
      </w:r>
      <w:r w:rsidRPr="00E3586B">
        <w:rPr>
          <w:lang w:val="en-US"/>
        </w:rPr>
        <w:t xml:space="preserve">Alle steiner må snus. Kjernekraft kan ikke utelates </w:t>
      </w:r>
      <w:r>
        <w:rPr>
          <w:lang w:val="en-US"/>
        </w:rPr>
        <w:t xml:space="preserve">(2023), </w:t>
      </w:r>
      <w:hyperlink r:id="rId16" w:history="1">
        <w:r w:rsidRPr="00E3586B">
          <w:rPr>
            <w:rStyle w:val="Hyperkobling"/>
            <w:lang w:val="en-US"/>
          </w:rPr>
          <w:t>https://grontskipsfartsprogram.no/pilotprosjekt/alle-steiner-ma-snus-kjernekraft-kan-ikke-utelates/</w:t>
        </w:r>
      </w:hyperlink>
      <w:r w:rsidR="004D6345">
        <w:rPr>
          <w:lang w:val="en-US"/>
        </w:rPr>
        <w:t xml:space="preserve"> </w:t>
      </w:r>
    </w:p>
    <w:p w14:paraId="225E9343" w14:textId="41AC26D1" w:rsidR="00E3586B" w:rsidRPr="0079384F" w:rsidRDefault="00E3586B" w:rsidP="00A2262E">
      <w:pPr>
        <w:pStyle w:val="Referencelist"/>
        <w:jc w:val="left"/>
        <w:rPr>
          <w:lang w:val="en-US"/>
        </w:rPr>
      </w:pPr>
      <w:r w:rsidRPr="00A2262E">
        <w:rPr>
          <w:caps/>
          <w:lang w:val="en-US"/>
        </w:rPr>
        <w:t>Norges forskningsråd</w:t>
      </w:r>
      <w:r>
        <w:rPr>
          <w:caps/>
          <w:lang w:val="en-US"/>
        </w:rPr>
        <w:t xml:space="preserve">, </w:t>
      </w:r>
      <w:r w:rsidRPr="00E3586B">
        <w:rPr>
          <w:caps/>
          <w:lang w:val="en-US"/>
        </w:rPr>
        <w:t>Nuclear Propulsion of Merchant Ships 1</w:t>
      </w:r>
      <w:r>
        <w:rPr>
          <w:caps/>
          <w:lang w:val="en-US"/>
        </w:rPr>
        <w:t xml:space="preserve"> (2023)</w:t>
      </w:r>
      <w:r>
        <w:rPr>
          <w:lang w:val="en-US"/>
        </w:rPr>
        <w:t xml:space="preserve">, </w:t>
      </w:r>
      <w:hyperlink r:id="rId17" w:history="1">
        <w:r w:rsidRPr="00E3586B">
          <w:rPr>
            <w:rStyle w:val="Hyperkobling"/>
            <w:lang w:val="en-US"/>
          </w:rPr>
          <w:t>https://prosjektbanken.forskningsradet.no/project/FORISS/336539</w:t>
        </w:r>
      </w:hyperlink>
      <w:r>
        <w:rPr>
          <w:lang w:val="en-US"/>
        </w:rPr>
        <w:t xml:space="preserve"> </w:t>
      </w:r>
    </w:p>
    <w:sectPr w:rsidR="00E3586B" w:rsidRPr="0079384F" w:rsidSect="0026525A">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A2A9F" w14:textId="77777777" w:rsidR="00414F88" w:rsidRDefault="00414F88">
      <w:r>
        <w:separator/>
      </w:r>
    </w:p>
  </w:endnote>
  <w:endnote w:type="continuationSeparator" w:id="0">
    <w:p w14:paraId="2D3B406F" w14:textId="77777777" w:rsidR="00414F88" w:rsidRDefault="00414F88">
      <w:r>
        <w:continuationSeparator/>
      </w:r>
    </w:p>
  </w:endnote>
  <w:endnote w:type="continuationNotice" w:id="1">
    <w:p w14:paraId="5663CF86" w14:textId="77777777" w:rsidR="00414F88" w:rsidRDefault="00414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AC00" w14:textId="77777777" w:rsidR="00414F88" w:rsidRDefault="00414F88">
      <w:r>
        <w:t>___________________________________________________________________________</w:t>
      </w:r>
    </w:p>
  </w:footnote>
  <w:footnote w:type="continuationSeparator" w:id="0">
    <w:p w14:paraId="61E52D29" w14:textId="77777777" w:rsidR="00414F88" w:rsidRDefault="00414F88">
      <w:r>
        <w:t>___________________________________________________________________________</w:t>
      </w:r>
    </w:p>
  </w:footnote>
  <w:footnote w:type="continuationNotice" w:id="1">
    <w:p w14:paraId="67289F3B" w14:textId="77777777" w:rsidR="00414F88" w:rsidRDefault="00414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2CEF" w14:textId="2EEB55CF" w:rsidR="00E20E70" w:rsidRDefault="003D452E" w:rsidP="003D452E">
    <w:pPr>
      <w:pStyle w:val="Runninghead"/>
    </w:pPr>
    <w:r>
      <w:t>I</w:t>
    </w:r>
    <w:r w:rsidR="00CF7AF3">
      <w:t>AEA-CN-</w:t>
    </w:r>
    <w:r>
      <w:t>24</w:t>
    </w:r>
    <w:r w:rsidR="00EC2B1B">
      <w:t>2</w:t>
    </w:r>
    <w:r w:rsidR="00E20E70">
      <w:fldChar w:fldCharType="begin"/>
    </w:r>
    <w:r w:rsidR="00E20E70">
      <w:instrText xml:space="preserve"> DOCPROPERTY "IaeaClassification"  \* MERGEFORMAT </w:instrText>
    </w:r>
    <w:r w:rsidR="00E20E70">
      <w:fldChar w:fldCharType="end"/>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3903943D" w:rsidR="00037321" w:rsidRPr="00A2262E" w:rsidRDefault="00390F66" w:rsidP="003D452E">
    <w:pPr>
      <w:pStyle w:val="Runninghead"/>
      <w:rPr>
        <w:color w:val="BFBFBF" w:themeColor="background1" w:themeShade="BF"/>
        <w:lang w:val="nb-NO"/>
      </w:rPr>
    </w:pPr>
    <w:r w:rsidRPr="00A2262E">
      <w:rPr>
        <w:lang w:val="nb-NO"/>
      </w:rPr>
      <w:t>S.O. SAELE</w:t>
    </w:r>
    <w:r w:rsidR="003D452E" w:rsidRPr="00A2262E">
      <w:rPr>
        <w:lang w:val="nb-NO"/>
      </w:rPr>
      <w:t xml:space="preserve">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Overskrift9"/>
            <w:spacing w:before="0" w:after="10"/>
          </w:pPr>
        </w:p>
      </w:tc>
      <w:tc>
        <w:tcPr>
          <w:tcW w:w="5702" w:type="dxa"/>
          <w:vMerge/>
          <w:vAlign w:val="bottom"/>
        </w:tcPr>
        <w:p w14:paraId="313FA1D9" w14:textId="77777777" w:rsidR="00E20E70" w:rsidRDefault="00E20E70">
          <w:pPr>
            <w:pStyle w:val="Overskrift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BC7"/>
    <w:multiLevelType w:val="hybridMultilevel"/>
    <w:tmpl w:val="94A4BB12"/>
    <w:lvl w:ilvl="0" w:tplc="2000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73524F6"/>
    <w:multiLevelType w:val="hybridMultilevel"/>
    <w:tmpl w:val="55D2C21E"/>
    <w:lvl w:ilvl="0" w:tplc="FFFFFFFF">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07550A44"/>
    <w:multiLevelType w:val="hybridMultilevel"/>
    <w:tmpl w:val="E5685298"/>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5"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E67CD"/>
    <w:multiLevelType w:val="hybridMultilevel"/>
    <w:tmpl w:val="7FDCAB18"/>
    <w:lvl w:ilvl="0" w:tplc="1D7C836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4357243"/>
    <w:multiLevelType w:val="multilevel"/>
    <w:tmpl w:val="74AA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543E4"/>
    <w:multiLevelType w:val="hybridMultilevel"/>
    <w:tmpl w:val="3214738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Overskrift2"/>
      <w:suff w:val="space"/>
      <w:lvlText w:val="%1%2."/>
      <w:lvlJc w:val="left"/>
      <w:pPr>
        <w:ind w:left="0" w:firstLine="0"/>
      </w:pPr>
      <w:rPr>
        <w:rFonts w:hint="default"/>
        <w:color w:val="auto"/>
      </w:rPr>
    </w:lvl>
    <w:lvl w:ilvl="2">
      <w:start w:val="1"/>
      <w:numFmt w:val="decimal"/>
      <w:lvlRestart w:val="0"/>
      <w:pStyle w:val="Overskrift3"/>
      <w:lvlText w:val="%1%2.%3."/>
      <w:lvlJc w:val="left"/>
      <w:pPr>
        <w:ind w:left="0" w:firstLine="0"/>
      </w:pPr>
      <w:rPr>
        <w:rFonts w:hint="default"/>
      </w:rPr>
    </w:lvl>
    <w:lvl w:ilvl="3">
      <w:start w:val="1"/>
      <w:numFmt w:val="decimal"/>
      <w:lvlRestart w:val="0"/>
      <w:pStyle w:val="Overskrift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7F36F5C"/>
    <w:multiLevelType w:val="hybridMultilevel"/>
    <w:tmpl w:val="CA12B6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85014C"/>
    <w:multiLevelType w:val="multilevel"/>
    <w:tmpl w:val="D5D0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078158">
    <w:abstractNumId w:val="12"/>
  </w:num>
  <w:num w:numId="2" w16cid:durableId="59716700">
    <w:abstractNumId w:val="7"/>
  </w:num>
  <w:num w:numId="3" w16cid:durableId="731540123">
    <w:abstractNumId w:val="16"/>
  </w:num>
  <w:num w:numId="4" w16cid:durableId="744034000">
    <w:abstractNumId w:val="16"/>
  </w:num>
  <w:num w:numId="5" w16cid:durableId="1474641089">
    <w:abstractNumId w:val="16"/>
  </w:num>
  <w:num w:numId="6" w16cid:durableId="528497540">
    <w:abstractNumId w:val="8"/>
  </w:num>
  <w:num w:numId="7" w16cid:durableId="176696273">
    <w:abstractNumId w:val="13"/>
  </w:num>
  <w:num w:numId="8" w16cid:durableId="1131169468">
    <w:abstractNumId w:val="17"/>
  </w:num>
  <w:num w:numId="9" w16cid:durableId="1007632637">
    <w:abstractNumId w:val="4"/>
  </w:num>
  <w:num w:numId="10" w16cid:durableId="422917246">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Overskrift2"/>
        <w:lvlText w:val="%1%2."/>
        <w:lvlJc w:val="left"/>
        <w:pPr>
          <w:ind w:left="0" w:firstLine="0"/>
        </w:pPr>
        <w:rPr>
          <w:rFonts w:hint="default"/>
          <w:color w:val="auto"/>
        </w:rPr>
      </w:lvl>
    </w:lvlOverride>
    <w:lvlOverride w:ilvl="2">
      <w:lvl w:ilvl="2">
        <w:start w:val="1"/>
        <w:numFmt w:val="decimal"/>
        <w:lvlRestart w:val="0"/>
        <w:pStyle w:val="Overskrift3"/>
        <w:lvlText w:val="%1%2.%3."/>
        <w:lvlJc w:val="left"/>
        <w:pPr>
          <w:ind w:left="0" w:firstLine="0"/>
        </w:pPr>
        <w:rPr>
          <w:rFonts w:hint="default"/>
        </w:rPr>
      </w:lvl>
    </w:lvlOverride>
    <w:lvlOverride w:ilvl="3">
      <w:lvl w:ilvl="3">
        <w:start w:val="1"/>
        <w:numFmt w:val="none"/>
        <w:lvlRestart w:val="0"/>
        <w:pStyle w:val="Overskrift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6"/>
  </w:num>
  <w:num w:numId="12" w16cid:durableId="468400009">
    <w:abstractNumId w:val="16"/>
  </w:num>
  <w:num w:numId="13" w16cid:durableId="1927378143">
    <w:abstractNumId w:val="16"/>
  </w:num>
  <w:num w:numId="14" w16cid:durableId="1289622783">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Overskrift2"/>
        <w:suff w:val="space"/>
        <w:lvlText w:val="%1%2."/>
        <w:lvlJc w:val="left"/>
        <w:pPr>
          <w:ind w:left="0" w:firstLine="0"/>
        </w:pPr>
        <w:rPr>
          <w:rFonts w:hint="default"/>
          <w:color w:val="auto"/>
        </w:rPr>
      </w:lvl>
    </w:lvlOverride>
    <w:lvlOverride w:ilvl="2">
      <w:lvl w:ilvl="2">
        <w:start w:val="1"/>
        <w:numFmt w:val="decimal"/>
        <w:lvlRestart w:val="0"/>
        <w:pStyle w:val="Overskrift3"/>
        <w:suff w:val="space"/>
        <w:lvlText w:val="%1%2.%3."/>
        <w:lvlJc w:val="left"/>
        <w:pPr>
          <w:ind w:left="0" w:firstLine="0"/>
        </w:pPr>
        <w:rPr>
          <w:rFonts w:hint="default"/>
        </w:rPr>
      </w:lvl>
    </w:lvlOverride>
    <w:lvlOverride w:ilvl="3">
      <w:lvl w:ilvl="3">
        <w:start w:val="1"/>
        <w:numFmt w:val="decimal"/>
        <w:lvlRestart w:val="0"/>
        <w:pStyle w:val="Overskrift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6"/>
  </w:num>
  <w:num w:numId="16" w16cid:durableId="656224632">
    <w:abstractNumId w:val="16"/>
  </w:num>
  <w:num w:numId="17" w16cid:durableId="784034295">
    <w:abstractNumId w:val="16"/>
  </w:num>
  <w:num w:numId="18" w16cid:durableId="1293555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6"/>
  </w:num>
  <w:num w:numId="20" w16cid:durableId="2113888906">
    <w:abstractNumId w:val="5"/>
  </w:num>
  <w:num w:numId="21" w16cid:durableId="1417746791">
    <w:abstractNumId w:val="16"/>
  </w:num>
  <w:num w:numId="22" w16cid:durableId="1720975952">
    <w:abstractNumId w:val="6"/>
  </w:num>
  <w:num w:numId="23" w16cid:durableId="983584939">
    <w:abstractNumId w:val="3"/>
  </w:num>
  <w:num w:numId="24" w16cid:durableId="76482875">
    <w:abstractNumId w:val="15"/>
  </w:num>
  <w:num w:numId="25" w16cid:durableId="1024988134">
    <w:abstractNumId w:val="16"/>
  </w:num>
  <w:num w:numId="26" w16cid:durableId="2000382986">
    <w:abstractNumId w:val="16"/>
  </w:num>
  <w:num w:numId="27" w16cid:durableId="1390575348">
    <w:abstractNumId w:val="16"/>
  </w:num>
  <w:num w:numId="28" w16cid:durableId="621231405">
    <w:abstractNumId w:val="16"/>
  </w:num>
  <w:num w:numId="29" w16cid:durableId="995762299">
    <w:abstractNumId w:val="16"/>
  </w:num>
  <w:num w:numId="30" w16cid:durableId="320278723">
    <w:abstractNumId w:val="9"/>
  </w:num>
  <w:num w:numId="31" w16cid:durableId="1695614948">
    <w:abstractNumId w:val="9"/>
  </w:num>
  <w:num w:numId="32" w16cid:durableId="195823161">
    <w:abstractNumId w:val="16"/>
  </w:num>
  <w:num w:numId="33" w16cid:durableId="379088069">
    <w:abstractNumId w:val="0"/>
  </w:num>
  <w:num w:numId="34" w16cid:durableId="326250366">
    <w:abstractNumId w:val="5"/>
  </w:num>
  <w:num w:numId="35" w16cid:durableId="1642148510">
    <w:abstractNumId w:val="10"/>
  </w:num>
  <w:num w:numId="36" w16cid:durableId="1456438646">
    <w:abstractNumId w:val="14"/>
  </w:num>
  <w:num w:numId="37" w16cid:durableId="1829635450">
    <w:abstractNumId w:val="18"/>
  </w:num>
  <w:num w:numId="38" w16cid:durableId="2009793395">
    <w:abstractNumId w:val="11"/>
  </w:num>
  <w:num w:numId="39" w16cid:durableId="758063640">
    <w:abstractNumId w:val="19"/>
  </w:num>
  <w:num w:numId="40" w16cid:durableId="845631346">
    <w:abstractNumId w:val="2"/>
  </w:num>
  <w:num w:numId="41" w16cid:durableId="140668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nb-NO" w:vendorID="64" w:dllVersion="0" w:nlCheck="1" w:checkStyle="0"/>
  <w:activeWritingStyle w:appName="MSWord" w:lang="de-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4D"/>
    <w:rsid w:val="00000B68"/>
    <w:rsid w:val="000036DC"/>
    <w:rsid w:val="00003C10"/>
    <w:rsid w:val="00005193"/>
    <w:rsid w:val="00005AEE"/>
    <w:rsid w:val="00007E36"/>
    <w:rsid w:val="000115C2"/>
    <w:rsid w:val="00021D81"/>
    <w:rsid w:val="000229AB"/>
    <w:rsid w:val="000232E6"/>
    <w:rsid w:val="00024E5C"/>
    <w:rsid w:val="0002531E"/>
    <w:rsid w:val="0002569A"/>
    <w:rsid w:val="000264F0"/>
    <w:rsid w:val="0002694A"/>
    <w:rsid w:val="000272DA"/>
    <w:rsid w:val="0002754A"/>
    <w:rsid w:val="00027DC1"/>
    <w:rsid w:val="00033E30"/>
    <w:rsid w:val="00037321"/>
    <w:rsid w:val="00040E3A"/>
    <w:rsid w:val="00041436"/>
    <w:rsid w:val="000423B5"/>
    <w:rsid w:val="00045DFC"/>
    <w:rsid w:val="00050868"/>
    <w:rsid w:val="00051407"/>
    <w:rsid w:val="00052297"/>
    <w:rsid w:val="00052371"/>
    <w:rsid w:val="00054634"/>
    <w:rsid w:val="000557A2"/>
    <w:rsid w:val="000557B5"/>
    <w:rsid w:val="00057BC5"/>
    <w:rsid w:val="0006367E"/>
    <w:rsid w:val="00064B53"/>
    <w:rsid w:val="0006756F"/>
    <w:rsid w:val="00072213"/>
    <w:rsid w:val="00072F4E"/>
    <w:rsid w:val="000734E7"/>
    <w:rsid w:val="000739F1"/>
    <w:rsid w:val="000774CA"/>
    <w:rsid w:val="00082523"/>
    <w:rsid w:val="00084236"/>
    <w:rsid w:val="0008625D"/>
    <w:rsid w:val="00091CDD"/>
    <w:rsid w:val="00093100"/>
    <w:rsid w:val="000937B0"/>
    <w:rsid w:val="00094271"/>
    <w:rsid w:val="000959DA"/>
    <w:rsid w:val="000969CA"/>
    <w:rsid w:val="00096D0E"/>
    <w:rsid w:val="00097D50"/>
    <w:rsid w:val="000A0299"/>
    <w:rsid w:val="000A1386"/>
    <w:rsid w:val="000B21C9"/>
    <w:rsid w:val="000B480B"/>
    <w:rsid w:val="000C0E3B"/>
    <w:rsid w:val="000C34C1"/>
    <w:rsid w:val="000C3535"/>
    <w:rsid w:val="000C3949"/>
    <w:rsid w:val="000C5F2A"/>
    <w:rsid w:val="000C66F7"/>
    <w:rsid w:val="000C6F25"/>
    <w:rsid w:val="000C7D05"/>
    <w:rsid w:val="000C7F5C"/>
    <w:rsid w:val="000D02B3"/>
    <w:rsid w:val="000D0D54"/>
    <w:rsid w:val="000D37A4"/>
    <w:rsid w:val="000D4CD9"/>
    <w:rsid w:val="000D6608"/>
    <w:rsid w:val="000D7870"/>
    <w:rsid w:val="000E0ADD"/>
    <w:rsid w:val="000E252A"/>
    <w:rsid w:val="000E261E"/>
    <w:rsid w:val="000E4D6F"/>
    <w:rsid w:val="000E6DD3"/>
    <w:rsid w:val="000E74D7"/>
    <w:rsid w:val="000E7D22"/>
    <w:rsid w:val="000F065A"/>
    <w:rsid w:val="000F14CF"/>
    <w:rsid w:val="000F1E62"/>
    <w:rsid w:val="000F594B"/>
    <w:rsid w:val="000F7454"/>
    <w:rsid w:val="000F7E94"/>
    <w:rsid w:val="0010096E"/>
    <w:rsid w:val="0010210F"/>
    <w:rsid w:val="0010292F"/>
    <w:rsid w:val="00110112"/>
    <w:rsid w:val="001119D6"/>
    <w:rsid w:val="001127E5"/>
    <w:rsid w:val="00112E44"/>
    <w:rsid w:val="00113C73"/>
    <w:rsid w:val="00115B9B"/>
    <w:rsid w:val="00117100"/>
    <w:rsid w:val="001207AC"/>
    <w:rsid w:val="00120981"/>
    <w:rsid w:val="00121143"/>
    <w:rsid w:val="00121C8A"/>
    <w:rsid w:val="00122C6F"/>
    <w:rsid w:val="00123892"/>
    <w:rsid w:val="001259BE"/>
    <w:rsid w:val="0012688E"/>
    <w:rsid w:val="001308F2"/>
    <w:rsid w:val="001313E8"/>
    <w:rsid w:val="001315AB"/>
    <w:rsid w:val="001328E0"/>
    <w:rsid w:val="0013476E"/>
    <w:rsid w:val="00134EBE"/>
    <w:rsid w:val="001361E8"/>
    <w:rsid w:val="00136331"/>
    <w:rsid w:val="00137F19"/>
    <w:rsid w:val="00141C2A"/>
    <w:rsid w:val="00145614"/>
    <w:rsid w:val="001516F2"/>
    <w:rsid w:val="00151856"/>
    <w:rsid w:val="00151F15"/>
    <w:rsid w:val="001534C5"/>
    <w:rsid w:val="001536A6"/>
    <w:rsid w:val="00154A20"/>
    <w:rsid w:val="00155680"/>
    <w:rsid w:val="00156ADE"/>
    <w:rsid w:val="001576FE"/>
    <w:rsid w:val="00157D37"/>
    <w:rsid w:val="00163680"/>
    <w:rsid w:val="00167735"/>
    <w:rsid w:val="001702CD"/>
    <w:rsid w:val="0017123D"/>
    <w:rsid w:val="00172A46"/>
    <w:rsid w:val="00172EC3"/>
    <w:rsid w:val="0017322F"/>
    <w:rsid w:val="00173315"/>
    <w:rsid w:val="00175099"/>
    <w:rsid w:val="0017513E"/>
    <w:rsid w:val="00176336"/>
    <w:rsid w:val="00177558"/>
    <w:rsid w:val="00180A66"/>
    <w:rsid w:val="0018193C"/>
    <w:rsid w:val="00182C7B"/>
    <w:rsid w:val="0018496C"/>
    <w:rsid w:val="00185083"/>
    <w:rsid w:val="001874E2"/>
    <w:rsid w:val="0018752C"/>
    <w:rsid w:val="001878D1"/>
    <w:rsid w:val="00187FD4"/>
    <w:rsid w:val="0019094A"/>
    <w:rsid w:val="0019096B"/>
    <w:rsid w:val="00190B05"/>
    <w:rsid w:val="00192D30"/>
    <w:rsid w:val="001940CB"/>
    <w:rsid w:val="001949FA"/>
    <w:rsid w:val="001958AD"/>
    <w:rsid w:val="0019719E"/>
    <w:rsid w:val="00197226"/>
    <w:rsid w:val="00197869"/>
    <w:rsid w:val="001A103B"/>
    <w:rsid w:val="001A24FF"/>
    <w:rsid w:val="001A2C56"/>
    <w:rsid w:val="001A6E9B"/>
    <w:rsid w:val="001C1996"/>
    <w:rsid w:val="001C22CC"/>
    <w:rsid w:val="001C25A6"/>
    <w:rsid w:val="001C33D6"/>
    <w:rsid w:val="001C3E44"/>
    <w:rsid w:val="001C58F5"/>
    <w:rsid w:val="001C5E0D"/>
    <w:rsid w:val="001C6229"/>
    <w:rsid w:val="001C7538"/>
    <w:rsid w:val="001D2DCA"/>
    <w:rsid w:val="001D5880"/>
    <w:rsid w:val="001D5BAC"/>
    <w:rsid w:val="001D5C90"/>
    <w:rsid w:val="001D5CEE"/>
    <w:rsid w:val="001E5B3A"/>
    <w:rsid w:val="001E723E"/>
    <w:rsid w:val="001F1D42"/>
    <w:rsid w:val="001F5B68"/>
    <w:rsid w:val="001F5E06"/>
    <w:rsid w:val="001F65D6"/>
    <w:rsid w:val="001F6CBC"/>
    <w:rsid w:val="001F7218"/>
    <w:rsid w:val="001F72BC"/>
    <w:rsid w:val="002071D9"/>
    <w:rsid w:val="00210D37"/>
    <w:rsid w:val="00211B6D"/>
    <w:rsid w:val="00213F29"/>
    <w:rsid w:val="00216638"/>
    <w:rsid w:val="00220D7E"/>
    <w:rsid w:val="00223318"/>
    <w:rsid w:val="00223699"/>
    <w:rsid w:val="00230FEC"/>
    <w:rsid w:val="00233B6F"/>
    <w:rsid w:val="00234132"/>
    <w:rsid w:val="00234CFC"/>
    <w:rsid w:val="0023638C"/>
    <w:rsid w:val="00236E45"/>
    <w:rsid w:val="00240719"/>
    <w:rsid w:val="002448DC"/>
    <w:rsid w:val="00245776"/>
    <w:rsid w:val="002458E3"/>
    <w:rsid w:val="00245E8F"/>
    <w:rsid w:val="00245FA6"/>
    <w:rsid w:val="00250869"/>
    <w:rsid w:val="00251BFE"/>
    <w:rsid w:val="002529A0"/>
    <w:rsid w:val="00252F93"/>
    <w:rsid w:val="00255C52"/>
    <w:rsid w:val="00256822"/>
    <w:rsid w:val="00256F28"/>
    <w:rsid w:val="0026034B"/>
    <w:rsid w:val="0026525A"/>
    <w:rsid w:val="002668D8"/>
    <w:rsid w:val="0026784B"/>
    <w:rsid w:val="00271A4F"/>
    <w:rsid w:val="00274790"/>
    <w:rsid w:val="00275DBC"/>
    <w:rsid w:val="00275FC7"/>
    <w:rsid w:val="00282930"/>
    <w:rsid w:val="002853C2"/>
    <w:rsid w:val="00285755"/>
    <w:rsid w:val="0028759D"/>
    <w:rsid w:val="00287E58"/>
    <w:rsid w:val="0029038E"/>
    <w:rsid w:val="00290B72"/>
    <w:rsid w:val="0029226B"/>
    <w:rsid w:val="00292FD7"/>
    <w:rsid w:val="00293135"/>
    <w:rsid w:val="0029401D"/>
    <w:rsid w:val="002945B5"/>
    <w:rsid w:val="00295357"/>
    <w:rsid w:val="002A1F9C"/>
    <w:rsid w:val="002A4223"/>
    <w:rsid w:val="002A4AF5"/>
    <w:rsid w:val="002A5B06"/>
    <w:rsid w:val="002B03E9"/>
    <w:rsid w:val="002B0803"/>
    <w:rsid w:val="002B151A"/>
    <w:rsid w:val="002B249A"/>
    <w:rsid w:val="002B25DD"/>
    <w:rsid w:val="002B29C2"/>
    <w:rsid w:val="002B2CD7"/>
    <w:rsid w:val="002B486A"/>
    <w:rsid w:val="002C23D9"/>
    <w:rsid w:val="002C3B8A"/>
    <w:rsid w:val="002C4208"/>
    <w:rsid w:val="002C4E83"/>
    <w:rsid w:val="002C5B74"/>
    <w:rsid w:val="002C76C0"/>
    <w:rsid w:val="002D1E60"/>
    <w:rsid w:val="002D5985"/>
    <w:rsid w:val="002D7573"/>
    <w:rsid w:val="002E190C"/>
    <w:rsid w:val="002E1ACD"/>
    <w:rsid w:val="002E2910"/>
    <w:rsid w:val="002E36CC"/>
    <w:rsid w:val="002E3E71"/>
    <w:rsid w:val="002E51D5"/>
    <w:rsid w:val="002E51ED"/>
    <w:rsid w:val="002F0487"/>
    <w:rsid w:val="002F16BE"/>
    <w:rsid w:val="002F3459"/>
    <w:rsid w:val="002F3C24"/>
    <w:rsid w:val="002F61A4"/>
    <w:rsid w:val="002F7049"/>
    <w:rsid w:val="0030296A"/>
    <w:rsid w:val="003044F2"/>
    <w:rsid w:val="00307256"/>
    <w:rsid w:val="00310CA6"/>
    <w:rsid w:val="00315E92"/>
    <w:rsid w:val="00316908"/>
    <w:rsid w:val="00321605"/>
    <w:rsid w:val="00321DF1"/>
    <w:rsid w:val="00322838"/>
    <w:rsid w:val="00323C83"/>
    <w:rsid w:val="00324414"/>
    <w:rsid w:val="00325C1A"/>
    <w:rsid w:val="00327A36"/>
    <w:rsid w:val="00327DD8"/>
    <w:rsid w:val="00327E0B"/>
    <w:rsid w:val="0033025E"/>
    <w:rsid w:val="00331B96"/>
    <w:rsid w:val="00335B56"/>
    <w:rsid w:val="00335FFC"/>
    <w:rsid w:val="00336B89"/>
    <w:rsid w:val="00336E08"/>
    <w:rsid w:val="00337C78"/>
    <w:rsid w:val="00342003"/>
    <w:rsid w:val="00342696"/>
    <w:rsid w:val="00343D86"/>
    <w:rsid w:val="003457C9"/>
    <w:rsid w:val="00346E16"/>
    <w:rsid w:val="00352DE1"/>
    <w:rsid w:val="003547EA"/>
    <w:rsid w:val="00355A49"/>
    <w:rsid w:val="003621B5"/>
    <w:rsid w:val="00364D30"/>
    <w:rsid w:val="00365D43"/>
    <w:rsid w:val="00366ABE"/>
    <w:rsid w:val="00366C39"/>
    <w:rsid w:val="00367E8A"/>
    <w:rsid w:val="00370029"/>
    <w:rsid w:val="00370690"/>
    <w:rsid w:val="00371B2E"/>
    <w:rsid w:val="00371CDB"/>
    <w:rsid w:val="003728E6"/>
    <w:rsid w:val="00373B3A"/>
    <w:rsid w:val="003765C0"/>
    <w:rsid w:val="00381EFA"/>
    <w:rsid w:val="00382E21"/>
    <w:rsid w:val="00384B78"/>
    <w:rsid w:val="003853EF"/>
    <w:rsid w:val="00387548"/>
    <w:rsid w:val="00390F66"/>
    <w:rsid w:val="00391113"/>
    <w:rsid w:val="00391C89"/>
    <w:rsid w:val="00392F35"/>
    <w:rsid w:val="003963E4"/>
    <w:rsid w:val="003A3264"/>
    <w:rsid w:val="003A3C6E"/>
    <w:rsid w:val="003A3E0C"/>
    <w:rsid w:val="003A42B1"/>
    <w:rsid w:val="003A4412"/>
    <w:rsid w:val="003A73CB"/>
    <w:rsid w:val="003B0C94"/>
    <w:rsid w:val="003B152E"/>
    <w:rsid w:val="003B5854"/>
    <w:rsid w:val="003B5E0E"/>
    <w:rsid w:val="003B7B03"/>
    <w:rsid w:val="003C02F1"/>
    <w:rsid w:val="003C5F29"/>
    <w:rsid w:val="003C64D9"/>
    <w:rsid w:val="003D0148"/>
    <w:rsid w:val="003D255A"/>
    <w:rsid w:val="003D3AA7"/>
    <w:rsid w:val="003D452E"/>
    <w:rsid w:val="003D6379"/>
    <w:rsid w:val="003D6D7D"/>
    <w:rsid w:val="003E096B"/>
    <w:rsid w:val="003E1B7E"/>
    <w:rsid w:val="003E31EF"/>
    <w:rsid w:val="003F0227"/>
    <w:rsid w:val="003F3DE4"/>
    <w:rsid w:val="003F70C9"/>
    <w:rsid w:val="004006F3"/>
    <w:rsid w:val="00404662"/>
    <w:rsid w:val="00404906"/>
    <w:rsid w:val="00411021"/>
    <w:rsid w:val="00411B62"/>
    <w:rsid w:val="004124D3"/>
    <w:rsid w:val="00413308"/>
    <w:rsid w:val="00413CAA"/>
    <w:rsid w:val="00414370"/>
    <w:rsid w:val="00414E42"/>
    <w:rsid w:val="00414F88"/>
    <w:rsid w:val="00416949"/>
    <w:rsid w:val="004171DC"/>
    <w:rsid w:val="00417E3C"/>
    <w:rsid w:val="0042223A"/>
    <w:rsid w:val="00422726"/>
    <w:rsid w:val="00422738"/>
    <w:rsid w:val="00422AEC"/>
    <w:rsid w:val="00425A25"/>
    <w:rsid w:val="004268BE"/>
    <w:rsid w:val="00426BB2"/>
    <w:rsid w:val="004312D2"/>
    <w:rsid w:val="0043201C"/>
    <w:rsid w:val="00435BC6"/>
    <w:rsid w:val="00436D96"/>
    <w:rsid w:val="00436ED9"/>
    <w:rsid w:val="004370D8"/>
    <w:rsid w:val="004409CA"/>
    <w:rsid w:val="004441CC"/>
    <w:rsid w:val="004468DA"/>
    <w:rsid w:val="00450C1F"/>
    <w:rsid w:val="00451881"/>
    <w:rsid w:val="00451E81"/>
    <w:rsid w:val="0045247A"/>
    <w:rsid w:val="00454719"/>
    <w:rsid w:val="004576ED"/>
    <w:rsid w:val="00466AF5"/>
    <w:rsid w:val="0047035B"/>
    <w:rsid w:val="00472C43"/>
    <w:rsid w:val="00476024"/>
    <w:rsid w:val="00476331"/>
    <w:rsid w:val="00476496"/>
    <w:rsid w:val="00476585"/>
    <w:rsid w:val="004802D5"/>
    <w:rsid w:val="00480A83"/>
    <w:rsid w:val="00483C69"/>
    <w:rsid w:val="00483ECE"/>
    <w:rsid w:val="0048742D"/>
    <w:rsid w:val="004914CC"/>
    <w:rsid w:val="00494A0C"/>
    <w:rsid w:val="00496470"/>
    <w:rsid w:val="004A077E"/>
    <w:rsid w:val="004A1EF3"/>
    <w:rsid w:val="004A5202"/>
    <w:rsid w:val="004A590C"/>
    <w:rsid w:val="004A6D50"/>
    <w:rsid w:val="004A6F42"/>
    <w:rsid w:val="004B120B"/>
    <w:rsid w:val="004B36FE"/>
    <w:rsid w:val="004B4A85"/>
    <w:rsid w:val="004B55F3"/>
    <w:rsid w:val="004B67AB"/>
    <w:rsid w:val="004B7D19"/>
    <w:rsid w:val="004B7F20"/>
    <w:rsid w:val="004C4786"/>
    <w:rsid w:val="004C4B23"/>
    <w:rsid w:val="004C684A"/>
    <w:rsid w:val="004C7DE6"/>
    <w:rsid w:val="004D024F"/>
    <w:rsid w:val="004D5114"/>
    <w:rsid w:val="004D6345"/>
    <w:rsid w:val="004D693A"/>
    <w:rsid w:val="004D794C"/>
    <w:rsid w:val="004D7984"/>
    <w:rsid w:val="004D7986"/>
    <w:rsid w:val="004E12DF"/>
    <w:rsid w:val="004E256E"/>
    <w:rsid w:val="004E7F40"/>
    <w:rsid w:val="004F04C5"/>
    <w:rsid w:val="004F1669"/>
    <w:rsid w:val="0050069A"/>
    <w:rsid w:val="00504612"/>
    <w:rsid w:val="00504810"/>
    <w:rsid w:val="0050586F"/>
    <w:rsid w:val="00505FA1"/>
    <w:rsid w:val="00506BA1"/>
    <w:rsid w:val="00507461"/>
    <w:rsid w:val="00507664"/>
    <w:rsid w:val="005111EB"/>
    <w:rsid w:val="00511B66"/>
    <w:rsid w:val="005120DC"/>
    <w:rsid w:val="00512482"/>
    <w:rsid w:val="00514E62"/>
    <w:rsid w:val="005158FC"/>
    <w:rsid w:val="00515C7E"/>
    <w:rsid w:val="005169EC"/>
    <w:rsid w:val="00517010"/>
    <w:rsid w:val="00517B63"/>
    <w:rsid w:val="00520569"/>
    <w:rsid w:val="00522B04"/>
    <w:rsid w:val="00524D07"/>
    <w:rsid w:val="00526692"/>
    <w:rsid w:val="0053025A"/>
    <w:rsid w:val="00530CA4"/>
    <w:rsid w:val="0053201D"/>
    <w:rsid w:val="005335C6"/>
    <w:rsid w:val="0053618F"/>
    <w:rsid w:val="00536E49"/>
    <w:rsid w:val="00537496"/>
    <w:rsid w:val="005409D7"/>
    <w:rsid w:val="00540A8B"/>
    <w:rsid w:val="00544ED3"/>
    <w:rsid w:val="00547F72"/>
    <w:rsid w:val="005533DA"/>
    <w:rsid w:val="00557A92"/>
    <w:rsid w:val="005606D6"/>
    <w:rsid w:val="0056278A"/>
    <w:rsid w:val="0056448A"/>
    <w:rsid w:val="00567ADE"/>
    <w:rsid w:val="005711AB"/>
    <w:rsid w:val="00571EF2"/>
    <w:rsid w:val="00574A6D"/>
    <w:rsid w:val="00574E02"/>
    <w:rsid w:val="00575A70"/>
    <w:rsid w:val="005764E1"/>
    <w:rsid w:val="00581872"/>
    <w:rsid w:val="005835B6"/>
    <w:rsid w:val="00583997"/>
    <w:rsid w:val="0058465C"/>
    <w:rsid w:val="0058477B"/>
    <w:rsid w:val="00584A02"/>
    <w:rsid w:val="00584E5F"/>
    <w:rsid w:val="0058654F"/>
    <w:rsid w:val="00586FBC"/>
    <w:rsid w:val="00587340"/>
    <w:rsid w:val="00587801"/>
    <w:rsid w:val="00587A54"/>
    <w:rsid w:val="00591143"/>
    <w:rsid w:val="0059482D"/>
    <w:rsid w:val="00596ACA"/>
    <w:rsid w:val="005A233A"/>
    <w:rsid w:val="005A244C"/>
    <w:rsid w:val="005A29D9"/>
    <w:rsid w:val="005A5323"/>
    <w:rsid w:val="005A5FDA"/>
    <w:rsid w:val="005A78D3"/>
    <w:rsid w:val="005B00AA"/>
    <w:rsid w:val="005B2009"/>
    <w:rsid w:val="005B28C4"/>
    <w:rsid w:val="005B4C1E"/>
    <w:rsid w:val="005B78B7"/>
    <w:rsid w:val="005C17E9"/>
    <w:rsid w:val="005C2B4D"/>
    <w:rsid w:val="005C333F"/>
    <w:rsid w:val="005C440C"/>
    <w:rsid w:val="005C458E"/>
    <w:rsid w:val="005C4685"/>
    <w:rsid w:val="005C4A1F"/>
    <w:rsid w:val="005C6548"/>
    <w:rsid w:val="005C68A4"/>
    <w:rsid w:val="005D0C09"/>
    <w:rsid w:val="005D0D95"/>
    <w:rsid w:val="005D26B0"/>
    <w:rsid w:val="005D3255"/>
    <w:rsid w:val="005D38DD"/>
    <w:rsid w:val="005D42D1"/>
    <w:rsid w:val="005E016B"/>
    <w:rsid w:val="005E0B6D"/>
    <w:rsid w:val="005E39BC"/>
    <w:rsid w:val="005E3E35"/>
    <w:rsid w:val="005E47D8"/>
    <w:rsid w:val="005E566B"/>
    <w:rsid w:val="005E570C"/>
    <w:rsid w:val="005E7EFF"/>
    <w:rsid w:val="005F00A0"/>
    <w:rsid w:val="005F2695"/>
    <w:rsid w:val="005F41C8"/>
    <w:rsid w:val="005F4C81"/>
    <w:rsid w:val="005F54A1"/>
    <w:rsid w:val="0060685A"/>
    <w:rsid w:val="00607C40"/>
    <w:rsid w:val="00613DC2"/>
    <w:rsid w:val="0061429D"/>
    <w:rsid w:val="00614350"/>
    <w:rsid w:val="0061700B"/>
    <w:rsid w:val="00617CA3"/>
    <w:rsid w:val="00622FA8"/>
    <w:rsid w:val="00623F64"/>
    <w:rsid w:val="006252FE"/>
    <w:rsid w:val="00625C26"/>
    <w:rsid w:val="00626953"/>
    <w:rsid w:val="00631B61"/>
    <w:rsid w:val="0063465B"/>
    <w:rsid w:val="00634F1C"/>
    <w:rsid w:val="0064322E"/>
    <w:rsid w:val="0064480C"/>
    <w:rsid w:val="00644F90"/>
    <w:rsid w:val="00645349"/>
    <w:rsid w:val="00645712"/>
    <w:rsid w:val="00646DB7"/>
    <w:rsid w:val="00647F33"/>
    <w:rsid w:val="006516E0"/>
    <w:rsid w:val="00652135"/>
    <w:rsid w:val="00652D13"/>
    <w:rsid w:val="00655004"/>
    <w:rsid w:val="00661D86"/>
    <w:rsid w:val="00662532"/>
    <w:rsid w:val="0066292D"/>
    <w:rsid w:val="006648E4"/>
    <w:rsid w:val="006656B4"/>
    <w:rsid w:val="00667C7F"/>
    <w:rsid w:val="006710F1"/>
    <w:rsid w:val="006749B0"/>
    <w:rsid w:val="0067533D"/>
    <w:rsid w:val="00675EB1"/>
    <w:rsid w:val="0067674E"/>
    <w:rsid w:val="00676AD4"/>
    <w:rsid w:val="00676DD6"/>
    <w:rsid w:val="00677184"/>
    <w:rsid w:val="00677EB4"/>
    <w:rsid w:val="00681582"/>
    <w:rsid w:val="0068162C"/>
    <w:rsid w:val="00682FE2"/>
    <w:rsid w:val="00684949"/>
    <w:rsid w:val="00684F72"/>
    <w:rsid w:val="00691016"/>
    <w:rsid w:val="0069369F"/>
    <w:rsid w:val="00693A00"/>
    <w:rsid w:val="006A1473"/>
    <w:rsid w:val="006A625D"/>
    <w:rsid w:val="006A62B0"/>
    <w:rsid w:val="006B1173"/>
    <w:rsid w:val="006B11F6"/>
    <w:rsid w:val="006B2274"/>
    <w:rsid w:val="006B312C"/>
    <w:rsid w:val="006B568D"/>
    <w:rsid w:val="006B6AD3"/>
    <w:rsid w:val="006B6CF4"/>
    <w:rsid w:val="006B6DE4"/>
    <w:rsid w:val="006B75D7"/>
    <w:rsid w:val="006C0A8E"/>
    <w:rsid w:val="006C2BC8"/>
    <w:rsid w:val="006C2D7E"/>
    <w:rsid w:val="006C390B"/>
    <w:rsid w:val="006D0C75"/>
    <w:rsid w:val="006D1401"/>
    <w:rsid w:val="006D3822"/>
    <w:rsid w:val="006D477A"/>
    <w:rsid w:val="006D563A"/>
    <w:rsid w:val="006D57FD"/>
    <w:rsid w:val="006D72B9"/>
    <w:rsid w:val="006D76A4"/>
    <w:rsid w:val="006D7C5A"/>
    <w:rsid w:val="006E04E1"/>
    <w:rsid w:val="006E0854"/>
    <w:rsid w:val="006E1611"/>
    <w:rsid w:val="006E2350"/>
    <w:rsid w:val="006E2869"/>
    <w:rsid w:val="006E2C79"/>
    <w:rsid w:val="006E41CD"/>
    <w:rsid w:val="006E4DCE"/>
    <w:rsid w:val="006E4E0A"/>
    <w:rsid w:val="006E5DEA"/>
    <w:rsid w:val="006E7C33"/>
    <w:rsid w:val="006F6642"/>
    <w:rsid w:val="00703CAB"/>
    <w:rsid w:val="00705D95"/>
    <w:rsid w:val="0070687E"/>
    <w:rsid w:val="00707BD1"/>
    <w:rsid w:val="00712556"/>
    <w:rsid w:val="00717C6F"/>
    <w:rsid w:val="007211ED"/>
    <w:rsid w:val="00723B06"/>
    <w:rsid w:val="00725042"/>
    <w:rsid w:val="007305F4"/>
    <w:rsid w:val="0073205F"/>
    <w:rsid w:val="00732EE0"/>
    <w:rsid w:val="007344CD"/>
    <w:rsid w:val="00735066"/>
    <w:rsid w:val="00740447"/>
    <w:rsid w:val="0074325F"/>
    <w:rsid w:val="00744570"/>
    <w:rsid w:val="007445DA"/>
    <w:rsid w:val="0074569B"/>
    <w:rsid w:val="00745A6F"/>
    <w:rsid w:val="007524A8"/>
    <w:rsid w:val="00754204"/>
    <w:rsid w:val="0076315E"/>
    <w:rsid w:val="0076344F"/>
    <w:rsid w:val="007645CA"/>
    <w:rsid w:val="00765B26"/>
    <w:rsid w:val="00766C90"/>
    <w:rsid w:val="007671C3"/>
    <w:rsid w:val="007700F7"/>
    <w:rsid w:val="0077095E"/>
    <w:rsid w:val="00770D33"/>
    <w:rsid w:val="00774E98"/>
    <w:rsid w:val="0077634A"/>
    <w:rsid w:val="00776AF1"/>
    <w:rsid w:val="00781568"/>
    <w:rsid w:val="00781E76"/>
    <w:rsid w:val="00782FB2"/>
    <w:rsid w:val="00783E4E"/>
    <w:rsid w:val="00784143"/>
    <w:rsid w:val="00784F1C"/>
    <w:rsid w:val="00786B50"/>
    <w:rsid w:val="007878EF"/>
    <w:rsid w:val="00790DE7"/>
    <w:rsid w:val="007937E5"/>
    <w:rsid w:val="0079384F"/>
    <w:rsid w:val="00793FE8"/>
    <w:rsid w:val="00796DD6"/>
    <w:rsid w:val="007A16E0"/>
    <w:rsid w:val="007A2F03"/>
    <w:rsid w:val="007A38E6"/>
    <w:rsid w:val="007A3DEC"/>
    <w:rsid w:val="007A456D"/>
    <w:rsid w:val="007A61A2"/>
    <w:rsid w:val="007B2308"/>
    <w:rsid w:val="007B44C1"/>
    <w:rsid w:val="007B4FD1"/>
    <w:rsid w:val="007B58BB"/>
    <w:rsid w:val="007B5EFD"/>
    <w:rsid w:val="007B6A9E"/>
    <w:rsid w:val="007C2FF4"/>
    <w:rsid w:val="007C5A0F"/>
    <w:rsid w:val="007C64AB"/>
    <w:rsid w:val="007C6A92"/>
    <w:rsid w:val="007C7534"/>
    <w:rsid w:val="007C755E"/>
    <w:rsid w:val="007D0D40"/>
    <w:rsid w:val="007D3161"/>
    <w:rsid w:val="007D31A1"/>
    <w:rsid w:val="007D37A4"/>
    <w:rsid w:val="007D6F8C"/>
    <w:rsid w:val="007E0483"/>
    <w:rsid w:val="007E183E"/>
    <w:rsid w:val="007E1B0D"/>
    <w:rsid w:val="007E35A1"/>
    <w:rsid w:val="007E39A0"/>
    <w:rsid w:val="007E3B26"/>
    <w:rsid w:val="007E4348"/>
    <w:rsid w:val="007E541B"/>
    <w:rsid w:val="007E6CC0"/>
    <w:rsid w:val="007E7B54"/>
    <w:rsid w:val="007F2E1B"/>
    <w:rsid w:val="007F6996"/>
    <w:rsid w:val="00802381"/>
    <w:rsid w:val="00806A88"/>
    <w:rsid w:val="00810E32"/>
    <w:rsid w:val="008117E5"/>
    <w:rsid w:val="00813FC8"/>
    <w:rsid w:val="00814182"/>
    <w:rsid w:val="00815525"/>
    <w:rsid w:val="00817686"/>
    <w:rsid w:val="00821DA2"/>
    <w:rsid w:val="00824B27"/>
    <w:rsid w:val="00826482"/>
    <w:rsid w:val="00826EA6"/>
    <w:rsid w:val="008270E6"/>
    <w:rsid w:val="00830247"/>
    <w:rsid w:val="00830E62"/>
    <w:rsid w:val="008310FE"/>
    <w:rsid w:val="0083195C"/>
    <w:rsid w:val="008333B7"/>
    <w:rsid w:val="0083375B"/>
    <w:rsid w:val="008367B2"/>
    <w:rsid w:val="00837B67"/>
    <w:rsid w:val="00840F23"/>
    <w:rsid w:val="00841043"/>
    <w:rsid w:val="008424FB"/>
    <w:rsid w:val="00843B6A"/>
    <w:rsid w:val="008458F2"/>
    <w:rsid w:val="00845C27"/>
    <w:rsid w:val="00846D57"/>
    <w:rsid w:val="008475A5"/>
    <w:rsid w:val="00852E8B"/>
    <w:rsid w:val="0085428F"/>
    <w:rsid w:val="008544BE"/>
    <w:rsid w:val="008562C3"/>
    <w:rsid w:val="00856653"/>
    <w:rsid w:val="00857AD2"/>
    <w:rsid w:val="008628CA"/>
    <w:rsid w:val="00862AC8"/>
    <w:rsid w:val="00863E08"/>
    <w:rsid w:val="0086418A"/>
    <w:rsid w:val="008648A9"/>
    <w:rsid w:val="008667E9"/>
    <w:rsid w:val="008702DA"/>
    <w:rsid w:val="00871B82"/>
    <w:rsid w:val="00873061"/>
    <w:rsid w:val="00873D1D"/>
    <w:rsid w:val="00877643"/>
    <w:rsid w:val="00882B56"/>
    <w:rsid w:val="00883848"/>
    <w:rsid w:val="008859C5"/>
    <w:rsid w:val="00885D82"/>
    <w:rsid w:val="00891F7E"/>
    <w:rsid w:val="00893D40"/>
    <w:rsid w:val="00893E50"/>
    <w:rsid w:val="00894C53"/>
    <w:rsid w:val="00897ED5"/>
    <w:rsid w:val="008A1B41"/>
    <w:rsid w:val="008A1BD6"/>
    <w:rsid w:val="008A4343"/>
    <w:rsid w:val="008A58F2"/>
    <w:rsid w:val="008A6B3C"/>
    <w:rsid w:val="008A75B0"/>
    <w:rsid w:val="008B0195"/>
    <w:rsid w:val="008B298B"/>
    <w:rsid w:val="008B3A51"/>
    <w:rsid w:val="008B4418"/>
    <w:rsid w:val="008B66A9"/>
    <w:rsid w:val="008B66E9"/>
    <w:rsid w:val="008B6BB9"/>
    <w:rsid w:val="008B7B7A"/>
    <w:rsid w:val="008C37D8"/>
    <w:rsid w:val="008C3E8D"/>
    <w:rsid w:val="008C5CBF"/>
    <w:rsid w:val="008C651C"/>
    <w:rsid w:val="008D0C1A"/>
    <w:rsid w:val="008D235A"/>
    <w:rsid w:val="008D2AF8"/>
    <w:rsid w:val="008D49AF"/>
    <w:rsid w:val="008D5FD6"/>
    <w:rsid w:val="008D6930"/>
    <w:rsid w:val="008E0B5E"/>
    <w:rsid w:val="008E118C"/>
    <w:rsid w:val="008E3FD3"/>
    <w:rsid w:val="008E4F81"/>
    <w:rsid w:val="008E7997"/>
    <w:rsid w:val="008F0119"/>
    <w:rsid w:val="008F07CD"/>
    <w:rsid w:val="008F0E59"/>
    <w:rsid w:val="008F1D2B"/>
    <w:rsid w:val="008F3284"/>
    <w:rsid w:val="008F44FD"/>
    <w:rsid w:val="008F5748"/>
    <w:rsid w:val="008F616C"/>
    <w:rsid w:val="00900DA9"/>
    <w:rsid w:val="009010D6"/>
    <w:rsid w:val="0090151F"/>
    <w:rsid w:val="009100DE"/>
    <w:rsid w:val="00910434"/>
    <w:rsid w:val="00911543"/>
    <w:rsid w:val="00915B4E"/>
    <w:rsid w:val="0091768F"/>
    <w:rsid w:val="00917B69"/>
    <w:rsid w:val="00920492"/>
    <w:rsid w:val="00923B1C"/>
    <w:rsid w:val="00925AAB"/>
    <w:rsid w:val="00927296"/>
    <w:rsid w:val="009277CE"/>
    <w:rsid w:val="00930A92"/>
    <w:rsid w:val="00934CF6"/>
    <w:rsid w:val="00934DF9"/>
    <w:rsid w:val="00935565"/>
    <w:rsid w:val="00935A46"/>
    <w:rsid w:val="009400F9"/>
    <w:rsid w:val="00940BA1"/>
    <w:rsid w:val="009413FF"/>
    <w:rsid w:val="00941CA1"/>
    <w:rsid w:val="009421C7"/>
    <w:rsid w:val="009426CD"/>
    <w:rsid w:val="00945047"/>
    <w:rsid w:val="00945A6C"/>
    <w:rsid w:val="00945DB9"/>
    <w:rsid w:val="00947DB2"/>
    <w:rsid w:val="0095082E"/>
    <w:rsid w:val="009512BD"/>
    <w:rsid w:val="0095195E"/>
    <w:rsid w:val="009519C9"/>
    <w:rsid w:val="009520C4"/>
    <w:rsid w:val="00952443"/>
    <w:rsid w:val="00954559"/>
    <w:rsid w:val="00954DFA"/>
    <w:rsid w:val="00955675"/>
    <w:rsid w:val="00955927"/>
    <w:rsid w:val="00956BE9"/>
    <w:rsid w:val="00961EBA"/>
    <w:rsid w:val="00967873"/>
    <w:rsid w:val="0096797D"/>
    <w:rsid w:val="009707B4"/>
    <w:rsid w:val="009744A2"/>
    <w:rsid w:val="00980C9A"/>
    <w:rsid w:val="00986A12"/>
    <w:rsid w:val="00987091"/>
    <w:rsid w:val="009908F8"/>
    <w:rsid w:val="0099110F"/>
    <w:rsid w:val="00993D00"/>
    <w:rsid w:val="00994190"/>
    <w:rsid w:val="00996968"/>
    <w:rsid w:val="009A0F57"/>
    <w:rsid w:val="009A1C94"/>
    <w:rsid w:val="009A3003"/>
    <w:rsid w:val="009A3C52"/>
    <w:rsid w:val="009A44AF"/>
    <w:rsid w:val="009A617C"/>
    <w:rsid w:val="009A69D2"/>
    <w:rsid w:val="009A7CC1"/>
    <w:rsid w:val="009B448F"/>
    <w:rsid w:val="009B4985"/>
    <w:rsid w:val="009B5F01"/>
    <w:rsid w:val="009B6FE3"/>
    <w:rsid w:val="009C0808"/>
    <w:rsid w:val="009C3037"/>
    <w:rsid w:val="009C3AE2"/>
    <w:rsid w:val="009C54F8"/>
    <w:rsid w:val="009C6019"/>
    <w:rsid w:val="009C7864"/>
    <w:rsid w:val="009D01E3"/>
    <w:rsid w:val="009D06D4"/>
    <w:rsid w:val="009D0B86"/>
    <w:rsid w:val="009D29F0"/>
    <w:rsid w:val="009E0670"/>
    <w:rsid w:val="009E0D5B"/>
    <w:rsid w:val="009E0E20"/>
    <w:rsid w:val="009E1558"/>
    <w:rsid w:val="009E3049"/>
    <w:rsid w:val="009E33B3"/>
    <w:rsid w:val="009E4904"/>
    <w:rsid w:val="009E5233"/>
    <w:rsid w:val="009E658D"/>
    <w:rsid w:val="009F35B8"/>
    <w:rsid w:val="009F41F3"/>
    <w:rsid w:val="009F6FF9"/>
    <w:rsid w:val="009F70F2"/>
    <w:rsid w:val="00A02520"/>
    <w:rsid w:val="00A0254E"/>
    <w:rsid w:val="00A0281A"/>
    <w:rsid w:val="00A030CA"/>
    <w:rsid w:val="00A0391D"/>
    <w:rsid w:val="00A04A71"/>
    <w:rsid w:val="00A07380"/>
    <w:rsid w:val="00A107A2"/>
    <w:rsid w:val="00A10DC7"/>
    <w:rsid w:val="00A11181"/>
    <w:rsid w:val="00A13531"/>
    <w:rsid w:val="00A13B57"/>
    <w:rsid w:val="00A14DF4"/>
    <w:rsid w:val="00A173FA"/>
    <w:rsid w:val="00A17C71"/>
    <w:rsid w:val="00A20C59"/>
    <w:rsid w:val="00A20D47"/>
    <w:rsid w:val="00A21B36"/>
    <w:rsid w:val="00A21C69"/>
    <w:rsid w:val="00A221FD"/>
    <w:rsid w:val="00A2262E"/>
    <w:rsid w:val="00A23322"/>
    <w:rsid w:val="00A25413"/>
    <w:rsid w:val="00A256B9"/>
    <w:rsid w:val="00A27E5E"/>
    <w:rsid w:val="00A30681"/>
    <w:rsid w:val="00A32643"/>
    <w:rsid w:val="00A32AB5"/>
    <w:rsid w:val="00A33D0D"/>
    <w:rsid w:val="00A343B7"/>
    <w:rsid w:val="00A34705"/>
    <w:rsid w:val="00A35796"/>
    <w:rsid w:val="00A35973"/>
    <w:rsid w:val="00A4078E"/>
    <w:rsid w:val="00A42898"/>
    <w:rsid w:val="00A42FBE"/>
    <w:rsid w:val="00A51037"/>
    <w:rsid w:val="00A51550"/>
    <w:rsid w:val="00A51C07"/>
    <w:rsid w:val="00A54245"/>
    <w:rsid w:val="00A5483D"/>
    <w:rsid w:val="00A54916"/>
    <w:rsid w:val="00A55EE9"/>
    <w:rsid w:val="00A64737"/>
    <w:rsid w:val="00A64CA9"/>
    <w:rsid w:val="00A70BAF"/>
    <w:rsid w:val="00A715C4"/>
    <w:rsid w:val="00A73FD0"/>
    <w:rsid w:val="00A74595"/>
    <w:rsid w:val="00A80000"/>
    <w:rsid w:val="00A83A9E"/>
    <w:rsid w:val="00A840FA"/>
    <w:rsid w:val="00A84655"/>
    <w:rsid w:val="00A85911"/>
    <w:rsid w:val="00A861FC"/>
    <w:rsid w:val="00A904B3"/>
    <w:rsid w:val="00A9094F"/>
    <w:rsid w:val="00A915B8"/>
    <w:rsid w:val="00A92F08"/>
    <w:rsid w:val="00A937D0"/>
    <w:rsid w:val="00A9491A"/>
    <w:rsid w:val="00A94A1C"/>
    <w:rsid w:val="00A959C2"/>
    <w:rsid w:val="00AA55EB"/>
    <w:rsid w:val="00AB091F"/>
    <w:rsid w:val="00AB4609"/>
    <w:rsid w:val="00AB4EA3"/>
    <w:rsid w:val="00AB5BCC"/>
    <w:rsid w:val="00AB6ACE"/>
    <w:rsid w:val="00AB6C54"/>
    <w:rsid w:val="00AC2E52"/>
    <w:rsid w:val="00AC4C50"/>
    <w:rsid w:val="00AC5348"/>
    <w:rsid w:val="00AC5A3A"/>
    <w:rsid w:val="00AC6FC9"/>
    <w:rsid w:val="00AD02B6"/>
    <w:rsid w:val="00AD0C96"/>
    <w:rsid w:val="00AD2C88"/>
    <w:rsid w:val="00AD44F9"/>
    <w:rsid w:val="00AD4DA7"/>
    <w:rsid w:val="00AD4FEE"/>
    <w:rsid w:val="00AD68FF"/>
    <w:rsid w:val="00AD7D19"/>
    <w:rsid w:val="00AD7E5B"/>
    <w:rsid w:val="00AE041D"/>
    <w:rsid w:val="00AE1812"/>
    <w:rsid w:val="00AF20EB"/>
    <w:rsid w:val="00AF2966"/>
    <w:rsid w:val="00AF2E76"/>
    <w:rsid w:val="00AF452E"/>
    <w:rsid w:val="00AF61EB"/>
    <w:rsid w:val="00AF773E"/>
    <w:rsid w:val="00B07368"/>
    <w:rsid w:val="00B0761B"/>
    <w:rsid w:val="00B07F36"/>
    <w:rsid w:val="00B1065A"/>
    <w:rsid w:val="00B10ED7"/>
    <w:rsid w:val="00B124CB"/>
    <w:rsid w:val="00B15638"/>
    <w:rsid w:val="00B17216"/>
    <w:rsid w:val="00B17FB1"/>
    <w:rsid w:val="00B21C26"/>
    <w:rsid w:val="00B2327C"/>
    <w:rsid w:val="00B235D8"/>
    <w:rsid w:val="00B27E36"/>
    <w:rsid w:val="00B31663"/>
    <w:rsid w:val="00B3185A"/>
    <w:rsid w:val="00B32365"/>
    <w:rsid w:val="00B33F70"/>
    <w:rsid w:val="00B34C7A"/>
    <w:rsid w:val="00B359F0"/>
    <w:rsid w:val="00B405E2"/>
    <w:rsid w:val="00B4148E"/>
    <w:rsid w:val="00B4365F"/>
    <w:rsid w:val="00B44729"/>
    <w:rsid w:val="00B46131"/>
    <w:rsid w:val="00B4783F"/>
    <w:rsid w:val="00B50142"/>
    <w:rsid w:val="00B513A5"/>
    <w:rsid w:val="00B51C39"/>
    <w:rsid w:val="00B528E7"/>
    <w:rsid w:val="00B53150"/>
    <w:rsid w:val="00B55823"/>
    <w:rsid w:val="00B61F4D"/>
    <w:rsid w:val="00B642D6"/>
    <w:rsid w:val="00B6550F"/>
    <w:rsid w:val="00B66667"/>
    <w:rsid w:val="00B66AD4"/>
    <w:rsid w:val="00B670F5"/>
    <w:rsid w:val="00B708F8"/>
    <w:rsid w:val="00B741D5"/>
    <w:rsid w:val="00B76070"/>
    <w:rsid w:val="00B778D5"/>
    <w:rsid w:val="00B8138D"/>
    <w:rsid w:val="00B82FA5"/>
    <w:rsid w:val="00B83D37"/>
    <w:rsid w:val="00B83FC1"/>
    <w:rsid w:val="00B8413D"/>
    <w:rsid w:val="00B84FFF"/>
    <w:rsid w:val="00B852C3"/>
    <w:rsid w:val="00B90E1E"/>
    <w:rsid w:val="00B9148E"/>
    <w:rsid w:val="00B936BF"/>
    <w:rsid w:val="00B940D8"/>
    <w:rsid w:val="00B95230"/>
    <w:rsid w:val="00BA0194"/>
    <w:rsid w:val="00BA0388"/>
    <w:rsid w:val="00BA0FBA"/>
    <w:rsid w:val="00BA146D"/>
    <w:rsid w:val="00BA3DEB"/>
    <w:rsid w:val="00BA5B9D"/>
    <w:rsid w:val="00BA6B82"/>
    <w:rsid w:val="00BA7534"/>
    <w:rsid w:val="00BA76EB"/>
    <w:rsid w:val="00BB0BFF"/>
    <w:rsid w:val="00BB65A1"/>
    <w:rsid w:val="00BC035C"/>
    <w:rsid w:val="00BC1837"/>
    <w:rsid w:val="00BC3C16"/>
    <w:rsid w:val="00BC59D6"/>
    <w:rsid w:val="00BD1400"/>
    <w:rsid w:val="00BD201B"/>
    <w:rsid w:val="00BD5A44"/>
    <w:rsid w:val="00BD5AE4"/>
    <w:rsid w:val="00BD605C"/>
    <w:rsid w:val="00BE2907"/>
    <w:rsid w:val="00BE2A76"/>
    <w:rsid w:val="00BE3063"/>
    <w:rsid w:val="00BE65F5"/>
    <w:rsid w:val="00BF0CC9"/>
    <w:rsid w:val="00BF11FE"/>
    <w:rsid w:val="00BF20CE"/>
    <w:rsid w:val="00BF4A0A"/>
    <w:rsid w:val="00BF740D"/>
    <w:rsid w:val="00C0354F"/>
    <w:rsid w:val="00C05A02"/>
    <w:rsid w:val="00C062FC"/>
    <w:rsid w:val="00C06E75"/>
    <w:rsid w:val="00C1095D"/>
    <w:rsid w:val="00C121FE"/>
    <w:rsid w:val="00C12627"/>
    <w:rsid w:val="00C1287B"/>
    <w:rsid w:val="00C171C7"/>
    <w:rsid w:val="00C23D12"/>
    <w:rsid w:val="00C24845"/>
    <w:rsid w:val="00C264B5"/>
    <w:rsid w:val="00C27AE8"/>
    <w:rsid w:val="00C300BA"/>
    <w:rsid w:val="00C320E8"/>
    <w:rsid w:val="00C33032"/>
    <w:rsid w:val="00C34966"/>
    <w:rsid w:val="00C40D3E"/>
    <w:rsid w:val="00C414FF"/>
    <w:rsid w:val="00C41F2E"/>
    <w:rsid w:val="00C4312B"/>
    <w:rsid w:val="00C443E3"/>
    <w:rsid w:val="00C470CE"/>
    <w:rsid w:val="00C4761A"/>
    <w:rsid w:val="00C5011A"/>
    <w:rsid w:val="00C512E7"/>
    <w:rsid w:val="00C51403"/>
    <w:rsid w:val="00C514BB"/>
    <w:rsid w:val="00C52595"/>
    <w:rsid w:val="00C55A23"/>
    <w:rsid w:val="00C56BDE"/>
    <w:rsid w:val="00C604EC"/>
    <w:rsid w:val="00C60582"/>
    <w:rsid w:val="00C65E60"/>
    <w:rsid w:val="00C71808"/>
    <w:rsid w:val="00C771EB"/>
    <w:rsid w:val="00C77FAA"/>
    <w:rsid w:val="00C813CA"/>
    <w:rsid w:val="00C82605"/>
    <w:rsid w:val="00C8442C"/>
    <w:rsid w:val="00C86E24"/>
    <w:rsid w:val="00C91B12"/>
    <w:rsid w:val="00C921C5"/>
    <w:rsid w:val="00C96589"/>
    <w:rsid w:val="00C96C80"/>
    <w:rsid w:val="00C97BD0"/>
    <w:rsid w:val="00CA052D"/>
    <w:rsid w:val="00CA05B6"/>
    <w:rsid w:val="00CA0CAE"/>
    <w:rsid w:val="00CA2ADB"/>
    <w:rsid w:val="00CA3712"/>
    <w:rsid w:val="00CA69F2"/>
    <w:rsid w:val="00CB18C9"/>
    <w:rsid w:val="00CB2CA5"/>
    <w:rsid w:val="00CB46E4"/>
    <w:rsid w:val="00CB6DFD"/>
    <w:rsid w:val="00CC0C46"/>
    <w:rsid w:val="00CC0C6D"/>
    <w:rsid w:val="00CC190B"/>
    <w:rsid w:val="00CC2EFC"/>
    <w:rsid w:val="00CC3794"/>
    <w:rsid w:val="00CC506C"/>
    <w:rsid w:val="00CC59E0"/>
    <w:rsid w:val="00CC7234"/>
    <w:rsid w:val="00CD0B86"/>
    <w:rsid w:val="00CD0BB6"/>
    <w:rsid w:val="00CD2EE0"/>
    <w:rsid w:val="00CD3451"/>
    <w:rsid w:val="00CD4049"/>
    <w:rsid w:val="00CD5B2D"/>
    <w:rsid w:val="00CD6D3F"/>
    <w:rsid w:val="00CD7F17"/>
    <w:rsid w:val="00CE220F"/>
    <w:rsid w:val="00CE2B35"/>
    <w:rsid w:val="00CE3772"/>
    <w:rsid w:val="00CE43E8"/>
    <w:rsid w:val="00CE4D99"/>
    <w:rsid w:val="00CE5A36"/>
    <w:rsid w:val="00CE5A52"/>
    <w:rsid w:val="00CE776D"/>
    <w:rsid w:val="00CF633D"/>
    <w:rsid w:val="00CF7095"/>
    <w:rsid w:val="00CF7AF3"/>
    <w:rsid w:val="00CF7F44"/>
    <w:rsid w:val="00D009C3"/>
    <w:rsid w:val="00D015A9"/>
    <w:rsid w:val="00D02B86"/>
    <w:rsid w:val="00D03E31"/>
    <w:rsid w:val="00D07C2C"/>
    <w:rsid w:val="00D11399"/>
    <w:rsid w:val="00D12036"/>
    <w:rsid w:val="00D1359C"/>
    <w:rsid w:val="00D13CF0"/>
    <w:rsid w:val="00D16008"/>
    <w:rsid w:val="00D165B8"/>
    <w:rsid w:val="00D17226"/>
    <w:rsid w:val="00D20660"/>
    <w:rsid w:val="00D26ADA"/>
    <w:rsid w:val="00D34ABD"/>
    <w:rsid w:val="00D34D75"/>
    <w:rsid w:val="00D35A78"/>
    <w:rsid w:val="00D36D57"/>
    <w:rsid w:val="00D4299D"/>
    <w:rsid w:val="00D44DBD"/>
    <w:rsid w:val="00D45677"/>
    <w:rsid w:val="00D459A9"/>
    <w:rsid w:val="00D50BD4"/>
    <w:rsid w:val="00D5161F"/>
    <w:rsid w:val="00D5523A"/>
    <w:rsid w:val="00D555A1"/>
    <w:rsid w:val="00D55D78"/>
    <w:rsid w:val="00D55ECB"/>
    <w:rsid w:val="00D565BC"/>
    <w:rsid w:val="00D56D2D"/>
    <w:rsid w:val="00D56F35"/>
    <w:rsid w:val="00D578C2"/>
    <w:rsid w:val="00D60315"/>
    <w:rsid w:val="00D60FB1"/>
    <w:rsid w:val="00D62248"/>
    <w:rsid w:val="00D63F25"/>
    <w:rsid w:val="00D64DC2"/>
    <w:rsid w:val="00D673F8"/>
    <w:rsid w:val="00D70705"/>
    <w:rsid w:val="00D70FDB"/>
    <w:rsid w:val="00D72B17"/>
    <w:rsid w:val="00D73DB6"/>
    <w:rsid w:val="00D75A8F"/>
    <w:rsid w:val="00D80B72"/>
    <w:rsid w:val="00D8397F"/>
    <w:rsid w:val="00D85E70"/>
    <w:rsid w:val="00D87387"/>
    <w:rsid w:val="00D909C8"/>
    <w:rsid w:val="00D920D5"/>
    <w:rsid w:val="00D95492"/>
    <w:rsid w:val="00D957EB"/>
    <w:rsid w:val="00DA2ECD"/>
    <w:rsid w:val="00DA32AC"/>
    <w:rsid w:val="00DA46CA"/>
    <w:rsid w:val="00DA772D"/>
    <w:rsid w:val="00DB67FC"/>
    <w:rsid w:val="00DC1AD8"/>
    <w:rsid w:val="00DD1D92"/>
    <w:rsid w:val="00DD3089"/>
    <w:rsid w:val="00DD3213"/>
    <w:rsid w:val="00DD5B36"/>
    <w:rsid w:val="00DD6D7C"/>
    <w:rsid w:val="00DD78A4"/>
    <w:rsid w:val="00DD7DC0"/>
    <w:rsid w:val="00DE1D9C"/>
    <w:rsid w:val="00DE1EB9"/>
    <w:rsid w:val="00DE2D8E"/>
    <w:rsid w:val="00DE6447"/>
    <w:rsid w:val="00DE6D16"/>
    <w:rsid w:val="00DE72A6"/>
    <w:rsid w:val="00DE7701"/>
    <w:rsid w:val="00DF0533"/>
    <w:rsid w:val="00DF21EB"/>
    <w:rsid w:val="00DF2205"/>
    <w:rsid w:val="00DF3118"/>
    <w:rsid w:val="00DF5E24"/>
    <w:rsid w:val="00DF757B"/>
    <w:rsid w:val="00E015F7"/>
    <w:rsid w:val="00E02D9A"/>
    <w:rsid w:val="00E03226"/>
    <w:rsid w:val="00E07246"/>
    <w:rsid w:val="00E15603"/>
    <w:rsid w:val="00E15900"/>
    <w:rsid w:val="00E16181"/>
    <w:rsid w:val="00E20841"/>
    <w:rsid w:val="00E20E70"/>
    <w:rsid w:val="00E22B4A"/>
    <w:rsid w:val="00E22D7E"/>
    <w:rsid w:val="00E24A60"/>
    <w:rsid w:val="00E25971"/>
    <w:rsid w:val="00E25B68"/>
    <w:rsid w:val="00E30CFE"/>
    <w:rsid w:val="00E32DD0"/>
    <w:rsid w:val="00E335AD"/>
    <w:rsid w:val="00E33CF8"/>
    <w:rsid w:val="00E3586B"/>
    <w:rsid w:val="00E36E4A"/>
    <w:rsid w:val="00E40A5C"/>
    <w:rsid w:val="00E40D2D"/>
    <w:rsid w:val="00E4239D"/>
    <w:rsid w:val="00E461C7"/>
    <w:rsid w:val="00E46885"/>
    <w:rsid w:val="00E47E8C"/>
    <w:rsid w:val="00E50458"/>
    <w:rsid w:val="00E51453"/>
    <w:rsid w:val="00E57B55"/>
    <w:rsid w:val="00E57D94"/>
    <w:rsid w:val="00E60E15"/>
    <w:rsid w:val="00E63943"/>
    <w:rsid w:val="00E66659"/>
    <w:rsid w:val="00E703E2"/>
    <w:rsid w:val="00E70C68"/>
    <w:rsid w:val="00E718ED"/>
    <w:rsid w:val="00E7203B"/>
    <w:rsid w:val="00E723D5"/>
    <w:rsid w:val="00E73978"/>
    <w:rsid w:val="00E74A0D"/>
    <w:rsid w:val="00E76208"/>
    <w:rsid w:val="00E80EB9"/>
    <w:rsid w:val="00E84003"/>
    <w:rsid w:val="00E86624"/>
    <w:rsid w:val="00E872A4"/>
    <w:rsid w:val="00E905BD"/>
    <w:rsid w:val="00E92179"/>
    <w:rsid w:val="00E94462"/>
    <w:rsid w:val="00E95A52"/>
    <w:rsid w:val="00E968A2"/>
    <w:rsid w:val="00E96B28"/>
    <w:rsid w:val="00EA259A"/>
    <w:rsid w:val="00EA3D45"/>
    <w:rsid w:val="00EA7F9C"/>
    <w:rsid w:val="00EB39BB"/>
    <w:rsid w:val="00EB42B9"/>
    <w:rsid w:val="00EC10FC"/>
    <w:rsid w:val="00EC2B1B"/>
    <w:rsid w:val="00EC2B62"/>
    <w:rsid w:val="00EC2FEC"/>
    <w:rsid w:val="00EC4D4F"/>
    <w:rsid w:val="00ED186C"/>
    <w:rsid w:val="00ED1EB6"/>
    <w:rsid w:val="00ED2BE8"/>
    <w:rsid w:val="00EE0041"/>
    <w:rsid w:val="00EE12C8"/>
    <w:rsid w:val="00EE29B9"/>
    <w:rsid w:val="00EE675D"/>
    <w:rsid w:val="00EE6764"/>
    <w:rsid w:val="00EE7533"/>
    <w:rsid w:val="00EF5604"/>
    <w:rsid w:val="00EF5FE1"/>
    <w:rsid w:val="00EF7505"/>
    <w:rsid w:val="00F004EE"/>
    <w:rsid w:val="00F00A12"/>
    <w:rsid w:val="00F04C7F"/>
    <w:rsid w:val="00F103A8"/>
    <w:rsid w:val="00F12E56"/>
    <w:rsid w:val="00F1553D"/>
    <w:rsid w:val="00F1699E"/>
    <w:rsid w:val="00F201A9"/>
    <w:rsid w:val="00F207B8"/>
    <w:rsid w:val="00F24AEE"/>
    <w:rsid w:val="00F27A96"/>
    <w:rsid w:val="00F40401"/>
    <w:rsid w:val="00F40CB0"/>
    <w:rsid w:val="00F41594"/>
    <w:rsid w:val="00F42E23"/>
    <w:rsid w:val="00F449F3"/>
    <w:rsid w:val="00F45EEE"/>
    <w:rsid w:val="00F51E9C"/>
    <w:rsid w:val="00F523CA"/>
    <w:rsid w:val="00F53EBA"/>
    <w:rsid w:val="00F56821"/>
    <w:rsid w:val="00F571FF"/>
    <w:rsid w:val="00F57595"/>
    <w:rsid w:val="00F609B9"/>
    <w:rsid w:val="00F63750"/>
    <w:rsid w:val="00F64754"/>
    <w:rsid w:val="00F64EB4"/>
    <w:rsid w:val="00F67714"/>
    <w:rsid w:val="00F74A9D"/>
    <w:rsid w:val="00F8138D"/>
    <w:rsid w:val="00F81C25"/>
    <w:rsid w:val="00F8317D"/>
    <w:rsid w:val="00F8716D"/>
    <w:rsid w:val="00F90B87"/>
    <w:rsid w:val="00F91BB6"/>
    <w:rsid w:val="00F92863"/>
    <w:rsid w:val="00F92CAB"/>
    <w:rsid w:val="00F955D3"/>
    <w:rsid w:val="00F96D1F"/>
    <w:rsid w:val="00FA0925"/>
    <w:rsid w:val="00FA21A3"/>
    <w:rsid w:val="00FA4E80"/>
    <w:rsid w:val="00FA5C57"/>
    <w:rsid w:val="00FA5FAC"/>
    <w:rsid w:val="00FB0C7C"/>
    <w:rsid w:val="00FB309E"/>
    <w:rsid w:val="00FB3409"/>
    <w:rsid w:val="00FB45F3"/>
    <w:rsid w:val="00FC23D1"/>
    <w:rsid w:val="00FC337E"/>
    <w:rsid w:val="00FC4773"/>
    <w:rsid w:val="00FC4B5A"/>
    <w:rsid w:val="00FC4EAD"/>
    <w:rsid w:val="00FC526D"/>
    <w:rsid w:val="00FC6F13"/>
    <w:rsid w:val="00FD22D1"/>
    <w:rsid w:val="00FD26B3"/>
    <w:rsid w:val="00FD2C1E"/>
    <w:rsid w:val="00FD2E1F"/>
    <w:rsid w:val="00FD4F23"/>
    <w:rsid w:val="00FD5303"/>
    <w:rsid w:val="00FD6A19"/>
    <w:rsid w:val="00FE1521"/>
    <w:rsid w:val="00FE1D2D"/>
    <w:rsid w:val="00FE2025"/>
    <w:rsid w:val="00FE491F"/>
    <w:rsid w:val="00FE6107"/>
    <w:rsid w:val="00FF031A"/>
    <w:rsid w:val="00FF07D5"/>
    <w:rsid w:val="00FF386F"/>
    <w:rsid w:val="00FF4A6D"/>
    <w:rsid w:val="00FF4B71"/>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FFAC"/>
  <w15:docId w15:val="{18852BA3-5101-4785-A684-5CE29280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Strong" w:uiPriority="22"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Overskrift1">
    <w:name w:val="heading 1"/>
    <w:aliases w:val="Paper title"/>
    <w:next w:val="Undertittel"/>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Overskrift2">
    <w:name w:val="heading 2"/>
    <w:aliases w:val="1st level paper heading"/>
    <w:next w:val="Brdteks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Overskrift3">
    <w:name w:val="heading 3"/>
    <w:aliases w:val="2nd level paper heading"/>
    <w:next w:val="Brdtekst"/>
    <w:uiPriority w:val="4"/>
    <w:qFormat/>
    <w:rsid w:val="00897ED5"/>
    <w:pPr>
      <w:widowControl w:val="0"/>
      <w:numPr>
        <w:ilvl w:val="2"/>
        <w:numId w:val="12"/>
      </w:numPr>
      <w:spacing w:before="240" w:after="240" w:line="240" w:lineRule="exact"/>
      <w:outlineLvl w:val="2"/>
    </w:pPr>
    <w:rPr>
      <w:b/>
      <w:lang w:eastAsia="en-US"/>
    </w:rPr>
  </w:style>
  <w:style w:type="paragraph" w:styleId="Overskrift4">
    <w:name w:val="heading 4"/>
    <w:aliases w:val="3rd level paper heading"/>
    <w:basedOn w:val="Normal"/>
    <w:next w:val="Brdteks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Overskrift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Overskrift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Overskrift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Overskrift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Overskrift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link w:val="BrdtekstTegn"/>
    <w:qFormat/>
    <w:rsid w:val="00647F33"/>
    <w:pPr>
      <w:spacing w:line="260" w:lineRule="atLeast"/>
      <w:ind w:firstLine="567"/>
      <w:contextualSpacing/>
      <w:jc w:val="both"/>
    </w:pPr>
    <w:rPr>
      <w:lang w:eastAsia="en-US"/>
    </w:rPr>
  </w:style>
  <w:style w:type="paragraph" w:styleId="Brdtekstinnrykk">
    <w:name w:val="Body Text Indent"/>
    <w:basedOn w:val="Brdtekst"/>
    <w:uiPriority w:val="49"/>
    <w:locked/>
    <w:pPr>
      <w:ind w:left="1134" w:hanging="675"/>
    </w:pPr>
  </w:style>
  <w:style w:type="paragraph" w:customStyle="1" w:styleId="BodyTextMultiline">
    <w:name w:val="Body Text Multiline"/>
    <w:basedOn w:val="Brdteks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Bildetekst">
    <w:name w:val="caption"/>
    <w:next w:val="Normal"/>
    <w:uiPriority w:val="49"/>
    <w:pPr>
      <w:spacing w:after="85"/>
    </w:pPr>
    <w:rPr>
      <w:bCs/>
      <w:sz w:val="18"/>
      <w:lang w:val="en-US" w:eastAsia="en-US"/>
    </w:rPr>
  </w:style>
  <w:style w:type="paragraph" w:styleId="Bunntekst">
    <w:name w:val="footer"/>
    <w:basedOn w:val="Normal"/>
    <w:link w:val="BunntekstTegn"/>
    <w:uiPriority w:val="99"/>
    <w:locked/>
    <w:pPr>
      <w:overflowPunct/>
      <w:autoSpaceDE/>
      <w:autoSpaceDN/>
      <w:adjustRightInd/>
      <w:textAlignment w:val="auto"/>
    </w:pPr>
    <w:rPr>
      <w:sz w:val="2"/>
      <w:lang w:val="en-US"/>
    </w:rPr>
  </w:style>
  <w:style w:type="paragraph" w:styleId="Fotnotetekst">
    <w:name w:val="footnote text"/>
    <w:semiHidden/>
    <w:locked/>
    <w:pPr>
      <w:tabs>
        <w:tab w:val="left" w:pos="459"/>
      </w:tabs>
      <w:spacing w:before="142"/>
      <w:ind w:left="459"/>
      <w:jc w:val="both"/>
    </w:pPr>
    <w:rPr>
      <w:sz w:val="18"/>
      <w:lang w:eastAsia="en-US"/>
    </w:rPr>
  </w:style>
  <w:style w:type="paragraph" w:styleId="Topptekst">
    <w:name w:val="header"/>
    <w:next w:val="Brdteks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rdtekst"/>
    <w:uiPriority w:val="6"/>
    <w:qFormat/>
    <w:rsid w:val="00717C6F"/>
    <w:pPr>
      <w:numPr>
        <w:numId w:val="20"/>
      </w:numPr>
    </w:pPr>
  </w:style>
  <w:style w:type="paragraph" w:customStyle="1" w:styleId="ListNumbered">
    <w:name w:val="List Numbered"/>
    <w:basedOn w:val="Brdtekst"/>
    <w:uiPriority w:val="5"/>
    <w:qFormat/>
    <w:locked/>
    <w:rsid w:val="00717C6F"/>
    <w:pPr>
      <w:numPr>
        <w:numId w:val="22"/>
      </w:numPr>
    </w:pPr>
  </w:style>
  <w:style w:type="paragraph" w:styleId="Tittel">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tnotereferanse">
    <w:name w:val="footnote reference"/>
    <w:basedOn w:val="Standardskriftforavsnitt"/>
    <w:semiHidden/>
    <w:locked/>
    <w:rPr>
      <w:vertAlign w:val="superscript"/>
    </w:rPr>
  </w:style>
  <w:style w:type="paragraph" w:styleId="Undertittel">
    <w:name w:val="Subtitle"/>
    <w:next w:val="Brdteks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rdtekst"/>
    <w:uiPriority w:val="49"/>
    <w:locked/>
    <w:pPr>
      <w:spacing w:line="280" w:lineRule="exact"/>
      <w:jc w:val="right"/>
    </w:pPr>
    <w:rPr>
      <w:rFonts w:ascii="Arial" w:hAnsi="Arial" w:cs="Arial"/>
      <w:b/>
      <w:bCs/>
      <w:caps/>
      <w:sz w:val="24"/>
    </w:rPr>
  </w:style>
  <w:style w:type="paragraph" w:customStyle="1" w:styleId="zyxClassification2">
    <w:name w:val="zyxClassification2"/>
    <w:basedOn w:val="Bunntekst"/>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BunntekstTegn">
    <w:name w:val="Bunntekst Tegn"/>
    <w:basedOn w:val="Standardskriftforavsnitt"/>
    <w:link w:val="Bunntekst"/>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Standardskriftforavsnit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rdtekstTegn">
    <w:name w:val="Brødtekst Tegn"/>
    <w:basedOn w:val="Standardskriftforavsnitt"/>
    <w:link w:val="Brdtekst"/>
    <w:rsid w:val="00647F33"/>
    <w:rPr>
      <w:lang w:eastAsia="en-US"/>
    </w:rPr>
  </w:style>
  <w:style w:type="character" w:customStyle="1" w:styleId="AuthornameandaffiliationChar">
    <w:name w:val="Author name and affiliation Char"/>
    <w:basedOn w:val="BrdtekstTegn"/>
    <w:link w:val="Authornameandaffiliation"/>
    <w:uiPriority w:val="49"/>
    <w:rsid w:val="00647F33"/>
    <w:rPr>
      <w:lang w:val="en-US" w:eastAsia="en-US"/>
    </w:rPr>
  </w:style>
  <w:style w:type="table" w:styleId="Tabellrutenett">
    <w:name w:val="Table Grid"/>
    <w:basedOn w:val="Vanligtabel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obletekst">
    <w:name w:val="Balloon Text"/>
    <w:basedOn w:val="Normal"/>
    <w:link w:val="BobletekstTegn"/>
    <w:uiPriority w:val="49"/>
    <w:locked/>
    <w:rsid w:val="005F00A0"/>
    <w:rPr>
      <w:rFonts w:ascii="Tahoma" w:hAnsi="Tahoma" w:cs="Tahoma"/>
      <w:sz w:val="16"/>
      <w:szCs w:val="16"/>
    </w:rPr>
  </w:style>
  <w:style w:type="character" w:customStyle="1" w:styleId="BobletekstTegn">
    <w:name w:val="Bobletekst Tegn"/>
    <w:basedOn w:val="Standardskriftforavsnitt"/>
    <w:link w:val="Bobletekst"/>
    <w:uiPriority w:val="49"/>
    <w:rsid w:val="005F00A0"/>
    <w:rPr>
      <w:rFonts w:ascii="Tahoma" w:hAnsi="Tahoma" w:cs="Tahoma"/>
      <w:sz w:val="16"/>
      <w:szCs w:val="16"/>
      <w:lang w:eastAsia="en-US"/>
    </w:rPr>
  </w:style>
  <w:style w:type="paragraph" w:customStyle="1" w:styleId="Figurecaption">
    <w:name w:val="Figure caption"/>
    <w:basedOn w:val="Brdtekst"/>
    <w:link w:val="FigurecaptionChar"/>
    <w:uiPriority w:val="49"/>
    <w:qFormat/>
    <w:locked/>
    <w:rsid w:val="00717C6F"/>
    <w:pPr>
      <w:jc w:val="center"/>
    </w:pPr>
    <w:rPr>
      <w:i/>
      <w:sz w:val="18"/>
    </w:rPr>
  </w:style>
  <w:style w:type="paragraph" w:customStyle="1" w:styleId="Otherunnumberedheadings">
    <w:name w:val="Other unnumbered headings"/>
    <w:next w:val="Brdteks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rdtekstTegn"/>
    <w:link w:val="Figurecaption"/>
    <w:uiPriority w:val="49"/>
    <w:rsid w:val="00717C6F"/>
    <w:rPr>
      <w:i/>
      <w:sz w:val="18"/>
      <w:lang w:eastAsia="en-US"/>
    </w:rPr>
  </w:style>
  <w:style w:type="paragraph" w:customStyle="1" w:styleId="Referencelist">
    <w:name w:val="Reference list"/>
    <w:basedOn w:val="Brdteks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rdtekstTegn"/>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rdtekstTegn"/>
    <w:link w:val="Referencelist"/>
    <w:uiPriority w:val="49"/>
    <w:rsid w:val="009E0D5B"/>
    <w:rPr>
      <w:sz w:val="18"/>
      <w:szCs w:val="18"/>
      <w:lang w:eastAsia="en-US"/>
    </w:rPr>
  </w:style>
  <w:style w:type="paragraph" w:customStyle="1" w:styleId="Tabletext">
    <w:name w:val="Table text"/>
    <w:basedOn w:val="Brdtekst"/>
    <w:link w:val="TabletextChar"/>
    <w:uiPriority w:val="49"/>
    <w:qFormat/>
    <w:rsid w:val="00883848"/>
    <w:pPr>
      <w:ind w:firstLine="0"/>
    </w:pPr>
  </w:style>
  <w:style w:type="character" w:customStyle="1" w:styleId="TabletextChar">
    <w:name w:val="Table text Char"/>
    <w:basedOn w:val="BrdtekstTegn"/>
    <w:link w:val="Tabletext"/>
    <w:uiPriority w:val="49"/>
    <w:rsid w:val="00883848"/>
    <w:rPr>
      <w:lang w:eastAsia="en-US"/>
    </w:rPr>
  </w:style>
  <w:style w:type="character" w:styleId="Merknadsreferanse">
    <w:name w:val="annotation reference"/>
    <w:basedOn w:val="Standardskriftforavsnitt"/>
    <w:uiPriority w:val="49"/>
    <w:locked/>
    <w:rsid w:val="0002754A"/>
    <w:rPr>
      <w:sz w:val="16"/>
      <w:szCs w:val="16"/>
    </w:rPr>
  </w:style>
  <w:style w:type="paragraph" w:styleId="Merknadstekst">
    <w:name w:val="annotation text"/>
    <w:basedOn w:val="Normal"/>
    <w:link w:val="MerknadstekstTegn"/>
    <w:uiPriority w:val="49"/>
    <w:locked/>
    <w:rsid w:val="0002754A"/>
    <w:rPr>
      <w:sz w:val="20"/>
    </w:rPr>
  </w:style>
  <w:style w:type="character" w:customStyle="1" w:styleId="MerknadstekstTegn">
    <w:name w:val="Merknadstekst Tegn"/>
    <w:basedOn w:val="Standardskriftforavsnitt"/>
    <w:link w:val="Merknadstekst"/>
    <w:uiPriority w:val="49"/>
    <w:rsid w:val="0002754A"/>
    <w:rPr>
      <w:lang w:eastAsia="en-US"/>
    </w:rPr>
  </w:style>
  <w:style w:type="paragraph" w:styleId="Kommentaremne">
    <w:name w:val="annotation subject"/>
    <w:basedOn w:val="Merknadstekst"/>
    <w:next w:val="Merknadstekst"/>
    <w:link w:val="KommentaremneTegn"/>
    <w:uiPriority w:val="49"/>
    <w:locked/>
    <w:rsid w:val="0002754A"/>
    <w:rPr>
      <w:b/>
      <w:bCs/>
    </w:rPr>
  </w:style>
  <w:style w:type="character" w:customStyle="1" w:styleId="KommentaremneTegn">
    <w:name w:val="Kommentaremne Tegn"/>
    <w:basedOn w:val="MerknadstekstTegn"/>
    <w:link w:val="Kommentaremne"/>
    <w:uiPriority w:val="49"/>
    <w:rsid w:val="0002754A"/>
    <w:rPr>
      <w:b/>
      <w:bCs/>
      <w:lang w:eastAsia="en-US"/>
    </w:rPr>
  </w:style>
  <w:style w:type="character" w:styleId="Hyperkobling">
    <w:name w:val="Hyperlink"/>
    <w:basedOn w:val="Standardskriftforavsnitt"/>
    <w:uiPriority w:val="99"/>
    <w:locked/>
    <w:rsid w:val="001C6229"/>
    <w:rPr>
      <w:color w:val="0000FF" w:themeColor="hyperlink"/>
      <w:u w:val="single"/>
    </w:rPr>
  </w:style>
  <w:style w:type="character" w:styleId="Ulstomtale">
    <w:name w:val="Unresolved Mention"/>
    <w:basedOn w:val="Standardskriftforavsnitt"/>
    <w:uiPriority w:val="99"/>
    <w:semiHidden/>
    <w:unhideWhenUsed/>
    <w:rsid w:val="001C6229"/>
    <w:rPr>
      <w:color w:val="605E5C"/>
      <w:shd w:val="clear" w:color="auto" w:fill="E1DFDD"/>
    </w:rPr>
  </w:style>
  <w:style w:type="paragraph" w:customStyle="1" w:styleId="Default">
    <w:name w:val="Default"/>
    <w:rsid w:val="000232E6"/>
    <w:pPr>
      <w:autoSpaceDE w:val="0"/>
      <w:autoSpaceDN w:val="0"/>
      <w:adjustRightInd w:val="0"/>
    </w:pPr>
    <w:rPr>
      <w:rFonts w:ascii="Calibri" w:hAnsi="Calibri" w:cs="Calibri"/>
      <w:color w:val="000000"/>
      <w:sz w:val="24"/>
      <w:szCs w:val="24"/>
      <w:lang w:val="nb-NO"/>
    </w:rPr>
  </w:style>
  <w:style w:type="paragraph" w:styleId="NormalWeb">
    <w:name w:val="Normal (Web)"/>
    <w:basedOn w:val="Normal"/>
    <w:uiPriority w:val="99"/>
    <w:unhideWhenUsed/>
    <w:locked/>
    <w:rsid w:val="00A94A1C"/>
    <w:pPr>
      <w:overflowPunct/>
      <w:autoSpaceDE/>
      <w:autoSpaceDN/>
      <w:adjustRightInd/>
      <w:spacing w:before="100" w:beforeAutospacing="1" w:after="100" w:afterAutospacing="1"/>
      <w:textAlignment w:val="auto"/>
    </w:pPr>
    <w:rPr>
      <w:sz w:val="24"/>
      <w:szCs w:val="24"/>
      <w:lang w:val="nb-NO" w:eastAsia="nb-NO"/>
    </w:rPr>
  </w:style>
  <w:style w:type="character" w:customStyle="1" w:styleId="text-token-text-secondary">
    <w:name w:val="text-token-text-secondary"/>
    <w:basedOn w:val="Standardskriftforavsnitt"/>
    <w:rsid w:val="00A94A1C"/>
  </w:style>
  <w:style w:type="character" w:styleId="Sterk">
    <w:name w:val="Strong"/>
    <w:basedOn w:val="Standardskriftforavsnitt"/>
    <w:uiPriority w:val="22"/>
    <w:qFormat/>
    <w:locked/>
    <w:rsid w:val="00945047"/>
    <w:rPr>
      <w:b/>
      <w:bCs/>
    </w:rPr>
  </w:style>
  <w:style w:type="character" w:customStyle="1" w:styleId="cf01">
    <w:name w:val="cf01"/>
    <w:basedOn w:val="Standardskriftforavsnitt"/>
    <w:rsid w:val="001536A6"/>
    <w:rPr>
      <w:rFonts w:ascii="Segoe UI" w:hAnsi="Segoe UI" w:cs="Segoe UI" w:hint="default"/>
      <w:sz w:val="18"/>
      <w:szCs w:val="18"/>
    </w:rPr>
  </w:style>
  <w:style w:type="paragraph" w:styleId="Revisjon">
    <w:name w:val="Revision"/>
    <w:hidden/>
    <w:uiPriority w:val="99"/>
    <w:semiHidden/>
    <w:rsid w:val="001A6E9B"/>
    <w:rPr>
      <w:sz w:val="22"/>
      <w:lang w:eastAsia="en-US"/>
    </w:rPr>
  </w:style>
  <w:style w:type="character" w:styleId="Fulgthyperkobling">
    <w:name w:val="FollowedHyperlink"/>
    <w:basedOn w:val="Standardskriftforavsnitt"/>
    <w:uiPriority w:val="49"/>
    <w:locked/>
    <w:rsid w:val="00B76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331">
      <w:bodyDiv w:val="1"/>
      <w:marLeft w:val="0"/>
      <w:marRight w:val="0"/>
      <w:marTop w:val="0"/>
      <w:marBottom w:val="0"/>
      <w:divBdr>
        <w:top w:val="none" w:sz="0" w:space="0" w:color="auto"/>
        <w:left w:val="none" w:sz="0" w:space="0" w:color="auto"/>
        <w:bottom w:val="none" w:sz="0" w:space="0" w:color="auto"/>
        <w:right w:val="none" w:sz="0" w:space="0" w:color="auto"/>
      </w:divBdr>
    </w:div>
    <w:div w:id="179202320">
      <w:bodyDiv w:val="1"/>
      <w:marLeft w:val="0"/>
      <w:marRight w:val="0"/>
      <w:marTop w:val="0"/>
      <w:marBottom w:val="0"/>
      <w:divBdr>
        <w:top w:val="none" w:sz="0" w:space="0" w:color="auto"/>
        <w:left w:val="none" w:sz="0" w:space="0" w:color="auto"/>
        <w:bottom w:val="none" w:sz="0" w:space="0" w:color="auto"/>
        <w:right w:val="none" w:sz="0" w:space="0" w:color="auto"/>
      </w:divBdr>
      <w:divsChild>
        <w:div w:id="1285572800">
          <w:marLeft w:val="0"/>
          <w:marRight w:val="0"/>
          <w:marTop w:val="0"/>
          <w:marBottom w:val="0"/>
          <w:divBdr>
            <w:top w:val="none" w:sz="0" w:space="0" w:color="auto"/>
            <w:left w:val="none" w:sz="0" w:space="0" w:color="auto"/>
            <w:bottom w:val="none" w:sz="0" w:space="0" w:color="auto"/>
            <w:right w:val="none" w:sz="0" w:space="0" w:color="auto"/>
          </w:divBdr>
          <w:divsChild>
            <w:div w:id="218521859">
              <w:marLeft w:val="0"/>
              <w:marRight w:val="0"/>
              <w:marTop w:val="0"/>
              <w:marBottom w:val="0"/>
              <w:divBdr>
                <w:top w:val="none" w:sz="0" w:space="0" w:color="auto"/>
                <w:left w:val="none" w:sz="0" w:space="0" w:color="auto"/>
                <w:bottom w:val="none" w:sz="0" w:space="0" w:color="auto"/>
                <w:right w:val="none" w:sz="0" w:space="0" w:color="auto"/>
              </w:divBdr>
              <w:divsChild>
                <w:div w:id="1892576901">
                  <w:marLeft w:val="0"/>
                  <w:marRight w:val="0"/>
                  <w:marTop w:val="0"/>
                  <w:marBottom w:val="0"/>
                  <w:divBdr>
                    <w:top w:val="none" w:sz="0" w:space="0" w:color="auto"/>
                    <w:left w:val="none" w:sz="0" w:space="0" w:color="auto"/>
                    <w:bottom w:val="none" w:sz="0" w:space="0" w:color="auto"/>
                    <w:right w:val="none" w:sz="0" w:space="0" w:color="auto"/>
                  </w:divBdr>
                  <w:divsChild>
                    <w:div w:id="1538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7326">
      <w:bodyDiv w:val="1"/>
      <w:marLeft w:val="0"/>
      <w:marRight w:val="0"/>
      <w:marTop w:val="0"/>
      <w:marBottom w:val="0"/>
      <w:divBdr>
        <w:top w:val="none" w:sz="0" w:space="0" w:color="auto"/>
        <w:left w:val="none" w:sz="0" w:space="0" w:color="auto"/>
        <w:bottom w:val="none" w:sz="0" w:space="0" w:color="auto"/>
        <w:right w:val="none" w:sz="0" w:space="0" w:color="auto"/>
      </w:divBdr>
    </w:div>
    <w:div w:id="302345369">
      <w:bodyDiv w:val="1"/>
      <w:marLeft w:val="0"/>
      <w:marRight w:val="0"/>
      <w:marTop w:val="0"/>
      <w:marBottom w:val="0"/>
      <w:divBdr>
        <w:top w:val="none" w:sz="0" w:space="0" w:color="auto"/>
        <w:left w:val="none" w:sz="0" w:space="0" w:color="auto"/>
        <w:bottom w:val="none" w:sz="0" w:space="0" w:color="auto"/>
        <w:right w:val="none" w:sz="0" w:space="0" w:color="auto"/>
      </w:divBdr>
    </w:div>
    <w:div w:id="456147653">
      <w:bodyDiv w:val="1"/>
      <w:marLeft w:val="0"/>
      <w:marRight w:val="0"/>
      <w:marTop w:val="0"/>
      <w:marBottom w:val="0"/>
      <w:divBdr>
        <w:top w:val="none" w:sz="0" w:space="0" w:color="auto"/>
        <w:left w:val="none" w:sz="0" w:space="0" w:color="auto"/>
        <w:bottom w:val="none" w:sz="0" w:space="0" w:color="auto"/>
        <w:right w:val="none" w:sz="0" w:space="0" w:color="auto"/>
      </w:divBdr>
    </w:div>
    <w:div w:id="829250764">
      <w:bodyDiv w:val="1"/>
      <w:marLeft w:val="0"/>
      <w:marRight w:val="0"/>
      <w:marTop w:val="0"/>
      <w:marBottom w:val="0"/>
      <w:divBdr>
        <w:top w:val="none" w:sz="0" w:space="0" w:color="auto"/>
        <w:left w:val="none" w:sz="0" w:space="0" w:color="auto"/>
        <w:bottom w:val="none" w:sz="0" w:space="0" w:color="auto"/>
        <w:right w:val="none" w:sz="0" w:space="0" w:color="auto"/>
      </w:divBdr>
    </w:div>
    <w:div w:id="859275154">
      <w:bodyDiv w:val="1"/>
      <w:marLeft w:val="0"/>
      <w:marRight w:val="0"/>
      <w:marTop w:val="0"/>
      <w:marBottom w:val="0"/>
      <w:divBdr>
        <w:top w:val="none" w:sz="0" w:space="0" w:color="auto"/>
        <w:left w:val="none" w:sz="0" w:space="0" w:color="auto"/>
        <w:bottom w:val="none" w:sz="0" w:space="0" w:color="auto"/>
        <w:right w:val="none" w:sz="0" w:space="0" w:color="auto"/>
      </w:divBdr>
    </w:div>
    <w:div w:id="1412119385">
      <w:bodyDiv w:val="1"/>
      <w:marLeft w:val="0"/>
      <w:marRight w:val="0"/>
      <w:marTop w:val="0"/>
      <w:marBottom w:val="0"/>
      <w:divBdr>
        <w:top w:val="none" w:sz="0" w:space="0" w:color="auto"/>
        <w:left w:val="none" w:sz="0" w:space="0" w:color="auto"/>
        <w:bottom w:val="none" w:sz="0" w:space="0" w:color="auto"/>
        <w:right w:val="none" w:sz="0" w:space="0" w:color="auto"/>
      </w:divBdr>
    </w:div>
    <w:div w:id="1538857825">
      <w:bodyDiv w:val="1"/>
      <w:marLeft w:val="0"/>
      <w:marRight w:val="0"/>
      <w:marTop w:val="0"/>
      <w:marBottom w:val="0"/>
      <w:divBdr>
        <w:top w:val="none" w:sz="0" w:space="0" w:color="auto"/>
        <w:left w:val="none" w:sz="0" w:space="0" w:color="auto"/>
        <w:bottom w:val="none" w:sz="0" w:space="0" w:color="auto"/>
        <w:right w:val="none" w:sz="0" w:space="0" w:color="auto"/>
      </w:divBdr>
    </w:div>
    <w:div w:id="1700616784">
      <w:bodyDiv w:val="1"/>
      <w:marLeft w:val="0"/>
      <w:marRight w:val="0"/>
      <w:marTop w:val="0"/>
      <w:marBottom w:val="0"/>
      <w:divBdr>
        <w:top w:val="none" w:sz="0" w:space="0" w:color="auto"/>
        <w:left w:val="none" w:sz="0" w:space="0" w:color="auto"/>
        <w:bottom w:val="none" w:sz="0" w:space="0" w:color="auto"/>
        <w:right w:val="none" w:sz="0" w:space="0" w:color="auto"/>
      </w:divBdr>
    </w:div>
    <w:div w:id="1711033713">
      <w:bodyDiv w:val="1"/>
      <w:marLeft w:val="0"/>
      <w:marRight w:val="0"/>
      <w:marTop w:val="0"/>
      <w:marBottom w:val="0"/>
      <w:divBdr>
        <w:top w:val="none" w:sz="0" w:space="0" w:color="auto"/>
        <w:left w:val="none" w:sz="0" w:space="0" w:color="auto"/>
        <w:bottom w:val="none" w:sz="0" w:space="0" w:color="auto"/>
        <w:right w:val="none" w:sz="0" w:space="0" w:color="auto"/>
      </w:divBdr>
    </w:div>
    <w:div w:id="204551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ffen.oliver.saele@norskkjernekraft.com" TargetMode="External"/><Relationship Id="rId13" Type="http://schemas.openxmlformats.org/officeDocument/2006/relationships/hyperlink" Target="https://www.cleanenergywire.org/news/german-gas-use-decreases-while-imports-and-exports-drop-20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sb.no/en/energi-og-industri/energi/statistikk/produksjon-og-forbruk-av-energi-energibalanse-og-energiregnskap" TargetMode="External"/><Relationship Id="rId17" Type="http://schemas.openxmlformats.org/officeDocument/2006/relationships/hyperlink" Target="https://prosjektbanken.forskningsradet.no/project/FORISS/3365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ontskipsfartsprogram.no/pilotprosjekt/alle-steiner-ma-snus-kjernekraft-kan-ikke-utel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ercontent.one/wp/www.norskkjernekraft.com/wp-content/uploads/2023/10/Fra-ord-til-handling-Innledende-mulighetsstudi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gjeringen.no/en/whatsnew/dep/smk/press-releases/2023/closer-cooperation-between-norway-and-germany-to-develop-green-industry/joint-statement-germany-norway-hydrogen/id2958105/" TargetMode="External"/><Relationship Id="rId23" Type="http://schemas.openxmlformats.org/officeDocument/2006/relationships/footer" Target="footer3.xml"/><Relationship Id="rId10" Type="http://schemas.openxmlformats.org/officeDocument/2006/relationships/hyperlink" Target="https://www.nrk.no/vestland/kjernekraft-for-forste-gong-meir-populaert-enn-vasskraft-1.1687602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orskpetroleum.no/en/production-and-exports/exports-of-oil-and-gas/" TargetMode="External"/><Relationship Id="rId14" Type="http://schemas.openxmlformats.org/officeDocument/2006/relationships/hyperlink" Target="https://miljostatus.miljodirektoratet.no/tema/klima/norske-utslipp-av-klimagasser/klimagassutslipp-fra-olje--og-gassutvinnin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7</Pages>
  <Words>4916</Words>
  <Characters>26060</Characters>
  <Application>Microsoft Office Word</Application>
  <DocSecurity>0</DocSecurity>
  <Lines>217</Lines>
  <Paragraphs>61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IAEA</vt:lpstr>
      <vt:lpstr>IAEA</vt:lpstr>
    </vt:vector>
  </TitlesOfParts>
  <Company>IAEA</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Øyvind Aas-Hansen</cp:lastModifiedBy>
  <cp:revision>2</cp:revision>
  <cp:lastPrinted>2024-03-19T13:52:00Z</cp:lastPrinted>
  <dcterms:created xsi:type="dcterms:W3CDTF">2024-06-13T18:35:00Z</dcterms:created>
  <dcterms:modified xsi:type="dcterms:W3CDTF">2024-06-13T18:35:00Z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