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689C" w14:textId="5B0762C3" w:rsidR="00374426" w:rsidRDefault="00374426" w:rsidP="00374426">
      <w:pPr>
        <w:pStyle w:val="Cmsor1"/>
        <w:jc w:val="center"/>
        <w:rPr>
          <w:rFonts w:ascii="Times New Roman" w:hAnsi="Times New Roman"/>
          <w:color w:val="0D0D0D"/>
          <w:shd w:val="clear" w:color="auto" w:fill="FFFFFF"/>
        </w:rPr>
      </w:pPr>
      <w:r w:rsidRPr="00374426">
        <w:rPr>
          <w:rFonts w:ascii="Times New Roman" w:hAnsi="Times New Roman"/>
          <w:color w:val="0D0D0D"/>
          <w:shd w:val="clear" w:color="auto" w:fill="FFFFFF"/>
        </w:rPr>
        <w:t>Optimization of SMR cogeneration application</w:t>
      </w:r>
    </w:p>
    <w:p w14:paraId="19BCEEA6" w14:textId="4564A82F" w:rsidR="00374426" w:rsidRDefault="00374426" w:rsidP="00374426">
      <w:pPr>
        <w:pStyle w:val="Cmsor1"/>
        <w:jc w:val="center"/>
      </w:pPr>
      <w:r w:rsidRPr="00374426">
        <w:rPr>
          <w:rFonts w:ascii="Times New Roman" w:hAnsi="Times New Roman"/>
          <w:color w:val="0D0D0D"/>
          <w:shd w:val="clear" w:color="auto" w:fill="FFFFFF"/>
        </w:rPr>
        <w:t>in an urban environment</w:t>
      </w:r>
    </w:p>
    <w:p w14:paraId="26EF33CA" w14:textId="77777777" w:rsidR="00374426" w:rsidRDefault="00374426" w:rsidP="00537496">
      <w:pPr>
        <w:pStyle w:val="Authornameandaffiliation"/>
      </w:pPr>
    </w:p>
    <w:p w14:paraId="32159D0F" w14:textId="4AC96384" w:rsidR="003B5E0E" w:rsidRDefault="00374426" w:rsidP="00537496">
      <w:pPr>
        <w:pStyle w:val="Authornameandaffiliation"/>
      </w:pPr>
      <w:r>
        <w:t>Endre Börcsök</w:t>
      </w:r>
    </w:p>
    <w:p w14:paraId="02370931" w14:textId="412FFFCA" w:rsidR="00FF386F" w:rsidRDefault="00374426" w:rsidP="00537496">
      <w:pPr>
        <w:pStyle w:val="Authornameandaffiliation"/>
      </w:pPr>
      <w:r>
        <w:t>HUN-REN EK-CER</w:t>
      </w:r>
    </w:p>
    <w:p w14:paraId="14684DE2" w14:textId="2468ED1F" w:rsidR="00FF386F" w:rsidRDefault="00374426" w:rsidP="00537496">
      <w:pPr>
        <w:pStyle w:val="Authornameandaffiliation"/>
      </w:pPr>
      <w:r>
        <w:t>Budapest, Hungary</w:t>
      </w:r>
    </w:p>
    <w:p w14:paraId="0080899C" w14:textId="3F7815BC" w:rsidR="00FF386F" w:rsidRDefault="00374426" w:rsidP="00537496">
      <w:pPr>
        <w:pStyle w:val="Authornameandaffiliation"/>
      </w:pPr>
      <w:r>
        <w:t>endre.borcsok@ek.hun-ren.hu</w:t>
      </w:r>
    </w:p>
    <w:p w14:paraId="5E2BDA1F" w14:textId="77777777" w:rsidR="00FF386F" w:rsidRDefault="00FF386F" w:rsidP="00537496">
      <w:pPr>
        <w:pStyle w:val="Authornameandaffiliation"/>
      </w:pPr>
    </w:p>
    <w:p w14:paraId="7DABE430" w14:textId="15335DDA" w:rsidR="00391318" w:rsidRDefault="00391318" w:rsidP="00391318">
      <w:pPr>
        <w:pStyle w:val="Authornameandaffiliation"/>
      </w:pPr>
      <w:r>
        <w:t>Veronika Groma</w:t>
      </w:r>
    </w:p>
    <w:p w14:paraId="465DF8C1" w14:textId="77777777" w:rsidR="00391318" w:rsidRDefault="00391318" w:rsidP="00391318">
      <w:pPr>
        <w:pStyle w:val="Authornameandaffiliation"/>
      </w:pPr>
      <w:r>
        <w:t>HUN-REN EK-CER</w:t>
      </w:r>
    </w:p>
    <w:p w14:paraId="1E1CCC92" w14:textId="77777777" w:rsidR="00391318" w:rsidRDefault="00391318" w:rsidP="00391318">
      <w:pPr>
        <w:pStyle w:val="Authornameandaffiliation"/>
      </w:pPr>
      <w:r>
        <w:t>Budapest, Hungary</w:t>
      </w:r>
    </w:p>
    <w:p w14:paraId="7E4E614E" w14:textId="77777777" w:rsidR="00391318" w:rsidRDefault="00391318" w:rsidP="00537496">
      <w:pPr>
        <w:pStyle w:val="Authornameandaffiliation"/>
      </w:pPr>
    </w:p>
    <w:p w14:paraId="7DA07387" w14:textId="6EF20F95" w:rsidR="00391318" w:rsidRDefault="00391318" w:rsidP="00391318">
      <w:pPr>
        <w:pStyle w:val="Authornameandaffiliation"/>
      </w:pPr>
      <w:r>
        <w:t>Péter Füri</w:t>
      </w:r>
    </w:p>
    <w:p w14:paraId="0F7D0240" w14:textId="77777777" w:rsidR="00391318" w:rsidRDefault="00391318" w:rsidP="00391318">
      <w:pPr>
        <w:pStyle w:val="Authornameandaffiliation"/>
      </w:pPr>
      <w:r>
        <w:t>HUN-REN EK-CER</w:t>
      </w:r>
    </w:p>
    <w:p w14:paraId="49CBFCA2" w14:textId="77777777" w:rsidR="00391318" w:rsidRDefault="00391318" w:rsidP="00391318">
      <w:pPr>
        <w:pStyle w:val="Authornameandaffiliation"/>
      </w:pPr>
      <w:r>
        <w:t>Budapest, Hungary</w:t>
      </w:r>
    </w:p>
    <w:p w14:paraId="4BEB9AD7" w14:textId="77777777" w:rsidR="00391318" w:rsidRDefault="00391318" w:rsidP="00391318">
      <w:pPr>
        <w:pStyle w:val="Authornameandaffiliation"/>
      </w:pPr>
    </w:p>
    <w:p w14:paraId="1EE0C742" w14:textId="4ED11B3B" w:rsidR="00391318" w:rsidRDefault="00391318" w:rsidP="00391318">
      <w:pPr>
        <w:pStyle w:val="Authornameandaffiliation"/>
      </w:pPr>
      <w:r>
        <w:t>Lilla Barancsuk</w:t>
      </w:r>
    </w:p>
    <w:p w14:paraId="3048F9D5" w14:textId="77777777" w:rsidR="00391318" w:rsidRDefault="00391318" w:rsidP="00391318">
      <w:pPr>
        <w:pStyle w:val="Authornameandaffiliation"/>
      </w:pPr>
      <w:r>
        <w:t>HUN-REN EK-CER</w:t>
      </w:r>
    </w:p>
    <w:p w14:paraId="7AA52576" w14:textId="77777777" w:rsidR="00391318" w:rsidRDefault="00391318" w:rsidP="00391318">
      <w:pPr>
        <w:pStyle w:val="Authornameandaffiliation"/>
      </w:pPr>
      <w:r>
        <w:t>Budapest, Hungary</w:t>
      </w:r>
    </w:p>
    <w:p w14:paraId="23BB2370" w14:textId="77777777" w:rsidR="00391318" w:rsidRDefault="00391318"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7E64DFC4" w:rsidR="00647F33" w:rsidRPr="00BD605C" w:rsidRDefault="00391318" w:rsidP="00D30BB7">
      <w:pPr>
        <w:pStyle w:val="Abstracttext"/>
        <w:jc w:val="both"/>
      </w:pPr>
      <w:r>
        <w:t>P</w:t>
      </w:r>
      <w:r w:rsidRPr="00DC3A7E">
        <w:t>rimary goal</w:t>
      </w:r>
      <w:r>
        <w:t xml:space="preserve"> of the paper</w:t>
      </w:r>
      <w:r w:rsidRPr="00DC3A7E">
        <w:t xml:space="preserve"> to determine what expectations can be formulated for a newly installed SMR in terms of district heating supply and integrated electricity production in an urban environment. Alongside optimal sizing, the level of flexibility and cogeneration capability required for integration into the urban energy system was examined. When establishing the potential role, a fundamental question naturally arises regarding how competitive nuclear energy is compared to the most important alternatives currently used, such as waste, biomass, fossil fuel-based, or electrically powered heat pumps. In formulating optimal solutions, economic considerations were taken into account along with climate impact and environmental effects. </w:t>
      </w:r>
      <w:r w:rsidR="00D30BB7">
        <w:t>Results of the paper</w:t>
      </w:r>
      <w:r w:rsidRPr="00DC3A7E">
        <w:t xml:space="preserve"> was based on Budapest's building typology, district heating system, and a fine resolution dataset of its energy demand, implementing our optimization calculations as a type of fixed cost distribution problem. The results presented could provide guidance in designing cogeneration applications for SMRs.</w:t>
      </w:r>
      <w:r w:rsidR="00647F33" w:rsidRPr="00BD605C">
        <w:t>.</w:t>
      </w:r>
    </w:p>
    <w:p w14:paraId="03C6D75B" w14:textId="77777777" w:rsidR="00647F33" w:rsidRDefault="00F523CA" w:rsidP="00537496">
      <w:pPr>
        <w:pStyle w:val="Cmsor2"/>
        <w:numPr>
          <w:ilvl w:val="1"/>
          <w:numId w:val="10"/>
        </w:numPr>
      </w:pPr>
      <w:r>
        <w:t>INTRODUCTION</w:t>
      </w:r>
    </w:p>
    <w:p w14:paraId="068D4642" w14:textId="15482BC9" w:rsidR="00EE0041" w:rsidRDefault="00D30BB7" w:rsidP="00537496">
      <w:pPr>
        <w:pStyle w:val="Szvegtrzs"/>
      </w:pPr>
      <w:r w:rsidRPr="00DC3A7E">
        <w:rPr>
          <w:lang w:val="en-US"/>
        </w:rPr>
        <w:t>In many countries around the world, ensuring a carbon-neutral energy source for the heat sector, especially residential heating, poses significant challenges. In previous studies, we have often dealt with the optimal design of primary energy sources related to the heating sector of large cities. In these projects, we could only consider the use of nuclear energy to a limited extent because the types of currently operating power plants are mostly not located in the immediate vicinity of large cities for safety and social reasons. As a result, integrating nuclear energy into the heating sector portfolio is possible through long pipelines. The construction costs of these pipelines and the market uncertainties associated with half a century of operation undermine these investments in most cases, removing the most important carbon-neutral alternative from the portfolio. These outlined difficulties increasingly shift the heating sector towards the use of electricity with the application of heat pumps. Heat pumps powered by the electrical grid offer many advantages, as they can also utilize traditional renewable energy sources; however, ensuring supply security in this case also requires additional investments. In such competitive environment, we are examining the new opportunities offered by SMRs (Small Modular Reactors) and the conditions which under they can be competitive in the current technical level. In the present work, the modeling is performed for the heat demand of three building typology groups in a city with a continental climate (Budapest, Hungary) where the heating season lasts 4-6 months.</w:t>
      </w:r>
    </w:p>
    <w:p w14:paraId="74CD1556" w14:textId="12F60250" w:rsidR="00E25B68" w:rsidRDefault="00D30BB7" w:rsidP="0026525A">
      <w:pPr>
        <w:pStyle w:val="Cmsor2"/>
        <w:numPr>
          <w:ilvl w:val="1"/>
          <w:numId w:val="10"/>
        </w:numPr>
      </w:pPr>
      <w:r w:rsidRPr="00DC3A7E">
        <w:rPr>
          <w:lang w:val="en-US"/>
        </w:rPr>
        <w:t>Methodology</w:t>
      </w:r>
    </w:p>
    <w:p w14:paraId="7AB86964" w14:textId="3311DFA4" w:rsidR="00E25B68" w:rsidRDefault="00D30BB7" w:rsidP="00537496">
      <w:pPr>
        <w:pStyle w:val="Szvegtrzs"/>
      </w:pPr>
      <w:r w:rsidRPr="00DC3A7E">
        <w:rPr>
          <w:lang w:val="en-US"/>
        </w:rPr>
        <w:t xml:space="preserve">Our primary goal in this study is to reduce the carbon intensity related to the heating and electricity sectors in urban environments. Obviously, our goal was to achieve this without compromising the environmental aspects of sustainability and the security of supply. Taking these aspects into account, our aim was to determine the role </w:t>
      </w:r>
      <w:r w:rsidRPr="00DC3A7E">
        <w:rPr>
          <w:lang w:val="en-US"/>
        </w:rPr>
        <w:lastRenderedPageBreak/>
        <w:t xml:space="preserve">of nuclear energy, particularly SMR technology, in the energy supply. Calculations were performed for the individual and district heating of three building typology groups (family houses, apartment buildings, and industrial multi-story buildings) for heat supply. Since the heat </w:t>
      </w:r>
      <w:r w:rsidRPr="00CE6444">
        <w:rPr>
          <w:lang w:val="en-US"/>
        </w:rPr>
        <w:t xml:space="preserve">sector is closely intertwined with electricity usage on the production side through cogeneration and on the consumption side through heat pumps, we had to consider the entire energy sector in our model. In our model, we used the energy demand and electricity generation profile for 28 days of the year 2019 based on ENTSO-E database.[1] These selected days covered four weeks of the year, one each from winter and summer, and two from the transitional periods. We considered the daily heat production profile to be homogeneous and only took seasonal differences into account. For electricity generation, we applied fixed daily profiles only for intermittent renewable energy sources, such as wind, solar, and hydro power. Other electricity generation alternatives were optimized to meet consumption. Calculations were solved as a distribution task. Storage capacities and the predefined performance gradients of power plants played an important role in harmonizing the production and consumption curves. The objective function of the optimization considered four criteria: fixed and variable costs, air pollution and climatic impacts. </w:t>
      </w:r>
      <w:r w:rsidRPr="00CE6444">
        <w:rPr>
          <w:rFonts w:asciiTheme="minorHAnsi" w:hAnsiTheme="minorHAnsi" w:cstheme="minorHAnsi"/>
          <w:sz w:val="22"/>
          <w:szCs w:val="22"/>
          <w:lang w:val="en-US"/>
        </w:rPr>
        <w:t>[2]</w:t>
      </w:r>
      <w:r w:rsidRPr="00CE6444">
        <w:rPr>
          <w:lang w:val="en-US"/>
        </w:rPr>
        <w:t xml:space="preserve"> The uniformed criteria values for the main electricity generation alte</w:t>
      </w:r>
      <w:r w:rsidR="00A64D43">
        <w:rPr>
          <w:lang w:val="en-US"/>
        </w:rPr>
        <w:t>rnatives are presented in TABLE</w:t>
      </w:r>
      <w:r w:rsidRPr="00CE6444">
        <w:rPr>
          <w:lang w:val="en-US"/>
        </w:rPr>
        <w:t xml:space="preserve"> 1.</w:t>
      </w:r>
      <w:r w:rsidR="00C65E60">
        <w:t>.</w:t>
      </w:r>
    </w:p>
    <w:p w14:paraId="18493010" w14:textId="77777777" w:rsidR="00D30BB7" w:rsidRDefault="00D30BB7" w:rsidP="00D30BB7">
      <w:pPr>
        <w:pStyle w:val="Szvegtrzs"/>
      </w:pPr>
    </w:p>
    <w:p w14:paraId="4AC58C36" w14:textId="04B7BF9D" w:rsidR="00D30BB7" w:rsidRDefault="00D30BB7" w:rsidP="00D30BB7">
      <w:pPr>
        <w:pStyle w:val="Szvegtrzs"/>
        <w:ind w:firstLine="0"/>
      </w:pPr>
      <w:r>
        <w:t>TABLE 1.</w:t>
      </w:r>
      <w:r>
        <w:tab/>
      </w:r>
      <w:r w:rsidR="00894D75">
        <w:t>UNIFORMED CRITERIA VALUES FOR AGGREGATED ALTERNATIVES</w:t>
      </w:r>
    </w:p>
    <w:p w14:paraId="74DAB0D5" w14:textId="77777777" w:rsidR="00D30BB7" w:rsidRPr="00CE6444" w:rsidRDefault="00D30BB7" w:rsidP="00D30BB7">
      <w:pPr>
        <w:jc w:val="both"/>
        <w:rPr>
          <w:lang w:val="en-US"/>
        </w:rPr>
      </w:pPr>
      <w:r w:rsidRPr="00CE6444">
        <w:rPr>
          <w:lang w:val="en-US"/>
        </w:rPr>
        <w:fldChar w:fldCharType="begin"/>
      </w:r>
      <w:r w:rsidRPr="00CE6444">
        <w:rPr>
          <w:lang w:val="en-US"/>
        </w:rPr>
        <w:instrText xml:space="preserve"> LINK Excel.Sheet.12 "C:\\Endre\\IAEA\\2024\\BP_SMR_tarolo_adatok007.xlsx" "cost!S97O4:S108O11" \a \f 5 \h  \* MERGEFORMAT </w:instrText>
      </w:r>
      <w:r w:rsidRPr="00CE6444">
        <w:rPr>
          <w:lang w:val="en-US"/>
        </w:rPr>
        <w:fldChar w:fldCharType="separate"/>
      </w:r>
    </w:p>
    <w:tbl>
      <w:tblPr>
        <w:tblStyle w:val="Rcsostblzat"/>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46"/>
        <w:gridCol w:w="979"/>
        <w:gridCol w:w="916"/>
        <w:gridCol w:w="916"/>
        <w:gridCol w:w="961"/>
        <w:gridCol w:w="1052"/>
        <w:gridCol w:w="992"/>
      </w:tblGrid>
      <w:tr w:rsidR="00D30BB7" w:rsidRPr="00D30BB7" w14:paraId="274E6839" w14:textId="77777777" w:rsidTr="00BF3688">
        <w:trPr>
          <w:trHeight w:val="300"/>
        </w:trPr>
        <w:tc>
          <w:tcPr>
            <w:tcW w:w="8784" w:type="dxa"/>
            <w:gridSpan w:val="8"/>
            <w:tcBorders>
              <w:top w:val="single" w:sz="4" w:space="0" w:color="auto"/>
              <w:bottom w:val="single" w:sz="4" w:space="0" w:color="auto"/>
            </w:tcBorders>
            <w:noWrap/>
            <w:hideMark/>
          </w:tcPr>
          <w:p w14:paraId="04BED06C" w14:textId="77777777" w:rsidR="00D30BB7" w:rsidRPr="00D30BB7" w:rsidRDefault="00D30BB7" w:rsidP="00BF3688">
            <w:pPr>
              <w:jc w:val="center"/>
              <w:rPr>
                <w:sz w:val="20"/>
                <w:lang w:val="en-US"/>
              </w:rPr>
            </w:pPr>
            <w:r w:rsidRPr="00D30BB7">
              <w:rPr>
                <w:sz w:val="20"/>
                <w:lang w:val="en-US"/>
              </w:rPr>
              <w:t>Heat</w:t>
            </w:r>
          </w:p>
        </w:tc>
      </w:tr>
      <w:tr w:rsidR="00D30BB7" w:rsidRPr="00D30BB7" w14:paraId="41ECFEE0" w14:textId="77777777" w:rsidTr="00BF3688">
        <w:trPr>
          <w:trHeight w:val="300"/>
        </w:trPr>
        <w:tc>
          <w:tcPr>
            <w:tcW w:w="2122" w:type="dxa"/>
            <w:tcBorders>
              <w:top w:val="single" w:sz="4" w:space="0" w:color="auto"/>
            </w:tcBorders>
            <w:noWrap/>
            <w:hideMark/>
          </w:tcPr>
          <w:p w14:paraId="060113E6" w14:textId="77777777" w:rsidR="00D30BB7" w:rsidRPr="00D30BB7" w:rsidRDefault="00D30BB7" w:rsidP="00BF3688">
            <w:pPr>
              <w:rPr>
                <w:sz w:val="20"/>
                <w:lang w:val="en-US"/>
              </w:rPr>
            </w:pPr>
          </w:p>
        </w:tc>
        <w:tc>
          <w:tcPr>
            <w:tcW w:w="846" w:type="dxa"/>
            <w:tcBorders>
              <w:top w:val="single" w:sz="4" w:space="0" w:color="auto"/>
            </w:tcBorders>
            <w:noWrap/>
            <w:hideMark/>
          </w:tcPr>
          <w:p w14:paraId="72651314" w14:textId="77777777" w:rsidR="00D30BB7" w:rsidRPr="00D30BB7" w:rsidRDefault="00D30BB7" w:rsidP="00BF3688">
            <w:pPr>
              <w:jc w:val="center"/>
              <w:rPr>
                <w:sz w:val="20"/>
                <w:lang w:val="en-US"/>
              </w:rPr>
            </w:pPr>
            <w:r w:rsidRPr="00D30BB7">
              <w:rPr>
                <w:sz w:val="20"/>
                <w:lang w:val="en-US"/>
              </w:rPr>
              <w:t>natural gas</w:t>
            </w:r>
          </w:p>
        </w:tc>
        <w:tc>
          <w:tcPr>
            <w:tcW w:w="979" w:type="dxa"/>
            <w:tcBorders>
              <w:top w:val="single" w:sz="4" w:space="0" w:color="auto"/>
            </w:tcBorders>
            <w:noWrap/>
            <w:hideMark/>
          </w:tcPr>
          <w:p w14:paraId="2A99CCC5" w14:textId="77777777" w:rsidR="00D30BB7" w:rsidRPr="00D30BB7" w:rsidRDefault="00D30BB7" w:rsidP="00BF3688">
            <w:pPr>
              <w:jc w:val="center"/>
              <w:rPr>
                <w:sz w:val="20"/>
                <w:lang w:val="en-US"/>
              </w:rPr>
            </w:pPr>
            <w:r w:rsidRPr="00D30BB7">
              <w:rPr>
                <w:sz w:val="20"/>
                <w:lang w:val="en-US"/>
              </w:rPr>
              <w:t>brown coal</w:t>
            </w:r>
          </w:p>
        </w:tc>
        <w:tc>
          <w:tcPr>
            <w:tcW w:w="916" w:type="dxa"/>
            <w:tcBorders>
              <w:top w:val="single" w:sz="4" w:space="0" w:color="auto"/>
            </w:tcBorders>
            <w:noWrap/>
            <w:hideMark/>
          </w:tcPr>
          <w:p w14:paraId="6951679F" w14:textId="77777777" w:rsidR="00D30BB7" w:rsidRPr="00D30BB7" w:rsidRDefault="00D30BB7" w:rsidP="00BF3688">
            <w:pPr>
              <w:jc w:val="center"/>
              <w:rPr>
                <w:sz w:val="20"/>
                <w:lang w:val="en-US"/>
              </w:rPr>
            </w:pPr>
            <w:r w:rsidRPr="00D30BB7">
              <w:rPr>
                <w:sz w:val="20"/>
                <w:lang w:val="en-US"/>
              </w:rPr>
              <w:t>biomass</w:t>
            </w:r>
          </w:p>
        </w:tc>
        <w:tc>
          <w:tcPr>
            <w:tcW w:w="916" w:type="dxa"/>
            <w:tcBorders>
              <w:top w:val="single" w:sz="4" w:space="0" w:color="auto"/>
            </w:tcBorders>
            <w:noWrap/>
            <w:hideMark/>
          </w:tcPr>
          <w:p w14:paraId="73013898" w14:textId="77777777" w:rsidR="00D30BB7" w:rsidRPr="00D30BB7" w:rsidRDefault="00D30BB7" w:rsidP="00BF3688">
            <w:pPr>
              <w:jc w:val="center"/>
              <w:rPr>
                <w:sz w:val="20"/>
                <w:lang w:val="en-US"/>
              </w:rPr>
            </w:pPr>
            <w:r w:rsidRPr="00D30BB7">
              <w:rPr>
                <w:sz w:val="20"/>
                <w:lang w:val="en-US"/>
              </w:rPr>
              <w:t>electric</w:t>
            </w:r>
          </w:p>
        </w:tc>
        <w:tc>
          <w:tcPr>
            <w:tcW w:w="961" w:type="dxa"/>
            <w:tcBorders>
              <w:top w:val="single" w:sz="4" w:space="0" w:color="auto"/>
            </w:tcBorders>
            <w:noWrap/>
            <w:hideMark/>
          </w:tcPr>
          <w:p w14:paraId="10E50666" w14:textId="77777777" w:rsidR="00D30BB7" w:rsidRPr="00D30BB7" w:rsidRDefault="00D30BB7" w:rsidP="00BF3688">
            <w:pPr>
              <w:jc w:val="center"/>
              <w:rPr>
                <w:sz w:val="20"/>
                <w:lang w:val="en-US"/>
              </w:rPr>
            </w:pPr>
            <w:r w:rsidRPr="00D30BB7">
              <w:rPr>
                <w:sz w:val="20"/>
                <w:lang w:val="en-US"/>
              </w:rPr>
              <w:t>heat pump</w:t>
            </w:r>
          </w:p>
        </w:tc>
        <w:tc>
          <w:tcPr>
            <w:tcW w:w="1052" w:type="dxa"/>
            <w:tcBorders>
              <w:top w:val="single" w:sz="4" w:space="0" w:color="auto"/>
            </w:tcBorders>
            <w:noWrap/>
            <w:hideMark/>
          </w:tcPr>
          <w:p w14:paraId="3D332F2D" w14:textId="77777777" w:rsidR="00D30BB7" w:rsidRPr="00D30BB7" w:rsidRDefault="00D30BB7" w:rsidP="00BF3688">
            <w:pPr>
              <w:jc w:val="center"/>
              <w:rPr>
                <w:sz w:val="20"/>
                <w:lang w:val="en-US"/>
              </w:rPr>
            </w:pPr>
            <w:r w:rsidRPr="00D30BB7">
              <w:rPr>
                <w:sz w:val="20"/>
                <w:lang w:val="en-US"/>
              </w:rPr>
              <w:t>municipal waste</w:t>
            </w:r>
          </w:p>
        </w:tc>
        <w:tc>
          <w:tcPr>
            <w:tcW w:w="992" w:type="dxa"/>
            <w:tcBorders>
              <w:top w:val="single" w:sz="4" w:space="0" w:color="auto"/>
            </w:tcBorders>
            <w:noWrap/>
            <w:hideMark/>
          </w:tcPr>
          <w:p w14:paraId="6FA5AD0F" w14:textId="77777777" w:rsidR="00D30BB7" w:rsidRPr="00D30BB7" w:rsidRDefault="00D30BB7" w:rsidP="00BF3688">
            <w:pPr>
              <w:jc w:val="center"/>
              <w:rPr>
                <w:sz w:val="20"/>
                <w:lang w:val="en-US"/>
              </w:rPr>
            </w:pPr>
            <w:r w:rsidRPr="00D30BB7">
              <w:rPr>
                <w:sz w:val="20"/>
                <w:lang w:val="en-US"/>
              </w:rPr>
              <w:t>SMR</w:t>
            </w:r>
          </w:p>
        </w:tc>
      </w:tr>
      <w:tr w:rsidR="00D30BB7" w:rsidRPr="00D30BB7" w14:paraId="3E78FBAE" w14:textId="77777777" w:rsidTr="00BF3688">
        <w:trPr>
          <w:trHeight w:val="300"/>
        </w:trPr>
        <w:tc>
          <w:tcPr>
            <w:tcW w:w="2122" w:type="dxa"/>
            <w:noWrap/>
            <w:hideMark/>
          </w:tcPr>
          <w:p w14:paraId="3BFABCE7" w14:textId="77777777" w:rsidR="00D30BB7" w:rsidRPr="00D30BB7" w:rsidRDefault="00D30BB7" w:rsidP="00BF3688">
            <w:pPr>
              <w:rPr>
                <w:sz w:val="20"/>
                <w:lang w:val="en-US"/>
              </w:rPr>
            </w:pPr>
            <w:r w:rsidRPr="00D30BB7">
              <w:rPr>
                <w:sz w:val="20"/>
                <w:lang w:val="en-US"/>
              </w:rPr>
              <w:t>Fixed cost</w:t>
            </w:r>
          </w:p>
        </w:tc>
        <w:tc>
          <w:tcPr>
            <w:tcW w:w="846" w:type="dxa"/>
            <w:noWrap/>
            <w:hideMark/>
          </w:tcPr>
          <w:p w14:paraId="1D2DC87B" w14:textId="77777777" w:rsidR="00D30BB7" w:rsidRPr="00D30BB7" w:rsidRDefault="00D30BB7" w:rsidP="00BF3688">
            <w:pPr>
              <w:jc w:val="center"/>
              <w:rPr>
                <w:sz w:val="20"/>
                <w:lang w:val="en-US"/>
              </w:rPr>
            </w:pPr>
            <w:r w:rsidRPr="00D30BB7">
              <w:rPr>
                <w:sz w:val="20"/>
                <w:lang w:val="en-US"/>
              </w:rPr>
              <w:t>0.22</w:t>
            </w:r>
          </w:p>
        </w:tc>
        <w:tc>
          <w:tcPr>
            <w:tcW w:w="979" w:type="dxa"/>
            <w:noWrap/>
            <w:hideMark/>
          </w:tcPr>
          <w:p w14:paraId="0070D301" w14:textId="77777777" w:rsidR="00D30BB7" w:rsidRPr="00D30BB7" w:rsidRDefault="00D30BB7" w:rsidP="00BF3688">
            <w:pPr>
              <w:jc w:val="center"/>
              <w:rPr>
                <w:sz w:val="20"/>
                <w:lang w:val="en-US"/>
              </w:rPr>
            </w:pPr>
            <w:r w:rsidRPr="00D30BB7">
              <w:rPr>
                <w:sz w:val="20"/>
                <w:lang w:val="en-US"/>
              </w:rPr>
              <w:t>0.33</w:t>
            </w:r>
          </w:p>
        </w:tc>
        <w:tc>
          <w:tcPr>
            <w:tcW w:w="916" w:type="dxa"/>
            <w:noWrap/>
            <w:hideMark/>
          </w:tcPr>
          <w:p w14:paraId="035B894F" w14:textId="77777777" w:rsidR="00D30BB7" w:rsidRPr="00D30BB7" w:rsidRDefault="00D30BB7" w:rsidP="00BF3688">
            <w:pPr>
              <w:jc w:val="center"/>
              <w:rPr>
                <w:sz w:val="20"/>
                <w:lang w:val="en-US"/>
              </w:rPr>
            </w:pPr>
            <w:r w:rsidRPr="00D30BB7">
              <w:rPr>
                <w:sz w:val="20"/>
                <w:lang w:val="en-US"/>
              </w:rPr>
              <w:t>0.33</w:t>
            </w:r>
          </w:p>
        </w:tc>
        <w:tc>
          <w:tcPr>
            <w:tcW w:w="916" w:type="dxa"/>
            <w:noWrap/>
            <w:hideMark/>
          </w:tcPr>
          <w:p w14:paraId="69AF5B2A" w14:textId="77777777" w:rsidR="00D30BB7" w:rsidRPr="00D30BB7" w:rsidRDefault="00D30BB7" w:rsidP="00BF3688">
            <w:pPr>
              <w:jc w:val="center"/>
              <w:rPr>
                <w:sz w:val="20"/>
                <w:lang w:val="en-US"/>
              </w:rPr>
            </w:pPr>
            <w:r w:rsidRPr="00D30BB7">
              <w:rPr>
                <w:sz w:val="20"/>
                <w:lang w:val="en-US"/>
              </w:rPr>
              <w:t>0.22</w:t>
            </w:r>
          </w:p>
        </w:tc>
        <w:tc>
          <w:tcPr>
            <w:tcW w:w="961" w:type="dxa"/>
            <w:noWrap/>
            <w:hideMark/>
          </w:tcPr>
          <w:p w14:paraId="074939D4" w14:textId="77777777" w:rsidR="00D30BB7" w:rsidRPr="00D30BB7" w:rsidRDefault="00D30BB7" w:rsidP="00BF3688">
            <w:pPr>
              <w:jc w:val="center"/>
              <w:rPr>
                <w:sz w:val="20"/>
                <w:lang w:val="en-US"/>
              </w:rPr>
            </w:pPr>
            <w:r w:rsidRPr="00D30BB7">
              <w:rPr>
                <w:sz w:val="20"/>
                <w:lang w:val="en-US"/>
              </w:rPr>
              <w:t>0.23</w:t>
            </w:r>
          </w:p>
        </w:tc>
        <w:tc>
          <w:tcPr>
            <w:tcW w:w="1052" w:type="dxa"/>
            <w:noWrap/>
            <w:hideMark/>
          </w:tcPr>
          <w:p w14:paraId="1F3C2CE5" w14:textId="77777777" w:rsidR="00D30BB7" w:rsidRPr="00D30BB7" w:rsidRDefault="00D30BB7" w:rsidP="00BF3688">
            <w:pPr>
              <w:jc w:val="center"/>
              <w:rPr>
                <w:sz w:val="20"/>
                <w:lang w:val="en-US"/>
              </w:rPr>
            </w:pPr>
            <w:r w:rsidRPr="00D30BB7">
              <w:rPr>
                <w:sz w:val="20"/>
                <w:lang w:val="en-US"/>
              </w:rPr>
              <w:t>0.67</w:t>
            </w:r>
          </w:p>
        </w:tc>
        <w:tc>
          <w:tcPr>
            <w:tcW w:w="992" w:type="dxa"/>
            <w:noWrap/>
            <w:hideMark/>
          </w:tcPr>
          <w:p w14:paraId="62930D7A" w14:textId="77777777" w:rsidR="00D30BB7" w:rsidRPr="00D30BB7" w:rsidRDefault="00D30BB7" w:rsidP="00BF3688">
            <w:pPr>
              <w:jc w:val="center"/>
              <w:rPr>
                <w:sz w:val="20"/>
                <w:lang w:val="en-US"/>
              </w:rPr>
            </w:pPr>
            <w:r w:rsidRPr="00D30BB7">
              <w:rPr>
                <w:sz w:val="20"/>
                <w:lang w:val="en-US"/>
              </w:rPr>
              <w:t>1.28</w:t>
            </w:r>
          </w:p>
        </w:tc>
      </w:tr>
      <w:tr w:rsidR="00D30BB7" w:rsidRPr="00D30BB7" w14:paraId="26655606" w14:textId="77777777" w:rsidTr="00BF3688">
        <w:trPr>
          <w:trHeight w:val="300"/>
        </w:trPr>
        <w:tc>
          <w:tcPr>
            <w:tcW w:w="2122" w:type="dxa"/>
            <w:noWrap/>
            <w:hideMark/>
          </w:tcPr>
          <w:p w14:paraId="425C0D70" w14:textId="77777777" w:rsidR="00D30BB7" w:rsidRPr="00D30BB7" w:rsidRDefault="00D30BB7" w:rsidP="00BF3688">
            <w:pPr>
              <w:rPr>
                <w:sz w:val="20"/>
                <w:lang w:val="en-US"/>
              </w:rPr>
            </w:pPr>
            <w:r w:rsidRPr="00D30BB7">
              <w:rPr>
                <w:sz w:val="20"/>
                <w:lang w:val="en-US"/>
              </w:rPr>
              <w:t>Variable cost</w:t>
            </w:r>
          </w:p>
        </w:tc>
        <w:tc>
          <w:tcPr>
            <w:tcW w:w="846" w:type="dxa"/>
            <w:noWrap/>
            <w:hideMark/>
          </w:tcPr>
          <w:p w14:paraId="607C699D" w14:textId="77777777" w:rsidR="00D30BB7" w:rsidRPr="00D30BB7" w:rsidRDefault="00D30BB7" w:rsidP="00BF3688">
            <w:pPr>
              <w:jc w:val="center"/>
              <w:rPr>
                <w:sz w:val="20"/>
                <w:lang w:val="en-US"/>
              </w:rPr>
            </w:pPr>
            <w:r w:rsidRPr="00D30BB7">
              <w:rPr>
                <w:sz w:val="20"/>
                <w:lang w:val="en-US"/>
              </w:rPr>
              <w:t>1.27</w:t>
            </w:r>
          </w:p>
        </w:tc>
        <w:tc>
          <w:tcPr>
            <w:tcW w:w="979" w:type="dxa"/>
            <w:noWrap/>
            <w:hideMark/>
          </w:tcPr>
          <w:p w14:paraId="1FEC8367" w14:textId="77777777" w:rsidR="00D30BB7" w:rsidRPr="00D30BB7" w:rsidRDefault="00D30BB7" w:rsidP="00BF3688">
            <w:pPr>
              <w:jc w:val="center"/>
              <w:rPr>
                <w:sz w:val="20"/>
                <w:lang w:val="en-US"/>
              </w:rPr>
            </w:pPr>
            <w:r w:rsidRPr="00D30BB7">
              <w:rPr>
                <w:sz w:val="20"/>
                <w:lang w:val="en-US"/>
              </w:rPr>
              <w:t>0.79</w:t>
            </w:r>
          </w:p>
        </w:tc>
        <w:tc>
          <w:tcPr>
            <w:tcW w:w="916" w:type="dxa"/>
            <w:noWrap/>
            <w:hideMark/>
          </w:tcPr>
          <w:p w14:paraId="4F79D850" w14:textId="77777777" w:rsidR="00D30BB7" w:rsidRPr="00D30BB7" w:rsidRDefault="00D30BB7" w:rsidP="00BF3688">
            <w:pPr>
              <w:jc w:val="center"/>
              <w:rPr>
                <w:sz w:val="20"/>
                <w:lang w:val="en-US"/>
              </w:rPr>
            </w:pPr>
            <w:r w:rsidRPr="00D30BB7">
              <w:rPr>
                <w:sz w:val="20"/>
                <w:lang w:val="en-US"/>
              </w:rPr>
              <w:t>0.79</w:t>
            </w:r>
          </w:p>
        </w:tc>
        <w:tc>
          <w:tcPr>
            <w:tcW w:w="916" w:type="dxa"/>
            <w:noWrap/>
            <w:hideMark/>
          </w:tcPr>
          <w:p w14:paraId="106C635C" w14:textId="77777777" w:rsidR="00D30BB7" w:rsidRPr="00D30BB7" w:rsidRDefault="00D30BB7" w:rsidP="00BF3688">
            <w:pPr>
              <w:jc w:val="center"/>
              <w:rPr>
                <w:sz w:val="20"/>
                <w:lang w:val="en-US"/>
              </w:rPr>
            </w:pPr>
            <w:r w:rsidRPr="00D30BB7">
              <w:rPr>
                <w:sz w:val="20"/>
                <w:lang w:val="en-US"/>
              </w:rPr>
              <w:t>2.05</w:t>
            </w:r>
          </w:p>
        </w:tc>
        <w:tc>
          <w:tcPr>
            <w:tcW w:w="961" w:type="dxa"/>
            <w:noWrap/>
            <w:hideMark/>
          </w:tcPr>
          <w:p w14:paraId="292C8249" w14:textId="77777777" w:rsidR="00D30BB7" w:rsidRPr="00D30BB7" w:rsidRDefault="00D30BB7" w:rsidP="00BF3688">
            <w:pPr>
              <w:jc w:val="center"/>
              <w:rPr>
                <w:sz w:val="20"/>
                <w:lang w:val="en-US"/>
              </w:rPr>
            </w:pPr>
            <w:r w:rsidRPr="00D30BB7">
              <w:rPr>
                <w:sz w:val="20"/>
                <w:lang w:val="en-US"/>
              </w:rPr>
              <w:t>0.36</w:t>
            </w:r>
          </w:p>
        </w:tc>
        <w:tc>
          <w:tcPr>
            <w:tcW w:w="1052" w:type="dxa"/>
            <w:noWrap/>
            <w:hideMark/>
          </w:tcPr>
          <w:p w14:paraId="2B8EF766" w14:textId="77777777" w:rsidR="00D30BB7" w:rsidRPr="00D30BB7" w:rsidRDefault="00D30BB7" w:rsidP="00BF3688">
            <w:pPr>
              <w:jc w:val="center"/>
              <w:rPr>
                <w:sz w:val="20"/>
                <w:lang w:val="en-US"/>
              </w:rPr>
            </w:pPr>
            <w:r w:rsidRPr="00D30BB7">
              <w:rPr>
                <w:sz w:val="20"/>
                <w:lang w:val="en-US"/>
              </w:rPr>
              <w:t>0.55</w:t>
            </w:r>
          </w:p>
        </w:tc>
        <w:tc>
          <w:tcPr>
            <w:tcW w:w="992" w:type="dxa"/>
            <w:noWrap/>
            <w:hideMark/>
          </w:tcPr>
          <w:p w14:paraId="26B5C578" w14:textId="77777777" w:rsidR="00D30BB7" w:rsidRPr="00D30BB7" w:rsidRDefault="00D30BB7" w:rsidP="00BF3688">
            <w:pPr>
              <w:jc w:val="center"/>
              <w:rPr>
                <w:sz w:val="20"/>
                <w:lang w:val="en-US"/>
              </w:rPr>
            </w:pPr>
            <w:r w:rsidRPr="00D30BB7">
              <w:rPr>
                <w:sz w:val="20"/>
                <w:lang w:val="en-US"/>
              </w:rPr>
              <w:t>0.75</w:t>
            </w:r>
          </w:p>
        </w:tc>
      </w:tr>
      <w:tr w:rsidR="00D30BB7" w:rsidRPr="00D30BB7" w14:paraId="667054C2" w14:textId="77777777" w:rsidTr="00BF3688">
        <w:trPr>
          <w:trHeight w:val="300"/>
        </w:trPr>
        <w:tc>
          <w:tcPr>
            <w:tcW w:w="2122" w:type="dxa"/>
            <w:noWrap/>
            <w:hideMark/>
          </w:tcPr>
          <w:p w14:paraId="18A1FE52" w14:textId="77777777" w:rsidR="00D30BB7" w:rsidRPr="00D30BB7" w:rsidRDefault="00D30BB7" w:rsidP="00BF3688">
            <w:pPr>
              <w:rPr>
                <w:sz w:val="20"/>
                <w:lang w:val="en-US"/>
              </w:rPr>
            </w:pPr>
            <w:r w:rsidRPr="00D30BB7">
              <w:rPr>
                <w:sz w:val="20"/>
                <w:lang w:val="en-US"/>
              </w:rPr>
              <w:t>Climate effect</w:t>
            </w:r>
          </w:p>
        </w:tc>
        <w:tc>
          <w:tcPr>
            <w:tcW w:w="846" w:type="dxa"/>
            <w:noWrap/>
            <w:hideMark/>
          </w:tcPr>
          <w:p w14:paraId="19A656F9" w14:textId="77777777" w:rsidR="00D30BB7" w:rsidRPr="00D30BB7" w:rsidRDefault="00D30BB7" w:rsidP="00BF3688">
            <w:pPr>
              <w:jc w:val="center"/>
              <w:rPr>
                <w:sz w:val="20"/>
                <w:lang w:val="en-US"/>
              </w:rPr>
            </w:pPr>
            <w:r w:rsidRPr="00D30BB7">
              <w:rPr>
                <w:sz w:val="20"/>
                <w:lang w:val="en-US"/>
              </w:rPr>
              <w:t>0.47</w:t>
            </w:r>
          </w:p>
        </w:tc>
        <w:tc>
          <w:tcPr>
            <w:tcW w:w="979" w:type="dxa"/>
            <w:noWrap/>
            <w:hideMark/>
          </w:tcPr>
          <w:p w14:paraId="1D63575D" w14:textId="77777777" w:rsidR="00D30BB7" w:rsidRPr="00D30BB7" w:rsidRDefault="00D30BB7" w:rsidP="00BF3688">
            <w:pPr>
              <w:jc w:val="center"/>
              <w:rPr>
                <w:sz w:val="20"/>
                <w:lang w:val="en-US"/>
              </w:rPr>
            </w:pPr>
            <w:r w:rsidRPr="00D30BB7">
              <w:rPr>
                <w:sz w:val="20"/>
                <w:lang w:val="en-US"/>
              </w:rPr>
              <w:t>3.30</w:t>
            </w:r>
          </w:p>
        </w:tc>
        <w:tc>
          <w:tcPr>
            <w:tcW w:w="916" w:type="dxa"/>
            <w:noWrap/>
            <w:hideMark/>
          </w:tcPr>
          <w:p w14:paraId="071B5A83" w14:textId="77777777" w:rsidR="00D30BB7" w:rsidRPr="00D30BB7" w:rsidRDefault="00D30BB7" w:rsidP="00BF3688">
            <w:pPr>
              <w:jc w:val="center"/>
              <w:rPr>
                <w:sz w:val="20"/>
                <w:lang w:val="en-US"/>
              </w:rPr>
            </w:pPr>
            <w:r w:rsidRPr="00D30BB7">
              <w:rPr>
                <w:sz w:val="20"/>
                <w:lang w:val="en-US"/>
              </w:rPr>
              <w:t>0.07</w:t>
            </w:r>
          </w:p>
        </w:tc>
        <w:tc>
          <w:tcPr>
            <w:tcW w:w="916" w:type="dxa"/>
            <w:noWrap/>
            <w:hideMark/>
          </w:tcPr>
          <w:p w14:paraId="3F6C1142" w14:textId="77777777" w:rsidR="00D30BB7" w:rsidRPr="00D30BB7" w:rsidRDefault="00D30BB7" w:rsidP="00BF3688">
            <w:pPr>
              <w:jc w:val="center"/>
              <w:rPr>
                <w:sz w:val="20"/>
                <w:lang w:val="en-US"/>
              </w:rPr>
            </w:pPr>
            <w:r w:rsidRPr="00D30BB7">
              <w:rPr>
                <w:sz w:val="20"/>
                <w:lang w:val="en-US"/>
              </w:rPr>
              <w:t>0.34</w:t>
            </w:r>
          </w:p>
        </w:tc>
        <w:tc>
          <w:tcPr>
            <w:tcW w:w="961" w:type="dxa"/>
            <w:noWrap/>
            <w:hideMark/>
          </w:tcPr>
          <w:p w14:paraId="2FDED743" w14:textId="77777777" w:rsidR="00D30BB7" w:rsidRPr="00D30BB7" w:rsidRDefault="00D30BB7" w:rsidP="00BF3688">
            <w:pPr>
              <w:jc w:val="center"/>
              <w:rPr>
                <w:sz w:val="20"/>
                <w:lang w:val="en-US"/>
              </w:rPr>
            </w:pPr>
            <w:r w:rsidRPr="00D30BB7">
              <w:rPr>
                <w:sz w:val="20"/>
                <w:lang w:val="en-US"/>
              </w:rPr>
              <w:t>0.08</w:t>
            </w:r>
          </w:p>
        </w:tc>
        <w:tc>
          <w:tcPr>
            <w:tcW w:w="1052" w:type="dxa"/>
            <w:noWrap/>
            <w:hideMark/>
          </w:tcPr>
          <w:p w14:paraId="12F4E75B" w14:textId="77777777" w:rsidR="00D30BB7" w:rsidRPr="00D30BB7" w:rsidRDefault="00D30BB7" w:rsidP="00BF3688">
            <w:pPr>
              <w:jc w:val="center"/>
              <w:rPr>
                <w:sz w:val="20"/>
                <w:lang w:val="en-US"/>
              </w:rPr>
            </w:pPr>
            <w:r w:rsidRPr="00D30BB7">
              <w:rPr>
                <w:sz w:val="20"/>
                <w:lang w:val="en-US"/>
              </w:rPr>
              <w:t>0.01</w:t>
            </w:r>
          </w:p>
        </w:tc>
        <w:tc>
          <w:tcPr>
            <w:tcW w:w="992" w:type="dxa"/>
            <w:noWrap/>
            <w:hideMark/>
          </w:tcPr>
          <w:p w14:paraId="585C4282" w14:textId="77777777" w:rsidR="00D30BB7" w:rsidRPr="00D30BB7" w:rsidRDefault="00D30BB7" w:rsidP="00BF3688">
            <w:pPr>
              <w:jc w:val="center"/>
              <w:rPr>
                <w:sz w:val="20"/>
                <w:lang w:val="en-US"/>
              </w:rPr>
            </w:pPr>
            <w:r w:rsidRPr="00D30BB7">
              <w:rPr>
                <w:sz w:val="20"/>
                <w:lang w:val="en-US"/>
              </w:rPr>
              <w:t>0.01</w:t>
            </w:r>
          </w:p>
        </w:tc>
      </w:tr>
      <w:tr w:rsidR="00D30BB7" w:rsidRPr="00D30BB7" w14:paraId="0103CC8B" w14:textId="77777777" w:rsidTr="00BF3688">
        <w:trPr>
          <w:trHeight w:val="300"/>
        </w:trPr>
        <w:tc>
          <w:tcPr>
            <w:tcW w:w="2122" w:type="dxa"/>
            <w:tcBorders>
              <w:bottom w:val="single" w:sz="4" w:space="0" w:color="auto"/>
            </w:tcBorders>
            <w:noWrap/>
            <w:hideMark/>
          </w:tcPr>
          <w:p w14:paraId="7E708704" w14:textId="77777777" w:rsidR="00D30BB7" w:rsidRPr="00D30BB7" w:rsidRDefault="00D30BB7" w:rsidP="00BF3688">
            <w:pPr>
              <w:rPr>
                <w:sz w:val="20"/>
                <w:lang w:val="en-US"/>
              </w:rPr>
            </w:pPr>
            <w:r w:rsidRPr="00D30BB7">
              <w:rPr>
                <w:sz w:val="20"/>
                <w:lang w:val="en-US"/>
              </w:rPr>
              <w:t>Environmental impacts</w:t>
            </w:r>
          </w:p>
        </w:tc>
        <w:tc>
          <w:tcPr>
            <w:tcW w:w="846" w:type="dxa"/>
            <w:tcBorders>
              <w:bottom w:val="single" w:sz="4" w:space="0" w:color="auto"/>
            </w:tcBorders>
            <w:noWrap/>
            <w:hideMark/>
          </w:tcPr>
          <w:p w14:paraId="3DF89DEA" w14:textId="77777777" w:rsidR="00D30BB7" w:rsidRPr="00D30BB7" w:rsidRDefault="00D30BB7" w:rsidP="00BF3688">
            <w:pPr>
              <w:jc w:val="center"/>
              <w:rPr>
                <w:sz w:val="20"/>
                <w:lang w:val="en-US"/>
              </w:rPr>
            </w:pPr>
            <w:r w:rsidRPr="00D30BB7">
              <w:rPr>
                <w:sz w:val="20"/>
                <w:lang w:val="en-US"/>
              </w:rPr>
              <w:t>0.52</w:t>
            </w:r>
          </w:p>
        </w:tc>
        <w:tc>
          <w:tcPr>
            <w:tcW w:w="979" w:type="dxa"/>
            <w:tcBorders>
              <w:bottom w:val="single" w:sz="4" w:space="0" w:color="auto"/>
            </w:tcBorders>
            <w:noWrap/>
            <w:hideMark/>
          </w:tcPr>
          <w:p w14:paraId="05CEDE6C" w14:textId="77777777" w:rsidR="00D30BB7" w:rsidRPr="00D30BB7" w:rsidRDefault="00D30BB7" w:rsidP="00BF3688">
            <w:pPr>
              <w:jc w:val="center"/>
              <w:rPr>
                <w:sz w:val="20"/>
                <w:lang w:val="en-US"/>
              </w:rPr>
            </w:pPr>
            <w:r w:rsidRPr="00D30BB7">
              <w:rPr>
                <w:sz w:val="20"/>
                <w:lang w:val="en-US"/>
              </w:rPr>
              <w:t>1.59</w:t>
            </w:r>
          </w:p>
        </w:tc>
        <w:tc>
          <w:tcPr>
            <w:tcW w:w="916" w:type="dxa"/>
            <w:tcBorders>
              <w:bottom w:val="single" w:sz="4" w:space="0" w:color="auto"/>
            </w:tcBorders>
            <w:noWrap/>
            <w:hideMark/>
          </w:tcPr>
          <w:p w14:paraId="6C37827D" w14:textId="77777777" w:rsidR="00D30BB7" w:rsidRPr="00D30BB7" w:rsidRDefault="00D30BB7" w:rsidP="00BF3688">
            <w:pPr>
              <w:jc w:val="center"/>
              <w:rPr>
                <w:sz w:val="20"/>
                <w:lang w:val="en-US"/>
              </w:rPr>
            </w:pPr>
            <w:r w:rsidRPr="00D30BB7">
              <w:rPr>
                <w:sz w:val="20"/>
                <w:lang w:val="en-US"/>
              </w:rPr>
              <w:t>0.62</w:t>
            </w:r>
          </w:p>
        </w:tc>
        <w:tc>
          <w:tcPr>
            <w:tcW w:w="916" w:type="dxa"/>
            <w:tcBorders>
              <w:bottom w:val="single" w:sz="4" w:space="0" w:color="auto"/>
            </w:tcBorders>
            <w:noWrap/>
            <w:hideMark/>
          </w:tcPr>
          <w:p w14:paraId="2895EA86" w14:textId="77777777" w:rsidR="00D30BB7" w:rsidRPr="00D30BB7" w:rsidRDefault="00D30BB7" w:rsidP="00BF3688">
            <w:pPr>
              <w:jc w:val="center"/>
              <w:rPr>
                <w:sz w:val="20"/>
                <w:lang w:val="en-US"/>
              </w:rPr>
            </w:pPr>
            <w:r w:rsidRPr="00D30BB7">
              <w:rPr>
                <w:sz w:val="20"/>
                <w:lang w:val="en-US"/>
              </w:rPr>
              <w:t>0.44</w:t>
            </w:r>
          </w:p>
        </w:tc>
        <w:tc>
          <w:tcPr>
            <w:tcW w:w="961" w:type="dxa"/>
            <w:tcBorders>
              <w:bottom w:val="single" w:sz="4" w:space="0" w:color="auto"/>
            </w:tcBorders>
            <w:noWrap/>
            <w:hideMark/>
          </w:tcPr>
          <w:p w14:paraId="1A52ECED" w14:textId="77777777" w:rsidR="00D30BB7" w:rsidRPr="00D30BB7" w:rsidRDefault="00D30BB7" w:rsidP="00BF3688">
            <w:pPr>
              <w:jc w:val="center"/>
              <w:rPr>
                <w:sz w:val="20"/>
                <w:lang w:val="en-US"/>
              </w:rPr>
            </w:pPr>
            <w:r w:rsidRPr="00D30BB7">
              <w:rPr>
                <w:sz w:val="20"/>
                <w:lang w:val="en-US"/>
              </w:rPr>
              <w:t>0.11</w:t>
            </w:r>
          </w:p>
        </w:tc>
        <w:tc>
          <w:tcPr>
            <w:tcW w:w="1052" w:type="dxa"/>
            <w:tcBorders>
              <w:bottom w:val="single" w:sz="4" w:space="0" w:color="auto"/>
            </w:tcBorders>
            <w:noWrap/>
            <w:hideMark/>
          </w:tcPr>
          <w:p w14:paraId="7A57F631" w14:textId="77777777" w:rsidR="00D30BB7" w:rsidRPr="00D30BB7" w:rsidRDefault="00D30BB7" w:rsidP="00BF3688">
            <w:pPr>
              <w:jc w:val="center"/>
              <w:rPr>
                <w:sz w:val="20"/>
                <w:lang w:val="en-US"/>
              </w:rPr>
            </w:pPr>
            <w:r w:rsidRPr="00D30BB7">
              <w:rPr>
                <w:sz w:val="20"/>
                <w:lang w:val="en-US"/>
              </w:rPr>
              <w:t>0.08</w:t>
            </w:r>
          </w:p>
        </w:tc>
        <w:tc>
          <w:tcPr>
            <w:tcW w:w="992" w:type="dxa"/>
            <w:tcBorders>
              <w:bottom w:val="single" w:sz="4" w:space="0" w:color="auto"/>
            </w:tcBorders>
            <w:noWrap/>
            <w:hideMark/>
          </w:tcPr>
          <w:p w14:paraId="1B8CBB8D" w14:textId="77777777" w:rsidR="00D30BB7" w:rsidRPr="00D30BB7" w:rsidRDefault="00D30BB7" w:rsidP="00BF3688">
            <w:pPr>
              <w:jc w:val="center"/>
              <w:rPr>
                <w:sz w:val="20"/>
                <w:lang w:val="en-US"/>
              </w:rPr>
            </w:pPr>
            <w:r w:rsidRPr="00D30BB7">
              <w:rPr>
                <w:sz w:val="20"/>
                <w:lang w:val="en-US"/>
              </w:rPr>
              <w:t>0.10</w:t>
            </w:r>
          </w:p>
        </w:tc>
      </w:tr>
      <w:tr w:rsidR="00D30BB7" w:rsidRPr="00D30BB7" w14:paraId="3F462A84" w14:textId="77777777" w:rsidTr="00BF3688">
        <w:trPr>
          <w:trHeight w:val="300"/>
        </w:trPr>
        <w:tc>
          <w:tcPr>
            <w:tcW w:w="8784" w:type="dxa"/>
            <w:gridSpan w:val="8"/>
            <w:tcBorders>
              <w:top w:val="single" w:sz="4" w:space="0" w:color="auto"/>
              <w:bottom w:val="single" w:sz="4" w:space="0" w:color="auto"/>
            </w:tcBorders>
            <w:noWrap/>
            <w:hideMark/>
          </w:tcPr>
          <w:p w14:paraId="09CAAC71" w14:textId="77777777" w:rsidR="00D30BB7" w:rsidRPr="00D30BB7" w:rsidRDefault="00D30BB7" w:rsidP="00BF3688">
            <w:pPr>
              <w:jc w:val="center"/>
              <w:rPr>
                <w:sz w:val="20"/>
                <w:lang w:val="en-US"/>
              </w:rPr>
            </w:pPr>
            <w:r w:rsidRPr="00D30BB7">
              <w:rPr>
                <w:sz w:val="20"/>
                <w:lang w:val="en-US"/>
              </w:rPr>
              <w:t>Electricity</w:t>
            </w:r>
          </w:p>
        </w:tc>
      </w:tr>
      <w:tr w:rsidR="00D30BB7" w:rsidRPr="00D30BB7" w14:paraId="59FCCA55" w14:textId="77777777" w:rsidTr="00BF3688">
        <w:trPr>
          <w:trHeight w:val="300"/>
        </w:trPr>
        <w:tc>
          <w:tcPr>
            <w:tcW w:w="2122" w:type="dxa"/>
            <w:tcBorders>
              <w:top w:val="single" w:sz="4" w:space="0" w:color="auto"/>
            </w:tcBorders>
            <w:noWrap/>
            <w:hideMark/>
          </w:tcPr>
          <w:p w14:paraId="01D9E987" w14:textId="77777777" w:rsidR="00D30BB7" w:rsidRPr="00D30BB7" w:rsidRDefault="00D30BB7" w:rsidP="00BF3688">
            <w:pPr>
              <w:rPr>
                <w:sz w:val="20"/>
                <w:lang w:val="en-US"/>
              </w:rPr>
            </w:pPr>
          </w:p>
        </w:tc>
        <w:tc>
          <w:tcPr>
            <w:tcW w:w="846" w:type="dxa"/>
            <w:tcBorders>
              <w:top w:val="single" w:sz="4" w:space="0" w:color="auto"/>
            </w:tcBorders>
            <w:noWrap/>
            <w:hideMark/>
          </w:tcPr>
          <w:p w14:paraId="1FE09A7D" w14:textId="77777777" w:rsidR="00D30BB7" w:rsidRPr="00D30BB7" w:rsidRDefault="00D30BB7" w:rsidP="00BF3688">
            <w:pPr>
              <w:jc w:val="center"/>
              <w:rPr>
                <w:sz w:val="20"/>
                <w:lang w:val="en-US"/>
              </w:rPr>
            </w:pPr>
            <w:r w:rsidRPr="00D30BB7">
              <w:rPr>
                <w:sz w:val="20"/>
                <w:lang w:val="en-US"/>
              </w:rPr>
              <w:t>natural gas</w:t>
            </w:r>
          </w:p>
        </w:tc>
        <w:tc>
          <w:tcPr>
            <w:tcW w:w="979" w:type="dxa"/>
            <w:tcBorders>
              <w:top w:val="single" w:sz="4" w:space="0" w:color="auto"/>
            </w:tcBorders>
            <w:noWrap/>
            <w:hideMark/>
          </w:tcPr>
          <w:p w14:paraId="06937AF8" w14:textId="77777777" w:rsidR="00D30BB7" w:rsidRPr="00D30BB7" w:rsidRDefault="00D30BB7" w:rsidP="00BF3688">
            <w:pPr>
              <w:jc w:val="center"/>
              <w:rPr>
                <w:sz w:val="20"/>
                <w:lang w:val="en-US"/>
              </w:rPr>
            </w:pPr>
            <w:r w:rsidRPr="00D30BB7">
              <w:rPr>
                <w:sz w:val="20"/>
                <w:lang w:val="en-US"/>
              </w:rPr>
              <w:t>brown coal</w:t>
            </w:r>
          </w:p>
        </w:tc>
        <w:tc>
          <w:tcPr>
            <w:tcW w:w="916" w:type="dxa"/>
            <w:tcBorders>
              <w:top w:val="single" w:sz="4" w:space="0" w:color="auto"/>
            </w:tcBorders>
            <w:noWrap/>
            <w:hideMark/>
          </w:tcPr>
          <w:p w14:paraId="62E12022" w14:textId="77777777" w:rsidR="00D30BB7" w:rsidRPr="00D30BB7" w:rsidRDefault="00D30BB7" w:rsidP="00BF3688">
            <w:pPr>
              <w:jc w:val="center"/>
              <w:rPr>
                <w:sz w:val="20"/>
                <w:lang w:val="en-US"/>
              </w:rPr>
            </w:pPr>
            <w:r w:rsidRPr="00D30BB7">
              <w:rPr>
                <w:sz w:val="20"/>
                <w:lang w:val="en-US"/>
              </w:rPr>
              <w:t>biomass</w:t>
            </w:r>
          </w:p>
        </w:tc>
        <w:tc>
          <w:tcPr>
            <w:tcW w:w="916" w:type="dxa"/>
            <w:tcBorders>
              <w:top w:val="single" w:sz="4" w:space="0" w:color="auto"/>
            </w:tcBorders>
            <w:noWrap/>
            <w:hideMark/>
          </w:tcPr>
          <w:p w14:paraId="719AA059" w14:textId="77777777" w:rsidR="00D30BB7" w:rsidRPr="00D30BB7" w:rsidRDefault="00D30BB7" w:rsidP="00BF3688">
            <w:pPr>
              <w:jc w:val="center"/>
              <w:rPr>
                <w:sz w:val="20"/>
                <w:lang w:val="en-US"/>
              </w:rPr>
            </w:pPr>
            <w:r w:rsidRPr="00D30BB7">
              <w:rPr>
                <w:sz w:val="20"/>
                <w:lang w:val="en-US"/>
              </w:rPr>
              <w:t>nuclear</w:t>
            </w:r>
          </w:p>
        </w:tc>
        <w:tc>
          <w:tcPr>
            <w:tcW w:w="961" w:type="dxa"/>
            <w:tcBorders>
              <w:top w:val="single" w:sz="4" w:space="0" w:color="auto"/>
            </w:tcBorders>
            <w:noWrap/>
            <w:hideMark/>
          </w:tcPr>
          <w:p w14:paraId="54067B07" w14:textId="77777777" w:rsidR="00D30BB7" w:rsidRPr="00D30BB7" w:rsidRDefault="00D30BB7" w:rsidP="00BF3688">
            <w:pPr>
              <w:jc w:val="center"/>
              <w:rPr>
                <w:sz w:val="20"/>
                <w:lang w:val="en-US"/>
              </w:rPr>
            </w:pPr>
            <w:r w:rsidRPr="00D30BB7">
              <w:rPr>
                <w:sz w:val="20"/>
                <w:lang w:val="en-US"/>
              </w:rPr>
              <w:t>wind</w:t>
            </w:r>
          </w:p>
        </w:tc>
        <w:tc>
          <w:tcPr>
            <w:tcW w:w="1052" w:type="dxa"/>
            <w:tcBorders>
              <w:top w:val="single" w:sz="4" w:space="0" w:color="auto"/>
            </w:tcBorders>
            <w:noWrap/>
            <w:hideMark/>
          </w:tcPr>
          <w:p w14:paraId="17AAAFC2" w14:textId="77777777" w:rsidR="00D30BB7" w:rsidRPr="00D30BB7" w:rsidRDefault="00D30BB7" w:rsidP="00BF3688">
            <w:pPr>
              <w:jc w:val="center"/>
              <w:rPr>
                <w:sz w:val="20"/>
                <w:lang w:val="en-US"/>
              </w:rPr>
            </w:pPr>
            <w:r w:rsidRPr="00D30BB7">
              <w:rPr>
                <w:sz w:val="20"/>
                <w:lang w:val="en-US"/>
              </w:rPr>
              <w:t>solar</w:t>
            </w:r>
          </w:p>
        </w:tc>
        <w:tc>
          <w:tcPr>
            <w:tcW w:w="992" w:type="dxa"/>
            <w:tcBorders>
              <w:top w:val="single" w:sz="4" w:space="0" w:color="auto"/>
            </w:tcBorders>
            <w:noWrap/>
            <w:hideMark/>
          </w:tcPr>
          <w:p w14:paraId="0A2574C1" w14:textId="77777777" w:rsidR="00D30BB7" w:rsidRPr="00D30BB7" w:rsidRDefault="00D30BB7" w:rsidP="00BF3688">
            <w:pPr>
              <w:jc w:val="center"/>
              <w:rPr>
                <w:sz w:val="20"/>
                <w:lang w:val="en-US"/>
              </w:rPr>
            </w:pPr>
            <w:r w:rsidRPr="00D30BB7">
              <w:rPr>
                <w:sz w:val="20"/>
                <w:lang w:val="en-US"/>
              </w:rPr>
              <w:t>hydro</w:t>
            </w:r>
          </w:p>
        </w:tc>
      </w:tr>
      <w:tr w:rsidR="00D30BB7" w:rsidRPr="00D30BB7" w14:paraId="29C9046E" w14:textId="77777777" w:rsidTr="00BF3688">
        <w:trPr>
          <w:trHeight w:val="300"/>
        </w:trPr>
        <w:tc>
          <w:tcPr>
            <w:tcW w:w="2122" w:type="dxa"/>
            <w:noWrap/>
            <w:hideMark/>
          </w:tcPr>
          <w:p w14:paraId="51EAFDE3" w14:textId="77777777" w:rsidR="00D30BB7" w:rsidRPr="00D30BB7" w:rsidRDefault="00D30BB7" w:rsidP="00BF3688">
            <w:pPr>
              <w:rPr>
                <w:sz w:val="20"/>
                <w:lang w:val="en-US"/>
              </w:rPr>
            </w:pPr>
            <w:r w:rsidRPr="00D30BB7">
              <w:rPr>
                <w:sz w:val="20"/>
                <w:lang w:val="en-US"/>
              </w:rPr>
              <w:t>Fixed cost</w:t>
            </w:r>
          </w:p>
        </w:tc>
        <w:tc>
          <w:tcPr>
            <w:tcW w:w="846" w:type="dxa"/>
            <w:noWrap/>
            <w:hideMark/>
          </w:tcPr>
          <w:p w14:paraId="3F1AD398" w14:textId="77777777" w:rsidR="00D30BB7" w:rsidRPr="00D30BB7" w:rsidRDefault="00D30BB7" w:rsidP="00BF3688">
            <w:pPr>
              <w:jc w:val="center"/>
              <w:rPr>
                <w:sz w:val="20"/>
                <w:lang w:val="en-US"/>
              </w:rPr>
            </w:pPr>
            <w:r w:rsidRPr="00D30BB7">
              <w:rPr>
                <w:sz w:val="20"/>
                <w:lang w:val="en-US"/>
              </w:rPr>
              <w:t>0.38</w:t>
            </w:r>
          </w:p>
        </w:tc>
        <w:tc>
          <w:tcPr>
            <w:tcW w:w="979" w:type="dxa"/>
            <w:noWrap/>
            <w:hideMark/>
          </w:tcPr>
          <w:p w14:paraId="033437CD" w14:textId="77777777" w:rsidR="00D30BB7" w:rsidRPr="00D30BB7" w:rsidRDefault="00D30BB7" w:rsidP="00BF3688">
            <w:pPr>
              <w:jc w:val="center"/>
              <w:rPr>
                <w:sz w:val="20"/>
                <w:lang w:val="en-US"/>
              </w:rPr>
            </w:pPr>
            <w:r w:rsidRPr="00D30BB7">
              <w:rPr>
                <w:sz w:val="20"/>
                <w:lang w:val="en-US"/>
              </w:rPr>
              <w:t>0.93</w:t>
            </w:r>
          </w:p>
        </w:tc>
        <w:tc>
          <w:tcPr>
            <w:tcW w:w="916" w:type="dxa"/>
            <w:noWrap/>
            <w:hideMark/>
          </w:tcPr>
          <w:p w14:paraId="054D7530" w14:textId="77777777" w:rsidR="00D30BB7" w:rsidRPr="00D30BB7" w:rsidRDefault="00D30BB7" w:rsidP="00BF3688">
            <w:pPr>
              <w:jc w:val="center"/>
              <w:rPr>
                <w:sz w:val="20"/>
                <w:lang w:val="en-US"/>
              </w:rPr>
            </w:pPr>
            <w:r w:rsidRPr="00D30BB7">
              <w:rPr>
                <w:sz w:val="20"/>
                <w:lang w:val="en-US"/>
              </w:rPr>
              <w:t>1.11</w:t>
            </w:r>
          </w:p>
        </w:tc>
        <w:tc>
          <w:tcPr>
            <w:tcW w:w="916" w:type="dxa"/>
            <w:noWrap/>
            <w:hideMark/>
          </w:tcPr>
          <w:p w14:paraId="07957162" w14:textId="77777777" w:rsidR="00D30BB7" w:rsidRPr="00D30BB7" w:rsidRDefault="00D30BB7" w:rsidP="00BF3688">
            <w:pPr>
              <w:jc w:val="center"/>
              <w:rPr>
                <w:sz w:val="20"/>
                <w:lang w:val="en-US"/>
              </w:rPr>
            </w:pPr>
            <w:r w:rsidRPr="00D30BB7">
              <w:rPr>
                <w:sz w:val="20"/>
                <w:lang w:val="en-US"/>
              </w:rPr>
              <w:t>1.28</w:t>
            </w:r>
          </w:p>
        </w:tc>
        <w:tc>
          <w:tcPr>
            <w:tcW w:w="961" w:type="dxa"/>
            <w:noWrap/>
            <w:hideMark/>
          </w:tcPr>
          <w:p w14:paraId="0B2B76E4" w14:textId="77777777" w:rsidR="00D30BB7" w:rsidRPr="00D30BB7" w:rsidRDefault="00D30BB7" w:rsidP="00BF3688">
            <w:pPr>
              <w:jc w:val="center"/>
              <w:rPr>
                <w:sz w:val="20"/>
                <w:lang w:val="en-US"/>
              </w:rPr>
            </w:pPr>
            <w:r w:rsidRPr="00D30BB7">
              <w:rPr>
                <w:sz w:val="20"/>
                <w:lang w:val="en-US"/>
              </w:rPr>
              <w:t>0.70</w:t>
            </w:r>
          </w:p>
        </w:tc>
        <w:tc>
          <w:tcPr>
            <w:tcW w:w="1052" w:type="dxa"/>
            <w:noWrap/>
            <w:hideMark/>
          </w:tcPr>
          <w:p w14:paraId="1D7CB930" w14:textId="77777777" w:rsidR="00D30BB7" w:rsidRPr="00D30BB7" w:rsidRDefault="00D30BB7" w:rsidP="00BF3688">
            <w:pPr>
              <w:jc w:val="center"/>
              <w:rPr>
                <w:sz w:val="20"/>
                <w:lang w:val="en-US"/>
              </w:rPr>
            </w:pPr>
            <w:r w:rsidRPr="00D30BB7">
              <w:rPr>
                <w:sz w:val="20"/>
                <w:lang w:val="en-US"/>
              </w:rPr>
              <w:t>0.17</w:t>
            </w:r>
          </w:p>
        </w:tc>
        <w:tc>
          <w:tcPr>
            <w:tcW w:w="992" w:type="dxa"/>
            <w:noWrap/>
            <w:hideMark/>
          </w:tcPr>
          <w:p w14:paraId="54D92764" w14:textId="77777777" w:rsidR="00D30BB7" w:rsidRPr="00D30BB7" w:rsidRDefault="00D30BB7" w:rsidP="00BF3688">
            <w:pPr>
              <w:jc w:val="center"/>
              <w:rPr>
                <w:sz w:val="20"/>
                <w:lang w:val="en-US"/>
              </w:rPr>
            </w:pPr>
            <w:r w:rsidRPr="00D30BB7">
              <w:rPr>
                <w:sz w:val="20"/>
                <w:lang w:val="en-US"/>
              </w:rPr>
              <w:t>1.20</w:t>
            </w:r>
          </w:p>
        </w:tc>
      </w:tr>
      <w:tr w:rsidR="00D30BB7" w:rsidRPr="00D30BB7" w14:paraId="62E2A610" w14:textId="77777777" w:rsidTr="00BF3688">
        <w:trPr>
          <w:trHeight w:val="300"/>
        </w:trPr>
        <w:tc>
          <w:tcPr>
            <w:tcW w:w="2122" w:type="dxa"/>
            <w:noWrap/>
            <w:hideMark/>
          </w:tcPr>
          <w:p w14:paraId="1FBBAAB5" w14:textId="77777777" w:rsidR="00D30BB7" w:rsidRPr="00D30BB7" w:rsidRDefault="00D30BB7" w:rsidP="00BF3688">
            <w:pPr>
              <w:rPr>
                <w:sz w:val="20"/>
                <w:lang w:val="en-US"/>
              </w:rPr>
            </w:pPr>
            <w:r w:rsidRPr="00D30BB7">
              <w:rPr>
                <w:sz w:val="20"/>
                <w:lang w:val="en-US"/>
              </w:rPr>
              <w:t>Variable cost</w:t>
            </w:r>
          </w:p>
        </w:tc>
        <w:tc>
          <w:tcPr>
            <w:tcW w:w="846" w:type="dxa"/>
            <w:noWrap/>
            <w:hideMark/>
          </w:tcPr>
          <w:p w14:paraId="7D90A4D0" w14:textId="77777777" w:rsidR="00D30BB7" w:rsidRPr="00D30BB7" w:rsidRDefault="00D30BB7" w:rsidP="00BF3688">
            <w:pPr>
              <w:jc w:val="center"/>
              <w:rPr>
                <w:sz w:val="20"/>
                <w:lang w:val="en-US"/>
              </w:rPr>
            </w:pPr>
            <w:r w:rsidRPr="00D30BB7">
              <w:rPr>
                <w:sz w:val="20"/>
                <w:lang w:val="en-US"/>
              </w:rPr>
              <w:t>0.95</w:t>
            </w:r>
          </w:p>
        </w:tc>
        <w:tc>
          <w:tcPr>
            <w:tcW w:w="979" w:type="dxa"/>
            <w:noWrap/>
            <w:hideMark/>
          </w:tcPr>
          <w:p w14:paraId="310FAF35" w14:textId="77777777" w:rsidR="00D30BB7" w:rsidRPr="00D30BB7" w:rsidRDefault="00D30BB7" w:rsidP="00BF3688">
            <w:pPr>
              <w:jc w:val="center"/>
              <w:rPr>
                <w:sz w:val="20"/>
                <w:lang w:val="en-US"/>
              </w:rPr>
            </w:pPr>
            <w:r w:rsidRPr="00D30BB7">
              <w:rPr>
                <w:sz w:val="20"/>
                <w:lang w:val="en-US"/>
              </w:rPr>
              <w:t>0.54</w:t>
            </w:r>
          </w:p>
        </w:tc>
        <w:tc>
          <w:tcPr>
            <w:tcW w:w="916" w:type="dxa"/>
            <w:noWrap/>
            <w:hideMark/>
          </w:tcPr>
          <w:p w14:paraId="41C1509B" w14:textId="77777777" w:rsidR="00D30BB7" w:rsidRPr="00D30BB7" w:rsidRDefault="00D30BB7" w:rsidP="00BF3688">
            <w:pPr>
              <w:jc w:val="center"/>
              <w:rPr>
                <w:sz w:val="20"/>
                <w:lang w:val="en-US"/>
              </w:rPr>
            </w:pPr>
            <w:r w:rsidRPr="00D30BB7">
              <w:rPr>
                <w:sz w:val="20"/>
                <w:lang w:val="en-US"/>
              </w:rPr>
              <w:t>0.63</w:t>
            </w:r>
          </w:p>
        </w:tc>
        <w:tc>
          <w:tcPr>
            <w:tcW w:w="916" w:type="dxa"/>
            <w:noWrap/>
            <w:hideMark/>
          </w:tcPr>
          <w:p w14:paraId="303E27AC" w14:textId="77777777" w:rsidR="00D30BB7" w:rsidRPr="00D30BB7" w:rsidRDefault="00D30BB7" w:rsidP="00BF3688">
            <w:pPr>
              <w:jc w:val="center"/>
              <w:rPr>
                <w:sz w:val="20"/>
                <w:lang w:val="en-US"/>
              </w:rPr>
            </w:pPr>
            <w:r w:rsidRPr="00D30BB7">
              <w:rPr>
                <w:sz w:val="20"/>
                <w:lang w:val="en-US"/>
              </w:rPr>
              <w:t>0.29</w:t>
            </w:r>
          </w:p>
        </w:tc>
        <w:tc>
          <w:tcPr>
            <w:tcW w:w="961" w:type="dxa"/>
            <w:noWrap/>
            <w:hideMark/>
          </w:tcPr>
          <w:p w14:paraId="5B84B166" w14:textId="77777777" w:rsidR="00D30BB7" w:rsidRPr="00D30BB7" w:rsidRDefault="00D30BB7" w:rsidP="00BF3688">
            <w:pPr>
              <w:jc w:val="center"/>
              <w:rPr>
                <w:sz w:val="20"/>
                <w:lang w:val="en-US"/>
              </w:rPr>
            </w:pPr>
            <w:r w:rsidRPr="00D30BB7">
              <w:rPr>
                <w:sz w:val="20"/>
                <w:lang w:val="en-US"/>
              </w:rPr>
              <w:t>0.23</w:t>
            </w:r>
          </w:p>
        </w:tc>
        <w:tc>
          <w:tcPr>
            <w:tcW w:w="1052" w:type="dxa"/>
            <w:noWrap/>
            <w:hideMark/>
          </w:tcPr>
          <w:p w14:paraId="0C966D93" w14:textId="77777777" w:rsidR="00D30BB7" w:rsidRPr="00D30BB7" w:rsidRDefault="00D30BB7" w:rsidP="00BF3688">
            <w:pPr>
              <w:jc w:val="center"/>
              <w:rPr>
                <w:sz w:val="20"/>
                <w:lang w:val="en-US"/>
              </w:rPr>
            </w:pPr>
            <w:r w:rsidRPr="00D30BB7">
              <w:rPr>
                <w:sz w:val="20"/>
                <w:lang w:val="en-US"/>
              </w:rPr>
              <w:t>0.40</w:t>
            </w:r>
          </w:p>
        </w:tc>
        <w:tc>
          <w:tcPr>
            <w:tcW w:w="992" w:type="dxa"/>
            <w:noWrap/>
            <w:hideMark/>
          </w:tcPr>
          <w:p w14:paraId="01F659E0" w14:textId="77777777" w:rsidR="00D30BB7" w:rsidRPr="00D30BB7" w:rsidRDefault="00D30BB7" w:rsidP="00BF3688">
            <w:pPr>
              <w:jc w:val="center"/>
              <w:rPr>
                <w:sz w:val="20"/>
                <w:lang w:val="en-US"/>
              </w:rPr>
            </w:pPr>
            <w:r w:rsidRPr="00D30BB7">
              <w:rPr>
                <w:sz w:val="20"/>
                <w:lang w:val="en-US"/>
              </w:rPr>
              <w:t>0.34</w:t>
            </w:r>
          </w:p>
        </w:tc>
      </w:tr>
      <w:tr w:rsidR="00D30BB7" w:rsidRPr="00D30BB7" w14:paraId="6B5B4C5F" w14:textId="77777777" w:rsidTr="00BF3688">
        <w:trPr>
          <w:trHeight w:val="300"/>
        </w:trPr>
        <w:tc>
          <w:tcPr>
            <w:tcW w:w="2122" w:type="dxa"/>
            <w:noWrap/>
            <w:hideMark/>
          </w:tcPr>
          <w:p w14:paraId="2C099CCA" w14:textId="77777777" w:rsidR="00D30BB7" w:rsidRPr="00D30BB7" w:rsidRDefault="00D30BB7" w:rsidP="00BF3688">
            <w:pPr>
              <w:rPr>
                <w:sz w:val="20"/>
                <w:lang w:val="en-US"/>
              </w:rPr>
            </w:pPr>
            <w:r w:rsidRPr="00D30BB7">
              <w:rPr>
                <w:sz w:val="20"/>
                <w:lang w:val="en-US"/>
              </w:rPr>
              <w:t>Climate effect</w:t>
            </w:r>
          </w:p>
        </w:tc>
        <w:tc>
          <w:tcPr>
            <w:tcW w:w="846" w:type="dxa"/>
            <w:noWrap/>
            <w:hideMark/>
          </w:tcPr>
          <w:p w14:paraId="07D0CE39" w14:textId="77777777" w:rsidR="00D30BB7" w:rsidRPr="00D30BB7" w:rsidRDefault="00D30BB7" w:rsidP="00BF3688">
            <w:pPr>
              <w:jc w:val="center"/>
              <w:rPr>
                <w:sz w:val="20"/>
                <w:lang w:val="en-US"/>
              </w:rPr>
            </w:pPr>
            <w:r w:rsidRPr="00D30BB7">
              <w:rPr>
                <w:sz w:val="20"/>
                <w:lang w:val="en-US"/>
              </w:rPr>
              <w:t>1.73</w:t>
            </w:r>
          </w:p>
        </w:tc>
        <w:tc>
          <w:tcPr>
            <w:tcW w:w="979" w:type="dxa"/>
            <w:noWrap/>
            <w:hideMark/>
          </w:tcPr>
          <w:p w14:paraId="70841634" w14:textId="77777777" w:rsidR="00D30BB7" w:rsidRPr="00D30BB7" w:rsidRDefault="00D30BB7" w:rsidP="00BF3688">
            <w:pPr>
              <w:jc w:val="center"/>
              <w:rPr>
                <w:sz w:val="20"/>
                <w:lang w:val="en-US"/>
              </w:rPr>
            </w:pPr>
            <w:r w:rsidRPr="00D30BB7">
              <w:rPr>
                <w:sz w:val="20"/>
                <w:lang w:val="en-US"/>
              </w:rPr>
              <w:t>3.30</w:t>
            </w:r>
          </w:p>
        </w:tc>
        <w:tc>
          <w:tcPr>
            <w:tcW w:w="916" w:type="dxa"/>
            <w:noWrap/>
            <w:hideMark/>
          </w:tcPr>
          <w:p w14:paraId="1654BD42" w14:textId="77777777" w:rsidR="00D30BB7" w:rsidRPr="00D30BB7" w:rsidRDefault="00D30BB7" w:rsidP="00BF3688">
            <w:pPr>
              <w:jc w:val="center"/>
              <w:rPr>
                <w:sz w:val="20"/>
                <w:lang w:val="en-US"/>
              </w:rPr>
            </w:pPr>
            <w:r w:rsidRPr="00D30BB7">
              <w:rPr>
                <w:sz w:val="20"/>
                <w:lang w:val="en-US"/>
              </w:rPr>
              <w:t>0.30</w:t>
            </w:r>
          </w:p>
        </w:tc>
        <w:tc>
          <w:tcPr>
            <w:tcW w:w="916" w:type="dxa"/>
            <w:noWrap/>
            <w:hideMark/>
          </w:tcPr>
          <w:p w14:paraId="4BED43E6" w14:textId="77777777" w:rsidR="00D30BB7" w:rsidRPr="00D30BB7" w:rsidRDefault="00D30BB7" w:rsidP="00BF3688">
            <w:pPr>
              <w:jc w:val="center"/>
              <w:rPr>
                <w:sz w:val="20"/>
                <w:lang w:val="en-US"/>
              </w:rPr>
            </w:pPr>
            <w:r w:rsidRPr="00D30BB7">
              <w:rPr>
                <w:sz w:val="20"/>
                <w:lang w:val="en-US"/>
              </w:rPr>
              <w:t>0.04</w:t>
            </w:r>
          </w:p>
        </w:tc>
        <w:tc>
          <w:tcPr>
            <w:tcW w:w="961" w:type="dxa"/>
            <w:noWrap/>
            <w:hideMark/>
          </w:tcPr>
          <w:p w14:paraId="6852ADDD" w14:textId="77777777" w:rsidR="00D30BB7" w:rsidRPr="00D30BB7" w:rsidRDefault="00D30BB7" w:rsidP="00BF3688">
            <w:pPr>
              <w:jc w:val="center"/>
              <w:rPr>
                <w:sz w:val="20"/>
                <w:lang w:val="en-US"/>
              </w:rPr>
            </w:pPr>
            <w:r w:rsidRPr="00D30BB7">
              <w:rPr>
                <w:sz w:val="20"/>
                <w:lang w:val="en-US"/>
              </w:rPr>
              <w:t>0.03</w:t>
            </w:r>
          </w:p>
        </w:tc>
        <w:tc>
          <w:tcPr>
            <w:tcW w:w="1052" w:type="dxa"/>
            <w:noWrap/>
            <w:hideMark/>
          </w:tcPr>
          <w:p w14:paraId="46E4D2EC" w14:textId="77777777" w:rsidR="00D30BB7" w:rsidRPr="00D30BB7" w:rsidRDefault="00D30BB7" w:rsidP="00BF3688">
            <w:pPr>
              <w:jc w:val="center"/>
              <w:rPr>
                <w:sz w:val="20"/>
                <w:lang w:val="en-US"/>
              </w:rPr>
            </w:pPr>
            <w:r w:rsidRPr="00D30BB7">
              <w:rPr>
                <w:sz w:val="20"/>
                <w:lang w:val="en-US"/>
              </w:rPr>
              <w:t>0.29</w:t>
            </w:r>
          </w:p>
        </w:tc>
        <w:tc>
          <w:tcPr>
            <w:tcW w:w="992" w:type="dxa"/>
            <w:noWrap/>
            <w:hideMark/>
          </w:tcPr>
          <w:p w14:paraId="537C8731" w14:textId="77777777" w:rsidR="00D30BB7" w:rsidRPr="00D30BB7" w:rsidRDefault="00D30BB7" w:rsidP="00BF3688">
            <w:pPr>
              <w:jc w:val="center"/>
              <w:rPr>
                <w:sz w:val="20"/>
                <w:lang w:val="en-US"/>
              </w:rPr>
            </w:pPr>
            <w:r w:rsidRPr="00D30BB7">
              <w:rPr>
                <w:sz w:val="20"/>
                <w:lang w:val="en-US"/>
              </w:rPr>
              <w:t>0.02</w:t>
            </w:r>
          </w:p>
        </w:tc>
      </w:tr>
      <w:tr w:rsidR="00D30BB7" w:rsidRPr="00D30BB7" w14:paraId="4BC0B8C0" w14:textId="77777777" w:rsidTr="00BF3688">
        <w:trPr>
          <w:trHeight w:val="300"/>
        </w:trPr>
        <w:tc>
          <w:tcPr>
            <w:tcW w:w="2122" w:type="dxa"/>
            <w:tcBorders>
              <w:bottom w:val="single" w:sz="4" w:space="0" w:color="auto"/>
            </w:tcBorders>
            <w:noWrap/>
            <w:hideMark/>
          </w:tcPr>
          <w:p w14:paraId="288DD618" w14:textId="77777777" w:rsidR="00D30BB7" w:rsidRPr="00D30BB7" w:rsidRDefault="00D30BB7" w:rsidP="00BF3688">
            <w:pPr>
              <w:rPr>
                <w:sz w:val="20"/>
                <w:lang w:val="en-US"/>
              </w:rPr>
            </w:pPr>
            <w:r w:rsidRPr="00D30BB7">
              <w:rPr>
                <w:sz w:val="20"/>
                <w:lang w:val="en-US"/>
              </w:rPr>
              <w:t>Environmental impacts</w:t>
            </w:r>
          </w:p>
        </w:tc>
        <w:tc>
          <w:tcPr>
            <w:tcW w:w="846" w:type="dxa"/>
            <w:tcBorders>
              <w:bottom w:val="single" w:sz="4" w:space="0" w:color="auto"/>
            </w:tcBorders>
            <w:noWrap/>
            <w:hideMark/>
          </w:tcPr>
          <w:p w14:paraId="645B1AAD" w14:textId="77777777" w:rsidR="00D30BB7" w:rsidRPr="00D30BB7" w:rsidRDefault="00D30BB7" w:rsidP="00BF3688">
            <w:pPr>
              <w:jc w:val="center"/>
              <w:rPr>
                <w:sz w:val="20"/>
                <w:lang w:val="en-US"/>
              </w:rPr>
            </w:pPr>
            <w:r w:rsidRPr="00D30BB7">
              <w:rPr>
                <w:sz w:val="20"/>
                <w:lang w:val="en-US"/>
              </w:rPr>
              <w:t>0.59</w:t>
            </w:r>
          </w:p>
        </w:tc>
        <w:tc>
          <w:tcPr>
            <w:tcW w:w="979" w:type="dxa"/>
            <w:tcBorders>
              <w:bottom w:val="single" w:sz="4" w:space="0" w:color="auto"/>
            </w:tcBorders>
            <w:noWrap/>
            <w:hideMark/>
          </w:tcPr>
          <w:p w14:paraId="161B5563" w14:textId="77777777" w:rsidR="00D30BB7" w:rsidRPr="00D30BB7" w:rsidRDefault="00D30BB7" w:rsidP="00BF3688">
            <w:pPr>
              <w:jc w:val="center"/>
              <w:rPr>
                <w:sz w:val="20"/>
                <w:lang w:val="en-US"/>
              </w:rPr>
            </w:pPr>
            <w:r w:rsidRPr="00D30BB7">
              <w:rPr>
                <w:sz w:val="20"/>
                <w:lang w:val="en-US"/>
              </w:rPr>
              <w:t>1.59</w:t>
            </w:r>
          </w:p>
        </w:tc>
        <w:tc>
          <w:tcPr>
            <w:tcW w:w="916" w:type="dxa"/>
            <w:tcBorders>
              <w:bottom w:val="single" w:sz="4" w:space="0" w:color="auto"/>
            </w:tcBorders>
            <w:noWrap/>
            <w:hideMark/>
          </w:tcPr>
          <w:p w14:paraId="31A77814" w14:textId="77777777" w:rsidR="00D30BB7" w:rsidRPr="00D30BB7" w:rsidRDefault="00D30BB7" w:rsidP="00BF3688">
            <w:pPr>
              <w:jc w:val="center"/>
              <w:rPr>
                <w:sz w:val="20"/>
                <w:lang w:val="en-US"/>
              </w:rPr>
            </w:pPr>
            <w:r w:rsidRPr="00D30BB7">
              <w:rPr>
                <w:sz w:val="20"/>
                <w:lang w:val="en-US"/>
              </w:rPr>
              <w:t>3.04</w:t>
            </w:r>
          </w:p>
        </w:tc>
        <w:tc>
          <w:tcPr>
            <w:tcW w:w="916" w:type="dxa"/>
            <w:tcBorders>
              <w:bottom w:val="single" w:sz="4" w:space="0" w:color="auto"/>
            </w:tcBorders>
            <w:noWrap/>
            <w:hideMark/>
          </w:tcPr>
          <w:p w14:paraId="00B66B31" w14:textId="77777777" w:rsidR="00D30BB7" w:rsidRPr="00D30BB7" w:rsidRDefault="00D30BB7" w:rsidP="00BF3688">
            <w:pPr>
              <w:jc w:val="center"/>
              <w:rPr>
                <w:sz w:val="20"/>
                <w:lang w:val="en-US"/>
              </w:rPr>
            </w:pPr>
            <w:r w:rsidRPr="00D30BB7">
              <w:rPr>
                <w:sz w:val="20"/>
                <w:lang w:val="en-US"/>
              </w:rPr>
              <w:t>0.17</w:t>
            </w:r>
          </w:p>
        </w:tc>
        <w:tc>
          <w:tcPr>
            <w:tcW w:w="961" w:type="dxa"/>
            <w:tcBorders>
              <w:bottom w:val="single" w:sz="4" w:space="0" w:color="auto"/>
            </w:tcBorders>
            <w:noWrap/>
            <w:hideMark/>
          </w:tcPr>
          <w:p w14:paraId="713AD4B2" w14:textId="77777777" w:rsidR="00D30BB7" w:rsidRPr="00D30BB7" w:rsidRDefault="00D30BB7" w:rsidP="00BF3688">
            <w:pPr>
              <w:jc w:val="center"/>
              <w:rPr>
                <w:sz w:val="20"/>
                <w:lang w:val="en-US"/>
              </w:rPr>
            </w:pPr>
            <w:r w:rsidRPr="00D30BB7">
              <w:rPr>
                <w:sz w:val="20"/>
                <w:lang w:val="en-US"/>
              </w:rPr>
              <w:t>0.09</w:t>
            </w:r>
          </w:p>
        </w:tc>
        <w:tc>
          <w:tcPr>
            <w:tcW w:w="1052" w:type="dxa"/>
            <w:tcBorders>
              <w:bottom w:val="single" w:sz="4" w:space="0" w:color="auto"/>
            </w:tcBorders>
            <w:noWrap/>
            <w:hideMark/>
          </w:tcPr>
          <w:p w14:paraId="78FE9CB5" w14:textId="77777777" w:rsidR="00D30BB7" w:rsidRPr="00D30BB7" w:rsidRDefault="00D30BB7" w:rsidP="00BF3688">
            <w:pPr>
              <w:jc w:val="center"/>
              <w:rPr>
                <w:sz w:val="20"/>
                <w:lang w:val="en-US"/>
              </w:rPr>
            </w:pPr>
            <w:r w:rsidRPr="00D30BB7">
              <w:rPr>
                <w:sz w:val="20"/>
                <w:lang w:val="en-US"/>
              </w:rPr>
              <w:t>0.98</w:t>
            </w:r>
          </w:p>
        </w:tc>
        <w:tc>
          <w:tcPr>
            <w:tcW w:w="992" w:type="dxa"/>
            <w:tcBorders>
              <w:bottom w:val="single" w:sz="4" w:space="0" w:color="auto"/>
            </w:tcBorders>
            <w:noWrap/>
            <w:hideMark/>
          </w:tcPr>
          <w:p w14:paraId="5ACED4A6" w14:textId="77777777" w:rsidR="00D30BB7" w:rsidRPr="00D30BB7" w:rsidRDefault="00D30BB7" w:rsidP="00BF3688">
            <w:pPr>
              <w:jc w:val="center"/>
              <w:rPr>
                <w:sz w:val="20"/>
                <w:lang w:val="en-US"/>
              </w:rPr>
            </w:pPr>
            <w:r w:rsidRPr="00D30BB7">
              <w:rPr>
                <w:sz w:val="20"/>
                <w:lang w:val="en-US"/>
              </w:rPr>
              <w:t>0.06</w:t>
            </w:r>
          </w:p>
        </w:tc>
      </w:tr>
    </w:tbl>
    <w:p w14:paraId="17E6CC09" w14:textId="1900E7F9" w:rsidR="00D30BB7" w:rsidRDefault="00D30BB7" w:rsidP="00A64D43">
      <w:pPr>
        <w:pStyle w:val="EvkonyvNormal"/>
        <w:spacing w:after="120"/>
        <w:jc w:val="center"/>
      </w:pPr>
      <w:r w:rsidRPr="00CE6444">
        <w:rPr>
          <w:lang w:val="en-US"/>
        </w:rPr>
        <w:fldChar w:fldCharType="end"/>
      </w:r>
    </w:p>
    <w:p w14:paraId="368FBF68" w14:textId="08AC2481" w:rsidR="00A64D43" w:rsidRDefault="00A64D43" w:rsidP="00A64D43">
      <w:pPr>
        <w:pStyle w:val="Szvegtrzs"/>
      </w:pPr>
      <w:r w:rsidRPr="00A64D43">
        <w:rPr>
          <w:lang w:val="en-US"/>
        </w:rPr>
        <w:t xml:space="preserve">For economic considerations, we accounted for a 25% fuel savings due to the efficiency increase related to cogeneration. However, we tried to control the up and down regulation of power plants with additional costs. Since we separated fixed and variable costs in our work, our model belongs to a narrow group of distribution tasks, which we solved as a continuous relaxation of the transportation task with fixed costs. The study introduces </w:t>
      </w:r>
      <m:oMath>
        <m:r>
          <w:rPr>
            <w:rFonts w:ascii="Cambria Math" w:eastAsia="Calibri" w:hAnsi="Cambria Math"/>
            <w:lang w:val="en-US"/>
          </w:rPr>
          <m:t>w</m:t>
        </m:r>
        <m:d>
          <m:dPr>
            <m:ctrlPr>
              <w:rPr>
                <w:rFonts w:ascii="Cambria Math" w:eastAsia="Calibri" w:hAnsi="Cambria Math"/>
                <w:i/>
                <w:lang w:val="en-US"/>
              </w:rPr>
            </m:ctrlPr>
          </m:dPr>
          <m:e>
            <m:r>
              <w:rPr>
                <w:rFonts w:ascii="Cambria Math" w:eastAsia="Calibri" w:hAnsi="Cambria Math"/>
                <w:lang w:val="en-US"/>
              </w:rPr>
              <m:t>s</m:t>
            </m:r>
          </m:e>
        </m:d>
      </m:oMath>
      <w:r w:rsidRPr="00A64D43">
        <w:rPr>
          <w:lang w:val="en-US"/>
        </w:rPr>
        <w:t xml:space="preserve"> importance weights of criteria (</w:t>
      </w:r>
      <w:r w:rsidRPr="00A64D43">
        <w:rPr>
          <w:i/>
          <w:lang w:val="en-US"/>
        </w:rPr>
        <w:t>s</w:t>
      </w:r>
      <w:r w:rsidRPr="00A64D43">
        <w:rPr>
          <w:lang w:val="en-US"/>
        </w:rPr>
        <w:t xml:space="preserve">), the scores of alternatives according to criteria based on data from the literature, in case of installed capacities </w:t>
      </w:r>
      <m:oMath>
        <m:r>
          <w:rPr>
            <w:rFonts w:ascii="Cambria Math" w:eastAsia="Calibri" w:hAnsi="Cambria Math"/>
            <w:lang w:val="en-US"/>
          </w:rPr>
          <m:t>CP</m:t>
        </m:r>
        <m:d>
          <m:dPr>
            <m:ctrlPr>
              <w:rPr>
                <w:rFonts w:ascii="Cambria Math" w:eastAsia="Calibri" w:hAnsi="Cambria Math"/>
                <w:i/>
                <w:lang w:val="en-US"/>
              </w:rPr>
            </m:ctrlPr>
          </m:dPr>
          <m:e>
            <m:r>
              <w:rPr>
                <w:rFonts w:ascii="Cambria Math" w:eastAsia="Calibri" w:hAnsi="Cambria Math"/>
                <w:lang w:val="en-US"/>
              </w:rPr>
              <m:t>s;a</m:t>
            </m:r>
          </m:e>
        </m:d>
      </m:oMath>
      <w:r w:rsidRPr="00A64D43">
        <w:rPr>
          <w:lang w:val="en-US"/>
        </w:rPr>
        <w:t xml:space="preserve">, and for hourly electricity or heat generation </w:t>
      </w:r>
      <m:oMath>
        <m:r>
          <w:rPr>
            <w:rFonts w:ascii="Cambria Math" w:eastAsia="Calibri" w:hAnsi="Cambria Math"/>
            <w:lang w:val="en-US"/>
          </w:rPr>
          <m:t>CE</m:t>
        </m:r>
        <m:d>
          <m:dPr>
            <m:ctrlPr>
              <w:rPr>
                <w:rFonts w:ascii="Cambria Math" w:eastAsia="Calibri" w:hAnsi="Cambria Math"/>
                <w:i/>
                <w:lang w:val="en-US"/>
              </w:rPr>
            </m:ctrlPr>
          </m:dPr>
          <m:e>
            <m:r>
              <w:rPr>
                <w:rFonts w:ascii="Cambria Math" w:eastAsia="Calibri" w:hAnsi="Cambria Math"/>
                <w:lang w:val="en-US"/>
              </w:rPr>
              <m:t>s;a</m:t>
            </m:r>
          </m:e>
        </m:d>
      </m:oMath>
      <w:r w:rsidRPr="00A64D43">
        <w:rPr>
          <w:lang w:val="en-US"/>
        </w:rPr>
        <w:t xml:space="preserve">. The hourly electricity or heat generation </w:t>
      </w:r>
      <m:oMath>
        <m:r>
          <w:rPr>
            <w:rFonts w:ascii="Cambria Math" w:hAnsi="Cambria Math"/>
            <w:lang w:val="en-US"/>
          </w:rPr>
          <m:t>x</m:t>
        </m:r>
        <m:d>
          <m:dPr>
            <m:ctrlPr>
              <w:rPr>
                <w:rFonts w:ascii="Cambria Math" w:eastAsia="Calibri" w:hAnsi="Cambria Math"/>
                <w:i/>
                <w:lang w:val="en-US"/>
              </w:rPr>
            </m:ctrlPr>
          </m:dPr>
          <m:e>
            <m:r>
              <w:rPr>
                <w:rFonts w:ascii="Cambria Math" w:eastAsia="Calibri" w:hAnsi="Cambria Math"/>
                <w:lang w:val="en-US"/>
              </w:rPr>
              <m:t>a;d</m:t>
            </m:r>
          </m:e>
        </m:d>
      </m:oMath>
      <w:r w:rsidRPr="00A64D43">
        <w:rPr>
          <w:lang w:val="en-US"/>
        </w:rPr>
        <w:t xml:space="preserve"> and the installed capacities </w:t>
      </w:r>
      <m:oMath>
        <m:sSub>
          <m:sSubPr>
            <m:ctrlPr>
              <w:rPr>
                <w:rFonts w:ascii="Cambria Math" w:eastAsia="Calibri" w:hAnsi="Cambria Math"/>
                <w:i/>
                <w:lang w:val="en-US"/>
              </w:rPr>
            </m:ctrlPr>
          </m:sSubPr>
          <m:e>
            <m:r>
              <w:rPr>
                <w:rFonts w:ascii="Cambria Math" w:eastAsia="Calibri" w:hAnsi="Cambria Math"/>
                <w:lang w:val="en-US"/>
              </w:rPr>
              <m:t>x</m:t>
            </m:r>
          </m:e>
          <m:sub>
            <m:r>
              <w:rPr>
                <w:rFonts w:ascii="Cambria Math" w:eastAsia="Calibri" w:hAnsi="Cambria Math"/>
                <w:lang w:val="en-US"/>
              </w:rPr>
              <m:t>p</m:t>
            </m:r>
          </m:sub>
        </m:sSub>
        <m:d>
          <m:dPr>
            <m:ctrlPr>
              <w:rPr>
                <w:rFonts w:ascii="Cambria Math" w:eastAsia="Calibri" w:hAnsi="Cambria Math"/>
                <w:i/>
                <w:lang w:val="en-US"/>
              </w:rPr>
            </m:ctrlPr>
          </m:dPr>
          <m:e>
            <m:r>
              <w:rPr>
                <w:rFonts w:ascii="Cambria Math" w:eastAsia="Calibri" w:hAnsi="Cambria Math"/>
                <w:lang w:val="en-US"/>
              </w:rPr>
              <m:t>a;d</m:t>
            </m:r>
          </m:e>
        </m:d>
      </m:oMath>
      <w:r w:rsidRPr="00A64D43">
        <w:rPr>
          <w:lang w:val="en-US"/>
        </w:rPr>
        <w:t xml:space="preserve"> optimized as variables, whilst the objective function to be minimized is formalized as follows</w:t>
      </w:r>
      <w:r>
        <w:t xml:space="preserve">: </w:t>
      </w:r>
    </w:p>
    <w:p w14:paraId="4F010CD4" w14:textId="43308735" w:rsidR="00A64D43" w:rsidRPr="00A64D43" w:rsidRDefault="00A64D43" w:rsidP="00A64D43">
      <w:pPr>
        <w:pStyle w:val="Szvegtrzs"/>
      </w:pPr>
      <m:oMathPara>
        <m:oMath>
          <m:nary>
            <m:naryPr>
              <m:chr m:val="∑"/>
              <m:limLoc m:val="undOvr"/>
              <m:supHide m:val="1"/>
              <m:ctrlPr>
                <w:rPr>
                  <w:rFonts w:ascii="Cambria Math" w:eastAsia="Calibri" w:hAnsi="Cambria Math"/>
                  <w:i/>
                  <w:lang w:val="en-US"/>
                </w:rPr>
              </m:ctrlPr>
            </m:naryPr>
            <m:sub>
              <m:r>
                <w:rPr>
                  <w:rFonts w:ascii="Cambria Math" w:eastAsia="Calibri" w:hAnsi="Cambria Math"/>
                  <w:lang w:val="en-US"/>
                </w:rPr>
                <m:t>s</m:t>
              </m:r>
            </m:sub>
            <m:sup/>
            <m:e>
              <m:nary>
                <m:naryPr>
                  <m:chr m:val="∑"/>
                  <m:limLoc m:val="undOvr"/>
                  <m:supHide m:val="1"/>
                  <m:ctrlPr>
                    <w:rPr>
                      <w:rFonts w:ascii="Cambria Math" w:eastAsia="Calibri" w:hAnsi="Cambria Math"/>
                      <w:i/>
                      <w:lang w:val="en-US"/>
                    </w:rPr>
                  </m:ctrlPr>
                </m:naryPr>
                <m:sub>
                  <m:r>
                    <w:rPr>
                      <w:rFonts w:ascii="Cambria Math" w:eastAsia="Calibri" w:hAnsi="Cambria Math"/>
                      <w:lang w:val="en-US"/>
                    </w:rPr>
                    <m:t>a</m:t>
                  </m:r>
                </m:sub>
                <m:sup/>
                <m:e>
                  <m:nary>
                    <m:naryPr>
                      <m:chr m:val="∑"/>
                      <m:limLoc m:val="undOvr"/>
                      <m:supHide m:val="1"/>
                      <m:ctrlPr>
                        <w:rPr>
                          <w:rFonts w:ascii="Cambria Math" w:eastAsia="Calibri" w:hAnsi="Cambria Math"/>
                          <w:i/>
                          <w:lang w:val="en-US"/>
                        </w:rPr>
                      </m:ctrlPr>
                    </m:naryPr>
                    <m:sub>
                      <m:r>
                        <w:rPr>
                          <w:rFonts w:ascii="Cambria Math" w:eastAsia="Calibri" w:hAnsi="Cambria Math"/>
                          <w:lang w:val="en-US"/>
                        </w:rPr>
                        <m:t>d</m:t>
                      </m:r>
                    </m:sub>
                    <m:sup/>
                    <m:e>
                      <m:r>
                        <w:rPr>
                          <w:rFonts w:ascii="Cambria Math" w:eastAsia="Calibri" w:hAnsi="Cambria Math"/>
                          <w:lang w:val="en-US"/>
                        </w:rPr>
                        <m:t>w</m:t>
                      </m:r>
                      <m:d>
                        <m:dPr>
                          <m:ctrlPr>
                            <w:rPr>
                              <w:rFonts w:ascii="Cambria Math" w:eastAsia="Calibri" w:hAnsi="Cambria Math"/>
                              <w:i/>
                              <w:lang w:val="en-US"/>
                            </w:rPr>
                          </m:ctrlPr>
                        </m:dPr>
                        <m:e>
                          <m:r>
                            <w:rPr>
                              <w:rFonts w:ascii="Cambria Math" w:eastAsia="Calibri" w:hAnsi="Cambria Math"/>
                              <w:lang w:val="en-US"/>
                            </w:rPr>
                            <m:t>s</m:t>
                          </m:r>
                        </m:e>
                      </m:d>
                      <m:d>
                        <m:dPr>
                          <m:ctrlPr>
                            <w:rPr>
                              <w:rFonts w:ascii="Cambria Math" w:eastAsia="Calibri" w:hAnsi="Cambria Math"/>
                              <w:i/>
                              <w:lang w:val="en-US"/>
                            </w:rPr>
                          </m:ctrlPr>
                        </m:dPr>
                        <m:e>
                          <m:r>
                            <w:rPr>
                              <w:rFonts w:ascii="Cambria Math" w:eastAsia="Calibri" w:hAnsi="Cambria Math"/>
                              <w:lang w:val="en-US"/>
                            </w:rPr>
                            <m:t>CE</m:t>
                          </m:r>
                          <m:d>
                            <m:dPr>
                              <m:ctrlPr>
                                <w:rPr>
                                  <w:rFonts w:ascii="Cambria Math" w:eastAsia="Calibri" w:hAnsi="Cambria Math"/>
                                  <w:i/>
                                  <w:lang w:val="en-US"/>
                                </w:rPr>
                              </m:ctrlPr>
                            </m:dPr>
                            <m:e>
                              <m:r>
                                <w:rPr>
                                  <w:rFonts w:ascii="Cambria Math" w:eastAsia="Calibri" w:hAnsi="Cambria Math"/>
                                  <w:lang w:val="en-US"/>
                                </w:rPr>
                                <m:t>s;a</m:t>
                              </m:r>
                            </m:e>
                          </m:d>
                          <m:r>
                            <w:rPr>
                              <w:rFonts w:ascii="Cambria Math" w:eastAsia="Calibri" w:hAnsi="Cambria Math"/>
                              <w:lang w:val="en-US"/>
                            </w:rPr>
                            <m:t>x</m:t>
                          </m:r>
                          <m:d>
                            <m:dPr>
                              <m:ctrlPr>
                                <w:rPr>
                                  <w:rFonts w:ascii="Cambria Math" w:eastAsia="Calibri" w:hAnsi="Cambria Math"/>
                                  <w:i/>
                                  <w:lang w:val="en-US"/>
                                </w:rPr>
                              </m:ctrlPr>
                            </m:dPr>
                            <m:e>
                              <m:r>
                                <w:rPr>
                                  <w:rFonts w:ascii="Cambria Math" w:eastAsia="Calibri" w:hAnsi="Cambria Math"/>
                                  <w:lang w:val="en-US"/>
                                </w:rPr>
                                <m:t>a;d</m:t>
                              </m:r>
                            </m:e>
                          </m:d>
                          <m:r>
                            <w:rPr>
                              <w:rFonts w:ascii="Cambria Math" w:eastAsia="Calibri" w:hAnsi="Cambria Math"/>
                              <w:lang w:val="en-US"/>
                            </w:rPr>
                            <m:t>+CP</m:t>
                          </m:r>
                          <m:d>
                            <m:dPr>
                              <m:ctrlPr>
                                <w:rPr>
                                  <w:rFonts w:ascii="Cambria Math" w:eastAsia="Calibri" w:hAnsi="Cambria Math"/>
                                  <w:i/>
                                  <w:lang w:val="en-US"/>
                                </w:rPr>
                              </m:ctrlPr>
                            </m:dPr>
                            <m:e>
                              <m:r>
                                <w:rPr>
                                  <w:rFonts w:ascii="Cambria Math" w:eastAsia="Calibri" w:hAnsi="Cambria Math"/>
                                  <w:lang w:val="en-US"/>
                                </w:rPr>
                                <m:t>s;a</m:t>
                              </m:r>
                            </m:e>
                          </m:d>
                          <m:sSub>
                            <m:sSubPr>
                              <m:ctrlPr>
                                <w:rPr>
                                  <w:rFonts w:ascii="Cambria Math" w:eastAsia="Calibri" w:hAnsi="Cambria Math"/>
                                  <w:i/>
                                  <w:lang w:val="en-US"/>
                                </w:rPr>
                              </m:ctrlPr>
                            </m:sSubPr>
                            <m:e>
                              <m:r>
                                <w:rPr>
                                  <w:rFonts w:ascii="Cambria Math" w:eastAsia="Calibri" w:hAnsi="Cambria Math"/>
                                  <w:lang w:val="en-US"/>
                                </w:rPr>
                                <m:t>x</m:t>
                              </m:r>
                            </m:e>
                            <m:sub>
                              <m:r>
                                <w:rPr>
                                  <w:rFonts w:ascii="Cambria Math" w:eastAsia="Calibri" w:hAnsi="Cambria Math"/>
                                  <w:lang w:val="en-US"/>
                                </w:rPr>
                                <m:t>p</m:t>
                              </m:r>
                            </m:sub>
                          </m:sSub>
                          <m:d>
                            <m:dPr>
                              <m:ctrlPr>
                                <w:rPr>
                                  <w:rFonts w:ascii="Cambria Math" w:eastAsia="Calibri" w:hAnsi="Cambria Math"/>
                                  <w:i/>
                                  <w:lang w:val="en-US"/>
                                </w:rPr>
                              </m:ctrlPr>
                            </m:dPr>
                            <m:e>
                              <m:r>
                                <w:rPr>
                                  <w:rFonts w:ascii="Cambria Math" w:eastAsia="Calibri" w:hAnsi="Cambria Math"/>
                                  <w:lang w:val="en-US"/>
                                </w:rPr>
                                <m:t>a;d</m:t>
                              </m:r>
                            </m:e>
                          </m:d>
                        </m:e>
                      </m:d>
                      <m:r>
                        <w:rPr>
                          <w:rFonts w:ascii="Cambria Math" w:eastAsia="Calibri" w:hAnsi="Cambria Math"/>
                          <w:lang w:val="en-US"/>
                        </w:rPr>
                        <m:t>=z</m:t>
                      </m:r>
                      <m:d>
                        <m:dPr>
                          <m:ctrlPr>
                            <w:rPr>
                              <w:rFonts w:ascii="Cambria Math" w:eastAsia="Calibri" w:hAnsi="Cambria Math"/>
                              <w:i/>
                              <w:lang w:val="en-US"/>
                            </w:rPr>
                          </m:ctrlPr>
                        </m:dPr>
                        <m:e>
                          <m:r>
                            <w:rPr>
                              <w:rFonts w:ascii="Cambria Math" w:eastAsia="Calibri" w:hAnsi="Cambria Math"/>
                              <w:lang w:val="en-US"/>
                            </w:rPr>
                            <m:t>min</m:t>
                          </m:r>
                          <m:ctrlPr>
                            <w:rPr>
                              <w:rFonts w:ascii="Cambria Math" w:eastAsia="Calibri" w:hAnsi="Cambria Math"/>
                              <w:lang w:val="en-US"/>
                            </w:rPr>
                          </m:ctrlPr>
                        </m:e>
                      </m:d>
                      <m:r>
                        <m:rPr>
                          <m:sty m:val="p"/>
                        </m:rPr>
                        <w:rPr>
                          <w:rFonts w:ascii="Cambria Math" w:eastAsia="Calibri" w:hAnsi="Cambria Math"/>
                          <w:lang w:val="en-US"/>
                        </w:rPr>
                        <m:t>.</m:t>
                      </m:r>
                    </m:e>
                  </m:nary>
                </m:e>
              </m:nary>
            </m:e>
          </m:nary>
        </m:oMath>
      </m:oMathPara>
    </w:p>
    <w:p w14:paraId="53505ADB" w14:textId="1178DAC9" w:rsidR="00A64D43" w:rsidRPr="00A64D43" w:rsidRDefault="00A64D43" w:rsidP="00537496">
      <w:pPr>
        <w:pStyle w:val="Szvegtrzs"/>
      </w:pPr>
      <w:r w:rsidRPr="00A64D43">
        <w:rPr>
          <w:lang w:val="en-US"/>
        </w:rPr>
        <w:t>This linear programming optimization problem is a type of fixed cost distribution problem, with production constraints summarized by the equation:</w:t>
      </w:r>
    </w:p>
    <w:p w14:paraId="1210C426" w14:textId="77777777" w:rsidR="00A64D43" w:rsidRPr="00A64D43" w:rsidRDefault="00A64D43" w:rsidP="00A64D43">
      <w:pPr>
        <w:pStyle w:val="EvkonyvNormal"/>
        <w:ind w:left="992" w:firstLine="424"/>
        <w:jc w:val="left"/>
        <w:rPr>
          <w:rFonts w:ascii="Times New Roman" w:hAnsi="Times New Roman"/>
          <w:sz w:val="20"/>
          <w:szCs w:val="20"/>
          <w:lang w:val="en-US"/>
        </w:rPr>
      </w:pPr>
      <m:oMath>
        <m:nary>
          <m:naryPr>
            <m:chr m:val="∑"/>
            <m:limLoc m:val="undOvr"/>
            <m:supHide m:val="1"/>
            <m:ctrlPr>
              <w:rPr>
                <w:rFonts w:ascii="Cambria Math" w:eastAsia="Calibri" w:hAnsi="Cambria Math"/>
                <w:i/>
                <w:sz w:val="20"/>
                <w:szCs w:val="20"/>
                <w:lang w:val="en-US"/>
              </w:rPr>
            </m:ctrlPr>
          </m:naryPr>
          <m:sub>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h</m:t>
                </m:r>
              </m:sub>
            </m:sSub>
          </m:sub>
          <m:sup/>
          <m:e>
            <m:r>
              <w:rPr>
                <w:rFonts w:ascii="Cambria Math" w:eastAsia="Calibri" w:hAnsi="Cambria Math"/>
                <w:sz w:val="20"/>
                <w:szCs w:val="20"/>
                <w:lang w:val="en-US"/>
              </w:rPr>
              <m:t>x</m:t>
            </m:r>
            <m:d>
              <m:dPr>
                <m:ctrlPr>
                  <w:rPr>
                    <w:rFonts w:ascii="Cambria Math" w:eastAsia="Calibri" w:hAnsi="Cambria Math"/>
                    <w:i/>
                    <w:sz w:val="20"/>
                    <w:szCs w:val="20"/>
                    <w:lang w:val="en-US"/>
                  </w:rPr>
                </m:ctrlPr>
              </m:dPr>
              <m:e>
                <m:r>
                  <w:rPr>
                    <w:rFonts w:ascii="Cambria Math" w:eastAsia="Calibri" w:hAnsi="Cambria Math"/>
                    <w:sz w:val="20"/>
                    <w:szCs w:val="20"/>
                    <w:lang w:val="en-US"/>
                  </w:rPr>
                  <m:t>a;d</m:t>
                </m:r>
              </m:e>
            </m:d>
            <m:r>
              <w:rPr>
                <w:rFonts w:ascii="Cambria Math" w:eastAsia="Calibri" w:hAnsi="Cambria Math"/>
                <w:sz w:val="20"/>
                <w:szCs w:val="20"/>
                <w:lang w:val="en-US"/>
              </w:rPr>
              <m:t>=</m:t>
            </m:r>
            <m:r>
              <m:rPr>
                <m:sty m:val="p"/>
              </m:rPr>
              <w:rPr>
                <w:rFonts w:ascii="Cambria Math" w:hAnsi="Cambria Math"/>
                <w:sz w:val="20"/>
                <w:szCs w:val="20"/>
                <w:lang w:val="en-US"/>
              </w:rPr>
              <m:t xml:space="preserve"> </m:t>
            </m:r>
            <m:r>
              <w:rPr>
                <w:rFonts w:ascii="Cambria Math" w:eastAsia="Calibri" w:hAnsi="Cambria Math"/>
                <w:sz w:val="20"/>
                <w:szCs w:val="20"/>
                <w:lang w:val="en-US"/>
              </w:rPr>
              <m:t>dem(t;h)</m:t>
            </m:r>
            <m:r>
              <m:rPr>
                <m:sty m:val="p"/>
              </m:rPr>
              <w:rPr>
                <w:rFonts w:ascii="Cambria Math" w:hAnsi="Cambria Math"/>
                <w:sz w:val="20"/>
                <w:szCs w:val="20"/>
                <w:lang w:val="en-US"/>
              </w:rPr>
              <m:t xml:space="preserve"> </m:t>
            </m:r>
          </m:e>
        </m:nary>
      </m:oMath>
      <w:r w:rsidRPr="00A64D43">
        <w:rPr>
          <w:rFonts w:ascii="Times New Roman" w:hAnsi="Times New Roman"/>
          <w:sz w:val="20"/>
          <w:szCs w:val="20"/>
          <w:lang w:val="en-US"/>
        </w:rPr>
        <w:t xml:space="preserve">       </w:t>
      </w:r>
      <m:oMath>
        <m:nary>
          <m:naryPr>
            <m:chr m:val="∑"/>
            <m:limLoc m:val="undOvr"/>
            <m:supHide m:val="1"/>
            <m:ctrlPr>
              <w:rPr>
                <w:rFonts w:ascii="Cambria Math" w:eastAsia="Calibri" w:hAnsi="Cambria Math"/>
                <w:i/>
                <w:sz w:val="20"/>
                <w:szCs w:val="20"/>
                <w:lang w:val="en-US"/>
              </w:rPr>
            </m:ctrlPr>
          </m:naryPr>
          <m:sub>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h</m:t>
                </m:r>
              </m:sub>
            </m:sSub>
          </m:sub>
          <m:sup/>
          <m:e>
            <m:r>
              <w:rPr>
                <w:rFonts w:ascii="Cambria Math" w:eastAsia="Calibri" w:hAnsi="Cambria Math"/>
                <w:sz w:val="20"/>
                <w:szCs w:val="20"/>
                <w:lang w:val="en-US"/>
              </w:rPr>
              <m:t>x</m:t>
            </m:r>
            <m:d>
              <m:dPr>
                <m:ctrlPr>
                  <w:rPr>
                    <w:rFonts w:ascii="Cambria Math" w:eastAsia="Calibri" w:hAnsi="Cambria Math"/>
                    <w:i/>
                    <w:sz w:val="20"/>
                    <w:szCs w:val="20"/>
                    <w:lang w:val="en-US"/>
                  </w:rPr>
                </m:ctrlPr>
              </m:dPr>
              <m:e>
                <m:r>
                  <w:rPr>
                    <w:rFonts w:ascii="Cambria Math" w:eastAsia="Calibri" w:hAnsi="Cambria Math"/>
                    <w:sz w:val="20"/>
                    <w:szCs w:val="20"/>
                    <w:lang w:val="en-US"/>
                  </w:rPr>
                  <m:t>a;d</m:t>
                </m:r>
              </m:e>
            </m:d>
            <m:r>
              <w:rPr>
                <w:rFonts w:ascii="Cambria Math" w:eastAsia="Calibri" w:hAnsi="Cambria Math"/>
                <w:sz w:val="20"/>
                <w:szCs w:val="20"/>
                <w:lang w:val="en-US"/>
              </w:rPr>
              <m:t>=</m:t>
            </m:r>
            <m:r>
              <m:rPr>
                <m:sty m:val="p"/>
              </m:rPr>
              <w:rPr>
                <w:rFonts w:ascii="Cambria Math" w:hAnsi="Cambria Math"/>
                <w:sz w:val="20"/>
                <w:szCs w:val="20"/>
                <w:lang w:val="en-US"/>
              </w:rPr>
              <m:t xml:space="preserve"> </m:t>
            </m:r>
            <m:r>
              <w:rPr>
                <w:rFonts w:ascii="Cambria Math" w:eastAsia="Calibri" w:hAnsi="Cambria Math"/>
                <w:sz w:val="20"/>
                <w:szCs w:val="20"/>
                <w:lang w:val="en-US"/>
              </w:rPr>
              <m:t>dem(e;h)</m:t>
            </m:r>
            <m:r>
              <m:rPr>
                <m:sty m:val="p"/>
              </m:rPr>
              <w:rPr>
                <w:rFonts w:ascii="Cambria Math" w:hAnsi="Cambria Math"/>
                <w:sz w:val="20"/>
                <w:szCs w:val="20"/>
                <w:lang w:val="en-US"/>
              </w:rPr>
              <m:t xml:space="preserve"> </m:t>
            </m:r>
          </m:e>
        </m:nary>
      </m:oMath>
    </w:p>
    <w:p w14:paraId="2EAE683C" w14:textId="3F08443E" w:rsidR="00A64D43" w:rsidRPr="00A64D43" w:rsidRDefault="00A64D43" w:rsidP="00537496">
      <w:pPr>
        <w:pStyle w:val="Szvegtrzs"/>
      </w:pPr>
      <w:r w:rsidRPr="00A64D43">
        <w:rPr>
          <w:lang w:val="en-US"/>
        </w:rPr>
        <w:t xml:space="preserve">where </w:t>
      </w:r>
      <m:oMath>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h</m:t>
            </m:r>
          </m:sub>
        </m:sSub>
      </m:oMath>
      <w:r w:rsidRPr="00A64D43">
        <w:rPr>
          <w:lang w:val="en-US"/>
        </w:rPr>
        <w:t xml:space="preserve"> is the hourly value of the electricity or heat generation time series, while the parameter </w:t>
      </w:r>
      <m:oMath>
        <m:r>
          <w:rPr>
            <w:rFonts w:ascii="Cambria Math" w:eastAsia="Calibri" w:hAnsi="Cambria Math"/>
            <w:lang w:val="en-US"/>
          </w:rPr>
          <m:t>dem(t;h)</m:t>
        </m:r>
      </m:oMath>
      <w:r w:rsidRPr="00A64D43">
        <w:rPr>
          <w:lang w:val="en-US"/>
        </w:rPr>
        <w:t xml:space="preserve">  and</w:t>
      </w:r>
      <m:oMath>
        <m:r>
          <w:rPr>
            <w:rFonts w:ascii="Cambria Math" w:eastAsia="Calibri" w:hAnsi="Cambria Math"/>
            <w:lang w:val="en-US"/>
          </w:rPr>
          <m:t xml:space="preserve"> dem</m:t>
        </m:r>
        <m:d>
          <m:dPr>
            <m:ctrlPr>
              <w:rPr>
                <w:rFonts w:ascii="Cambria Math" w:eastAsia="Calibri" w:hAnsi="Cambria Math"/>
                <w:i/>
                <w:lang w:val="en-US"/>
              </w:rPr>
            </m:ctrlPr>
          </m:dPr>
          <m:e>
            <m:r>
              <w:rPr>
                <w:rFonts w:ascii="Cambria Math" w:eastAsia="Calibri" w:hAnsi="Cambria Math"/>
                <w:lang w:val="en-US"/>
              </w:rPr>
              <m:t>e;h</m:t>
            </m:r>
          </m:e>
        </m:d>
      </m:oMath>
      <w:r w:rsidRPr="00A64D43">
        <w:rPr>
          <w:lang w:val="en-US"/>
        </w:rPr>
        <w:t xml:space="preserve">  are the hourly electricity and heat demand of the city. For the thermal power plants, two artificial variables were introduced to account for the hourly increase and decrease in production:</w:t>
      </w:r>
    </w:p>
    <w:p w14:paraId="785A2AB5" w14:textId="77777777" w:rsidR="00A64D43" w:rsidRPr="00A64D43" w:rsidRDefault="00A64D43" w:rsidP="00A64D43">
      <w:pPr>
        <w:pStyle w:val="EvkonyvNormal"/>
        <w:ind w:left="851" w:firstLine="565"/>
        <w:jc w:val="left"/>
        <w:rPr>
          <w:rFonts w:ascii="Times New Roman" w:hAnsi="Times New Roman"/>
          <w:sz w:val="20"/>
          <w:szCs w:val="20"/>
          <w:lang w:val="en-US"/>
        </w:rPr>
      </w:pPr>
      <m:oMath>
        <m:sSub>
          <m:sSubPr>
            <m:ctrlPr>
              <w:rPr>
                <w:rFonts w:ascii="Cambria Math" w:eastAsia="Calibri" w:hAnsi="Cambria Math"/>
                <w:i/>
                <w:sz w:val="20"/>
                <w:szCs w:val="20"/>
                <w:lang w:val="en-US"/>
              </w:rPr>
            </m:ctrlPr>
          </m:sSubPr>
          <m:e>
            <m:r>
              <w:rPr>
                <w:rFonts w:ascii="Cambria Math" w:eastAsia="Calibri" w:hAnsi="Cambria Math"/>
                <w:sz w:val="20"/>
                <w:szCs w:val="20"/>
                <w:lang w:val="en-US"/>
              </w:rPr>
              <m:t>x(a</m:t>
            </m:r>
          </m:e>
          <m:sub>
            <m:r>
              <w:rPr>
                <w:rFonts w:ascii="Cambria Math" w:eastAsia="Calibri" w:hAnsi="Cambria Math"/>
                <w:sz w:val="20"/>
                <w:szCs w:val="20"/>
                <w:lang w:val="en-US"/>
              </w:rPr>
              <m:t>th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uh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dh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t</m:t>
            </m:r>
            <m:d>
              <m:dPr>
                <m:ctrlPr>
                  <w:rPr>
                    <w:rFonts w:ascii="Cambria Math" w:eastAsia="Calibri" w:hAnsi="Cambria Math"/>
                    <w:i/>
                    <w:sz w:val="20"/>
                    <w:szCs w:val="20"/>
                    <w:lang w:val="en-US"/>
                  </w:rPr>
                </m:ctrlPr>
              </m:dPr>
              <m:e>
                <m:r>
                  <w:rPr>
                    <w:rFonts w:ascii="Cambria Math" w:eastAsia="Calibri" w:hAnsi="Cambria Math"/>
                    <w:sz w:val="20"/>
                    <w:szCs w:val="20"/>
                    <w:lang w:val="en-US"/>
                  </w:rPr>
                  <m:t>h+1</m:t>
                </m:r>
              </m:e>
            </m:d>
          </m:sub>
        </m:sSub>
        <m:r>
          <w:rPr>
            <w:rFonts w:ascii="Cambria Math" w:eastAsia="Calibri" w:hAnsi="Cambria Math"/>
            <w:sz w:val="20"/>
            <w:szCs w:val="20"/>
            <w:lang w:val="en-US"/>
          </w:rPr>
          <m:t>;d</m:t>
        </m:r>
      </m:oMath>
      <w:r w:rsidRPr="00A64D43">
        <w:rPr>
          <w:rFonts w:ascii="Times New Roman" w:hAnsi="Times New Roman"/>
          <w:sz w:val="20"/>
          <w:szCs w:val="20"/>
          <w:lang w:val="en-US"/>
        </w:rPr>
        <w:t xml:space="preserve">), </w:t>
      </w:r>
    </w:p>
    <w:p w14:paraId="64F5E6E2" w14:textId="7E9A89FB" w:rsidR="00A64D43" w:rsidRPr="00A64D43" w:rsidRDefault="00A64D43" w:rsidP="00537496">
      <w:pPr>
        <w:pStyle w:val="Szvegtrzs"/>
      </w:pPr>
      <w:r w:rsidRPr="00A64D43">
        <w:rPr>
          <w:lang w:val="en-US"/>
        </w:rPr>
        <w:lastRenderedPageBreak/>
        <w:t xml:space="preserve">where production data of alternatives are </w:t>
      </w:r>
      <m:oMath>
        <m:r>
          <w:rPr>
            <w:rFonts w:ascii="Cambria Math" w:eastAsia="Calibri" w:hAnsi="Cambria Math"/>
            <w:shd w:val="clear" w:color="auto" w:fill="FFFFFF"/>
            <w:lang w:val="en-US"/>
          </w:rPr>
          <m:t>x(</m:t>
        </m:r>
        <m:sSub>
          <m:sSubPr>
            <m:ctrlPr>
              <w:rPr>
                <w:rFonts w:ascii="Cambria Math" w:eastAsia="Calibri" w:hAnsi="Cambria Math"/>
                <w:i/>
                <w:shd w:val="clear" w:color="auto" w:fill="FFFFFF"/>
                <w:lang w:val="en-US"/>
              </w:rPr>
            </m:ctrlPr>
          </m:sSubPr>
          <m:e>
            <m:r>
              <w:rPr>
                <w:rFonts w:ascii="Cambria Math" w:eastAsia="Calibri" w:hAnsi="Cambria Math"/>
                <w:shd w:val="clear" w:color="auto" w:fill="FFFFFF"/>
                <w:lang w:val="en-US"/>
              </w:rPr>
              <m:t>a</m:t>
            </m:r>
          </m:e>
          <m:sub>
            <m:r>
              <w:rPr>
                <w:rFonts w:ascii="Cambria Math" w:eastAsia="Calibri" w:hAnsi="Cambria Math"/>
                <w:shd w:val="clear" w:color="auto" w:fill="FFFFFF"/>
                <w:lang w:val="en-US"/>
              </w:rPr>
              <m:t>th</m:t>
            </m:r>
          </m:sub>
        </m:sSub>
        <m:r>
          <w:rPr>
            <w:rFonts w:ascii="Cambria Math" w:eastAsia="Calibri" w:hAnsi="Cambria Math"/>
            <w:shd w:val="clear" w:color="auto" w:fill="FFFFFF"/>
            <w:lang w:val="en-US"/>
          </w:rPr>
          <m:t>;d)</m:t>
        </m:r>
      </m:oMath>
      <w:r w:rsidRPr="00A64D43">
        <w:rPr>
          <w:lang w:val="en-US"/>
        </w:rPr>
        <w:t xml:space="preserve">, for the hour </w:t>
      </w:r>
      <w:r w:rsidRPr="00A64D43">
        <w:rPr>
          <w:i/>
          <w:lang w:val="en-US"/>
        </w:rPr>
        <w:t xml:space="preserve">h </w:t>
      </w:r>
      <w:r w:rsidRPr="00A64D43">
        <w:rPr>
          <w:iCs/>
          <w:lang w:val="en-US"/>
        </w:rPr>
        <w:t xml:space="preserve">of </w:t>
      </w:r>
      <w:r w:rsidRPr="00A64D43">
        <w:rPr>
          <w:lang w:val="en-US"/>
        </w:rPr>
        <w:t xml:space="preserve">each day </w:t>
      </w:r>
      <w:r w:rsidRPr="00A64D43">
        <w:rPr>
          <w:i/>
          <w:lang w:val="en-US"/>
        </w:rPr>
        <w:t>d</w:t>
      </w:r>
      <w:r w:rsidRPr="00A64D43">
        <w:rPr>
          <w:lang w:val="en-US"/>
        </w:rPr>
        <w:t xml:space="preserve">, the hourly increase in production </w:t>
      </w:r>
      <m:oMath>
        <m:r>
          <w:rPr>
            <w:rFonts w:ascii="Cambria Math" w:eastAsia="Calibri" w:hAnsi="Cambria Math"/>
            <w:lang w:val="en-US"/>
          </w:rPr>
          <m:t>x(</m:t>
        </m:r>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uh</m:t>
            </m:r>
          </m:sub>
        </m:sSub>
        <m:r>
          <w:rPr>
            <w:rFonts w:ascii="Cambria Math" w:eastAsia="Calibri" w:hAnsi="Cambria Math"/>
            <w:lang w:val="en-US"/>
          </w:rPr>
          <m:t>;d)</m:t>
        </m:r>
      </m:oMath>
      <w:r w:rsidRPr="00A64D43">
        <w:rPr>
          <w:lang w:val="en-US"/>
        </w:rPr>
        <w:t xml:space="preserve">, and the hourly decrease in production </w:t>
      </w:r>
      <m:oMath>
        <m:r>
          <w:rPr>
            <w:rFonts w:ascii="Cambria Math" w:eastAsia="Calibri" w:hAnsi="Cambria Math"/>
            <w:lang w:val="en-US"/>
          </w:rPr>
          <m:t>x(</m:t>
        </m:r>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dh</m:t>
            </m:r>
          </m:sub>
        </m:sSub>
        <m:r>
          <w:rPr>
            <w:rFonts w:ascii="Cambria Math" w:eastAsia="Calibri" w:hAnsi="Cambria Math"/>
            <w:lang w:val="en-US"/>
          </w:rPr>
          <m:t>;d)</m:t>
        </m:r>
      </m:oMath>
      <w:r w:rsidRPr="00A64D43">
        <w:rPr>
          <w:lang w:val="en-US"/>
        </w:rPr>
        <w:t>. Similarly, for energy storage, the recursive conditions were given by:</w:t>
      </w:r>
    </w:p>
    <w:p w14:paraId="2ED9601A" w14:textId="77777777" w:rsidR="00A64D43" w:rsidRPr="00A64D43" w:rsidRDefault="00A64D43" w:rsidP="00A64D43">
      <w:pPr>
        <w:pStyle w:val="EvkonyvNormal"/>
        <w:ind w:left="851" w:firstLine="565"/>
        <w:jc w:val="left"/>
        <w:rPr>
          <w:rFonts w:ascii="Times New Roman" w:hAnsi="Times New Roman"/>
          <w:sz w:val="20"/>
          <w:szCs w:val="20"/>
          <w:lang w:val="en-US"/>
        </w:rPr>
      </w:pPr>
      <m:oMath>
        <m:sSub>
          <m:sSubPr>
            <m:ctrlPr>
              <w:rPr>
                <w:rFonts w:ascii="Cambria Math" w:eastAsia="Calibri" w:hAnsi="Cambria Math"/>
                <w:i/>
                <w:sz w:val="20"/>
                <w:szCs w:val="20"/>
                <w:lang w:val="en-US"/>
              </w:rPr>
            </m:ctrlPr>
          </m:sSubPr>
          <m:e>
            <m:r>
              <w:rPr>
                <w:rFonts w:ascii="Cambria Math" w:eastAsia="Calibri" w:hAnsi="Cambria Math"/>
                <w:sz w:val="20"/>
                <w:szCs w:val="20"/>
                <w:lang w:val="en-US"/>
              </w:rPr>
              <m:t>x(a</m:t>
            </m:r>
          </m:e>
          <m:sub>
            <m:r>
              <w:rPr>
                <w:rFonts w:ascii="Cambria Math" w:eastAsia="Calibri" w:hAnsi="Cambria Math"/>
                <w:sz w:val="20"/>
                <w:szCs w:val="20"/>
                <w:lang w:val="en-US"/>
              </w:rPr>
              <m:t>qh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ih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oh</m:t>
            </m:r>
          </m:sub>
        </m:sSub>
        <m:r>
          <w:rPr>
            <w:rFonts w:ascii="Cambria Math" w:eastAsia="Calibri" w:hAnsi="Cambria Math"/>
            <w:sz w:val="20"/>
            <w:szCs w:val="20"/>
            <w:lang w:val="en-US"/>
          </w:rPr>
          <m:t>;d)=x(</m:t>
        </m:r>
        <m:sSub>
          <m:sSubPr>
            <m:ctrlPr>
              <w:rPr>
                <w:rFonts w:ascii="Cambria Math" w:eastAsia="Calibri" w:hAnsi="Cambria Math"/>
                <w:i/>
                <w:sz w:val="20"/>
                <w:szCs w:val="20"/>
                <w:lang w:val="en-US"/>
              </w:rPr>
            </m:ctrlPr>
          </m:sSubPr>
          <m:e>
            <m:r>
              <w:rPr>
                <w:rFonts w:ascii="Cambria Math" w:eastAsia="Calibri" w:hAnsi="Cambria Math"/>
                <w:sz w:val="20"/>
                <w:szCs w:val="20"/>
                <w:lang w:val="en-US"/>
              </w:rPr>
              <m:t>a</m:t>
            </m:r>
          </m:e>
          <m:sub>
            <m:r>
              <w:rPr>
                <w:rFonts w:ascii="Cambria Math" w:eastAsia="Calibri" w:hAnsi="Cambria Math"/>
                <w:sz w:val="20"/>
                <w:szCs w:val="20"/>
                <w:lang w:val="en-US"/>
              </w:rPr>
              <m:t>q</m:t>
            </m:r>
            <m:d>
              <m:dPr>
                <m:ctrlPr>
                  <w:rPr>
                    <w:rFonts w:ascii="Cambria Math" w:eastAsia="Calibri" w:hAnsi="Cambria Math"/>
                    <w:i/>
                    <w:sz w:val="20"/>
                    <w:szCs w:val="20"/>
                    <w:lang w:val="en-US"/>
                  </w:rPr>
                </m:ctrlPr>
              </m:dPr>
              <m:e>
                <m:r>
                  <w:rPr>
                    <w:rFonts w:ascii="Cambria Math" w:eastAsia="Calibri" w:hAnsi="Cambria Math"/>
                    <w:sz w:val="20"/>
                    <w:szCs w:val="20"/>
                    <w:lang w:val="en-US"/>
                  </w:rPr>
                  <m:t>h+1</m:t>
                </m:r>
              </m:e>
            </m:d>
          </m:sub>
        </m:sSub>
        <m:r>
          <w:rPr>
            <w:rFonts w:ascii="Cambria Math" w:eastAsia="Calibri" w:hAnsi="Cambria Math"/>
            <w:sz w:val="20"/>
            <w:szCs w:val="20"/>
            <w:lang w:val="en-US"/>
          </w:rPr>
          <m:t>;d</m:t>
        </m:r>
      </m:oMath>
      <w:r w:rsidRPr="00A64D43">
        <w:rPr>
          <w:rFonts w:ascii="Times New Roman" w:hAnsi="Times New Roman"/>
          <w:sz w:val="20"/>
          <w:szCs w:val="20"/>
          <w:lang w:val="en-US"/>
        </w:rPr>
        <w:t>)</w:t>
      </w:r>
      <w:r w:rsidRPr="00A64D43">
        <w:rPr>
          <w:rFonts w:ascii="Times New Roman" w:hAnsi="Times New Roman"/>
          <w:sz w:val="20"/>
          <w:szCs w:val="20"/>
          <w:lang w:val="en-US"/>
        </w:rPr>
        <w:tab/>
        <w:t>,</w:t>
      </w:r>
    </w:p>
    <w:p w14:paraId="41950A5A" w14:textId="6BEF5489" w:rsidR="00A64D43" w:rsidRDefault="00A64D43" w:rsidP="00537496">
      <w:pPr>
        <w:pStyle w:val="Szvegtrzs"/>
      </w:pPr>
      <w:r w:rsidRPr="00CE6444">
        <w:rPr>
          <w:lang w:val="en-US"/>
        </w:rPr>
        <w:t xml:space="preserve">where </w:t>
      </w:r>
      <m:oMath>
        <m:r>
          <w:rPr>
            <w:rFonts w:ascii="Cambria Math" w:eastAsia="Calibri" w:hAnsi="Cambria Math"/>
            <w:lang w:val="en-US"/>
          </w:rPr>
          <m:t>x(</m:t>
        </m:r>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qh</m:t>
            </m:r>
          </m:sub>
        </m:sSub>
        <m:r>
          <w:rPr>
            <w:rFonts w:ascii="Cambria Math" w:eastAsia="Calibri" w:hAnsi="Cambria Math"/>
            <w:lang w:val="en-US"/>
          </w:rPr>
          <m:t>;d)</m:t>
        </m:r>
      </m:oMath>
      <w:r w:rsidRPr="00CE6444">
        <w:rPr>
          <w:lang w:val="en-US"/>
        </w:rPr>
        <w:t xml:space="preserve"> is the stored energy value for the given hour, while the </w:t>
      </w:r>
      <m:oMath>
        <m:sSub>
          <m:sSubPr>
            <m:ctrlPr>
              <w:rPr>
                <w:rFonts w:ascii="Cambria Math" w:eastAsia="Calibri" w:hAnsi="Cambria Math"/>
                <w:i/>
                <w:lang w:val="en-US"/>
              </w:rPr>
            </m:ctrlPr>
          </m:sSubPr>
          <m:e>
            <m:r>
              <w:rPr>
                <w:rFonts w:ascii="Cambria Math" w:eastAsia="Calibri" w:hAnsi="Cambria Math"/>
                <w:lang w:val="en-US"/>
              </w:rPr>
              <m:t>x(a</m:t>
            </m:r>
          </m:e>
          <m:sub>
            <m:r>
              <w:rPr>
                <w:rFonts w:ascii="Cambria Math" w:eastAsia="Calibri" w:hAnsi="Cambria Math"/>
                <w:lang w:val="en-US"/>
              </w:rPr>
              <m:t>ih</m:t>
            </m:r>
          </m:sub>
        </m:sSub>
        <m:r>
          <w:rPr>
            <w:rFonts w:ascii="Cambria Math" w:eastAsia="Calibri" w:hAnsi="Cambria Math"/>
            <w:lang w:val="en-US"/>
          </w:rPr>
          <m:t>;d)</m:t>
        </m:r>
      </m:oMath>
      <w:r w:rsidRPr="00CE6444">
        <w:rPr>
          <w:lang w:val="en-US"/>
        </w:rPr>
        <w:t xml:space="preserve"> and </w:t>
      </w:r>
      <m:oMath>
        <m:r>
          <w:rPr>
            <w:rFonts w:ascii="Cambria Math" w:eastAsia="Calibri" w:hAnsi="Cambria Math"/>
            <w:lang w:val="en-US"/>
          </w:rPr>
          <m:t>x(</m:t>
        </m:r>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oh</m:t>
            </m:r>
          </m:sub>
        </m:sSub>
        <m:r>
          <w:rPr>
            <w:rFonts w:ascii="Cambria Math" w:eastAsia="Calibri" w:hAnsi="Cambria Math"/>
            <w:lang w:val="en-US"/>
          </w:rPr>
          <m:t>;d)</m:t>
        </m:r>
      </m:oMath>
      <w:r w:rsidRPr="00CE6444">
        <w:rPr>
          <w:lang w:val="en-US"/>
        </w:rPr>
        <w:t xml:space="preserve"> values are the amounts of the charged and discharged energy. Constraints corresponding to the installed capacities and the potential constraint of the annual maxima of alternatives related to variable renewable energy sources were also applied:</w:t>
      </w:r>
    </w:p>
    <w:p w14:paraId="6E14905E" w14:textId="77777777" w:rsidR="00A64D43" w:rsidRPr="00A64D43" w:rsidRDefault="00A64D43" w:rsidP="00A64D43">
      <w:pPr>
        <w:pStyle w:val="EvkonyvNormal"/>
        <w:ind w:left="0"/>
        <w:jc w:val="left"/>
        <w:rPr>
          <w:rFonts w:ascii="Times New Roman" w:hAnsi="Times New Roman"/>
          <w:sz w:val="20"/>
          <w:szCs w:val="20"/>
          <w:lang w:val="en-US"/>
        </w:rPr>
      </w:pPr>
      <m:oMathPara>
        <m:oMath>
          <m:r>
            <w:rPr>
              <w:rFonts w:ascii="Cambria Math" w:eastAsia="Calibri" w:hAnsi="Cambria Math"/>
              <w:sz w:val="20"/>
              <w:szCs w:val="20"/>
              <w:lang w:val="en-US"/>
            </w:rPr>
            <m:t>x(a;d)≤</m:t>
          </m:r>
          <m:sSub>
            <m:sSubPr>
              <m:ctrlPr>
                <w:rPr>
                  <w:rFonts w:ascii="Cambria Math" w:eastAsia="Calibri" w:hAnsi="Cambria Math"/>
                  <w:i/>
                  <w:sz w:val="20"/>
                  <w:szCs w:val="20"/>
                  <w:lang w:val="en-US"/>
                </w:rPr>
              </m:ctrlPr>
            </m:sSubPr>
            <m:e>
              <m:r>
                <w:rPr>
                  <w:rFonts w:ascii="Cambria Math" w:eastAsia="Calibri" w:hAnsi="Cambria Math"/>
                  <w:sz w:val="20"/>
                  <w:szCs w:val="20"/>
                  <w:lang w:val="en-US"/>
                </w:rPr>
                <m:t>δ</m:t>
              </m:r>
            </m:e>
            <m:sub>
              <m:r>
                <w:rPr>
                  <w:rFonts w:ascii="Cambria Math" w:eastAsia="Calibri" w:hAnsi="Cambria Math"/>
                  <w:sz w:val="20"/>
                  <w:szCs w:val="20"/>
                  <w:lang w:val="en-US"/>
                </w:rPr>
                <m:t>sph</m:t>
              </m:r>
            </m:sub>
          </m:sSub>
          <m:sSub>
            <m:sSubPr>
              <m:ctrlPr>
                <w:rPr>
                  <w:rFonts w:ascii="Cambria Math" w:eastAsia="Calibri" w:hAnsi="Cambria Math"/>
                  <w:i/>
                  <w:sz w:val="20"/>
                  <w:szCs w:val="20"/>
                  <w:lang w:val="en-US"/>
                </w:rPr>
              </m:ctrlPr>
            </m:sSubPr>
            <m:e>
              <m:r>
                <w:rPr>
                  <w:rFonts w:ascii="Cambria Math" w:eastAsia="Calibri" w:hAnsi="Cambria Math"/>
                  <w:sz w:val="20"/>
                  <w:szCs w:val="20"/>
                  <w:lang w:val="en-US"/>
                </w:rPr>
                <m:t>x</m:t>
              </m:r>
            </m:e>
            <m:sub>
              <m:r>
                <w:rPr>
                  <w:rFonts w:ascii="Cambria Math" w:eastAsia="Calibri" w:hAnsi="Cambria Math"/>
                  <w:sz w:val="20"/>
                  <w:szCs w:val="20"/>
                  <w:lang w:val="en-US"/>
                </w:rPr>
                <m:t>p</m:t>
              </m:r>
            </m:sub>
          </m:sSub>
          <m:d>
            <m:dPr>
              <m:ctrlPr>
                <w:rPr>
                  <w:rFonts w:ascii="Cambria Math" w:eastAsia="Calibri" w:hAnsi="Cambria Math"/>
                  <w:i/>
                  <w:sz w:val="20"/>
                  <w:szCs w:val="20"/>
                  <w:lang w:val="en-US"/>
                </w:rPr>
              </m:ctrlPr>
            </m:dPr>
            <m:e>
              <m:r>
                <w:rPr>
                  <w:rFonts w:ascii="Cambria Math" w:eastAsia="Calibri" w:hAnsi="Cambria Math"/>
                  <w:sz w:val="20"/>
                  <w:szCs w:val="20"/>
                  <w:lang w:val="en-US"/>
                </w:rPr>
                <m:t>a;d</m:t>
              </m:r>
            </m:e>
          </m:d>
        </m:oMath>
      </m:oMathPara>
    </w:p>
    <w:p w14:paraId="30512BD9" w14:textId="2D479177" w:rsidR="00A64D43" w:rsidRPr="00A64D43" w:rsidRDefault="00A64D43" w:rsidP="00537496">
      <w:pPr>
        <w:pStyle w:val="Szvegtrzs"/>
      </w:pPr>
      <w:r w:rsidRPr="00A64D43">
        <w:rPr>
          <w:lang w:val="en-US" w:bidi="en-US"/>
        </w:rPr>
        <w:t xml:space="preserve">where  seasonal hourly profiles for the variable renewable energy sources </w:t>
      </w:r>
      <m:oMath>
        <m:sSub>
          <m:sSubPr>
            <m:ctrlPr>
              <w:rPr>
                <w:rFonts w:ascii="Cambria Math" w:hAnsi="Cambria Math"/>
                <w:i/>
                <w:snapToGrid w:val="0"/>
                <w:color w:val="000000"/>
                <w:lang w:val="en-US" w:eastAsia="de-DE" w:bidi="en-US"/>
              </w:rPr>
            </m:ctrlPr>
          </m:sSubPr>
          <m:e>
            <m:r>
              <w:rPr>
                <w:rFonts w:ascii="Cambria Math" w:hAnsi="Cambria Math"/>
                <w:snapToGrid w:val="0"/>
                <w:color w:val="000000"/>
                <w:lang w:val="en-US" w:eastAsia="de-DE" w:bidi="en-US"/>
              </w:rPr>
              <m:t>0≤δ</m:t>
            </m:r>
          </m:e>
          <m:sub>
            <m:r>
              <w:rPr>
                <w:rFonts w:ascii="Cambria Math" w:hAnsi="Cambria Math"/>
                <w:snapToGrid w:val="0"/>
                <w:color w:val="000000"/>
                <w:lang w:val="en-US" w:eastAsia="de-DE" w:bidi="en-US"/>
              </w:rPr>
              <m:t>sph</m:t>
            </m:r>
          </m:sub>
        </m:sSub>
        <m:r>
          <w:rPr>
            <w:rFonts w:ascii="Cambria Math" w:hAnsi="Cambria Math"/>
            <w:snapToGrid w:val="0"/>
            <w:color w:val="000000"/>
            <w:lang w:val="en-US" w:eastAsia="de-DE" w:bidi="en-US"/>
          </w:rPr>
          <m:t>≤1</m:t>
        </m:r>
      </m:oMath>
      <w:r w:rsidRPr="00A64D43">
        <w:rPr>
          <w:lang w:val="en-US" w:bidi="en-US"/>
        </w:rPr>
        <w:t xml:space="preserve">. </w:t>
      </w:r>
      <w:r w:rsidRPr="00A64D43">
        <w:rPr>
          <w:lang w:val="en-US"/>
        </w:rPr>
        <w:t>Beyond economic considerations, the other aspects considered in the objective function also exhibit high uncertainty in evaluating energy alternatives. The wide evaluation intervals found in the literature shifted our model calculations towards robust optimization, which is facilitated by  w(s) importance weights introduced in the objective function. This allowed us to perform global sensitivity analysis, based on which we attempted to formulate basic expectations related to SMR technology. We implemented robust optimization using Monte Carlo simulation on the evaluation intervals of the alternatives. It is important to note, however, that in our calculations, we did not use the current heating and electricity generation infrastructure, relying only on the existing distribution network. In light of this, our modeling results should primarily be viewed as potential development directions for the upcoming decades. The primary aim of this study is not to present our modeling results but to determine the conditions for the application of SMR reactors.</w:t>
      </w:r>
    </w:p>
    <w:p w14:paraId="13B24501" w14:textId="77777777" w:rsidR="00A64D43" w:rsidRDefault="00A64D43" w:rsidP="00537496">
      <w:pPr>
        <w:pStyle w:val="Szvegtrzs"/>
      </w:pPr>
    </w:p>
    <w:p w14:paraId="1B297C48" w14:textId="59F149F6" w:rsidR="00EE0041" w:rsidRDefault="00894D75" w:rsidP="0026525A">
      <w:pPr>
        <w:pStyle w:val="Cmsor2"/>
        <w:numPr>
          <w:ilvl w:val="1"/>
          <w:numId w:val="10"/>
        </w:numPr>
      </w:pPr>
      <w:r w:rsidRPr="00CE6444">
        <w:rPr>
          <w:rFonts w:asciiTheme="minorHAnsi" w:hAnsiTheme="minorHAnsi" w:cstheme="minorHAnsi"/>
          <w:sz w:val="22"/>
          <w:szCs w:val="22"/>
          <w:lang w:val="en-US"/>
        </w:rPr>
        <w:t>Results</w:t>
      </w:r>
      <w:r>
        <w:t xml:space="preserve"> </w:t>
      </w:r>
    </w:p>
    <w:p w14:paraId="2191A402" w14:textId="78C53550" w:rsidR="00EE0041" w:rsidRDefault="00894D75" w:rsidP="00537496">
      <w:pPr>
        <w:pStyle w:val="Szvegtrzs"/>
        <w:rPr>
          <w:lang w:val="en-US"/>
        </w:rPr>
      </w:pPr>
      <w:r w:rsidRPr="00894D75">
        <w:rPr>
          <w:lang w:val="en-US"/>
        </w:rPr>
        <w:t>We aimed to model the heating and domestic hot water supply for a 4-hour period related to three building typology groups in an urban environment. A crucial part of the developed model was ensuring the hourly demand for electricity supply. Our previous calculations [3][4] supported the indispensable role of nuclear energy in the electricity and heat sector. The main question was under what conditions the SMR technology could play a role in either the heat or electricity sector. In our work, we allowed three SMR categories, each with an identical 200MW capacity. Besides the heat-generating unit installed for district heating and the reactor purely generating electricity, cogeneration usage also played a role. During robust optimization, we based our an</w:t>
      </w:r>
      <w:r>
        <w:rPr>
          <w:lang w:val="en-US"/>
        </w:rPr>
        <w:t>alysis on the data from large 24</w:t>
      </w:r>
      <w:r w:rsidRPr="00894D75">
        <w:rPr>
          <w:lang w:val="en-US"/>
        </w:rPr>
        <w:t>00MW power plants (Paks II.) for both the SMR and the electricity supply. Naturally, the initial data for SMR did not play a decisive role, as we varied them extremely (40%-160%) during the modeling. We summarize the results of the several hundred runs by presenting the extremes. The change in the criteria for robust optimization was uniformly applied to all alternatives. This allowed us to examine what scenarios emerge in the case of high carbon prices or increasing investment costs. Based on these, it can be observed that even with a 16% increase in investment costs, nuclear energy is still present in the electricity sector with a significant 1200MW installed capacity, although it decreases.</w:t>
      </w:r>
      <w:r w:rsidR="00473DF9">
        <w:rPr>
          <w:lang w:val="en-US"/>
        </w:rPr>
        <w:t xml:space="preserve"> (</w:t>
      </w:r>
      <w:r w:rsidR="00473DF9" w:rsidRPr="00473DF9">
        <w:rPr>
          <w:i/>
          <w:lang w:val="en-US"/>
        </w:rPr>
        <w:t>F</w:t>
      </w:r>
      <w:r w:rsidR="00473DF9">
        <w:rPr>
          <w:i/>
          <w:lang w:val="en-US"/>
        </w:rPr>
        <w:t>ig</w:t>
      </w:r>
      <w:r w:rsidR="00473DF9" w:rsidRPr="00473DF9">
        <w:rPr>
          <w:i/>
          <w:lang w:val="en-US"/>
        </w:rPr>
        <w:t>.</w:t>
      </w:r>
      <w:r w:rsidRPr="00473DF9">
        <w:rPr>
          <w:i/>
          <w:lang w:val="en-US"/>
        </w:rPr>
        <w:t xml:space="preserve"> 1</w:t>
      </w:r>
      <w:r w:rsidRPr="00894D75">
        <w:rPr>
          <w:lang w:val="en-US"/>
        </w:rPr>
        <w:t>.)</w:t>
      </w:r>
    </w:p>
    <w:p w14:paraId="2E02D2B4" w14:textId="77777777" w:rsidR="00473DF9" w:rsidRDefault="00473DF9" w:rsidP="00537496">
      <w:pPr>
        <w:pStyle w:val="Szvegtrzs"/>
        <w:rPr>
          <w:lang w:val="en-US"/>
        </w:rPr>
      </w:pPr>
    </w:p>
    <w:p w14:paraId="358044FA" w14:textId="036B5B6E" w:rsidR="00894D75" w:rsidRDefault="00473DF9" w:rsidP="00537496">
      <w:pPr>
        <w:pStyle w:val="Szvegtrzs"/>
        <w:rPr>
          <w:lang w:val="en-US"/>
        </w:rPr>
      </w:pPr>
      <w:r>
        <w:rPr>
          <w:noProof/>
          <w:lang w:val="hu-HU" w:eastAsia="hu-HU"/>
        </w:rPr>
        <w:drawing>
          <wp:inline distT="0" distB="0" distL="0" distR="0" wp14:anchorId="19B559F2" wp14:editId="1F424AD6">
            <wp:extent cx="2628000" cy="1717200"/>
            <wp:effectExtent l="0" t="0" r="127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r w:rsidR="00894D75">
        <w:rPr>
          <w:noProof/>
          <w:lang w:val="hu-HU" w:eastAsia="hu-HU"/>
        </w:rPr>
        <w:t xml:space="preserve">  </w:t>
      </w:r>
      <w:r w:rsidR="00894D75">
        <w:rPr>
          <w:noProof/>
          <w:lang w:val="hu-HU" w:eastAsia="hu-HU"/>
        </w:rPr>
        <w:drawing>
          <wp:inline distT="0" distB="0" distL="0" distR="0" wp14:anchorId="4BAF377F" wp14:editId="05C99C7E">
            <wp:extent cx="2628000" cy="1717200"/>
            <wp:effectExtent l="0" t="0" r="127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p>
    <w:p w14:paraId="6872A0FE" w14:textId="489F385E" w:rsidR="00894D75" w:rsidRDefault="00473DF9" w:rsidP="00537496">
      <w:pPr>
        <w:pStyle w:val="Szvegtrzs"/>
      </w:pPr>
      <w:r>
        <w:rPr>
          <w:noProof/>
          <w:lang w:val="hu-HU" w:eastAsia="hu-HU"/>
        </w:rPr>
        <mc:AlternateContent>
          <mc:Choice Requires="wps">
            <w:drawing>
              <wp:anchor distT="0" distB="0" distL="114300" distR="114300" simplePos="0" relativeHeight="251662336" behindDoc="0" locked="0" layoutInCell="1" allowOverlap="1" wp14:anchorId="1D911480" wp14:editId="5AC924DC">
                <wp:simplePos x="0" y="0"/>
                <wp:positionH relativeFrom="margin">
                  <wp:posOffset>-635</wp:posOffset>
                </wp:positionH>
                <wp:positionV relativeFrom="paragraph">
                  <wp:posOffset>165100</wp:posOffset>
                </wp:positionV>
                <wp:extent cx="5629275" cy="200025"/>
                <wp:effectExtent l="0" t="0" r="9525" b="9525"/>
                <wp:wrapTopAndBottom/>
                <wp:docPr id="7" name="Text Box 2"/>
                <wp:cNvGraphicFramePr/>
                <a:graphic xmlns:a="http://schemas.openxmlformats.org/drawingml/2006/main">
                  <a:graphicData uri="http://schemas.microsoft.com/office/word/2010/wordprocessingShape">
                    <wps:wsp>
                      <wps:cNvSpPr txBox="1"/>
                      <wps:spPr>
                        <a:xfrm>
                          <a:off x="0" y="0"/>
                          <a:ext cx="5629275" cy="200025"/>
                        </a:xfrm>
                        <a:prstGeom prst="rect">
                          <a:avLst/>
                        </a:prstGeom>
                        <a:solidFill>
                          <a:prstClr val="white"/>
                        </a:solidFill>
                        <a:ln>
                          <a:noFill/>
                        </a:ln>
                        <a:effectLst/>
                      </wps:spPr>
                      <wps:txbx>
                        <w:txbxContent>
                          <w:p w14:paraId="1F24C783" w14:textId="0BADC5B1" w:rsidR="00473DF9" w:rsidRPr="00802381" w:rsidRDefault="00473DF9" w:rsidP="00473DF9">
                            <w:pPr>
                              <w:pStyle w:val="Kpalrs"/>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Installed heat and electric power in main city with increased in investment cost</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11480" id="_x0000_t202" coordsize="21600,21600" o:spt="202" path="m,l,21600r21600,l21600,xe">
                <v:stroke joinstyle="miter"/>
                <v:path gradientshapeok="t" o:connecttype="rect"/>
              </v:shapetype>
              <v:shape id="Text Box 2" o:spid="_x0000_s1026" type="#_x0000_t202" style="position:absolute;left:0;text-align:left;margin-left:-.05pt;margin-top:13pt;width:443.2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BRMgIAAG4EAAAOAAAAZHJzL2Uyb0RvYy54bWysVMFu2zAMvQ/YPwi6L04MpN2COEWWIsOA&#10;oC2QDD0rshQLkERNUmJ3Xz9KttOt22nYRaFI6tF8j8zyrjOaXIQPCmxFZ5MpJcJyqJU9VfTbYfvh&#10;IyUhMlszDVZU9EUEerd6/27ZuoUooQFdC08QxIZF6yraxOgWRRF4IwwLE3DCYlCCNyzi1Z+K2rMW&#10;0Y0uyun0pmjB184DFyGg974P0lXGl1Lw+ChlEJHoiuK3xXz6fB7TWayWbHHyzDWKD5/B/uErDFMW&#10;i16h7llk5OzVH1BGcQ8BZJxwMAVIqbjIPWA3s+mbbvYNcyL3guQEd6Up/D9Y/nB58kTVFb2lxDKD&#10;Eh1EF8ln6EiZ2GldWGDS3mFa7NCNKo/+gM7UdCe9Sb/YDsE48vxy5TaBcXTOb8pP5e2cEo4xVG5a&#10;zhNM8fra+RC/CDAkGRX1qF2mlF12IfapY0oqFkCrequ0TpcU2GhPLgx1bhsVxQD+W5a2KddCetUD&#10;9h6RB2WokhruG0tW7I7dwMIR6hckwUM/RMHxrcKyOxbiE/M4Ndg3bkJ8xENqaCsKg0VJA/7H3/wp&#10;H8XEKCUtTmFFw/cz84IS/dWizGlkR8OPxnE07NlsABue4Y45nk184KMeTenBPOOCrFMVDDHLsVZF&#10;42huYr8LuGBcrNc5CQfTsbize8cT9EjvoXtm3g3iRJT1Acb5ZIs3GvW5PdnrcwSpsoCJ0J5FFD5d&#10;cKjzCAwLmLbm13vOev2bWP0EAAD//wMAUEsDBBQABgAIAAAAIQBq9Umh3gAAAAcBAAAPAAAAZHJz&#10;L2Rvd25yZXYueG1sTI9BT8JAFITvJv6HzTPxYmBLI7WpfSUKetMDSDgv3Ufb0H3bdLe0/HvXkxwn&#10;M5n5Jl9NphUX6l1jGWExj0AQl1Y3XCHsfz5nKQjnFWvVWiaEKzlYFfd3ucq0HXlLl52vRChhlymE&#10;2vsuk9KVNRnl5rYjDt7J9kb5IPtK6l6Nody0Mo6iRBrVcFioVUfrmsrzbjAIyaYfxi2vnzb7jy/1&#10;3VXx4f16QHx8mN5eQXia/H8Y/vADOhSB6WgH1k60CLNFCCLESXgU7DRNnkEcEZYvS5BFLm/5i18A&#10;AAD//wMAUEsBAi0AFAAGAAgAAAAhALaDOJL+AAAA4QEAABMAAAAAAAAAAAAAAAAAAAAAAFtDb250&#10;ZW50X1R5cGVzXS54bWxQSwECLQAUAAYACAAAACEAOP0h/9YAAACUAQAACwAAAAAAAAAAAAAAAAAv&#10;AQAAX3JlbHMvLnJlbHNQSwECLQAUAAYACAAAACEAaF7QUTICAABuBAAADgAAAAAAAAAAAAAAAAAu&#10;AgAAZHJzL2Uyb0RvYy54bWxQSwECLQAUAAYACAAAACEAavVJod4AAAAHAQAADwAAAAAAAAAAAAAA&#10;AACMBAAAZHJzL2Rvd25yZXYueG1sUEsFBgAAAAAEAAQA8wAAAJcFAAAAAA==&#10;" stroked="f">
                <v:textbox inset="0,0,0,0">
                  <w:txbxContent>
                    <w:p w14:paraId="1F24C783" w14:textId="0BADC5B1" w:rsidR="00473DF9" w:rsidRPr="00802381" w:rsidRDefault="00473DF9" w:rsidP="00473DF9">
                      <w:pPr>
                        <w:pStyle w:val="Kpalrs"/>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Installed heat and electric power in main city with increased in investment cost</w:t>
                      </w:r>
                      <w:r>
                        <w:rPr>
                          <w:i/>
                        </w:rPr>
                        <w:t>.</w:t>
                      </w:r>
                    </w:p>
                  </w:txbxContent>
                </v:textbox>
                <w10:wrap type="topAndBottom" anchorx="margin"/>
              </v:shape>
            </w:pict>
          </mc:Fallback>
        </mc:AlternateContent>
      </w:r>
    </w:p>
    <w:p w14:paraId="13E6F8E5" w14:textId="5CF23890" w:rsidR="00473DF9" w:rsidRDefault="00473DF9" w:rsidP="00473DF9">
      <w:pPr>
        <w:pStyle w:val="Szvegtrzs"/>
        <w:rPr>
          <w:lang w:val="en-US"/>
        </w:rPr>
      </w:pPr>
      <w:r w:rsidRPr="00CE6444">
        <w:rPr>
          <w:lang w:val="en-US"/>
        </w:rPr>
        <w:lastRenderedPageBreak/>
        <w:t>Highlighting the environmental impacts, the inefficient biomass burning associated with family houses disappears from the energy mix, being replaced by large-scale district heating. In the case of electricity generation, nuclear energy takes over the role of brown coal and biomass.</w:t>
      </w:r>
      <w:r>
        <w:rPr>
          <w:lang w:val="en-US"/>
        </w:rPr>
        <w:t xml:space="preserve"> (</w:t>
      </w:r>
      <w:r w:rsidRPr="00473DF9">
        <w:rPr>
          <w:i/>
          <w:lang w:val="en-US"/>
        </w:rPr>
        <w:t>Fig.</w:t>
      </w:r>
      <w:r w:rsidRPr="00473DF9">
        <w:rPr>
          <w:i/>
          <w:lang w:val="en-US"/>
        </w:rPr>
        <w:t xml:space="preserve"> 2</w:t>
      </w:r>
      <w:r w:rsidRPr="00CE6444">
        <w:rPr>
          <w:lang w:val="en-US"/>
        </w:rPr>
        <w:t>.)</w:t>
      </w:r>
    </w:p>
    <w:p w14:paraId="5370E41F" w14:textId="1298838C" w:rsidR="00473DF9" w:rsidRDefault="00473DF9" w:rsidP="00473DF9">
      <w:pPr>
        <w:pStyle w:val="Szvegtrzs"/>
        <w:rPr>
          <w:lang w:val="en-US"/>
        </w:rPr>
      </w:pPr>
    </w:p>
    <w:p w14:paraId="7FFB5478" w14:textId="49CF1CAE" w:rsidR="00473DF9" w:rsidRDefault="00473DF9" w:rsidP="00473DF9">
      <w:pPr>
        <w:pStyle w:val="Szvegtrzs"/>
        <w:rPr>
          <w:lang w:val="en-US"/>
        </w:rPr>
      </w:pPr>
      <w:r>
        <w:rPr>
          <w:noProof/>
          <w:lang w:val="hu-HU" w:eastAsia="hu-HU"/>
        </w:rPr>
        <w:drawing>
          <wp:inline distT="0" distB="0" distL="0" distR="0" wp14:anchorId="22514B1C" wp14:editId="25D5662E">
            <wp:extent cx="2628000" cy="1717200"/>
            <wp:effectExtent l="0" t="0" r="127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r>
        <w:rPr>
          <w:lang w:val="en-US"/>
        </w:rPr>
        <w:t xml:space="preserve">  </w:t>
      </w:r>
      <w:r w:rsidR="008423E0">
        <w:rPr>
          <w:noProof/>
          <w:lang w:val="hu-HU" w:eastAsia="hu-HU"/>
        </w:rPr>
        <w:drawing>
          <wp:inline distT="0" distB="0" distL="0" distR="0" wp14:anchorId="7489D207" wp14:editId="68F86AD1">
            <wp:extent cx="2628000" cy="1717200"/>
            <wp:effectExtent l="0" t="0" r="127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p>
    <w:p w14:paraId="408471A8" w14:textId="530EF926" w:rsidR="00473DF9" w:rsidRDefault="00473DF9" w:rsidP="00473DF9">
      <w:pPr>
        <w:pStyle w:val="Szvegtrzs"/>
        <w:rPr>
          <w:lang w:val="en-US"/>
        </w:rPr>
      </w:pPr>
    </w:p>
    <w:p w14:paraId="7D3682D6" w14:textId="2F532D4E" w:rsidR="008423E0" w:rsidRPr="00802381" w:rsidRDefault="008423E0" w:rsidP="008423E0">
      <w:pPr>
        <w:pStyle w:val="Kpalrs"/>
        <w:jc w:val="center"/>
        <w:rPr>
          <w:i/>
          <w:sz w:val="20"/>
        </w:rPr>
      </w:pPr>
      <w:r w:rsidRPr="00802381">
        <w:rPr>
          <w:i/>
        </w:rPr>
        <w:t xml:space="preserve">FIG. </w:t>
      </w:r>
      <w:r>
        <w:rPr>
          <w:i/>
        </w:rPr>
        <w:t>2</w:t>
      </w:r>
      <w:r>
        <w:rPr>
          <w:i/>
        </w:rPr>
        <w:t xml:space="preserve">. Installed heat and electric power in main city with </w:t>
      </w:r>
      <w:r>
        <w:rPr>
          <w:i/>
        </w:rPr>
        <w:t>highlighted environmental impact</w:t>
      </w:r>
      <w:r>
        <w:rPr>
          <w:i/>
        </w:rPr>
        <w:t>.</w:t>
      </w:r>
    </w:p>
    <w:p w14:paraId="35109CF1" w14:textId="77777777" w:rsidR="008423E0" w:rsidRDefault="008423E0" w:rsidP="008423E0">
      <w:pPr>
        <w:pStyle w:val="Szvegtrzs"/>
        <w:rPr>
          <w:lang w:val="en-US"/>
        </w:rPr>
      </w:pPr>
    </w:p>
    <w:p w14:paraId="04FB4CB6" w14:textId="638FAC64" w:rsidR="008423E0" w:rsidRDefault="008423E0" w:rsidP="008423E0">
      <w:pPr>
        <w:pStyle w:val="Szvegtrzs"/>
        <w:rPr>
          <w:lang w:val="en-US"/>
        </w:rPr>
      </w:pPr>
      <w:r w:rsidRPr="00CE6444">
        <w:rPr>
          <w:lang w:val="en-US"/>
        </w:rPr>
        <w:t>In our model, nuclear energy could be used directly in the heat sector only through the application of SMR reactors. Naturally, the indirect utilization of nuclear energy via heat pumps had already been realized in previous scenarios; however, its direct implementation primarily depended on the investment cost. To introduce SMR reactors, it was necessary to significantly reduce the reactor's fixed cost by at least 48%.</w:t>
      </w:r>
      <w:r>
        <w:rPr>
          <w:lang w:val="en-US"/>
        </w:rPr>
        <w:t xml:space="preserve"> (</w:t>
      </w:r>
      <w:r w:rsidRPr="008423E0">
        <w:rPr>
          <w:i/>
          <w:lang w:val="en-US"/>
        </w:rPr>
        <w:t>Fig.</w:t>
      </w:r>
      <w:r w:rsidRPr="008423E0">
        <w:rPr>
          <w:i/>
          <w:lang w:val="en-US"/>
        </w:rPr>
        <w:t xml:space="preserve"> 3</w:t>
      </w:r>
      <w:r w:rsidRPr="00CE6444">
        <w:rPr>
          <w:lang w:val="en-US"/>
        </w:rPr>
        <w:t xml:space="preserve">.) </w:t>
      </w:r>
    </w:p>
    <w:p w14:paraId="37BA9465" w14:textId="77777777" w:rsidR="008423E0" w:rsidRDefault="008423E0" w:rsidP="008423E0">
      <w:pPr>
        <w:pStyle w:val="Szvegtrzs"/>
        <w:rPr>
          <w:lang w:val="en-US"/>
        </w:rPr>
      </w:pPr>
    </w:p>
    <w:p w14:paraId="00791B53" w14:textId="16B4917B" w:rsidR="008423E0" w:rsidRDefault="008423E0" w:rsidP="00473DF9">
      <w:pPr>
        <w:pStyle w:val="Szvegtrzs"/>
        <w:rPr>
          <w:lang w:val="en-US"/>
        </w:rPr>
      </w:pPr>
      <w:r>
        <w:rPr>
          <w:noProof/>
          <w:lang w:val="hu-HU" w:eastAsia="hu-HU"/>
        </w:rPr>
        <w:drawing>
          <wp:inline distT="0" distB="0" distL="0" distR="0" wp14:anchorId="4742E94B" wp14:editId="2E928B98">
            <wp:extent cx="2628000" cy="1717200"/>
            <wp:effectExtent l="0" t="0" r="127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r>
        <w:rPr>
          <w:lang w:val="en-US"/>
        </w:rPr>
        <w:t xml:space="preserve">  </w:t>
      </w:r>
      <w:r>
        <w:rPr>
          <w:noProof/>
          <w:lang w:val="hu-HU" w:eastAsia="hu-HU"/>
        </w:rPr>
        <w:drawing>
          <wp:inline distT="0" distB="0" distL="0" distR="0" wp14:anchorId="06B52F3F" wp14:editId="56C59B87">
            <wp:extent cx="2628000" cy="1717200"/>
            <wp:effectExtent l="0" t="0" r="127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000" cy="1717200"/>
                    </a:xfrm>
                    <a:prstGeom prst="rect">
                      <a:avLst/>
                    </a:prstGeom>
                    <a:noFill/>
                  </pic:spPr>
                </pic:pic>
              </a:graphicData>
            </a:graphic>
          </wp:inline>
        </w:drawing>
      </w:r>
    </w:p>
    <w:p w14:paraId="375E5552" w14:textId="77777777" w:rsidR="008423E0" w:rsidRDefault="008423E0" w:rsidP="008423E0">
      <w:pPr>
        <w:pStyle w:val="Szvegtrzs"/>
        <w:rPr>
          <w:lang w:val="en-US"/>
        </w:rPr>
      </w:pPr>
    </w:p>
    <w:p w14:paraId="38FBF38C" w14:textId="576A06C1" w:rsidR="008423E0" w:rsidRPr="00802381" w:rsidRDefault="008423E0" w:rsidP="008423E0">
      <w:pPr>
        <w:pStyle w:val="Kpalrs"/>
        <w:jc w:val="center"/>
        <w:rPr>
          <w:i/>
          <w:sz w:val="20"/>
        </w:rPr>
      </w:pPr>
      <w:r w:rsidRPr="00802381">
        <w:rPr>
          <w:i/>
        </w:rPr>
        <w:t xml:space="preserve">FIG. </w:t>
      </w:r>
      <w:r>
        <w:rPr>
          <w:i/>
        </w:rPr>
        <w:t>3</w:t>
      </w:r>
      <w:r>
        <w:rPr>
          <w:i/>
        </w:rPr>
        <w:t xml:space="preserve">. Installed heat and electric power in main city with </w:t>
      </w:r>
      <w:r>
        <w:rPr>
          <w:i/>
        </w:rPr>
        <w:t>reduced SMR investment cost</w:t>
      </w:r>
      <w:r>
        <w:rPr>
          <w:i/>
        </w:rPr>
        <w:t>.</w:t>
      </w:r>
    </w:p>
    <w:p w14:paraId="34BB0F1D" w14:textId="77777777" w:rsidR="008423E0" w:rsidRDefault="008423E0" w:rsidP="008423E0">
      <w:pPr>
        <w:pStyle w:val="Szvegtrzs"/>
        <w:rPr>
          <w:lang w:val="en-US"/>
        </w:rPr>
      </w:pPr>
    </w:p>
    <w:p w14:paraId="55DEB9DF" w14:textId="77777777" w:rsidR="008423E0" w:rsidRDefault="008423E0" w:rsidP="008423E0">
      <w:pPr>
        <w:pStyle w:val="Szvegtrzs"/>
        <w:rPr>
          <w:lang w:val="en-US"/>
        </w:rPr>
      </w:pPr>
      <w:r w:rsidRPr="00CE6444">
        <w:rPr>
          <w:lang w:val="en-US"/>
        </w:rPr>
        <w:t xml:space="preserve">In the outlined scenario, SMR with cogeneration played a role in the energy mix, with a heat to electricity ratio considered at 65% to 20%. The heat provided by the reactor supplies domestic hot water and heating throughout the year, while other energy sources provide the seasonal balancing energy. Regarding the obtained results, it is important to highlight that large nuclear power plants were also included in our model, making them competitors to the SMR reactors. In reality, the prominent role of SMR reactors is evident where geographical or geopolitical conditions do not permit the operation of large power plants. </w:t>
      </w:r>
    </w:p>
    <w:p w14:paraId="07CB9C11" w14:textId="77777777" w:rsidR="008423E0" w:rsidRDefault="008423E0" w:rsidP="00473DF9">
      <w:pPr>
        <w:pStyle w:val="Szvegtrzs"/>
        <w:rPr>
          <w:lang w:val="en-US"/>
        </w:rPr>
      </w:pPr>
    </w:p>
    <w:p w14:paraId="7B29C0F0" w14:textId="729DFD3C" w:rsidR="00F004EE" w:rsidRDefault="008423E0" w:rsidP="00537496">
      <w:pPr>
        <w:pStyle w:val="Cmsor2"/>
      </w:pPr>
      <w:r w:rsidRPr="00CE6444">
        <w:rPr>
          <w:lang w:val="en-US"/>
        </w:rPr>
        <w:t>Conclusion</w:t>
      </w:r>
    </w:p>
    <w:p w14:paraId="0BDB9FA4" w14:textId="27C08117" w:rsidR="001308F2" w:rsidRDefault="008423E0" w:rsidP="00537496">
      <w:pPr>
        <w:pStyle w:val="Szvegtrzs"/>
      </w:pPr>
      <w:r w:rsidRPr="00CE6444">
        <w:rPr>
          <w:lang w:val="en-US"/>
        </w:rPr>
        <w:t>Based on the results, it can be stated that nuclear energy is indispensable in carbon-neutral energy scenarios. According to our calculations, a 2000MW or larger nuclear power plant always formed the basis of the electricity sector. In the shadow of large power plants, SMR technology is only competitive with a significant reduction in capital costs. Since our model did not exclude the presence of large power plants, this study did not address scenarios where only SMR implementation is feasible.</w:t>
      </w:r>
      <w:r w:rsidR="00F74A9D">
        <w:t xml:space="preserve"> </w:t>
      </w:r>
    </w:p>
    <w:p w14:paraId="711AF860" w14:textId="74E252C9" w:rsidR="00D26ADA" w:rsidRDefault="008423E0" w:rsidP="00537496">
      <w:pPr>
        <w:pStyle w:val="Szvegtrzs"/>
        <w:rPr>
          <w:lang w:val="en-US"/>
        </w:rPr>
      </w:pPr>
      <w:r w:rsidRPr="00CE6444">
        <w:rPr>
          <w:lang w:val="en-US"/>
        </w:rPr>
        <w:t xml:space="preserve">Based on the results, it can be stated that nuclear energy is indispensable in carbon-neutral energy scenarios. According to our calculations, a 2000MW or larger nuclear power plant always formed the basis of the </w:t>
      </w:r>
      <w:r w:rsidRPr="00CE6444">
        <w:rPr>
          <w:lang w:val="en-US"/>
        </w:rPr>
        <w:lastRenderedPageBreak/>
        <w:t>electricity sector. In the shadow of large power plants, SMR technology is only competitive with a significant reduction in capital costs. Since our model did not exclude the presence of large power plants, this study did not address scenarios where only SMR implementation is feasible.</w:t>
      </w:r>
    </w:p>
    <w:p w14:paraId="298ECD6D" w14:textId="77777777" w:rsidR="008423E0" w:rsidRDefault="008423E0" w:rsidP="00537496">
      <w:pPr>
        <w:pStyle w:val="Szvegtrzs"/>
      </w:pPr>
    </w:p>
    <w:p w14:paraId="32B76F9D" w14:textId="77777777" w:rsidR="00D26ADA" w:rsidRPr="00285755" w:rsidRDefault="00D26ADA" w:rsidP="00537496">
      <w:pPr>
        <w:pStyle w:val="Otherunnumberedheadings"/>
      </w:pPr>
      <w:r>
        <w:t>References</w:t>
      </w:r>
    </w:p>
    <w:p w14:paraId="4241B3E0" w14:textId="10722139" w:rsidR="00285755" w:rsidRPr="00AE645A" w:rsidRDefault="00AE645A" w:rsidP="00537496">
      <w:pPr>
        <w:pStyle w:val="Referencelist"/>
        <w:rPr>
          <w:lang w:val="en-US"/>
        </w:rPr>
      </w:pPr>
      <w:r w:rsidRPr="00AE645A">
        <w:rPr>
          <w:lang w:val="en-US"/>
        </w:rPr>
        <w:t>ENTSO-E Transparency Platform. Available online: https://transparency.entsoe.eu</w:t>
      </w:r>
      <w:r w:rsidRPr="00AE645A">
        <w:rPr>
          <w:lang w:val="en-US"/>
        </w:rPr>
        <w:t xml:space="preserve">. </w:t>
      </w:r>
    </w:p>
    <w:p w14:paraId="6D9E6A0B" w14:textId="2ABD376C" w:rsidR="009E0D5B" w:rsidRPr="00AE645A" w:rsidRDefault="00AE645A" w:rsidP="00537496">
      <w:pPr>
        <w:pStyle w:val="Referencelist"/>
        <w:rPr>
          <w:lang w:val="en-US"/>
        </w:rPr>
      </w:pPr>
      <w:r w:rsidRPr="00AE645A">
        <w:rPr>
          <w:lang w:val="en-US"/>
        </w:rPr>
        <w:t>Hartmann B., Börcsök E., Groma V., Osan J., Talamon A., Torok S., Alfoldy-Boruss M.: Multi-criteria revision of the Hungarian Renewable Energy Utilization Action Plan—Review of the aspect of economy. Renew. Sustain. Energy Rev. 2017, 80, 1187–1200.</w:t>
      </w:r>
      <w:r w:rsidR="00D26ADA" w:rsidRPr="00AE645A">
        <w:rPr>
          <w:lang w:val="en-US"/>
        </w:rPr>
        <w:t>.</w:t>
      </w:r>
    </w:p>
    <w:p w14:paraId="715727BF" w14:textId="51CD54CC" w:rsidR="009E0D5B" w:rsidRPr="00AE645A" w:rsidRDefault="00AE645A" w:rsidP="00537496">
      <w:pPr>
        <w:pStyle w:val="Referencelist"/>
        <w:rPr>
          <w:lang w:val="en-US"/>
        </w:rPr>
      </w:pPr>
      <w:r w:rsidRPr="00AE645A">
        <w:rPr>
          <w:lang w:val="en-US"/>
        </w:rPr>
        <w:t>Börcsök E., Gerse Á., Fülöp J.: Possibility of nuclear cogeneration development in the region of Paks. Acta Polytechnica Hungarica  Vol. 15, No. 6, 2018</w:t>
      </w:r>
      <w:r w:rsidRPr="00AE645A">
        <w:rPr>
          <w:lang w:val="en-US"/>
        </w:rPr>
        <w:t>.</w:t>
      </w:r>
    </w:p>
    <w:p w14:paraId="379CBF0D" w14:textId="06375A00" w:rsidR="009E0D5B" w:rsidRPr="00AE645A" w:rsidRDefault="00AE645A" w:rsidP="00537496">
      <w:pPr>
        <w:pStyle w:val="Referencelist"/>
        <w:rPr>
          <w:lang w:val="en-US"/>
        </w:rPr>
      </w:pPr>
      <w:r w:rsidRPr="00AE645A">
        <w:rPr>
          <w:lang w:val="en-US"/>
        </w:rPr>
        <w:t xml:space="preserve">Börcsök E., Gerse Á., Fülöp J.: </w:t>
      </w:r>
      <w:r w:rsidRPr="00AE645A">
        <w:rPr>
          <w:rFonts w:eastAsia="MS Mincho"/>
          <w:lang w:val="en-US"/>
        </w:rPr>
        <w:t xml:space="preserve">Applying Multiobjective Optimization for the Heat Supply in the Residential Sector in Budapest, </w:t>
      </w:r>
      <w:r w:rsidRPr="00AE645A">
        <w:rPr>
          <w:lang w:val="en-US"/>
        </w:rPr>
        <w:t xml:space="preserve">12th IEEE International Symposium on Applied Computational Intelligence and Informatics, SACI 2018, </w:t>
      </w:r>
      <w:r w:rsidRPr="00AE645A">
        <w:rPr>
          <w:rStyle w:val="HTML-kd"/>
          <w:rFonts w:ascii="Times New Roman" w:eastAsiaTheme="minorHAnsi" w:hAnsi="Times New Roman" w:cs="Times New Roman"/>
          <w:sz w:val="18"/>
          <w:szCs w:val="18"/>
          <w:lang w:val="en-US"/>
        </w:rPr>
        <w:t xml:space="preserve">Timisoara, Romania, </w:t>
      </w:r>
      <w:r w:rsidRPr="00AE645A">
        <w:rPr>
          <w:rStyle w:val="page"/>
          <w:lang w:val="en-US"/>
        </w:rPr>
        <w:t xml:space="preserve">pp. 213-217, </w:t>
      </w:r>
      <w:r w:rsidRPr="00AE645A">
        <w:rPr>
          <w:rStyle w:val="year"/>
          <w:lang w:val="en-US"/>
        </w:rPr>
        <w:t>2018.</w:t>
      </w:r>
      <w:bookmarkStart w:id="0" w:name="_GoBack"/>
      <w:bookmarkEnd w:id="0"/>
    </w:p>
    <w:sectPr w:rsidR="009E0D5B" w:rsidRPr="00AE645A"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97D6" w14:textId="77777777" w:rsidR="00CA2FA1" w:rsidRDefault="00CA2FA1">
      <w:r>
        <w:separator/>
      </w:r>
    </w:p>
  </w:endnote>
  <w:endnote w:type="continuationSeparator" w:id="0">
    <w:p w14:paraId="5B3ABBA2" w14:textId="77777777" w:rsidR="00CA2FA1" w:rsidRDefault="00CA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4E99D1DE"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E64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6CA1" w14:textId="77777777" w:rsidR="00CA2FA1" w:rsidRDefault="00CA2FA1">
      <w:r>
        <w:t>___________________________________________________________________________</w:t>
      </w:r>
    </w:p>
  </w:footnote>
  <w:footnote w:type="continuationSeparator" w:id="0">
    <w:p w14:paraId="758B7552" w14:textId="77777777" w:rsidR="00CA2FA1" w:rsidRDefault="00CA2FA1">
      <w:r>
        <w:t>___________________________________________________________________________</w:t>
      </w:r>
    </w:p>
  </w:footnote>
  <w:footnote w:type="continuationNotice" w:id="1">
    <w:p w14:paraId="3D047C05" w14:textId="77777777" w:rsidR="00CA2FA1" w:rsidRDefault="00CA2F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0B178561" w:rsidR="00CF7AF3" w:rsidRDefault="00CF7AF3" w:rsidP="00CF7AF3">
    <w:pPr>
      <w:pStyle w:val="Runninghead"/>
    </w:pPr>
    <w:r>
      <w:tab/>
    </w:r>
    <w:r w:rsidR="00AE645A">
      <w:t>IAEA-CN-124</w:t>
    </w:r>
  </w:p>
  <w:p w14:paraId="09E92CEF" w14:textId="79B1175C" w:rsidR="00E20E70" w:rsidRDefault="00CF7AF3" w:rsidP="00AE645A">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42A9006A" w:rsidR="00E20E70" w:rsidRDefault="00391318" w:rsidP="00B82FA5">
    <w:pPr>
      <w:pStyle w:val="Runninghead"/>
    </w:pPr>
    <w:r>
      <w:t>Endre Börcsök et 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Cmsor9"/>
            <w:spacing w:before="0" w:after="10"/>
          </w:pPr>
        </w:p>
      </w:tc>
      <w:tc>
        <w:tcPr>
          <w:tcW w:w="5702" w:type="dxa"/>
          <w:vMerge/>
          <w:vAlign w:val="bottom"/>
        </w:tcPr>
        <w:p w14:paraId="313FA1D9" w14:textId="77777777" w:rsidR="00E20E70" w:rsidRDefault="00E20E70">
          <w:pPr>
            <w:pStyle w:val="Cmsor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Cmsor2"/>
      <w:suff w:val="space"/>
      <w:lvlText w:val="%1%2."/>
      <w:lvlJc w:val="left"/>
      <w:pPr>
        <w:ind w:left="0" w:firstLine="0"/>
      </w:pPr>
      <w:rPr>
        <w:rFonts w:hint="default"/>
        <w:color w:val="auto"/>
      </w:rPr>
    </w:lvl>
    <w:lvl w:ilvl="2">
      <w:start w:val="1"/>
      <w:numFmt w:val="decimal"/>
      <w:lvlRestart w:val="0"/>
      <w:pStyle w:val="Cmsor3"/>
      <w:lvlText w:val="%1%2.%3."/>
      <w:lvlJc w:val="left"/>
      <w:pPr>
        <w:ind w:left="0" w:firstLine="0"/>
      </w:pPr>
      <w:rPr>
        <w:rFonts w:hint="default"/>
      </w:rPr>
    </w:lvl>
    <w:lvl w:ilvl="3">
      <w:start w:val="1"/>
      <w:numFmt w:val="decimal"/>
      <w:lvlRestart w:val="0"/>
      <w:pStyle w:val="Cmsor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Cmsor2"/>
        <w:lvlText w:val="%1%2."/>
        <w:lvlJc w:val="left"/>
        <w:pPr>
          <w:ind w:left="0" w:firstLine="0"/>
        </w:pPr>
        <w:rPr>
          <w:rFonts w:hint="default"/>
          <w:color w:val="auto"/>
        </w:rPr>
      </w:lvl>
    </w:lvlOverride>
    <w:lvlOverride w:ilvl="2">
      <w:lvl w:ilvl="2">
        <w:start w:val="1"/>
        <w:numFmt w:val="decimal"/>
        <w:lvlRestart w:val="0"/>
        <w:pStyle w:val="Cmsor3"/>
        <w:lvlText w:val="%1%2.%3."/>
        <w:lvlJc w:val="left"/>
        <w:pPr>
          <w:ind w:left="0" w:firstLine="0"/>
        </w:pPr>
        <w:rPr>
          <w:rFonts w:hint="default"/>
        </w:rPr>
      </w:lvl>
    </w:lvlOverride>
    <w:lvlOverride w:ilvl="3">
      <w:lvl w:ilvl="3">
        <w:start w:val="1"/>
        <w:numFmt w:val="none"/>
        <w:lvlRestart w:val="0"/>
        <w:pStyle w:val="Cmsor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Cmsor2"/>
        <w:suff w:val="space"/>
        <w:lvlText w:val="%1%2."/>
        <w:lvlJc w:val="left"/>
        <w:pPr>
          <w:ind w:left="0" w:firstLine="0"/>
        </w:pPr>
        <w:rPr>
          <w:rFonts w:hint="default"/>
          <w:color w:val="auto"/>
        </w:rPr>
      </w:lvl>
    </w:lvlOverride>
    <w:lvlOverride w:ilvl="2">
      <w:lvl w:ilvl="2">
        <w:start w:val="1"/>
        <w:numFmt w:val="decimal"/>
        <w:lvlRestart w:val="0"/>
        <w:pStyle w:val="Cmsor3"/>
        <w:suff w:val="space"/>
        <w:lvlText w:val="%1%2.%3."/>
        <w:lvlJc w:val="left"/>
        <w:pPr>
          <w:ind w:left="0" w:firstLine="0"/>
        </w:pPr>
        <w:rPr>
          <w:rFonts w:hint="default"/>
        </w:rPr>
      </w:lvl>
    </w:lvlOverride>
    <w:lvlOverride w:ilvl="3">
      <w:lvl w:ilvl="3">
        <w:start w:val="1"/>
        <w:numFmt w:val="decimal"/>
        <w:lvlRestart w:val="0"/>
        <w:pStyle w:val="Cmsor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7E94"/>
    <w:rsid w:val="001119D6"/>
    <w:rsid w:val="001308F2"/>
    <w:rsid w:val="001313E8"/>
    <w:rsid w:val="001C58F5"/>
    <w:rsid w:val="001D5CEE"/>
    <w:rsid w:val="002071D9"/>
    <w:rsid w:val="00256822"/>
    <w:rsid w:val="0026525A"/>
    <w:rsid w:val="00274790"/>
    <w:rsid w:val="00285755"/>
    <w:rsid w:val="002A1F9C"/>
    <w:rsid w:val="002B29C2"/>
    <w:rsid w:val="002C4208"/>
    <w:rsid w:val="00352DE1"/>
    <w:rsid w:val="003728E6"/>
    <w:rsid w:val="00374426"/>
    <w:rsid w:val="00391318"/>
    <w:rsid w:val="003B5E0E"/>
    <w:rsid w:val="003D255A"/>
    <w:rsid w:val="00406D27"/>
    <w:rsid w:val="00416949"/>
    <w:rsid w:val="004370D8"/>
    <w:rsid w:val="00472C43"/>
    <w:rsid w:val="00473DF9"/>
    <w:rsid w:val="00537496"/>
    <w:rsid w:val="00544ED3"/>
    <w:rsid w:val="0058477B"/>
    <w:rsid w:val="0058654F"/>
    <w:rsid w:val="00596ACA"/>
    <w:rsid w:val="005E39BC"/>
    <w:rsid w:val="005F00A0"/>
    <w:rsid w:val="00647F33"/>
    <w:rsid w:val="00662532"/>
    <w:rsid w:val="006B2274"/>
    <w:rsid w:val="00717C6F"/>
    <w:rsid w:val="007445DA"/>
    <w:rsid w:val="00754204"/>
    <w:rsid w:val="007B4FD1"/>
    <w:rsid w:val="00802381"/>
    <w:rsid w:val="008423E0"/>
    <w:rsid w:val="00883848"/>
    <w:rsid w:val="00894D75"/>
    <w:rsid w:val="00897ED5"/>
    <w:rsid w:val="008B6BB9"/>
    <w:rsid w:val="00911543"/>
    <w:rsid w:val="009519C9"/>
    <w:rsid w:val="009D0B86"/>
    <w:rsid w:val="009E0D5B"/>
    <w:rsid w:val="009E1558"/>
    <w:rsid w:val="00A42898"/>
    <w:rsid w:val="00A64D43"/>
    <w:rsid w:val="00AB6ACE"/>
    <w:rsid w:val="00AC5A3A"/>
    <w:rsid w:val="00AE645A"/>
    <w:rsid w:val="00B82FA5"/>
    <w:rsid w:val="00BD1400"/>
    <w:rsid w:val="00BD605C"/>
    <w:rsid w:val="00BE2A76"/>
    <w:rsid w:val="00C65E60"/>
    <w:rsid w:val="00CA2FA1"/>
    <w:rsid w:val="00CE5A52"/>
    <w:rsid w:val="00CF7AF3"/>
    <w:rsid w:val="00D26ADA"/>
    <w:rsid w:val="00D30BB7"/>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Code" w:uiPriority="9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l">
    <w:name w:val="Normal"/>
    <w:uiPriority w:val="49"/>
    <w:rsid w:val="00CF7AF3"/>
    <w:pPr>
      <w:overflowPunct w:val="0"/>
      <w:autoSpaceDE w:val="0"/>
      <w:autoSpaceDN w:val="0"/>
      <w:adjustRightInd w:val="0"/>
      <w:textAlignment w:val="baseline"/>
    </w:pPr>
    <w:rPr>
      <w:sz w:val="22"/>
      <w:lang w:eastAsia="en-US"/>
    </w:rPr>
  </w:style>
  <w:style w:type="paragraph" w:styleId="Cmsor1">
    <w:name w:val="heading 1"/>
    <w:aliases w:val="Paper title"/>
    <w:next w:val="Alcm"/>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Cmsor2">
    <w:name w:val="heading 2"/>
    <w:aliases w:val="1st level paper heading"/>
    <w:next w:val="Szvegtrzs"/>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Cmsor3">
    <w:name w:val="heading 3"/>
    <w:aliases w:val="2nd level paper heading"/>
    <w:next w:val="Szvegtrzs"/>
    <w:uiPriority w:val="4"/>
    <w:qFormat/>
    <w:rsid w:val="00897ED5"/>
    <w:pPr>
      <w:widowControl w:val="0"/>
      <w:numPr>
        <w:ilvl w:val="2"/>
        <w:numId w:val="12"/>
      </w:numPr>
      <w:spacing w:before="240" w:after="240" w:line="240" w:lineRule="exact"/>
      <w:outlineLvl w:val="2"/>
    </w:pPr>
    <w:rPr>
      <w:b/>
      <w:lang w:eastAsia="en-US"/>
    </w:rPr>
  </w:style>
  <w:style w:type="paragraph" w:styleId="Cmsor4">
    <w:name w:val="heading 4"/>
    <w:aliases w:val="3rd level paper heading"/>
    <w:basedOn w:val="Norml"/>
    <w:next w:val="Szvegtrzs"/>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Cmsor5">
    <w:name w:val="heading 5"/>
    <w:basedOn w:val="Norml"/>
    <w:next w:val="Norml"/>
    <w:uiPriority w:val="19"/>
    <w:locked/>
    <w:pPr>
      <w:overflowPunct/>
      <w:autoSpaceDE/>
      <w:autoSpaceDN/>
      <w:adjustRightInd/>
      <w:spacing w:before="240" w:after="60"/>
      <w:textAlignment w:val="auto"/>
      <w:outlineLvl w:val="4"/>
    </w:pPr>
    <w:rPr>
      <w:b/>
      <w:bCs/>
      <w:i/>
      <w:iCs/>
      <w:sz w:val="26"/>
      <w:szCs w:val="26"/>
      <w:lang w:val="en-US"/>
    </w:rPr>
  </w:style>
  <w:style w:type="paragraph" w:styleId="Cmsor6">
    <w:name w:val="heading 6"/>
    <w:basedOn w:val="Norml"/>
    <w:next w:val="Norml"/>
    <w:uiPriority w:val="19"/>
    <w:locked/>
    <w:pPr>
      <w:overflowPunct/>
      <w:autoSpaceDE/>
      <w:autoSpaceDN/>
      <w:adjustRightInd/>
      <w:spacing w:before="240" w:after="60"/>
      <w:textAlignment w:val="auto"/>
      <w:outlineLvl w:val="5"/>
    </w:pPr>
    <w:rPr>
      <w:b/>
      <w:bCs/>
      <w:szCs w:val="22"/>
      <w:lang w:val="en-US"/>
    </w:rPr>
  </w:style>
  <w:style w:type="paragraph" w:styleId="Cmsor7">
    <w:name w:val="heading 7"/>
    <w:basedOn w:val="Norml"/>
    <w:next w:val="Norml"/>
    <w:uiPriority w:val="19"/>
    <w:locked/>
    <w:pPr>
      <w:overflowPunct/>
      <w:autoSpaceDE/>
      <w:autoSpaceDN/>
      <w:adjustRightInd/>
      <w:spacing w:before="240" w:after="60"/>
      <w:textAlignment w:val="auto"/>
      <w:outlineLvl w:val="6"/>
    </w:pPr>
    <w:rPr>
      <w:szCs w:val="24"/>
      <w:lang w:val="en-US"/>
    </w:rPr>
  </w:style>
  <w:style w:type="paragraph" w:styleId="Cmsor8">
    <w:name w:val="heading 8"/>
    <w:basedOn w:val="Norml"/>
    <w:next w:val="Norml"/>
    <w:uiPriority w:val="19"/>
    <w:locked/>
    <w:pPr>
      <w:overflowPunct/>
      <w:autoSpaceDE/>
      <w:autoSpaceDN/>
      <w:adjustRightInd/>
      <w:spacing w:before="240" w:after="60"/>
      <w:textAlignment w:val="auto"/>
      <w:outlineLvl w:val="7"/>
    </w:pPr>
    <w:rPr>
      <w:i/>
      <w:iCs/>
      <w:szCs w:val="24"/>
      <w:lang w:val="en-US"/>
    </w:rPr>
  </w:style>
  <w:style w:type="paragraph" w:styleId="Cmsor9">
    <w:name w:val="heading 9"/>
    <w:basedOn w:val="Norml"/>
    <w:next w:val="Norm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link w:val="SzvegtrzsChar"/>
    <w:qFormat/>
    <w:rsid w:val="00647F33"/>
    <w:pPr>
      <w:spacing w:line="260" w:lineRule="atLeast"/>
      <w:ind w:firstLine="567"/>
      <w:contextualSpacing/>
      <w:jc w:val="both"/>
    </w:pPr>
    <w:rPr>
      <w:lang w:eastAsia="en-US"/>
    </w:rPr>
  </w:style>
  <w:style w:type="paragraph" w:styleId="Szvegtrzsbehzssal">
    <w:name w:val="Body Text Indent"/>
    <w:basedOn w:val="Szvegtrzs"/>
    <w:uiPriority w:val="49"/>
    <w:locked/>
    <w:pPr>
      <w:ind w:left="1134" w:hanging="675"/>
    </w:pPr>
  </w:style>
  <w:style w:type="paragraph" w:customStyle="1" w:styleId="BodyTextMultiline">
    <w:name w:val="Body Text Multiline"/>
    <w:basedOn w:val="Szvegtrzs"/>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Kpalrs">
    <w:name w:val="caption"/>
    <w:next w:val="Norml"/>
    <w:uiPriority w:val="49"/>
    <w:pPr>
      <w:spacing w:after="85"/>
    </w:pPr>
    <w:rPr>
      <w:bCs/>
      <w:sz w:val="18"/>
      <w:lang w:val="en-US" w:eastAsia="en-US"/>
    </w:rPr>
  </w:style>
  <w:style w:type="paragraph" w:styleId="llb">
    <w:name w:val="footer"/>
    <w:basedOn w:val="Norml"/>
    <w:link w:val="llbChar"/>
    <w:uiPriority w:val="99"/>
    <w:locked/>
    <w:pPr>
      <w:overflowPunct/>
      <w:autoSpaceDE/>
      <w:autoSpaceDN/>
      <w:adjustRightInd/>
      <w:textAlignment w:val="auto"/>
    </w:pPr>
    <w:rPr>
      <w:sz w:val="2"/>
      <w:lang w:val="en-US"/>
    </w:rPr>
  </w:style>
  <w:style w:type="paragraph" w:styleId="Lbjegyzetszveg">
    <w:name w:val="footnote text"/>
    <w:semiHidden/>
    <w:locked/>
    <w:pPr>
      <w:tabs>
        <w:tab w:val="left" w:pos="459"/>
      </w:tabs>
      <w:spacing w:before="142"/>
      <w:ind w:left="459"/>
      <w:jc w:val="both"/>
    </w:pPr>
    <w:rPr>
      <w:sz w:val="18"/>
      <w:lang w:eastAsia="en-US"/>
    </w:rPr>
  </w:style>
  <w:style w:type="paragraph" w:styleId="lfej">
    <w:name w:val="header"/>
    <w:next w:val="Szvegtrzs"/>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Szvegtrzs"/>
    <w:uiPriority w:val="6"/>
    <w:qFormat/>
    <w:rsid w:val="00717C6F"/>
    <w:pPr>
      <w:numPr>
        <w:numId w:val="20"/>
      </w:numPr>
      <w:ind w:left="709"/>
    </w:pPr>
  </w:style>
  <w:style w:type="paragraph" w:customStyle="1" w:styleId="ListNumbered">
    <w:name w:val="List Numbered"/>
    <w:basedOn w:val="Szvegtrzs"/>
    <w:uiPriority w:val="5"/>
    <w:qFormat/>
    <w:locked/>
    <w:rsid w:val="00717C6F"/>
    <w:pPr>
      <w:numPr>
        <w:numId w:val="22"/>
      </w:numPr>
    </w:pPr>
  </w:style>
  <w:style w:type="paragraph" w:styleId="Cm">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l"/>
    <w:uiPriority w:val="49"/>
    <w:locked/>
    <w:pPr>
      <w:keepNext/>
      <w:spacing w:after="10"/>
    </w:pPr>
    <w:rPr>
      <w:rFonts w:ascii="Arial" w:hAnsi="Arial"/>
      <w:b/>
      <w:sz w:val="13"/>
    </w:rPr>
  </w:style>
  <w:style w:type="paragraph" w:customStyle="1" w:styleId="zyxP1Footer">
    <w:name w:val="zyxP1_Footer"/>
    <w:basedOn w:val="Norml"/>
    <w:uiPriority w:val="49"/>
    <w:locked/>
    <w:pPr>
      <w:widowControl w:val="0"/>
      <w:spacing w:line="160" w:lineRule="exact"/>
      <w:ind w:left="108"/>
    </w:pPr>
    <w:rPr>
      <w:sz w:val="14"/>
    </w:rPr>
  </w:style>
  <w:style w:type="paragraph" w:customStyle="1" w:styleId="zyxSensitivity">
    <w:name w:val="zyxSensitivity"/>
    <w:basedOn w:val="Norm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l"/>
    <w:uiPriority w:val="49"/>
    <w:locked/>
    <w:pPr>
      <w:keepNext/>
      <w:spacing w:line="420" w:lineRule="exact"/>
    </w:pPr>
    <w:rPr>
      <w:rFonts w:ascii="Arial" w:hAnsi="Arial"/>
      <w:sz w:val="40"/>
    </w:rPr>
  </w:style>
  <w:style w:type="character" w:styleId="Lbjegyzet-hivatkozs">
    <w:name w:val="footnote reference"/>
    <w:basedOn w:val="Bekezdsalapbettpusa"/>
    <w:semiHidden/>
    <w:locked/>
    <w:rPr>
      <w:vertAlign w:val="superscript"/>
    </w:rPr>
  </w:style>
  <w:style w:type="paragraph" w:styleId="Alcm">
    <w:name w:val="Subtitle"/>
    <w:next w:val="Szvegtrzs"/>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Szvegtrzs"/>
    <w:uiPriority w:val="49"/>
    <w:locked/>
    <w:pPr>
      <w:spacing w:line="280" w:lineRule="exact"/>
      <w:jc w:val="right"/>
    </w:pPr>
    <w:rPr>
      <w:rFonts w:ascii="Arial" w:hAnsi="Arial" w:cs="Arial"/>
      <w:b/>
      <w:bCs/>
      <w:caps/>
      <w:sz w:val="24"/>
    </w:rPr>
  </w:style>
  <w:style w:type="paragraph" w:customStyle="1" w:styleId="zyxClassification2">
    <w:name w:val="zyxClassification2"/>
    <w:basedOn w:val="llb"/>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llbChar">
    <w:name w:val="Élőláb Char"/>
    <w:basedOn w:val="Bekezdsalapbettpusa"/>
    <w:link w:val="llb"/>
    <w:uiPriority w:val="99"/>
    <w:rsid w:val="00037321"/>
    <w:rPr>
      <w:sz w:val="2"/>
      <w:lang w:val="en-US" w:eastAsia="en-US"/>
    </w:rPr>
  </w:style>
  <w:style w:type="paragraph" w:customStyle="1" w:styleId="Runninghead">
    <w:name w:val="Running head"/>
    <w:basedOn w:val="Norm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Bekezdsalapbettpusa"/>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SzvegtrzsChar">
    <w:name w:val="Szövegtörzs Char"/>
    <w:basedOn w:val="Bekezdsalapbettpusa"/>
    <w:link w:val="Szvegtrzs"/>
    <w:rsid w:val="00647F33"/>
    <w:rPr>
      <w:lang w:eastAsia="en-US"/>
    </w:rPr>
  </w:style>
  <w:style w:type="character" w:customStyle="1" w:styleId="AuthornameandaffiliationChar">
    <w:name w:val="Author name and affiliation Char"/>
    <w:basedOn w:val="SzvegtrzsChar"/>
    <w:link w:val="Authornameandaffiliation"/>
    <w:uiPriority w:val="49"/>
    <w:rsid w:val="00647F33"/>
    <w:rPr>
      <w:lang w:val="en-US" w:eastAsia="en-US"/>
    </w:rPr>
  </w:style>
  <w:style w:type="table" w:styleId="Rcsostblzat">
    <w:name w:val="Table Grid"/>
    <w:basedOn w:val="Normltblzat"/>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uborkszveg">
    <w:name w:val="Balloon Text"/>
    <w:basedOn w:val="Norml"/>
    <w:link w:val="BuborkszvegChar"/>
    <w:uiPriority w:val="49"/>
    <w:locked/>
    <w:rsid w:val="005F00A0"/>
    <w:rPr>
      <w:rFonts w:ascii="Tahoma" w:hAnsi="Tahoma" w:cs="Tahoma"/>
      <w:sz w:val="16"/>
      <w:szCs w:val="16"/>
    </w:rPr>
  </w:style>
  <w:style w:type="character" w:customStyle="1" w:styleId="BuborkszvegChar">
    <w:name w:val="Buborékszöveg Char"/>
    <w:basedOn w:val="Bekezdsalapbettpusa"/>
    <w:link w:val="Buborkszveg"/>
    <w:uiPriority w:val="49"/>
    <w:rsid w:val="005F00A0"/>
    <w:rPr>
      <w:rFonts w:ascii="Tahoma" w:hAnsi="Tahoma" w:cs="Tahoma"/>
      <w:sz w:val="16"/>
      <w:szCs w:val="16"/>
      <w:lang w:eastAsia="en-US"/>
    </w:rPr>
  </w:style>
  <w:style w:type="paragraph" w:customStyle="1" w:styleId="Figurecaption">
    <w:name w:val="Figure caption"/>
    <w:basedOn w:val="Szvegtrzs"/>
    <w:link w:val="FigurecaptionChar"/>
    <w:uiPriority w:val="49"/>
    <w:qFormat/>
    <w:locked/>
    <w:rsid w:val="00717C6F"/>
    <w:pPr>
      <w:jc w:val="center"/>
    </w:pPr>
    <w:rPr>
      <w:i/>
      <w:sz w:val="18"/>
    </w:rPr>
  </w:style>
  <w:style w:type="paragraph" w:customStyle="1" w:styleId="Otherunnumberedheadings">
    <w:name w:val="Other unnumbered headings"/>
    <w:next w:val="Szvegtrzs"/>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SzvegtrzsChar"/>
    <w:link w:val="Figurecaption"/>
    <w:uiPriority w:val="49"/>
    <w:rsid w:val="00717C6F"/>
    <w:rPr>
      <w:i/>
      <w:sz w:val="18"/>
      <w:lang w:eastAsia="en-US"/>
    </w:rPr>
  </w:style>
  <w:style w:type="paragraph" w:customStyle="1" w:styleId="Referencelist">
    <w:name w:val="Reference list"/>
    <w:basedOn w:val="Szvegtrzs"/>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Szvegtrzs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SzvegtrzsChar"/>
    <w:link w:val="Referencelist"/>
    <w:uiPriority w:val="49"/>
    <w:rsid w:val="009E0D5B"/>
    <w:rPr>
      <w:sz w:val="18"/>
      <w:szCs w:val="18"/>
      <w:lang w:eastAsia="en-US"/>
    </w:rPr>
  </w:style>
  <w:style w:type="paragraph" w:customStyle="1" w:styleId="Tabletext">
    <w:name w:val="Table text"/>
    <w:basedOn w:val="Szvegtrzs"/>
    <w:link w:val="TabletextChar"/>
    <w:uiPriority w:val="49"/>
    <w:qFormat/>
    <w:rsid w:val="00883848"/>
    <w:pPr>
      <w:ind w:firstLine="0"/>
    </w:pPr>
  </w:style>
  <w:style w:type="character" w:customStyle="1" w:styleId="TabletextChar">
    <w:name w:val="Table text Char"/>
    <w:basedOn w:val="SzvegtrzsChar"/>
    <w:link w:val="Tabletext"/>
    <w:uiPriority w:val="49"/>
    <w:rsid w:val="00883848"/>
    <w:rPr>
      <w:lang w:eastAsia="en-US"/>
    </w:rPr>
  </w:style>
  <w:style w:type="paragraph" w:customStyle="1" w:styleId="EvkonyvNormal">
    <w:name w:val="Evkonyv_Normal"/>
    <w:basedOn w:val="Norml"/>
    <w:link w:val="EvkonyvNormalCharChar"/>
    <w:rsid w:val="00D30BB7"/>
    <w:pPr>
      <w:widowControl w:val="0"/>
      <w:suppressAutoHyphens/>
      <w:spacing w:before="80"/>
      <w:ind w:left="284"/>
      <w:jc w:val="both"/>
    </w:pPr>
    <w:rPr>
      <w:rFonts w:ascii="Book Antiqua" w:hAnsi="Book Antiqua"/>
      <w:sz w:val="18"/>
      <w:szCs w:val="18"/>
      <w:lang w:val="hu-HU"/>
    </w:rPr>
  </w:style>
  <w:style w:type="character" w:customStyle="1" w:styleId="EvkonyvNormalCharChar">
    <w:name w:val="Evkonyv_Normal Char Char"/>
    <w:link w:val="EvkonyvNormal"/>
    <w:rsid w:val="00D30BB7"/>
    <w:rPr>
      <w:rFonts w:ascii="Book Antiqua" w:hAnsi="Book Antiqua"/>
      <w:sz w:val="18"/>
      <w:szCs w:val="18"/>
      <w:lang w:val="hu-HU" w:eastAsia="en-US"/>
    </w:rPr>
  </w:style>
  <w:style w:type="character" w:customStyle="1" w:styleId="page">
    <w:name w:val="page"/>
    <w:rsid w:val="00AE645A"/>
  </w:style>
  <w:style w:type="character" w:customStyle="1" w:styleId="year">
    <w:name w:val="year"/>
    <w:rsid w:val="00AE645A"/>
  </w:style>
  <w:style w:type="character" w:styleId="HTML-kd">
    <w:name w:val="HTML Code"/>
    <w:uiPriority w:val="99"/>
    <w:unhideWhenUsed/>
    <w:locked/>
    <w:rsid w:val="00AE64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E0C13A9-2763-4607-95AC-6930A61E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70</TotalTime>
  <Pages>5</Pages>
  <Words>1764</Words>
  <Characters>12177</Characters>
  <Application>Microsoft Office Word</Application>
  <DocSecurity>0</DocSecurity>
  <Lines>101</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cp:lastModifiedBy>
  <cp:revision>3</cp:revision>
  <cp:lastPrinted>2024-03-19T13:52:00Z</cp:lastPrinted>
  <dcterms:created xsi:type="dcterms:W3CDTF">2024-04-23T10:48:00Z</dcterms:created>
  <dcterms:modified xsi:type="dcterms:W3CDTF">2024-06-14T18:24:00Z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