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9C8F58" w14:textId="77777777" w:rsidR="006A13EE" w:rsidRPr="00F46A9C" w:rsidRDefault="006A13EE" w:rsidP="00537496">
      <w:pPr>
        <w:pStyle w:val="Heading1"/>
      </w:pPr>
      <w:r w:rsidRPr="00F46A9C">
        <w:t xml:space="preserve">Repurposing of coal power plants with </w:t>
      </w:r>
    </w:p>
    <w:p w14:paraId="35DF5F24" w14:textId="0794AD65" w:rsidR="004C3F15" w:rsidRPr="00F46A9C" w:rsidRDefault="006A13EE" w:rsidP="00537496">
      <w:pPr>
        <w:pStyle w:val="Heading1"/>
      </w:pPr>
      <w:r w:rsidRPr="00F46A9C">
        <w:t>Nuclear Methanol hybrid energy system</w:t>
      </w:r>
    </w:p>
    <w:p w14:paraId="5F17A06A" w14:textId="5C769696" w:rsidR="006A13EE" w:rsidRPr="00F46A9C" w:rsidRDefault="006A13EE" w:rsidP="004C3F15">
      <w:pPr>
        <w:pStyle w:val="Subtitle"/>
      </w:pPr>
      <w:r w:rsidRPr="00F46A9C">
        <w:t>A South African case study</w:t>
      </w:r>
    </w:p>
    <w:p w14:paraId="4D1B799F" w14:textId="77777777" w:rsidR="00802381" w:rsidRPr="00F46A9C" w:rsidRDefault="00802381" w:rsidP="00537496">
      <w:pPr>
        <w:pStyle w:val="Authornameandaffiliation"/>
      </w:pPr>
    </w:p>
    <w:p w14:paraId="32159D0F" w14:textId="1153FD6E" w:rsidR="003B5E0E" w:rsidRPr="00F46A9C" w:rsidRDefault="006A13EE" w:rsidP="00537496">
      <w:pPr>
        <w:pStyle w:val="Authornameandaffiliation"/>
      </w:pPr>
      <w:r w:rsidRPr="00F46A9C">
        <w:t xml:space="preserve">F. PANDAY </w:t>
      </w:r>
    </w:p>
    <w:p w14:paraId="02370931" w14:textId="7DE2BD2B" w:rsidR="00FF386F" w:rsidRPr="00F46A9C" w:rsidRDefault="006A13EE" w:rsidP="00537496">
      <w:pPr>
        <w:pStyle w:val="Authornameandaffiliation"/>
      </w:pPr>
      <w:r w:rsidRPr="00F46A9C">
        <w:t xml:space="preserve">Council for Scientific and Industrial Research </w:t>
      </w:r>
      <w:r w:rsidR="00BA38CB" w:rsidRPr="00F46A9C">
        <w:t>(CSIR)</w:t>
      </w:r>
    </w:p>
    <w:p w14:paraId="14684DE2" w14:textId="5535B97E" w:rsidR="00FF386F" w:rsidRPr="00F46A9C" w:rsidRDefault="006A13EE" w:rsidP="00537496">
      <w:pPr>
        <w:pStyle w:val="Authornameandaffiliation"/>
      </w:pPr>
      <w:r w:rsidRPr="00F46A9C">
        <w:t xml:space="preserve">Pretoria, South Africa </w:t>
      </w:r>
    </w:p>
    <w:p w14:paraId="0080899C" w14:textId="2BF50552" w:rsidR="00FF386F" w:rsidRDefault="00FF386F" w:rsidP="00537496">
      <w:pPr>
        <w:pStyle w:val="Authornameandaffiliation"/>
      </w:pPr>
      <w:r w:rsidRPr="00F46A9C">
        <w:t xml:space="preserve">Email: </w:t>
      </w:r>
      <w:hyperlink r:id="rId11" w:history="1">
        <w:r w:rsidR="00BA38CB" w:rsidRPr="00F46A9C">
          <w:rPr>
            <w:rStyle w:val="Hyperlink"/>
          </w:rPr>
          <w:t>farisha.panday@gmail.com</w:t>
        </w:r>
      </w:hyperlink>
      <w:r w:rsidR="006A13EE">
        <w:t xml:space="preserve"> </w:t>
      </w:r>
    </w:p>
    <w:p w14:paraId="5E2BDA1F" w14:textId="77777777" w:rsidR="00FF386F" w:rsidRDefault="00FF386F" w:rsidP="00537496">
      <w:pPr>
        <w:pStyle w:val="Authornameandaffiliation"/>
      </w:pPr>
    </w:p>
    <w:p w14:paraId="2C7F19CB" w14:textId="77777777" w:rsidR="00FF386F" w:rsidRDefault="00FF386F" w:rsidP="00537496">
      <w:pPr>
        <w:pStyle w:val="Authornameandaffiliation"/>
      </w:pPr>
    </w:p>
    <w:p w14:paraId="230D4575" w14:textId="77777777" w:rsidR="00647F33" w:rsidRPr="00647F33" w:rsidRDefault="00647F33" w:rsidP="00537496">
      <w:pPr>
        <w:pStyle w:val="Authornameandaffiliation"/>
        <w:rPr>
          <w:b/>
        </w:rPr>
      </w:pPr>
      <w:r w:rsidRPr="00B4681F">
        <w:rPr>
          <w:b/>
        </w:rPr>
        <w:t>Abstract</w:t>
      </w:r>
    </w:p>
    <w:p w14:paraId="4F2E62A2" w14:textId="77777777" w:rsidR="00647F33" w:rsidRDefault="00647F33" w:rsidP="00537496">
      <w:pPr>
        <w:pStyle w:val="Authornameandaffiliation"/>
      </w:pPr>
    </w:p>
    <w:p w14:paraId="418AC57B" w14:textId="037E85D8" w:rsidR="00647F33" w:rsidRPr="00BD605C" w:rsidRDefault="006A13EE" w:rsidP="00537496">
      <w:pPr>
        <w:pStyle w:val="Abstracttext"/>
      </w:pPr>
      <w:r w:rsidRPr="00F46A9C">
        <w:t xml:space="preserve">As the world makes strides towards achieving climate goals and reducing carbon emissions, it is worthwhile to consider the opportunities of repurposing coal power plants that have been mothballed or are reaching </w:t>
      </w:r>
      <w:r w:rsidR="00F25225">
        <w:t>their</w:t>
      </w:r>
      <w:r w:rsidRPr="00F46A9C">
        <w:t xml:space="preserve"> end of life. Coal still dominates the South African energy mix by providing 80% of the total system load. Hybrid energy systems are perfect candidates to address the current energy demands by reducing carbon emission challenges caused by coal power plants. A Nuclear Methanol system is investigated as a proposed case study for the repurposing of a coal power plant with Small Modular Reactor (SMR) operation. Methanol is well known as ‘liquid Hydrogen’ which is more stable and less flammable and is thus a more attractive option because it presents much lower storage and transportation risk. Factors that need to be considered include, but not limited to, site zoning, multi-module plants, operational and safety challenges, regulatory and </w:t>
      </w:r>
      <w:r w:rsidR="00F46A9C" w:rsidRPr="00F46A9C">
        <w:t>licensing</w:t>
      </w:r>
      <w:r w:rsidRPr="00F46A9C">
        <w:t xml:space="preserve"> challenges, etc. The viability of the hybrid energy system with specific focus on the South African landscape will be investigated along with the challenges and opportunities presented for the deployment of SMRs to the established sites.</w:t>
      </w:r>
      <w:r w:rsidRPr="006A13EE">
        <w:t xml:space="preserve">  </w:t>
      </w:r>
    </w:p>
    <w:p w14:paraId="03C6D75B" w14:textId="77777777" w:rsidR="00647F33" w:rsidRPr="00B4681F" w:rsidRDefault="00F523CA" w:rsidP="00537496">
      <w:pPr>
        <w:pStyle w:val="Heading2"/>
        <w:numPr>
          <w:ilvl w:val="1"/>
          <w:numId w:val="10"/>
        </w:numPr>
      </w:pPr>
      <w:r w:rsidRPr="00B4681F">
        <w:t>INTRODUCTION</w:t>
      </w:r>
    </w:p>
    <w:p w14:paraId="6AF10687" w14:textId="1C034C99" w:rsidR="005B3DE1" w:rsidRDefault="005B3DE1" w:rsidP="00537496">
      <w:pPr>
        <w:pStyle w:val="BodyText"/>
      </w:pPr>
      <w:r w:rsidRPr="005B3DE1">
        <w:t xml:space="preserve">The present and future projected global trends of climate change have impacted the way the world utilises </w:t>
      </w:r>
      <w:proofErr w:type="spellStart"/>
      <w:proofErr w:type="gramStart"/>
      <w:r w:rsidRPr="005B3DE1">
        <w:t>it</w:t>
      </w:r>
      <w:r w:rsidR="00246E2E">
        <w:t>’</w:t>
      </w:r>
      <w:r w:rsidRPr="005B3DE1">
        <w:t>s</w:t>
      </w:r>
      <w:proofErr w:type="spellEnd"/>
      <w:proofErr w:type="gramEnd"/>
      <w:r w:rsidRPr="005B3DE1">
        <w:t xml:space="preserve"> resources. South Africa has a role to play in the global challenge to reduce greenhouse gas (GHG) emissions and honour its international obligations and commitments to be a fair contributor to the global climate change response. In this stride, the Parliament of the Republic of South Africa, has enacted the Climate Change Bill [B9B-2022] on Thursday, 25 April 2024. This legislation provides a platform for the enablement of an effective climate change response and development of a long-term just energy transition geared towards a low-carbon and climate-resilient economy along with a sustainable society. </w:t>
      </w:r>
    </w:p>
    <w:p w14:paraId="232F8C07" w14:textId="6DA72FD0" w:rsidR="005B3DE1" w:rsidRDefault="005B3DE1" w:rsidP="00537496">
      <w:pPr>
        <w:pStyle w:val="BodyText"/>
      </w:pPr>
      <w:r w:rsidRPr="005B3DE1">
        <w:t xml:space="preserve">Main objective of the bill is to foster a stakeholder-aligned national energy transition that strives to meet </w:t>
      </w:r>
      <w:r w:rsidRPr="00B4681F">
        <w:t>decarbonisation targets whilst balancing energy security along with affordable access for all South Africans [1].</w:t>
      </w:r>
      <w:r w:rsidRPr="005B3DE1">
        <w:t xml:space="preserve"> In South Africa, coal still dominates the South African energy mix by providing 80% of the total system load. Coal Power Plants (CPP) are major contributors to GHG, which include carbon dioxide, sul</w:t>
      </w:r>
      <w:r w:rsidR="00246E2E">
        <w:t>ph</w:t>
      </w:r>
      <w:r w:rsidRPr="005B3DE1">
        <w:t>ur dioxide and other particulate matter that affects our environment and health.</w:t>
      </w:r>
      <w:r>
        <w:t xml:space="preserve"> </w:t>
      </w:r>
    </w:p>
    <w:p w14:paraId="10150927" w14:textId="12A222FF" w:rsidR="00A775BE" w:rsidRPr="00B4681F" w:rsidRDefault="005B3DE1" w:rsidP="00A775BE">
      <w:pPr>
        <w:pStyle w:val="Heading2"/>
        <w:numPr>
          <w:ilvl w:val="1"/>
          <w:numId w:val="10"/>
        </w:numPr>
      </w:pPr>
      <w:bookmarkStart w:id="0" w:name="_Hlk169213897"/>
      <w:r w:rsidRPr="00B4681F">
        <w:t xml:space="preserve">Nuclear Methanol Hybrid Energy System </w:t>
      </w:r>
    </w:p>
    <w:p w14:paraId="10F21883" w14:textId="0C6CDB42" w:rsidR="00A775BE" w:rsidRPr="00B4681F" w:rsidRDefault="005B3DE1" w:rsidP="00A775BE">
      <w:pPr>
        <w:pStyle w:val="Heading3"/>
      </w:pPr>
      <w:bookmarkStart w:id="1" w:name="_Hlk169213472"/>
      <w:r w:rsidRPr="00B4681F">
        <w:t>Repurposing of CPP</w:t>
      </w:r>
      <w:r w:rsidR="005C288E">
        <w:t>s</w:t>
      </w:r>
      <w:r w:rsidR="001066C2">
        <w:t xml:space="preserve"> with </w:t>
      </w:r>
      <w:r w:rsidR="00B81B3F">
        <w:t>SMR</w:t>
      </w:r>
      <w:r w:rsidR="005C288E">
        <w:t>s</w:t>
      </w:r>
    </w:p>
    <w:p w14:paraId="182AB083" w14:textId="77777777" w:rsidR="005B3DE1" w:rsidRDefault="005B3DE1" w:rsidP="00A31C54">
      <w:pPr>
        <w:pStyle w:val="BodyText"/>
      </w:pPr>
      <w:r w:rsidRPr="005B3DE1">
        <w:t xml:space="preserve">The general definition of repurposing is to find a new use of an existing object for a purpose other than its original intention of use. Repurposing may constitute an alternate way of utilising the object or a modification to the original object </w:t>
      </w:r>
      <w:proofErr w:type="gramStart"/>
      <w:r w:rsidRPr="005B3DE1">
        <w:t>in order to</w:t>
      </w:r>
      <w:proofErr w:type="gramEnd"/>
      <w:r w:rsidRPr="005B3DE1">
        <w:t xml:space="preserve"> fulfil a new purpose of the object.</w:t>
      </w:r>
      <w:r>
        <w:t xml:space="preserve"> </w:t>
      </w:r>
    </w:p>
    <w:p w14:paraId="79604FEF" w14:textId="02AA9681" w:rsidR="005B3DE1" w:rsidRPr="005B3DE1" w:rsidRDefault="005B3DE1" w:rsidP="00A31C54">
      <w:pPr>
        <w:pStyle w:val="BodyText"/>
      </w:pPr>
      <w:r w:rsidRPr="005B3DE1">
        <w:t>Globally, CPPs are gearing towards retirement, either because of government regulations</w:t>
      </w:r>
      <w:r w:rsidR="00246E2E">
        <w:t>, aging</w:t>
      </w:r>
      <w:r w:rsidRPr="005B3DE1">
        <w:t xml:space="preserve"> and/or market pressures. The existing CPP sites are ideal candidates for deploying new generation technologies. There is still value for the use of CPPs, and one such example is the repurposing and re</w:t>
      </w:r>
      <w:r w:rsidR="002001A9">
        <w:t>-engineering</w:t>
      </w:r>
      <w:r w:rsidRPr="005B3DE1">
        <w:t xml:space="preserve"> of CPPs to Nuclear Methanol hybrid energy systems that can contribute to energy security, reduce GHGs and provide </w:t>
      </w:r>
      <w:r w:rsidR="002001A9">
        <w:t xml:space="preserve">additional </w:t>
      </w:r>
      <w:r w:rsidRPr="005B3DE1">
        <w:t>non-electric applications.</w:t>
      </w:r>
    </w:p>
    <w:p w14:paraId="7EE76BAC" w14:textId="77777777" w:rsidR="005B3DE1" w:rsidRPr="005B3DE1" w:rsidRDefault="005B3DE1" w:rsidP="00A31C54">
      <w:pPr>
        <w:pStyle w:val="BodyText"/>
      </w:pPr>
      <w:r w:rsidRPr="005B3DE1">
        <w:t xml:space="preserve">CPP have an established generating site with infrastructure in place and an established community. Water resources are readily available for the plant site and there are workforce personnel that can be reskilled or upskilled </w:t>
      </w:r>
      <w:r w:rsidRPr="00B4681F">
        <w:t>to operate nuclear power plants [2].</w:t>
      </w:r>
    </w:p>
    <w:p w14:paraId="32A31CCD" w14:textId="00601E11" w:rsidR="00A775BE" w:rsidRPr="00A31C54" w:rsidRDefault="005B3DE1" w:rsidP="00A31C54">
      <w:pPr>
        <w:pStyle w:val="BodyText"/>
      </w:pPr>
      <w:r w:rsidRPr="005B3DE1">
        <w:lastRenderedPageBreak/>
        <w:t>Small Modular Reactors (SMRs) are fast attracting attention due to its’ benefits of being a clean and stable energy source that can replace fossil fuels and reduce GHGs as compared to the conventional coal and natural gas-fired power plants. When considering repurposing of CPPs, the other added cost benefit of deploying SMRs, is that between both plants there is similarity in the steam cycle system. In essence the turbine island of CPPs can be re-used by powering it with the steam generated by SMRs.</w:t>
      </w:r>
      <w:r>
        <w:t xml:space="preserve"> </w:t>
      </w:r>
      <w:r w:rsidR="00CB6F74">
        <w:t xml:space="preserve">SMRs are modular in design, providing flexibility in </w:t>
      </w:r>
      <w:r w:rsidR="003C6AC0">
        <w:t xml:space="preserve">the </w:t>
      </w:r>
      <w:r w:rsidR="00CB6F74">
        <w:t>cho</w:t>
      </w:r>
      <w:r w:rsidR="003C6AC0">
        <w:t>ice</w:t>
      </w:r>
      <w:r w:rsidR="00CB6F74">
        <w:t xml:space="preserve"> of physical plant layout and because of certain inherent safety design options will reduce licencing complexity.</w:t>
      </w:r>
    </w:p>
    <w:bookmarkEnd w:id="0"/>
    <w:bookmarkEnd w:id="1"/>
    <w:p w14:paraId="07E5A5C4" w14:textId="77777777" w:rsidR="00A775BE" w:rsidRDefault="00A775BE" w:rsidP="00537496">
      <w:pPr>
        <w:pStyle w:val="BodyText"/>
      </w:pPr>
    </w:p>
    <w:p w14:paraId="2F872E98" w14:textId="709D86FB" w:rsidR="005B3DE1" w:rsidRPr="00B4681F" w:rsidRDefault="005B3DE1" w:rsidP="005B3DE1">
      <w:pPr>
        <w:pStyle w:val="Heading3"/>
      </w:pPr>
      <w:r w:rsidRPr="00B4681F">
        <w:t xml:space="preserve">Methanol Economy </w:t>
      </w:r>
    </w:p>
    <w:p w14:paraId="6446EDF6" w14:textId="450594D8" w:rsidR="005B3DE1" w:rsidRPr="006E503D" w:rsidRDefault="005B3DE1" w:rsidP="00A31C54">
      <w:pPr>
        <w:pStyle w:val="BodyText"/>
      </w:pPr>
      <w:r w:rsidRPr="005B3DE1">
        <w:t xml:space="preserve">The concept “Methanol Economy” was proposed in 1990, by Nobel Prize winner George A. Olah whereby </w:t>
      </w:r>
      <w:r w:rsidRPr="00B4681F">
        <w:t>renewable methanol is used to replace fossil resources [3]. Methanol is touted as tomorrow’s hydrogen, today.</w:t>
      </w:r>
      <w:r w:rsidRPr="005B3DE1">
        <w:t xml:space="preserve"> Being a liquid at ambient conditions, Methanol is an efficient hydrogen carrier, stored and transported as a liquid and has the highest hydrogen to carbon ratio of liquid fuels, thereby storing more energy in one simple alcohol molecule than can be found in hydrogen</w:t>
      </w:r>
      <w:r w:rsidR="002001A9">
        <w:t xml:space="preserve"> alone</w:t>
      </w:r>
      <w:r w:rsidRPr="005B3DE1">
        <w:t>.</w:t>
      </w:r>
      <w:r w:rsidR="00A31C54">
        <w:t xml:space="preserve"> </w:t>
      </w:r>
      <w:r w:rsidRPr="006E503D">
        <w:t>Some of the other notable benefits of Methanol are as follows:</w:t>
      </w:r>
    </w:p>
    <w:p w14:paraId="1023F18D" w14:textId="2326784F" w:rsidR="005B3DE1" w:rsidRPr="006E503D" w:rsidRDefault="005B3DE1" w:rsidP="006E503D">
      <w:pPr>
        <w:pStyle w:val="ListEmdash"/>
        <w:ind w:left="709"/>
      </w:pPr>
      <w:r w:rsidRPr="006E503D">
        <w:t xml:space="preserve">For fuel transportation industries presenting lower complexities and logistics </w:t>
      </w:r>
      <w:proofErr w:type="gramStart"/>
      <w:r w:rsidRPr="006E503D">
        <w:t>cost</w:t>
      </w:r>
      <w:r w:rsidR="0000194E">
        <w:t>;</w:t>
      </w:r>
      <w:proofErr w:type="gramEnd"/>
    </w:p>
    <w:p w14:paraId="4DF67960" w14:textId="15E240C0" w:rsidR="005B3DE1" w:rsidRPr="006E503D" w:rsidRDefault="005B3DE1" w:rsidP="006E503D">
      <w:pPr>
        <w:pStyle w:val="ListEmdash"/>
        <w:ind w:left="709"/>
      </w:pPr>
      <w:r w:rsidRPr="006E503D">
        <w:t xml:space="preserve">Methanol for export </w:t>
      </w:r>
      <w:proofErr w:type="gramStart"/>
      <w:r w:rsidRPr="006E503D">
        <w:t>purposes</w:t>
      </w:r>
      <w:r w:rsidR="0000194E">
        <w:t>;</w:t>
      </w:r>
      <w:proofErr w:type="gramEnd"/>
    </w:p>
    <w:p w14:paraId="039B38D6" w14:textId="23DAB542" w:rsidR="005B3DE1" w:rsidRPr="006E503D" w:rsidRDefault="005B3DE1" w:rsidP="006E503D">
      <w:pPr>
        <w:pStyle w:val="ListEmdash"/>
        <w:ind w:left="709"/>
      </w:pPr>
      <w:r w:rsidRPr="006E503D">
        <w:t xml:space="preserve">Has low carbon intensity and a green pathway to carbon neutral </w:t>
      </w:r>
      <w:proofErr w:type="gramStart"/>
      <w:r w:rsidRPr="006E503D">
        <w:t>transport</w:t>
      </w:r>
      <w:r w:rsidR="0000194E">
        <w:t>;</w:t>
      </w:r>
      <w:proofErr w:type="gramEnd"/>
      <w:r w:rsidRPr="006E503D">
        <w:t xml:space="preserve"> </w:t>
      </w:r>
    </w:p>
    <w:p w14:paraId="74E01EDD" w14:textId="18685E99" w:rsidR="005B3DE1" w:rsidRPr="006E503D" w:rsidRDefault="005B3DE1" w:rsidP="006E503D">
      <w:pPr>
        <w:pStyle w:val="ListEmdash"/>
        <w:ind w:left="709"/>
      </w:pPr>
      <w:r w:rsidRPr="006E503D">
        <w:t xml:space="preserve">Methanol can be easily transformed for hydrogen applications, generating on-demand hydrogen at the point of </w:t>
      </w:r>
      <w:proofErr w:type="gramStart"/>
      <w:r w:rsidRPr="006E503D">
        <w:t>use</w:t>
      </w:r>
      <w:r w:rsidR="0000194E">
        <w:t>;</w:t>
      </w:r>
      <w:proofErr w:type="gramEnd"/>
    </w:p>
    <w:p w14:paraId="550CFC2B" w14:textId="7701E134" w:rsidR="005B3DE1" w:rsidRPr="006E503D" w:rsidRDefault="005B3DE1" w:rsidP="006E503D">
      <w:pPr>
        <w:pStyle w:val="ListEmdash"/>
        <w:ind w:left="709"/>
      </w:pPr>
      <w:r w:rsidRPr="006E503D">
        <w:t xml:space="preserve">Transportation vehicles utilising onboard Methanol reformation, have lower capex and </w:t>
      </w:r>
      <w:proofErr w:type="spellStart"/>
      <w:r w:rsidRPr="006E503D">
        <w:t>opex</w:t>
      </w:r>
      <w:proofErr w:type="spellEnd"/>
      <w:r w:rsidRPr="006E503D">
        <w:t xml:space="preserve"> for extended periods, shorter refuelling time and lower emissions. It is to be noted that Methanol is preferred over Ammonia as a fuel for sea transport due to the high toxicity levels of Ammonia</w:t>
      </w:r>
      <w:r w:rsidR="0000194E">
        <w:t>.</w:t>
      </w:r>
    </w:p>
    <w:p w14:paraId="565EFBAB" w14:textId="6CF0CB1D" w:rsidR="005B3DE1" w:rsidRPr="001906A4" w:rsidRDefault="005B3DE1" w:rsidP="00E35F34">
      <w:pPr>
        <w:pStyle w:val="BodyText"/>
      </w:pPr>
      <w:r w:rsidRPr="005B3DE1">
        <w:t>Methanol can be produced from different sources such as feedstock from municipal solid waste, agriculture, captured CO</w:t>
      </w:r>
      <w:r w:rsidRPr="00E35F34">
        <w:rPr>
          <w:vertAlign w:val="subscript"/>
        </w:rPr>
        <w:t>2</w:t>
      </w:r>
      <w:r w:rsidRPr="005B3DE1">
        <w:t xml:space="preserve"> and other renewable pathways. </w:t>
      </w:r>
    </w:p>
    <w:p w14:paraId="188388CA" w14:textId="77777777" w:rsidR="005B3DE1" w:rsidRDefault="005B3DE1" w:rsidP="005B3DE1">
      <w:pPr>
        <w:pStyle w:val="BodyText"/>
        <w:ind w:firstLine="0"/>
      </w:pPr>
    </w:p>
    <w:p w14:paraId="06AD83F0" w14:textId="3FADBBD8" w:rsidR="001906A4" w:rsidRPr="00B4681F" w:rsidRDefault="001906A4" w:rsidP="001906A4">
      <w:pPr>
        <w:pStyle w:val="Heading3"/>
      </w:pPr>
      <w:r w:rsidRPr="00B4681F">
        <w:t>Nuclear non-electric application</w:t>
      </w:r>
    </w:p>
    <w:p w14:paraId="49AB3440" w14:textId="34905109" w:rsidR="001906A4" w:rsidRDefault="001906A4" w:rsidP="00A31C54">
      <w:pPr>
        <w:pStyle w:val="BodyText"/>
      </w:pPr>
      <w:bookmarkStart w:id="2" w:name="_Hlk169615783"/>
      <w:r w:rsidRPr="001906A4">
        <w:t xml:space="preserve">SMRs can be coupled with Methanol reactors for non-electric applications. Process heat or electricity generated by SMRs can be utilised as an energy source </w:t>
      </w:r>
      <w:proofErr w:type="gramStart"/>
      <w:r w:rsidRPr="001906A4">
        <w:t>for the production of</w:t>
      </w:r>
      <w:proofErr w:type="gramEnd"/>
      <w:r w:rsidRPr="001906A4">
        <w:t xml:space="preserve"> Hydrogen that is required for the chemical processing </w:t>
      </w:r>
      <w:bookmarkEnd w:id="2"/>
      <w:r w:rsidRPr="001906A4">
        <w:t>of Methanol. Carbon captured from sources such as fossil plants or biogas can be used in the Methanol production process. The chemical equation is:</w:t>
      </w:r>
    </w:p>
    <w:p w14:paraId="49DBB5C0" w14:textId="77777777" w:rsidR="00AC35E8" w:rsidRDefault="00AC35E8" w:rsidP="00A31C54">
      <w:pPr>
        <w:pStyle w:val="BodyText"/>
      </w:pPr>
    </w:p>
    <w:p w14:paraId="1AA63698" w14:textId="32D52254" w:rsidR="005C288E" w:rsidRPr="00A013DA" w:rsidRDefault="00512D63" w:rsidP="001906A4">
      <w:pPr>
        <w:pStyle w:val="Authornameandaffiliation"/>
        <w:rPr>
          <w:lang w:val="en-GB"/>
        </w:rPr>
      </w:pPr>
      <m:oMathPara>
        <m:oMath>
          <m:sSub>
            <m:sSubPr>
              <m:ctrlPr>
                <w:rPr>
                  <w:rFonts w:ascii="Cambria Math" w:hAnsi="Cambria Math"/>
                  <w:i/>
                  <w:lang w:val="en-GB"/>
                </w:rPr>
              </m:ctrlPr>
            </m:sSubPr>
            <m:e>
              <m:r>
                <m:rPr>
                  <m:nor/>
                </m:rPr>
                <w:rPr>
                  <w:lang w:val="en-GB"/>
                </w:rPr>
                <m:t>CO</m:t>
              </m:r>
            </m:e>
            <m:sub>
              <m:r>
                <m:rPr>
                  <m:nor/>
                </m:rPr>
                <w:rPr>
                  <w:lang w:val="en-GB"/>
                </w:rPr>
                <m:t>2</m:t>
              </m:r>
            </m:sub>
          </m:sSub>
          <m:r>
            <m:rPr>
              <m:nor/>
            </m:rPr>
            <w:rPr>
              <w:lang w:val="en-GB"/>
            </w:rPr>
            <m:t xml:space="preserve">  +  3</m:t>
          </m:r>
          <m:sSub>
            <m:sSubPr>
              <m:ctrlPr>
                <w:rPr>
                  <w:rFonts w:ascii="Cambria Math" w:hAnsi="Cambria Math"/>
                  <w:i/>
                  <w:lang w:val="en-GB"/>
                </w:rPr>
              </m:ctrlPr>
            </m:sSubPr>
            <m:e>
              <m:r>
                <m:rPr>
                  <m:nor/>
                </m:rPr>
                <w:rPr>
                  <w:lang w:val="en-GB"/>
                </w:rPr>
                <m:t>H</m:t>
              </m:r>
            </m:e>
            <m:sub>
              <m:r>
                <m:rPr>
                  <m:nor/>
                </m:rPr>
                <w:rPr>
                  <w:lang w:val="en-GB"/>
                </w:rPr>
                <m:t>2</m:t>
              </m:r>
              <m:r>
                <w:rPr>
                  <w:rFonts w:ascii="Cambria Math" w:hAnsi="Cambria Math"/>
                  <w:lang w:val="en-GB"/>
                </w:rPr>
                <m:t xml:space="preserve">   </m:t>
              </m:r>
            </m:sub>
          </m:sSub>
          <m:r>
            <m:rPr>
              <m:nor/>
            </m:rPr>
            <w:rPr>
              <w:lang w:val="en-GB"/>
            </w:rPr>
            <m:t>→  C</m:t>
          </m:r>
          <m:sSub>
            <m:sSubPr>
              <m:ctrlPr>
                <w:rPr>
                  <w:rFonts w:ascii="Cambria Math" w:hAnsi="Cambria Math"/>
                  <w:i/>
                  <w:lang w:val="en-GB"/>
                </w:rPr>
              </m:ctrlPr>
            </m:sSubPr>
            <m:e>
              <m:r>
                <m:rPr>
                  <m:nor/>
                </m:rPr>
                <w:rPr>
                  <w:lang w:val="en-GB"/>
                </w:rPr>
                <m:t>H</m:t>
              </m:r>
            </m:e>
            <m:sub>
              <m:r>
                <m:rPr>
                  <m:nor/>
                </m:rPr>
                <w:rPr>
                  <w:lang w:val="en-GB"/>
                </w:rPr>
                <m:t>3</m:t>
              </m:r>
            </m:sub>
          </m:sSub>
          <m:r>
            <m:rPr>
              <m:nor/>
            </m:rPr>
            <w:rPr>
              <w:lang w:val="en-GB"/>
            </w:rPr>
            <m:t>OH  +</m:t>
          </m:r>
          <m:r>
            <w:rPr>
              <w:rFonts w:ascii="Cambria Math" w:hAnsi="Cambria Math"/>
              <w:lang w:val="en-GB"/>
            </w:rPr>
            <m:t xml:space="preserve"> </m:t>
          </m:r>
          <m:sSub>
            <m:sSubPr>
              <m:ctrlPr>
                <w:rPr>
                  <w:rFonts w:ascii="Cambria Math" w:hAnsi="Cambria Math"/>
                  <w:i/>
                  <w:lang w:val="en-GB"/>
                </w:rPr>
              </m:ctrlPr>
            </m:sSubPr>
            <m:e>
              <m:r>
                <m:rPr>
                  <m:nor/>
                </m:rPr>
                <w:rPr>
                  <w:lang w:val="en-GB"/>
                </w:rPr>
                <m:t>H</m:t>
              </m:r>
            </m:e>
            <m:sub>
              <m:r>
                <m:rPr>
                  <m:nor/>
                </m:rPr>
                <w:rPr>
                  <w:lang w:val="en-GB"/>
                </w:rPr>
                <m:t>2</m:t>
              </m:r>
            </m:sub>
          </m:sSub>
          <m:r>
            <m:rPr>
              <m:nor/>
            </m:rPr>
            <w:rPr>
              <w:lang w:val="en-GB"/>
            </w:rPr>
            <m:t>O                      Eq1</m:t>
          </m:r>
        </m:oMath>
      </m:oMathPara>
    </w:p>
    <w:p w14:paraId="3CDF3752" w14:textId="77777777" w:rsidR="00753115" w:rsidRDefault="00753115" w:rsidP="001906A4">
      <w:pPr>
        <w:pStyle w:val="Authornameandaffiliation"/>
        <w:rPr>
          <w:lang w:val="en-GB"/>
        </w:rPr>
      </w:pPr>
    </w:p>
    <w:p w14:paraId="0AB85D8B" w14:textId="2C39F072" w:rsidR="005C288E" w:rsidRDefault="001753D5" w:rsidP="00BD2D47">
      <w:pPr>
        <w:pStyle w:val="BodyText"/>
        <w:rPr>
          <w:i/>
        </w:rPr>
      </w:pPr>
      <w:r w:rsidRPr="001753D5">
        <w:t>The carbon dioxide and hydrogen gas are fed into a fixed bed reactor with a suitable catalyst for the methanol reaction. During the production process methanol and water are the main products. It is worthy to note that in a water scarce country such as South Africa, the water product can</w:t>
      </w:r>
      <w:r w:rsidR="003C6AC0">
        <w:t xml:space="preserve"> then </w:t>
      </w:r>
      <w:r w:rsidRPr="001753D5">
        <w:t xml:space="preserve">be </w:t>
      </w:r>
      <w:r w:rsidR="003C6AC0">
        <w:t>re-</w:t>
      </w:r>
      <w:r w:rsidRPr="001753D5">
        <w:t>utilise</w:t>
      </w:r>
      <w:r w:rsidR="003C6AC0">
        <w:t>d</w:t>
      </w:r>
      <w:r w:rsidRPr="001753D5">
        <w:t xml:space="preserve"> </w:t>
      </w:r>
      <w:r w:rsidR="003C6AC0">
        <w:t xml:space="preserve">either by recycling into the plant or if required elsewhere </w:t>
      </w:r>
      <w:r w:rsidRPr="001753D5">
        <w:t xml:space="preserve">to fulfil similar needs. </w:t>
      </w:r>
      <w:r w:rsidR="00BD2D47" w:rsidRPr="001753D5">
        <w:t>A</w:t>
      </w:r>
      <w:r w:rsidRPr="001753D5">
        <w:t xml:space="preserve"> schematic diagram of the process is given in </w:t>
      </w:r>
      <w:r w:rsidRPr="001753D5">
        <w:rPr>
          <w:iCs/>
        </w:rPr>
        <w:t>Fig. 1</w:t>
      </w:r>
      <w:r w:rsidRPr="001753D5">
        <w:rPr>
          <w:i/>
        </w:rPr>
        <w:t>.</w:t>
      </w:r>
    </w:p>
    <w:p w14:paraId="5915B269" w14:textId="77777777" w:rsidR="00BB25B1" w:rsidRPr="00BB25B1" w:rsidRDefault="00BB25B1" w:rsidP="00BD2D47">
      <w:pPr>
        <w:pStyle w:val="BodyText"/>
        <w:rPr>
          <w:iCs/>
        </w:rPr>
      </w:pPr>
    </w:p>
    <w:p w14:paraId="50371A6F" w14:textId="77777777" w:rsidR="007E0C28" w:rsidRPr="001753D5" w:rsidRDefault="007E0C28" w:rsidP="00BD2D47">
      <w:pPr>
        <w:pStyle w:val="BodyText"/>
        <w:rPr>
          <w:iCs/>
        </w:rPr>
      </w:pPr>
    </w:p>
    <w:p w14:paraId="7D23CE18" w14:textId="540915E2" w:rsidR="005C288E" w:rsidRDefault="005C288E" w:rsidP="005C288E">
      <w:pPr>
        <w:pStyle w:val="Authornameandaffiliation"/>
        <w:jc w:val="center"/>
        <w:rPr>
          <w:lang w:val="en-GB"/>
        </w:rPr>
      </w:pPr>
    </w:p>
    <w:p w14:paraId="09C134D0" w14:textId="24DCDF12" w:rsidR="00171A3C" w:rsidRDefault="00171A3C" w:rsidP="005C288E">
      <w:pPr>
        <w:pStyle w:val="Authornameandaffiliation"/>
        <w:jc w:val="center"/>
        <w:rPr>
          <w:lang w:val="en-GB"/>
        </w:rPr>
      </w:pPr>
      <w:r>
        <w:rPr>
          <w:noProof/>
        </w:rPr>
        <w:lastRenderedPageBreak/>
        <w:drawing>
          <wp:inline distT="0" distB="0" distL="0" distR="0" wp14:anchorId="48666DA9" wp14:editId="630F10EC">
            <wp:extent cx="2430780" cy="1988820"/>
            <wp:effectExtent l="0" t="0" r="7620" b="0"/>
            <wp:docPr id="2615849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1584960" name=""/>
                    <pic:cNvPicPr/>
                  </pic:nvPicPr>
                  <pic:blipFill>
                    <a:blip r:embed="rId12"/>
                    <a:stretch>
                      <a:fillRect/>
                    </a:stretch>
                  </pic:blipFill>
                  <pic:spPr>
                    <a:xfrm>
                      <a:off x="0" y="0"/>
                      <a:ext cx="2437846" cy="1994601"/>
                    </a:xfrm>
                    <a:prstGeom prst="rect">
                      <a:avLst/>
                    </a:prstGeom>
                  </pic:spPr>
                </pic:pic>
              </a:graphicData>
            </a:graphic>
          </wp:inline>
        </w:drawing>
      </w:r>
    </w:p>
    <w:p w14:paraId="700B56C5" w14:textId="2DD8C4C5" w:rsidR="007C110B" w:rsidRPr="00802381" w:rsidRDefault="007C110B" w:rsidP="007C110B">
      <w:pPr>
        <w:pStyle w:val="Caption"/>
        <w:jc w:val="center"/>
        <w:rPr>
          <w:i/>
          <w:sz w:val="20"/>
        </w:rPr>
      </w:pPr>
      <w:bookmarkStart w:id="3" w:name="_Hlk169615081"/>
      <w:r w:rsidRPr="00802381">
        <w:rPr>
          <w:i/>
        </w:rPr>
        <w:t xml:space="preserve">FIG. </w:t>
      </w:r>
      <w:r w:rsidRPr="00802381">
        <w:rPr>
          <w:i/>
        </w:rPr>
        <w:fldChar w:fldCharType="begin"/>
      </w:r>
      <w:r w:rsidRPr="00802381">
        <w:rPr>
          <w:i/>
        </w:rPr>
        <w:instrText xml:space="preserve"> SEQ Figure \* ARABIC </w:instrText>
      </w:r>
      <w:r w:rsidRPr="00802381">
        <w:rPr>
          <w:i/>
        </w:rPr>
        <w:fldChar w:fldCharType="separate"/>
      </w:r>
      <w:r w:rsidR="0093699D">
        <w:rPr>
          <w:i/>
          <w:noProof/>
        </w:rPr>
        <w:t>1</w:t>
      </w:r>
      <w:r w:rsidRPr="00802381">
        <w:rPr>
          <w:i/>
        </w:rPr>
        <w:fldChar w:fldCharType="end"/>
      </w:r>
      <w:r>
        <w:rPr>
          <w:i/>
        </w:rPr>
        <w:t>. Schematic diagram of Nuclear Methanol hybrid system.</w:t>
      </w:r>
    </w:p>
    <w:bookmarkEnd w:id="3"/>
    <w:p w14:paraId="6B4AE00D" w14:textId="77777777" w:rsidR="007C110B" w:rsidRDefault="007C110B" w:rsidP="005C288E">
      <w:pPr>
        <w:pStyle w:val="Authornameandaffiliation"/>
        <w:jc w:val="center"/>
        <w:rPr>
          <w:lang w:val="en-GB"/>
        </w:rPr>
      </w:pPr>
    </w:p>
    <w:p w14:paraId="013F95B1" w14:textId="3CEBEC54" w:rsidR="006750DF" w:rsidRPr="00B4681F" w:rsidRDefault="006750DF" w:rsidP="006750DF">
      <w:pPr>
        <w:pStyle w:val="Heading2"/>
        <w:numPr>
          <w:ilvl w:val="1"/>
          <w:numId w:val="10"/>
        </w:numPr>
      </w:pPr>
      <w:r w:rsidRPr="00B4681F">
        <w:t>Case study – South Africa</w:t>
      </w:r>
      <w:r w:rsidR="00C05CA3" w:rsidRPr="00B4681F">
        <w:t>N</w:t>
      </w:r>
      <w:r w:rsidRPr="00B4681F">
        <w:t xml:space="preserve"> landscape </w:t>
      </w:r>
    </w:p>
    <w:p w14:paraId="59A34EA2" w14:textId="1281B1E4" w:rsidR="006750DF" w:rsidRDefault="008204F4" w:rsidP="008204F4">
      <w:pPr>
        <w:pStyle w:val="BodyText"/>
      </w:pPr>
      <w:r w:rsidRPr="00A31C54">
        <w:t xml:space="preserve">Eskom, is </w:t>
      </w:r>
      <w:r w:rsidR="006750DF" w:rsidRPr="00A31C54">
        <w:t>South Africa’s main utility, suppl</w:t>
      </w:r>
      <w:r w:rsidRPr="00A31C54">
        <w:t>ying</w:t>
      </w:r>
      <w:r w:rsidR="006750DF" w:rsidRPr="00A31C54">
        <w:t xml:space="preserve"> almost 90% of </w:t>
      </w:r>
      <w:r w:rsidRPr="00A31C54">
        <w:t xml:space="preserve">the country’s </w:t>
      </w:r>
      <w:r w:rsidR="006750DF" w:rsidRPr="00A31C54">
        <w:t xml:space="preserve">electricity </w:t>
      </w:r>
      <w:proofErr w:type="gramStart"/>
      <w:r w:rsidR="006750DF" w:rsidRPr="00A31C54">
        <w:t>and also</w:t>
      </w:r>
      <w:proofErr w:type="gramEnd"/>
      <w:r w:rsidR="006750DF" w:rsidRPr="00A31C54">
        <w:t xml:space="preserve"> generates on average 30% of the electricity that is used in Africa. </w:t>
      </w:r>
      <w:r w:rsidRPr="00A31C54">
        <w:t>Various technologies are used to generate electricity and is usually referred to as the ‘plant mix’.</w:t>
      </w:r>
      <w:r w:rsidR="003046BF" w:rsidRPr="00A31C54">
        <w:t xml:space="preserve"> Eskom currently operates 14 coal-fired power plants as base load power</w:t>
      </w:r>
      <w:r w:rsidR="002001A9">
        <w:t xml:space="preserve"> generators</w:t>
      </w:r>
      <w:r w:rsidR="003046BF" w:rsidRPr="00A31C54">
        <w:t xml:space="preserve">, almost 80% of the plant mix that operate 24 hours a day to meet the demand for electricity. The total installed capacity of these CPPs is approximately 43 </w:t>
      </w:r>
      <w:r w:rsidR="009328D1" w:rsidRPr="00A31C54">
        <w:t>6</w:t>
      </w:r>
      <w:r w:rsidR="003046BF" w:rsidRPr="00A31C54">
        <w:t xml:space="preserve">00 MW. Eskom also operates South Africa’s only nuclear power station, namely Koeberg which also contributes 1 934 MW of base load power to the plant mix. In </w:t>
      </w:r>
      <w:r w:rsidR="006A53C2">
        <w:t>T</w:t>
      </w:r>
      <w:r w:rsidR="006A53C2" w:rsidRPr="00A31C54">
        <w:t>able</w:t>
      </w:r>
      <w:r w:rsidR="00F337FE" w:rsidRPr="00A31C54">
        <w:t xml:space="preserve"> 1,</w:t>
      </w:r>
      <w:r w:rsidR="003046BF" w:rsidRPr="00A31C54">
        <w:t xml:space="preserve"> a list of CPP’s </w:t>
      </w:r>
      <w:r w:rsidR="00F337FE" w:rsidRPr="00A31C54">
        <w:t xml:space="preserve">that were operating as </w:t>
      </w:r>
      <w:proofErr w:type="gramStart"/>
      <w:r w:rsidR="00F337FE" w:rsidRPr="00A31C54">
        <w:t>at</w:t>
      </w:r>
      <w:proofErr w:type="gramEnd"/>
      <w:r w:rsidR="00F337FE" w:rsidRPr="00A31C54">
        <w:t xml:space="preserve"> June 2022 </w:t>
      </w:r>
      <w:r w:rsidR="003046BF" w:rsidRPr="00A31C54">
        <w:t xml:space="preserve">and their installed capacity </w:t>
      </w:r>
      <w:r w:rsidR="00F337FE" w:rsidRPr="00A31C54">
        <w:t>is given.</w:t>
      </w:r>
      <w:r w:rsidR="00F337FE">
        <w:t xml:space="preserve"> </w:t>
      </w:r>
    </w:p>
    <w:p w14:paraId="7AB3C07C" w14:textId="77777777" w:rsidR="003046BF" w:rsidRDefault="003046BF" w:rsidP="008204F4">
      <w:pPr>
        <w:pStyle w:val="BodyText"/>
      </w:pPr>
    </w:p>
    <w:p w14:paraId="47759BAB" w14:textId="434B6A8C" w:rsidR="00F337FE" w:rsidRDefault="00F337FE">
      <w:pPr>
        <w:overflowPunct/>
        <w:autoSpaceDE/>
        <w:autoSpaceDN/>
        <w:adjustRightInd/>
        <w:textAlignment w:val="auto"/>
        <w:rPr>
          <w:sz w:val="20"/>
        </w:rPr>
      </w:pPr>
      <w:bookmarkStart w:id="4" w:name="_Ref169260278"/>
    </w:p>
    <w:p w14:paraId="24DA4FD2" w14:textId="4449B9F0" w:rsidR="00F337FE" w:rsidRPr="00F337FE" w:rsidRDefault="00F337FE" w:rsidP="00F337FE">
      <w:pPr>
        <w:pStyle w:val="BodyText"/>
        <w:ind w:firstLine="0"/>
      </w:pPr>
      <w:r w:rsidRPr="00B4681F">
        <w:t>TABLE 1</w:t>
      </w:r>
      <w:bookmarkEnd w:id="4"/>
      <w:r w:rsidRPr="00B4681F">
        <w:t>.      LIST OF ESKOM CPPs</w:t>
      </w:r>
      <w:r w:rsidR="00192760" w:rsidRPr="00B4681F">
        <w:t xml:space="preserve"> </w:t>
      </w:r>
      <w:r w:rsidR="00117B0A" w:rsidRPr="00B4681F">
        <w:t>[</w:t>
      </w:r>
      <w:r w:rsidR="00A316A8" w:rsidRPr="00B4681F">
        <w:t>4</w:t>
      </w:r>
      <w:r w:rsidR="00117B0A" w:rsidRPr="00B4681F">
        <w:t>]</w:t>
      </w:r>
    </w:p>
    <w:p w14:paraId="50E4ADD3" w14:textId="77777777" w:rsidR="00F337FE" w:rsidRPr="00F337FE" w:rsidRDefault="00F337FE" w:rsidP="00F337FE">
      <w:pPr>
        <w:pStyle w:val="BodyText"/>
        <w:ind w:firstLine="0"/>
        <w:rPr>
          <w:highlight w:val="yellow"/>
        </w:rPr>
      </w:pP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41"/>
        <w:gridCol w:w="1741"/>
        <w:gridCol w:w="1742"/>
      </w:tblGrid>
      <w:tr w:rsidR="002434BF" w:rsidRPr="00A775BE" w14:paraId="6B15BAFE" w14:textId="77777777" w:rsidTr="00042A99">
        <w:trPr>
          <w:jc w:val="center"/>
        </w:trPr>
        <w:tc>
          <w:tcPr>
            <w:tcW w:w="1741" w:type="dxa"/>
            <w:tcBorders>
              <w:top w:val="single" w:sz="4" w:space="0" w:color="auto"/>
              <w:bottom w:val="single" w:sz="4" w:space="0" w:color="auto"/>
            </w:tcBorders>
          </w:tcPr>
          <w:p w14:paraId="099E07F7" w14:textId="01557804" w:rsidR="002434BF" w:rsidRPr="00F337FE" w:rsidRDefault="00FC3783" w:rsidP="00042A99">
            <w:pPr>
              <w:pStyle w:val="BodyText"/>
              <w:ind w:firstLine="0"/>
            </w:pPr>
            <w:r w:rsidRPr="00F337FE">
              <w:t>CPP</w:t>
            </w:r>
          </w:p>
        </w:tc>
        <w:tc>
          <w:tcPr>
            <w:tcW w:w="1741" w:type="dxa"/>
            <w:tcBorders>
              <w:top w:val="single" w:sz="4" w:space="0" w:color="auto"/>
              <w:bottom w:val="single" w:sz="4" w:space="0" w:color="auto"/>
            </w:tcBorders>
          </w:tcPr>
          <w:p w14:paraId="0EA4321A" w14:textId="528A2F14" w:rsidR="002434BF" w:rsidRPr="00F337FE" w:rsidRDefault="00FC3783" w:rsidP="00042A99">
            <w:pPr>
              <w:pStyle w:val="BodyText"/>
              <w:ind w:firstLine="0"/>
              <w:jc w:val="center"/>
            </w:pPr>
            <w:r w:rsidRPr="00F337FE">
              <w:t>Location</w:t>
            </w:r>
          </w:p>
        </w:tc>
        <w:tc>
          <w:tcPr>
            <w:tcW w:w="1742" w:type="dxa"/>
            <w:tcBorders>
              <w:top w:val="single" w:sz="4" w:space="0" w:color="auto"/>
              <w:bottom w:val="single" w:sz="4" w:space="0" w:color="auto"/>
            </w:tcBorders>
          </w:tcPr>
          <w:p w14:paraId="4C22B8BB" w14:textId="08208C78" w:rsidR="002434BF" w:rsidRPr="00F337FE" w:rsidRDefault="002434BF" w:rsidP="00042A99">
            <w:pPr>
              <w:pStyle w:val="BodyText"/>
              <w:ind w:firstLine="0"/>
              <w:jc w:val="center"/>
            </w:pPr>
            <w:r w:rsidRPr="00F337FE">
              <w:t>C</w:t>
            </w:r>
            <w:r w:rsidR="00FC3783" w:rsidRPr="00F337FE">
              <w:t>apacity</w:t>
            </w:r>
            <w:r w:rsidR="00F337FE" w:rsidRPr="00F337FE">
              <w:t xml:space="preserve"> (MW)</w:t>
            </w:r>
          </w:p>
        </w:tc>
      </w:tr>
      <w:tr w:rsidR="00F337FE" w:rsidRPr="00A775BE" w14:paraId="410A981B" w14:textId="77777777" w:rsidTr="009328D1">
        <w:trPr>
          <w:jc w:val="center"/>
        </w:trPr>
        <w:tc>
          <w:tcPr>
            <w:tcW w:w="1741" w:type="dxa"/>
            <w:tcBorders>
              <w:top w:val="single" w:sz="4" w:space="0" w:color="auto"/>
              <w:bottom w:val="nil"/>
            </w:tcBorders>
          </w:tcPr>
          <w:p w14:paraId="3BB3930B" w14:textId="611FEDB9" w:rsidR="00F337FE" w:rsidRPr="00A775BE" w:rsidRDefault="00F337FE" w:rsidP="00F337FE">
            <w:pPr>
              <w:pStyle w:val="BodyText"/>
              <w:ind w:firstLine="0"/>
              <w:rPr>
                <w:highlight w:val="yellow"/>
              </w:rPr>
            </w:pPr>
            <w:r w:rsidRPr="00822127">
              <w:t xml:space="preserve">Arnot  </w:t>
            </w:r>
          </w:p>
        </w:tc>
        <w:tc>
          <w:tcPr>
            <w:tcW w:w="1741" w:type="dxa"/>
            <w:tcBorders>
              <w:top w:val="single" w:sz="4" w:space="0" w:color="auto"/>
              <w:bottom w:val="nil"/>
            </w:tcBorders>
          </w:tcPr>
          <w:p w14:paraId="731CCEB5" w14:textId="07A83F63" w:rsidR="00F337FE" w:rsidRPr="00A775BE" w:rsidRDefault="00F337FE" w:rsidP="00F337FE">
            <w:pPr>
              <w:pStyle w:val="BodyText"/>
              <w:ind w:firstLine="0"/>
              <w:jc w:val="center"/>
              <w:rPr>
                <w:highlight w:val="yellow"/>
              </w:rPr>
            </w:pPr>
            <w:r w:rsidRPr="005D2C8A">
              <w:t>Middelburg</w:t>
            </w:r>
          </w:p>
        </w:tc>
        <w:tc>
          <w:tcPr>
            <w:tcW w:w="1742" w:type="dxa"/>
            <w:tcBorders>
              <w:top w:val="single" w:sz="4" w:space="0" w:color="auto"/>
              <w:bottom w:val="nil"/>
            </w:tcBorders>
          </w:tcPr>
          <w:p w14:paraId="3332DB0F" w14:textId="653BFD6C" w:rsidR="00F337FE" w:rsidRPr="00A775BE" w:rsidRDefault="00F337FE" w:rsidP="00F337FE">
            <w:pPr>
              <w:pStyle w:val="BodyText"/>
              <w:ind w:firstLine="0"/>
              <w:jc w:val="center"/>
              <w:rPr>
                <w:highlight w:val="yellow"/>
              </w:rPr>
            </w:pPr>
            <w:r w:rsidRPr="000A017E">
              <w:t>2 220</w:t>
            </w:r>
          </w:p>
        </w:tc>
      </w:tr>
      <w:tr w:rsidR="00F337FE" w:rsidRPr="00A775BE" w14:paraId="3F288038" w14:textId="77777777" w:rsidTr="009328D1">
        <w:trPr>
          <w:jc w:val="center"/>
        </w:trPr>
        <w:tc>
          <w:tcPr>
            <w:tcW w:w="1741" w:type="dxa"/>
            <w:tcBorders>
              <w:top w:val="nil"/>
              <w:bottom w:val="nil"/>
            </w:tcBorders>
          </w:tcPr>
          <w:p w14:paraId="33B1F1FF" w14:textId="20EFB903" w:rsidR="00F337FE" w:rsidRDefault="00F337FE" w:rsidP="00F337FE">
            <w:pPr>
              <w:pStyle w:val="BodyText"/>
              <w:ind w:firstLine="0"/>
              <w:rPr>
                <w:rStyle w:val="TabletextChar"/>
                <w:highlight w:val="yellow"/>
              </w:rPr>
            </w:pPr>
            <w:r w:rsidRPr="00822127">
              <w:t xml:space="preserve">Camden </w:t>
            </w:r>
          </w:p>
        </w:tc>
        <w:tc>
          <w:tcPr>
            <w:tcW w:w="1741" w:type="dxa"/>
            <w:tcBorders>
              <w:top w:val="nil"/>
              <w:bottom w:val="nil"/>
            </w:tcBorders>
          </w:tcPr>
          <w:p w14:paraId="4C9D8F64" w14:textId="5C945D14" w:rsidR="00F337FE" w:rsidRDefault="00F337FE" w:rsidP="00F337FE">
            <w:pPr>
              <w:pStyle w:val="BodyText"/>
              <w:ind w:firstLine="0"/>
              <w:jc w:val="center"/>
              <w:rPr>
                <w:highlight w:val="yellow"/>
              </w:rPr>
            </w:pPr>
            <w:r w:rsidRPr="005D2C8A">
              <w:t>Ermelo</w:t>
            </w:r>
          </w:p>
        </w:tc>
        <w:tc>
          <w:tcPr>
            <w:tcW w:w="1742" w:type="dxa"/>
            <w:tcBorders>
              <w:top w:val="nil"/>
              <w:bottom w:val="nil"/>
            </w:tcBorders>
          </w:tcPr>
          <w:p w14:paraId="5392BB4E" w14:textId="4975F84B" w:rsidR="00F337FE" w:rsidRDefault="00F337FE" w:rsidP="00F337FE">
            <w:pPr>
              <w:pStyle w:val="BodyText"/>
              <w:ind w:firstLine="0"/>
              <w:jc w:val="center"/>
              <w:rPr>
                <w:highlight w:val="yellow"/>
              </w:rPr>
            </w:pPr>
            <w:r w:rsidRPr="000A017E">
              <w:t>1 561</w:t>
            </w:r>
          </w:p>
        </w:tc>
      </w:tr>
      <w:tr w:rsidR="00F337FE" w:rsidRPr="00A775BE" w14:paraId="0A47C16A" w14:textId="77777777" w:rsidTr="009328D1">
        <w:trPr>
          <w:jc w:val="center"/>
        </w:trPr>
        <w:tc>
          <w:tcPr>
            <w:tcW w:w="1741" w:type="dxa"/>
            <w:tcBorders>
              <w:top w:val="nil"/>
            </w:tcBorders>
          </w:tcPr>
          <w:p w14:paraId="4E7A0C7D" w14:textId="42910D61" w:rsidR="00F337FE" w:rsidRPr="00A775BE" w:rsidRDefault="00F337FE" w:rsidP="00F337FE">
            <w:pPr>
              <w:pStyle w:val="BodyText"/>
              <w:ind w:firstLine="0"/>
              <w:rPr>
                <w:highlight w:val="yellow"/>
              </w:rPr>
            </w:pPr>
            <w:proofErr w:type="spellStart"/>
            <w:r w:rsidRPr="00822127">
              <w:t>Duvha</w:t>
            </w:r>
            <w:proofErr w:type="spellEnd"/>
            <w:r w:rsidRPr="00822127">
              <w:t xml:space="preserve"> </w:t>
            </w:r>
          </w:p>
        </w:tc>
        <w:tc>
          <w:tcPr>
            <w:tcW w:w="1741" w:type="dxa"/>
            <w:tcBorders>
              <w:top w:val="nil"/>
            </w:tcBorders>
          </w:tcPr>
          <w:p w14:paraId="3B3DF898" w14:textId="69595302" w:rsidR="00F337FE" w:rsidRPr="00A775BE" w:rsidRDefault="00F337FE" w:rsidP="00F337FE">
            <w:pPr>
              <w:pStyle w:val="BodyText"/>
              <w:ind w:firstLine="0"/>
              <w:jc w:val="center"/>
              <w:rPr>
                <w:highlight w:val="yellow"/>
              </w:rPr>
            </w:pPr>
            <w:proofErr w:type="spellStart"/>
            <w:r w:rsidRPr="005D2C8A">
              <w:t>Emalahleni</w:t>
            </w:r>
            <w:proofErr w:type="spellEnd"/>
          </w:p>
        </w:tc>
        <w:tc>
          <w:tcPr>
            <w:tcW w:w="1742" w:type="dxa"/>
            <w:tcBorders>
              <w:top w:val="nil"/>
            </w:tcBorders>
          </w:tcPr>
          <w:p w14:paraId="5376A93F" w14:textId="5328F9B7" w:rsidR="00F337FE" w:rsidRPr="00A775BE" w:rsidRDefault="00F337FE" w:rsidP="00F337FE">
            <w:pPr>
              <w:pStyle w:val="BodyText"/>
              <w:ind w:firstLine="0"/>
              <w:jc w:val="center"/>
              <w:rPr>
                <w:highlight w:val="yellow"/>
              </w:rPr>
            </w:pPr>
            <w:r w:rsidRPr="000A017E">
              <w:t>3 000</w:t>
            </w:r>
          </w:p>
        </w:tc>
      </w:tr>
      <w:tr w:rsidR="00F337FE" w:rsidRPr="00A775BE" w14:paraId="0F0FC2ED" w14:textId="77777777" w:rsidTr="00042A99">
        <w:trPr>
          <w:jc w:val="center"/>
        </w:trPr>
        <w:tc>
          <w:tcPr>
            <w:tcW w:w="1741" w:type="dxa"/>
          </w:tcPr>
          <w:p w14:paraId="2F6129A5" w14:textId="51BB2AEA" w:rsidR="00F337FE" w:rsidRPr="00A775BE" w:rsidRDefault="00F337FE" w:rsidP="00F337FE">
            <w:pPr>
              <w:pStyle w:val="BodyText"/>
              <w:ind w:firstLine="0"/>
              <w:rPr>
                <w:highlight w:val="yellow"/>
              </w:rPr>
            </w:pPr>
            <w:proofErr w:type="spellStart"/>
            <w:r w:rsidRPr="00822127">
              <w:t>Grootvlei</w:t>
            </w:r>
            <w:proofErr w:type="spellEnd"/>
          </w:p>
        </w:tc>
        <w:tc>
          <w:tcPr>
            <w:tcW w:w="1741" w:type="dxa"/>
          </w:tcPr>
          <w:p w14:paraId="3D877975" w14:textId="22D2683E" w:rsidR="00F337FE" w:rsidRPr="00A775BE" w:rsidRDefault="00F337FE" w:rsidP="00F337FE">
            <w:pPr>
              <w:pStyle w:val="BodyText"/>
              <w:ind w:firstLine="0"/>
              <w:jc w:val="center"/>
              <w:rPr>
                <w:highlight w:val="yellow"/>
              </w:rPr>
            </w:pPr>
            <w:r w:rsidRPr="005D2C8A">
              <w:t>Balfour</w:t>
            </w:r>
          </w:p>
        </w:tc>
        <w:tc>
          <w:tcPr>
            <w:tcW w:w="1742" w:type="dxa"/>
          </w:tcPr>
          <w:p w14:paraId="114B412B" w14:textId="6600CECD" w:rsidR="00F337FE" w:rsidRPr="00A775BE" w:rsidRDefault="00F337FE" w:rsidP="00F337FE">
            <w:pPr>
              <w:pStyle w:val="BodyText"/>
              <w:ind w:firstLine="0"/>
              <w:jc w:val="center"/>
              <w:rPr>
                <w:highlight w:val="yellow"/>
              </w:rPr>
            </w:pPr>
            <w:r w:rsidRPr="000A017E">
              <w:t>1 180</w:t>
            </w:r>
          </w:p>
        </w:tc>
      </w:tr>
      <w:tr w:rsidR="00F337FE" w:rsidRPr="00A775BE" w14:paraId="33D3152B" w14:textId="77777777" w:rsidTr="00042A99">
        <w:trPr>
          <w:jc w:val="center"/>
        </w:trPr>
        <w:tc>
          <w:tcPr>
            <w:tcW w:w="1741" w:type="dxa"/>
          </w:tcPr>
          <w:p w14:paraId="6AB5A954" w14:textId="146A2355" w:rsidR="00F337FE" w:rsidRPr="00A775BE" w:rsidRDefault="00F337FE" w:rsidP="00F337FE">
            <w:pPr>
              <w:pStyle w:val="BodyText"/>
              <w:ind w:firstLine="0"/>
              <w:rPr>
                <w:highlight w:val="yellow"/>
              </w:rPr>
            </w:pPr>
            <w:r w:rsidRPr="00822127">
              <w:t xml:space="preserve">Hendrina </w:t>
            </w:r>
          </w:p>
        </w:tc>
        <w:tc>
          <w:tcPr>
            <w:tcW w:w="1741" w:type="dxa"/>
          </w:tcPr>
          <w:p w14:paraId="562DF44D" w14:textId="7CF5D74E" w:rsidR="00F337FE" w:rsidRPr="00A775BE" w:rsidRDefault="00F337FE" w:rsidP="00F337FE">
            <w:pPr>
              <w:pStyle w:val="BodyText"/>
              <w:ind w:firstLine="0"/>
              <w:jc w:val="center"/>
              <w:rPr>
                <w:highlight w:val="yellow"/>
              </w:rPr>
            </w:pPr>
            <w:proofErr w:type="spellStart"/>
            <w:r w:rsidRPr="005D2C8A">
              <w:t>Middelberg</w:t>
            </w:r>
            <w:proofErr w:type="spellEnd"/>
          </w:p>
        </w:tc>
        <w:tc>
          <w:tcPr>
            <w:tcW w:w="1742" w:type="dxa"/>
          </w:tcPr>
          <w:p w14:paraId="3C020052" w14:textId="480A68D6" w:rsidR="00F337FE" w:rsidRPr="00A775BE" w:rsidRDefault="00F337FE" w:rsidP="00F337FE">
            <w:pPr>
              <w:pStyle w:val="BodyText"/>
              <w:ind w:firstLine="0"/>
              <w:jc w:val="center"/>
              <w:rPr>
                <w:highlight w:val="yellow"/>
              </w:rPr>
            </w:pPr>
            <w:r w:rsidRPr="000A017E">
              <w:t>1 723</w:t>
            </w:r>
          </w:p>
        </w:tc>
      </w:tr>
      <w:tr w:rsidR="00F337FE" w:rsidRPr="00A775BE" w14:paraId="4067CE00" w14:textId="77777777" w:rsidTr="00042A99">
        <w:trPr>
          <w:jc w:val="center"/>
        </w:trPr>
        <w:tc>
          <w:tcPr>
            <w:tcW w:w="1741" w:type="dxa"/>
          </w:tcPr>
          <w:p w14:paraId="43DFE21F" w14:textId="46DA42EE" w:rsidR="00F337FE" w:rsidRPr="00A775BE" w:rsidRDefault="00F337FE" w:rsidP="00F337FE">
            <w:pPr>
              <w:pStyle w:val="BodyText"/>
              <w:ind w:firstLine="0"/>
              <w:rPr>
                <w:highlight w:val="yellow"/>
              </w:rPr>
            </w:pPr>
            <w:r w:rsidRPr="00822127">
              <w:t xml:space="preserve">Kendal </w:t>
            </w:r>
          </w:p>
        </w:tc>
        <w:tc>
          <w:tcPr>
            <w:tcW w:w="1741" w:type="dxa"/>
          </w:tcPr>
          <w:p w14:paraId="7EF28E62" w14:textId="7E51C1CB" w:rsidR="00F337FE" w:rsidRPr="00A775BE" w:rsidRDefault="00F337FE" w:rsidP="00F337FE">
            <w:pPr>
              <w:pStyle w:val="BodyText"/>
              <w:ind w:firstLine="0"/>
              <w:jc w:val="center"/>
              <w:rPr>
                <w:highlight w:val="yellow"/>
              </w:rPr>
            </w:pPr>
            <w:proofErr w:type="spellStart"/>
            <w:r w:rsidRPr="005D2C8A">
              <w:t>Emalahleni</w:t>
            </w:r>
            <w:proofErr w:type="spellEnd"/>
          </w:p>
        </w:tc>
        <w:tc>
          <w:tcPr>
            <w:tcW w:w="1742" w:type="dxa"/>
          </w:tcPr>
          <w:p w14:paraId="3A4D3E9D" w14:textId="5264B5D4" w:rsidR="00F337FE" w:rsidRPr="00A775BE" w:rsidRDefault="00F337FE" w:rsidP="00F337FE">
            <w:pPr>
              <w:pStyle w:val="BodyText"/>
              <w:ind w:firstLine="0"/>
              <w:jc w:val="center"/>
              <w:rPr>
                <w:highlight w:val="yellow"/>
              </w:rPr>
            </w:pPr>
            <w:r w:rsidRPr="000A017E">
              <w:t>4 116</w:t>
            </w:r>
          </w:p>
        </w:tc>
      </w:tr>
      <w:tr w:rsidR="00F337FE" w:rsidRPr="00A775BE" w14:paraId="2A60FB50" w14:textId="77777777" w:rsidTr="00042A99">
        <w:trPr>
          <w:jc w:val="center"/>
        </w:trPr>
        <w:tc>
          <w:tcPr>
            <w:tcW w:w="1741" w:type="dxa"/>
          </w:tcPr>
          <w:p w14:paraId="36749D11" w14:textId="3E467024" w:rsidR="00F337FE" w:rsidRPr="00A775BE" w:rsidRDefault="00F337FE" w:rsidP="00F337FE">
            <w:pPr>
              <w:pStyle w:val="BodyText"/>
              <w:ind w:firstLine="0"/>
              <w:rPr>
                <w:highlight w:val="yellow"/>
              </w:rPr>
            </w:pPr>
            <w:r w:rsidRPr="00822127">
              <w:t xml:space="preserve">Komati </w:t>
            </w:r>
          </w:p>
        </w:tc>
        <w:tc>
          <w:tcPr>
            <w:tcW w:w="1741" w:type="dxa"/>
          </w:tcPr>
          <w:p w14:paraId="32BA6D71" w14:textId="21848FB2" w:rsidR="00F337FE" w:rsidRPr="00A775BE" w:rsidRDefault="00F337FE" w:rsidP="00F337FE">
            <w:pPr>
              <w:pStyle w:val="BodyText"/>
              <w:ind w:firstLine="0"/>
              <w:jc w:val="center"/>
              <w:rPr>
                <w:highlight w:val="yellow"/>
              </w:rPr>
            </w:pPr>
            <w:r w:rsidRPr="005D2C8A">
              <w:t>Middelburg</w:t>
            </w:r>
          </w:p>
        </w:tc>
        <w:tc>
          <w:tcPr>
            <w:tcW w:w="1742" w:type="dxa"/>
          </w:tcPr>
          <w:p w14:paraId="350560D8" w14:textId="7CA068EB" w:rsidR="00F337FE" w:rsidRPr="00A775BE" w:rsidRDefault="00F337FE" w:rsidP="00F337FE">
            <w:pPr>
              <w:pStyle w:val="BodyText"/>
              <w:ind w:firstLine="0"/>
              <w:jc w:val="center"/>
              <w:rPr>
                <w:highlight w:val="yellow"/>
              </w:rPr>
            </w:pPr>
            <w:r w:rsidRPr="000A017E">
              <w:t>990</w:t>
            </w:r>
          </w:p>
        </w:tc>
      </w:tr>
      <w:tr w:rsidR="00F337FE" w:rsidRPr="00A775BE" w14:paraId="5E9B5C64" w14:textId="77777777" w:rsidTr="00042A99">
        <w:trPr>
          <w:jc w:val="center"/>
        </w:trPr>
        <w:tc>
          <w:tcPr>
            <w:tcW w:w="1741" w:type="dxa"/>
          </w:tcPr>
          <w:p w14:paraId="6595F26B" w14:textId="2F48DA17" w:rsidR="00F337FE" w:rsidRPr="00A775BE" w:rsidRDefault="00F337FE" w:rsidP="00F337FE">
            <w:pPr>
              <w:pStyle w:val="BodyText"/>
              <w:ind w:firstLine="0"/>
              <w:rPr>
                <w:highlight w:val="yellow"/>
              </w:rPr>
            </w:pPr>
            <w:r w:rsidRPr="00822127">
              <w:t>Kriel</w:t>
            </w:r>
          </w:p>
        </w:tc>
        <w:tc>
          <w:tcPr>
            <w:tcW w:w="1741" w:type="dxa"/>
          </w:tcPr>
          <w:p w14:paraId="4481E237" w14:textId="75895862" w:rsidR="00F337FE" w:rsidRPr="00A775BE" w:rsidRDefault="00F337FE" w:rsidP="00F337FE">
            <w:pPr>
              <w:pStyle w:val="BodyText"/>
              <w:ind w:firstLine="0"/>
              <w:jc w:val="center"/>
              <w:rPr>
                <w:highlight w:val="yellow"/>
              </w:rPr>
            </w:pPr>
            <w:r w:rsidRPr="005D2C8A">
              <w:t>Bethal</w:t>
            </w:r>
          </w:p>
        </w:tc>
        <w:tc>
          <w:tcPr>
            <w:tcW w:w="1742" w:type="dxa"/>
          </w:tcPr>
          <w:p w14:paraId="45D02EAC" w14:textId="30E5F695" w:rsidR="00F337FE" w:rsidRPr="00A775BE" w:rsidRDefault="00F337FE" w:rsidP="00F337FE">
            <w:pPr>
              <w:pStyle w:val="BodyText"/>
              <w:ind w:firstLine="0"/>
              <w:jc w:val="center"/>
              <w:rPr>
                <w:highlight w:val="yellow"/>
              </w:rPr>
            </w:pPr>
            <w:r w:rsidRPr="000A017E">
              <w:t>2 790</w:t>
            </w:r>
          </w:p>
        </w:tc>
      </w:tr>
      <w:tr w:rsidR="00F337FE" w:rsidRPr="00A775BE" w14:paraId="31A55259" w14:textId="77777777" w:rsidTr="00042A99">
        <w:trPr>
          <w:jc w:val="center"/>
        </w:trPr>
        <w:tc>
          <w:tcPr>
            <w:tcW w:w="1741" w:type="dxa"/>
          </w:tcPr>
          <w:p w14:paraId="0934555A" w14:textId="18E36300" w:rsidR="00F337FE" w:rsidRPr="00A775BE" w:rsidRDefault="00F337FE" w:rsidP="00F337FE">
            <w:pPr>
              <w:pStyle w:val="BodyText"/>
              <w:ind w:firstLine="0"/>
              <w:rPr>
                <w:highlight w:val="yellow"/>
              </w:rPr>
            </w:pPr>
            <w:r w:rsidRPr="00822127">
              <w:t>Kusile</w:t>
            </w:r>
          </w:p>
        </w:tc>
        <w:tc>
          <w:tcPr>
            <w:tcW w:w="1741" w:type="dxa"/>
          </w:tcPr>
          <w:p w14:paraId="37BB1C30" w14:textId="311094B3" w:rsidR="00F337FE" w:rsidRPr="00A775BE" w:rsidRDefault="00F337FE" w:rsidP="00F337FE">
            <w:pPr>
              <w:pStyle w:val="BodyText"/>
              <w:ind w:firstLine="0"/>
              <w:jc w:val="center"/>
              <w:rPr>
                <w:highlight w:val="yellow"/>
              </w:rPr>
            </w:pPr>
            <w:proofErr w:type="spellStart"/>
            <w:r w:rsidRPr="005D2C8A">
              <w:t>Ogies</w:t>
            </w:r>
            <w:proofErr w:type="spellEnd"/>
          </w:p>
        </w:tc>
        <w:tc>
          <w:tcPr>
            <w:tcW w:w="1742" w:type="dxa"/>
          </w:tcPr>
          <w:p w14:paraId="203523A6" w14:textId="01318BAC" w:rsidR="00F337FE" w:rsidRPr="00A775BE" w:rsidRDefault="00F337FE" w:rsidP="00F337FE">
            <w:pPr>
              <w:pStyle w:val="BodyText"/>
              <w:ind w:firstLine="0"/>
              <w:jc w:val="center"/>
              <w:rPr>
                <w:highlight w:val="yellow"/>
              </w:rPr>
            </w:pPr>
            <w:r w:rsidRPr="000A017E">
              <w:t>3 196</w:t>
            </w:r>
          </w:p>
        </w:tc>
      </w:tr>
      <w:tr w:rsidR="00F337FE" w:rsidRPr="00A775BE" w14:paraId="77C2410B" w14:textId="77777777" w:rsidTr="00042A99">
        <w:trPr>
          <w:jc w:val="center"/>
        </w:trPr>
        <w:tc>
          <w:tcPr>
            <w:tcW w:w="1741" w:type="dxa"/>
          </w:tcPr>
          <w:p w14:paraId="43D1CC3F" w14:textId="6659A4C7" w:rsidR="00F337FE" w:rsidRPr="00A775BE" w:rsidRDefault="00F337FE" w:rsidP="00F337FE">
            <w:pPr>
              <w:pStyle w:val="BodyText"/>
              <w:ind w:firstLine="0"/>
              <w:rPr>
                <w:highlight w:val="yellow"/>
              </w:rPr>
            </w:pPr>
            <w:r w:rsidRPr="00822127">
              <w:t>Lethabo</w:t>
            </w:r>
          </w:p>
        </w:tc>
        <w:tc>
          <w:tcPr>
            <w:tcW w:w="1741" w:type="dxa"/>
          </w:tcPr>
          <w:p w14:paraId="629575B6" w14:textId="64255C7C" w:rsidR="00F337FE" w:rsidRPr="00A775BE" w:rsidRDefault="00F337FE" w:rsidP="00F337FE">
            <w:pPr>
              <w:pStyle w:val="BodyText"/>
              <w:ind w:firstLine="0"/>
              <w:jc w:val="center"/>
              <w:rPr>
                <w:highlight w:val="yellow"/>
              </w:rPr>
            </w:pPr>
            <w:r w:rsidRPr="005D2C8A">
              <w:t>Vereeniging</w:t>
            </w:r>
          </w:p>
        </w:tc>
        <w:tc>
          <w:tcPr>
            <w:tcW w:w="1742" w:type="dxa"/>
          </w:tcPr>
          <w:p w14:paraId="1AD1A561" w14:textId="64C7FB48" w:rsidR="00F337FE" w:rsidRPr="00A775BE" w:rsidRDefault="00F337FE" w:rsidP="00F337FE">
            <w:pPr>
              <w:pStyle w:val="BodyText"/>
              <w:ind w:firstLine="0"/>
              <w:jc w:val="center"/>
              <w:rPr>
                <w:highlight w:val="yellow"/>
              </w:rPr>
            </w:pPr>
            <w:r w:rsidRPr="000A017E">
              <w:t>3 708</w:t>
            </w:r>
          </w:p>
        </w:tc>
      </w:tr>
      <w:tr w:rsidR="00F337FE" w:rsidRPr="00A775BE" w14:paraId="6EBC2F2B" w14:textId="77777777" w:rsidTr="00042A99">
        <w:trPr>
          <w:jc w:val="center"/>
        </w:trPr>
        <w:tc>
          <w:tcPr>
            <w:tcW w:w="1741" w:type="dxa"/>
          </w:tcPr>
          <w:p w14:paraId="724635C9" w14:textId="181365D3" w:rsidR="00F337FE" w:rsidRPr="00A775BE" w:rsidRDefault="00F337FE" w:rsidP="00F337FE">
            <w:pPr>
              <w:pStyle w:val="BodyText"/>
              <w:ind w:firstLine="0"/>
              <w:rPr>
                <w:highlight w:val="yellow"/>
              </w:rPr>
            </w:pPr>
            <w:r w:rsidRPr="00822127">
              <w:t>Majuba</w:t>
            </w:r>
          </w:p>
        </w:tc>
        <w:tc>
          <w:tcPr>
            <w:tcW w:w="1741" w:type="dxa"/>
          </w:tcPr>
          <w:p w14:paraId="0A8A445A" w14:textId="0859E980" w:rsidR="00F337FE" w:rsidRPr="00A775BE" w:rsidRDefault="00F337FE" w:rsidP="00F337FE">
            <w:pPr>
              <w:pStyle w:val="BodyText"/>
              <w:ind w:firstLine="0"/>
              <w:jc w:val="center"/>
              <w:rPr>
                <w:highlight w:val="yellow"/>
              </w:rPr>
            </w:pPr>
            <w:proofErr w:type="spellStart"/>
            <w:r w:rsidRPr="005D2C8A">
              <w:t>Volksrust</w:t>
            </w:r>
            <w:proofErr w:type="spellEnd"/>
          </w:p>
        </w:tc>
        <w:tc>
          <w:tcPr>
            <w:tcW w:w="1742" w:type="dxa"/>
          </w:tcPr>
          <w:p w14:paraId="756CEC8F" w14:textId="66FFE307" w:rsidR="00F337FE" w:rsidRPr="00A775BE" w:rsidRDefault="00F337FE" w:rsidP="00F337FE">
            <w:pPr>
              <w:pStyle w:val="BodyText"/>
              <w:ind w:firstLine="0"/>
              <w:jc w:val="center"/>
              <w:rPr>
                <w:highlight w:val="yellow"/>
              </w:rPr>
            </w:pPr>
            <w:r w:rsidRPr="000A017E">
              <w:t>4 110</w:t>
            </w:r>
          </w:p>
        </w:tc>
      </w:tr>
      <w:tr w:rsidR="00F337FE" w:rsidRPr="00A775BE" w14:paraId="6E3FD18E" w14:textId="77777777" w:rsidTr="00042A99">
        <w:trPr>
          <w:jc w:val="center"/>
        </w:trPr>
        <w:tc>
          <w:tcPr>
            <w:tcW w:w="1741" w:type="dxa"/>
          </w:tcPr>
          <w:p w14:paraId="446A8353" w14:textId="3B3608F9" w:rsidR="00F337FE" w:rsidRPr="00A775BE" w:rsidRDefault="00F337FE" w:rsidP="00F337FE">
            <w:pPr>
              <w:pStyle w:val="BodyText"/>
              <w:ind w:firstLine="0"/>
              <w:rPr>
                <w:highlight w:val="yellow"/>
              </w:rPr>
            </w:pPr>
            <w:r w:rsidRPr="00822127">
              <w:t>Matimba</w:t>
            </w:r>
          </w:p>
        </w:tc>
        <w:tc>
          <w:tcPr>
            <w:tcW w:w="1741" w:type="dxa"/>
          </w:tcPr>
          <w:p w14:paraId="453CE6FC" w14:textId="7C5F8EEA" w:rsidR="00F337FE" w:rsidRPr="00A775BE" w:rsidRDefault="00F337FE" w:rsidP="00F337FE">
            <w:pPr>
              <w:pStyle w:val="BodyText"/>
              <w:ind w:firstLine="0"/>
              <w:jc w:val="center"/>
              <w:rPr>
                <w:highlight w:val="yellow"/>
              </w:rPr>
            </w:pPr>
            <w:r w:rsidRPr="005D2C8A">
              <w:t>Lephalale</w:t>
            </w:r>
          </w:p>
        </w:tc>
        <w:tc>
          <w:tcPr>
            <w:tcW w:w="1742" w:type="dxa"/>
          </w:tcPr>
          <w:p w14:paraId="4C763799" w14:textId="01B5821A" w:rsidR="00F337FE" w:rsidRPr="00A775BE" w:rsidRDefault="00F337FE" w:rsidP="00F337FE">
            <w:pPr>
              <w:pStyle w:val="BodyText"/>
              <w:ind w:firstLine="0"/>
              <w:jc w:val="center"/>
              <w:rPr>
                <w:highlight w:val="yellow"/>
              </w:rPr>
            </w:pPr>
            <w:r w:rsidRPr="000A017E">
              <w:t>3 990</w:t>
            </w:r>
          </w:p>
        </w:tc>
      </w:tr>
      <w:tr w:rsidR="00F337FE" w:rsidRPr="00A775BE" w14:paraId="4E88E6CE" w14:textId="77777777" w:rsidTr="00042A99">
        <w:trPr>
          <w:jc w:val="center"/>
        </w:trPr>
        <w:tc>
          <w:tcPr>
            <w:tcW w:w="1741" w:type="dxa"/>
          </w:tcPr>
          <w:p w14:paraId="28056D69" w14:textId="23031093" w:rsidR="00F337FE" w:rsidRPr="00A775BE" w:rsidRDefault="00F337FE" w:rsidP="00F337FE">
            <w:pPr>
              <w:pStyle w:val="BodyText"/>
              <w:ind w:firstLine="0"/>
              <w:rPr>
                <w:highlight w:val="yellow"/>
              </w:rPr>
            </w:pPr>
            <w:r w:rsidRPr="00822127">
              <w:t>Matla</w:t>
            </w:r>
          </w:p>
        </w:tc>
        <w:tc>
          <w:tcPr>
            <w:tcW w:w="1741" w:type="dxa"/>
          </w:tcPr>
          <w:p w14:paraId="73430E16" w14:textId="78FAA8C8" w:rsidR="00F337FE" w:rsidRPr="00A775BE" w:rsidRDefault="00F337FE" w:rsidP="00F337FE">
            <w:pPr>
              <w:pStyle w:val="BodyText"/>
              <w:ind w:firstLine="0"/>
              <w:jc w:val="center"/>
              <w:rPr>
                <w:highlight w:val="yellow"/>
              </w:rPr>
            </w:pPr>
            <w:r w:rsidRPr="005D2C8A">
              <w:t>Bethal</w:t>
            </w:r>
          </w:p>
        </w:tc>
        <w:tc>
          <w:tcPr>
            <w:tcW w:w="1742" w:type="dxa"/>
          </w:tcPr>
          <w:p w14:paraId="6E8063FE" w14:textId="2B4CCAE8" w:rsidR="00F337FE" w:rsidRPr="00A775BE" w:rsidRDefault="00F337FE" w:rsidP="00F337FE">
            <w:pPr>
              <w:pStyle w:val="BodyText"/>
              <w:ind w:firstLine="0"/>
              <w:jc w:val="center"/>
              <w:rPr>
                <w:highlight w:val="yellow"/>
              </w:rPr>
            </w:pPr>
            <w:r w:rsidRPr="000A017E">
              <w:t>3 600</w:t>
            </w:r>
          </w:p>
        </w:tc>
      </w:tr>
      <w:tr w:rsidR="00F337FE" w:rsidRPr="00A775BE" w14:paraId="35D8C25D" w14:textId="77777777" w:rsidTr="00042A99">
        <w:trPr>
          <w:jc w:val="center"/>
        </w:trPr>
        <w:tc>
          <w:tcPr>
            <w:tcW w:w="1741" w:type="dxa"/>
          </w:tcPr>
          <w:p w14:paraId="750B5D73" w14:textId="479FA241" w:rsidR="00F337FE" w:rsidRPr="00A775BE" w:rsidRDefault="00F337FE" w:rsidP="00F337FE">
            <w:pPr>
              <w:pStyle w:val="BodyText"/>
              <w:ind w:firstLine="0"/>
              <w:rPr>
                <w:highlight w:val="yellow"/>
              </w:rPr>
            </w:pPr>
            <w:r w:rsidRPr="00822127">
              <w:t>Medupi</w:t>
            </w:r>
          </w:p>
        </w:tc>
        <w:tc>
          <w:tcPr>
            <w:tcW w:w="1741" w:type="dxa"/>
          </w:tcPr>
          <w:p w14:paraId="500D0534" w14:textId="4329F193" w:rsidR="00F337FE" w:rsidRPr="00A775BE" w:rsidRDefault="00F337FE" w:rsidP="00F337FE">
            <w:pPr>
              <w:pStyle w:val="BodyText"/>
              <w:ind w:firstLine="0"/>
              <w:jc w:val="center"/>
              <w:rPr>
                <w:highlight w:val="yellow"/>
              </w:rPr>
            </w:pPr>
            <w:r w:rsidRPr="005D2C8A">
              <w:t>Lephalale</w:t>
            </w:r>
          </w:p>
        </w:tc>
        <w:tc>
          <w:tcPr>
            <w:tcW w:w="1742" w:type="dxa"/>
          </w:tcPr>
          <w:p w14:paraId="1E8D829F" w14:textId="3C10E73F" w:rsidR="00F337FE" w:rsidRPr="00A775BE" w:rsidRDefault="00F337FE" w:rsidP="00F337FE">
            <w:pPr>
              <w:pStyle w:val="BodyText"/>
              <w:ind w:firstLine="0"/>
              <w:jc w:val="center"/>
              <w:rPr>
                <w:highlight w:val="yellow"/>
              </w:rPr>
            </w:pPr>
            <w:r w:rsidRPr="000A017E">
              <w:t>4 764</w:t>
            </w:r>
          </w:p>
        </w:tc>
      </w:tr>
      <w:tr w:rsidR="00F337FE" w:rsidRPr="00A775BE" w14:paraId="2D963B1C" w14:textId="77777777" w:rsidTr="00042A99">
        <w:trPr>
          <w:jc w:val="center"/>
        </w:trPr>
        <w:tc>
          <w:tcPr>
            <w:tcW w:w="1741" w:type="dxa"/>
          </w:tcPr>
          <w:p w14:paraId="57A530E4" w14:textId="5220830F" w:rsidR="00F337FE" w:rsidRPr="00A775BE" w:rsidRDefault="00F337FE" w:rsidP="00F337FE">
            <w:pPr>
              <w:pStyle w:val="BodyText"/>
              <w:ind w:firstLine="0"/>
              <w:rPr>
                <w:highlight w:val="yellow"/>
              </w:rPr>
            </w:pPr>
            <w:proofErr w:type="spellStart"/>
            <w:r w:rsidRPr="00822127">
              <w:t>Tutuka</w:t>
            </w:r>
            <w:proofErr w:type="spellEnd"/>
          </w:p>
        </w:tc>
        <w:tc>
          <w:tcPr>
            <w:tcW w:w="1741" w:type="dxa"/>
          </w:tcPr>
          <w:p w14:paraId="77518320" w14:textId="3B25640D" w:rsidR="00F337FE" w:rsidRPr="00A775BE" w:rsidRDefault="00F337FE" w:rsidP="00F337FE">
            <w:pPr>
              <w:pStyle w:val="BodyText"/>
              <w:ind w:firstLine="0"/>
              <w:jc w:val="center"/>
              <w:rPr>
                <w:highlight w:val="yellow"/>
              </w:rPr>
            </w:pPr>
            <w:r w:rsidRPr="005D2C8A">
              <w:t>Standerton</w:t>
            </w:r>
          </w:p>
        </w:tc>
        <w:tc>
          <w:tcPr>
            <w:tcW w:w="1742" w:type="dxa"/>
          </w:tcPr>
          <w:p w14:paraId="0D205CD6" w14:textId="6F8438DF" w:rsidR="00F337FE" w:rsidRPr="00A775BE" w:rsidRDefault="00F337FE" w:rsidP="00F337FE">
            <w:pPr>
              <w:pStyle w:val="BodyText"/>
              <w:ind w:firstLine="0"/>
              <w:jc w:val="center"/>
              <w:rPr>
                <w:highlight w:val="yellow"/>
              </w:rPr>
            </w:pPr>
            <w:r w:rsidRPr="000A017E">
              <w:t>3 654</w:t>
            </w:r>
          </w:p>
        </w:tc>
      </w:tr>
    </w:tbl>
    <w:p w14:paraId="2F7D59E1" w14:textId="77777777" w:rsidR="003046BF" w:rsidRDefault="003046BF" w:rsidP="008204F4">
      <w:pPr>
        <w:pStyle w:val="BodyText"/>
      </w:pPr>
    </w:p>
    <w:p w14:paraId="22B0FAAC" w14:textId="77777777" w:rsidR="008204F4" w:rsidRDefault="008204F4" w:rsidP="008204F4">
      <w:pPr>
        <w:pStyle w:val="BodyText"/>
      </w:pPr>
    </w:p>
    <w:p w14:paraId="207C9B98" w14:textId="5F8E58A1" w:rsidR="006750DF" w:rsidRDefault="00F337FE" w:rsidP="006750DF">
      <w:pPr>
        <w:pStyle w:val="BodyText"/>
      </w:pPr>
      <w:r w:rsidRPr="00A31C54">
        <w:t>T</w:t>
      </w:r>
      <w:r w:rsidR="003046BF" w:rsidRPr="00A31C54">
        <w:t xml:space="preserve">he Komati Power Station in </w:t>
      </w:r>
      <w:r w:rsidR="00972751" w:rsidRPr="00A31C54">
        <w:t xml:space="preserve">Middleburg, </w:t>
      </w:r>
      <w:r w:rsidR="003046BF" w:rsidRPr="00A31C54">
        <w:t>Mpumalanga</w:t>
      </w:r>
      <w:r w:rsidR="00972751" w:rsidRPr="00A31C54">
        <w:t xml:space="preserve"> province</w:t>
      </w:r>
      <w:r w:rsidRPr="00A31C54">
        <w:t xml:space="preserve">, has been fully operational since March 1966 and </w:t>
      </w:r>
      <w:r w:rsidR="00972751" w:rsidRPr="00A31C54">
        <w:t xml:space="preserve">as </w:t>
      </w:r>
      <w:r w:rsidRPr="00A31C54">
        <w:t xml:space="preserve">of </w:t>
      </w:r>
      <w:r w:rsidR="00972751" w:rsidRPr="00A31C54">
        <w:t xml:space="preserve">31 </w:t>
      </w:r>
      <w:r w:rsidRPr="00A31C54">
        <w:t xml:space="preserve">October 2022 </w:t>
      </w:r>
      <w:r w:rsidR="00972751" w:rsidRPr="00A31C54">
        <w:t xml:space="preserve">was officially </w:t>
      </w:r>
      <w:r w:rsidR="003046BF" w:rsidRPr="00A31C54">
        <w:t>shutdown</w:t>
      </w:r>
      <w:r w:rsidR="00972751" w:rsidRPr="00A31C54">
        <w:t xml:space="preserve">. Following this event, </w:t>
      </w:r>
      <w:r w:rsidR="006750DF" w:rsidRPr="00A31C54">
        <w:t xml:space="preserve">Eskom </w:t>
      </w:r>
      <w:r w:rsidR="00972751" w:rsidRPr="00A31C54">
        <w:t xml:space="preserve">has plans to further   </w:t>
      </w:r>
      <w:r w:rsidR="006750DF" w:rsidRPr="00A31C54">
        <w:t xml:space="preserve">decommission 10 </w:t>
      </w:r>
      <w:r w:rsidR="00972751" w:rsidRPr="00A31C54">
        <w:t xml:space="preserve">other </w:t>
      </w:r>
      <w:r w:rsidR="006750DF" w:rsidRPr="00A31C54">
        <w:t>power stations by 2040 and 2050</w:t>
      </w:r>
      <w:r w:rsidR="00972751" w:rsidRPr="00A31C54">
        <w:t>. There is immense</w:t>
      </w:r>
      <w:r w:rsidR="006750DF" w:rsidRPr="00A31C54">
        <w:t xml:space="preserve"> opportunity for repurposing and repowering </w:t>
      </w:r>
      <w:r w:rsidR="00972751" w:rsidRPr="00A31C54">
        <w:t>o</w:t>
      </w:r>
      <w:r w:rsidR="006750DF" w:rsidRPr="00A31C54">
        <w:t>f the</w:t>
      </w:r>
      <w:r w:rsidR="00972751" w:rsidRPr="00A31C54">
        <w:t xml:space="preserve"> targeted</w:t>
      </w:r>
      <w:r w:rsidR="006750DF" w:rsidRPr="00A31C54">
        <w:t xml:space="preserve"> sites. </w:t>
      </w:r>
      <w:r w:rsidR="00972751" w:rsidRPr="00A31C54">
        <w:t xml:space="preserve">Following </w:t>
      </w:r>
      <w:r w:rsidR="006750DF" w:rsidRPr="00A31C54">
        <w:t xml:space="preserve">Komati, </w:t>
      </w:r>
      <w:proofErr w:type="spellStart"/>
      <w:r w:rsidR="006750DF" w:rsidRPr="00A31C54">
        <w:t>Grootvlei</w:t>
      </w:r>
      <w:proofErr w:type="spellEnd"/>
      <w:r w:rsidR="006750DF" w:rsidRPr="00A31C54">
        <w:t>, Camden</w:t>
      </w:r>
      <w:r w:rsidR="00972751" w:rsidRPr="00A31C54">
        <w:t xml:space="preserve"> and </w:t>
      </w:r>
      <w:proofErr w:type="spellStart"/>
      <w:r w:rsidR="006750DF" w:rsidRPr="00A31C54">
        <w:t>Hendrina</w:t>
      </w:r>
      <w:proofErr w:type="spellEnd"/>
      <w:r w:rsidR="00972751" w:rsidRPr="00A31C54">
        <w:t xml:space="preserve"> will be the next site in focus, adopting lessons learnt from Komati’s which was used as the p</w:t>
      </w:r>
      <w:r w:rsidR="006750DF" w:rsidRPr="00A31C54">
        <w:t>ilot site for repurposing and repower</w:t>
      </w:r>
      <w:r w:rsidR="00972751" w:rsidRPr="00A31C54">
        <w:t>.</w:t>
      </w:r>
      <w:r w:rsidR="006750DF">
        <w:t xml:space="preserve"> </w:t>
      </w:r>
    </w:p>
    <w:p w14:paraId="0780D012" w14:textId="77777777" w:rsidR="005A47F5" w:rsidRDefault="005A47F5" w:rsidP="006750DF">
      <w:pPr>
        <w:pStyle w:val="BodyText"/>
      </w:pPr>
    </w:p>
    <w:p w14:paraId="6046678D" w14:textId="798395D3" w:rsidR="006750DF" w:rsidRPr="00233053" w:rsidRDefault="00292B9A" w:rsidP="00E72D50">
      <w:pPr>
        <w:pStyle w:val="Heading3"/>
        <w:numPr>
          <w:ilvl w:val="2"/>
          <w:numId w:val="34"/>
        </w:numPr>
      </w:pPr>
      <w:r w:rsidRPr="00233053">
        <w:lastRenderedPageBreak/>
        <w:t xml:space="preserve">Komati </w:t>
      </w:r>
      <w:r w:rsidR="004B6FBF" w:rsidRPr="00233053">
        <w:t>r</w:t>
      </w:r>
      <w:r w:rsidRPr="00233053">
        <w:t xml:space="preserve">epurposing and </w:t>
      </w:r>
      <w:r w:rsidR="004B6FBF" w:rsidRPr="00233053">
        <w:t>r</w:t>
      </w:r>
      <w:r w:rsidRPr="00233053">
        <w:t>epowering</w:t>
      </w:r>
      <w:r w:rsidR="006750DF" w:rsidRPr="00233053">
        <w:t xml:space="preserve"> </w:t>
      </w:r>
    </w:p>
    <w:p w14:paraId="7517F1E6" w14:textId="08DCF2AC" w:rsidR="00292B9A" w:rsidRPr="00292B9A" w:rsidRDefault="00ED4321" w:rsidP="00F652B8">
      <w:pPr>
        <w:pStyle w:val="BodyText"/>
      </w:pPr>
      <w:r>
        <w:t xml:space="preserve">Komati </w:t>
      </w:r>
      <w:r w:rsidRPr="004B6FBF">
        <w:t>power station</w:t>
      </w:r>
      <w:r w:rsidR="004B6FBF" w:rsidRPr="004B6FBF">
        <w:t xml:space="preserve"> </w:t>
      </w:r>
      <w:r w:rsidR="004B6FBF">
        <w:t xml:space="preserve">has a renewed purpose after being </w:t>
      </w:r>
      <w:r w:rsidR="004B6FBF" w:rsidRPr="004B6FBF">
        <w:t xml:space="preserve">decommissioned </w:t>
      </w:r>
      <w:r w:rsidR="004B6FBF">
        <w:t>in 2022. It now operates</w:t>
      </w:r>
      <w:r w:rsidR="00F652B8">
        <w:t xml:space="preserve"> with a capacity of </w:t>
      </w:r>
      <w:r w:rsidR="004B6FBF" w:rsidRPr="004B6FBF">
        <w:t>producing</w:t>
      </w:r>
      <w:r w:rsidR="004B6FBF">
        <w:t xml:space="preserve"> </w:t>
      </w:r>
      <w:r w:rsidR="004B6FBF" w:rsidRPr="004B6FBF">
        <w:t>renewable energy</w:t>
      </w:r>
      <w:r w:rsidR="00F652B8">
        <w:t>, a</w:t>
      </w:r>
      <w:r w:rsidR="004B6FBF">
        <w:t xml:space="preserve"> mix of </w:t>
      </w:r>
      <w:r w:rsidR="004B6FBF" w:rsidRPr="004B6FBF">
        <w:t>150 MW of</w:t>
      </w:r>
      <w:r w:rsidR="004B6FBF">
        <w:t xml:space="preserve"> </w:t>
      </w:r>
      <w:r w:rsidR="00F652B8" w:rsidRPr="00292B9A">
        <w:t>photovoltaic</w:t>
      </w:r>
      <w:r w:rsidR="00F652B8" w:rsidRPr="004B6FBF">
        <w:t xml:space="preserve"> </w:t>
      </w:r>
      <w:r w:rsidR="004B6FBF" w:rsidRPr="004B6FBF">
        <w:t>solar, 70 MW of wind and 150 MW of battery</w:t>
      </w:r>
      <w:r w:rsidR="004B6FBF">
        <w:t xml:space="preserve"> s</w:t>
      </w:r>
      <w:r w:rsidR="004B6FBF" w:rsidRPr="004B6FBF">
        <w:t>torage</w:t>
      </w:r>
      <w:r w:rsidR="004B6FBF">
        <w:t xml:space="preserve">. </w:t>
      </w:r>
      <w:r w:rsidR="00C05CA3">
        <w:t xml:space="preserve">In </w:t>
      </w:r>
      <w:bookmarkStart w:id="5" w:name="_Hlk169617776"/>
      <w:r w:rsidR="00B033C1">
        <w:rPr>
          <w:iCs/>
        </w:rPr>
        <w:t>F</w:t>
      </w:r>
      <w:r w:rsidR="00B033C1" w:rsidRPr="00B033C1">
        <w:rPr>
          <w:iCs/>
        </w:rPr>
        <w:t>ig.</w:t>
      </w:r>
      <w:r w:rsidR="00C05CA3" w:rsidRPr="00B033C1">
        <w:rPr>
          <w:iCs/>
        </w:rPr>
        <w:t xml:space="preserve"> </w:t>
      </w:r>
      <w:r w:rsidR="00D63CD0">
        <w:rPr>
          <w:iCs/>
        </w:rPr>
        <w:t>2</w:t>
      </w:r>
      <w:r w:rsidR="00B033C1">
        <w:rPr>
          <w:i/>
        </w:rPr>
        <w:t>.</w:t>
      </w:r>
      <w:r w:rsidR="00C05CA3">
        <w:t xml:space="preserve"> </w:t>
      </w:r>
      <w:bookmarkEnd w:id="5"/>
      <w:r w:rsidR="00C05CA3">
        <w:t>a picture of Komati Power Plant is shown</w:t>
      </w:r>
      <w:r w:rsidR="00F652B8">
        <w:t>.</w:t>
      </w:r>
      <w:r w:rsidR="00C05CA3">
        <w:t xml:space="preserve"> </w:t>
      </w:r>
    </w:p>
    <w:p w14:paraId="79A72CFC" w14:textId="261796C8" w:rsidR="00292B9A" w:rsidRDefault="00233053" w:rsidP="00233053">
      <w:pPr>
        <w:pStyle w:val="BodyText"/>
      </w:pPr>
      <w:bookmarkStart w:id="6" w:name="_Hlk169214152"/>
      <w:r w:rsidRPr="00233053">
        <w:t>Komati</w:t>
      </w:r>
      <w:r>
        <w:t xml:space="preserve"> also hosts</w:t>
      </w:r>
      <w:r w:rsidRPr="00233053">
        <w:t xml:space="preserve"> a Microgrid</w:t>
      </w:r>
      <w:r>
        <w:t xml:space="preserve"> </w:t>
      </w:r>
      <w:r w:rsidRPr="00233053">
        <w:t xml:space="preserve">assembly line </w:t>
      </w:r>
      <w:r>
        <w:t xml:space="preserve">which </w:t>
      </w:r>
      <w:r w:rsidRPr="00233053">
        <w:t>provid</w:t>
      </w:r>
      <w:r>
        <w:t>e</w:t>
      </w:r>
      <w:r w:rsidRPr="00233053">
        <w:t xml:space="preserve"> additional employment</w:t>
      </w:r>
      <w:r>
        <w:t xml:space="preserve"> </w:t>
      </w:r>
      <w:r w:rsidRPr="00233053">
        <w:t>opportunities</w:t>
      </w:r>
      <w:r>
        <w:t xml:space="preserve"> within the community</w:t>
      </w:r>
      <w:r w:rsidRPr="00233053">
        <w:t xml:space="preserve">. </w:t>
      </w:r>
      <w:r>
        <w:t xml:space="preserve">The </w:t>
      </w:r>
      <w:r w:rsidR="00292B9A" w:rsidRPr="00292B9A">
        <w:t xml:space="preserve">training centre </w:t>
      </w:r>
      <w:r>
        <w:t xml:space="preserve">has been </w:t>
      </w:r>
      <w:r w:rsidR="00292B9A" w:rsidRPr="00292B9A">
        <w:t xml:space="preserve">refurbished </w:t>
      </w:r>
      <w:r>
        <w:t>into a</w:t>
      </w:r>
      <w:r w:rsidR="00292B9A" w:rsidRPr="00292B9A">
        <w:t xml:space="preserve"> Renewable energy training facility</w:t>
      </w:r>
      <w:r>
        <w:t xml:space="preserve"> where </w:t>
      </w:r>
      <w:r w:rsidR="00292B9A" w:rsidRPr="00292B9A">
        <w:t>Eskom employees and other qualifying members of the community</w:t>
      </w:r>
      <w:r>
        <w:t xml:space="preserve"> are trained in </w:t>
      </w:r>
      <w:r w:rsidR="001E4D5B">
        <w:t xml:space="preserve">the development of </w:t>
      </w:r>
      <w:r>
        <w:t>technical skills.</w:t>
      </w:r>
    </w:p>
    <w:bookmarkEnd w:id="6"/>
    <w:p w14:paraId="0B7E6121" w14:textId="77777777" w:rsidR="00F65D2A" w:rsidRDefault="00F65D2A" w:rsidP="005B3DE1">
      <w:pPr>
        <w:pStyle w:val="BodyText"/>
        <w:ind w:firstLine="0"/>
      </w:pPr>
    </w:p>
    <w:p w14:paraId="0A53877F" w14:textId="77777777" w:rsidR="00F65D2A" w:rsidRDefault="00F65D2A" w:rsidP="00F65D2A">
      <w:pPr>
        <w:pStyle w:val="BodyText"/>
        <w:keepNext/>
        <w:ind w:firstLine="0"/>
        <w:jc w:val="center"/>
      </w:pPr>
      <w:r>
        <w:rPr>
          <w:noProof/>
          <w:lang w:val="en-ZA" w:eastAsia="en-ZA"/>
        </w:rPr>
        <w:drawing>
          <wp:inline distT="0" distB="0" distL="0" distR="0" wp14:anchorId="38DD3212" wp14:editId="659FE825">
            <wp:extent cx="2533504" cy="1804372"/>
            <wp:effectExtent l="0" t="0" r="635" b="5715"/>
            <wp:docPr id="13116019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43679" cy="1811619"/>
                    </a:xfrm>
                    <a:prstGeom prst="rect">
                      <a:avLst/>
                    </a:prstGeom>
                    <a:noFill/>
                  </pic:spPr>
                </pic:pic>
              </a:graphicData>
            </a:graphic>
          </wp:inline>
        </w:drawing>
      </w:r>
    </w:p>
    <w:p w14:paraId="43B42BB1" w14:textId="5B5DE629" w:rsidR="00F65D2A" w:rsidRPr="00210EC8" w:rsidRDefault="007C110B" w:rsidP="00F65D2A">
      <w:pPr>
        <w:pStyle w:val="Caption"/>
        <w:jc w:val="center"/>
        <w:rPr>
          <w:i/>
        </w:rPr>
      </w:pPr>
      <w:bookmarkStart w:id="7" w:name="_Ref169256215"/>
      <w:bookmarkStart w:id="8" w:name="_Hlk169615692"/>
      <w:r w:rsidRPr="00802381">
        <w:rPr>
          <w:i/>
        </w:rPr>
        <w:t xml:space="preserve">FIG. </w:t>
      </w:r>
      <w:r w:rsidRPr="00802381">
        <w:rPr>
          <w:i/>
        </w:rPr>
        <w:fldChar w:fldCharType="begin"/>
      </w:r>
      <w:r w:rsidRPr="00802381">
        <w:rPr>
          <w:i/>
        </w:rPr>
        <w:instrText xml:space="preserve"> SEQ Figure \* ARABIC </w:instrText>
      </w:r>
      <w:r w:rsidRPr="00802381">
        <w:rPr>
          <w:i/>
        </w:rPr>
        <w:fldChar w:fldCharType="separate"/>
      </w:r>
      <w:r w:rsidR="0093699D">
        <w:rPr>
          <w:i/>
          <w:noProof/>
        </w:rPr>
        <w:t>2</w:t>
      </w:r>
      <w:r w:rsidRPr="00802381">
        <w:rPr>
          <w:i/>
        </w:rPr>
        <w:fldChar w:fldCharType="end"/>
      </w:r>
      <w:r>
        <w:rPr>
          <w:i/>
        </w:rPr>
        <w:t xml:space="preserve">. </w:t>
      </w:r>
      <w:r w:rsidRPr="00B4681F">
        <w:rPr>
          <w:i/>
        </w:rPr>
        <w:t>Komati Power Station [5]</w:t>
      </w:r>
      <w:r>
        <w:rPr>
          <w:i/>
        </w:rPr>
        <w:t>.</w:t>
      </w:r>
      <w:bookmarkEnd w:id="7"/>
    </w:p>
    <w:bookmarkEnd w:id="8"/>
    <w:p w14:paraId="0A613EF2" w14:textId="77777777" w:rsidR="00F65D2A" w:rsidRDefault="00F65D2A" w:rsidP="00F65D2A">
      <w:pPr>
        <w:pStyle w:val="Authornameandaffiliation"/>
        <w:rPr>
          <w:lang w:val="en-GB"/>
        </w:rPr>
      </w:pPr>
    </w:p>
    <w:p w14:paraId="651369B0" w14:textId="5CAE562E" w:rsidR="00F65D2A" w:rsidRPr="00F65D2A" w:rsidRDefault="00233053" w:rsidP="001E4D5B">
      <w:pPr>
        <w:pStyle w:val="BodyText"/>
      </w:pPr>
      <w:r>
        <w:t>Eskom and South Africa at large, have gained a lot of e</w:t>
      </w:r>
      <w:r w:rsidR="00F65D2A" w:rsidRPr="00F65D2A">
        <w:t xml:space="preserve">xperience </w:t>
      </w:r>
      <w:r>
        <w:t xml:space="preserve">from Komati, especially </w:t>
      </w:r>
      <w:r w:rsidR="000F17D1">
        <w:t xml:space="preserve">on </w:t>
      </w:r>
      <w:r w:rsidR="000F17D1" w:rsidRPr="000F17D1">
        <w:t xml:space="preserve">economic </w:t>
      </w:r>
      <w:r w:rsidR="000F17D1">
        <w:t>ventures;</w:t>
      </w:r>
      <w:r w:rsidR="000F17D1" w:rsidRPr="000F17D1">
        <w:t xml:space="preserve"> infrastructure and services; community development </w:t>
      </w:r>
      <w:r w:rsidR="000F17D1">
        <w:t>a</w:t>
      </w:r>
      <w:r w:rsidR="000F17D1" w:rsidRPr="000F17D1">
        <w:t>nd</w:t>
      </w:r>
      <w:r>
        <w:t xml:space="preserve"> engagements</w:t>
      </w:r>
      <w:r w:rsidR="000F17D1">
        <w:t>,</w:t>
      </w:r>
      <w:r>
        <w:t xml:space="preserve"> which can be easily applied to similar repurposing</w:t>
      </w:r>
      <w:r w:rsidR="000F17D1">
        <w:t xml:space="preserve"> projects</w:t>
      </w:r>
      <w:r>
        <w:t>.</w:t>
      </w:r>
      <w:r w:rsidR="00F65D2A" w:rsidRPr="00F65D2A">
        <w:t xml:space="preserve"> </w:t>
      </w:r>
      <w:r w:rsidR="001E4D5B">
        <w:t xml:space="preserve">Other </w:t>
      </w:r>
      <w:r w:rsidR="00F65D2A" w:rsidRPr="00F65D2A">
        <w:t xml:space="preserve">established engagements between government, </w:t>
      </w:r>
      <w:r w:rsidR="001E4D5B">
        <w:t>private sector</w:t>
      </w:r>
      <w:r w:rsidR="00F65D2A" w:rsidRPr="00F65D2A">
        <w:t>, organised labour</w:t>
      </w:r>
      <w:r w:rsidR="001E4D5B">
        <w:t>,</w:t>
      </w:r>
      <w:r w:rsidR="000F17D1">
        <w:t xml:space="preserve"> </w:t>
      </w:r>
      <w:r w:rsidR="000F17D1" w:rsidRPr="000F17D1">
        <w:t>environmental</w:t>
      </w:r>
      <w:r w:rsidR="000F17D1">
        <w:t xml:space="preserve"> and social</w:t>
      </w:r>
      <w:r w:rsidR="000F17D1" w:rsidRPr="000F17D1">
        <w:t xml:space="preserve"> studies</w:t>
      </w:r>
      <w:r w:rsidR="001E4D5B">
        <w:t xml:space="preserve"> can easily form the foundations for future undertakings.</w:t>
      </w:r>
      <w:r w:rsidR="008B7725" w:rsidRPr="008B7725">
        <w:t xml:space="preserve"> </w:t>
      </w:r>
    </w:p>
    <w:p w14:paraId="5128A240" w14:textId="56011FDF" w:rsidR="00E72D50" w:rsidRPr="00BD6264" w:rsidRDefault="00E72D50" w:rsidP="00E72D50">
      <w:pPr>
        <w:pStyle w:val="Heading3"/>
        <w:numPr>
          <w:ilvl w:val="2"/>
          <w:numId w:val="33"/>
        </w:numPr>
      </w:pPr>
      <w:bookmarkStart w:id="9" w:name="_Hlk169214975"/>
      <w:proofErr w:type="gramStart"/>
      <w:r w:rsidRPr="00BD6264">
        <w:t>Future plans</w:t>
      </w:r>
      <w:proofErr w:type="gramEnd"/>
      <w:r w:rsidRPr="00BD6264">
        <w:t xml:space="preserve"> for other CPP</w:t>
      </w:r>
      <w:r w:rsidR="00291287">
        <w:t>s</w:t>
      </w:r>
      <w:r w:rsidRPr="00BD6264">
        <w:t xml:space="preserve"> </w:t>
      </w:r>
    </w:p>
    <w:p w14:paraId="40AEBB34" w14:textId="77933FBC" w:rsidR="00A6567E" w:rsidRDefault="00A6567E" w:rsidP="00154343">
      <w:pPr>
        <w:pStyle w:val="BodyText"/>
      </w:pPr>
      <w:r w:rsidRPr="00A6567E">
        <w:t>The</w:t>
      </w:r>
      <w:r w:rsidR="00154343">
        <w:t xml:space="preserve">re are </w:t>
      </w:r>
      <w:r w:rsidRPr="00A6567E">
        <w:t>discuss</w:t>
      </w:r>
      <w:r w:rsidR="00154343">
        <w:t xml:space="preserve">ions and </w:t>
      </w:r>
      <w:r w:rsidRPr="00A6567E">
        <w:t>plans</w:t>
      </w:r>
      <w:r w:rsidR="00154343">
        <w:t xml:space="preserve"> in place </w:t>
      </w:r>
      <w:r w:rsidRPr="00A6567E">
        <w:t>for other power stations</w:t>
      </w:r>
      <w:r w:rsidR="00154343">
        <w:t>, namely:</w:t>
      </w:r>
      <w:r w:rsidRPr="00A6567E">
        <w:t xml:space="preserve"> Camden, </w:t>
      </w:r>
      <w:proofErr w:type="spellStart"/>
      <w:r w:rsidRPr="00A6567E">
        <w:t>Grootvlei</w:t>
      </w:r>
      <w:proofErr w:type="spellEnd"/>
      <w:r w:rsidR="00154343">
        <w:t xml:space="preserve"> and</w:t>
      </w:r>
      <w:r w:rsidRPr="00A6567E">
        <w:t xml:space="preserve"> </w:t>
      </w:r>
      <w:proofErr w:type="spellStart"/>
      <w:r w:rsidR="00154343">
        <w:t>H</w:t>
      </w:r>
      <w:r w:rsidRPr="00A6567E">
        <w:t>endrina</w:t>
      </w:r>
      <w:proofErr w:type="spellEnd"/>
      <w:r w:rsidRPr="00A6567E">
        <w:t xml:space="preserve"> </w:t>
      </w:r>
      <w:r w:rsidR="00154343">
        <w:t xml:space="preserve">(shown in </w:t>
      </w:r>
      <w:r w:rsidR="00B033C1" w:rsidRPr="00B033C1">
        <w:t>Fig</w:t>
      </w:r>
      <w:r w:rsidR="00B033C1">
        <w:t>.</w:t>
      </w:r>
      <w:r w:rsidR="00860D5A" w:rsidRPr="00B033C1">
        <w:t xml:space="preserve"> </w:t>
      </w:r>
      <w:r w:rsidR="00D63CD0">
        <w:t>3</w:t>
      </w:r>
      <w:r w:rsidR="00B033C1">
        <w:t>.</w:t>
      </w:r>
      <w:r w:rsidR="00154343">
        <w:t xml:space="preserve">) to be </w:t>
      </w:r>
      <w:proofErr w:type="spellStart"/>
      <w:r w:rsidR="00154343">
        <w:t>shutdown</w:t>
      </w:r>
      <w:proofErr w:type="spellEnd"/>
      <w:r w:rsidR="00154343">
        <w:t xml:space="preserve"> in a staggered fashion and transitioned into a repurposed site. It would be of great value if nuclear is also evaluated for this purpose</w:t>
      </w:r>
      <w:r w:rsidR="006013D8">
        <w:t xml:space="preserve"> and the site re-engineered to deploy SMRs to match the identified CPPs generating capacity</w:t>
      </w:r>
      <w:r w:rsidRPr="00A6567E">
        <w:t xml:space="preserve">. Lessons learnt </w:t>
      </w:r>
      <w:r w:rsidR="00154343">
        <w:t xml:space="preserve">from Komati repurposing can be easily adapted for the </w:t>
      </w:r>
      <w:r w:rsidRPr="00A6567E">
        <w:t>implement</w:t>
      </w:r>
      <w:r w:rsidR="00154343">
        <w:t>ation of</w:t>
      </w:r>
      <w:r w:rsidRPr="00A6567E">
        <w:t xml:space="preserve"> decommissioning and repurposing proposals</w:t>
      </w:r>
      <w:r w:rsidR="00154343">
        <w:t xml:space="preserve"> with nuclear methanol hybrid systems</w:t>
      </w:r>
      <w:r w:rsidRPr="00A6567E">
        <w:t>.</w:t>
      </w:r>
      <w:r w:rsidR="00154343">
        <w:t xml:space="preserve"> </w:t>
      </w:r>
      <w:r w:rsidR="00ED4321">
        <w:t xml:space="preserve">However, when proposing a modular unit and coupling with non-nuclear applications there are further considerations to be investigated such as the licencing strategy and the relevance of current nuclear policy to legislate new designs. </w:t>
      </w:r>
    </w:p>
    <w:bookmarkEnd w:id="9"/>
    <w:p w14:paraId="2B9BAFB0" w14:textId="77777777" w:rsidR="0000194E" w:rsidRDefault="0000194E" w:rsidP="0000194E">
      <w:pPr>
        <w:pStyle w:val="Authornameandaffiliation"/>
        <w:rPr>
          <w:lang w:val="en-GB"/>
        </w:rPr>
      </w:pPr>
    </w:p>
    <w:tbl>
      <w:tblPr>
        <w:tblStyle w:val="TableGrid"/>
        <w:tblW w:w="97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69"/>
        <w:gridCol w:w="3577"/>
        <w:gridCol w:w="3039"/>
      </w:tblGrid>
      <w:tr w:rsidR="00A6567E" w:rsidRPr="00DF164B" w14:paraId="34F5371B" w14:textId="77777777" w:rsidTr="00645B82">
        <w:trPr>
          <w:trHeight w:val="2168"/>
        </w:trPr>
        <w:tc>
          <w:tcPr>
            <w:tcW w:w="3169" w:type="dxa"/>
          </w:tcPr>
          <w:p w14:paraId="2FACB105" w14:textId="77777777" w:rsidR="00A6567E" w:rsidRPr="00DF164B" w:rsidRDefault="00A6567E" w:rsidP="00852E1A">
            <w:pPr>
              <w:jc w:val="center"/>
              <w:rPr>
                <w:rFonts w:ascii="Arial" w:hAnsi="Arial" w:cs="Arial"/>
              </w:rPr>
            </w:pPr>
            <w:r w:rsidRPr="00DF164B">
              <w:rPr>
                <w:rFonts w:ascii="Arial" w:hAnsi="Arial" w:cs="Arial"/>
                <w:noProof/>
                <w:lang w:val="en-ZA" w:eastAsia="en-ZA"/>
              </w:rPr>
              <w:drawing>
                <wp:inline distT="0" distB="0" distL="0" distR="0" wp14:anchorId="3E4FD735" wp14:editId="17FFE246">
                  <wp:extent cx="1828800" cy="1363980"/>
                  <wp:effectExtent l="0" t="0" r="0" b="7620"/>
                  <wp:docPr id="336897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689754" name="Picture 33689754"/>
                          <pic:cNvPicPr/>
                        </pic:nvPicPr>
                        <pic:blipFill>
                          <a:blip r:embed="rId14" cstate="print">
                            <a:extLst>
                              <a:ext uri="{28A0092B-C50C-407E-A947-70E740481C1C}">
                                <a14:useLocalDpi xmlns:a14="http://schemas.microsoft.com/office/drawing/2010/main" val="0"/>
                              </a:ext>
                            </a:extLst>
                          </a:blip>
                          <a:stretch>
                            <a:fillRect/>
                          </a:stretch>
                        </pic:blipFill>
                        <pic:spPr>
                          <a:xfrm rot="10800000" flipV="1">
                            <a:off x="0" y="0"/>
                            <a:ext cx="1890704" cy="1410150"/>
                          </a:xfrm>
                          <a:prstGeom prst="rect">
                            <a:avLst/>
                          </a:prstGeom>
                        </pic:spPr>
                      </pic:pic>
                    </a:graphicData>
                  </a:graphic>
                </wp:inline>
              </w:drawing>
            </w:r>
          </w:p>
          <w:p w14:paraId="0F0FE2EA" w14:textId="61E931AC" w:rsidR="00A6567E" w:rsidRPr="00DF164B" w:rsidRDefault="00A6567E" w:rsidP="00852E1A">
            <w:pPr>
              <w:jc w:val="center"/>
              <w:rPr>
                <w:rFonts w:ascii="Arial" w:hAnsi="Arial" w:cs="Arial"/>
              </w:rPr>
            </w:pPr>
          </w:p>
        </w:tc>
        <w:tc>
          <w:tcPr>
            <w:tcW w:w="3577" w:type="dxa"/>
          </w:tcPr>
          <w:p w14:paraId="6F80D32B" w14:textId="77777777" w:rsidR="00A6567E" w:rsidRPr="00DF164B" w:rsidRDefault="00A6567E" w:rsidP="00852E1A">
            <w:pPr>
              <w:jc w:val="center"/>
              <w:rPr>
                <w:rFonts w:ascii="Arial" w:hAnsi="Arial" w:cs="Arial"/>
              </w:rPr>
            </w:pPr>
            <w:r w:rsidRPr="00DF164B">
              <w:rPr>
                <w:rFonts w:ascii="Arial" w:hAnsi="Arial" w:cs="Arial"/>
                <w:noProof/>
                <w:lang w:val="en-ZA" w:eastAsia="en-ZA"/>
              </w:rPr>
              <w:drawing>
                <wp:inline distT="0" distB="0" distL="0" distR="0" wp14:anchorId="4E985EFC" wp14:editId="4680D54B">
                  <wp:extent cx="2081455" cy="1363875"/>
                  <wp:effectExtent l="0" t="0" r="0" b="8255"/>
                  <wp:docPr id="1715827838" name="Picture 2" descr="A large factory with smoke stack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5827838" name="Picture 2" descr="A large factory with smoke stacks&#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2102632" cy="1377751"/>
                          </a:xfrm>
                          <a:prstGeom prst="rect">
                            <a:avLst/>
                          </a:prstGeom>
                        </pic:spPr>
                      </pic:pic>
                    </a:graphicData>
                  </a:graphic>
                </wp:inline>
              </w:drawing>
            </w:r>
          </w:p>
          <w:p w14:paraId="3C32003F" w14:textId="0C313385" w:rsidR="00A6567E" w:rsidRPr="00DF164B" w:rsidRDefault="00A6567E" w:rsidP="00852E1A">
            <w:pPr>
              <w:jc w:val="center"/>
              <w:rPr>
                <w:rFonts w:ascii="Arial" w:hAnsi="Arial" w:cs="Arial"/>
              </w:rPr>
            </w:pPr>
          </w:p>
        </w:tc>
        <w:tc>
          <w:tcPr>
            <w:tcW w:w="3039" w:type="dxa"/>
          </w:tcPr>
          <w:p w14:paraId="654052D1" w14:textId="77777777" w:rsidR="00A6567E" w:rsidRPr="00DF164B" w:rsidRDefault="00A6567E" w:rsidP="00852E1A">
            <w:pPr>
              <w:jc w:val="center"/>
              <w:rPr>
                <w:rFonts w:ascii="Arial" w:hAnsi="Arial" w:cs="Arial"/>
              </w:rPr>
            </w:pPr>
            <w:r w:rsidRPr="00DF164B">
              <w:rPr>
                <w:rFonts w:ascii="Arial" w:hAnsi="Arial" w:cs="Arial"/>
                <w:noProof/>
                <w:lang w:val="en-ZA" w:eastAsia="en-ZA"/>
              </w:rPr>
              <w:drawing>
                <wp:inline distT="0" distB="0" distL="0" distR="0" wp14:anchorId="57837FBA" wp14:editId="6AC7E878">
                  <wp:extent cx="1749697" cy="1365557"/>
                  <wp:effectExtent l="0" t="0" r="3175" b="6350"/>
                  <wp:docPr id="2116927339" name="Picture 3" descr="A large smokestack in a fie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6927339" name="Picture 3" descr="A large smokestack in a field&#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1773887" cy="1384436"/>
                          </a:xfrm>
                          <a:prstGeom prst="rect">
                            <a:avLst/>
                          </a:prstGeom>
                        </pic:spPr>
                      </pic:pic>
                    </a:graphicData>
                  </a:graphic>
                </wp:inline>
              </w:drawing>
            </w:r>
          </w:p>
          <w:p w14:paraId="6FB60546" w14:textId="5EE559FB" w:rsidR="00A6567E" w:rsidRPr="00DF164B" w:rsidRDefault="00A6567E" w:rsidP="00A6567E">
            <w:pPr>
              <w:keepNext/>
              <w:jc w:val="center"/>
              <w:rPr>
                <w:rFonts w:ascii="Arial" w:hAnsi="Arial" w:cs="Arial"/>
              </w:rPr>
            </w:pPr>
          </w:p>
        </w:tc>
      </w:tr>
    </w:tbl>
    <w:p w14:paraId="61CB5D7E" w14:textId="2941D8BC" w:rsidR="00BD2D47" w:rsidRPr="00210EC8" w:rsidRDefault="00BD2D47" w:rsidP="00BD2D47">
      <w:pPr>
        <w:pStyle w:val="Caption"/>
        <w:jc w:val="center"/>
        <w:rPr>
          <w:i/>
        </w:rPr>
      </w:pPr>
      <w:r w:rsidRPr="00802381">
        <w:rPr>
          <w:i/>
        </w:rPr>
        <w:t xml:space="preserve">FIG. </w:t>
      </w:r>
      <w:r w:rsidRPr="00802381">
        <w:rPr>
          <w:i/>
        </w:rPr>
        <w:fldChar w:fldCharType="begin"/>
      </w:r>
      <w:r w:rsidRPr="00802381">
        <w:rPr>
          <w:i/>
        </w:rPr>
        <w:instrText xml:space="preserve"> SEQ Figure \* ARABIC </w:instrText>
      </w:r>
      <w:r w:rsidRPr="00802381">
        <w:rPr>
          <w:i/>
        </w:rPr>
        <w:fldChar w:fldCharType="separate"/>
      </w:r>
      <w:r w:rsidR="0093699D">
        <w:rPr>
          <w:i/>
          <w:noProof/>
        </w:rPr>
        <w:t>3</w:t>
      </w:r>
      <w:r w:rsidRPr="00802381">
        <w:rPr>
          <w:i/>
        </w:rPr>
        <w:fldChar w:fldCharType="end"/>
      </w:r>
      <w:r>
        <w:rPr>
          <w:i/>
        </w:rPr>
        <w:t xml:space="preserve">. </w:t>
      </w:r>
      <w:r w:rsidRPr="00B4681F">
        <w:rPr>
          <w:i/>
        </w:rPr>
        <w:t xml:space="preserve">Images of Camden, </w:t>
      </w:r>
      <w:proofErr w:type="spellStart"/>
      <w:r w:rsidRPr="00B4681F">
        <w:rPr>
          <w:i/>
        </w:rPr>
        <w:t>Grootvlei</w:t>
      </w:r>
      <w:proofErr w:type="spellEnd"/>
      <w:r w:rsidRPr="00B4681F">
        <w:rPr>
          <w:i/>
        </w:rPr>
        <w:t xml:space="preserve"> and </w:t>
      </w:r>
      <w:proofErr w:type="spellStart"/>
      <w:r w:rsidRPr="00B4681F">
        <w:rPr>
          <w:i/>
        </w:rPr>
        <w:t>Hendrina</w:t>
      </w:r>
      <w:proofErr w:type="spellEnd"/>
      <w:r w:rsidRPr="00B4681F">
        <w:rPr>
          <w:i/>
        </w:rPr>
        <w:t xml:space="preserve"> Coal Power Plants [5]</w:t>
      </w:r>
      <w:r>
        <w:rPr>
          <w:i/>
        </w:rPr>
        <w:t>.</w:t>
      </w:r>
    </w:p>
    <w:p w14:paraId="2468BCDC" w14:textId="77777777" w:rsidR="00E72D50" w:rsidRDefault="00E72D50" w:rsidP="00E72D50">
      <w:pPr>
        <w:pStyle w:val="BodyText"/>
        <w:ind w:firstLine="0"/>
      </w:pPr>
    </w:p>
    <w:p w14:paraId="7A5A74F5" w14:textId="77777777" w:rsidR="00B519C9" w:rsidRDefault="00B519C9" w:rsidP="00E72D50">
      <w:pPr>
        <w:pStyle w:val="BodyText"/>
        <w:ind w:firstLine="0"/>
      </w:pPr>
    </w:p>
    <w:p w14:paraId="3FB86BDE" w14:textId="77777777" w:rsidR="00B519C9" w:rsidRDefault="00B519C9" w:rsidP="00E72D50">
      <w:pPr>
        <w:pStyle w:val="BodyText"/>
        <w:ind w:firstLine="0"/>
      </w:pPr>
    </w:p>
    <w:p w14:paraId="761A89EF" w14:textId="77777777" w:rsidR="000B2C9B" w:rsidRDefault="000B2C9B" w:rsidP="00E72D50">
      <w:pPr>
        <w:pStyle w:val="BodyText"/>
        <w:ind w:firstLine="0"/>
      </w:pPr>
    </w:p>
    <w:p w14:paraId="55258CD8" w14:textId="77777777" w:rsidR="00B519C9" w:rsidRDefault="00B519C9" w:rsidP="00E72D50">
      <w:pPr>
        <w:pStyle w:val="BodyText"/>
        <w:ind w:firstLine="0"/>
      </w:pPr>
    </w:p>
    <w:p w14:paraId="663A8645" w14:textId="7D90832D" w:rsidR="0000194E" w:rsidRPr="00B4681F" w:rsidRDefault="0000194E" w:rsidP="0000194E">
      <w:pPr>
        <w:pStyle w:val="Heading3"/>
        <w:numPr>
          <w:ilvl w:val="2"/>
          <w:numId w:val="33"/>
        </w:numPr>
      </w:pPr>
      <w:r w:rsidRPr="00B4681F">
        <w:lastRenderedPageBreak/>
        <w:t>Opportunities and challenges</w:t>
      </w:r>
    </w:p>
    <w:p w14:paraId="7ECED683" w14:textId="712171EB" w:rsidR="00BD6264" w:rsidRDefault="00BD6264" w:rsidP="00BD6264">
      <w:pPr>
        <w:pStyle w:val="BodyText"/>
      </w:pPr>
      <w:r>
        <w:t>Opportunities and challenges exist with any new developments, especially when such developments have not been established</w:t>
      </w:r>
      <w:r w:rsidR="0081152A">
        <w:t xml:space="preserve"> before</w:t>
      </w:r>
      <w:r>
        <w:t xml:space="preserve">. Fortunately for South Africa, it is the first country to </w:t>
      </w:r>
      <w:proofErr w:type="gramStart"/>
      <w:r>
        <w:t>actually repurpose</w:t>
      </w:r>
      <w:proofErr w:type="gramEnd"/>
      <w:r>
        <w:t xml:space="preserve"> a CPP. The lessons learnt can become the blueprint for future work. Below are some </w:t>
      </w:r>
      <w:r w:rsidR="0081152A">
        <w:t>considerations for future work</w:t>
      </w:r>
      <w:r>
        <w:t xml:space="preserve">: </w:t>
      </w:r>
      <w:r w:rsidR="0000194E" w:rsidRPr="0000194E">
        <w:tab/>
      </w:r>
    </w:p>
    <w:p w14:paraId="6EE98C87" w14:textId="58CF6EA9" w:rsidR="0000194E" w:rsidRPr="0000194E" w:rsidRDefault="0000194E" w:rsidP="0081152A">
      <w:pPr>
        <w:pStyle w:val="ListEmdash"/>
        <w:ind w:left="709"/>
      </w:pPr>
      <w:r w:rsidRPr="0000194E">
        <w:t xml:space="preserve">Lessons learned from Komati can be applied to the repurposing of CPP with nuclear power </w:t>
      </w:r>
      <w:proofErr w:type="gramStart"/>
      <w:r w:rsidRPr="0000194E">
        <w:t>plants</w:t>
      </w:r>
      <w:r w:rsidR="0081152A">
        <w:t>;</w:t>
      </w:r>
      <w:proofErr w:type="gramEnd"/>
    </w:p>
    <w:p w14:paraId="10C11886" w14:textId="591D01C8" w:rsidR="0000194E" w:rsidRPr="0000194E" w:rsidRDefault="0000194E" w:rsidP="0081152A">
      <w:pPr>
        <w:pStyle w:val="ListEmdash"/>
        <w:ind w:left="709"/>
      </w:pPr>
      <w:r w:rsidRPr="0000194E">
        <w:t xml:space="preserve">Licencing (multi-module plants) </w:t>
      </w:r>
      <w:r w:rsidR="0081152A">
        <w:t xml:space="preserve">and </w:t>
      </w:r>
      <w:r w:rsidRPr="0000194E">
        <w:t xml:space="preserve">how to approach the licencing, </w:t>
      </w:r>
      <w:proofErr w:type="gramStart"/>
      <w:r w:rsidRPr="0000194E">
        <w:t>etc</w:t>
      </w:r>
      <w:r w:rsidR="0081152A">
        <w:t>;</w:t>
      </w:r>
      <w:proofErr w:type="gramEnd"/>
    </w:p>
    <w:p w14:paraId="01C57A24" w14:textId="104D293F" w:rsidR="0081152A" w:rsidRDefault="0081152A" w:rsidP="0081152A">
      <w:pPr>
        <w:pStyle w:val="ListEmdash"/>
        <w:ind w:left="709"/>
      </w:pPr>
      <w:r>
        <w:t xml:space="preserve">The </w:t>
      </w:r>
      <w:r w:rsidR="0000194E" w:rsidRPr="0000194E">
        <w:t>site zoning</w:t>
      </w:r>
      <w:r>
        <w:t xml:space="preserve"> with </w:t>
      </w:r>
      <w:r w:rsidR="0000194E" w:rsidRPr="0000194E">
        <w:t>multi-module plants</w:t>
      </w:r>
      <w:r>
        <w:t xml:space="preserve"> and the associated</w:t>
      </w:r>
      <w:r w:rsidR="0000194E" w:rsidRPr="0000194E">
        <w:t xml:space="preserve"> operational and safety </w:t>
      </w:r>
      <w:proofErr w:type="gramStart"/>
      <w:r w:rsidR="0000194E" w:rsidRPr="0000194E">
        <w:t>challenges</w:t>
      </w:r>
      <w:r>
        <w:t>;</w:t>
      </w:r>
      <w:proofErr w:type="gramEnd"/>
      <w:r w:rsidR="0000194E" w:rsidRPr="0000194E">
        <w:t xml:space="preserve"> </w:t>
      </w:r>
    </w:p>
    <w:p w14:paraId="5AD67B5C" w14:textId="4D75A58A" w:rsidR="0000194E" w:rsidRPr="0000194E" w:rsidRDefault="0081152A" w:rsidP="0081152A">
      <w:pPr>
        <w:pStyle w:val="ListEmdash"/>
        <w:ind w:left="709"/>
      </w:pPr>
      <w:r>
        <w:t>Whether current r</w:t>
      </w:r>
      <w:r w:rsidR="0000194E" w:rsidRPr="0000194E">
        <w:t xml:space="preserve">egulatory and licencing </w:t>
      </w:r>
      <w:r>
        <w:t xml:space="preserve">policies are adequate or need amendment for incorporating new plant </w:t>
      </w:r>
      <w:proofErr w:type="gramStart"/>
      <w:r>
        <w:t>design;</w:t>
      </w:r>
      <w:proofErr w:type="gramEnd"/>
    </w:p>
    <w:p w14:paraId="7147587A" w14:textId="3FB53184" w:rsidR="0000194E" w:rsidRPr="0000194E" w:rsidRDefault="0000194E" w:rsidP="0081152A">
      <w:pPr>
        <w:pStyle w:val="ListEmdash"/>
        <w:ind w:left="709"/>
      </w:pPr>
      <w:r w:rsidRPr="0000194E">
        <w:t xml:space="preserve">Radiological and chemical </w:t>
      </w:r>
      <w:proofErr w:type="gramStart"/>
      <w:r w:rsidRPr="0000194E">
        <w:t>risk</w:t>
      </w:r>
      <w:r w:rsidR="0081152A">
        <w:t>;</w:t>
      </w:r>
      <w:proofErr w:type="gramEnd"/>
    </w:p>
    <w:p w14:paraId="591A3B47" w14:textId="1B7E858D" w:rsidR="0000194E" w:rsidRPr="0000194E" w:rsidRDefault="0000194E" w:rsidP="0081152A">
      <w:pPr>
        <w:pStyle w:val="ListEmdash"/>
        <w:ind w:left="709"/>
      </w:pPr>
      <w:r w:rsidRPr="0000194E">
        <w:t xml:space="preserve">Economic analysis </w:t>
      </w:r>
      <w:r w:rsidR="0081152A">
        <w:t>of nuclear methanol hybrid systems. It is noted that t</w:t>
      </w:r>
      <w:r w:rsidRPr="0000194E">
        <w:t>he United States government has recogni</w:t>
      </w:r>
      <w:r w:rsidR="0081152A">
        <w:t>s</w:t>
      </w:r>
      <w:r w:rsidRPr="0000194E">
        <w:t>ed the benefit of repurposing coal-fired power plants</w:t>
      </w:r>
      <w:r w:rsidR="00A5117B">
        <w:t xml:space="preserve">. To this end the US has encouraged repurposing by </w:t>
      </w:r>
      <w:r w:rsidRPr="0000194E">
        <w:t>introduc</w:t>
      </w:r>
      <w:r w:rsidR="00A5117B">
        <w:t xml:space="preserve">ing </w:t>
      </w:r>
      <w:r w:rsidRPr="0000194E">
        <w:t>investment tax incentives in the Inflation Reduction Act (IRA) for new advanced nuclear projects</w:t>
      </w:r>
      <w:r w:rsidR="00A5117B">
        <w:t xml:space="preserve">. There </w:t>
      </w:r>
      <w:r w:rsidR="005A47F5">
        <w:t>are</w:t>
      </w:r>
      <w:r w:rsidR="00A5117B">
        <w:t xml:space="preserve"> also b</w:t>
      </w:r>
      <w:r w:rsidRPr="0000194E">
        <w:t>onus</w:t>
      </w:r>
      <w:r w:rsidR="005A47F5">
        <w:t>es</w:t>
      </w:r>
      <w:r w:rsidRPr="0000194E">
        <w:t xml:space="preserve"> for plants built in fossil energy communities</w:t>
      </w:r>
      <w:r w:rsidR="00A35728">
        <w:t>.</w:t>
      </w:r>
    </w:p>
    <w:p w14:paraId="47D00F9C" w14:textId="41C6BBC3" w:rsidR="0000194E" w:rsidRPr="0000194E" w:rsidRDefault="0000194E" w:rsidP="00BD6264">
      <w:pPr>
        <w:pStyle w:val="BodyText"/>
      </w:pPr>
      <w:r w:rsidRPr="0000194E">
        <w:t>The key benefits of this</w:t>
      </w:r>
      <w:r w:rsidR="00A5117B">
        <w:t xml:space="preserve"> CPP transition to other energy sources is that there are </w:t>
      </w:r>
      <w:r w:rsidRPr="0000194E">
        <w:t xml:space="preserve">savings in grid infrastructure costs, capital costs, and a </w:t>
      </w:r>
      <w:r w:rsidR="00A35728">
        <w:t xml:space="preserve">marginal </w:t>
      </w:r>
      <w:r w:rsidRPr="0000194E">
        <w:t>effort</w:t>
      </w:r>
      <w:r w:rsidR="00A35728">
        <w:t xml:space="preserve"> is needed</w:t>
      </w:r>
      <w:r w:rsidRPr="0000194E">
        <w:t xml:space="preserve"> to </w:t>
      </w:r>
      <w:r w:rsidR="00A35728">
        <w:t xml:space="preserve">amend </w:t>
      </w:r>
      <w:r w:rsidRPr="0000194E">
        <w:t>the environmental impact assessments.</w:t>
      </w:r>
      <w:r w:rsidR="00C96DDC">
        <w:t xml:space="preserve"> </w:t>
      </w:r>
      <w:r w:rsidR="00DE440F">
        <w:t xml:space="preserve">When it comes to the </w:t>
      </w:r>
      <w:r w:rsidR="00537FDB">
        <w:t xml:space="preserve">cost savings associated with </w:t>
      </w:r>
      <w:r w:rsidR="00DE440F">
        <w:t>g</w:t>
      </w:r>
      <w:r w:rsidRPr="0000194E">
        <w:t>rid infrastructure</w:t>
      </w:r>
      <w:r w:rsidR="00DE440F">
        <w:t>, the existing e</w:t>
      </w:r>
      <w:r w:rsidRPr="0000194E">
        <w:t xml:space="preserve">lectrical infrastructure built for a </w:t>
      </w:r>
      <w:r w:rsidR="00537FDB">
        <w:t>CPP</w:t>
      </w:r>
      <w:r w:rsidRPr="0000194E">
        <w:t xml:space="preserve"> could be re</w:t>
      </w:r>
      <w:r w:rsidR="00537FDB">
        <w:t xml:space="preserve">-engineered </w:t>
      </w:r>
      <w:r w:rsidRPr="0000194E">
        <w:t>for</w:t>
      </w:r>
      <w:r w:rsidR="00537FDB">
        <w:t xml:space="preserve"> use in</w:t>
      </w:r>
      <w:r w:rsidRPr="0000194E">
        <w:t xml:space="preserve"> a nuclear power plant</w:t>
      </w:r>
      <w:r w:rsidR="00537FDB">
        <w:t xml:space="preserve">, resulting in lesser </w:t>
      </w:r>
      <w:r w:rsidRPr="0000194E">
        <w:t xml:space="preserve">new transmission </w:t>
      </w:r>
      <w:r w:rsidR="00537FDB">
        <w:t xml:space="preserve">and distribution infrastructure </w:t>
      </w:r>
      <w:r w:rsidRPr="0000194E">
        <w:t>being built</w:t>
      </w:r>
      <w:r w:rsidR="00DE440F">
        <w:t xml:space="preserve"> </w:t>
      </w:r>
      <w:r w:rsidR="00537FDB">
        <w:t xml:space="preserve">to accommodate </w:t>
      </w:r>
      <w:r w:rsidR="00DE440F">
        <w:t xml:space="preserve">new generation </w:t>
      </w:r>
      <w:r w:rsidR="00537FDB">
        <w:t xml:space="preserve">capacity being added </w:t>
      </w:r>
      <w:r w:rsidR="00DE440F">
        <w:t>to the system.</w:t>
      </w:r>
      <w:r w:rsidRPr="0000194E">
        <w:t xml:space="preserve">  </w:t>
      </w:r>
    </w:p>
    <w:p w14:paraId="13F3A9EB" w14:textId="048896B6" w:rsidR="0000194E" w:rsidRPr="0000194E" w:rsidRDefault="00DE440F" w:rsidP="00BD6264">
      <w:pPr>
        <w:pStyle w:val="BodyText"/>
      </w:pPr>
      <w:r>
        <w:t>Some of the c</w:t>
      </w:r>
      <w:r w:rsidR="0000194E" w:rsidRPr="0000194E">
        <w:t>apital cost savings</w:t>
      </w:r>
      <w:r>
        <w:t xml:space="preserve"> include the e</w:t>
      </w:r>
      <w:r w:rsidR="0000194E" w:rsidRPr="0000194E">
        <w:t xml:space="preserve">quipment at a </w:t>
      </w:r>
      <w:r w:rsidR="00537FDB">
        <w:t>CPP</w:t>
      </w:r>
      <w:r w:rsidR="0000194E" w:rsidRPr="0000194E">
        <w:t xml:space="preserve"> </w:t>
      </w:r>
      <w:r w:rsidR="005C03B1">
        <w:t xml:space="preserve">that </w:t>
      </w:r>
      <w:r w:rsidR="0000194E" w:rsidRPr="0000194E">
        <w:t>could</w:t>
      </w:r>
      <w:r w:rsidR="005C03B1">
        <w:t xml:space="preserve"> still be </w:t>
      </w:r>
      <w:r w:rsidR="006A53C2">
        <w:t>re-engineered</w:t>
      </w:r>
      <w:r w:rsidR="005A47F5">
        <w:t xml:space="preserve"> for use</w:t>
      </w:r>
      <w:r w:rsidR="006A53C2">
        <w:t xml:space="preserve"> into the </w:t>
      </w:r>
      <w:r w:rsidR="005C03B1">
        <w:t>new plant</w:t>
      </w:r>
      <w:r>
        <w:t>. However, an age analysis</w:t>
      </w:r>
      <w:r w:rsidR="00E5175E">
        <w:t xml:space="preserve"> and compatibility</w:t>
      </w:r>
      <w:r>
        <w:t xml:space="preserve"> must be done to ensure the lifecycle</w:t>
      </w:r>
      <w:r w:rsidR="00E5175E">
        <w:t xml:space="preserve"> and suitability </w:t>
      </w:r>
      <w:r>
        <w:t xml:space="preserve">of such equipment. </w:t>
      </w:r>
      <w:proofErr w:type="gramStart"/>
      <w:r>
        <w:t>These e</w:t>
      </w:r>
      <w:r w:rsidR="0000194E" w:rsidRPr="0000194E">
        <w:t>quipment</w:t>
      </w:r>
      <w:proofErr w:type="gramEnd"/>
      <w:r w:rsidR="0000194E" w:rsidRPr="0000194E">
        <w:t xml:space="preserve"> </w:t>
      </w:r>
      <w:r>
        <w:t>inc</w:t>
      </w:r>
      <w:r w:rsidR="0000194E" w:rsidRPr="0000194E">
        <w:t>lude steam turbines, heat sinks (cooling tower, open loop cooling or air-cooled condensers)</w:t>
      </w:r>
      <w:r w:rsidR="00537FDB">
        <w:t xml:space="preserve"> </w:t>
      </w:r>
      <w:r w:rsidR="00BE4EA5">
        <w:t>[6]</w:t>
      </w:r>
      <w:r w:rsidR="00E5175E">
        <w:t xml:space="preserve">. Other utilities such as </w:t>
      </w:r>
      <w:r w:rsidR="0000194E" w:rsidRPr="0000194E">
        <w:t>water treatment plants</w:t>
      </w:r>
      <w:r w:rsidR="00E5175E">
        <w:t xml:space="preserve"> are readily available for the plant process</w:t>
      </w:r>
      <w:r w:rsidR="005C03B1">
        <w:t>es</w:t>
      </w:r>
      <w:r w:rsidR="00E5175E">
        <w:t>.</w:t>
      </w:r>
      <w:r w:rsidR="0000194E" w:rsidRPr="0000194E">
        <w:t xml:space="preserve"> </w:t>
      </w:r>
    </w:p>
    <w:p w14:paraId="05CA5279" w14:textId="6647845D" w:rsidR="0000194E" w:rsidRPr="0000194E" w:rsidRDefault="0000194E" w:rsidP="00205AF8">
      <w:pPr>
        <w:pStyle w:val="BodyText"/>
      </w:pPr>
      <w:r w:rsidRPr="0000194E">
        <w:t xml:space="preserve">Communities around </w:t>
      </w:r>
      <w:r w:rsidR="00C96DDC">
        <w:t>CPP</w:t>
      </w:r>
      <w:r w:rsidRPr="0000194E">
        <w:t>s have skilled</w:t>
      </w:r>
      <w:r w:rsidR="00C96DDC">
        <w:t xml:space="preserve"> </w:t>
      </w:r>
      <w:r w:rsidRPr="0000194E">
        <w:t>workers that can be easily trained to</w:t>
      </w:r>
      <w:r w:rsidR="00C96DDC">
        <w:t xml:space="preserve"> work in the new plant. A</w:t>
      </w:r>
      <w:r w:rsidR="005C03B1">
        <w:t>s</w:t>
      </w:r>
      <w:r w:rsidR="00C96DDC">
        <w:t xml:space="preserve"> seen </w:t>
      </w:r>
      <w:r w:rsidR="005A47F5">
        <w:t>from</w:t>
      </w:r>
      <w:r w:rsidR="00C96DDC">
        <w:t xml:space="preserve"> the Komati repurposing project, communities were integrated into </w:t>
      </w:r>
      <w:r w:rsidR="00205AF8">
        <w:t xml:space="preserve">the repurposed plant ensuring economic sustainability of the workers. </w:t>
      </w:r>
    </w:p>
    <w:p w14:paraId="2227ED6E" w14:textId="16B517A2" w:rsidR="0000194E" w:rsidRPr="0000194E" w:rsidRDefault="00205AF8" w:rsidP="00BD6264">
      <w:pPr>
        <w:pStyle w:val="BodyText"/>
      </w:pPr>
      <w:r>
        <w:t>Because the conditions of the en</w:t>
      </w:r>
      <w:r w:rsidR="0000194E" w:rsidRPr="0000194E">
        <w:t xml:space="preserve">vironmental site </w:t>
      </w:r>
      <w:r>
        <w:t xml:space="preserve">are known, there is the added advantage of a reduced turnaround time with the review and amendment of environmental and societal </w:t>
      </w:r>
      <w:r w:rsidR="005C03B1">
        <w:t xml:space="preserve">assessments and </w:t>
      </w:r>
      <w:r>
        <w:t>policies.</w:t>
      </w:r>
      <w:r w:rsidR="0000194E" w:rsidRPr="0000194E">
        <w:t xml:space="preserve"> </w:t>
      </w:r>
    </w:p>
    <w:p w14:paraId="10C462C7" w14:textId="3C586FB4" w:rsidR="0000194E" w:rsidRDefault="00205AF8" w:rsidP="00BD6264">
      <w:pPr>
        <w:pStyle w:val="BodyText"/>
      </w:pPr>
      <w:r>
        <w:t>However, there are some c</w:t>
      </w:r>
      <w:r w:rsidR="0000194E" w:rsidRPr="0000194E">
        <w:t>hallenges</w:t>
      </w:r>
      <w:r>
        <w:t xml:space="preserve"> that still present itself such as the </w:t>
      </w:r>
      <w:r w:rsidR="0000194E" w:rsidRPr="0000194E">
        <w:t>availability of nuclear fuel, experienced personnel, and nuclear waste management</w:t>
      </w:r>
      <w:r>
        <w:t xml:space="preserve">. But these can be overcome by mitigation strategies like training, </w:t>
      </w:r>
      <w:r w:rsidR="0000194E" w:rsidRPr="0000194E">
        <w:t>with partnership</w:t>
      </w:r>
      <w:r w:rsidR="005C03B1">
        <w:t>s</w:t>
      </w:r>
      <w:r w:rsidR="0000194E" w:rsidRPr="0000194E">
        <w:t xml:space="preserve">, </w:t>
      </w:r>
      <w:r>
        <w:t xml:space="preserve">local, national and international </w:t>
      </w:r>
      <w:r w:rsidR="0000194E" w:rsidRPr="0000194E">
        <w:t>co-operation with experienced organi</w:t>
      </w:r>
      <w:r>
        <w:t>s</w:t>
      </w:r>
      <w:r w:rsidR="0000194E" w:rsidRPr="0000194E">
        <w:t xml:space="preserve">ations </w:t>
      </w:r>
      <w:r>
        <w:t>rendering their experience of operating nuclear power plants.</w:t>
      </w:r>
      <w:r w:rsidR="0000194E" w:rsidRPr="0000194E">
        <w:t xml:space="preserve">  </w:t>
      </w:r>
    </w:p>
    <w:p w14:paraId="05D37003" w14:textId="684A1C42" w:rsidR="006750DF" w:rsidRPr="001F4620" w:rsidRDefault="0000194E" w:rsidP="006750DF">
      <w:pPr>
        <w:pStyle w:val="Heading2"/>
        <w:numPr>
          <w:ilvl w:val="1"/>
          <w:numId w:val="10"/>
        </w:numPr>
      </w:pPr>
      <w:r w:rsidRPr="001F4620">
        <w:t xml:space="preserve">Conclusion </w:t>
      </w:r>
    </w:p>
    <w:p w14:paraId="2191A402" w14:textId="394BEA79" w:rsidR="00EE0041" w:rsidRDefault="00C62452" w:rsidP="00537496">
      <w:pPr>
        <w:pStyle w:val="BodyText"/>
      </w:pPr>
      <w:r w:rsidRPr="00C62452">
        <w:t>In the wake of climate change, there is sound benefit of deploying SMRs to existing CPPs sites given the offset in some of the infrastructure costs, site zoning and availability of established communities. Applying non-electric applications, such as Methanol production that utilises thermal or electrical energy for the supply of Hydrogen for the process, is equally favoured for improving the economic viability of SMR’s in nuclear hybrid systems.</w:t>
      </w:r>
      <w:r>
        <w:t xml:space="preserve"> It is recommended that further </w:t>
      </w:r>
      <w:r w:rsidR="00114A47">
        <w:t>site-specific</w:t>
      </w:r>
      <w:r>
        <w:t xml:space="preserve"> studies be conducted to support the repurposing of existing CPPs with nuclear methanol hybrid systems. </w:t>
      </w:r>
    </w:p>
    <w:p w14:paraId="01981A94" w14:textId="77777777" w:rsidR="002361D6" w:rsidRDefault="002361D6" w:rsidP="002361D6">
      <w:pPr>
        <w:pStyle w:val="BodyText"/>
        <w:ind w:firstLine="0"/>
      </w:pPr>
    </w:p>
    <w:p w14:paraId="17BB46B2" w14:textId="6527CD79" w:rsidR="00897ED5" w:rsidRPr="00205AF8" w:rsidRDefault="00D555A1" w:rsidP="000A64A5">
      <w:pPr>
        <w:pStyle w:val="Heading2"/>
        <w:numPr>
          <w:ilvl w:val="1"/>
          <w:numId w:val="10"/>
        </w:numPr>
      </w:pPr>
      <w:r w:rsidRPr="00205AF8">
        <w:t>Further information</w:t>
      </w:r>
    </w:p>
    <w:p w14:paraId="0693CE25" w14:textId="77777777" w:rsidR="00BD605C" w:rsidRPr="00205AF8" w:rsidRDefault="00897ED5" w:rsidP="00537496">
      <w:pPr>
        <w:pStyle w:val="Heading3"/>
        <w:numPr>
          <w:ilvl w:val="2"/>
          <w:numId w:val="18"/>
        </w:numPr>
      </w:pPr>
      <w:r w:rsidRPr="00205AF8">
        <w:t>Author affiliation</w:t>
      </w:r>
    </w:p>
    <w:p w14:paraId="1FEDFB24" w14:textId="61768A27" w:rsidR="002071D9" w:rsidRPr="000A64A5" w:rsidRDefault="00B47A77" w:rsidP="00537496">
      <w:pPr>
        <w:pStyle w:val="BodyText"/>
      </w:pPr>
      <w:r w:rsidRPr="000A64A5">
        <w:t xml:space="preserve">Council for Scientific and Industrial Research (CSIR), South Africa, </w:t>
      </w:r>
      <w:hyperlink r:id="rId17" w:history="1">
        <w:r w:rsidR="00114A47" w:rsidRPr="001F4F35">
          <w:rPr>
            <w:rStyle w:val="Hyperlink"/>
          </w:rPr>
          <w:t>farisha.panday@gmail.com</w:t>
        </w:r>
      </w:hyperlink>
      <w:r w:rsidR="00114A47">
        <w:t xml:space="preserve"> </w:t>
      </w:r>
    </w:p>
    <w:p w14:paraId="41747731" w14:textId="77777777" w:rsidR="000B2C9B" w:rsidRDefault="000B2C9B" w:rsidP="00537496">
      <w:pPr>
        <w:pStyle w:val="Otherunnumberedheadings"/>
      </w:pPr>
    </w:p>
    <w:p w14:paraId="15F4F300" w14:textId="732A8670" w:rsidR="00285755" w:rsidRPr="00205AF8" w:rsidRDefault="00285755" w:rsidP="00537496">
      <w:pPr>
        <w:pStyle w:val="Otherunnumberedheadings"/>
      </w:pPr>
      <w:r w:rsidRPr="00205AF8">
        <w:lastRenderedPageBreak/>
        <w:t>ACKNOWLEDGEMENTS</w:t>
      </w:r>
    </w:p>
    <w:p w14:paraId="711AF860" w14:textId="7F978F26" w:rsidR="00D26ADA" w:rsidRDefault="00114A47" w:rsidP="00537496">
      <w:pPr>
        <w:pStyle w:val="BodyText"/>
      </w:pPr>
      <w:r>
        <w:t>T</w:t>
      </w:r>
      <w:r w:rsidR="00675D42">
        <w:t xml:space="preserve">he author acknowledges the </w:t>
      </w:r>
      <w:r w:rsidR="006A53C2">
        <w:t xml:space="preserve">following persons for their kind assistance and support: </w:t>
      </w:r>
      <w:r w:rsidR="00291287">
        <w:t>D</w:t>
      </w:r>
      <w:r w:rsidR="00210EC8" w:rsidRPr="000A64A5">
        <w:t xml:space="preserve">r Anand </w:t>
      </w:r>
      <w:proofErr w:type="spellStart"/>
      <w:r w:rsidR="00210EC8" w:rsidRPr="000A64A5">
        <w:t>Kaisavelu</w:t>
      </w:r>
      <w:proofErr w:type="spellEnd"/>
      <w:r w:rsidR="00210EC8" w:rsidRPr="000A64A5">
        <w:t xml:space="preserve"> for professional support</w:t>
      </w:r>
      <w:r w:rsidR="006A53C2">
        <w:t xml:space="preserve"> and Ms Yadvi Singh for drafting the schematic diagram.</w:t>
      </w:r>
    </w:p>
    <w:p w14:paraId="32B76F9D" w14:textId="70D50890" w:rsidR="00D26ADA" w:rsidRPr="00A775BE" w:rsidRDefault="00D26ADA" w:rsidP="00537496">
      <w:pPr>
        <w:pStyle w:val="Otherunnumberedheadings"/>
        <w:rPr>
          <w:highlight w:val="yellow"/>
        </w:rPr>
      </w:pPr>
      <w:r w:rsidRPr="00B4681F">
        <w:t>References</w:t>
      </w:r>
    </w:p>
    <w:p w14:paraId="370A4609" w14:textId="0FF4B209" w:rsidR="00B4681F" w:rsidRPr="00B4681F" w:rsidRDefault="00B4681F" w:rsidP="00B4681F">
      <w:pPr>
        <w:pStyle w:val="Referencelist"/>
      </w:pPr>
      <w:r w:rsidRPr="00B4681F">
        <w:t xml:space="preserve">Parliament of the Republic of South Africa (2024), </w:t>
      </w:r>
      <w:hyperlink r:id="rId18" w:history="1">
        <w:r w:rsidRPr="00B4681F">
          <w:rPr>
            <w:rStyle w:val="Hyperlink"/>
          </w:rPr>
          <w:t>https://www.parliament.gov.za/bill/2300773</w:t>
        </w:r>
      </w:hyperlink>
      <w:r w:rsidRPr="00B4681F">
        <w:t xml:space="preserve"> </w:t>
      </w:r>
    </w:p>
    <w:p w14:paraId="04D14525" w14:textId="793C53F3" w:rsidR="009E0D5B" w:rsidRPr="00B4681F" w:rsidRDefault="00A21738" w:rsidP="00537496">
      <w:pPr>
        <w:pStyle w:val="Referencelist"/>
      </w:pPr>
      <w:r w:rsidRPr="00B4681F">
        <w:t>HANEKLAUS</w:t>
      </w:r>
      <w:r w:rsidR="00B94CC1" w:rsidRPr="00B4681F">
        <w:t>,</w:t>
      </w:r>
      <w:r w:rsidR="00451E69" w:rsidRPr="00B4681F">
        <w:t xml:space="preserve"> N.,</w:t>
      </w:r>
      <w:r w:rsidR="00B94CC1" w:rsidRPr="00B4681F">
        <w:t xml:space="preserve"> </w:t>
      </w:r>
      <w:r w:rsidRPr="00B4681F">
        <w:t>QVIST</w:t>
      </w:r>
      <w:r w:rsidR="00B94CC1" w:rsidRPr="00B4681F">
        <w:t>,</w:t>
      </w:r>
      <w:r w:rsidRPr="00B4681F">
        <w:t xml:space="preserve"> S.,</w:t>
      </w:r>
      <w:r w:rsidR="00B94CC1" w:rsidRPr="00B4681F">
        <w:t xml:space="preserve"> </w:t>
      </w:r>
      <w:r w:rsidRPr="00B4681F">
        <w:t>GŁADYSZ</w:t>
      </w:r>
      <w:r w:rsidR="00B94CC1" w:rsidRPr="00B4681F">
        <w:t>,</w:t>
      </w:r>
      <w:r w:rsidRPr="00B4681F">
        <w:t xml:space="preserve"> P.,</w:t>
      </w:r>
      <w:r w:rsidR="00B94CC1" w:rsidRPr="00B4681F">
        <w:t xml:space="preserve"> </w:t>
      </w:r>
      <w:r w:rsidRPr="00B4681F">
        <w:t>BARTELA</w:t>
      </w:r>
      <w:r w:rsidR="00B94CC1" w:rsidRPr="00B4681F">
        <w:t>,</w:t>
      </w:r>
      <w:r w:rsidRPr="00B4681F">
        <w:t xml:space="preserve"> L.,</w:t>
      </w:r>
      <w:r w:rsidR="00B94CC1" w:rsidRPr="00B4681F">
        <w:t xml:space="preserve"> Why coal-fired power plants should get nuclear-ready, Energy </w:t>
      </w:r>
      <w:r w:rsidRPr="00B4681F">
        <w:t>(</w:t>
      </w:r>
      <w:r w:rsidR="00B94CC1" w:rsidRPr="00B4681F">
        <w:t>2023</w:t>
      </w:r>
      <w:r w:rsidRPr="00B4681F">
        <w:t>)</w:t>
      </w:r>
      <w:r w:rsidR="00B94CC1" w:rsidRPr="00B4681F">
        <w:t xml:space="preserve"> 128169</w:t>
      </w:r>
      <w:r w:rsidRPr="00B4681F">
        <w:t>.</w:t>
      </w:r>
    </w:p>
    <w:p w14:paraId="612B5A48" w14:textId="56B23048" w:rsidR="00CC2501" w:rsidRPr="00B4681F" w:rsidRDefault="00CC2501" w:rsidP="00537496">
      <w:pPr>
        <w:pStyle w:val="Referencelist"/>
      </w:pPr>
      <w:r w:rsidRPr="00B4681F">
        <w:t xml:space="preserve">Olah, G.A., Beyond oil and gas: The Methanol Economy, </w:t>
      </w:r>
      <w:proofErr w:type="spellStart"/>
      <w:r w:rsidRPr="00B4681F">
        <w:t>Angewandte</w:t>
      </w:r>
      <w:proofErr w:type="spellEnd"/>
      <w:r w:rsidRPr="00B4681F">
        <w:t xml:space="preserve"> </w:t>
      </w:r>
      <w:proofErr w:type="spellStart"/>
      <w:r w:rsidRPr="00B4681F">
        <w:t>Chemie</w:t>
      </w:r>
      <w:proofErr w:type="spellEnd"/>
      <w:r w:rsidRPr="00B4681F">
        <w:t xml:space="preserve"> International Edition (2005</w:t>
      </w:r>
      <w:proofErr w:type="gramStart"/>
      <w:r w:rsidRPr="00B4681F">
        <w:t>)  2636</w:t>
      </w:r>
      <w:proofErr w:type="gramEnd"/>
      <w:r w:rsidRPr="00B4681F">
        <w:t>-2639.</w:t>
      </w:r>
    </w:p>
    <w:p w14:paraId="66DE94FA" w14:textId="64741EE1" w:rsidR="00B4681F" w:rsidRPr="00B4681F" w:rsidRDefault="00B4681F" w:rsidP="00537496">
      <w:pPr>
        <w:pStyle w:val="Referencelist"/>
      </w:pPr>
      <w:r w:rsidRPr="00B4681F">
        <w:t xml:space="preserve">Eskom (2024) </w:t>
      </w:r>
      <w:hyperlink r:id="rId19" w:history="1">
        <w:r w:rsidRPr="00B4681F">
          <w:rPr>
            <w:rStyle w:val="Hyperlink"/>
          </w:rPr>
          <w:t>https://www.eskom.co.za/wp-content/uploads/2022/06/GX-0001-Generation-Plant-Mix-Rev-26.pdf</w:t>
        </w:r>
      </w:hyperlink>
    </w:p>
    <w:p w14:paraId="7704F292" w14:textId="51C0D38E" w:rsidR="00662532" w:rsidRDefault="00EA7C8F" w:rsidP="00B4681F">
      <w:pPr>
        <w:pStyle w:val="Referencelist"/>
      </w:pPr>
      <w:r w:rsidRPr="00B4681F">
        <w:t xml:space="preserve">Eskom (2024), </w:t>
      </w:r>
      <w:hyperlink r:id="rId20" w:history="1">
        <w:r w:rsidRPr="00B4681F">
          <w:rPr>
            <w:rStyle w:val="Hyperlink"/>
          </w:rPr>
          <w:t>https://www.eskom.co.za/media-room/photo-gallery/</w:t>
        </w:r>
      </w:hyperlink>
      <w:r w:rsidRPr="00B4681F">
        <w:t xml:space="preserve"> </w:t>
      </w:r>
    </w:p>
    <w:p w14:paraId="5587C24A" w14:textId="5925FAA8" w:rsidR="00BE4EA5" w:rsidRPr="00B4681F" w:rsidRDefault="00BE4EA5" w:rsidP="00B4681F">
      <w:pPr>
        <w:pStyle w:val="Referencelist"/>
      </w:pPr>
      <w:r>
        <w:t xml:space="preserve">Hatch (2024) </w:t>
      </w:r>
      <w:hyperlink r:id="rId21" w:history="1">
        <w:r w:rsidRPr="00032CFB">
          <w:rPr>
            <w:rStyle w:val="Hyperlink"/>
          </w:rPr>
          <w:t>https://www.hatch.com/About-Us/Publications/Blogs/2022/10/Coal-Power-Plants-and-Nuclear-Power-A-Perfect-Marriage</w:t>
        </w:r>
      </w:hyperlink>
      <w:r>
        <w:t xml:space="preserve"> </w:t>
      </w:r>
    </w:p>
    <w:sectPr w:rsidR="00BE4EA5" w:rsidRPr="00B4681F" w:rsidSect="004442F1">
      <w:headerReference w:type="even" r:id="rId22"/>
      <w:headerReference w:type="default" r:id="rId23"/>
      <w:footerReference w:type="even" r:id="rId24"/>
      <w:footerReference w:type="default" r:id="rId25"/>
      <w:headerReference w:type="first" r:id="rId26"/>
      <w:footerReference w:type="first" r:id="rId27"/>
      <w:type w:val="oddPage"/>
      <w:pgSz w:w="11907" w:h="16840" w:code="9"/>
      <w:pgMar w:top="1440" w:right="1440" w:bottom="1440" w:left="1440" w:header="539" w:footer="96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20466" w14:textId="77777777" w:rsidR="00593129" w:rsidRDefault="00593129">
      <w:r>
        <w:separator/>
      </w:r>
    </w:p>
  </w:endnote>
  <w:endnote w:type="continuationSeparator" w:id="0">
    <w:p w14:paraId="1CE4EF9C" w14:textId="77777777" w:rsidR="00593129" w:rsidRDefault="00593129">
      <w:r>
        <w:continuationSeparator/>
      </w:r>
    </w:p>
  </w:endnote>
  <w:endnote w:type="continuationNotice" w:id="1">
    <w:p w14:paraId="58B15EF5" w14:textId="77777777" w:rsidR="00593129" w:rsidRDefault="005931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5966909"/>
      <w:docPartObj>
        <w:docPartGallery w:val="Page Numbers (Bottom of Page)"/>
        <w:docPartUnique/>
      </w:docPartObj>
    </w:sdtPr>
    <w:sdtEndPr>
      <w:rPr>
        <w:noProof/>
      </w:rPr>
    </w:sdtEndPr>
    <w:sdtContent>
      <w:p w14:paraId="1F67D465" w14:textId="7ADCB037" w:rsidR="0081325A" w:rsidRDefault="0081325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FDEB1B7" w14:textId="2BD80FB7" w:rsidR="00E20E70" w:rsidRDefault="00E20E70">
    <w:pPr>
      <w:pStyle w:val="zyxClassification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B308E" w14:textId="74B9F514" w:rsidR="00E20E70" w:rsidRDefault="00E20E70">
    <w:pPr>
      <w:pStyle w:val="zyxClassification1"/>
    </w:pPr>
  </w:p>
  <w:p w14:paraId="1A6ED295" w14:textId="3D1CF03F" w:rsidR="0081325A" w:rsidRPr="00037321" w:rsidRDefault="0081325A" w:rsidP="0081325A">
    <w:pPr>
      <w:pStyle w:val="zyxClassification2"/>
      <w:rPr>
        <w:rFonts w:ascii="Times New Roman" w:hAnsi="Times New Roman" w:cs="Times New Roman"/>
        <w:sz w:val="20"/>
      </w:rPr>
    </w:pPr>
    <w:r w:rsidRPr="00037321">
      <w:rPr>
        <w:rFonts w:ascii="Times New Roman" w:hAnsi="Times New Roman" w:cs="Times New Roman"/>
        <w:sz w:val="20"/>
      </w:rPr>
      <w:fldChar w:fldCharType="begin"/>
    </w:r>
    <w:r w:rsidRPr="00037321">
      <w:rPr>
        <w:rFonts w:ascii="Times New Roman" w:hAnsi="Times New Roman" w:cs="Times New Roman"/>
        <w:sz w:val="20"/>
      </w:rPr>
      <w:instrText xml:space="preserve"> PAGE </w:instrText>
    </w:r>
    <w:r w:rsidRPr="00037321">
      <w:rPr>
        <w:rFonts w:ascii="Times New Roman" w:hAnsi="Times New Roman" w:cs="Times New Roman"/>
        <w:sz w:val="20"/>
      </w:rPr>
      <w:fldChar w:fldCharType="separate"/>
    </w:r>
    <w:r>
      <w:rPr>
        <w:rFonts w:ascii="Times New Roman" w:hAnsi="Times New Roman" w:cs="Times New Roman"/>
        <w:sz w:val="20"/>
      </w:rPr>
      <w:t>1</w:t>
    </w:r>
    <w:r w:rsidRPr="00037321">
      <w:rPr>
        <w:rFonts w:ascii="Times New Roman" w:hAnsi="Times New Roman" w:cs="Times New Roman"/>
        <w:sz w:val="20"/>
      </w:rPr>
      <w:fldChar w:fldCharType="end"/>
    </w:r>
    <w:r w:rsidRPr="00037321">
      <w:rPr>
        <w:rFonts w:ascii="Times New Roman" w:hAnsi="Times New Roman" w:cs="Times New Roman"/>
        <w:sz w:val="20"/>
      </w:rPr>
      <w:fldChar w:fldCharType="begin"/>
    </w:r>
    <w:r w:rsidRPr="00037321">
      <w:rPr>
        <w:rFonts w:ascii="Times New Roman" w:hAnsi="Times New Roman" w:cs="Times New Roman"/>
        <w:sz w:val="20"/>
      </w:rPr>
      <w:instrText>DOCPROPERTY "IaeaClassification2"  \* MERGEFORMAT</w:instrText>
    </w:r>
    <w:r w:rsidRPr="00037321">
      <w:rPr>
        <w:rFonts w:ascii="Times New Roman" w:hAnsi="Times New Roman" w:cs="Times New Roman"/>
        <w:sz w:val="20"/>
      </w:rPr>
      <w:fldChar w:fldCharType="end"/>
    </w:r>
  </w:p>
  <w:p w14:paraId="7E32AC2C" w14:textId="41A45240" w:rsidR="00E20E70" w:rsidRPr="00037321" w:rsidRDefault="00E20E70">
    <w:pPr>
      <w:pStyle w:val="zyxClassification2"/>
      <w:rPr>
        <w:rFonts w:ascii="Times New Roman" w:hAnsi="Times New Roman" w:cs="Times New Roman"/>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vertAnchor="page" w:horzAnchor="page" w:tblpX="1390" w:tblpY="15707"/>
      <w:tblOverlap w:val="never"/>
      <w:tblW w:w="10314" w:type="dxa"/>
      <w:tblLook w:val="0000" w:firstRow="0" w:lastRow="0" w:firstColumn="0" w:lastColumn="0" w:noHBand="0" w:noVBand="0"/>
    </w:tblPr>
    <w:tblGrid>
      <w:gridCol w:w="4644"/>
      <w:gridCol w:w="5670"/>
    </w:tblGrid>
    <w:tr w:rsidR="00E20E70" w14:paraId="2AC0DA17" w14:textId="77777777">
      <w:trPr>
        <w:cantSplit/>
      </w:trPr>
      <w:tc>
        <w:tcPr>
          <w:tcW w:w="4644" w:type="dxa"/>
        </w:tcPr>
        <w:p w14:paraId="6CFF9F49" w14:textId="0172A26A" w:rsidR="00E20E70" w:rsidRDefault="00E20E70">
          <w:pPr>
            <w:pStyle w:val="zyxDistribution"/>
            <w:framePr w:wrap="auto" w:vAnchor="margin" w:hAnchor="text" w:xAlign="left" w:yAlign="inline"/>
            <w:suppressOverlap w:val="0"/>
          </w:pPr>
        </w:p>
        <w:p w14:paraId="258EA1F7" w14:textId="573F31D8" w:rsidR="00E20E70" w:rsidRDefault="00E20E70">
          <w:pPr>
            <w:pStyle w:val="zyxSensitivity"/>
            <w:framePr w:wrap="auto" w:vAnchor="margin" w:hAnchor="text" w:xAlign="left" w:yAlign="inline"/>
            <w:suppressOverlap w:val="0"/>
          </w:pPr>
        </w:p>
      </w:tc>
      <w:tc>
        <w:tcPr>
          <w:tcW w:w="5670" w:type="dxa"/>
          <w:tcMar>
            <w:right w:w="249" w:type="dxa"/>
          </w:tcMar>
        </w:tcPr>
        <w:p w14:paraId="6BE850AD" w14:textId="6BACBAB6" w:rsidR="00E20E70" w:rsidRDefault="00E20E70">
          <w:pPr>
            <w:pStyle w:val="zyxConfidBlack"/>
            <w:framePr w:wrap="auto" w:vAnchor="margin" w:hAnchor="text" w:xAlign="left" w:yAlign="inline"/>
            <w:suppressOverlap w:val="0"/>
          </w:pPr>
          <w:bookmarkStart w:id="11" w:name="DOC_bkmClassification2"/>
        </w:p>
        <w:bookmarkEnd w:id="11"/>
        <w:p w14:paraId="4A6BF5C8" w14:textId="4D4577F5" w:rsidR="00E20E70" w:rsidRDefault="00E20E70">
          <w:pPr>
            <w:spacing w:after="20" w:line="220" w:lineRule="exact"/>
            <w:jc w:val="right"/>
            <w:rPr>
              <w:rFonts w:ascii="Arial" w:hAnsi="Arial" w:cs="Arial"/>
              <w:color w:val="FF0000"/>
            </w:rPr>
          </w:pPr>
        </w:p>
      </w:tc>
    </w:tr>
  </w:tbl>
  <w:p w14:paraId="437B756E" w14:textId="14A092E5" w:rsidR="00E20E70" w:rsidRDefault="00FF6F19">
    <w:bookmarkStart w:id="12" w:name="DOC_bkmFileName"/>
    <w:r>
      <w:rPr>
        <w:noProof/>
        <w:sz w:val="16"/>
      </w:rPr>
      <w:t>Conference Proceedings_Example paper.docx</w:t>
    </w:r>
    <w:bookmarkEnd w:id="1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8010D" w14:textId="77777777" w:rsidR="00593129" w:rsidRDefault="00593129">
      <w:r>
        <w:t>___________________________________________________________________________</w:t>
      </w:r>
    </w:p>
  </w:footnote>
  <w:footnote w:type="continuationSeparator" w:id="0">
    <w:p w14:paraId="6D72F0B0" w14:textId="77777777" w:rsidR="00593129" w:rsidRDefault="00593129">
      <w:r>
        <w:t>___________________________________________________________________________</w:t>
      </w:r>
    </w:p>
  </w:footnote>
  <w:footnote w:type="continuationNotice" w:id="1">
    <w:p w14:paraId="2A6AAE46" w14:textId="77777777" w:rsidR="00593129" w:rsidRDefault="0059312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F522D" w14:textId="31561DB2" w:rsidR="00CF7AF3" w:rsidRDefault="00CF7AF3" w:rsidP="00CF7AF3">
    <w:pPr>
      <w:pStyle w:val="Runninghead"/>
    </w:pPr>
    <w:r>
      <w:tab/>
    </w:r>
    <w:r w:rsidRPr="005D229A">
      <w:t>IAEA-CN-</w:t>
    </w:r>
    <w:r w:rsidR="00A37962" w:rsidRPr="005D229A">
      <w:t>374</w:t>
    </w:r>
    <w:r w:rsidRPr="005D229A">
      <w:t>/</w:t>
    </w:r>
    <w:r w:rsidR="008E30A8" w:rsidRPr="005D229A">
      <w:t>108</w:t>
    </w:r>
  </w:p>
  <w:p w14:paraId="4D70767E" w14:textId="77777777" w:rsidR="00CF7AF3" w:rsidRPr="009E1558" w:rsidRDefault="00CF7AF3" w:rsidP="00CF7AF3">
    <w:pPr>
      <w:jc w:val="center"/>
      <w:rPr>
        <w:color w:val="BFBFBF" w:themeColor="background1" w:themeShade="BF"/>
        <w:sz w:val="16"/>
        <w:szCs w:val="16"/>
      </w:rPr>
    </w:pPr>
    <w:r>
      <w:rPr>
        <w:color w:val="BFBFBF" w:themeColor="background1" w:themeShade="BF"/>
        <w:sz w:val="16"/>
        <w:szCs w:val="16"/>
      </w:rPr>
      <w:t>[Right</w:t>
    </w:r>
    <w:r w:rsidRPr="009E1558">
      <w:rPr>
        <w:color w:val="BFBFBF" w:themeColor="background1" w:themeShade="BF"/>
        <w:sz w:val="16"/>
        <w:szCs w:val="16"/>
      </w:rPr>
      <w:t xml:space="preserve"> hand page running head is</w:t>
    </w:r>
    <w:r>
      <w:rPr>
        <w:color w:val="BFBFBF" w:themeColor="background1" w:themeShade="BF"/>
        <w:sz w:val="16"/>
        <w:szCs w:val="16"/>
      </w:rPr>
      <w:t xml:space="preserve"> the</w:t>
    </w:r>
    <w:r w:rsidRPr="009E1558">
      <w:rPr>
        <w:color w:val="BFBFBF" w:themeColor="background1" w:themeShade="BF"/>
        <w:sz w:val="16"/>
        <w:szCs w:val="16"/>
      </w:rPr>
      <w:t xml:space="preserve"> </w:t>
    </w:r>
    <w:r>
      <w:rPr>
        <w:color w:val="BFBFBF" w:themeColor="background1" w:themeShade="BF"/>
        <w:sz w:val="16"/>
        <w:szCs w:val="16"/>
      </w:rPr>
      <w:t>paper number</w:t>
    </w:r>
    <w:r w:rsidRPr="009E1558">
      <w:rPr>
        <w:color w:val="BFBFBF" w:themeColor="background1" w:themeShade="BF"/>
        <w:sz w:val="16"/>
        <w:szCs w:val="16"/>
      </w:rPr>
      <w:t xml:space="preserve"> in Times New Roman 8 p</w:t>
    </w:r>
    <w:r>
      <w:rPr>
        <w:color w:val="BFBFBF" w:themeColor="background1" w:themeShade="BF"/>
        <w:sz w:val="16"/>
        <w:szCs w:val="16"/>
      </w:rPr>
      <w:t>oin</w:t>
    </w:r>
    <w:r w:rsidRPr="009E1558">
      <w:rPr>
        <w:color w:val="BFBFBF" w:themeColor="background1" w:themeShade="BF"/>
        <w:sz w:val="16"/>
        <w:szCs w:val="16"/>
      </w:rPr>
      <w:t>t bold capitals, centred</w:t>
    </w:r>
    <w:r w:rsidRPr="00AC5A3A">
      <w:rPr>
        <w:color w:val="BFBFBF" w:themeColor="background1" w:themeShade="BF"/>
        <w:sz w:val="16"/>
        <w:szCs w:val="16"/>
      </w:rPr>
      <w:t>]</w:t>
    </w:r>
  </w:p>
  <w:p w14:paraId="6E7E9A0F" w14:textId="18B87A12" w:rsidR="00E20E70" w:rsidRDefault="00CF7AF3" w:rsidP="00CF7AF3">
    <w:pPr>
      <w:pStyle w:val="zyxClassification1"/>
      <w:tabs>
        <w:tab w:val="left" w:pos="3956"/>
        <w:tab w:val="right" w:pos="9071"/>
      </w:tabs>
      <w:jc w:val="left"/>
    </w:pPr>
    <w:r>
      <w:tab/>
    </w:r>
  </w:p>
  <w:p w14:paraId="09E92CEF" w14:textId="58EFCBEB" w:rsidR="00E20E70" w:rsidRDefault="00E20E70">
    <w:pPr>
      <w:pStyle w:val="zyxClassification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9C4E1" w14:textId="336BD157" w:rsidR="00E20E70" w:rsidRDefault="00B76322" w:rsidP="00B82FA5">
    <w:pPr>
      <w:pStyle w:val="Runninghead"/>
    </w:pPr>
    <w:r w:rsidRPr="005D229A">
      <w:t>PANDAY</w:t>
    </w:r>
  </w:p>
  <w:p w14:paraId="2762EF17" w14:textId="77777777" w:rsidR="00037321" w:rsidRPr="009E1558" w:rsidRDefault="00B82FA5" w:rsidP="00037321">
    <w:pPr>
      <w:jc w:val="center"/>
      <w:rPr>
        <w:color w:val="BFBFBF" w:themeColor="background1" w:themeShade="BF"/>
        <w:sz w:val="16"/>
        <w:szCs w:val="16"/>
      </w:rPr>
    </w:pPr>
    <w:r>
      <w:rPr>
        <w:color w:val="BFBFBF" w:themeColor="background1" w:themeShade="BF"/>
        <w:sz w:val="16"/>
        <w:szCs w:val="16"/>
      </w:rPr>
      <w:t>[</w:t>
    </w:r>
    <w:r w:rsidR="00037321" w:rsidRPr="009E1558">
      <w:rPr>
        <w:color w:val="BFBFBF" w:themeColor="background1" w:themeShade="BF"/>
        <w:sz w:val="16"/>
        <w:szCs w:val="16"/>
      </w:rPr>
      <w:t>Left hand page running head is author’s name in Times New Roman 8 p</w:t>
    </w:r>
    <w:r w:rsidR="009E1558">
      <w:rPr>
        <w:color w:val="BFBFBF" w:themeColor="background1" w:themeShade="BF"/>
        <w:sz w:val="16"/>
        <w:szCs w:val="16"/>
      </w:rPr>
      <w:t>oin</w:t>
    </w:r>
    <w:r w:rsidR="00037321" w:rsidRPr="009E1558">
      <w:rPr>
        <w:color w:val="BFBFBF" w:themeColor="background1" w:themeShade="BF"/>
        <w:sz w:val="16"/>
        <w:szCs w:val="16"/>
      </w:rPr>
      <w:t>t bold capitals</w:t>
    </w:r>
    <w:r w:rsidR="009E1558" w:rsidRPr="009E1558">
      <w:rPr>
        <w:color w:val="BFBFBF" w:themeColor="background1" w:themeShade="BF"/>
        <w:sz w:val="16"/>
        <w:szCs w:val="16"/>
      </w:rPr>
      <w:t>, centred</w:t>
    </w:r>
    <w:r w:rsidR="00CF7AF3">
      <w:rPr>
        <w:color w:val="BFBFBF" w:themeColor="background1" w:themeShade="BF"/>
        <w:sz w:val="16"/>
        <w:szCs w:val="16"/>
      </w:rPr>
      <w:t>.</w:t>
    </w:r>
    <w:r w:rsidR="00AC5A3A">
      <w:rPr>
        <w:color w:val="BFBFBF" w:themeColor="background1" w:themeShade="BF"/>
        <w:sz w:val="16"/>
        <w:szCs w:val="16"/>
      </w:rPr>
      <w:t xml:space="preserve"> F</w:t>
    </w:r>
    <w:r w:rsidR="00037321" w:rsidRPr="009E1558">
      <w:rPr>
        <w:color w:val="BFBFBF" w:themeColor="background1" w:themeShade="BF"/>
        <w:sz w:val="16"/>
        <w:szCs w:val="16"/>
      </w:rPr>
      <w:t xml:space="preserve">or more </w:t>
    </w:r>
    <w:r w:rsidR="00AC5A3A">
      <w:rPr>
        <w:color w:val="BFBFBF" w:themeColor="background1" w:themeShade="BF"/>
        <w:sz w:val="16"/>
        <w:szCs w:val="16"/>
      </w:rPr>
      <w:t xml:space="preserve">than two </w:t>
    </w:r>
    <w:r w:rsidR="00037321" w:rsidRPr="009E1558">
      <w:rPr>
        <w:color w:val="BFBFBF" w:themeColor="background1" w:themeShade="BF"/>
        <w:sz w:val="16"/>
        <w:szCs w:val="16"/>
      </w:rPr>
      <w:t>authors</w:t>
    </w:r>
    <w:r w:rsidR="00AC5A3A">
      <w:rPr>
        <w:color w:val="BFBFBF" w:themeColor="background1" w:themeShade="BF"/>
        <w:sz w:val="16"/>
        <w:szCs w:val="16"/>
      </w:rPr>
      <w:t>,</w:t>
    </w:r>
    <w:r w:rsidR="00037321" w:rsidRPr="009E1558">
      <w:rPr>
        <w:color w:val="BFBFBF" w:themeColor="background1" w:themeShade="BF"/>
        <w:sz w:val="16"/>
        <w:szCs w:val="16"/>
      </w:rPr>
      <w:t xml:space="preserve"> write </w:t>
    </w:r>
    <w:r w:rsidR="00537496">
      <w:rPr>
        <w:b/>
        <w:color w:val="BFBFBF" w:themeColor="background1" w:themeShade="BF"/>
        <w:sz w:val="16"/>
        <w:szCs w:val="16"/>
      </w:rPr>
      <w:t>AUTHOR</w:t>
    </w:r>
    <w:r w:rsidR="00037321" w:rsidRPr="009E1558">
      <w:rPr>
        <w:b/>
        <w:color w:val="BFBFBF" w:themeColor="background1" w:themeShade="BF"/>
        <w:sz w:val="16"/>
        <w:szCs w:val="16"/>
      </w:rPr>
      <w:t xml:space="preserve"> et al.</w:t>
    </w:r>
    <w:r w:rsidRPr="00AC5A3A">
      <w:rPr>
        <w:color w:val="BFBFBF" w:themeColor="background1" w:themeShade="BF"/>
        <w:sz w:val="16"/>
        <w:szCs w:val="16"/>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vertAnchor="page" w:horzAnchor="page" w:tblpX="1333" w:tblpY="228"/>
      <w:tblOverlap w:val="never"/>
      <w:tblW w:w="10319" w:type="dxa"/>
      <w:tblLayout w:type="fixed"/>
      <w:tblLook w:val="0000" w:firstRow="0" w:lastRow="0" w:firstColumn="0" w:lastColumn="0" w:noHBand="0" w:noVBand="0"/>
    </w:tblPr>
    <w:tblGrid>
      <w:gridCol w:w="979"/>
      <w:gridCol w:w="3638"/>
      <w:gridCol w:w="5702"/>
    </w:tblGrid>
    <w:tr w:rsidR="00E20E70" w14:paraId="2C69EA9B" w14:textId="77777777">
      <w:trPr>
        <w:cantSplit/>
        <w:trHeight w:val="716"/>
      </w:trPr>
      <w:tc>
        <w:tcPr>
          <w:tcW w:w="979" w:type="dxa"/>
          <w:vMerge w:val="restart"/>
        </w:tcPr>
        <w:p w14:paraId="2A6ADF80" w14:textId="77777777" w:rsidR="00E20E70" w:rsidRDefault="00E20E70">
          <w:pPr>
            <w:spacing w:before="180"/>
            <w:ind w:left="17"/>
          </w:pPr>
        </w:p>
      </w:tc>
      <w:tc>
        <w:tcPr>
          <w:tcW w:w="3638" w:type="dxa"/>
          <w:vAlign w:val="bottom"/>
        </w:tcPr>
        <w:p w14:paraId="610CF310" w14:textId="77777777" w:rsidR="00E20E70" w:rsidRDefault="00E20E70">
          <w:pPr>
            <w:spacing w:after="20"/>
          </w:pPr>
        </w:p>
      </w:tc>
      <w:tc>
        <w:tcPr>
          <w:tcW w:w="5702" w:type="dxa"/>
          <w:vMerge w:val="restart"/>
          <w:tcMar>
            <w:right w:w="193" w:type="dxa"/>
          </w:tcMar>
        </w:tcPr>
        <w:p w14:paraId="48D5842E" w14:textId="65BC9385" w:rsidR="00E20E70" w:rsidRDefault="00E20E70">
          <w:pPr>
            <w:pStyle w:val="zyxConfidBlack"/>
            <w:framePr w:wrap="auto" w:vAnchor="margin" w:hAnchor="text" w:xAlign="left" w:yAlign="inline"/>
            <w:suppressOverlap w:val="0"/>
          </w:pPr>
          <w:bookmarkStart w:id="10" w:name="DOC_bkmClassification1"/>
        </w:p>
        <w:bookmarkEnd w:id="10"/>
        <w:p w14:paraId="423CAA9C" w14:textId="4809B93E" w:rsidR="00E20E70" w:rsidRDefault="00E20E70">
          <w:pPr>
            <w:pStyle w:val="zyxConfid2Red"/>
          </w:pPr>
        </w:p>
      </w:tc>
    </w:tr>
    <w:tr w:rsidR="00E20E70" w14:paraId="7130D945" w14:textId="77777777">
      <w:trPr>
        <w:cantSplit/>
        <w:trHeight w:val="167"/>
      </w:trPr>
      <w:tc>
        <w:tcPr>
          <w:tcW w:w="979" w:type="dxa"/>
          <w:vMerge/>
        </w:tcPr>
        <w:p w14:paraId="7659FE2B" w14:textId="77777777" w:rsidR="00E20E70" w:rsidRDefault="00E20E70">
          <w:pPr>
            <w:spacing w:before="57"/>
          </w:pPr>
        </w:p>
      </w:tc>
      <w:tc>
        <w:tcPr>
          <w:tcW w:w="3638" w:type="dxa"/>
          <w:vAlign w:val="bottom"/>
        </w:tcPr>
        <w:p w14:paraId="7578AADC" w14:textId="77777777" w:rsidR="00E20E70" w:rsidRDefault="00E20E70">
          <w:pPr>
            <w:pStyle w:val="Heading9"/>
            <w:spacing w:before="0" w:after="10"/>
          </w:pPr>
        </w:p>
      </w:tc>
      <w:tc>
        <w:tcPr>
          <w:tcW w:w="5702" w:type="dxa"/>
          <w:vMerge/>
          <w:vAlign w:val="bottom"/>
        </w:tcPr>
        <w:p w14:paraId="313FA1D9" w14:textId="77777777" w:rsidR="00E20E70" w:rsidRDefault="00E20E70">
          <w:pPr>
            <w:pStyle w:val="Heading9"/>
            <w:spacing w:before="0" w:after="10"/>
          </w:pPr>
        </w:p>
      </w:tc>
    </w:tr>
  </w:tbl>
  <w:p w14:paraId="7A0C2B4B" w14:textId="77777777" w:rsidR="00E20E70" w:rsidRDefault="00E20E7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71E86"/>
    <w:multiLevelType w:val="multilevel"/>
    <w:tmpl w:val="A08A77C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A24264"/>
    <w:multiLevelType w:val="multilevel"/>
    <w:tmpl w:val="F1EC865C"/>
    <w:lvl w:ilvl="0">
      <w:start w:val="1"/>
      <w:numFmt w:val="decimal"/>
      <w:pStyle w:val="AgendaList"/>
      <w:lvlText w:val="%1."/>
      <w:lvlJc w:val="left"/>
      <w:pPr>
        <w:tabs>
          <w:tab w:val="num" w:pos="459"/>
        </w:tabs>
        <w:ind w:left="45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919"/>
        </w:tabs>
        <w:ind w:left="91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378"/>
        </w:tabs>
        <w:ind w:left="1378" w:hanging="459"/>
      </w:pPr>
      <w:rPr>
        <w:rFonts w:asci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811"/>
        </w:tabs>
        <w:ind w:left="811" w:hanging="360"/>
      </w:pPr>
      <w:rPr>
        <w:rFonts w:hint="default"/>
      </w:rPr>
    </w:lvl>
    <w:lvl w:ilvl="4">
      <w:start w:val="1"/>
      <w:numFmt w:val="lowerLetter"/>
      <w:lvlText w:val="(%5)"/>
      <w:lvlJc w:val="left"/>
      <w:pPr>
        <w:tabs>
          <w:tab w:val="num" w:pos="1171"/>
        </w:tabs>
        <w:ind w:left="1171" w:hanging="360"/>
      </w:pPr>
      <w:rPr>
        <w:rFonts w:hint="default"/>
      </w:rPr>
    </w:lvl>
    <w:lvl w:ilvl="5">
      <w:start w:val="1"/>
      <w:numFmt w:val="lowerRoman"/>
      <w:lvlText w:val="(%6)"/>
      <w:lvlJc w:val="left"/>
      <w:pPr>
        <w:tabs>
          <w:tab w:val="num" w:pos="1531"/>
        </w:tabs>
        <w:ind w:left="1531" w:hanging="360"/>
      </w:pPr>
      <w:rPr>
        <w:rFonts w:hint="default"/>
      </w:rPr>
    </w:lvl>
    <w:lvl w:ilvl="6">
      <w:start w:val="1"/>
      <w:numFmt w:val="decimal"/>
      <w:lvlText w:val="%7."/>
      <w:lvlJc w:val="left"/>
      <w:pPr>
        <w:tabs>
          <w:tab w:val="num" w:pos="1891"/>
        </w:tabs>
        <w:ind w:left="1891" w:hanging="360"/>
      </w:pPr>
      <w:rPr>
        <w:rFonts w:hint="default"/>
      </w:rPr>
    </w:lvl>
    <w:lvl w:ilvl="7">
      <w:start w:val="1"/>
      <w:numFmt w:val="lowerLetter"/>
      <w:lvlText w:val="%8."/>
      <w:lvlJc w:val="left"/>
      <w:pPr>
        <w:tabs>
          <w:tab w:val="num" w:pos="2251"/>
        </w:tabs>
        <w:ind w:left="2251" w:hanging="360"/>
      </w:pPr>
      <w:rPr>
        <w:rFonts w:hint="default"/>
      </w:rPr>
    </w:lvl>
    <w:lvl w:ilvl="8">
      <w:start w:val="1"/>
      <w:numFmt w:val="lowerRoman"/>
      <w:lvlText w:val="%9."/>
      <w:lvlJc w:val="left"/>
      <w:pPr>
        <w:tabs>
          <w:tab w:val="num" w:pos="2611"/>
        </w:tabs>
        <w:ind w:left="2611" w:hanging="360"/>
      </w:pPr>
      <w:rPr>
        <w:rFonts w:hint="default"/>
      </w:rPr>
    </w:lvl>
  </w:abstractNum>
  <w:abstractNum w:abstractNumId="2" w15:restartNumberingAfterBreak="0">
    <w:nsid w:val="179F5671"/>
    <w:multiLevelType w:val="hybridMultilevel"/>
    <w:tmpl w:val="67246400"/>
    <w:name w:val="HeadingTemplate2"/>
    <w:lvl w:ilvl="0" w:tplc="EDCE82DC">
      <w:start w:val="1"/>
      <w:numFmt w:val="bullet"/>
      <w:pStyle w:val="ListEmdash"/>
      <w:lvlText w:val="—"/>
      <w:lvlJc w:val="left"/>
      <w:pPr>
        <w:ind w:left="1287" w:hanging="360"/>
      </w:pPr>
      <w:rPr>
        <w:rFonts w:ascii="Times New Roman" w:hAnsi="Times New Roman"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15:restartNumberingAfterBreak="0">
    <w:nsid w:val="1CE663AE"/>
    <w:multiLevelType w:val="hybridMultilevel"/>
    <w:tmpl w:val="2BB4F1C6"/>
    <w:name w:val="HeadingTemplate22"/>
    <w:lvl w:ilvl="0" w:tplc="DB862C6E">
      <w:start w:val="1"/>
      <w:numFmt w:val="lowerLetter"/>
      <w:pStyle w:val="ListNumbered"/>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583872"/>
    <w:multiLevelType w:val="hybridMultilevel"/>
    <w:tmpl w:val="3170DCCE"/>
    <w:lvl w:ilvl="0" w:tplc="3FF29240">
      <w:start w:val="1"/>
      <w:numFmt w:val="bullet"/>
      <w:pStyle w:val="BodyTextSummary"/>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0C540B8"/>
    <w:multiLevelType w:val="hybridMultilevel"/>
    <w:tmpl w:val="EA742534"/>
    <w:lvl w:ilvl="0" w:tplc="FF68CE92">
      <w:start w:val="1"/>
      <w:numFmt w:val="bullet"/>
      <w:pStyle w:val="ListBulleted"/>
      <w:lvlText w:val=""/>
      <w:lvlJc w:val="left"/>
      <w:pPr>
        <w:tabs>
          <w:tab w:val="num" w:pos="1179"/>
        </w:tabs>
        <w:ind w:left="1179" w:hanging="360"/>
      </w:pPr>
      <w:rPr>
        <w:rFonts w:ascii="Symbol" w:hAnsi="Symbol" w:hint="default"/>
      </w:rPr>
    </w:lvl>
    <w:lvl w:ilvl="1" w:tplc="04090003" w:tentative="1">
      <w:start w:val="1"/>
      <w:numFmt w:val="bullet"/>
      <w:lvlText w:val="o"/>
      <w:lvlJc w:val="left"/>
      <w:pPr>
        <w:tabs>
          <w:tab w:val="num" w:pos="1899"/>
        </w:tabs>
        <w:ind w:left="1899" w:hanging="360"/>
      </w:pPr>
      <w:rPr>
        <w:rFonts w:ascii="Courier New" w:hAnsi="Courier New" w:hint="default"/>
      </w:rPr>
    </w:lvl>
    <w:lvl w:ilvl="2" w:tplc="04090005" w:tentative="1">
      <w:start w:val="1"/>
      <w:numFmt w:val="bullet"/>
      <w:lvlText w:val=""/>
      <w:lvlJc w:val="left"/>
      <w:pPr>
        <w:tabs>
          <w:tab w:val="num" w:pos="2619"/>
        </w:tabs>
        <w:ind w:left="2619" w:hanging="360"/>
      </w:pPr>
      <w:rPr>
        <w:rFonts w:ascii="Wingdings" w:hAnsi="Wingdings" w:hint="default"/>
      </w:rPr>
    </w:lvl>
    <w:lvl w:ilvl="3" w:tplc="04090001" w:tentative="1">
      <w:start w:val="1"/>
      <w:numFmt w:val="bullet"/>
      <w:lvlText w:val=""/>
      <w:lvlJc w:val="left"/>
      <w:pPr>
        <w:tabs>
          <w:tab w:val="num" w:pos="3339"/>
        </w:tabs>
        <w:ind w:left="3339" w:hanging="360"/>
      </w:pPr>
      <w:rPr>
        <w:rFonts w:ascii="Symbol" w:hAnsi="Symbol" w:hint="default"/>
      </w:rPr>
    </w:lvl>
    <w:lvl w:ilvl="4" w:tplc="04090003" w:tentative="1">
      <w:start w:val="1"/>
      <w:numFmt w:val="bullet"/>
      <w:lvlText w:val="o"/>
      <w:lvlJc w:val="left"/>
      <w:pPr>
        <w:tabs>
          <w:tab w:val="num" w:pos="4059"/>
        </w:tabs>
        <w:ind w:left="4059" w:hanging="360"/>
      </w:pPr>
      <w:rPr>
        <w:rFonts w:ascii="Courier New" w:hAnsi="Courier New" w:hint="default"/>
      </w:rPr>
    </w:lvl>
    <w:lvl w:ilvl="5" w:tplc="04090005" w:tentative="1">
      <w:start w:val="1"/>
      <w:numFmt w:val="bullet"/>
      <w:lvlText w:val=""/>
      <w:lvlJc w:val="left"/>
      <w:pPr>
        <w:tabs>
          <w:tab w:val="num" w:pos="4779"/>
        </w:tabs>
        <w:ind w:left="4779" w:hanging="360"/>
      </w:pPr>
      <w:rPr>
        <w:rFonts w:ascii="Wingdings" w:hAnsi="Wingdings" w:hint="default"/>
      </w:rPr>
    </w:lvl>
    <w:lvl w:ilvl="6" w:tplc="04090001" w:tentative="1">
      <w:start w:val="1"/>
      <w:numFmt w:val="bullet"/>
      <w:lvlText w:val=""/>
      <w:lvlJc w:val="left"/>
      <w:pPr>
        <w:tabs>
          <w:tab w:val="num" w:pos="5499"/>
        </w:tabs>
        <w:ind w:left="5499" w:hanging="360"/>
      </w:pPr>
      <w:rPr>
        <w:rFonts w:ascii="Symbol" w:hAnsi="Symbol" w:hint="default"/>
      </w:rPr>
    </w:lvl>
    <w:lvl w:ilvl="7" w:tplc="04090003" w:tentative="1">
      <w:start w:val="1"/>
      <w:numFmt w:val="bullet"/>
      <w:lvlText w:val="o"/>
      <w:lvlJc w:val="left"/>
      <w:pPr>
        <w:tabs>
          <w:tab w:val="num" w:pos="6219"/>
        </w:tabs>
        <w:ind w:left="6219" w:hanging="360"/>
      </w:pPr>
      <w:rPr>
        <w:rFonts w:ascii="Courier New" w:hAnsi="Courier New" w:hint="default"/>
      </w:rPr>
    </w:lvl>
    <w:lvl w:ilvl="8" w:tplc="04090005" w:tentative="1">
      <w:start w:val="1"/>
      <w:numFmt w:val="bullet"/>
      <w:lvlText w:val=""/>
      <w:lvlJc w:val="left"/>
      <w:pPr>
        <w:tabs>
          <w:tab w:val="num" w:pos="6939"/>
        </w:tabs>
        <w:ind w:left="6939" w:hanging="360"/>
      </w:pPr>
      <w:rPr>
        <w:rFonts w:ascii="Wingdings" w:hAnsi="Wingdings" w:hint="default"/>
      </w:rPr>
    </w:lvl>
  </w:abstractNum>
  <w:abstractNum w:abstractNumId="6" w15:restartNumberingAfterBreak="0">
    <w:nsid w:val="3D18048A"/>
    <w:multiLevelType w:val="hybridMultilevel"/>
    <w:tmpl w:val="1642268C"/>
    <w:name w:val="HeadingTemplate222"/>
    <w:lvl w:ilvl="0" w:tplc="309A0324">
      <w:start w:val="1"/>
      <w:numFmt w:val="decimal"/>
      <w:pStyle w:val="Reference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117250B"/>
    <w:multiLevelType w:val="multilevel"/>
    <w:tmpl w:val="CC8CC4DE"/>
    <w:name w:val="MultilevelTemplate"/>
    <w:lvl w:ilvl="0">
      <w:start w:val="1"/>
      <w:numFmt w:val="decimal"/>
      <w:lvlRestart w:val="0"/>
      <w:pStyle w:val="BodyTextMultiline"/>
      <w:lvlText w:val="%1."/>
      <w:lvlJc w:val="left"/>
      <w:pPr>
        <w:tabs>
          <w:tab w:val="num" w:pos="459"/>
        </w:tabs>
        <w:ind w:left="0" w:firstLine="0"/>
      </w:pPr>
    </w:lvl>
    <w:lvl w:ilvl="1">
      <w:start w:val="1"/>
      <w:numFmt w:val="decimal"/>
      <w:lvlText w:val="%1.%2."/>
      <w:lvlJc w:val="left"/>
      <w:pPr>
        <w:tabs>
          <w:tab w:val="num" w:pos="918"/>
        </w:tabs>
        <w:ind w:left="459" w:firstLine="0"/>
      </w:pPr>
    </w:lvl>
    <w:lvl w:ilvl="2">
      <w:start w:val="1"/>
      <w:numFmt w:val="decimal"/>
      <w:lvlText w:val="%1.%2.%3."/>
      <w:lvlJc w:val="left"/>
      <w:pPr>
        <w:tabs>
          <w:tab w:val="num" w:pos="1378"/>
        </w:tabs>
        <w:ind w:left="918" w:firstLine="0"/>
      </w:pPr>
    </w:lvl>
    <w:lvl w:ilvl="3">
      <w:start w:val="1"/>
      <w:numFmt w:val="decimal"/>
      <w:lvlText w:val="%1.%2.%3.%4."/>
      <w:lvlJc w:val="left"/>
      <w:pPr>
        <w:tabs>
          <w:tab w:val="num" w:pos="1837"/>
        </w:tabs>
        <w:ind w:left="1378" w:firstLine="0"/>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8" w15:restartNumberingAfterBreak="0">
    <w:nsid w:val="59EA217A"/>
    <w:multiLevelType w:val="hybridMultilevel"/>
    <w:tmpl w:val="7DCEBCBE"/>
    <w:lvl w:ilvl="0" w:tplc="C1DCCBEE">
      <w:start w:val="1"/>
      <w:numFmt w:val="bullet"/>
      <w:lvlText w:val="-"/>
      <w:lvlJc w:val="left"/>
      <w:pPr>
        <w:tabs>
          <w:tab w:val="num" w:pos="919"/>
        </w:tabs>
        <w:ind w:left="919" w:hanging="460"/>
      </w:pPr>
      <w:rPr>
        <w:rFonts w:ascii="Times New Roman" w:hAns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E8252C9"/>
    <w:multiLevelType w:val="hybridMultilevel"/>
    <w:tmpl w:val="B43A93BA"/>
    <w:lvl w:ilvl="0" w:tplc="CFBE2F4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FD51093"/>
    <w:multiLevelType w:val="multilevel"/>
    <w:tmpl w:val="D8FA943C"/>
    <w:lvl w:ilvl="0">
      <w:start w:val="1"/>
      <w:numFmt w:val="none"/>
      <w:lvlRestart w:val="0"/>
      <w:lvlText w:val=""/>
      <w:lvlJc w:val="left"/>
      <w:pPr>
        <w:tabs>
          <w:tab w:val="num" w:pos="459"/>
        </w:tabs>
        <w:ind w:left="0" w:firstLine="0"/>
      </w:pPr>
      <w:rPr>
        <w:rFonts w:hint="default"/>
      </w:rPr>
    </w:lvl>
    <w:lvl w:ilvl="1">
      <w:start w:val="1"/>
      <w:numFmt w:val="decimal"/>
      <w:lvlRestart w:val="0"/>
      <w:pStyle w:val="Heading2"/>
      <w:suff w:val="space"/>
      <w:lvlText w:val="%1%2."/>
      <w:lvlJc w:val="left"/>
      <w:pPr>
        <w:ind w:left="0" w:firstLine="0"/>
      </w:pPr>
      <w:rPr>
        <w:rFonts w:hint="default"/>
        <w:color w:val="auto"/>
      </w:rPr>
    </w:lvl>
    <w:lvl w:ilvl="2">
      <w:start w:val="1"/>
      <w:numFmt w:val="decimal"/>
      <w:lvlRestart w:val="0"/>
      <w:pStyle w:val="Heading3"/>
      <w:lvlText w:val="%1%2.%3."/>
      <w:lvlJc w:val="left"/>
      <w:pPr>
        <w:ind w:left="0" w:firstLine="0"/>
      </w:pPr>
      <w:rPr>
        <w:rFonts w:hint="default"/>
      </w:rPr>
    </w:lvl>
    <w:lvl w:ilvl="3">
      <w:start w:val="1"/>
      <w:numFmt w:val="decimal"/>
      <w:lvlRestart w:val="0"/>
      <w:pStyle w:val="Heading4"/>
      <w:lvlText w:val="%2.%3.%4."/>
      <w:lvlJc w:val="left"/>
      <w:pPr>
        <w:ind w:left="1701" w:firstLine="0"/>
      </w:pPr>
      <w:rPr>
        <w:rFonts w:hint="default"/>
      </w:rPr>
    </w:lvl>
    <w:lvl w:ilvl="4">
      <w:start w:val="1"/>
      <w:numFmt w:val="lowerLetter"/>
      <w:lvlRestart w:val="0"/>
      <w:lvlText w:val="%1(%5)"/>
      <w:lvlJc w:val="left"/>
      <w:pPr>
        <w:tabs>
          <w:tab w:val="num" w:pos="3345"/>
        </w:tabs>
        <w:ind w:left="2268" w:firstLine="0"/>
      </w:pPr>
      <w:rPr>
        <w:rFonts w:hint="default"/>
        <w:sz w:val="20"/>
      </w:rPr>
    </w:lvl>
    <w:lvl w:ilvl="5">
      <w:start w:val="1"/>
      <w:numFmt w:val="decimal"/>
      <w:lvlText w:val="%1.%2.%3.%4.%5.%6"/>
      <w:lvlJc w:val="left"/>
      <w:pPr>
        <w:tabs>
          <w:tab w:val="num" w:pos="3912"/>
        </w:tabs>
        <w:ind w:left="2835" w:firstLine="0"/>
      </w:pPr>
      <w:rPr>
        <w:rFonts w:hint="default"/>
      </w:rPr>
    </w:lvl>
    <w:lvl w:ilvl="6">
      <w:start w:val="1"/>
      <w:numFmt w:val="decimal"/>
      <w:lvlText w:val="%1.%2.%3.%4.%5.%6.%7"/>
      <w:lvlJc w:val="left"/>
      <w:pPr>
        <w:tabs>
          <w:tab w:val="num" w:pos="2432"/>
        </w:tabs>
        <w:ind w:left="2432" w:hanging="1298"/>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6"/>
        </w:tabs>
        <w:ind w:left="2716" w:hanging="1582"/>
      </w:pPr>
      <w:rPr>
        <w:rFonts w:hint="default"/>
      </w:rPr>
    </w:lvl>
  </w:abstractNum>
  <w:abstractNum w:abstractNumId="11" w15:restartNumberingAfterBreak="0">
    <w:nsid w:val="7665634F"/>
    <w:multiLevelType w:val="hybridMultilevel"/>
    <w:tmpl w:val="34482B46"/>
    <w:lvl w:ilvl="0" w:tplc="4A587E7C">
      <w:start w:val="1"/>
      <w:numFmt w:val="decimal"/>
      <w:lvlText w:val="%1."/>
      <w:lvlJc w:val="left"/>
      <w:pPr>
        <w:tabs>
          <w:tab w:val="num" w:pos="919"/>
        </w:tabs>
        <w:ind w:left="919" w:hanging="460"/>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248319018">
    <w:abstractNumId w:val="7"/>
  </w:num>
  <w:num w:numId="2" w16cid:durableId="368800196">
    <w:abstractNumId w:val="4"/>
  </w:num>
  <w:num w:numId="3" w16cid:durableId="1248270413">
    <w:abstractNumId w:val="10"/>
  </w:num>
  <w:num w:numId="4" w16cid:durableId="1311516796">
    <w:abstractNumId w:val="10"/>
  </w:num>
  <w:num w:numId="5" w16cid:durableId="1466849741">
    <w:abstractNumId w:val="10"/>
  </w:num>
  <w:num w:numId="6" w16cid:durableId="1867938367">
    <w:abstractNumId w:val="5"/>
  </w:num>
  <w:num w:numId="7" w16cid:durableId="1398362034">
    <w:abstractNumId w:val="8"/>
  </w:num>
  <w:num w:numId="8" w16cid:durableId="610624857">
    <w:abstractNumId w:val="11"/>
  </w:num>
  <w:num w:numId="9" w16cid:durableId="1781683312">
    <w:abstractNumId w:val="1"/>
  </w:num>
  <w:num w:numId="10" w16cid:durableId="46226841">
    <w:abstractNumId w:val="10"/>
    <w:lvlOverride w:ilvl="0">
      <w:lvl w:ilvl="0">
        <w:start w:val="1"/>
        <w:numFmt w:val="none"/>
        <w:lvlRestart w:val="0"/>
        <w:lvlText w:val=""/>
        <w:lvlJc w:val="left"/>
        <w:pPr>
          <w:tabs>
            <w:tab w:val="num" w:pos="459"/>
          </w:tabs>
          <w:ind w:left="0" w:firstLine="0"/>
        </w:pPr>
        <w:rPr>
          <w:rFonts w:hint="default"/>
        </w:rPr>
      </w:lvl>
    </w:lvlOverride>
    <w:lvlOverride w:ilvl="1">
      <w:lvl w:ilvl="1">
        <w:start w:val="1"/>
        <w:numFmt w:val="decimal"/>
        <w:lvlRestart w:val="0"/>
        <w:pStyle w:val="Heading2"/>
        <w:lvlText w:val="%1%2."/>
        <w:lvlJc w:val="left"/>
        <w:pPr>
          <w:ind w:left="0" w:firstLine="0"/>
        </w:pPr>
        <w:rPr>
          <w:rFonts w:hint="default"/>
          <w:color w:val="auto"/>
        </w:rPr>
      </w:lvl>
    </w:lvlOverride>
    <w:lvlOverride w:ilvl="2">
      <w:lvl w:ilvl="2">
        <w:start w:val="1"/>
        <w:numFmt w:val="decimal"/>
        <w:lvlRestart w:val="0"/>
        <w:pStyle w:val="Heading3"/>
        <w:lvlText w:val="%1%2.%3."/>
        <w:lvlJc w:val="left"/>
        <w:pPr>
          <w:ind w:left="0" w:firstLine="0"/>
        </w:pPr>
        <w:rPr>
          <w:rFonts w:hint="default"/>
        </w:rPr>
      </w:lvl>
    </w:lvlOverride>
    <w:lvlOverride w:ilvl="3">
      <w:lvl w:ilvl="3">
        <w:start w:val="1"/>
        <w:numFmt w:val="none"/>
        <w:lvlRestart w:val="0"/>
        <w:pStyle w:val="Heading4"/>
        <w:lvlText w:val=""/>
        <w:lvlJc w:val="left"/>
        <w:pPr>
          <w:tabs>
            <w:tab w:val="num" w:pos="2058"/>
          </w:tabs>
          <w:ind w:left="1701" w:firstLine="0"/>
        </w:pPr>
        <w:rPr>
          <w:rFonts w:hint="default"/>
        </w:rPr>
      </w:lvl>
    </w:lvlOverride>
    <w:lvlOverride w:ilvl="4">
      <w:lvl w:ilvl="4">
        <w:start w:val="1"/>
        <w:numFmt w:val="lowerLetter"/>
        <w:lvlRestart w:val="0"/>
        <w:lvlText w:val="%1(%5)"/>
        <w:lvlJc w:val="left"/>
        <w:pPr>
          <w:tabs>
            <w:tab w:val="num" w:pos="3345"/>
          </w:tabs>
          <w:ind w:left="2268" w:firstLine="0"/>
        </w:pPr>
        <w:rPr>
          <w:rFonts w:hint="default"/>
          <w:sz w:val="20"/>
        </w:rPr>
      </w:lvl>
    </w:lvlOverride>
    <w:lvlOverride w:ilvl="5">
      <w:lvl w:ilvl="5">
        <w:start w:val="1"/>
        <w:numFmt w:val="decimal"/>
        <w:lvlText w:val="%1.%2.%3.%4.%5.%6"/>
        <w:lvlJc w:val="left"/>
        <w:pPr>
          <w:tabs>
            <w:tab w:val="num" w:pos="3912"/>
          </w:tabs>
          <w:ind w:left="2835" w:firstLine="0"/>
        </w:pPr>
        <w:rPr>
          <w:rFonts w:hint="default"/>
        </w:rPr>
      </w:lvl>
    </w:lvlOverride>
    <w:lvlOverride w:ilvl="6">
      <w:lvl w:ilvl="6">
        <w:start w:val="1"/>
        <w:numFmt w:val="decimal"/>
        <w:lvlText w:val="%1.%2.%3.%4.%5.%6.%7"/>
        <w:lvlJc w:val="left"/>
        <w:pPr>
          <w:tabs>
            <w:tab w:val="num" w:pos="2432"/>
          </w:tabs>
          <w:ind w:left="2432" w:hanging="1298"/>
        </w:pPr>
        <w:rPr>
          <w:rFonts w:hint="default"/>
        </w:rPr>
      </w:lvl>
    </w:lvlOverride>
    <w:lvlOverride w:ilvl="7">
      <w:lvl w:ilvl="7">
        <w:start w:val="1"/>
        <w:numFmt w:val="decimal"/>
        <w:lvlText w:val="%1.%2.%3.%4.%5.%6.%7.%8"/>
        <w:lvlJc w:val="left"/>
        <w:pPr>
          <w:tabs>
            <w:tab w:val="num" w:pos="2574"/>
          </w:tabs>
          <w:ind w:left="2574" w:hanging="1440"/>
        </w:pPr>
        <w:rPr>
          <w:rFonts w:hint="default"/>
        </w:rPr>
      </w:lvl>
    </w:lvlOverride>
    <w:lvlOverride w:ilvl="8">
      <w:lvl w:ilvl="8">
        <w:start w:val="1"/>
        <w:numFmt w:val="decimal"/>
        <w:lvlText w:val="%1.%2.%3.%4.%5.%6.%7.%8.%9"/>
        <w:lvlJc w:val="left"/>
        <w:pPr>
          <w:tabs>
            <w:tab w:val="num" w:pos="2716"/>
          </w:tabs>
          <w:ind w:left="2716" w:hanging="1582"/>
        </w:pPr>
        <w:rPr>
          <w:rFonts w:hint="default"/>
        </w:rPr>
      </w:lvl>
    </w:lvlOverride>
  </w:num>
  <w:num w:numId="11" w16cid:durableId="141697357">
    <w:abstractNumId w:val="10"/>
  </w:num>
  <w:num w:numId="12" w16cid:durableId="686518261">
    <w:abstractNumId w:val="10"/>
  </w:num>
  <w:num w:numId="13" w16cid:durableId="392386766">
    <w:abstractNumId w:val="10"/>
  </w:num>
  <w:num w:numId="14" w16cid:durableId="1000818805">
    <w:abstractNumId w:val="10"/>
    <w:lvlOverride w:ilvl="0">
      <w:lvl w:ilvl="0">
        <w:start w:val="1"/>
        <w:numFmt w:val="none"/>
        <w:lvlRestart w:val="0"/>
        <w:lvlText w:val=""/>
        <w:lvlJc w:val="left"/>
        <w:pPr>
          <w:tabs>
            <w:tab w:val="num" w:pos="459"/>
          </w:tabs>
          <w:ind w:left="0" w:firstLine="0"/>
        </w:pPr>
        <w:rPr>
          <w:rFonts w:hint="default"/>
        </w:rPr>
      </w:lvl>
    </w:lvlOverride>
    <w:lvlOverride w:ilvl="1">
      <w:lvl w:ilvl="1">
        <w:start w:val="1"/>
        <w:numFmt w:val="decimal"/>
        <w:lvlRestart w:val="0"/>
        <w:pStyle w:val="Heading2"/>
        <w:suff w:val="space"/>
        <w:lvlText w:val="%1%2."/>
        <w:lvlJc w:val="left"/>
        <w:pPr>
          <w:ind w:left="0" w:firstLine="0"/>
        </w:pPr>
        <w:rPr>
          <w:rFonts w:hint="default"/>
          <w:color w:val="auto"/>
        </w:rPr>
      </w:lvl>
    </w:lvlOverride>
    <w:lvlOverride w:ilvl="2">
      <w:lvl w:ilvl="2">
        <w:start w:val="1"/>
        <w:numFmt w:val="decimal"/>
        <w:lvlRestart w:val="0"/>
        <w:pStyle w:val="Heading3"/>
        <w:suff w:val="space"/>
        <w:lvlText w:val="%1%2.%3."/>
        <w:lvlJc w:val="left"/>
        <w:pPr>
          <w:ind w:left="0" w:firstLine="0"/>
        </w:pPr>
        <w:rPr>
          <w:rFonts w:hint="default"/>
        </w:rPr>
      </w:lvl>
    </w:lvlOverride>
    <w:lvlOverride w:ilvl="3">
      <w:lvl w:ilvl="3">
        <w:start w:val="1"/>
        <w:numFmt w:val="decimal"/>
        <w:lvlRestart w:val="0"/>
        <w:pStyle w:val="Heading4"/>
        <w:lvlText w:val="%2.%3.%4"/>
        <w:lvlJc w:val="left"/>
        <w:pPr>
          <w:tabs>
            <w:tab w:val="num" w:pos="2058"/>
          </w:tabs>
          <w:ind w:left="1701" w:firstLine="0"/>
        </w:pPr>
        <w:rPr>
          <w:rFonts w:hint="default"/>
        </w:rPr>
      </w:lvl>
    </w:lvlOverride>
    <w:lvlOverride w:ilvl="4">
      <w:lvl w:ilvl="4">
        <w:start w:val="1"/>
        <w:numFmt w:val="lowerLetter"/>
        <w:lvlRestart w:val="0"/>
        <w:lvlText w:val="%1(%5)"/>
        <w:lvlJc w:val="left"/>
        <w:pPr>
          <w:tabs>
            <w:tab w:val="num" w:pos="3345"/>
          </w:tabs>
          <w:ind w:left="2268" w:firstLine="0"/>
        </w:pPr>
        <w:rPr>
          <w:rFonts w:hint="default"/>
          <w:sz w:val="20"/>
        </w:rPr>
      </w:lvl>
    </w:lvlOverride>
    <w:lvlOverride w:ilvl="5">
      <w:lvl w:ilvl="5">
        <w:start w:val="1"/>
        <w:numFmt w:val="decimal"/>
        <w:lvlText w:val="%1.%2.%3.%4.%5.%6"/>
        <w:lvlJc w:val="left"/>
        <w:pPr>
          <w:tabs>
            <w:tab w:val="num" w:pos="3912"/>
          </w:tabs>
          <w:ind w:left="2835" w:firstLine="0"/>
        </w:pPr>
        <w:rPr>
          <w:rFonts w:hint="default"/>
        </w:rPr>
      </w:lvl>
    </w:lvlOverride>
    <w:lvlOverride w:ilvl="6">
      <w:lvl w:ilvl="6">
        <w:start w:val="1"/>
        <w:numFmt w:val="decimal"/>
        <w:lvlText w:val="%1.%2.%3.%4.%5.%6.%7"/>
        <w:lvlJc w:val="left"/>
        <w:pPr>
          <w:tabs>
            <w:tab w:val="num" w:pos="2432"/>
          </w:tabs>
          <w:ind w:left="2432" w:hanging="1298"/>
        </w:pPr>
        <w:rPr>
          <w:rFonts w:hint="default"/>
        </w:rPr>
      </w:lvl>
    </w:lvlOverride>
    <w:lvlOverride w:ilvl="7">
      <w:lvl w:ilvl="7">
        <w:start w:val="1"/>
        <w:numFmt w:val="decimal"/>
        <w:lvlText w:val="%1.%2.%3.%4.%5.%6.%7.%8"/>
        <w:lvlJc w:val="left"/>
        <w:pPr>
          <w:tabs>
            <w:tab w:val="num" w:pos="2574"/>
          </w:tabs>
          <w:ind w:left="2574" w:hanging="1440"/>
        </w:pPr>
        <w:rPr>
          <w:rFonts w:hint="default"/>
        </w:rPr>
      </w:lvl>
    </w:lvlOverride>
    <w:lvlOverride w:ilvl="8">
      <w:lvl w:ilvl="8">
        <w:start w:val="1"/>
        <w:numFmt w:val="decimal"/>
        <w:lvlText w:val="%1.%2.%3.%4.%5.%6.%7.%8.%9"/>
        <w:lvlJc w:val="left"/>
        <w:pPr>
          <w:tabs>
            <w:tab w:val="num" w:pos="2716"/>
          </w:tabs>
          <w:ind w:left="2716" w:hanging="1582"/>
        </w:pPr>
        <w:rPr>
          <w:rFonts w:hint="default"/>
        </w:rPr>
      </w:lvl>
    </w:lvlOverride>
  </w:num>
  <w:num w:numId="15" w16cid:durableId="215094626">
    <w:abstractNumId w:val="10"/>
  </w:num>
  <w:num w:numId="16" w16cid:durableId="932470615">
    <w:abstractNumId w:val="10"/>
  </w:num>
  <w:num w:numId="17" w16cid:durableId="1045330223">
    <w:abstractNumId w:val="10"/>
  </w:num>
  <w:num w:numId="18" w16cid:durableId="162156636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78949329">
    <w:abstractNumId w:val="10"/>
  </w:num>
  <w:num w:numId="20" w16cid:durableId="513687094">
    <w:abstractNumId w:val="2"/>
  </w:num>
  <w:num w:numId="21" w16cid:durableId="1217593701">
    <w:abstractNumId w:val="10"/>
  </w:num>
  <w:num w:numId="22" w16cid:durableId="536351981">
    <w:abstractNumId w:val="3"/>
  </w:num>
  <w:num w:numId="23" w16cid:durableId="913127525">
    <w:abstractNumId w:val="0"/>
  </w:num>
  <w:num w:numId="24" w16cid:durableId="1878657027">
    <w:abstractNumId w:val="9"/>
  </w:num>
  <w:num w:numId="25" w16cid:durableId="582107321">
    <w:abstractNumId w:val="10"/>
  </w:num>
  <w:num w:numId="26" w16cid:durableId="944383394">
    <w:abstractNumId w:val="10"/>
  </w:num>
  <w:num w:numId="27" w16cid:durableId="1481536284">
    <w:abstractNumId w:val="10"/>
  </w:num>
  <w:num w:numId="28" w16cid:durableId="711926585">
    <w:abstractNumId w:val="10"/>
  </w:num>
  <w:num w:numId="29" w16cid:durableId="1394087168">
    <w:abstractNumId w:val="10"/>
  </w:num>
  <w:num w:numId="30" w16cid:durableId="1138032682">
    <w:abstractNumId w:val="6"/>
  </w:num>
  <w:num w:numId="31" w16cid:durableId="1700814896">
    <w:abstractNumId w:val="6"/>
  </w:num>
  <w:num w:numId="32" w16cid:durableId="2145924039">
    <w:abstractNumId w:val="10"/>
  </w:num>
  <w:num w:numId="33" w16cid:durableId="158353396">
    <w:abstractNumId w:val="10"/>
    <w:lvlOverride w:ilvl="0">
      <w:lvl w:ilvl="0">
        <w:start w:val="1"/>
        <w:numFmt w:val="none"/>
        <w:lvlRestart w:val="0"/>
        <w:lvlText w:val=""/>
        <w:lvlJc w:val="left"/>
        <w:pPr>
          <w:tabs>
            <w:tab w:val="num" w:pos="459"/>
          </w:tabs>
          <w:ind w:left="0" w:firstLine="0"/>
        </w:pPr>
        <w:rPr>
          <w:rFonts w:hint="default"/>
        </w:rPr>
      </w:lvl>
    </w:lvlOverride>
    <w:lvlOverride w:ilvl="1">
      <w:lvl w:ilvl="1">
        <w:start w:val="1"/>
        <w:numFmt w:val="decimal"/>
        <w:lvlRestart w:val="0"/>
        <w:pStyle w:val="Heading2"/>
        <w:suff w:val="space"/>
        <w:lvlText w:val="%1%2."/>
        <w:lvlJc w:val="left"/>
        <w:pPr>
          <w:ind w:left="0" w:firstLine="0"/>
        </w:pPr>
        <w:rPr>
          <w:rFonts w:hint="default"/>
          <w:color w:val="auto"/>
        </w:rPr>
      </w:lvl>
    </w:lvlOverride>
    <w:lvlOverride w:ilvl="2">
      <w:lvl w:ilvl="2">
        <w:start w:val="1"/>
        <w:numFmt w:val="decimal"/>
        <w:lvlRestart w:val="0"/>
        <w:pStyle w:val="Heading3"/>
        <w:lvlText w:val="%1%2.%3."/>
        <w:lvlJc w:val="left"/>
        <w:pPr>
          <w:ind w:left="0" w:firstLine="0"/>
        </w:pPr>
        <w:rPr>
          <w:rFonts w:hint="default"/>
        </w:rPr>
      </w:lvl>
    </w:lvlOverride>
    <w:lvlOverride w:ilvl="3">
      <w:lvl w:ilvl="3">
        <w:start w:val="1"/>
        <w:numFmt w:val="decimal"/>
        <w:lvlRestart w:val="0"/>
        <w:pStyle w:val="Heading4"/>
        <w:lvlText w:val="%2.%3.%4."/>
        <w:lvlJc w:val="left"/>
        <w:pPr>
          <w:ind w:left="1701" w:firstLine="0"/>
        </w:pPr>
        <w:rPr>
          <w:rFonts w:hint="default"/>
        </w:rPr>
      </w:lvl>
    </w:lvlOverride>
    <w:lvlOverride w:ilvl="4">
      <w:lvl w:ilvl="4">
        <w:start w:val="1"/>
        <w:numFmt w:val="lowerLetter"/>
        <w:lvlRestart w:val="0"/>
        <w:lvlText w:val="%1(%5)"/>
        <w:lvlJc w:val="left"/>
        <w:pPr>
          <w:tabs>
            <w:tab w:val="num" w:pos="3345"/>
          </w:tabs>
          <w:ind w:left="2268" w:firstLine="0"/>
        </w:pPr>
        <w:rPr>
          <w:rFonts w:hint="default"/>
          <w:sz w:val="20"/>
        </w:rPr>
      </w:lvl>
    </w:lvlOverride>
    <w:lvlOverride w:ilvl="5">
      <w:lvl w:ilvl="5">
        <w:start w:val="1"/>
        <w:numFmt w:val="decimal"/>
        <w:lvlText w:val="%1.%2.%3.%4.%5.%6"/>
        <w:lvlJc w:val="left"/>
        <w:pPr>
          <w:tabs>
            <w:tab w:val="num" w:pos="3912"/>
          </w:tabs>
          <w:ind w:left="2835" w:firstLine="0"/>
        </w:pPr>
        <w:rPr>
          <w:rFonts w:hint="default"/>
        </w:rPr>
      </w:lvl>
    </w:lvlOverride>
    <w:lvlOverride w:ilvl="6">
      <w:lvl w:ilvl="6">
        <w:start w:val="1"/>
        <w:numFmt w:val="decimal"/>
        <w:lvlText w:val="%1.%2.%3.%4.%5.%6.%7"/>
        <w:lvlJc w:val="left"/>
        <w:pPr>
          <w:tabs>
            <w:tab w:val="num" w:pos="2432"/>
          </w:tabs>
          <w:ind w:left="2432" w:hanging="1298"/>
        </w:pPr>
        <w:rPr>
          <w:rFonts w:hint="default"/>
        </w:rPr>
      </w:lvl>
    </w:lvlOverride>
    <w:lvlOverride w:ilvl="7">
      <w:lvl w:ilvl="7">
        <w:start w:val="1"/>
        <w:numFmt w:val="decimal"/>
        <w:lvlText w:val="%1.%2.%3.%4.%5.%6.%7.%8"/>
        <w:lvlJc w:val="left"/>
        <w:pPr>
          <w:tabs>
            <w:tab w:val="num" w:pos="2574"/>
          </w:tabs>
          <w:ind w:left="2574" w:hanging="1440"/>
        </w:pPr>
        <w:rPr>
          <w:rFonts w:hint="default"/>
        </w:rPr>
      </w:lvl>
    </w:lvlOverride>
    <w:lvlOverride w:ilvl="8">
      <w:lvl w:ilvl="8">
        <w:start w:val="1"/>
        <w:numFmt w:val="decimal"/>
        <w:lvlText w:val="%1.%2.%3.%4.%5.%6.%7.%8.%9"/>
        <w:lvlJc w:val="left"/>
        <w:pPr>
          <w:tabs>
            <w:tab w:val="num" w:pos="2716"/>
          </w:tabs>
          <w:ind w:left="2716" w:hanging="1582"/>
        </w:pPr>
        <w:rPr>
          <w:rFonts w:hint="default"/>
        </w:rPr>
      </w:lvl>
    </w:lvlOverride>
  </w:num>
  <w:num w:numId="34" w16cid:durableId="1773670180">
    <w:abstractNumId w:val="10"/>
    <w:lvlOverride w:ilvl="0">
      <w:startOverride w:val="1"/>
      <w:lvl w:ilvl="0">
        <w:start w:val="1"/>
        <w:numFmt w:val="none"/>
        <w:lvlRestart w:val="0"/>
        <w:lvlText w:val=""/>
        <w:lvlJc w:val="left"/>
        <w:pPr>
          <w:tabs>
            <w:tab w:val="num" w:pos="459"/>
          </w:tabs>
          <w:ind w:left="0" w:firstLine="0"/>
        </w:pPr>
        <w:rPr>
          <w:rFonts w:hint="default"/>
        </w:rPr>
      </w:lvl>
    </w:lvlOverride>
    <w:lvlOverride w:ilvl="1">
      <w:startOverride w:val="1"/>
      <w:lvl w:ilvl="1">
        <w:start w:val="1"/>
        <w:numFmt w:val="decimal"/>
        <w:lvlRestart w:val="0"/>
        <w:pStyle w:val="Heading2"/>
        <w:suff w:val="space"/>
        <w:lvlText w:val="%1%2."/>
        <w:lvlJc w:val="left"/>
        <w:pPr>
          <w:ind w:left="0" w:firstLine="0"/>
        </w:pPr>
        <w:rPr>
          <w:rFonts w:hint="default"/>
          <w:color w:val="auto"/>
        </w:rPr>
      </w:lvl>
    </w:lvlOverride>
    <w:lvlOverride w:ilvl="2">
      <w:startOverride w:val="1"/>
      <w:lvl w:ilvl="2">
        <w:start w:val="1"/>
        <w:numFmt w:val="decimal"/>
        <w:lvlRestart w:val="0"/>
        <w:pStyle w:val="Heading3"/>
        <w:lvlText w:val="%1%2.%3."/>
        <w:lvlJc w:val="left"/>
        <w:pPr>
          <w:ind w:left="0" w:firstLine="0"/>
        </w:pPr>
        <w:rPr>
          <w:rFonts w:hint="default"/>
        </w:rPr>
      </w:lvl>
    </w:lvlOverride>
    <w:lvlOverride w:ilvl="3">
      <w:startOverride w:val="1"/>
      <w:lvl w:ilvl="3">
        <w:start w:val="1"/>
        <w:numFmt w:val="decimal"/>
        <w:lvlRestart w:val="0"/>
        <w:pStyle w:val="Heading4"/>
        <w:lvlText w:val="%2.%3.%4."/>
        <w:lvlJc w:val="left"/>
        <w:pPr>
          <w:ind w:left="1701" w:firstLine="0"/>
        </w:pPr>
        <w:rPr>
          <w:rFonts w:hint="default"/>
        </w:rPr>
      </w:lvl>
    </w:lvlOverride>
    <w:lvlOverride w:ilvl="4">
      <w:startOverride w:val="1"/>
      <w:lvl w:ilvl="4">
        <w:start w:val="1"/>
        <w:numFmt w:val="lowerLetter"/>
        <w:lvlRestart w:val="0"/>
        <w:lvlText w:val="%1(%5)"/>
        <w:lvlJc w:val="left"/>
        <w:pPr>
          <w:tabs>
            <w:tab w:val="num" w:pos="3345"/>
          </w:tabs>
          <w:ind w:left="2268" w:firstLine="0"/>
        </w:pPr>
        <w:rPr>
          <w:rFonts w:hint="default"/>
          <w:sz w:val="20"/>
        </w:rPr>
      </w:lvl>
    </w:lvlOverride>
    <w:lvlOverride w:ilvl="5">
      <w:startOverride w:val="1"/>
      <w:lvl w:ilvl="5">
        <w:start w:val="1"/>
        <w:numFmt w:val="decimal"/>
        <w:lvlText w:val="%1.%2.%3.%4.%5.%6"/>
        <w:lvlJc w:val="left"/>
        <w:pPr>
          <w:tabs>
            <w:tab w:val="num" w:pos="3912"/>
          </w:tabs>
          <w:ind w:left="2835" w:firstLine="0"/>
        </w:pPr>
        <w:rPr>
          <w:rFonts w:hint="default"/>
        </w:rPr>
      </w:lvl>
    </w:lvlOverride>
    <w:lvlOverride w:ilvl="6">
      <w:startOverride w:val="1"/>
      <w:lvl w:ilvl="6">
        <w:start w:val="1"/>
        <w:numFmt w:val="decimal"/>
        <w:lvlText w:val="%1.%2.%3.%4.%5.%6.%7"/>
        <w:lvlJc w:val="left"/>
        <w:pPr>
          <w:tabs>
            <w:tab w:val="num" w:pos="2432"/>
          </w:tabs>
          <w:ind w:left="2432" w:hanging="1298"/>
        </w:pPr>
        <w:rPr>
          <w:rFonts w:hint="default"/>
        </w:rPr>
      </w:lvl>
    </w:lvlOverride>
    <w:lvlOverride w:ilvl="7">
      <w:startOverride w:val="1"/>
      <w:lvl w:ilvl="7">
        <w:start w:val="1"/>
        <w:numFmt w:val="decimal"/>
        <w:lvlText w:val="%1.%2.%3.%4.%5.%6.%7.%8"/>
        <w:lvlJc w:val="left"/>
        <w:pPr>
          <w:tabs>
            <w:tab w:val="num" w:pos="2574"/>
          </w:tabs>
          <w:ind w:left="2574" w:hanging="1440"/>
        </w:pPr>
        <w:rPr>
          <w:rFonts w:hint="default"/>
        </w:rPr>
      </w:lvl>
    </w:lvlOverride>
    <w:lvlOverride w:ilvl="8">
      <w:startOverride w:val="1"/>
      <w:lvl w:ilvl="8">
        <w:start w:val="1"/>
        <w:numFmt w:val="decimal"/>
        <w:lvlText w:val="%1.%2.%3.%4.%5.%6.%7.%8.%9"/>
        <w:lvlJc w:val="left"/>
        <w:pPr>
          <w:tabs>
            <w:tab w:val="num" w:pos="2716"/>
          </w:tabs>
          <w:ind w:left="2716" w:hanging="1582"/>
        </w:pPr>
        <w:rPr>
          <w:rFonts w:hint="default"/>
        </w:rPr>
      </w:lvl>
    </w:lvlOverride>
  </w:num>
  <w:num w:numId="35" w16cid:durableId="444231401">
    <w:abstractNumId w:val="2"/>
  </w:num>
  <w:num w:numId="36" w16cid:durableId="779447636">
    <w:abstractNumId w:val="10"/>
  </w:num>
  <w:num w:numId="37" w16cid:durableId="1636637610">
    <w:abstractNumId w:val="10"/>
  </w:num>
  <w:num w:numId="38" w16cid:durableId="2116748562">
    <w:abstractNumId w:val="10"/>
  </w:num>
  <w:num w:numId="39" w16cid:durableId="890581821">
    <w:abstractNumId w:val="10"/>
  </w:num>
  <w:num w:numId="40" w16cid:durableId="471407360">
    <w:abstractNumId w:val="10"/>
  </w:num>
  <w:num w:numId="41" w16cid:durableId="16297742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evenAndOddHeader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LG_chkAction" w:val="0"/>
    <w:docVar w:name="DLG_chkApproval" w:val="-1"/>
    <w:docVar w:name="DLG_chkClearance" w:val="0"/>
    <w:docVar w:name="DLG_chkDiscuss" w:val="0"/>
    <w:docVar w:name="DLG_chkDraft" w:val="0"/>
    <w:docVar w:name="DLG_chkFiling" w:val="0"/>
    <w:docVar w:name="DLG_chkInformation" w:val="0"/>
    <w:docVar w:name="DLG_chkPassOn" w:val="0"/>
    <w:docVar w:name="DLG_chkRCS" w:val="0"/>
    <w:docVar w:name="DLG_chkRequest" w:val="0"/>
    <w:docVar w:name="DLG_chkReturn" w:val="0"/>
    <w:docVar w:name="DLG_chkSignature" w:val="0"/>
    <w:docVar w:name="DLG_txtSubject" w:val="Subject"/>
    <w:docVar w:name="SEC_Classification" w:val="None"/>
    <w:docVar w:name="SEC_ConfidentialAttachments" w:val="False"/>
  </w:docVars>
  <w:rsids>
    <w:rsidRoot w:val="00037321"/>
    <w:rsid w:val="000004C5"/>
    <w:rsid w:val="0000194E"/>
    <w:rsid w:val="00012CE8"/>
    <w:rsid w:val="000229AB"/>
    <w:rsid w:val="0002569A"/>
    <w:rsid w:val="00037321"/>
    <w:rsid w:val="000A0299"/>
    <w:rsid w:val="000A64A5"/>
    <w:rsid w:val="000B2C9B"/>
    <w:rsid w:val="000C29EA"/>
    <w:rsid w:val="000C6F25"/>
    <w:rsid w:val="000D14B6"/>
    <w:rsid w:val="000E3603"/>
    <w:rsid w:val="000E7B6D"/>
    <w:rsid w:val="000F17D1"/>
    <w:rsid w:val="000F7E94"/>
    <w:rsid w:val="001066C2"/>
    <w:rsid w:val="001119D6"/>
    <w:rsid w:val="00114A47"/>
    <w:rsid w:val="00117B0A"/>
    <w:rsid w:val="001212AD"/>
    <w:rsid w:val="001308F2"/>
    <w:rsid w:val="001313E8"/>
    <w:rsid w:val="00141845"/>
    <w:rsid w:val="00154343"/>
    <w:rsid w:val="00171A3C"/>
    <w:rsid w:val="001753D5"/>
    <w:rsid w:val="001906A4"/>
    <w:rsid w:val="00192760"/>
    <w:rsid w:val="001A20D5"/>
    <w:rsid w:val="001A4DB1"/>
    <w:rsid w:val="001A56EE"/>
    <w:rsid w:val="001A70C9"/>
    <w:rsid w:val="001B009B"/>
    <w:rsid w:val="001C58F5"/>
    <w:rsid w:val="001D5CEE"/>
    <w:rsid w:val="001E4D5B"/>
    <w:rsid w:val="001F2676"/>
    <w:rsid w:val="001F4620"/>
    <w:rsid w:val="001F69A6"/>
    <w:rsid w:val="002001A9"/>
    <w:rsid w:val="00205AF8"/>
    <w:rsid w:val="002071D9"/>
    <w:rsid w:val="00210EC8"/>
    <w:rsid w:val="00233053"/>
    <w:rsid w:val="002361D6"/>
    <w:rsid w:val="0023670C"/>
    <w:rsid w:val="002434BF"/>
    <w:rsid w:val="00246E2E"/>
    <w:rsid w:val="00256822"/>
    <w:rsid w:val="00263E80"/>
    <w:rsid w:val="0026525A"/>
    <w:rsid w:val="00274790"/>
    <w:rsid w:val="00283CC5"/>
    <w:rsid w:val="00285755"/>
    <w:rsid w:val="00291287"/>
    <w:rsid w:val="00292B9A"/>
    <w:rsid w:val="002A1F9C"/>
    <w:rsid w:val="002A6E92"/>
    <w:rsid w:val="002B29C2"/>
    <w:rsid w:val="002C4208"/>
    <w:rsid w:val="002F7887"/>
    <w:rsid w:val="003046BF"/>
    <w:rsid w:val="00352DE1"/>
    <w:rsid w:val="00361BAF"/>
    <w:rsid w:val="003728E6"/>
    <w:rsid w:val="003B21D1"/>
    <w:rsid w:val="003B5E0E"/>
    <w:rsid w:val="003C6AC0"/>
    <w:rsid w:val="003D255A"/>
    <w:rsid w:val="003D4F94"/>
    <w:rsid w:val="003F3A27"/>
    <w:rsid w:val="00416949"/>
    <w:rsid w:val="004240BB"/>
    <w:rsid w:val="004370D8"/>
    <w:rsid w:val="004442F1"/>
    <w:rsid w:val="00451E69"/>
    <w:rsid w:val="00472C43"/>
    <w:rsid w:val="004B6FBF"/>
    <w:rsid w:val="004C3F15"/>
    <w:rsid w:val="004C4A5B"/>
    <w:rsid w:val="00512D63"/>
    <w:rsid w:val="00516159"/>
    <w:rsid w:val="00537496"/>
    <w:rsid w:val="00537FDB"/>
    <w:rsid w:val="00544ED3"/>
    <w:rsid w:val="005817D0"/>
    <w:rsid w:val="0058477B"/>
    <w:rsid w:val="0058654F"/>
    <w:rsid w:val="00593129"/>
    <w:rsid w:val="00596ACA"/>
    <w:rsid w:val="005A47F5"/>
    <w:rsid w:val="005A4838"/>
    <w:rsid w:val="005B3A57"/>
    <w:rsid w:val="005B3DE1"/>
    <w:rsid w:val="005C03B1"/>
    <w:rsid w:val="005C288E"/>
    <w:rsid w:val="005D229A"/>
    <w:rsid w:val="005E39BC"/>
    <w:rsid w:val="005F00A0"/>
    <w:rsid w:val="006013D8"/>
    <w:rsid w:val="00645B82"/>
    <w:rsid w:val="00647F33"/>
    <w:rsid w:val="00662532"/>
    <w:rsid w:val="00667E41"/>
    <w:rsid w:val="006750DF"/>
    <w:rsid w:val="00675D42"/>
    <w:rsid w:val="00682E9A"/>
    <w:rsid w:val="006A13EE"/>
    <w:rsid w:val="006A53C2"/>
    <w:rsid w:val="006B2274"/>
    <w:rsid w:val="006E503D"/>
    <w:rsid w:val="006F1979"/>
    <w:rsid w:val="006F3AF7"/>
    <w:rsid w:val="00717C6F"/>
    <w:rsid w:val="007445DA"/>
    <w:rsid w:val="00753115"/>
    <w:rsid w:val="00753C1B"/>
    <w:rsid w:val="00754204"/>
    <w:rsid w:val="007957F9"/>
    <w:rsid w:val="007B4FD1"/>
    <w:rsid w:val="007C110B"/>
    <w:rsid w:val="007E0C28"/>
    <w:rsid w:val="00802381"/>
    <w:rsid w:val="008079FF"/>
    <w:rsid w:val="0081152A"/>
    <w:rsid w:val="0081325A"/>
    <w:rsid w:val="008204F4"/>
    <w:rsid w:val="00860D5A"/>
    <w:rsid w:val="00883848"/>
    <w:rsid w:val="00897ED5"/>
    <w:rsid w:val="008B6BB9"/>
    <w:rsid w:val="008B7725"/>
    <w:rsid w:val="008E30A8"/>
    <w:rsid w:val="008E3BED"/>
    <w:rsid w:val="00911543"/>
    <w:rsid w:val="009328D1"/>
    <w:rsid w:val="0093699D"/>
    <w:rsid w:val="009519C9"/>
    <w:rsid w:val="00972751"/>
    <w:rsid w:val="009A54BC"/>
    <w:rsid w:val="009B48B6"/>
    <w:rsid w:val="009D0B86"/>
    <w:rsid w:val="009D6208"/>
    <w:rsid w:val="009E0D5B"/>
    <w:rsid w:val="009E1558"/>
    <w:rsid w:val="009F1BEF"/>
    <w:rsid w:val="009F6416"/>
    <w:rsid w:val="00A013DA"/>
    <w:rsid w:val="00A16726"/>
    <w:rsid w:val="00A21738"/>
    <w:rsid w:val="00A316A8"/>
    <w:rsid w:val="00A31C54"/>
    <w:rsid w:val="00A35728"/>
    <w:rsid w:val="00A37962"/>
    <w:rsid w:val="00A37FBA"/>
    <w:rsid w:val="00A42898"/>
    <w:rsid w:val="00A5117B"/>
    <w:rsid w:val="00A6567E"/>
    <w:rsid w:val="00A775BE"/>
    <w:rsid w:val="00A8022B"/>
    <w:rsid w:val="00AB6ACE"/>
    <w:rsid w:val="00AC35E8"/>
    <w:rsid w:val="00AC5A3A"/>
    <w:rsid w:val="00AD4DFC"/>
    <w:rsid w:val="00AF0957"/>
    <w:rsid w:val="00AF7406"/>
    <w:rsid w:val="00B033C1"/>
    <w:rsid w:val="00B111AF"/>
    <w:rsid w:val="00B22DAF"/>
    <w:rsid w:val="00B25C8D"/>
    <w:rsid w:val="00B370B1"/>
    <w:rsid w:val="00B4681F"/>
    <w:rsid w:val="00B47A77"/>
    <w:rsid w:val="00B519C9"/>
    <w:rsid w:val="00B61EB6"/>
    <w:rsid w:val="00B76322"/>
    <w:rsid w:val="00B81B3F"/>
    <w:rsid w:val="00B82FA5"/>
    <w:rsid w:val="00B8393E"/>
    <w:rsid w:val="00B94CC1"/>
    <w:rsid w:val="00BA38CB"/>
    <w:rsid w:val="00BA4559"/>
    <w:rsid w:val="00BB1721"/>
    <w:rsid w:val="00BB25B1"/>
    <w:rsid w:val="00BD1400"/>
    <w:rsid w:val="00BD2D47"/>
    <w:rsid w:val="00BD605C"/>
    <w:rsid w:val="00BD6264"/>
    <w:rsid w:val="00BE2A76"/>
    <w:rsid w:val="00BE371C"/>
    <w:rsid w:val="00BE4EA5"/>
    <w:rsid w:val="00C05CA3"/>
    <w:rsid w:val="00C62452"/>
    <w:rsid w:val="00C65E60"/>
    <w:rsid w:val="00C67B9D"/>
    <w:rsid w:val="00C742CC"/>
    <w:rsid w:val="00C80B89"/>
    <w:rsid w:val="00C96DDC"/>
    <w:rsid w:val="00CA692D"/>
    <w:rsid w:val="00CB1EC0"/>
    <w:rsid w:val="00CB6F74"/>
    <w:rsid w:val="00CC2501"/>
    <w:rsid w:val="00CE5A52"/>
    <w:rsid w:val="00CE6632"/>
    <w:rsid w:val="00CF55BB"/>
    <w:rsid w:val="00CF7AF3"/>
    <w:rsid w:val="00D14FB3"/>
    <w:rsid w:val="00D16781"/>
    <w:rsid w:val="00D26ADA"/>
    <w:rsid w:val="00D35A78"/>
    <w:rsid w:val="00D555A1"/>
    <w:rsid w:val="00D63CD0"/>
    <w:rsid w:val="00D64DC2"/>
    <w:rsid w:val="00DA46CA"/>
    <w:rsid w:val="00DE440F"/>
    <w:rsid w:val="00DF21EB"/>
    <w:rsid w:val="00E01391"/>
    <w:rsid w:val="00E20E70"/>
    <w:rsid w:val="00E2401C"/>
    <w:rsid w:val="00E25B68"/>
    <w:rsid w:val="00E276CD"/>
    <w:rsid w:val="00E35F34"/>
    <w:rsid w:val="00E5175E"/>
    <w:rsid w:val="00E53386"/>
    <w:rsid w:val="00E72D50"/>
    <w:rsid w:val="00E84003"/>
    <w:rsid w:val="00EA7C8F"/>
    <w:rsid w:val="00EC10FC"/>
    <w:rsid w:val="00ED4321"/>
    <w:rsid w:val="00EE0041"/>
    <w:rsid w:val="00EE29B9"/>
    <w:rsid w:val="00F004EE"/>
    <w:rsid w:val="00F12E7F"/>
    <w:rsid w:val="00F25225"/>
    <w:rsid w:val="00F259CE"/>
    <w:rsid w:val="00F337FE"/>
    <w:rsid w:val="00F42E23"/>
    <w:rsid w:val="00F45EEE"/>
    <w:rsid w:val="00F46A9C"/>
    <w:rsid w:val="00F51E9C"/>
    <w:rsid w:val="00F523CA"/>
    <w:rsid w:val="00F52F19"/>
    <w:rsid w:val="00F652B8"/>
    <w:rsid w:val="00F65D2A"/>
    <w:rsid w:val="00F72E2F"/>
    <w:rsid w:val="00F74A9D"/>
    <w:rsid w:val="00F92997"/>
    <w:rsid w:val="00FA3974"/>
    <w:rsid w:val="00FC25AA"/>
    <w:rsid w:val="00FC3783"/>
    <w:rsid w:val="00FF386F"/>
    <w:rsid w:val="00FF6F19"/>
    <w:rsid w:val="00FF77EC"/>
  </w:rsids>
  <m:mathPr>
    <m:mathFont m:val="Cambria Math"/>
    <m:brkBin m:val="before"/>
    <m:brkBinSub m:val="--"/>
    <m:smallFrac m:val="0"/>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DEFFAC"/>
  <w15:docId w15:val="{C79CF843-6D39-4B45-A59C-37FFC2E0E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1" w:defUIPriority="49" w:defSemiHidden="0" w:defUnhideWhenUsed="0" w:defQFormat="0" w:count="376">
    <w:lsdException w:name="Normal" w:locked="0"/>
    <w:lsdException w:name="heading 1" w:locked="0" w:uiPriority="0" w:qFormat="1"/>
    <w:lsdException w:name="heading 2" w:locked="0" w:uiPriority="4" w:qFormat="1"/>
    <w:lsdException w:name="heading 3" w:locked="0" w:uiPriority="4" w:qFormat="1"/>
    <w:lsdException w:name="heading 4" w:locked="0" w:uiPriority="0" w:qFormat="1"/>
    <w:lsdException w:name="heading 5" w:locked="0" w:uiPriority="0"/>
    <w:lsdException w:name="heading 6" w:locked="0" w:uiPriority="0"/>
    <w:lsdException w:name="heading 7" w:locked="0" w:uiPriority="0"/>
    <w:lsdException w:name="heading 8" w:locked="0" w:uiPriority="0"/>
    <w:lsdException w:name="heading 9" w:locked="0" w:uiPriority="0"/>
    <w:lsdException w:name="footnote text" w:locked="0" w:uiPriority="0"/>
    <w:lsdException w:name="header" w:locked="0" w:uiPriority="99"/>
    <w:lsdException w:name="footer" w:locked="0" w:uiPriority="99"/>
    <w:lsdException w:name="caption" w:locked="0" w:uiPriority="0"/>
    <w:lsdException w:name="footnote reference" w:locked="0" w:uiPriority="0"/>
    <w:lsdException w:name="List Bullet" w:locked="0"/>
    <w:lsdException w:name="Title" w:locked="0" w:uiPriority="0"/>
    <w:lsdException w:name="Default Paragraph Font" w:locked="0" w:uiPriority="0"/>
    <w:lsdException w:name="Body Text" w:locked="0" w:uiPriority="0" w:qFormat="1"/>
    <w:lsdException w:name="Body Text Indent" w:locked="0" w:uiPriority="0"/>
    <w:lsdException w:name="Subtitle" w:locked="0" w:uiPriority="0" w:qFormat="1"/>
    <w:lsdException w:name="HTML Top of Form" w:locked="0" w:uiPriority="0"/>
    <w:lsdException w:name="HTML Bottom of Form" w:locked="0" w:uiPriority="0"/>
    <w:lsdException w:name="HTML Acronym" w:uiPriority="19"/>
    <w:lsdException w:name="HTML Address" w:uiPriority="19"/>
    <w:lsdException w:name="Normal Table" w:locked="0" w:semiHidden="1" w:uiPriority="0" w:unhideWhenUsed="1"/>
    <w:lsdException w:name="No List" w:locked="0" w:uiPriority="0"/>
    <w:lsdException w:name="Outline List 1" w:uiPriority="0"/>
    <w:lsdException w:name="Outline List 2" w:uiPriority="0"/>
    <w:lsdException w:name="Outline List 3" w:uiPriority="0"/>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locked="0"/>
    <w:lsdException w:name="Table Grid" w:locked="0" w:uiPriority="39"/>
    <w:lsdException w:name="Table Theme" w:semiHidden="1" w:uiPriority="0"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uiPriority w:val="49"/>
    <w:rsid w:val="002434BF"/>
    <w:pPr>
      <w:overflowPunct w:val="0"/>
      <w:autoSpaceDE w:val="0"/>
      <w:autoSpaceDN w:val="0"/>
      <w:adjustRightInd w:val="0"/>
      <w:textAlignment w:val="baseline"/>
    </w:pPr>
    <w:rPr>
      <w:sz w:val="22"/>
      <w:lang w:eastAsia="en-US"/>
    </w:rPr>
  </w:style>
  <w:style w:type="paragraph" w:styleId="Heading1">
    <w:name w:val="heading 1"/>
    <w:aliases w:val="Paper title"/>
    <w:next w:val="Subtitle"/>
    <w:uiPriority w:val="4"/>
    <w:qFormat/>
    <w:rsid w:val="00EE29B9"/>
    <w:pPr>
      <w:spacing w:line="280" w:lineRule="atLeast"/>
      <w:ind w:left="567" w:right="567"/>
      <w:outlineLvl w:val="0"/>
    </w:pPr>
    <w:rPr>
      <w:rFonts w:ascii="Times New Roman Bold" w:hAnsi="Times New Roman Bold"/>
      <w:b/>
      <w:caps/>
      <w:sz w:val="24"/>
      <w:lang w:val="en-US" w:eastAsia="en-US"/>
    </w:rPr>
  </w:style>
  <w:style w:type="paragraph" w:styleId="Heading2">
    <w:name w:val="heading 2"/>
    <w:aliases w:val="1st level paper heading"/>
    <w:next w:val="BodyText"/>
    <w:link w:val="Heading2Char"/>
    <w:uiPriority w:val="4"/>
    <w:qFormat/>
    <w:rsid w:val="00EE0041"/>
    <w:pPr>
      <w:widowControl w:val="0"/>
      <w:numPr>
        <w:ilvl w:val="1"/>
        <w:numId w:val="12"/>
      </w:numPr>
      <w:spacing w:before="100" w:beforeAutospacing="1" w:after="100" w:afterAutospacing="1" w:line="280" w:lineRule="atLeast"/>
      <w:outlineLvl w:val="1"/>
    </w:pPr>
    <w:rPr>
      <w:caps/>
      <w:lang w:eastAsia="en-US"/>
    </w:rPr>
  </w:style>
  <w:style w:type="paragraph" w:styleId="Heading3">
    <w:name w:val="heading 3"/>
    <w:aliases w:val="2nd level paper heading"/>
    <w:next w:val="BodyText"/>
    <w:link w:val="Heading3Char"/>
    <w:uiPriority w:val="4"/>
    <w:qFormat/>
    <w:rsid w:val="00897ED5"/>
    <w:pPr>
      <w:widowControl w:val="0"/>
      <w:numPr>
        <w:ilvl w:val="2"/>
        <w:numId w:val="12"/>
      </w:numPr>
      <w:spacing w:before="240" w:after="240" w:line="240" w:lineRule="exact"/>
      <w:outlineLvl w:val="2"/>
    </w:pPr>
    <w:rPr>
      <w:b/>
      <w:lang w:eastAsia="en-US"/>
    </w:rPr>
  </w:style>
  <w:style w:type="paragraph" w:styleId="Heading4">
    <w:name w:val="heading 4"/>
    <w:aliases w:val="3rd level paper heading"/>
    <w:basedOn w:val="Normal"/>
    <w:next w:val="BodyText"/>
    <w:uiPriority w:val="4"/>
    <w:qFormat/>
    <w:rsid w:val="00897ED5"/>
    <w:pPr>
      <w:widowControl w:val="0"/>
      <w:numPr>
        <w:ilvl w:val="3"/>
        <w:numId w:val="12"/>
      </w:numPr>
      <w:spacing w:before="100" w:beforeAutospacing="1" w:after="100" w:afterAutospacing="1" w:line="240" w:lineRule="atLeast"/>
      <w:outlineLvl w:val="3"/>
    </w:pPr>
    <w:rPr>
      <w:i/>
      <w:sz w:val="20"/>
      <w:lang w:val="en-US"/>
    </w:rPr>
  </w:style>
  <w:style w:type="paragraph" w:styleId="Heading5">
    <w:name w:val="heading 5"/>
    <w:basedOn w:val="Normal"/>
    <w:next w:val="Normal"/>
    <w:uiPriority w:val="19"/>
    <w:locked/>
    <w:pPr>
      <w:overflowPunct/>
      <w:autoSpaceDE/>
      <w:autoSpaceDN/>
      <w:adjustRightInd/>
      <w:spacing w:before="240" w:after="60"/>
      <w:textAlignment w:val="auto"/>
      <w:outlineLvl w:val="4"/>
    </w:pPr>
    <w:rPr>
      <w:b/>
      <w:bCs/>
      <w:i/>
      <w:iCs/>
      <w:sz w:val="26"/>
      <w:szCs w:val="26"/>
      <w:lang w:val="en-US"/>
    </w:rPr>
  </w:style>
  <w:style w:type="paragraph" w:styleId="Heading6">
    <w:name w:val="heading 6"/>
    <w:basedOn w:val="Normal"/>
    <w:next w:val="Normal"/>
    <w:uiPriority w:val="19"/>
    <w:locked/>
    <w:pPr>
      <w:overflowPunct/>
      <w:autoSpaceDE/>
      <w:autoSpaceDN/>
      <w:adjustRightInd/>
      <w:spacing w:before="240" w:after="60"/>
      <w:textAlignment w:val="auto"/>
      <w:outlineLvl w:val="5"/>
    </w:pPr>
    <w:rPr>
      <w:b/>
      <w:bCs/>
      <w:szCs w:val="22"/>
      <w:lang w:val="en-US"/>
    </w:rPr>
  </w:style>
  <w:style w:type="paragraph" w:styleId="Heading7">
    <w:name w:val="heading 7"/>
    <w:basedOn w:val="Normal"/>
    <w:next w:val="Normal"/>
    <w:uiPriority w:val="19"/>
    <w:locked/>
    <w:pPr>
      <w:overflowPunct/>
      <w:autoSpaceDE/>
      <w:autoSpaceDN/>
      <w:adjustRightInd/>
      <w:spacing w:before="240" w:after="60"/>
      <w:textAlignment w:val="auto"/>
      <w:outlineLvl w:val="6"/>
    </w:pPr>
    <w:rPr>
      <w:szCs w:val="24"/>
      <w:lang w:val="en-US"/>
    </w:rPr>
  </w:style>
  <w:style w:type="paragraph" w:styleId="Heading8">
    <w:name w:val="heading 8"/>
    <w:basedOn w:val="Normal"/>
    <w:next w:val="Normal"/>
    <w:uiPriority w:val="19"/>
    <w:locked/>
    <w:pPr>
      <w:overflowPunct/>
      <w:autoSpaceDE/>
      <w:autoSpaceDN/>
      <w:adjustRightInd/>
      <w:spacing w:before="240" w:after="60"/>
      <w:textAlignment w:val="auto"/>
      <w:outlineLvl w:val="7"/>
    </w:pPr>
    <w:rPr>
      <w:i/>
      <w:iCs/>
      <w:szCs w:val="24"/>
      <w:lang w:val="en-US"/>
    </w:rPr>
  </w:style>
  <w:style w:type="paragraph" w:styleId="Heading9">
    <w:name w:val="heading 9"/>
    <w:basedOn w:val="Normal"/>
    <w:next w:val="Normal"/>
    <w:uiPriority w:val="19"/>
    <w:locked/>
    <w:pPr>
      <w:overflowPunct/>
      <w:autoSpaceDE/>
      <w:autoSpaceDN/>
      <w:adjustRightInd/>
      <w:spacing w:before="240" w:after="60"/>
      <w:textAlignment w:val="auto"/>
      <w:outlineLvl w:val="8"/>
    </w:pPr>
    <w:rPr>
      <w:rFonts w:ascii="Arial" w:hAnsi="Arial" w:cs="Arial"/>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647F33"/>
    <w:pPr>
      <w:spacing w:line="260" w:lineRule="atLeast"/>
      <w:ind w:firstLine="567"/>
      <w:contextualSpacing/>
      <w:jc w:val="both"/>
    </w:pPr>
    <w:rPr>
      <w:lang w:eastAsia="en-US"/>
    </w:rPr>
  </w:style>
  <w:style w:type="paragraph" w:styleId="BodyTextIndent">
    <w:name w:val="Body Text Indent"/>
    <w:basedOn w:val="BodyText"/>
    <w:uiPriority w:val="49"/>
    <w:locked/>
    <w:pPr>
      <w:ind w:left="1134" w:hanging="675"/>
    </w:pPr>
  </w:style>
  <w:style w:type="paragraph" w:customStyle="1" w:styleId="BodyTextMultiline">
    <w:name w:val="Body Text Multiline"/>
    <w:basedOn w:val="BodyText"/>
    <w:locked/>
    <w:pPr>
      <w:numPr>
        <w:numId w:val="1"/>
      </w:numPr>
    </w:pPr>
  </w:style>
  <w:style w:type="paragraph" w:customStyle="1" w:styleId="BodyTextSummary">
    <w:name w:val="Body Text Summary"/>
    <w:uiPriority w:val="49"/>
    <w:locked/>
    <w:pPr>
      <w:numPr>
        <w:numId w:val="2"/>
      </w:numPr>
      <w:tabs>
        <w:tab w:val="clear" w:pos="720"/>
      </w:tabs>
      <w:spacing w:after="170" w:line="280" w:lineRule="atLeast"/>
      <w:ind w:left="572" w:hanging="459"/>
      <w:jc w:val="both"/>
    </w:pPr>
    <w:rPr>
      <w:sz w:val="22"/>
      <w:szCs w:val="22"/>
      <w:lang w:eastAsia="en-US"/>
    </w:rPr>
  </w:style>
  <w:style w:type="paragraph" w:styleId="Caption">
    <w:name w:val="caption"/>
    <w:next w:val="Normal"/>
    <w:uiPriority w:val="49"/>
    <w:pPr>
      <w:spacing w:after="85"/>
    </w:pPr>
    <w:rPr>
      <w:bCs/>
      <w:sz w:val="18"/>
      <w:lang w:val="en-US" w:eastAsia="en-US"/>
    </w:rPr>
  </w:style>
  <w:style w:type="paragraph" w:styleId="Footer">
    <w:name w:val="footer"/>
    <w:basedOn w:val="Normal"/>
    <w:link w:val="FooterChar"/>
    <w:uiPriority w:val="99"/>
    <w:locked/>
    <w:pPr>
      <w:overflowPunct/>
      <w:autoSpaceDE/>
      <w:autoSpaceDN/>
      <w:adjustRightInd/>
      <w:textAlignment w:val="auto"/>
    </w:pPr>
    <w:rPr>
      <w:sz w:val="2"/>
      <w:lang w:val="en-US"/>
    </w:rPr>
  </w:style>
  <w:style w:type="paragraph" w:styleId="FootnoteText">
    <w:name w:val="footnote text"/>
    <w:semiHidden/>
    <w:locked/>
    <w:pPr>
      <w:tabs>
        <w:tab w:val="left" w:pos="459"/>
      </w:tabs>
      <w:spacing w:before="142"/>
      <w:ind w:left="459"/>
      <w:jc w:val="both"/>
    </w:pPr>
    <w:rPr>
      <w:sz w:val="18"/>
      <w:lang w:eastAsia="en-US"/>
    </w:rPr>
  </w:style>
  <w:style w:type="paragraph" w:styleId="Header">
    <w:name w:val="header"/>
    <w:next w:val="BodyText"/>
    <w:link w:val="HeaderChar"/>
    <w:uiPriority w:val="99"/>
    <w:locked/>
    <w:pPr>
      <w:spacing w:after="85"/>
    </w:pPr>
    <w:rPr>
      <w:sz w:val="18"/>
      <w:lang w:val="en-US" w:eastAsia="en-US"/>
    </w:rPr>
  </w:style>
  <w:style w:type="paragraph" w:customStyle="1" w:styleId="ListBulleted">
    <w:name w:val="List Bulleted"/>
    <w:uiPriority w:val="7"/>
    <w:qFormat/>
    <w:locked/>
    <w:pPr>
      <w:numPr>
        <w:numId w:val="6"/>
      </w:numPr>
      <w:tabs>
        <w:tab w:val="clear" w:pos="1179"/>
        <w:tab w:val="left" w:pos="919"/>
      </w:tabs>
      <w:ind w:left="918" w:right="1134" w:hanging="459"/>
      <w:jc w:val="both"/>
    </w:pPr>
    <w:rPr>
      <w:sz w:val="22"/>
      <w:lang w:eastAsia="en-US"/>
    </w:rPr>
  </w:style>
  <w:style w:type="paragraph" w:customStyle="1" w:styleId="ListEmdash">
    <w:name w:val="List Emdash"/>
    <w:basedOn w:val="BodyText"/>
    <w:uiPriority w:val="6"/>
    <w:qFormat/>
    <w:rsid w:val="00717C6F"/>
    <w:pPr>
      <w:numPr>
        <w:numId w:val="20"/>
      </w:numPr>
    </w:pPr>
  </w:style>
  <w:style w:type="paragraph" w:customStyle="1" w:styleId="ListNumbered">
    <w:name w:val="List Numbered"/>
    <w:basedOn w:val="BodyText"/>
    <w:uiPriority w:val="5"/>
    <w:qFormat/>
    <w:locked/>
    <w:rsid w:val="00717C6F"/>
    <w:pPr>
      <w:numPr>
        <w:numId w:val="22"/>
      </w:numPr>
    </w:pPr>
  </w:style>
  <w:style w:type="paragraph" w:styleId="Title">
    <w:name w:val="Title"/>
    <w:uiPriority w:val="2"/>
    <w:locked/>
    <w:pPr>
      <w:widowControl w:val="0"/>
      <w:spacing w:line="440" w:lineRule="exact"/>
      <w:jc w:val="center"/>
      <w:outlineLvl w:val="0"/>
    </w:pPr>
    <w:rPr>
      <w:rFonts w:ascii="Arial" w:hAnsi="Arial" w:cs="Arial"/>
      <w:bCs/>
      <w:sz w:val="42"/>
      <w:szCs w:val="32"/>
      <w:lang w:eastAsia="en-US"/>
    </w:rPr>
  </w:style>
  <w:style w:type="paragraph" w:customStyle="1" w:styleId="zyxConfid2Red">
    <w:name w:val="zyxConfid2Red"/>
    <w:basedOn w:val="Normal"/>
    <w:uiPriority w:val="49"/>
    <w:locked/>
    <w:pPr>
      <w:spacing w:after="20" w:line="220" w:lineRule="exact"/>
      <w:jc w:val="right"/>
    </w:pPr>
    <w:rPr>
      <w:rFonts w:ascii="Arial" w:hAnsi="Arial" w:cs="Arial"/>
      <w:color w:val="FF0000"/>
    </w:rPr>
  </w:style>
  <w:style w:type="paragraph" w:customStyle="1" w:styleId="zyxConfidRed">
    <w:name w:val="zyxConfidRed"/>
    <w:uiPriority w:val="49"/>
    <w:locked/>
    <w:pPr>
      <w:widowControl w:val="0"/>
      <w:spacing w:before="80"/>
      <w:jc w:val="right"/>
    </w:pPr>
    <w:rPr>
      <w:rFonts w:ascii="Arial" w:hAnsi="Arial"/>
      <w:b/>
      <w:caps/>
      <w:color w:val="FF0000"/>
      <w:sz w:val="40"/>
      <w:lang w:eastAsia="en-US"/>
    </w:rPr>
  </w:style>
  <w:style w:type="paragraph" w:customStyle="1" w:styleId="zyxConfidBlack">
    <w:name w:val="zyxConfidBlack"/>
    <w:basedOn w:val="zyxConfidRed"/>
    <w:uiPriority w:val="49"/>
    <w:locked/>
    <w:pPr>
      <w:framePr w:wrap="auto" w:vAnchor="page" w:hAnchor="page" w:x="1333" w:y="228"/>
      <w:widowControl/>
      <w:overflowPunct w:val="0"/>
      <w:autoSpaceDE w:val="0"/>
      <w:autoSpaceDN w:val="0"/>
      <w:adjustRightInd w:val="0"/>
      <w:suppressOverlap/>
      <w:textAlignment w:val="baseline"/>
    </w:pPr>
    <w:rPr>
      <w:rFonts w:cs="Arial"/>
      <w:bCs/>
      <w:color w:val="000000"/>
    </w:rPr>
  </w:style>
  <w:style w:type="paragraph" w:customStyle="1" w:styleId="zyxDistribution">
    <w:name w:val="zyxDistribution"/>
    <w:basedOn w:val="Normal"/>
    <w:uiPriority w:val="49"/>
    <w:locked/>
    <w:pPr>
      <w:framePr w:wrap="around" w:vAnchor="page" w:hAnchor="page" w:x="1390" w:y="15707"/>
      <w:widowControl w:val="0"/>
      <w:overflowPunct/>
      <w:autoSpaceDE/>
      <w:autoSpaceDN/>
      <w:adjustRightInd/>
      <w:spacing w:before="240" w:after="20"/>
      <w:ind w:left="142"/>
      <w:suppressOverlap/>
      <w:textAlignment w:val="auto"/>
    </w:pPr>
    <w:rPr>
      <w:rFonts w:ascii="Arial" w:hAnsi="Arial"/>
      <w:b/>
    </w:rPr>
  </w:style>
  <w:style w:type="paragraph" w:customStyle="1" w:styleId="zyxPrePrint">
    <w:name w:val="zyxPrePrint"/>
    <w:uiPriority w:val="49"/>
    <w:locked/>
    <w:pPr>
      <w:spacing w:after="60" w:line="280" w:lineRule="exact"/>
      <w:ind w:left="113"/>
    </w:pPr>
    <w:rPr>
      <w:sz w:val="22"/>
      <w:lang w:eastAsia="en-US"/>
    </w:rPr>
  </w:style>
  <w:style w:type="paragraph" w:customStyle="1" w:styleId="zyxFillIn">
    <w:name w:val="zyxFill_In"/>
    <w:basedOn w:val="zyxPrePrint"/>
    <w:uiPriority w:val="49"/>
    <w:locked/>
    <w:rPr>
      <w:b/>
    </w:rPr>
  </w:style>
  <w:style w:type="paragraph" w:customStyle="1" w:styleId="zyxLogo">
    <w:name w:val="zyxLogo"/>
    <w:basedOn w:val="Normal"/>
    <w:uiPriority w:val="49"/>
    <w:locked/>
    <w:pPr>
      <w:keepNext/>
      <w:spacing w:after="10"/>
    </w:pPr>
    <w:rPr>
      <w:rFonts w:ascii="Arial" w:hAnsi="Arial"/>
      <w:b/>
      <w:sz w:val="13"/>
    </w:rPr>
  </w:style>
  <w:style w:type="paragraph" w:customStyle="1" w:styleId="zyxP1Footer">
    <w:name w:val="zyxP1_Footer"/>
    <w:basedOn w:val="Normal"/>
    <w:uiPriority w:val="49"/>
    <w:locked/>
    <w:pPr>
      <w:widowControl w:val="0"/>
      <w:spacing w:line="160" w:lineRule="exact"/>
      <w:ind w:left="108"/>
    </w:pPr>
    <w:rPr>
      <w:sz w:val="14"/>
    </w:rPr>
  </w:style>
  <w:style w:type="paragraph" w:customStyle="1" w:styleId="zyxSensitivity">
    <w:name w:val="zyxSensitivity"/>
    <w:basedOn w:val="Normal"/>
    <w:uiPriority w:val="49"/>
    <w:locked/>
    <w:pPr>
      <w:framePr w:wrap="around" w:vAnchor="page" w:hAnchor="page" w:x="1390" w:y="15707"/>
      <w:widowControl w:val="0"/>
      <w:overflowPunct/>
      <w:autoSpaceDE/>
      <w:autoSpaceDN/>
      <w:adjustRightInd/>
      <w:spacing w:line="220" w:lineRule="exact"/>
      <w:ind w:left="142"/>
      <w:suppressOverlap/>
      <w:textAlignment w:val="auto"/>
    </w:pPr>
    <w:rPr>
      <w:rFonts w:ascii="Arial" w:hAnsi="Arial"/>
      <w:b/>
    </w:rPr>
  </w:style>
  <w:style w:type="paragraph" w:customStyle="1" w:styleId="zyxTitle">
    <w:name w:val="zyxTitle"/>
    <w:basedOn w:val="Normal"/>
    <w:uiPriority w:val="49"/>
    <w:locked/>
    <w:pPr>
      <w:keepNext/>
      <w:spacing w:line="420" w:lineRule="exact"/>
    </w:pPr>
    <w:rPr>
      <w:rFonts w:ascii="Arial" w:hAnsi="Arial"/>
      <w:sz w:val="40"/>
    </w:rPr>
  </w:style>
  <w:style w:type="character" w:styleId="FootnoteReference">
    <w:name w:val="footnote reference"/>
    <w:basedOn w:val="DefaultParagraphFont"/>
    <w:semiHidden/>
    <w:locked/>
    <w:rPr>
      <w:vertAlign w:val="superscript"/>
    </w:rPr>
  </w:style>
  <w:style w:type="paragraph" w:styleId="Subtitle">
    <w:name w:val="Subtitle"/>
    <w:next w:val="BodyText"/>
    <w:uiPriority w:val="3"/>
    <w:qFormat/>
    <w:rsid w:val="00B82FA5"/>
    <w:pPr>
      <w:spacing w:after="100" w:afterAutospacing="1" w:line="280" w:lineRule="atLeast"/>
      <w:ind w:left="567" w:right="567"/>
      <w:contextualSpacing/>
    </w:pPr>
    <w:rPr>
      <w:rFonts w:cs="Arial"/>
      <w:b/>
      <w:i/>
      <w:sz w:val="24"/>
      <w:szCs w:val="24"/>
      <w:lang w:val="en-US" w:eastAsia="en-US"/>
    </w:rPr>
  </w:style>
  <w:style w:type="paragraph" w:customStyle="1" w:styleId="AgendaList">
    <w:name w:val="Agenda List"/>
    <w:uiPriority w:val="49"/>
    <w:locked/>
    <w:pPr>
      <w:numPr>
        <w:numId w:val="9"/>
      </w:numPr>
      <w:tabs>
        <w:tab w:val="clear" w:pos="459"/>
        <w:tab w:val="left" w:pos="919"/>
      </w:tabs>
      <w:spacing w:after="240" w:line="240" w:lineRule="exact"/>
      <w:ind w:left="918"/>
      <w:jc w:val="both"/>
    </w:pPr>
    <w:rPr>
      <w:sz w:val="22"/>
      <w:lang w:eastAsia="en-US"/>
    </w:rPr>
  </w:style>
  <w:style w:type="paragraph" w:customStyle="1" w:styleId="zyxClassification1">
    <w:name w:val="zyxClassification1"/>
    <w:basedOn w:val="BodyText"/>
    <w:uiPriority w:val="49"/>
    <w:locked/>
    <w:pPr>
      <w:spacing w:line="280" w:lineRule="exact"/>
      <w:jc w:val="right"/>
    </w:pPr>
    <w:rPr>
      <w:rFonts w:ascii="Arial" w:hAnsi="Arial" w:cs="Arial"/>
      <w:b/>
      <w:bCs/>
      <w:caps/>
      <w:sz w:val="24"/>
    </w:rPr>
  </w:style>
  <w:style w:type="paragraph" w:customStyle="1" w:styleId="zyxClassification2">
    <w:name w:val="zyxClassification2"/>
    <w:basedOn w:val="Footer"/>
    <w:uiPriority w:val="49"/>
    <w:locked/>
    <w:pPr>
      <w:tabs>
        <w:tab w:val="center" w:pos="4320"/>
        <w:tab w:val="right" w:pos="8640"/>
      </w:tabs>
      <w:overflowPunct w:val="0"/>
      <w:autoSpaceDE w:val="0"/>
      <w:autoSpaceDN w:val="0"/>
      <w:adjustRightInd w:val="0"/>
      <w:ind w:firstLine="567"/>
      <w:jc w:val="right"/>
      <w:textAlignment w:val="baseline"/>
    </w:pPr>
    <w:rPr>
      <w:rFonts w:ascii="Arial" w:hAnsi="Arial" w:cs="Arial"/>
      <w:sz w:val="16"/>
      <w:lang w:val="en-GB"/>
    </w:rPr>
  </w:style>
  <w:style w:type="character" w:customStyle="1" w:styleId="FooterChar">
    <w:name w:val="Footer Char"/>
    <w:basedOn w:val="DefaultParagraphFont"/>
    <w:link w:val="Footer"/>
    <w:uiPriority w:val="99"/>
    <w:rsid w:val="00037321"/>
    <w:rPr>
      <w:sz w:val="2"/>
      <w:lang w:val="en-US" w:eastAsia="en-US"/>
    </w:rPr>
  </w:style>
  <w:style w:type="paragraph" w:customStyle="1" w:styleId="Runninghead">
    <w:name w:val="Running head"/>
    <w:basedOn w:val="Normal"/>
    <w:link w:val="RunningheadChar"/>
    <w:uiPriority w:val="49"/>
    <w:qFormat/>
    <w:rsid w:val="00B82FA5"/>
    <w:pPr>
      <w:jc w:val="center"/>
    </w:pPr>
    <w:rPr>
      <w:b/>
      <w:sz w:val="16"/>
      <w:szCs w:val="16"/>
    </w:rPr>
  </w:style>
  <w:style w:type="paragraph" w:customStyle="1" w:styleId="Authornameandaffiliation">
    <w:name w:val="Author name and affiliation"/>
    <w:link w:val="AuthornameandaffiliationChar"/>
    <w:uiPriority w:val="49"/>
    <w:qFormat/>
    <w:rsid w:val="00647F33"/>
    <w:pPr>
      <w:ind w:left="567"/>
      <w:contextualSpacing/>
    </w:pPr>
    <w:rPr>
      <w:lang w:val="en-US" w:eastAsia="en-US"/>
    </w:rPr>
  </w:style>
  <w:style w:type="character" w:customStyle="1" w:styleId="RunningheadChar">
    <w:name w:val="Running head Char"/>
    <w:basedOn w:val="DefaultParagraphFont"/>
    <w:link w:val="Runninghead"/>
    <w:uiPriority w:val="49"/>
    <w:rsid w:val="00B82FA5"/>
    <w:rPr>
      <w:b/>
      <w:sz w:val="16"/>
      <w:szCs w:val="16"/>
      <w:lang w:eastAsia="en-US"/>
    </w:rPr>
  </w:style>
  <w:style w:type="paragraph" w:customStyle="1" w:styleId="Abstracttext">
    <w:name w:val="Abstract text"/>
    <w:basedOn w:val="Authornameandaffiliation"/>
    <w:link w:val="AbstracttextChar"/>
    <w:uiPriority w:val="49"/>
    <w:qFormat/>
    <w:rsid w:val="00BD605C"/>
    <w:pPr>
      <w:spacing w:line="240" w:lineRule="atLeast"/>
      <w:ind w:left="0" w:firstLine="567"/>
    </w:pPr>
    <w:rPr>
      <w:sz w:val="18"/>
    </w:rPr>
  </w:style>
  <w:style w:type="character" w:customStyle="1" w:styleId="BodyTextChar">
    <w:name w:val="Body Text Char"/>
    <w:basedOn w:val="DefaultParagraphFont"/>
    <w:link w:val="BodyText"/>
    <w:rsid w:val="00647F33"/>
    <w:rPr>
      <w:lang w:eastAsia="en-US"/>
    </w:rPr>
  </w:style>
  <w:style w:type="character" w:customStyle="1" w:styleId="AuthornameandaffiliationChar">
    <w:name w:val="Author name and affiliation Char"/>
    <w:basedOn w:val="BodyTextChar"/>
    <w:link w:val="Authornameandaffiliation"/>
    <w:uiPriority w:val="49"/>
    <w:rsid w:val="00647F33"/>
    <w:rPr>
      <w:lang w:val="en-US" w:eastAsia="en-US"/>
    </w:rPr>
  </w:style>
  <w:style w:type="table" w:styleId="TableGrid">
    <w:name w:val="Table Grid"/>
    <w:basedOn w:val="TableNormal"/>
    <w:uiPriority w:val="39"/>
    <w:locked/>
    <w:rsid w:val="00472C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tracttextChar">
    <w:name w:val="Abstract text Char"/>
    <w:basedOn w:val="AuthornameandaffiliationChar"/>
    <w:link w:val="Abstracttext"/>
    <w:uiPriority w:val="49"/>
    <w:rsid w:val="00BD605C"/>
    <w:rPr>
      <w:sz w:val="18"/>
      <w:lang w:val="en-US" w:eastAsia="en-US"/>
    </w:rPr>
  </w:style>
  <w:style w:type="paragraph" w:styleId="BalloonText">
    <w:name w:val="Balloon Text"/>
    <w:basedOn w:val="Normal"/>
    <w:link w:val="BalloonTextChar"/>
    <w:uiPriority w:val="49"/>
    <w:locked/>
    <w:rsid w:val="005F00A0"/>
    <w:rPr>
      <w:rFonts w:ascii="Tahoma" w:hAnsi="Tahoma" w:cs="Tahoma"/>
      <w:sz w:val="16"/>
      <w:szCs w:val="16"/>
    </w:rPr>
  </w:style>
  <w:style w:type="character" w:customStyle="1" w:styleId="BalloonTextChar">
    <w:name w:val="Balloon Text Char"/>
    <w:basedOn w:val="DefaultParagraphFont"/>
    <w:link w:val="BalloonText"/>
    <w:uiPriority w:val="49"/>
    <w:rsid w:val="005F00A0"/>
    <w:rPr>
      <w:rFonts w:ascii="Tahoma" w:hAnsi="Tahoma" w:cs="Tahoma"/>
      <w:sz w:val="16"/>
      <w:szCs w:val="16"/>
      <w:lang w:eastAsia="en-US"/>
    </w:rPr>
  </w:style>
  <w:style w:type="paragraph" w:customStyle="1" w:styleId="Figurecaption">
    <w:name w:val="Figure caption"/>
    <w:basedOn w:val="BodyText"/>
    <w:link w:val="FigurecaptionChar"/>
    <w:uiPriority w:val="49"/>
    <w:qFormat/>
    <w:locked/>
    <w:rsid w:val="00717C6F"/>
    <w:pPr>
      <w:jc w:val="center"/>
    </w:pPr>
    <w:rPr>
      <w:i/>
      <w:sz w:val="18"/>
    </w:rPr>
  </w:style>
  <w:style w:type="paragraph" w:customStyle="1" w:styleId="Otherunnumberedheadings">
    <w:name w:val="Other unnumbered headings"/>
    <w:next w:val="BodyText"/>
    <w:link w:val="OtherunnumberedheadingsChar"/>
    <w:uiPriority w:val="49"/>
    <w:qFormat/>
    <w:locked/>
    <w:rsid w:val="00D26ADA"/>
    <w:pPr>
      <w:spacing w:before="100" w:beforeAutospacing="1" w:after="100" w:afterAutospacing="1" w:line="260" w:lineRule="atLeast"/>
      <w:jc w:val="center"/>
    </w:pPr>
    <w:rPr>
      <w:rFonts w:ascii="Times New Roman Bold" w:hAnsi="Times New Roman Bold"/>
      <w:b/>
      <w:caps/>
      <w:lang w:eastAsia="en-US"/>
    </w:rPr>
  </w:style>
  <w:style w:type="character" w:customStyle="1" w:styleId="FigurecaptionChar">
    <w:name w:val="Figure caption Char"/>
    <w:basedOn w:val="BodyTextChar"/>
    <w:link w:val="Figurecaption"/>
    <w:uiPriority w:val="49"/>
    <w:rsid w:val="00717C6F"/>
    <w:rPr>
      <w:i/>
      <w:sz w:val="18"/>
      <w:lang w:eastAsia="en-US"/>
    </w:rPr>
  </w:style>
  <w:style w:type="paragraph" w:customStyle="1" w:styleId="Referencelist">
    <w:name w:val="Reference list"/>
    <w:basedOn w:val="BodyText"/>
    <w:link w:val="ReferencelistChar"/>
    <w:uiPriority w:val="49"/>
    <w:qFormat/>
    <w:rsid w:val="009E0D5B"/>
    <w:pPr>
      <w:numPr>
        <w:numId w:val="30"/>
      </w:numPr>
    </w:pPr>
    <w:rPr>
      <w:sz w:val="18"/>
      <w:szCs w:val="18"/>
    </w:rPr>
  </w:style>
  <w:style w:type="character" w:customStyle="1" w:styleId="OtherunnumberedheadingsChar">
    <w:name w:val="Other unnumbered headings Char"/>
    <w:basedOn w:val="BodyTextChar"/>
    <w:link w:val="Otherunnumberedheadings"/>
    <w:uiPriority w:val="49"/>
    <w:rsid w:val="00D26ADA"/>
    <w:rPr>
      <w:rFonts w:ascii="Times New Roman Bold" w:hAnsi="Times New Roman Bold"/>
      <w:b/>
      <w:caps/>
      <w:lang w:eastAsia="en-US"/>
    </w:rPr>
  </w:style>
  <w:style w:type="character" w:customStyle="1" w:styleId="ReferencelistChar">
    <w:name w:val="Reference list Char"/>
    <w:basedOn w:val="BodyTextChar"/>
    <w:link w:val="Referencelist"/>
    <w:uiPriority w:val="49"/>
    <w:rsid w:val="009E0D5B"/>
    <w:rPr>
      <w:sz w:val="18"/>
      <w:szCs w:val="18"/>
      <w:lang w:eastAsia="en-US"/>
    </w:rPr>
  </w:style>
  <w:style w:type="paragraph" w:customStyle="1" w:styleId="Tabletext">
    <w:name w:val="Table text"/>
    <w:basedOn w:val="BodyText"/>
    <w:link w:val="TabletextChar"/>
    <w:uiPriority w:val="49"/>
    <w:qFormat/>
    <w:rsid w:val="00883848"/>
    <w:pPr>
      <w:ind w:firstLine="0"/>
    </w:pPr>
  </w:style>
  <w:style w:type="character" w:customStyle="1" w:styleId="TabletextChar">
    <w:name w:val="Table text Char"/>
    <w:basedOn w:val="BodyTextChar"/>
    <w:link w:val="Tabletext"/>
    <w:uiPriority w:val="49"/>
    <w:rsid w:val="00883848"/>
    <w:rPr>
      <w:lang w:eastAsia="en-US"/>
    </w:rPr>
  </w:style>
  <w:style w:type="character" w:styleId="Hyperlink">
    <w:name w:val="Hyperlink"/>
    <w:basedOn w:val="DefaultParagraphFont"/>
    <w:uiPriority w:val="49"/>
    <w:locked/>
    <w:rsid w:val="006A13EE"/>
    <w:rPr>
      <w:color w:val="0000FF" w:themeColor="hyperlink"/>
      <w:u w:val="single"/>
    </w:rPr>
  </w:style>
  <w:style w:type="character" w:customStyle="1" w:styleId="UnresolvedMention1">
    <w:name w:val="Unresolved Mention1"/>
    <w:basedOn w:val="DefaultParagraphFont"/>
    <w:uiPriority w:val="99"/>
    <w:semiHidden/>
    <w:unhideWhenUsed/>
    <w:rsid w:val="006A13EE"/>
    <w:rPr>
      <w:color w:val="605E5C"/>
      <w:shd w:val="clear" w:color="auto" w:fill="E1DFDD"/>
    </w:rPr>
  </w:style>
  <w:style w:type="character" w:customStyle="1" w:styleId="Heading3Char">
    <w:name w:val="Heading 3 Char"/>
    <w:aliases w:val="2nd level paper heading Char"/>
    <w:basedOn w:val="DefaultParagraphFont"/>
    <w:link w:val="Heading3"/>
    <w:uiPriority w:val="4"/>
    <w:rsid w:val="005B3DE1"/>
    <w:rPr>
      <w:b/>
      <w:lang w:eastAsia="en-US"/>
    </w:rPr>
  </w:style>
  <w:style w:type="character" w:styleId="CommentReference">
    <w:name w:val="annotation reference"/>
    <w:basedOn w:val="DefaultParagraphFont"/>
    <w:uiPriority w:val="49"/>
    <w:locked/>
    <w:rsid w:val="001906A4"/>
    <w:rPr>
      <w:sz w:val="16"/>
      <w:szCs w:val="16"/>
    </w:rPr>
  </w:style>
  <w:style w:type="paragraph" w:styleId="CommentText">
    <w:name w:val="annotation text"/>
    <w:basedOn w:val="Normal"/>
    <w:link w:val="CommentTextChar"/>
    <w:uiPriority w:val="49"/>
    <w:locked/>
    <w:rsid w:val="001906A4"/>
    <w:rPr>
      <w:sz w:val="20"/>
    </w:rPr>
  </w:style>
  <w:style w:type="character" w:customStyle="1" w:styleId="CommentTextChar">
    <w:name w:val="Comment Text Char"/>
    <w:basedOn w:val="DefaultParagraphFont"/>
    <w:link w:val="CommentText"/>
    <w:uiPriority w:val="49"/>
    <w:rsid w:val="001906A4"/>
    <w:rPr>
      <w:lang w:eastAsia="en-US"/>
    </w:rPr>
  </w:style>
  <w:style w:type="paragraph" w:styleId="CommentSubject">
    <w:name w:val="annotation subject"/>
    <w:basedOn w:val="CommentText"/>
    <w:next w:val="CommentText"/>
    <w:link w:val="CommentSubjectChar"/>
    <w:uiPriority w:val="49"/>
    <w:locked/>
    <w:rsid w:val="001906A4"/>
    <w:rPr>
      <w:b/>
      <w:bCs/>
    </w:rPr>
  </w:style>
  <w:style w:type="character" w:customStyle="1" w:styleId="CommentSubjectChar">
    <w:name w:val="Comment Subject Char"/>
    <w:basedOn w:val="CommentTextChar"/>
    <w:link w:val="CommentSubject"/>
    <w:uiPriority w:val="49"/>
    <w:rsid w:val="001906A4"/>
    <w:rPr>
      <w:b/>
      <w:bCs/>
      <w:lang w:eastAsia="en-US"/>
    </w:rPr>
  </w:style>
  <w:style w:type="character" w:customStyle="1" w:styleId="Heading2Char">
    <w:name w:val="Heading 2 Char"/>
    <w:aliases w:val="1st level paper heading Char"/>
    <w:basedOn w:val="DefaultParagraphFont"/>
    <w:link w:val="Heading2"/>
    <w:uiPriority w:val="4"/>
    <w:rsid w:val="006750DF"/>
    <w:rPr>
      <w:caps/>
      <w:lang w:eastAsia="en-US"/>
    </w:rPr>
  </w:style>
  <w:style w:type="character" w:styleId="FollowedHyperlink">
    <w:name w:val="FollowedHyperlink"/>
    <w:basedOn w:val="DefaultParagraphFont"/>
    <w:uiPriority w:val="49"/>
    <w:locked/>
    <w:rsid w:val="00B94CC1"/>
    <w:rPr>
      <w:color w:val="800080" w:themeColor="followedHyperlink"/>
      <w:u w:val="single"/>
    </w:rPr>
  </w:style>
  <w:style w:type="paragraph" w:styleId="Revision">
    <w:name w:val="Revision"/>
    <w:hidden/>
    <w:uiPriority w:val="99"/>
    <w:semiHidden/>
    <w:rsid w:val="001066C2"/>
    <w:rPr>
      <w:sz w:val="22"/>
      <w:lang w:eastAsia="en-US"/>
    </w:rPr>
  </w:style>
  <w:style w:type="character" w:styleId="UnresolvedMention">
    <w:name w:val="Unresolved Mention"/>
    <w:basedOn w:val="DefaultParagraphFont"/>
    <w:uiPriority w:val="99"/>
    <w:semiHidden/>
    <w:unhideWhenUsed/>
    <w:rsid w:val="00BE4EA5"/>
    <w:rPr>
      <w:color w:val="605E5C"/>
      <w:shd w:val="clear" w:color="auto" w:fill="E1DFDD"/>
    </w:rPr>
  </w:style>
  <w:style w:type="character" w:customStyle="1" w:styleId="HeaderChar">
    <w:name w:val="Header Char"/>
    <w:basedOn w:val="DefaultParagraphFont"/>
    <w:link w:val="Header"/>
    <w:uiPriority w:val="99"/>
    <w:rsid w:val="004442F1"/>
    <w:rPr>
      <w:sz w:val="18"/>
      <w:lang w:val="en-US" w:eastAsia="en-US"/>
    </w:rPr>
  </w:style>
  <w:style w:type="character" w:styleId="PlaceholderText">
    <w:name w:val="Placeholder Text"/>
    <w:basedOn w:val="DefaultParagraphFont"/>
    <w:uiPriority w:val="99"/>
    <w:semiHidden/>
    <w:locked/>
    <w:rsid w:val="00C80B89"/>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572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about:blank"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www.hatch.com/About-Us/Publications/Blogs/2022/10/Coal-Power-Plants-and-Nuclear-Power-A-Perfect-Marriage" TargetMode="Externa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mailto:farisha.panday@gmail.com"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yperlink" Target="about:blank"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about:blank"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4.gif"/><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about:blan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ISO690NmericalSquare.XSL" StyleName="ISO 690 - Numerical with Square Brackets"/>
</file>

<file path=customXml/item3.xml><?xml version="1.0" encoding="utf-8"?>
<ct:contentTypeSchema xmlns:ct="http://schemas.microsoft.com/office/2006/metadata/contentType" xmlns:ma="http://schemas.microsoft.com/office/2006/metadata/properties/metaAttributes" ct:_="" ma:_="" ma:contentTypeName="Document" ma:contentTypeID="0x010100E0510124C5164D4197854B74D4D1BCA2" ma:contentTypeVersion="13" ma:contentTypeDescription="Create a new document." ma:contentTypeScope="" ma:versionID="6f5a1b5fd4bba97183c316e548feb81e">
  <xsd:schema xmlns:xsd="http://www.w3.org/2001/XMLSchema" xmlns:xs="http://www.w3.org/2001/XMLSchema" xmlns:p="http://schemas.microsoft.com/office/2006/metadata/properties" xmlns:ns2="5ff9ec66-7137-4472-aa03-e17b5ea9e717" xmlns:ns3="fe6c333c-9c1b-42d1-8e1e-cea11eb06e62" targetNamespace="http://schemas.microsoft.com/office/2006/metadata/properties" ma:root="true" ma:fieldsID="a4ea733af7b95102c8c04ae7090666d5" ns2:_="" ns3:_="">
    <xsd:import namespace="5ff9ec66-7137-4472-aa03-e17b5ea9e717"/>
    <xsd:import namespace="fe6c333c-9c1b-42d1-8e1e-cea11eb06e6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f9ec66-7137-4472-aa03-e17b5ea9e7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879faba-27b2-4363-9c33-4960f0c9181e"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6c333c-9c1b-42d1-8e1e-cea11eb06e6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06bdb24-234a-4edb-a7c8-801d8c8dad63}" ma:internalName="TaxCatchAll" ma:showField="CatchAllData" ma:web="fe6c333c-9c1b-42d1-8e1e-cea11eb06e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ff9ec66-7137-4472-aa03-e17b5ea9e717">
      <Terms xmlns="http://schemas.microsoft.com/office/infopath/2007/PartnerControls"/>
    </lcf76f155ced4ddcb4097134ff3c332f>
    <TaxCatchAll xmlns="fe6c333c-9c1b-42d1-8e1e-cea11eb06e62" xsi:nil="true"/>
  </documentManagement>
</p:properties>
</file>

<file path=customXml/itemProps1.xml><?xml version="1.0" encoding="utf-8"?>
<ds:datastoreItem xmlns:ds="http://schemas.openxmlformats.org/officeDocument/2006/customXml" ds:itemID="{DD214215-4A85-471A-9CC9-7130AF1A2F69}">
  <ds:schemaRefs>
    <ds:schemaRef ds:uri="http://schemas.microsoft.com/sharepoint/v3/contenttype/forms"/>
  </ds:schemaRefs>
</ds:datastoreItem>
</file>

<file path=customXml/itemProps2.xml><?xml version="1.0" encoding="utf-8"?>
<ds:datastoreItem xmlns:ds="http://schemas.openxmlformats.org/officeDocument/2006/customXml" ds:itemID="{B6D3155E-04A0-4003-8322-8A5190718043}">
  <ds:schemaRefs>
    <ds:schemaRef ds:uri="http://schemas.openxmlformats.org/officeDocument/2006/bibliography"/>
  </ds:schemaRefs>
</ds:datastoreItem>
</file>

<file path=customXml/itemProps3.xml><?xml version="1.0" encoding="utf-8"?>
<ds:datastoreItem xmlns:ds="http://schemas.openxmlformats.org/officeDocument/2006/customXml" ds:itemID="{F2523721-693B-4B43-9C36-594CAD8841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f9ec66-7137-4472-aa03-e17b5ea9e717"/>
    <ds:schemaRef ds:uri="fe6c333c-9c1b-42d1-8e1e-cea11eb06e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47D10CF-69CC-4B75-8780-8DF44413C72E}">
  <ds:schemaRefs>
    <ds:schemaRef ds:uri="http://schemas.microsoft.com/office/2006/metadata/properties"/>
    <ds:schemaRef ds:uri="http://schemas.microsoft.com/office/infopath/2007/PartnerControls"/>
    <ds:schemaRef ds:uri="5ff9ec66-7137-4472-aa03-e17b5ea9e717"/>
    <ds:schemaRef ds:uri="fe6c333c-9c1b-42d1-8e1e-cea11eb06e62"/>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2266</Words>
  <Characters>13177</Characters>
  <Application>Microsoft Office Word</Application>
  <DocSecurity>4</DocSecurity>
  <Lines>109</Lines>
  <Paragraphs>30</Paragraphs>
  <ScaleCrop>false</ScaleCrop>
  <HeadingPairs>
    <vt:vector size="2" baseType="variant">
      <vt:variant>
        <vt:lpstr>Title</vt:lpstr>
      </vt:variant>
      <vt:variant>
        <vt:i4>1</vt:i4>
      </vt:variant>
    </vt:vector>
  </HeadingPairs>
  <TitlesOfParts>
    <vt:vector size="1" baseType="lpstr">
      <vt:lpstr>IAEA</vt:lpstr>
    </vt:vector>
  </TitlesOfParts>
  <Company>IAEA</Company>
  <LinksUpToDate>false</LinksUpToDate>
  <CharactersWithSpaces>15413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IAEA</dc:title>
  <dc:creator>Gemma Anna Ruffino</dc:creator>
  <cp:lastModifiedBy>CONSTANTIN, Alina</cp:lastModifiedBy>
  <cp:revision>2</cp:revision>
  <cp:lastPrinted>2024-06-18T14:12:00Z</cp:lastPrinted>
  <dcterms:created xsi:type="dcterms:W3CDTF">2024-09-26T11:49:00Z</dcterms:created>
  <dcterms:modified xsi:type="dcterms:W3CDTF">2024-09-26T11:49:00Z</dcterms:modified>
  <cp:category>IAEA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aeaClassification">
    <vt:lpwstr/>
  </property>
  <property fmtid="{D5CDD505-2E9C-101B-9397-08002B2CF9AE}" pid="3" name="IaeaSensitivity">
    <vt:lpwstr/>
  </property>
  <property fmtid="{D5CDD505-2E9C-101B-9397-08002B2CF9AE}" pid="4" name="IaeaDistribution">
    <vt:lpwstr/>
  </property>
  <property fmtid="{D5CDD505-2E9C-101B-9397-08002B2CF9AE}" pid="5" name="IaeaSecurityClassifier">
    <vt:lpwstr/>
  </property>
  <property fmtid="{D5CDD505-2E9C-101B-9397-08002B2CF9AE}" pid="6" name="IaeaClassificationDate">
    <vt:lpwstr/>
  </property>
  <property fmtid="{D5CDD505-2E9C-101B-9397-08002B2CF9AE}" pid="7" name="IaeaTransmission">
    <vt:lpwstr/>
  </property>
  <property fmtid="{D5CDD505-2E9C-101B-9397-08002B2CF9AE}" pid="8" name="IaeaConfidentialAttachments">
    <vt:lpwstr/>
  </property>
  <property fmtid="{D5CDD505-2E9C-101B-9397-08002B2CF9AE}" pid="9" name="Typist">
    <vt:lpwstr>Initials-Ext</vt:lpwstr>
  </property>
  <property fmtid="{D5CDD505-2E9C-101B-9397-08002B2CF9AE}" pid="10" name="IaeaClassification2">
    <vt:lpwstr/>
  </property>
  <property fmtid="{D5CDD505-2E9C-101B-9397-08002B2CF9AE}" pid="11" name="ContentTypeId">
    <vt:lpwstr>0x010100E0510124C5164D4197854B74D4D1BCA2</vt:lpwstr>
  </property>
  <property fmtid="{D5CDD505-2E9C-101B-9397-08002B2CF9AE}" pid="12" name="MediaServiceImageTags">
    <vt:lpwstr/>
  </property>
</Properties>
</file>