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AEB44" w14:textId="35CD9068" w:rsidR="0079322B" w:rsidRDefault="0079322B" w:rsidP="0079322B">
      <w:pPr>
        <w:pStyle w:val="Heading1"/>
      </w:pPr>
      <w:r>
        <w:t xml:space="preserve">TECHNO-ECONOMIC ANALYSIS OF SMR DEPLOYMENT </w:t>
      </w:r>
      <w:r w:rsidR="00AC1C06">
        <w:br/>
      </w:r>
      <w:r>
        <w:t>IN THE ESTONIAN POWER SYSTEM</w:t>
      </w:r>
    </w:p>
    <w:p w14:paraId="4D1B799F" w14:textId="77777777" w:rsidR="00802381" w:rsidRDefault="00802381" w:rsidP="00537496">
      <w:pPr>
        <w:pStyle w:val="Authornameandaffiliation"/>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7"/>
        <w:gridCol w:w="4193"/>
      </w:tblGrid>
      <w:tr w:rsidR="00D42BD2" w14:paraId="4D4A558B" w14:textId="77777777" w:rsidTr="00207667">
        <w:tc>
          <w:tcPr>
            <w:tcW w:w="4508" w:type="dxa"/>
          </w:tcPr>
          <w:p w14:paraId="4163E454" w14:textId="1586FE21" w:rsidR="00207667" w:rsidRDefault="00207667" w:rsidP="008B6690">
            <w:pPr>
              <w:rPr>
                <w:sz w:val="20"/>
              </w:rPr>
            </w:pPr>
            <w:r>
              <w:rPr>
                <w:sz w:val="20"/>
              </w:rPr>
              <w:t>R.H. IVASK, A.H. TKACZYK</w:t>
            </w:r>
          </w:p>
          <w:p w14:paraId="303B4627" w14:textId="77777777" w:rsidR="00207667" w:rsidRDefault="00207667" w:rsidP="008B6690">
            <w:pPr>
              <w:pBdr>
                <w:top w:val="nil"/>
                <w:left w:val="nil"/>
                <w:bottom w:val="nil"/>
                <w:right w:val="nil"/>
                <w:between w:val="nil"/>
              </w:pBdr>
              <w:rPr>
                <w:color w:val="000000"/>
                <w:sz w:val="20"/>
              </w:rPr>
            </w:pPr>
            <w:r>
              <w:rPr>
                <w:sz w:val="20"/>
              </w:rPr>
              <w:t>University of Tartu</w:t>
            </w:r>
          </w:p>
          <w:p w14:paraId="6CFF25A0" w14:textId="77777777" w:rsidR="00207667" w:rsidRDefault="00207667" w:rsidP="008B6690">
            <w:pPr>
              <w:pBdr>
                <w:top w:val="nil"/>
                <w:left w:val="nil"/>
                <w:bottom w:val="nil"/>
                <w:right w:val="nil"/>
                <w:between w:val="nil"/>
              </w:pBdr>
              <w:rPr>
                <w:color w:val="000000"/>
                <w:sz w:val="20"/>
              </w:rPr>
            </w:pPr>
            <w:r>
              <w:rPr>
                <w:sz w:val="20"/>
              </w:rPr>
              <w:t>Tartu</w:t>
            </w:r>
            <w:r>
              <w:rPr>
                <w:color w:val="000000"/>
                <w:sz w:val="20"/>
              </w:rPr>
              <w:t xml:space="preserve">, </w:t>
            </w:r>
            <w:r>
              <w:rPr>
                <w:sz w:val="20"/>
              </w:rPr>
              <w:t>Estonia</w:t>
            </w:r>
          </w:p>
          <w:p w14:paraId="135354B4" w14:textId="2488A850" w:rsidR="00207667" w:rsidRDefault="00207667" w:rsidP="008B6690">
            <w:pPr>
              <w:pBdr>
                <w:top w:val="nil"/>
                <w:left w:val="nil"/>
                <w:bottom w:val="nil"/>
                <w:right w:val="nil"/>
                <w:between w:val="nil"/>
              </w:pBdr>
              <w:rPr>
                <w:sz w:val="20"/>
              </w:rPr>
            </w:pPr>
            <w:r>
              <w:rPr>
                <w:color w:val="000000"/>
                <w:sz w:val="20"/>
              </w:rPr>
              <w:t xml:space="preserve">Email: </w:t>
            </w:r>
            <w:r>
              <w:rPr>
                <w:sz w:val="20"/>
              </w:rPr>
              <w:t>alan@ut.ee</w:t>
            </w:r>
          </w:p>
          <w:p w14:paraId="29ADD6A9" w14:textId="77777777" w:rsidR="002D5DCC" w:rsidRDefault="002D5DCC" w:rsidP="008B6690">
            <w:pPr>
              <w:pBdr>
                <w:top w:val="nil"/>
                <w:left w:val="nil"/>
                <w:bottom w:val="nil"/>
                <w:right w:val="nil"/>
                <w:between w:val="nil"/>
              </w:pBdr>
              <w:rPr>
                <w:color w:val="000000"/>
                <w:sz w:val="20"/>
              </w:rPr>
            </w:pPr>
          </w:p>
          <w:p w14:paraId="3DE3C66B" w14:textId="77777777" w:rsidR="002D5DCC" w:rsidRPr="00997940" w:rsidRDefault="002D5DCC" w:rsidP="002D5DCC">
            <w:pPr>
              <w:rPr>
                <w:sz w:val="20"/>
                <w:lang w:val="fr-FR"/>
              </w:rPr>
            </w:pPr>
            <w:r w:rsidRPr="00997940">
              <w:rPr>
                <w:sz w:val="20"/>
                <w:lang w:val="fr-FR"/>
              </w:rPr>
              <w:t>Y. LI, M. TOT, H. PAILLERE</w:t>
            </w:r>
          </w:p>
          <w:p w14:paraId="663FD5F4" w14:textId="77777777" w:rsidR="002D5DCC" w:rsidRDefault="002D5DCC" w:rsidP="002D5DCC">
            <w:pPr>
              <w:pBdr>
                <w:top w:val="nil"/>
                <w:left w:val="nil"/>
                <w:bottom w:val="nil"/>
                <w:right w:val="nil"/>
                <w:between w:val="nil"/>
              </w:pBdr>
              <w:rPr>
                <w:sz w:val="20"/>
              </w:rPr>
            </w:pPr>
            <w:r w:rsidRPr="00AC1C06">
              <w:rPr>
                <w:sz w:val="20"/>
              </w:rPr>
              <w:t>International Atomic Energy Agency</w:t>
            </w:r>
            <w:r>
              <w:rPr>
                <w:sz w:val="20"/>
              </w:rPr>
              <w:br/>
              <w:t>Vienna, Austria</w:t>
            </w:r>
          </w:p>
          <w:p w14:paraId="0C8BF573" w14:textId="77777777" w:rsidR="00207667" w:rsidRDefault="00207667" w:rsidP="00207667">
            <w:pPr>
              <w:pStyle w:val="Authornameandaffiliation"/>
              <w:ind w:left="0"/>
            </w:pPr>
          </w:p>
        </w:tc>
        <w:tc>
          <w:tcPr>
            <w:tcW w:w="4509" w:type="dxa"/>
          </w:tcPr>
          <w:p w14:paraId="7053F7BE" w14:textId="77777777" w:rsidR="00207667" w:rsidRDefault="00207667" w:rsidP="002D5DCC">
            <w:pPr>
              <w:pBdr>
                <w:top w:val="nil"/>
                <w:left w:val="nil"/>
                <w:bottom w:val="nil"/>
                <w:right w:val="nil"/>
                <w:between w:val="nil"/>
              </w:pBdr>
            </w:pPr>
          </w:p>
        </w:tc>
      </w:tr>
    </w:tbl>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263EDEC9" w14:textId="6AEB436D" w:rsidR="0079322B" w:rsidRDefault="0079322B" w:rsidP="0079322B">
      <w:pPr>
        <w:spacing w:line="276" w:lineRule="auto"/>
        <w:ind w:firstLine="720"/>
        <w:jc w:val="both"/>
        <w:rPr>
          <w:sz w:val="18"/>
          <w:szCs w:val="18"/>
        </w:rPr>
      </w:pPr>
      <w:r>
        <w:rPr>
          <w:sz w:val="18"/>
          <w:szCs w:val="18"/>
        </w:rPr>
        <w:t xml:space="preserve">Energy production in Estonia has heavily relied on fossil fuels, namely 70% of electricity generation in 2019 was powered by oil shale. Estonia has committed to contribute to joint EU greenhouse gas reduction targets. </w:t>
      </w:r>
      <w:r w:rsidR="00397884">
        <w:rPr>
          <w:sz w:val="18"/>
          <w:szCs w:val="18"/>
        </w:rPr>
        <w:t xml:space="preserve">The Estonian </w:t>
      </w:r>
      <w:r>
        <w:rPr>
          <w:sz w:val="18"/>
          <w:szCs w:val="18"/>
        </w:rPr>
        <w:t xml:space="preserve">Ministry of Climate, </w:t>
      </w:r>
      <w:r w:rsidR="0017737E">
        <w:rPr>
          <w:sz w:val="18"/>
          <w:szCs w:val="18"/>
        </w:rPr>
        <w:t>to</w:t>
      </w:r>
      <w:r>
        <w:rPr>
          <w:sz w:val="18"/>
          <w:szCs w:val="18"/>
        </w:rPr>
        <w:t xml:space="preserve"> ensure preparedness and resilience to react to the impact of climate change, has set a target to reduce Estonian greenhouse gas emissions by 80% by 2050. Recognizing this, the Estonian government’s Nuclear Energy Working Group report published at the end of 2023 indicated that introduction of nuclear power into </w:t>
      </w:r>
      <w:r w:rsidR="00397884">
        <w:rPr>
          <w:sz w:val="18"/>
          <w:szCs w:val="18"/>
        </w:rPr>
        <w:t xml:space="preserve">the Estonian </w:t>
      </w:r>
      <w:r>
        <w:rPr>
          <w:sz w:val="18"/>
          <w:szCs w:val="18"/>
        </w:rPr>
        <w:t xml:space="preserve">energy system could significantly contribute to achieving climate neutrality goals. A suitable nuclear power option to consider could be a small modular reactor (SMR) with a capacity of 300-400 MW. To assess techno-economic aspects of the nuclear option, the IAEA’s energy system assessment tool MESSAGE was applied. </w:t>
      </w:r>
      <w:r w:rsidR="00B26B4F">
        <w:rPr>
          <w:sz w:val="18"/>
          <w:szCs w:val="18"/>
        </w:rPr>
        <w:t>A</w:t>
      </w:r>
      <w:r>
        <w:rPr>
          <w:sz w:val="18"/>
          <w:szCs w:val="18"/>
        </w:rPr>
        <w:t xml:space="preserve"> case study </w:t>
      </w:r>
      <w:r w:rsidR="00B26B4F">
        <w:rPr>
          <w:sz w:val="18"/>
          <w:szCs w:val="18"/>
        </w:rPr>
        <w:t>was</w:t>
      </w:r>
      <w:r>
        <w:rPr>
          <w:sz w:val="18"/>
          <w:szCs w:val="18"/>
        </w:rPr>
        <w:t xml:space="preserve"> developed to understand how an SMR would integrate into the Estonian energy system, including regional grid and market considerations. Existing and planned power generation technologies were </w:t>
      </w:r>
      <w:r w:rsidR="004A2D0D">
        <w:rPr>
          <w:sz w:val="18"/>
          <w:szCs w:val="18"/>
        </w:rPr>
        <w:t>analyse</w:t>
      </w:r>
      <w:r>
        <w:rPr>
          <w:sz w:val="18"/>
          <w:szCs w:val="18"/>
        </w:rPr>
        <w:t>d, including seasonal electricity and heat demand. Several scenarios were simulated for the period up to 2050. The paper summarizes the results and conclusions of this analysis.</w:t>
      </w:r>
    </w:p>
    <w:p w14:paraId="282F2547" w14:textId="1336E895" w:rsidR="0079322B" w:rsidRPr="0079322B" w:rsidRDefault="0079322B" w:rsidP="0079322B">
      <w:pPr>
        <w:pStyle w:val="Heading2"/>
      </w:pPr>
      <w:r>
        <w:t>INTRODUCTION</w:t>
      </w:r>
    </w:p>
    <w:p w14:paraId="0283AB4F" w14:textId="2691767B" w:rsidR="0079322B" w:rsidRDefault="0079322B" w:rsidP="0079322B">
      <w:pPr>
        <w:spacing w:line="276" w:lineRule="auto"/>
        <w:ind w:firstLine="720"/>
        <w:jc w:val="both"/>
        <w:rPr>
          <w:sz w:val="20"/>
        </w:rPr>
      </w:pPr>
      <w:r>
        <w:rPr>
          <w:sz w:val="20"/>
        </w:rPr>
        <w:t xml:space="preserve">Estonia, a small Baltic nation with a population of approximately 1.3 million, has a unique energy system. Estonia </w:t>
      </w:r>
      <w:r w:rsidR="00C11994">
        <w:rPr>
          <w:sz w:val="20"/>
        </w:rPr>
        <w:t>experiences</w:t>
      </w:r>
      <w:r w:rsidR="00397884">
        <w:rPr>
          <w:sz w:val="20"/>
        </w:rPr>
        <w:t xml:space="preserve"> </w:t>
      </w:r>
      <w:r>
        <w:rPr>
          <w:sz w:val="20"/>
        </w:rPr>
        <w:t xml:space="preserve">cold winters, with </w:t>
      </w:r>
      <w:r w:rsidR="0084113D">
        <w:rPr>
          <w:sz w:val="20"/>
        </w:rPr>
        <w:t xml:space="preserve">an </w:t>
      </w:r>
      <w:r>
        <w:rPr>
          <w:sz w:val="20"/>
        </w:rPr>
        <w:t xml:space="preserve">average temperature </w:t>
      </w:r>
      <w:r w:rsidR="00160C2A">
        <w:rPr>
          <w:sz w:val="20"/>
        </w:rPr>
        <w:t xml:space="preserve">of </w:t>
      </w:r>
      <w:r>
        <w:rPr>
          <w:sz w:val="20"/>
        </w:rPr>
        <w:t xml:space="preserve">-8 °C, and </w:t>
      </w:r>
      <w:r w:rsidR="00397884">
        <w:rPr>
          <w:sz w:val="20"/>
        </w:rPr>
        <w:t xml:space="preserve">reasonably </w:t>
      </w:r>
      <w:r>
        <w:rPr>
          <w:sz w:val="20"/>
        </w:rPr>
        <w:t xml:space="preserve">warm summers, with </w:t>
      </w:r>
      <w:r w:rsidR="0084113D">
        <w:rPr>
          <w:sz w:val="20"/>
        </w:rPr>
        <w:t xml:space="preserve">an </w:t>
      </w:r>
      <w:r>
        <w:rPr>
          <w:sz w:val="20"/>
        </w:rPr>
        <w:t xml:space="preserve">average temperature of 20.9 °C </w:t>
      </w:r>
      <w:r w:rsidR="00C2415F">
        <w:rPr>
          <w:sz w:val="20"/>
        </w:rPr>
        <w:fldChar w:fldCharType="begin"/>
      </w:r>
      <w:r w:rsidR="00C2415F">
        <w:rPr>
          <w:sz w:val="20"/>
        </w:rPr>
        <w:instrText xml:space="preserve"> REF _Ref170404366 \r \h </w:instrText>
      </w:r>
      <w:r w:rsidR="00C2415F">
        <w:rPr>
          <w:sz w:val="20"/>
        </w:rPr>
      </w:r>
      <w:r w:rsidR="00C2415F">
        <w:rPr>
          <w:sz w:val="20"/>
        </w:rPr>
        <w:fldChar w:fldCharType="separate"/>
      </w:r>
      <w:r w:rsidR="00C2415F">
        <w:rPr>
          <w:sz w:val="20"/>
        </w:rPr>
        <w:t>[1]</w:t>
      </w:r>
      <w:r w:rsidR="00C2415F">
        <w:rPr>
          <w:sz w:val="20"/>
        </w:rPr>
        <w:fldChar w:fldCharType="end"/>
      </w:r>
      <w:r>
        <w:rPr>
          <w:sz w:val="20"/>
        </w:rPr>
        <w:t xml:space="preserve">. The natural energy resources in Estonia </w:t>
      </w:r>
      <w:r w:rsidR="00B92775">
        <w:rPr>
          <w:sz w:val="20"/>
        </w:rPr>
        <w:t>include</w:t>
      </w:r>
      <w:r>
        <w:rPr>
          <w:sz w:val="20"/>
        </w:rPr>
        <w:t xml:space="preserve"> peat, wood and oil shale, </w:t>
      </w:r>
      <w:r w:rsidR="001F5580">
        <w:rPr>
          <w:sz w:val="20"/>
        </w:rPr>
        <w:t xml:space="preserve">the latter </w:t>
      </w:r>
      <w:r>
        <w:rPr>
          <w:sz w:val="20"/>
        </w:rPr>
        <w:t xml:space="preserve">of which the country has historically relied on. In 2019, 70% of electricity generation was powered by oil shale, </w:t>
      </w:r>
      <w:r w:rsidR="00397884">
        <w:rPr>
          <w:sz w:val="20"/>
        </w:rPr>
        <w:t>which is linked to the relatively high carbon intensity ranking of Estonia within</w:t>
      </w:r>
      <w:r>
        <w:rPr>
          <w:sz w:val="20"/>
        </w:rPr>
        <w:t xml:space="preserve"> European Union (EU)</w:t>
      </w:r>
      <w:r w:rsidR="00397884">
        <w:rPr>
          <w:sz w:val="20"/>
        </w:rPr>
        <w:t xml:space="preserve"> countries</w:t>
      </w:r>
      <w:r>
        <w:rPr>
          <w:sz w:val="20"/>
        </w:rPr>
        <w:t xml:space="preserve"> </w:t>
      </w:r>
      <w:r w:rsidR="005B1E73">
        <w:rPr>
          <w:sz w:val="20"/>
        </w:rPr>
        <w:fldChar w:fldCharType="begin"/>
      </w:r>
      <w:r w:rsidR="005B1E73">
        <w:rPr>
          <w:sz w:val="20"/>
        </w:rPr>
        <w:instrText xml:space="preserve"> REF _Ref170404393 \r \h </w:instrText>
      </w:r>
      <w:r w:rsidR="005B1E73">
        <w:rPr>
          <w:sz w:val="20"/>
        </w:rPr>
      </w:r>
      <w:r w:rsidR="005B1E73">
        <w:rPr>
          <w:sz w:val="20"/>
        </w:rPr>
        <w:fldChar w:fldCharType="separate"/>
      </w:r>
      <w:r w:rsidR="000F020D">
        <w:rPr>
          <w:sz w:val="20"/>
        </w:rPr>
        <w:t>[2]</w:t>
      </w:r>
      <w:r w:rsidR="005B1E73">
        <w:rPr>
          <w:sz w:val="20"/>
        </w:rPr>
        <w:fldChar w:fldCharType="end"/>
      </w:r>
      <w:r>
        <w:rPr>
          <w:sz w:val="20"/>
        </w:rPr>
        <w:t>. Estonia</w:t>
      </w:r>
      <w:r w:rsidR="00A25728">
        <w:rPr>
          <w:sz w:val="20"/>
        </w:rPr>
        <w:t xml:space="preserve"> has been a</w:t>
      </w:r>
      <w:r w:rsidR="00AA744E">
        <w:rPr>
          <w:sz w:val="20"/>
        </w:rPr>
        <w:t>n</w:t>
      </w:r>
      <w:r w:rsidR="00A25728">
        <w:rPr>
          <w:sz w:val="20"/>
        </w:rPr>
        <w:t xml:space="preserve"> EU member state since 2004 and therefore is subject to</w:t>
      </w:r>
      <w:r w:rsidR="00F40FE3">
        <w:rPr>
          <w:sz w:val="20"/>
        </w:rPr>
        <w:t xml:space="preserve"> </w:t>
      </w:r>
      <w:r w:rsidR="00A25728">
        <w:rPr>
          <w:sz w:val="20"/>
        </w:rPr>
        <w:t>EU</w:t>
      </w:r>
      <w:r w:rsidR="00940920">
        <w:rPr>
          <w:sz w:val="20"/>
        </w:rPr>
        <w:t xml:space="preserve"> targets and </w:t>
      </w:r>
      <w:r w:rsidR="00F40FE3">
        <w:rPr>
          <w:sz w:val="20"/>
        </w:rPr>
        <w:t>common</w:t>
      </w:r>
      <w:r>
        <w:rPr>
          <w:sz w:val="20"/>
        </w:rPr>
        <w:t xml:space="preserve"> rules for the promotion of clean energy. In 2023, </w:t>
      </w:r>
      <w:r w:rsidR="00A25728">
        <w:rPr>
          <w:sz w:val="20"/>
        </w:rPr>
        <w:t>the EU set a mandatory target</w:t>
      </w:r>
      <w:r>
        <w:rPr>
          <w:sz w:val="20"/>
        </w:rPr>
        <w:t xml:space="preserve"> </w:t>
      </w:r>
      <w:r w:rsidR="00A90C6F">
        <w:rPr>
          <w:sz w:val="20"/>
        </w:rPr>
        <w:t xml:space="preserve">requiring </w:t>
      </w:r>
      <w:r>
        <w:rPr>
          <w:sz w:val="20"/>
        </w:rPr>
        <w:t xml:space="preserve">each </w:t>
      </w:r>
      <w:r w:rsidR="00A25728">
        <w:rPr>
          <w:sz w:val="20"/>
        </w:rPr>
        <w:t xml:space="preserve">EU </w:t>
      </w:r>
      <w:r>
        <w:rPr>
          <w:sz w:val="20"/>
        </w:rPr>
        <w:t xml:space="preserve">member state </w:t>
      </w:r>
      <w:r w:rsidR="00B76188">
        <w:rPr>
          <w:sz w:val="20"/>
        </w:rPr>
        <w:t xml:space="preserve">to achieve a renewable </w:t>
      </w:r>
      <w:r w:rsidR="00D561E8">
        <w:rPr>
          <w:sz w:val="20"/>
        </w:rPr>
        <w:t xml:space="preserve">energy share of </w:t>
      </w:r>
      <w:r>
        <w:rPr>
          <w:sz w:val="20"/>
        </w:rPr>
        <w:t xml:space="preserve">least 42.5% by 2030 </w:t>
      </w:r>
      <w:r w:rsidR="005B1E73">
        <w:rPr>
          <w:sz w:val="20"/>
        </w:rPr>
        <w:fldChar w:fldCharType="begin"/>
      </w:r>
      <w:r w:rsidR="005B1E73">
        <w:rPr>
          <w:sz w:val="20"/>
        </w:rPr>
        <w:instrText xml:space="preserve"> REF _Ref170404406 \r \h </w:instrText>
      </w:r>
      <w:r w:rsidR="005B1E73">
        <w:rPr>
          <w:sz w:val="20"/>
        </w:rPr>
      </w:r>
      <w:r w:rsidR="005B1E73">
        <w:rPr>
          <w:sz w:val="20"/>
        </w:rPr>
        <w:fldChar w:fldCharType="separate"/>
      </w:r>
      <w:r w:rsidR="000F020D">
        <w:rPr>
          <w:sz w:val="20"/>
        </w:rPr>
        <w:t>[3]</w:t>
      </w:r>
      <w:r w:rsidR="005B1E73">
        <w:rPr>
          <w:sz w:val="20"/>
        </w:rPr>
        <w:fldChar w:fldCharType="end"/>
      </w:r>
      <w:r>
        <w:rPr>
          <w:sz w:val="20"/>
        </w:rPr>
        <w:t>.</w:t>
      </w:r>
    </w:p>
    <w:p w14:paraId="2DBFCBB4" w14:textId="20217A36" w:rsidR="00A00B40" w:rsidRDefault="00A00B40" w:rsidP="00A00B40">
      <w:pPr>
        <w:pStyle w:val="Heading3"/>
        <w:rPr>
          <w:sz w:val="18"/>
          <w:szCs w:val="18"/>
        </w:rPr>
      </w:pPr>
      <w:r>
        <w:t>Energy demand</w:t>
      </w:r>
      <w:r w:rsidR="002775A8">
        <w:t xml:space="preserve"> in Estonia</w:t>
      </w:r>
    </w:p>
    <w:p w14:paraId="31F67BD4" w14:textId="26E9B3B4" w:rsidR="00A00B40" w:rsidRDefault="001F0546" w:rsidP="0055203F">
      <w:pPr>
        <w:keepLines/>
        <w:widowControl w:val="0"/>
        <w:spacing w:before="240" w:after="240" w:line="276" w:lineRule="auto"/>
        <w:ind w:firstLine="720"/>
        <w:jc w:val="both"/>
        <w:rPr>
          <w:sz w:val="20"/>
        </w:rPr>
      </w:pPr>
      <w:r>
        <w:rPr>
          <w:sz w:val="20"/>
        </w:rPr>
        <w:t>The a</w:t>
      </w:r>
      <w:r w:rsidR="00A00B40">
        <w:rPr>
          <w:sz w:val="20"/>
        </w:rPr>
        <w:t xml:space="preserve">ll-time </w:t>
      </w:r>
      <w:r w:rsidR="002775A8">
        <w:rPr>
          <w:sz w:val="20"/>
        </w:rPr>
        <w:t xml:space="preserve">highest </w:t>
      </w:r>
      <w:r w:rsidR="00A00B40">
        <w:rPr>
          <w:sz w:val="20"/>
        </w:rPr>
        <w:t xml:space="preserve">peak electricity consumption </w:t>
      </w:r>
      <w:r w:rsidR="00BA402C">
        <w:rPr>
          <w:sz w:val="20"/>
        </w:rPr>
        <w:t xml:space="preserve">for Estonia </w:t>
      </w:r>
      <w:r w:rsidR="00A00B40">
        <w:rPr>
          <w:sz w:val="20"/>
        </w:rPr>
        <w:t xml:space="preserve">was 1599 MW on January 4, 2024. Before this, the </w:t>
      </w:r>
      <w:r w:rsidR="002775A8">
        <w:rPr>
          <w:sz w:val="20"/>
        </w:rPr>
        <w:t xml:space="preserve">highest </w:t>
      </w:r>
      <w:r w:rsidR="00A00B40">
        <w:rPr>
          <w:sz w:val="20"/>
        </w:rPr>
        <w:t xml:space="preserve">peak electricity consumption was 1591 MW on February 18, </w:t>
      </w:r>
      <w:proofErr w:type="gramStart"/>
      <w:r w:rsidR="00A00B40">
        <w:rPr>
          <w:sz w:val="20"/>
        </w:rPr>
        <w:t>2021</w:t>
      </w:r>
      <w:proofErr w:type="gramEnd"/>
      <w:r w:rsidR="00A00B40">
        <w:rPr>
          <w:sz w:val="20"/>
        </w:rPr>
        <w:t xml:space="preserve"> </w:t>
      </w:r>
      <w:r w:rsidR="005662D4">
        <w:rPr>
          <w:sz w:val="20"/>
        </w:rPr>
        <w:fldChar w:fldCharType="begin"/>
      </w:r>
      <w:r w:rsidR="005662D4">
        <w:rPr>
          <w:sz w:val="20"/>
        </w:rPr>
        <w:instrText xml:space="preserve"> REF _Ref170404421 \r \h </w:instrText>
      </w:r>
      <w:r w:rsidR="005662D4">
        <w:rPr>
          <w:sz w:val="20"/>
        </w:rPr>
      </w:r>
      <w:r w:rsidR="005662D4">
        <w:rPr>
          <w:sz w:val="20"/>
        </w:rPr>
        <w:fldChar w:fldCharType="separate"/>
      </w:r>
      <w:r w:rsidR="005662D4">
        <w:rPr>
          <w:sz w:val="20"/>
        </w:rPr>
        <w:t>[</w:t>
      </w:r>
      <w:r w:rsidR="000A3701">
        <w:rPr>
          <w:sz w:val="20"/>
        </w:rPr>
        <w:t>4</w:t>
      </w:r>
      <w:r w:rsidR="005662D4">
        <w:rPr>
          <w:sz w:val="20"/>
        </w:rPr>
        <w:t>]</w:t>
      </w:r>
      <w:r w:rsidR="005662D4">
        <w:rPr>
          <w:sz w:val="20"/>
        </w:rPr>
        <w:fldChar w:fldCharType="end"/>
      </w:r>
      <w:r w:rsidR="00A00B40">
        <w:rPr>
          <w:sz w:val="20"/>
        </w:rPr>
        <w:t xml:space="preserve">. According to the latest released </w:t>
      </w:r>
      <w:r w:rsidR="002B3DD5">
        <w:rPr>
          <w:sz w:val="20"/>
        </w:rPr>
        <w:t>draft of the N</w:t>
      </w:r>
      <w:r w:rsidR="00A00B40">
        <w:rPr>
          <w:sz w:val="20"/>
        </w:rPr>
        <w:t xml:space="preserve">ational </w:t>
      </w:r>
      <w:r w:rsidR="002B3DD5">
        <w:rPr>
          <w:sz w:val="20"/>
        </w:rPr>
        <w:t>E</w:t>
      </w:r>
      <w:r w:rsidR="00A00B40">
        <w:rPr>
          <w:sz w:val="20"/>
        </w:rPr>
        <w:t xml:space="preserve">nergy and </w:t>
      </w:r>
      <w:r w:rsidR="002B3DD5">
        <w:rPr>
          <w:sz w:val="20"/>
        </w:rPr>
        <w:t>C</w:t>
      </w:r>
      <w:r w:rsidR="00A00B40">
        <w:rPr>
          <w:sz w:val="20"/>
        </w:rPr>
        <w:t xml:space="preserve">limate </w:t>
      </w:r>
      <w:r w:rsidR="002B3DD5">
        <w:rPr>
          <w:sz w:val="20"/>
        </w:rPr>
        <w:t>P</w:t>
      </w:r>
      <w:r w:rsidR="00A00B40">
        <w:rPr>
          <w:sz w:val="20"/>
        </w:rPr>
        <w:t xml:space="preserve">lan (NECP), </w:t>
      </w:r>
      <w:r w:rsidR="002775A8">
        <w:rPr>
          <w:sz w:val="20"/>
        </w:rPr>
        <w:t xml:space="preserve">Estonian </w:t>
      </w:r>
      <w:r w:rsidR="00A00B40">
        <w:rPr>
          <w:sz w:val="20"/>
        </w:rPr>
        <w:t>electricity consumption is</w:t>
      </w:r>
      <w:r w:rsidR="002775A8">
        <w:rPr>
          <w:sz w:val="20"/>
        </w:rPr>
        <w:t xml:space="preserve"> expected</w:t>
      </w:r>
      <w:r w:rsidR="00A00B40">
        <w:rPr>
          <w:sz w:val="20"/>
        </w:rPr>
        <w:t xml:space="preserve"> to double within </w:t>
      </w:r>
      <w:r w:rsidR="002B3DD5">
        <w:rPr>
          <w:sz w:val="20"/>
        </w:rPr>
        <w:t xml:space="preserve">the </w:t>
      </w:r>
      <w:r w:rsidR="00A00B40">
        <w:rPr>
          <w:sz w:val="20"/>
        </w:rPr>
        <w:t xml:space="preserve">next 25 years. </w:t>
      </w:r>
      <w:r w:rsidR="00D52BB0">
        <w:rPr>
          <w:sz w:val="20"/>
        </w:rPr>
        <w:t>Table 1 shows</w:t>
      </w:r>
      <w:r w:rsidR="00A00B40">
        <w:rPr>
          <w:sz w:val="20"/>
        </w:rPr>
        <w:t xml:space="preserve"> the projection </w:t>
      </w:r>
      <w:r w:rsidR="002775A8">
        <w:rPr>
          <w:sz w:val="20"/>
        </w:rPr>
        <w:t>of</w:t>
      </w:r>
      <w:r w:rsidR="00A00B40">
        <w:rPr>
          <w:sz w:val="20"/>
        </w:rPr>
        <w:t xml:space="preserve"> </w:t>
      </w:r>
      <w:r w:rsidR="002775A8">
        <w:rPr>
          <w:sz w:val="20"/>
        </w:rPr>
        <w:t xml:space="preserve">annual Estonian </w:t>
      </w:r>
      <w:r w:rsidR="00A00B40">
        <w:rPr>
          <w:sz w:val="20"/>
        </w:rPr>
        <w:t>electricity consumption</w:t>
      </w:r>
      <w:r w:rsidR="00D52BB0">
        <w:rPr>
          <w:sz w:val="20"/>
        </w:rPr>
        <w:t xml:space="preserve"> according to th</w:t>
      </w:r>
      <w:r w:rsidR="002B3DD5">
        <w:rPr>
          <w:sz w:val="20"/>
        </w:rPr>
        <w:t>e</w:t>
      </w:r>
      <w:r w:rsidR="00D52BB0">
        <w:rPr>
          <w:sz w:val="20"/>
        </w:rPr>
        <w:t xml:space="preserve"> draft</w:t>
      </w:r>
      <w:r w:rsidR="002B3DD5">
        <w:rPr>
          <w:sz w:val="20"/>
        </w:rPr>
        <w:t xml:space="preserve"> NECP</w:t>
      </w:r>
      <w:r w:rsidR="00D52BB0">
        <w:rPr>
          <w:sz w:val="20"/>
        </w:rPr>
        <w:t>.</w:t>
      </w:r>
    </w:p>
    <w:p w14:paraId="48B78B1F" w14:textId="38110138" w:rsidR="005664C9" w:rsidRDefault="00A00B40" w:rsidP="0055203F">
      <w:pPr>
        <w:keepLines/>
        <w:widowControl w:val="0"/>
        <w:spacing w:after="240" w:line="276" w:lineRule="auto"/>
      </w:pPr>
      <w:r>
        <w:rPr>
          <w:sz w:val="20"/>
        </w:rPr>
        <w:t>TABLE 1.</w:t>
      </w:r>
      <w:r>
        <w:rPr>
          <w:sz w:val="20"/>
        </w:rPr>
        <w:tab/>
        <w:t>PROJECTION</w:t>
      </w:r>
      <w:r w:rsidR="00595C40">
        <w:rPr>
          <w:sz w:val="20"/>
        </w:rPr>
        <w:t xml:space="preserve"> OF</w:t>
      </w:r>
      <w:r w:rsidR="002775A8">
        <w:rPr>
          <w:sz w:val="20"/>
        </w:rPr>
        <w:t xml:space="preserve"> ANNUAL</w:t>
      </w:r>
      <w:r w:rsidR="00595C40">
        <w:rPr>
          <w:sz w:val="20"/>
        </w:rPr>
        <w:t xml:space="preserve"> ELECTRICITY CONSUMPTION IN ESTONIA</w:t>
      </w:r>
      <w:r>
        <w:rPr>
          <w:sz w:val="20"/>
        </w:rPr>
        <w:t xml:space="preserve"> </w:t>
      </w:r>
      <w:r w:rsidR="005662D4">
        <w:rPr>
          <w:sz w:val="20"/>
        </w:rPr>
        <w:fldChar w:fldCharType="begin"/>
      </w:r>
      <w:r w:rsidR="005662D4">
        <w:rPr>
          <w:sz w:val="20"/>
        </w:rPr>
        <w:instrText xml:space="preserve"> REF _Ref170404435 \r \h </w:instrText>
      </w:r>
      <w:r w:rsidR="005662D4">
        <w:rPr>
          <w:sz w:val="20"/>
        </w:rPr>
      </w:r>
      <w:r w:rsidR="005662D4">
        <w:rPr>
          <w:sz w:val="20"/>
        </w:rPr>
        <w:fldChar w:fldCharType="separate"/>
      </w:r>
      <w:r w:rsidR="000F020D">
        <w:rPr>
          <w:sz w:val="20"/>
        </w:rPr>
        <w:t>[5</w:t>
      </w:r>
      <w:r w:rsidR="005662D4" w:rsidDel="000F020D">
        <w:rPr>
          <w:sz w:val="20"/>
        </w:rPr>
        <w:t>]</w:t>
      </w:r>
      <w:r w:rsidR="005662D4">
        <w:rPr>
          <w:sz w:val="20"/>
        </w:rPr>
        <w:fldChar w:fldCharType="end"/>
      </w:r>
    </w:p>
    <w:tbl>
      <w:tblPr>
        <w:tblW w:w="8925" w:type="dxa"/>
        <w:jc w:val="center"/>
        <w:tblBorders>
          <w:top w:val="single" w:sz="4" w:space="0" w:color="auto"/>
          <w:bottom w:val="single" w:sz="4" w:space="0" w:color="auto"/>
          <w:insideH w:val="single" w:sz="4" w:space="0" w:color="auto"/>
        </w:tblBorders>
        <w:tblLayout w:type="fixed"/>
        <w:tblLook w:val="0600" w:firstRow="0" w:lastRow="0" w:firstColumn="0" w:lastColumn="0" w:noHBand="1" w:noVBand="1"/>
      </w:tblPr>
      <w:tblGrid>
        <w:gridCol w:w="2835"/>
        <w:gridCol w:w="1015"/>
        <w:gridCol w:w="1015"/>
        <w:gridCol w:w="1015"/>
        <w:gridCol w:w="1015"/>
        <w:gridCol w:w="1015"/>
        <w:gridCol w:w="1015"/>
      </w:tblGrid>
      <w:tr w:rsidR="00A00B40" w14:paraId="095197BF" w14:textId="77777777" w:rsidTr="00312177">
        <w:trPr>
          <w:jc w:val="center"/>
        </w:trPr>
        <w:tc>
          <w:tcPr>
            <w:tcW w:w="2835" w:type="dxa"/>
          </w:tcPr>
          <w:p w14:paraId="10E37B0B" w14:textId="77777777" w:rsidR="00A00B40" w:rsidRPr="0055203F" w:rsidRDefault="00A00B40">
            <w:pPr>
              <w:widowControl w:val="0"/>
              <w:rPr>
                <w:sz w:val="20"/>
              </w:rPr>
            </w:pPr>
            <w:r w:rsidRPr="0055203F">
              <w:rPr>
                <w:sz w:val="20"/>
              </w:rPr>
              <w:t>Year</w:t>
            </w:r>
          </w:p>
        </w:tc>
        <w:tc>
          <w:tcPr>
            <w:tcW w:w="1015" w:type="dxa"/>
          </w:tcPr>
          <w:p w14:paraId="01F4004F" w14:textId="77777777" w:rsidR="00A00B40" w:rsidRPr="0055203F" w:rsidRDefault="00A00B40">
            <w:pPr>
              <w:widowControl w:val="0"/>
              <w:rPr>
                <w:sz w:val="20"/>
              </w:rPr>
            </w:pPr>
            <w:r w:rsidRPr="0055203F">
              <w:rPr>
                <w:sz w:val="20"/>
              </w:rPr>
              <w:t>2022</w:t>
            </w:r>
          </w:p>
        </w:tc>
        <w:tc>
          <w:tcPr>
            <w:tcW w:w="1015" w:type="dxa"/>
          </w:tcPr>
          <w:p w14:paraId="08BC89BB" w14:textId="77777777" w:rsidR="00A00B40" w:rsidRPr="0055203F" w:rsidRDefault="00A00B40">
            <w:pPr>
              <w:widowControl w:val="0"/>
              <w:rPr>
                <w:sz w:val="20"/>
              </w:rPr>
            </w:pPr>
            <w:r w:rsidRPr="0055203F">
              <w:rPr>
                <w:sz w:val="20"/>
              </w:rPr>
              <w:t>2025</w:t>
            </w:r>
          </w:p>
        </w:tc>
        <w:tc>
          <w:tcPr>
            <w:tcW w:w="1015" w:type="dxa"/>
          </w:tcPr>
          <w:p w14:paraId="43FC72CC" w14:textId="77777777" w:rsidR="00A00B40" w:rsidRPr="0055203F" w:rsidRDefault="00A00B40">
            <w:pPr>
              <w:widowControl w:val="0"/>
              <w:rPr>
                <w:sz w:val="20"/>
              </w:rPr>
            </w:pPr>
            <w:r w:rsidRPr="0055203F">
              <w:rPr>
                <w:sz w:val="20"/>
              </w:rPr>
              <w:t>2030</w:t>
            </w:r>
          </w:p>
        </w:tc>
        <w:tc>
          <w:tcPr>
            <w:tcW w:w="1015" w:type="dxa"/>
          </w:tcPr>
          <w:p w14:paraId="46CCDEDB" w14:textId="77777777" w:rsidR="00A00B40" w:rsidRPr="0055203F" w:rsidRDefault="00A00B40">
            <w:pPr>
              <w:widowControl w:val="0"/>
              <w:rPr>
                <w:sz w:val="20"/>
              </w:rPr>
            </w:pPr>
            <w:r w:rsidRPr="0055203F">
              <w:rPr>
                <w:sz w:val="20"/>
              </w:rPr>
              <w:t>2035</w:t>
            </w:r>
          </w:p>
        </w:tc>
        <w:tc>
          <w:tcPr>
            <w:tcW w:w="1015" w:type="dxa"/>
          </w:tcPr>
          <w:p w14:paraId="3C8E518C" w14:textId="77777777" w:rsidR="00A00B40" w:rsidRPr="0055203F" w:rsidRDefault="00A00B40">
            <w:pPr>
              <w:widowControl w:val="0"/>
              <w:rPr>
                <w:sz w:val="20"/>
              </w:rPr>
            </w:pPr>
            <w:r w:rsidRPr="0055203F">
              <w:rPr>
                <w:sz w:val="20"/>
              </w:rPr>
              <w:t>2040</w:t>
            </w:r>
          </w:p>
        </w:tc>
        <w:tc>
          <w:tcPr>
            <w:tcW w:w="1015" w:type="dxa"/>
          </w:tcPr>
          <w:p w14:paraId="3ADB4778" w14:textId="77777777" w:rsidR="00A00B40" w:rsidRPr="0055203F" w:rsidRDefault="00A00B40">
            <w:pPr>
              <w:widowControl w:val="0"/>
              <w:rPr>
                <w:sz w:val="20"/>
              </w:rPr>
            </w:pPr>
            <w:r w:rsidRPr="0055203F">
              <w:rPr>
                <w:sz w:val="20"/>
              </w:rPr>
              <w:t>2050</w:t>
            </w:r>
          </w:p>
        </w:tc>
      </w:tr>
      <w:tr w:rsidR="00A00B40" w14:paraId="573D31AF" w14:textId="77777777" w:rsidTr="00312177">
        <w:trPr>
          <w:jc w:val="center"/>
        </w:trPr>
        <w:tc>
          <w:tcPr>
            <w:tcW w:w="2835" w:type="dxa"/>
          </w:tcPr>
          <w:p w14:paraId="1A372300" w14:textId="3E965943" w:rsidR="00A00B40" w:rsidRPr="0055203F" w:rsidRDefault="00A00B40">
            <w:pPr>
              <w:widowControl w:val="0"/>
              <w:rPr>
                <w:sz w:val="20"/>
              </w:rPr>
            </w:pPr>
            <w:r w:rsidRPr="0055203F">
              <w:rPr>
                <w:sz w:val="20"/>
              </w:rPr>
              <w:t>Electricity consumption</w:t>
            </w:r>
            <w:r w:rsidR="00ED1AE2">
              <w:rPr>
                <w:sz w:val="20"/>
              </w:rPr>
              <w:t xml:space="preserve"> (</w:t>
            </w:r>
            <w:r w:rsidRPr="0055203F">
              <w:rPr>
                <w:sz w:val="20"/>
              </w:rPr>
              <w:t>TWh</w:t>
            </w:r>
            <w:r w:rsidR="00ED1AE2">
              <w:rPr>
                <w:sz w:val="20"/>
              </w:rPr>
              <w:t>)</w:t>
            </w:r>
          </w:p>
        </w:tc>
        <w:tc>
          <w:tcPr>
            <w:tcW w:w="1015" w:type="dxa"/>
          </w:tcPr>
          <w:p w14:paraId="50467BB5" w14:textId="77777777" w:rsidR="00A00B40" w:rsidRPr="0055203F" w:rsidRDefault="00A00B40">
            <w:pPr>
              <w:widowControl w:val="0"/>
              <w:rPr>
                <w:sz w:val="20"/>
              </w:rPr>
            </w:pPr>
            <w:r w:rsidRPr="0055203F">
              <w:rPr>
                <w:sz w:val="20"/>
              </w:rPr>
              <w:t>8.5</w:t>
            </w:r>
          </w:p>
        </w:tc>
        <w:tc>
          <w:tcPr>
            <w:tcW w:w="1015" w:type="dxa"/>
          </w:tcPr>
          <w:p w14:paraId="3B04BE3F" w14:textId="77777777" w:rsidR="00A00B40" w:rsidRPr="0055203F" w:rsidRDefault="00A00B40">
            <w:pPr>
              <w:widowControl w:val="0"/>
              <w:rPr>
                <w:sz w:val="20"/>
              </w:rPr>
            </w:pPr>
            <w:r w:rsidRPr="0055203F">
              <w:rPr>
                <w:sz w:val="20"/>
              </w:rPr>
              <w:t>9.2</w:t>
            </w:r>
          </w:p>
        </w:tc>
        <w:tc>
          <w:tcPr>
            <w:tcW w:w="1015" w:type="dxa"/>
          </w:tcPr>
          <w:p w14:paraId="40035B84" w14:textId="77777777" w:rsidR="00A00B40" w:rsidRPr="0055203F" w:rsidRDefault="00A00B40">
            <w:pPr>
              <w:widowControl w:val="0"/>
              <w:rPr>
                <w:sz w:val="20"/>
              </w:rPr>
            </w:pPr>
            <w:r w:rsidRPr="0055203F">
              <w:rPr>
                <w:sz w:val="20"/>
              </w:rPr>
              <w:t>9.9</w:t>
            </w:r>
          </w:p>
        </w:tc>
        <w:tc>
          <w:tcPr>
            <w:tcW w:w="1015" w:type="dxa"/>
          </w:tcPr>
          <w:p w14:paraId="5BDAAE9E" w14:textId="77777777" w:rsidR="00A00B40" w:rsidRPr="0055203F" w:rsidRDefault="00A00B40">
            <w:pPr>
              <w:widowControl w:val="0"/>
              <w:rPr>
                <w:sz w:val="20"/>
              </w:rPr>
            </w:pPr>
            <w:r w:rsidRPr="0055203F">
              <w:rPr>
                <w:sz w:val="20"/>
              </w:rPr>
              <w:t>11.3</w:t>
            </w:r>
          </w:p>
        </w:tc>
        <w:tc>
          <w:tcPr>
            <w:tcW w:w="1015" w:type="dxa"/>
          </w:tcPr>
          <w:p w14:paraId="6F69D12A" w14:textId="7B7F90D8" w:rsidR="00A00B40" w:rsidRPr="0055203F" w:rsidRDefault="00A00B40">
            <w:pPr>
              <w:widowControl w:val="0"/>
              <w:rPr>
                <w:sz w:val="20"/>
              </w:rPr>
            </w:pPr>
            <w:r w:rsidRPr="0055203F">
              <w:rPr>
                <w:sz w:val="20"/>
              </w:rPr>
              <w:t>13</w:t>
            </w:r>
            <w:r w:rsidR="007B4B4E">
              <w:rPr>
                <w:sz w:val="20"/>
              </w:rPr>
              <w:t>.0</w:t>
            </w:r>
          </w:p>
        </w:tc>
        <w:tc>
          <w:tcPr>
            <w:tcW w:w="1015" w:type="dxa"/>
          </w:tcPr>
          <w:p w14:paraId="498A3C6E" w14:textId="49086582" w:rsidR="00A00B40" w:rsidRPr="0055203F" w:rsidRDefault="00A00B40">
            <w:pPr>
              <w:widowControl w:val="0"/>
              <w:rPr>
                <w:sz w:val="20"/>
              </w:rPr>
            </w:pPr>
            <w:r w:rsidRPr="0055203F">
              <w:rPr>
                <w:sz w:val="20"/>
              </w:rPr>
              <w:t>16</w:t>
            </w:r>
            <w:r w:rsidR="007B4B4E">
              <w:rPr>
                <w:sz w:val="20"/>
              </w:rPr>
              <w:t>.0</w:t>
            </w:r>
          </w:p>
        </w:tc>
      </w:tr>
      <w:tr w:rsidR="003A066D" w14:paraId="4D36C579" w14:textId="77777777" w:rsidTr="00312177">
        <w:trPr>
          <w:jc w:val="center"/>
        </w:trPr>
        <w:tc>
          <w:tcPr>
            <w:tcW w:w="2835" w:type="dxa"/>
          </w:tcPr>
          <w:p w14:paraId="0E490422" w14:textId="599CAF97" w:rsidR="003A066D" w:rsidRPr="0055203F" w:rsidRDefault="003A066D">
            <w:pPr>
              <w:widowControl w:val="0"/>
              <w:rPr>
                <w:sz w:val="20"/>
              </w:rPr>
            </w:pPr>
            <w:r>
              <w:rPr>
                <w:sz w:val="20"/>
              </w:rPr>
              <w:t>Peak load</w:t>
            </w:r>
            <w:r w:rsidR="00DD4B25">
              <w:rPr>
                <w:sz w:val="20"/>
              </w:rPr>
              <w:t xml:space="preserve"> (</w:t>
            </w:r>
            <w:r w:rsidR="001846BA">
              <w:rPr>
                <w:sz w:val="20"/>
              </w:rPr>
              <w:t>G</w:t>
            </w:r>
            <w:r w:rsidR="007763B4">
              <w:rPr>
                <w:sz w:val="20"/>
              </w:rPr>
              <w:t>W</w:t>
            </w:r>
            <w:r w:rsidR="00DD4B25">
              <w:rPr>
                <w:sz w:val="20"/>
              </w:rPr>
              <w:t>)</w:t>
            </w:r>
          </w:p>
        </w:tc>
        <w:tc>
          <w:tcPr>
            <w:tcW w:w="1015" w:type="dxa"/>
          </w:tcPr>
          <w:p w14:paraId="22304B4B" w14:textId="3F0153F4" w:rsidR="003A066D" w:rsidRPr="0055203F" w:rsidRDefault="001846BA">
            <w:pPr>
              <w:widowControl w:val="0"/>
              <w:rPr>
                <w:sz w:val="20"/>
              </w:rPr>
            </w:pPr>
            <w:r>
              <w:rPr>
                <w:sz w:val="20"/>
              </w:rPr>
              <w:t>1.3</w:t>
            </w:r>
          </w:p>
        </w:tc>
        <w:tc>
          <w:tcPr>
            <w:tcW w:w="1015" w:type="dxa"/>
          </w:tcPr>
          <w:p w14:paraId="31C545E7" w14:textId="1A417440" w:rsidR="003A066D" w:rsidRPr="0055203F" w:rsidRDefault="00A15E5C">
            <w:pPr>
              <w:widowControl w:val="0"/>
              <w:rPr>
                <w:sz w:val="20"/>
              </w:rPr>
            </w:pPr>
            <w:r>
              <w:rPr>
                <w:sz w:val="20"/>
              </w:rPr>
              <w:t>1.</w:t>
            </w:r>
            <w:r w:rsidR="00A04FA5">
              <w:rPr>
                <w:sz w:val="20"/>
              </w:rPr>
              <w:t>4</w:t>
            </w:r>
          </w:p>
        </w:tc>
        <w:tc>
          <w:tcPr>
            <w:tcW w:w="1015" w:type="dxa"/>
          </w:tcPr>
          <w:p w14:paraId="78177798" w14:textId="5B6EC342" w:rsidR="003A066D" w:rsidRPr="0055203F" w:rsidRDefault="00C15CA4">
            <w:pPr>
              <w:widowControl w:val="0"/>
              <w:rPr>
                <w:sz w:val="20"/>
              </w:rPr>
            </w:pPr>
            <w:r>
              <w:rPr>
                <w:sz w:val="20"/>
              </w:rPr>
              <w:t>1.</w:t>
            </w:r>
            <w:r w:rsidR="00A04FA5">
              <w:rPr>
                <w:sz w:val="20"/>
              </w:rPr>
              <w:t>5</w:t>
            </w:r>
          </w:p>
        </w:tc>
        <w:tc>
          <w:tcPr>
            <w:tcW w:w="1015" w:type="dxa"/>
          </w:tcPr>
          <w:p w14:paraId="375409C4" w14:textId="6D2BD964" w:rsidR="003A066D" w:rsidRPr="0055203F" w:rsidRDefault="00A2329F">
            <w:pPr>
              <w:widowControl w:val="0"/>
              <w:rPr>
                <w:sz w:val="20"/>
              </w:rPr>
            </w:pPr>
            <w:r>
              <w:rPr>
                <w:sz w:val="20"/>
              </w:rPr>
              <w:t>1.7</w:t>
            </w:r>
          </w:p>
        </w:tc>
        <w:tc>
          <w:tcPr>
            <w:tcW w:w="1015" w:type="dxa"/>
          </w:tcPr>
          <w:p w14:paraId="2E076E4F" w14:textId="63F17E84" w:rsidR="003A066D" w:rsidRPr="0055203F" w:rsidRDefault="00A04FA5">
            <w:pPr>
              <w:widowControl w:val="0"/>
              <w:rPr>
                <w:sz w:val="20"/>
              </w:rPr>
            </w:pPr>
            <w:r>
              <w:rPr>
                <w:sz w:val="20"/>
              </w:rPr>
              <w:t>2.0</w:t>
            </w:r>
          </w:p>
        </w:tc>
        <w:tc>
          <w:tcPr>
            <w:tcW w:w="1015" w:type="dxa"/>
          </w:tcPr>
          <w:p w14:paraId="6E1F98D3" w14:textId="0487EA83" w:rsidR="003A066D" w:rsidRPr="0055203F" w:rsidRDefault="00D27BF6">
            <w:pPr>
              <w:widowControl w:val="0"/>
              <w:rPr>
                <w:sz w:val="20"/>
              </w:rPr>
            </w:pPr>
            <w:r>
              <w:rPr>
                <w:sz w:val="20"/>
              </w:rPr>
              <w:t>2.4</w:t>
            </w:r>
          </w:p>
        </w:tc>
      </w:tr>
    </w:tbl>
    <w:p w14:paraId="325EFC46" w14:textId="77777777" w:rsidR="00666D4D" w:rsidRDefault="00666D4D" w:rsidP="000A3EDC">
      <w:pPr>
        <w:pStyle w:val="BodyText"/>
        <w:ind w:firstLine="0"/>
      </w:pPr>
    </w:p>
    <w:p w14:paraId="280BBBCD" w14:textId="55727F91" w:rsidR="000A3EDC" w:rsidRPr="000A3EDC" w:rsidRDefault="000A3EDC" w:rsidP="0055203F">
      <w:pPr>
        <w:pStyle w:val="BodyText"/>
      </w:pPr>
      <w:r>
        <w:t xml:space="preserve">The annual output of heat is about 9 </w:t>
      </w:r>
      <w:r w:rsidR="002775A8">
        <w:t>T</w:t>
      </w:r>
      <w:r>
        <w:t>Wh, with 89% reaching consumers and 11% lost in the heating networks</w:t>
      </w:r>
      <w:r w:rsidR="00CA197C">
        <w:t xml:space="preserve"> </w:t>
      </w:r>
      <w:r w:rsidR="005662D4">
        <w:fldChar w:fldCharType="begin"/>
      </w:r>
      <w:r w:rsidR="005662D4">
        <w:instrText xml:space="preserve"> REF _Ref170404448 \r \h </w:instrText>
      </w:r>
      <w:r w:rsidR="005662D4">
        <w:fldChar w:fldCharType="separate"/>
      </w:r>
      <w:r w:rsidR="000F020D">
        <w:t>[6]</w:t>
      </w:r>
      <w:r w:rsidR="005662D4">
        <w:fldChar w:fldCharType="end"/>
      </w:r>
      <w:r>
        <w:t>.</w:t>
      </w:r>
    </w:p>
    <w:p w14:paraId="63EBF98A" w14:textId="20ACC37A" w:rsidR="0079322B" w:rsidRDefault="002775A8" w:rsidP="00312177">
      <w:pPr>
        <w:pStyle w:val="Heading3"/>
        <w:keepNext/>
        <w:rPr>
          <w:sz w:val="18"/>
          <w:szCs w:val="18"/>
        </w:rPr>
      </w:pPr>
      <w:r>
        <w:lastRenderedPageBreak/>
        <w:t>E</w:t>
      </w:r>
      <w:r w:rsidR="0079322B">
        <w:t>nergy system</w:t>
      </w:r>
      <w:r>
        <w:t xml:space="preserve"> </w:t>
      </w:r>
      <w:r w:rsidR="002B3DD5">
        <w:t>of</w:t>
      </w:r>
      <w:r>
        <w:t xml:space="preserve"> Estonia</w:t>
      </w:r>
    </w:p>
    <w:p w14:paraId="40D28850" w14:textId="0885A0FB" w:rsidR="0079322B" w:rsidRPr="00E93482" w:rsidRDefault="0079322B" w:rsidP="002775A8">
      <w:pPr>
        <w:spacing w:line="276" w:lineRule="auto"/>
        <w:ind w:firstLine="720"/>
        <w:jc w:val="both"/>
        <w:rPr>
          <w:sz w:val="20"/>
        </w:rPr>
      </w:pPr>
      <w:r w:rsidRPr="00E93482">
        <w:rPr>
          <w:sz w:val="20"/>
        </w:rPr>
        <w:t xml:space="preserve">Estonia has been reliant on </w:t>
      </w:r>
      <w:r w:rsidR="007528C6">
        <w:rPr>
          <w:sz w:val="20"/>
        </w:rPr>
        <w:t>domestically supplied</w:t>
      </w:r>
      <w:r w:rsidRPr="00E93482">
        <w:rPr>
          <w:sz w:val="20"/>
        </w:rPr>
        <w:t xml:space="preserve"> oil shale</w:t>
      </w:r>
      <w:r w:rsidR="00E8205F" w:rsidRPr="00E93482">
        <w:rPr>
          <w:sz w:val="20"/>
        </w:rPr>
        <w:t>,</w:t>
      </w:r>
      <w:r w:rsidRPr="00E93482">
        <w:rPr>
          <w:sz w:val="20"/>
        </w:rPr>
        <w:t xml:space="preserve"> of which </w:t>
      </w:r>
      <w:r w:rsidR="00291478" w:rsidRPr="00E93482">
        <w:rPr>
          <w:sz w:val="20"/>
        </w:rPr>
        <w:t xml:space="preserve">it possesses </w:t>
      </w:r>
      <w:r w:rsidRPr="00E93482">
        <w:rPr>
          <w:sz w:val="20"/>
        </w:rPr>
        <w:t>one of the</w:t>
      </w:r>
      <w:r w:rsidR="007528C6">
        <w:rPr>
          <w:sz w:val="20"/>
        </w:rPr>
        <w:t xml:space="preserve"> </w:t>
      </w:r>
      <w:r w:rsidRPr="00E93482">
        <w:rPr>
          <w:sz w:val="20"/>
        </w:rPr>
        <w:t>largest reserves</w:t>
      </w:r>
      <w:r w:rsidR="007528C6">
        <w:rPr>
          <w:sz w:val="20"/>
        </w:rPr>
        <w:t xml:space="preserve"> in the world</w:t>
      </w:r>
      <w:r w:rsidRPr="00E93482">
        <w:rPr>
          <w:sz w:val="20"/>
        </w:rPr>
        <w:t>. The country’s energy mix is shaped by its geography, economic policies, and commitments to environmental safekeeping and EU regulations.</w:t>
      </w:r>
      <w:r w:rsidR="002775A8">
        <w:rPr>
          <w:sz w:val="20"/>
        </w:rPr>
        <w:t xml:space="preserve"> </w:t>
      </w:r>
      <w:r w:rsidR="007528C6">
        <w:rPr>
          <w:sz w:val="20"/>
        </w:rPr>
        <w:t xml:space="preserve">The current </w:t>
      </w:r>
      <w:r w:rsidRPr="00E93482">
        <w:rPr>
          <w:sz w:val="20"/>
        </w:rPr>
        <w:t xml:space="preserve">energy </w:t>
      </w:r>
      <w:r w:rsidR="002775A8">
        <w:rPr>
          <w:sz w:val="20"/>
        </w:rPr>
        <w:t>portfolio</w:t>
      </w:r>
      <w:r w:rsidR="007528C6">
        <w:rPr>
          <w:sz w:val="20"/>
        </w:rPr>
        <w:t xml:space="preserve"> in Estonia</w:t>
      </w:r>
      <w:r w:rsidRPr="00E93482">
        <w:rPr>
          <w:sz w:val="20"/>
        </w:rPr>
        <w:t xml:space="preserve"> consists of </w:t>
      </w:r>
      <w:r w:rsidR="00B13061" w:rsidRPr="00E93482">
        <w:rPr>
          <w:sz w:val="20"/>
        </w:rPr>
        <w:t xml:space="preserve">both </w:t>
      </w:r>
      <w:r w:rsidRPr="00E93482">
        <w:rPr>
          <w:sz w:val="20"/>
        </w:rPr>
        <w:t xml:space="preserve">traditional and renewable energy sources. The main components are </w:t>
      </w:r>
      <w:r w:rsidR="004B596B" w:rsidRPr="00E93482">
        <w:rPr>
          <w:sz w:val="20"/>
        </w:rPr>
        <w:t>as follows</w:t>
      </w:r>
      <w:r w:rsidRPr="00E93482">
        <w:rPr>
          <w:sz w:val="20"/>
        </w:rPr>
        <w:t>:</w:t>
      </w:r>
    </w:p>
    <w:p w14:paraId="434DB212" w14:textId="37A92EF9" w:rsidR="00511406" w:rsidRPr="0055203F" w:rsidRDefault="007A0214" w:rsidP="0055203F">
      <w:pPr>
        <w:pStyle w:val="ListParagraph"/>
        <w:numPr>
          <w:ilvl w:val="0"/>
          <w:numId w:val="36"/>
        </w:numPr>
        <w:jc w:val="both"/>
        <w:rPr>
          <w:sz w:val="20"/>
        </w:rPr>
      </w:pPr>
      <w:r w:rsidRPr="00E93482">
        <w:rPr>
          <w:sz w:val="20"/>
        </w:rPr>
        <w:t xml:space="preserve">Electricity production: </w:t>
      </w:r>
      <w:r w:rsidR="00742644" w:rsidRPr="00E93482">
        <w:rPr>
          <w:sz w:val="20"/>
        </w:rPr>
        <w:t xml:space="preserve">In Estonia, electricity production sources </w:t>
      </w:r>
      <w:r w:rsidR="002B3DD5">
        <w:rPr>
          <w:sz w:val="20"/>
        </w:rPr>
        <w:t xml:space="preserve">are </w:t>
      </w:r>
      <w:r w:rsidR="00742644" w:rsidRPr="00E93482">
        <w:rPr>
          <w:sz w:val="20"/>
        </w:rPr>
        <w:t xml:space="preserve">a mix </w:t>
      </w:r>
      <w:r w:rsidR="004439B4" w:rsidRPr="00E93482">
        <w:rPr>
          <w:sz w:val="20"/>
        </w:rPr>
        <w:t xml:space="preserve">of </w:t>
      </w:r>
      <w:r w:rsidR="00742644" w:rsidRPr="00E93482">
        <w:rPr>
          <w:sz w:val="20"/>
        </w:rPr>
        <w:t xml:space="preserve">oil shale, biomass, </w:t>
      </w:r>
      <w:proofErr w:type="gramStart"/>
      <w:r w:rsidR="00742644" w:rsidRPr="00E93482">
        <w:rPr>
          <w:sz w:val="20"/>
        </w:rPr>
        <w:t>peat</w:t>
      </w:r>
      <w:proofErr w:type="gramEnd"/>
      <w:r w:rsidR="00742644" w:rsidRPr="00E93482">
        <w:rPr>
          <w:sz w:val="20"/>
        </w:rPr>
        <w:t xml:space="preserve"> and renewables such as solar power and wind.</w:t>
      </w:r>
      <w:r w:rsidR="00B13230" w:rsidRPr="0055203F">
        <w:rPr>
          <w:sz w:val="20"/>
        </w:rPr>
        <w:t xml:space="preserve"> </w:t>
      </w:r>
      <w:r w:rsidR="00A30B41" w:rsidRPr="00E93482">
        <w:rPr>
          <w:sz w:val="20"/>
        </w:rPr>
        <w:t xml:space="preserve">In 2022, </w:t>
      </w:r>
      <w:r w:rsidR="002B3DD5">
        <w:rPr>
          <w:sz w:val="20"/>
        </w:rPr>
        <w:t xml:space="preserve">the </w:t>
      </w:r>
      <w:r w:rsidR="00A30B41" w:rsidRPr="00E93482">
        <w:rPr>
          <w:sz w:val="20"/>
        </w:rPr>
        <w:t>e</w:t>
      </w:r>
      <w:r w:rsidR="00511406" w:rsidRPr="00E93482">
        <w:rPr>
          <w:sz w:val="20"/>
        </w:rPr>
        <w:t xml:space="preserve">lectricity generation mix in Estonia was 66.5% oil shale, 17.1% biomass and waste, 7.5% wind, 6.3% solar and 0.4% oil products. </w:t>
      </w:r>
      <w:r w:rsidR="00EF4AEB" w:rsidRPr="00E93482">
        <w:rPr>
          <w:sz w:val="20"/>
        </w:rPr>
        <w:t>N</w:t>
      </w:r>
      <w:r w:rsidR="00511406" w:rsidRPr="00E93482">
        <w:rPr>
          <w:sz w:val="20"/>
        </w:rPr>
        <w:t xml:space="preserve">et energy imports </w:t>
      </w:r>
      <w:r w:rsidR="00EF4AEB" w:rsidRPr="00E93482">
        <w:rPr>
          <w:sz w:val="20"/>
        </w:rPr>
        <w:t xml:space="preserve">account for </w:t>
      </w:r>
      <w:r w:rsidR="00511406" w:rsidRPr="00E93482">
        <w:rPr>
          <w:sz w:val="20"/>
        </w:rPr>
        <w:t xml:space="preserve">7.1% of </w:t>
      </w:r>
      <w:r w:rsidR="00C62390" w:rsidRPr="00E93482">
        <w:rPr>
          <w:sz w:val="20"/>
        </w:rPr>
        <w:t xml:space="preserve">the </w:t>
      </w:r>
      <w:r w:rsidR="00511406" w:rsidRPr="00E93482">
        <w:rPr>
          <w:sz w:val="20"/>
        </w:rPr>
        <w:t xml:space="preserve">total energy supply </w:t>
      </w:r>
      <w:r w:rsidR="00430349">
        <w:rPr>
          <w:sz w:val="20"/>
        </w:rPr>
        <w:fldChar w:fldCharType="begin"/>
      </w:r>
      <w:r w:rsidR="00430349">
        <w:rPr>
          <w:sz w:val="20"/>
        </w:rPr>
        <w:instrText xml:space="preserve"> REF _Ref170404463 \r \h </w:instrText>
      </w:r>
      <w:r w:rsidR="00430349">
        <w:rPr>
          <w:sz w:val="20"/>
        </w:rPr>
      </w:r>
      <w:r w:rsidR="00430349">
        <w:rPr>
          <w:sz w:val="20"/>
        </w:rPr>
        <w:fldChar w:fldCharType="separate"/>
      </w:r>
      <w:r w:rsidR="000F020D">
        <w:rPr>
          <w:sz w:val="20"/>
        </w:rPr>
        <w:t>[</w:t>
      </w:r>
      <w:r w:rsidR="000A3701" w:rsidDel="000F020D">
        <w:rPr>
          <w:sz w:val="20"/>
        </w:rPr>
        <w:t>7</w:t>
      </w:r>
      <w:r w:rsidR="00430349" w:rsidDel="000F020D">
        <w:rPr>
          <w:sz w:val="20"/>
        </w:rPr>
        <w:t>]</w:t>
      </w:r>
      <w:r w:rsidR="00430349">
        <w:rPr>
          <w:sz w:val="20"/>
        </w:rPr>
        <w:fldChar w:fldCharType="end"/>
      </w:r>
      <w:r w:rsidR="00511406" w:rsidRPr="00E93482">
        <w:rPr>
          <w:sz w:val="20"/>
        </w:rPr>
        <w:t xml:space="preserve">. It is </w:t>
      </w:r>
      <w:r w:rsidR="002B3DD5">
        <w:rPr>
          <w:sz w:val="20"/>
        </w:rPr>
        <w:t>relevan</w:t>
      </w:r>
      <w:r w:rsidR="00511406" w:rsidRPr="00E93482">
        <w:rPr>
          <w:sz w:val="20"/>
        </w:rPr>
        <w:t xml:space="preserve">t to note </w:t>
      </w:r>
      <w:r w:rsidR="002B3DD5" w:rsidRPr="00E93482">
        <w:rPr>
          <w:sz w:val="20"/>
        </w:rPr>
        <w:t xml:space="preserve">external events such as </w:t>
      </w:r>
      <w:r w:rsidR="002B3DD5">
        <w:rPr>
          <w:sz w:val="20"/>
        </w:rPr>
        <w:t>the COVID-19</w:t>
      </w:r>
      <w:r w:rsidR="002B3DD5" w:rsidRPr="00E93482">
        <w:rPr>
          <w:sz w:val="20"/>
        </w:rPr>
        <w:t xml:space="preserve"> pandemic and the Ukraine</w:t>
      </w:r>
      <w:r w:rsidR="002B3DD5">
        <w:rPr>
          <w:sz w:val="20"/>
        </w:rPr>
        <w:t xml:space="preserve"> conflict have recently affected</w:t>
      </w:r>
      <w:r w:rsidR="00511406" w:rsidRPr="00E93482">
        <w:rPr>
          <w:sz w:val="20"/>
        </w:rPr>
        <w:t xml:space="preserve"> the energy import supply</w:t>
      </w:r>
      <w:r w:rsidR="002B3DD5">
        <w:rPr>
          <w:sz w:val="20"/>
        </w:rPr>
        <w:t>.</w:t>
      </w:r>
    </w:p>
    <w:p w14:paraId="67C43F46" w14:textId="0F2FD0C0" w:rsidR="0079322B" w:rsidRPr="00E93482" w:rsidRDefault="00F80C27" w:rsidP="00E93482">
      <w:pPr>
        <w:numPr>
          <w:ilvl w:val="0"/>
          <w:numId w:val="36"/>
        </w:numPr>
        <w:overflowPunct/>
        <w:autoSpaceDE/>
        <w:autoSpaceDN/>
        <w:adjustRightInd/>
        <w:spacing w:line="276" w:lineRule="auto"/>
        <w:jc w:val="both"/>
        <w:textAlignment w:val="auto"/>
        <w:rPr>
          <w:sz w:val="20"/>
        </w:rPr>
      </w:pPr>
      <w:r w:rsidRPr="00E93482">
        <w:rPr>
          <w:sz w:val="20"/>
        </w:rPr>
        <w:t xml:space="preserve">Oil shale: </w:t>
      </w:r>
      <w:r w:rsidR="0079322B" w:rsidRPr="00E93482">
        <w:rPr>
          <w:sz w:val="20"/>
        </w:rPr>
        <w:t>Oil shale has played a crucial role in</w:t>
      </w:r>
      <w:r w:rsidR="002B3DD5">
        <w:rPr>
          <w:sz w:val="20"/>
        </w:rPr>
        <w:t xml:space="preserve"> Estonian</w:t>
      </w:r>
      <w:r w:rsidR="0079322B" w:rsidRPr="00E93482">
        <w:rPr>
          <w:sz w:val="20"/>
        </w:rPr>
        <w:t xml:space="preserve"> electricity generation and oil production. </w:t>
      </w:r>
      <w:r w:rsidR="00FE3FF4" w:rsidRPr="00E93482">
        <w:rPr>
          <w:sz w:val="20"/>
        </w:rPr>
        <w:t xml:space="preserve">While it </w:t>
      </w:r>
      <w:r w:rsidR="00CB56AD" w:rsidRPr="00E93482">
        <w:rPr>
          <w:sz w:val="20"/>
        </w:rPr>
        <w:t>is less expensive economically, it</w:t>
      </w:r>
      <w:r w:rsidR="00FE3FF4" w:rsidRPr="00E93482">
        <w:rPr>
          <w:sz w:val="20"/>
        </w:rPr>
        <w:t xml:space="preserve"> </w:t>
      </w:r>
      <w:r w:rsidR="0079322B" w:rsidRPr="00E93482">
        <w:rPr>
          <w:sz w:val="20"/>
        </w:rPr>
        <w:t xml:space="preserve">is a carbon-intensive source which </w:t>
      </w:r>
      <w:r w:rsidR="0067007C" w:rsidRPr="00E93482">
        <w:rPr>
          <w:sz w:val="20"/>
        </w:rPr>
        <w:t xml:space="preserve">generates significant </w:t>
      </w:r>
      <w:r w:rsidR="0079322B" w:rsidRPr="00E93482">
        <w:rPr>
          <w:sz w:val="20"/>
        </w:rPr>
        <w:t>greenhouse gas emissions.</w:t>
      </w:r>
    </w:p>
    <w:p w14:paraId="6EBC54F1" w14:textId="7ED95B61" w:rsidR="0079322B" w:rsidRPr="00E93482" w:rsidRDefault="00F43CA3" w:rsidP="00E93482">
      <w:pPr>
        <w:numPr>
          <w:ilvl w:val="0"/>
          <w:numId w:val="36"/>
        </w:numPr>
        <w:overflowPunct/>
        <w:autoSpaceDE/>
        <w:autoSpaceDN/>
        <w:adjustRightInd/>
        <w:spacing w:line="276" w:lineRule="auto"/>
        <w:jc w:val="both"/>
        <w:textAlignment w:val="auto"/>
        <w:rPr>
          <w:sz w:val="20"/>
        </w:rPr>
      </w:pPr>
      <w:r w:rsidRPr="00E93482">
        <w:rPr>
          <w:sz w:val="20"/>
        </w:rPr>
        <w:t xml:space="preserve">Renewable energy: </w:t>
      </w:r>
      <w:r w:rsidR="002775A8">
        <w:rPr>
          <w:sz w:val="20"/>
        </w:rPr>
        <w:t>In alignment with</w:t>
      </w:r>
      <w:r w:rsidR="0079322B" w:rsidRPr="00E93482">
        <w:rPr>
          <w:sz w:val="20"/>
        </w:rPr>
        <w:t xml:space="preserve"> EU climate targets, Estonia has made </w:t>
      </w:r>
      <w:r w:rsidR="00B8378C" w:rsidRPr="00E93482">
        <w:rPr>
          <w:sz w:val="20"/>
        </w:rPr>
        <w:t xml:space="preserve">advances </w:t>
      </w:r>
      <w:r w:rsidR="0079322B" w:rsidRPr="00E93482">
        <w:rPr>
          <w:sz w:val="20"/>
        </w:rPr>
        <w:t xml:space="preserve">in increasing the share of renewables in its energy mix. Estonia has maintained a steady development of renewable energy production by </w:t>
      </w:r>
      <w:r w:rsidR="0048698C">
        <w:rPr>
          <w:sz w:val="20"/>
        </w:rPr>
        <w:t>utilising</w:t>
      </w:r>
      <w:r w:rsidR="0079322B" w:rsidRPr="00E93482">
        <w:rPr>
          <w:sz w:val="20"/>
        </w:rPr>
        <w:t xml:space="preserve"> wind farms, biomass plants, and solar power. </w:t>
      </w:r>
    </w:p>
    <w:p w14:paraId="7D30D523" w14:textId="58F8B427" w:rsidR="00B8378C" w:rsidRPr="00E93482" w:rsidRDefault="00F43CA3" w:rsidP="00E93482">
      <w:pPr>
        <w:numPr>
          <w:ilvl w:val="0"/>
          <w:numId w:val="36"/>
        </w:numPr>
        <w:overflowPunct/>
        <w:autoSpaceDE/>
        <w:autoSpaceDN/>
        <w:adjustRightInd/>
        <w:spacing w:line="276" w:lineRule="auto"/>
        <w:jc w:val="both"/>
        <w:textAlignment w:val="auto"/>
        <w:rPr>
          <w:sz w:val="20"/>
        </w:rPr>
      </w:pPr>
      <w:r w:rsidRPr="00E93482">
        <w:rPr>
          <w:sz w:val="20"/>
        </w:rPr>
        <w:t xml:space="preserve">Natural gas: </w:t>
      </w:r>
      <w:r w:rsidR="0079322B" w:rsidRPr="00E93482">
        <w:rPr>
          <w:sz w:val="20"/>
        </w:rPr>
        <w:t>A measurable share of</w:t>
      </w:r>
      <w:r w:rsidR="002B3DD5">
        <w:rPr>
          <w:sz w:val="20"/>
        </w:rPr>
        <w:t xml:space="preserve"> Estonian</w:t>
      </w:r>
      <w:r w:rsidR="0079322B" w:rsidRPr="00E93482">
        <w:rPr>
          <w:sz w:val="20"/>
        </w:rPr>
        <w:t xml:space="preserve"> energy production comes from natural gas plants. </w:t>
      </w:r>
      <w:r w:rsidR="00E1577E" w:rsidRPr="00E93482">
        <w:rPr>
          <w:sz w:val="20"/>
        </w:rPr>
        <w:t xml:space="preserve">Historically, </w:t>
      </w:r>
      <w:r w:rsidR="0079322B" w:rsidRPr="00E93482">
        <w:rPr>
          <w:sz w:val="20"/>
        </w:rPr>
        <w:t xml:space="preserve">Estonia has imported natural gas primarily from Russia </w:t>
      </w:r>
      <w:r w:rsidR="00430349">
        <w:rPr>
          <w:sz w:val="20"/>
        </w:rPr>
        <w:fldChar w:fldCharType="begin"/>
      </w:r>
      <w:r w:rsidR="00430349">
        <w:rPr>
          <w:sz w:val="20"/>
        </w:rPr>
        <w:instrText xml:space="preserve"> REF _Ref170404474 \r \h </w:instrText>
      </w:r>
      <w:r w:rsidR="00430349">
        <w:rPr>
          <w:sz w:val="20"/>
        </w:rPr>
      </w:r>
      <w:r w:rsidR="00430349">
        <w:rPr>
          <w:sz w:val="20"/>
        </w:rPr>
        <w:fldChar w:fldCharType="separate"/>
      </w:r>
      <w:r w:rsidR="00430349">
        <w:rPr>
          <w:sz w:val="20"/>
        </w:rPr>
        <w:t>[</w:t>
      </w:r>
      <w:r w:rsidR="00A05D50">
        <w:rPr>
          <w:sz w:val="20"/>
        </w:rPr>
        <w:t>8</w:t>
      </w:r>
      <w:r w:rsidR="00430349">
        <w:rPr>
          <w:sz w:val="20"/>
        </w:rPr>
        <w:t>]</w:t>
      </w:r>
      <w:r w:rsidR="00430349">
        <w:rPr>
          <w:sz w:val="20"/>
        </w:rPr>
        <w:fldChar w:fldCharType="end"/>
      </w:r>
      <w:r w:rsidR="0079322B" w:rsidRPr="00E93482">
        <w:rPr>
          <w:sz w:val="20"/>
        </w:rPr>
        <w:t xml:space="preserve">. </w:t>
      </w:r>
      <w:r w:rsidR="00BD10D9" w:rsidRPr="00E93482">
        <w:rPr>
          <w:sz w:val="20"/>
        </w:rPr>
        <w:t>R</w:t>
      </w:r>
      <w:r w:rsidR="00E86B6B" w:rsidRPr="00E93482">
        <w:rPr>
          <w:sz w:val="20"/>
        </w:rPr>
        <w:t>ecent</w:t>
      </w:r>
      <w:r w:rsidR="00BD10D9" w:rsidRPr="00E93482">
        <w:rPr>
          <w:sz w:val="20"/>
        </w:rPr>
        <w:t xml:space="preserve">ly, </w:t>
      </w:r>
      <w:r w:rsidR="00840B42" w:rsidRPr="00E93482">
        <w:rPr>
          <w:sz w:val="20"/>
        </w:rPr>
        <w:t>there has been an increased</w:t>
      </w:r>
      <w:r w:rsidR="00E86B6B" w:rsidRPr="00E93482">
        <w:rPr>
          <w:sz w:val="20"/>
        </w:rPr>
        <w:t xml:space="preserve"> emphasis on </w:t>
      </w:r>
      <w:r w:rsidR="006A2ECB" w:rsidRPr="00E93482">
        <w:rPr>
          <w:sz w:val="20"/>
        </w:rPr>
        <w:t>reducing reliance o</w:t>
      </w:r>
      <w:r w:rsidR="00FD0082" w:rsidRPr="00E93482">
        <w:rPr>
          <w:sz w:val="20"/>
        </w:rPr>
        <w:t>n</w:t>
      </w:r>
      <w:r w:rsidR="006A2ECB" w:rsidRPr="00E93482">
        <w:rPr>
          <w:sz w:val="20"/>
        </w:rPr>
        <w:t xml:space="preserve"> energy imports from </w:t>
      </w:r>
      <w:r w:rsidR="0079322B" w:rsidRPr="00E93482">
        <w:rPr>
          <w:sz w:val="20"/>
        </w:rPr>
        <w:t>Russia.</w:t>
      </w:r>
    </w:p>
    <w:p w14:paraId="764F7A69" w14:textId="1767EB64" w:rsidR="00473D1F" w:rsidRPr="00E93482" w:rsidRDefault="00134D3E" w:rsidP="0055203F">
      <w:pPr>
        <w:pStyle w:val="ListParagraph"/>
        <w:numPr>
          <w:ilvl w:val="0"/>
          <w:numId w:val="36"/>
        </w:numPr>
        <w:jc w:val="both"/>
        <w:rPr>
          <w:sz w:val="20"/>
        </w:rPr>
      </w:pPr>
      <w:r w:rsidRPr="00E93482">
        <w:rPr>
          <w:sz w:val="20"/>
        </w:rPr>
        <w:t>As of</w:t>
      </w:r>
      <w:r w:rsidR="00EE7EF8" w:rsidRPr="00E93482">
        <w:rPr>
          <w:sz w:val="20"/>
        </w:rPr>
        <w:t xml:space="preserve"> 202</w:t>
      </w:r>
      <w:r w:rsidRPr="00E93482">
        <w:rPr>
          <w:sz w:val="20"/>
        </w:rPr>
        <w:t>3</w:t>
      </w:r>
      <w:r w:rsidR="00EE7EF8" w:rsidRPr="00E93482">
        <w:rPr>
          <w:sz w:val="20"/>
        </w:rPr>
        <w:t xml:space="preserve">, the net installed capacity of the electricity system in Estonia was </w:t>
      </w:r>
      <w:r w:rsidR="002B3DD5">
        <w:rPr>
          <w:sz w:val="20"/>
        </w:rPr>
        <w:t>2542</w:t>
      </w:r>
      <w:r w:rsidRPr="00E93482">
        <w:rPr>
          <w:sz w:val="20"/>
        </w:rPr>
        <w:t xml:space="preserve"> </w:t>
      </w:r>
      <w:r w:rsidR="00EE7EF8" w:rsidRPr="00E93482">
        <w:rPr>
          <w:sz w:val="20"/>
        </w:rPr>
        <w:t xml:space="preserve">MW. </w:t>
      </w:r>
      <w:r w:rsidR="002B3DD5">
        <w:rPr>
          <w:sz w:val="20"/>
        </w:rPr>
        <w:t>Estonian i</w:t>
      </w:r>
      <w:r w:rsidR="00473D1F" w:rsidRPr="00E93482">
        <w:rPr>
          <w:sz w:val="20"/>
        </w:rPr>
        <w:t xml:space="preserve">nstalled electricity generation capacities as of 2023 are </w:t>
      </w:r>
      <w:r w:rsidR="00B8378C" w:rsidRPr="00E93482">
        <w:rPr>
          <w:sz w:val="20"/>
        </w:rPr>
        <w:t>shown in Table 2.</w:t>
      </w:r>
    </w:p>
    <w:p w14:paraId="1D9285A8" w14:textId="77777777" w:rsidR="00B8378C" w:rsidRDefault="00B8378C" w:rsidP="0055203F">
      <w:pPr>
        <w:pStyle w:val="ListParagraph"/>
        <w:rPr>
          <w:sz w:val="20"/>
        </w:rPr>
      </w:pPr>
    </w:p>
    <w:p w14:paraId="6218111E" w14:textId="073BC2BB" w:rsidR="00473D1F" w:rsidRPr="00932479" w:rsidRDefault="00473D1F" w:rsidP="00473D1F">
      <w:pPr>
        <w:keepLines/>
        <w:widowControl w:val="0"/>
        <w:spacing w:after="240" w:line="276" w:lineRule="auto"/>
        <w:rPr>
          <w:sz w:val="20"/>
        </w:rPr>
      </w:pPr>
      <w:r>
        <w:rPr>
          <w:sz w:val="20"/>
        </w:rPr>
        <w:t>TABLE 2.</w:t>
      </w:r>
      <w:r>
        <w:rPr>
          <w:sz w:val="20"/>
        </w:rPr>
        <w:tab/>
      </w:r>
      <w:r w:rsidR="00595C40">
        <w:rPr>
          <w:sz w:val="20"/>
        </w:rPr>
        <w:t>SOURCES OF ELECTRICITY GENERATION IN ESTONIA</w:t>
      </w:r>
      <w:r w:rsidR="00990DEB">
        <w:rPr>
          <w:sz w:val="20"/>
        </w:rPr>
        <w:t xml:space="preserve"> IN 2023</w:t>
      </w:r>
      <w:r>
        <w:rPr>
          <w:sz w:val="20"/>
        </w:rPr>
        <w:t xml:space="preserve"> </w:t>
      </w:r>
      <w:r w:rsidR="00335BAF">
        <w:rPr>
          <w:sz w:val="20"/>
        </w:rPr>
        <w:fldChar w:fldCharType="begin"/>
      </w:r>
      <w:r w:rsidR="00335BAF">
        <w:rPr>
          <w:sz w:val="20"/>
        </w:rPr>
        <w:instrText xml:space="preserve"> REF _Ref170404435 \r \h </w:instrText>
      </w:r>
      <w:r w:rsidR="00335BAF">
        <w:rPr>
          <w:sz w:val="20"/>
        </w:rPr>
      </w:r>
      <w:r w:rsidR="00335BAF">
        <w:rPr>
          <w:sz w:val="20"/>
        </w:rPr>
        <w:fldChar w:fldCharType="separate"/>
      </w:r>
      <w:r w:rsidR="000F020D">
        <w:rPr>
          <w:sz w:val="20"/>
        </w:rPr>
        <w:t>[5</w:t>
      </w:r>
      <w:r w:rsidR="00335BAF" w:rsidDel="000F020D">
        <w:rPr>
          <w:sz w:val="20"/>
        </w:rPr>
        <w:t>]</w:t>
      </w:r>
      <w:r w:rsidR="00335BAF">
        <w:rPr>
          <w:sz w:val="20"/>
        </w:rPr>
        <w:fldChar w:fldCharType="end"/>
      </w:r>
    </w:p>
    <w:tbl>
      <w:tblPr>
        <w:tblW w:w="8848"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222"/>
        <w:gridCol w:w="878"/>
        <w:gridCol w:w="830"/>
        <w:gridCol w:w="803"/>
        <w:gridCol w:w="800"/>
        <w:gridCol w:w="825"/>
        <w:gridCol w:w="856"/>
        <w:gridCol w:w="890"/>
        <w:gridCol w:w="872"/>
        <w:gridCol w:w="872"/>
      </w:tblGrid>
      <w:tr w:rsidR="00876930" w:rsidRPr="008C363A" w14:paraId="3FA1AAED" w14:textId="77777777" w:rsidTr="00876930">
        <w:trPr>
          <w:trHeight w:val="644"/>
          <w:jc w:val="center"/>
        </w:trPr>
        <w:tc>
          <w:tcPr>
            <w:tcW w:w="1222" w:type="dxa"/>
            <w:shd w:val="clear" w:color="auto" w:fill="auto"/>
            <w:vAlign w:val="center"/>
            <w:hideMark/>
          </w:tcPr>
          <w:p w14:paraId="5AC916F8" w14:textId="77777777" w:rsidR="00876930" w:rsidRPr="005859D9" w:rsidRDefault="00876930" w:rsidP="008C363A">
            <w:pPr>
              <w:overflowPunct/>
              <w:autoSpaceDE/>
              <w:autoSpaceDN/>
              <w:adjustRightInd/>
              <w:textAlignment w:val="auto"/>
              <w:rPr>
                <w:color w:val="000000"/>
                <w:sz w:val="20"/>
                <w:lang w:val="et-EE" w:eastAsia="et-EE"/>
              </w:rPr>
            </w:pPr>
            <w:r w:rsidRPr="005859D9">
              <w:rPr>
                <w:color w:val="000000"/>
                <w:sz w:val="20"/>
                <w:lang w:eastAsia="et-EE"/>
              </w:rPr>
              <w:t>Source of electricity generation</w:t>
            </w:r>
          </w:p>
        </w:tc>
        <w:tc>
          <w:tcPr>
            <w:tcW w:w="878" w:type="dxa"/>
            <w:shd w:val="clear" w:color="auto" w:fill="auto"/>
            <w:vAlign w:val="center"/>
            <w:hideMark/>
          </w:tcPr>
          <w:p w14:paraId="6F83181C" w14:textId="77777777" w:rsidR="00876930" w:rsidRPr="005859D9" w:rsidRDefault="00876930" w:rsidP="008C363A">
            <w:pPr>
              <w:overflowPunct/>
              <w:autoSpaceDE/>
              <w:autoSpaceDN/>
              <w:adjustRightInd/>
              <w:textAlignment w:val="auto"/>
              <w:rPr>
                <w:color w:val="000000"/>
                <w:sz w:val="20"/>
                <w:lang w:val="et-EE" w:eastAsia="et-EE"/>
              </w:rPr>
            </w:pPr>
            <w:r w:rsidRPr="005859D9">
              <w:rPr>
                <w:color w:val="000000"/>
                <w:sz w:val="20"/>
                <w:lang w:eastAsia="et-EE"/>
              </w:rPr>
              <w:t>Onshore wind</w:t>
            </w:r>
          </w:p>
        </w:tc>
        <w:tc>
          <w:tcPr>
            <w:tcW w:w="830" w:type="dxa"/>
            <w:shd w:val="clear" w:color="auto" w:fill="auto"/>
            <w:vAlign w:val="center"/>
            <w:hideMark/>
          </w:tcPr>
          <w:p w14:paraId="1340D938" w14:textId="77777777" w:rsidR="00876930" w:rsidRPr="005859D9" w:rsidRDefault="00876930" w:rsidP="008C363A">
            <w:pPr>
              <w:overflowPunct/>
              <w:autoSpaceDE/>
              <w:autoSpaceDN/>
              <w:adjustRightInd/>
              <w:textAlignment w:val="auto"/>
              <w:rPr>
                <w:color w:val="000000"/>
                <w:sz w:val="20"/>
                <w:lang w:val="et-EE" w:eastAsia="et-EE"/>
              </w:rPr>
            </w:pPr>
            <w:r w:rsidRPr="005859D9">
              <w:rPr>
                <w:color w:val="000000"/>
                <w:sz w:val="20"/>
                <w:lang w:eastAsia="et-EE"/>
              </w:rPr>
              <w:t>Hydro</w:t>
            </w:r>
          </w:p>
        </w:tc>
        <w:tc>
          <w:tcPr>
            <w:tcW w:w="803" w:type="dxa"/>
            <w:shd w:val="clear" w:color="auto" w:fill="auto"/>
            <w:vAlign w:val="center"/>
            <w:hideMark/>
          </w:tcPr>
          <w:p w14:paraId="39D9F450" w14:textId="77777777" w:rsidR="00876930" w:rsidRPr="005859D9" w:rsidRDefault="00876930" w:rsidP="008C363A">
            <w:pPr>
              <w:overflowPunct/>
              <w:autoSpaceDE/>
              <w:autoSpaceDN/>
              <w:adjustRightInd/>
              <w:textAlignment w:val="auto"/>
              <w:rPr>
                <w:color w:val="000000"/>
                <w:sz w:val="20"/>
                <w:lang w:val="et-EE" w:eastAsia="et-EE"/>
              </w:rPr>
            </w:pPr>
            <w:r w:rsidRPr="005859D9">
              <w:rPr>
                <w:color w:val="000000"/>
                <w:sz w:val="20"/>
                <w:lang w:eastAsia="et-EE"/>
              </w:rPr>
              <w:t>Solar</w:t>
            </w:r>
          </w:p>
        </w:tc>
        <w:tc>
          <w:tcPr>
            <w:tcW w:w="800" w:type="dxa"/>
            <w:shd w:val="clear" w:color="auto" w:fill="auto"/>
            <w:vAlign w:val="center"/>
            <w:hideMark/>
          </w:tcPr>
          <w:p w14:paraId="797E7906" w14:textId="77777777" w:rsidR="00876930" w:rsidRPr="005859D9" w:rsidRDefault="00876930" w:rsidP="008C363A">
            <w:pPr>
              <w:overflowPunct/>
              <w:autoSpaceDE/>
              <w:autoSpaceDN/>
              <w:adjustRightInd/>
              <w:textAlignment w:val="auto"/>
              <w:rPr>
                <w:color w:val="000000"/>
                <w:sz w:val="20"/>
                <w:lang w:val="et-EE" w:eastAsia="et-EE"/>
              </w:rPr>
            </w:pPr>
            <w:r w:rsidRPr="005859D9">
              <w:rPr>
                <w:color w:val="000000"/>
                <w:sz w:val="20"/>
                <w:lang w:eastAsia="et-EE"/>
              </w:rPr>
              <w:t>Oil shale</w:t>
            </w:r>
          </w:p>
        </w:tc>
        <w:tc>
          <w:tcPr>
            <w:tcW w:w="825" w:type="dxa"/>
            <w:shd w:val="clear" w:color="auto" w:fill="auto"/>
            <w:vAlign w:val="center"/>
            <w:hideMark/>
          </w:tcPr>
          <w:p w14:paraId="03F5E4D4" w14:textId="77777777" w:rsidR="00876930" w:rsidRPr="005859D9" w:rsidRDefault="00876930" w:rsidP="008C363A">
            <w:pPr>
              <w:overflowPunct/>
              <w:autoSpaceDE/>
              <w:autoSpaceDN/>
              <w:adjustRightInd/>
              <w:textAlignment w:val="auto"/>
              <w:rPr>
                <w:color w:val="000000"/>
                <w:sz w:val="20"/>
                <w:lang w:val="et-EE" w:eastAsia="et-EE"/>
              </w:rPr>
            </w:pPr>
            <w:r w:rsidRPr="005859D9">
              <w:rPr>
                <w:color w:val="000000"/>
                <w:sz w:val="20"/>
                <w:lang w:eastAsia="et-EE"/>
              </w:rPr>
              <w:t>Waste</w:t>
            </w:r>
          </w:p>
        </w:tc>
        <w:tc>
          <w:tcPr>
            <w:tcW w:w="856" w:type="dxa"/>
            <w:shd w:val="clear" w:color="auto" w:fill="auto"/>
            <w:vAlign w:val="center"/>
            <w:hideMark/>
          </w:tcPr>
          <w:p w14:paraId="0B58400F" w14:textId="77777777" w:rsidR="00876930" w:rsidRPr="005859D9" w:rsidRDefault="00876930" w:rsidP="008C363A">
            <w:pPr>
              <w:overflowPunct/>
              <w:autoSpaceDE/>
              <w:autoSpaceDN/>
              <w:adjustRightInd/>
              <w:textAlignment w:val="auto"/>
              <w:rPr>
                <w:color w:val="000000"/>
                <w:sz w:val="20"/>
                <w:lang w:val="et-EE" w:eastAsia="et-EE"/>
              </w:rPr>
            </w:pPr>
            <w:r w:rsidRPr="005859D9">
              <w:rPr>
                <w:color w:val="000000"/>
                <w:sz w:val="20"/>
                <w:lang w:eastAsia="et-EE"/>
              </w:rPr>
              <w:t>Natural gas</w:t>
            </w:r>
          </w:p>
        </w:tc>
        <w:tc>
          <w:tcPr>
            <w:tcW w:w="890" w:type="dxa"/>
            <w:shd w:val="clear" w:color="auto" w:fill="auto"/>
            <w:vAlign w:val="center"/>
            <w:hideMark/>
          </w:tcPr>
          <w:p w14:paraId="74FAF7F3" w14:textId="77777777" w:rsidR="00876930" w:rsidRPr="005859D9" w:rsidRDefault="00876930" w:rsidP="008C363A">
            <w:pPr>
              <w:overflowPunct/>
              <w:autoSpaceDE/>
              <w:autoSpaceDN/>
              <w:adjustRightInd/>
              <w:textAlignment w:val="auto"/>
              <w:rPr>
                <w:color w:val="000000"/>
                <w:sz w:val="20"/>
                <w:lang w:val="et-EE" w:eastAsia="et-EE"/>
              </w:rPr>
            </w:pPr>
            <w:r w:rsidRPr="005859D9">
              <w:rPr>
                <w:color w:val="000000"/>
                <w:sz w:val="20"/>
                <w:lang w:eastAsia="et-EE"/>
              </w:rPr>
              <w:t>Biomass</w:t>
            </w:r>
          </w:p>
        </w:tc>
        <w:tc>
          <w:tcPr>
            <w:tcW w:w="872" w:type="dxa"/>
          </w:tcPr>
          <w:p w14:paraId="400CE888" w14:textId="0498A166" w:rsidR="00876930" w:rsidRPr="005859D9" w:rsidRDefault="00876930" w:rsidP="00191DF3">
            <w:pPr>
              <w:overflowPunct/>
              <w:autoSpaceDE/>
              <w:autoSpaceDN/>
              <w:adjustRightInd/>
              <w:spacing w:before="240"/>
              <w:jc w:val="center"/>
              <w:textAlignment w:val="auto"/>
              <w:rPr>
                <w:color w:val="000000"/>
                <w:sz w:val="20"/>
                <w:lang w:eastAsia="et-EE"/>
              </w:rPr>
            </w:pPr>
            <w:r>
              <w:rPr>
                <w:color w:val="000000"/>
                <w:sz w:val="20"/>
                <w:lang w:eastAsia="et-EE"/>
              </w:rPr>
              <w:t>Other</w:t>
            </w:r>
          </w:p>
        </w:tc>
        <w:tc>
          <w:tcPr>
            <w:tcW w:w="872" w:type="dxa"/>
            <w:shd w:val="clear" w:color="auto" w:fill="auto"/>
            <w:vAlign w:val="center"/>
            <w:hideMark/>
          </w:tcPr>
          <w:p w14:paraId="3CA5CC76" w14:textId="27BAB05F" w:rsidR="00876930" w:rsidRPr="005859D9" w:rsidRDefault="00876930" w:rsidP="008C363A">
            <w:pPr>
              <w:overflowPunct/>
              <w:autoSpaceDE/>
              <w:autoSpaceDN/>
              <w:adjustRightInd/>
              <w:textAlignment w:val="auto"/>
              <w:rPr>
                <w:color w:val="000000"/>
                <w:sz w:val="20"/>
                <w:lang w:val="et-EE" w:eastAsia="et-EE"/>
              </w:rPr>
            </w:pPr>
            <w:r w:rsidRPr="005859D9">
              <w:rPr>
                <w:color w:val="000000"/>
                <w:sz w:val="20"/>
                <w:lang w:eastAsia="et-EE"/>
              </w:rPr>
              <w:t>TOTAL</w:t>
            </w:r>
          </w:p>
        </w:tc>
      </w:tr>
      <w:tr w:rsidR="00876930" w:rsidRPr="008C363A" w14:paraId="096D5C34" w14:textId="77777777" w:rsidTr="00B051E0">
        <w:trPr>
          <w:trHeight w:val="433"/>
          <w:jc w:val="center"/>
        </w:trPr>
        <w:tc>
          <w:tcPr>
            <w:tcW w:w="1222" w:type="dxa"/>
            <w:shd w:val="clear" w:color="auto" w:fill="auto"/>
            <w:vAlign w:val="center"/>
            <w:hideMark/>
          </w:tcPr>
          <w:p w14:paraId="38271AB1" w14:textId="77777777" w:rsidR="00876930" w:rsidRPr="005859D9" w:rsidRDefault="00876930" w:rsidP="00B051E0">
            <w:pPr>
              <w:overflowPunct/>
              <w:autoSpaceDE/>
              <w:autoSpaceDN/>
              <w:adjustRightInd/>
              <w:textAlignment w:val="auto"/>
              <w:rPr>
                <w:color w:val="000000"/>
                <w:sz w:val="20"/>
                <w:lang w:val="et-EE" w:eastAsia="et-EE"/>
              </w:rPr>
            </w:pPr>
            <w:r w:rsidRPr="005859D9">
              <w:rPr>
                <w:color w:val="000000"/>
                <w:sz w:val="20"/>
                <w:lang w:eastAsia="et-EE"/>
              </w:rPr>
              <w:t>Capacity (MW)</w:t>
            </w:r>
          </w:p>
        </w:tc>
        <w:tc>
          <w:tcPr>
            <w:tcW w:w="878" w:type="dxa"/>
            <w:shd w:val="clear" w:color="auto" w:fill="auto"/>
            <w:vAlign w:val="center"/>
            <w:hideMark/>
          </w:tcPr>
          <w:p w14:paraId="4F37D4E9" w14:textId="77777777" w:rsidR="00876930" w:rsidRPr="005859D9" w:rsidRDefault="00876930" w:rsidP="00B051E0">
            <w:pPr>
              <w:overflowPunct/>
              <w:autoSpaceDE/>
              <w:autoSpaceDN/>
              <w:adjustRightInd/>
              <w:jc w:val="center"/>
              <w:textAlignment w:val="auto"/>
              <w:rPr>
                <w:color w:val="000000"/>
                <w:sz w:val="20"/>
                <w:lang w:val="et-EE" w:eastAsia="et-EE"/>
              </w:rPr>
            </w:pPr>
            <w:r w:rsidRPr="005859D9">
              <w:rPr>
                <w:color w:val="000000"/>
                <w:sz w:val="20"/>
                <w:lang w:eastAsia="et-EE"/>
              </w:rPr>
              <w:t>317</w:t>
            </w:r>
          </w:p>
        </w:tc>
        <w:tc>
          <w:tcPr>
            <w:tcW w:w="830" w:type="dxa"/>
            <w:shd w:val="clear" w:color="auto" w:fill="auto"/>
            <w:vAlign w:val="center"/>
            <w:hideMark/>
          </w:tcPr>
          <w:p w14:paraId="2BEFDBF7" w14:textId="77777777" w:rsidR="00876930" w:rsidRPr="005859D9" w:rsidRDefault="00876930" w:rsidP="00B051E0">
            <w:pPr>
              <w:overflowPunct/>
              <w:autoSpaceDE/>
              <w:autoSpaceDN/>
              <w:adjustRightInd/>
              <w:jc w:val="center"/>
              <w:textAlignment w:val="auto"/>
              <w:rPr>
                <w:color w:val="000000"/>
                <w:sz w:val="20"/>
                <w:lang w:val="et-EE" w:eastAsia="et-EE"/>
              </w:rPr>
            </w:pPr>
            <w:r w:rsidRPr="005859D9">
              <w:rPr>
                <w:color w:val="000000"/>
                <w:sz w:val="20"/>
                <w:lang w:eastAsia="et-EE"/>
              </w:rPr>
              <w:t>8</w:t>
            </w:r>
          </w:p>
        </w:tc>
        <w:tc>
          <w:tcPr>
            <w:tcW w:w="803" w:type="dxa"/>
            <w:shd w:val="clear" w:color="auto" w:fill="auto"/>
            <w:vAlign w:val="center"/>
            <w:hideMark/>
          </w:tcPr>
          <w:p w14:paraId="2BD66D18" w14:textId="29870851" w:rsidR="00876930" w:rsidRPr="005859D9" w:rsidRDefault="00876930" w:rsidP="00B051E0">
            <w:pPr>
              <w:overflowPunct/>
              <w:autoSpaceDE/>
              <w:autoSpaceDN/>
              <w:adjustRightInd/>
              <w:jc w:val="center"/>
              <w:textAlignment w:val="auto"/>
              <w:rPr>
                <w:color w:val="000000"/>
                <w:sz w:val="20"/>
                <w:lang w:val="et-EE" w:eastAsia="et-EE"/>
              </w:rPr>
            </w:pPr>
            <w:r>
              <w:rPr>
                <w:color w:val="000000"/>
                <w:sz w:val="20"/>
                <w:lang w:eastAsia="et-EE"/>
              </w:rPr>
              <w:t>510</w:t>
            </w:r>
          </w:p>
        </w:tc>
        <w:tc>
          <w:tcPr>
            <w:tcW w:w="800" w:type="dxa"/>
            <w:shd w:val="clear" w:color="auto" w:fill="auto"/>
            <w:vAlign w:val="center"/>
            <w:hideMark/>
          </w:tcPr>
          <w:p w14:paraId="5C240DCE" w14:textId="77777777" w:rsidR="00876930" w:rsidRPr="005859D9" w:rsidRDefault="00876930" w:rsidP="00B051E0">
            <w:pPr>
              <w:overflowPunct/>
              <w:autoSpaceDE/>
              <w:autoSpaceDN/>
              <w:adjustRightInd/>
              <w:jc w:val="center"/>
              <w:textAlignment w:val="auto"/>
              <w:rPr>
                <w:color w:val="000000"/>
                <w:sz w:val="20"/>
                <w:lang w:val="et-EE" w:eastAsia="et-EE"/>
              </w:rPr>
            </w:pPr>
            <w:r w:rsidRPr="005859D9">
              <w:rPr>
                <w:color w:val="000000"/>
                <w:sz w:val="20"/>
                <w:lang w:eastAsia="et-EE"/>
              </w:rPr>
              <w:t>1330</w:t>
            </w:r>
          </w:p>
        </w:tc>
        <w:tc>
          <w:tcPr>
            <w:tcW w:w="825" w:type="dxa"/>
            <w:shd w:val="clear" w:color="auto" w:fill="auto"/>
            <w:vAlign w:val="center"/>
            <w:hideMark/>
          </w:tcPr>
          <w:p w14:paraId="6E327ABD" w14:textId="77777777" w:rsidR="00876930" w:rsidRPr="005859D9" w:rsidRDefault="00876930" w:rsidP="00B051E0">
            <w:pPr>
              <w:overflowPunct/>
              <w:autoSpaceDE/>
              <w:autoSpaceDN/>
              <w:adjustRightInd/>
              <w:jc w:val="center"/>
              <w:textAlignment w:val="auto"/>
              <w:rPr>
                <w:color w:val="000000"/>
                <w:sz w:val="20"/>
                <w:lang w:val="et-EE" w:eastAsia="et-EE"/>
              </w:rPr>
            </w:pPr>
            <w:r w:rsidRPr="005859D9">
              <w:rPr>
                <w:color w:val="000000"/>
                <w:sz w:val="20"/>
                <w:lang w:eastAsia="et-EE"/>
              </w:rPr>
              <w:t>17</w:t>
            </w:r>
          </w:p>
        </w:tc>
        <w:tc>
          <w:tcPr>
            <w:tcW w:w="856" w:type="dxa"/>
            <w:shd w:val="clear" w:color="auto" w:fill="auto"/>
            <w:vAlign w:val="center"/>
            <w:hideMark/>
          </w:tcPr>
          <w:p w14:paraId="219B9BE0" w14:textId="1C681BAD" w:rsidR="00876930" w:rsidRPr="005859D9" w:rsidRDefault="00876930" w:rsidP="00B051E0">
            <w:pPr>
              <w:overflowPunct/>
              <w:autoSpaceDE/>
              <w:autoSpaceDN/>
              <w:adjustRightInd/>
              <w:jc w:val="center"/>
              <w:textAlignment w:val="auto"/>
              <w:rPr>
                <w:color w:val="000000"/>
                <w:sz w:val="20"/>
                <w:lang w:val="et-EE" w:eastAsia="et-EE"/>
              </w:rPr>
            </w:pPr>
            <w:r>
              <w:rPr>
                <w:color w:val="000000"/>
                <w:sz w:val="20"/>
                <w:lang w:eastAsia="et-EE"/>
              </w:rPr>
              <w:t>188</w:t>
            </w:r>
          </w:p>
        </w:tc>
        <w:tc>
          <w:tcPr>
            <w:tcW w:w="890" w:type="dxa"/>
            <w:shd w:val="clear" w:color="auto" w:fill="auto"/>
            <w:vAlign w:val="center"/>
            <w:hideMark/>
          </w:tcPr>
          <w:p w14:paraId="42A46462" w14:textId="3433FA95" w:rsidR="00876930" w:rsidRPr="005859D9" w:rsidRDefault="00876930" w:rsidP="00B051E0">
            <w:pPr>
              <w:overflowPunct/>
              <w:autoSpaceDE/>
              <w:autoSpaceDN/>
              <w:adjustRightInd/>
              <w:jc w:val="center"/>
              <w:textAlignment w:val="auto"/>
              <w:rPr>
                <w:color w:val="000000"/>
                <w:sz w:val="20"/>
                <w:lang w:val="et-EE" w:eastAsia="et-EE"/>
              </w:rPr>
            </w:pPr>
            <w:r>
              <w:rPr>
                <w:color w:val="000000"/>
                <w:sz w:val="20"/>
                <w:lang w:eastAsia="et-EE"/>
              </w:rPr>
              <w:t>152</w:t>
            </w:r>
          </w:p>
        </w:tc>
        <w:tc>
          <w:tcPr>
            <w:tcW w:w="872" w:type="dxa"/>
            <w:vAlign w:val="center"/>
          </w:tcPr>
          <w:p w14:paraId="4B6C5B0E" w14:textId="03E5F969" w:rsidR="00876930" w:rsidRDefault="00876930" w:rsidP="00B051E0">
            <w:pPr>
              <w:overflowPunct/>
              <w:autoSpaceDE/>
              <w:autoSpaceDN/>
              <w:adjustRightInd/>
              <w:spacing w:before="240" w:line="480" w:lineRule="auto"/>
              <w:jc w:val="center"/>
              <w:textAlignment w:val="auto"/>
              <w:rPr>
                <w:color w:val="000000"/>
                <w:sz w:val="20"/>
                <w:lang w:eastAsia="et-EE"/>
              </w:rPr>
            </w:pPr>
            <w:r>
              <w:rPr>
                <w:color w:val="000000"/>
                <w:sz w:val="20"/>
                <w:lang w:eastAsia="et-EE"/>
              </w:rPr>
              <w:t>20</w:t>
            </w:r>
          </w:p>
        </w:tc>
        <w:tc>
          <w:tcPr>
            <w:tcW w:w="872" w:type="dxa"/>
            <w:shd w:val="clear" w:color="auto" w:fill="auto"/>
            <w:vAlign w:val="center"/>
            <w:hideMark/>
          </w:tcPr>
          <w:p w14:paraId="59C22E0C" w14:textId="65595272" w:rsidR="00876930" w:rsidRPr="005859D9" w:rsidRDefault="00876930" w:rsidP="00B051E0">
            <w:pPr>
              <w:overflowPunct/>
              <w:autoSpaceDE/>
              <w:autoSpaceDN/>
              <w:adjustRightInd/>
              <w:jc w:val="center"/>
              <w:textAlignment w:val="auto"/>
              <w:rPr>
                <w:color w:val="000000"/>
                <w:sz w:val="20"/>
                <w:lang w:val="et-EE" w:eastAsia="et-EE"/>
              </w:rPr>
            </w:pPr>
            <w:r>
              <w:rPr>
                <w:color w:val="000000"/>
                <w:sz w:val="20"/>
                <w:lang w:eastAsia="et-EE"/>
              </w:rPr>
              <w:t>2542</w:t>
            </w:r>
          </w:p>
        </w:tc>
      </w:tr>
    </w:tbl>
    <w:p w14:paraId="1AED1E0F" w14:textId="6E27CC3F" w:rsidR="0079322B" w:rsidRDefault="00473D1F" w:rsidP="00473D1F">
      <w:pPr>
        <w:pStyle w:val="Heading3"/>
        <w:rPr>
          <w:sz w:val="18"/>
          <w:szCs w:val="18"/>
        </w:rPr>
      </w:pPr>
      <w:r>
        <w:t>Greenhouse gas emissions</w:t>
      </w:r>
    </w:p>
    <w:p w14:paraId="59959987" w14:textId="07118D67" w:rsidR="00312177" w:rsidRDefault="00473D1F" w:rsidP="00312177">
      <w:pPr>
        <w:spacing w:before="240" w:after="240" w:line="276" w:lineRule="auto"/>
        <w:ind w:firstLine="720"/>
        <w:jc w:val="both"/>
        <w:rPr>
          <w:sz w:val="20"/>
        </w:rPr>
      </w:pPr>
      <w:r>
        <w:rPr>
          <w:sz w:val="20"/>
        </w:rPr>
        <w:t xml:space="preserve">Estonia’s electricity production has historically been dominated by oil shale. </w:t>
      </w:r>
      <w:r w:rsidR="003B374B">
        <w:rPr>
          <w:sz w:val="20"/>
        </w:rPr>
        <w:t>T</w:t>
      </w:r>
      <w:r>
        <w:rPr>
          <w:sz w:val="20"/>
        </w:rPr>
        <w:t>his</w:t>
      </w:r>
      <w:r w:rsidR="003B374B">
        <w:rPr>
          <w:sz w:val="20"/>
        </w:rPr>
        <w:t xml:space="preserve"> consequently</w:t>
      </w:r>
      <w:r>
        <w:rPr>
          <w:sz w:val="20"/>
        </w:rPr>
        <w:t xml:space="preserve"> presents great challenges </w:t>
      </w:r>
      <w:r w:rsidR="003B374B">
        <w:rPr>
          <w:sz w:val="20"/>
        </w:rPr>
        <w:t>for</w:t>
      </w:r>
      <w:r>
        <w:rPr>
          <w:sz w:val="20"/>
        </w:rPr>
        <w:t xml:space="preserve"> EU initiatives regarding the reduction of greenhouse gas emissions. Despite this, annual greenhouse gas emissions of Estonia ha</w:t>
      </w:r>
      <w:r w:rsidR="00705530">
        <w:rPr>
          <w:sz w:val="20"/>
        </w:rPr>
        <w:t>ve</w:t>
      </w:r>
      <w:r>
        <w:rPr>
          <w:sz w:val="20"/>
        </w:rPr>
        <w:t xml:space="preserve"> been </w:t>
      </w:r>
      <w:r w:rsidR="00AF53FC">
        <w:rPr>
          <w:sz w:val="20"/>
        </w:rPr>
        <w:t xml:space="preserve">decreasing </w:t>
      </w:r>
      <w:r>
        <w:rPr>
          <w:sz w:val="20"/>
        </w:rPr>
        <w:t xml:space="preserve">since 2018. </w:t>
      </w:r>
      <w:r w:rsidR="007A4141">
        <w:rPr>
          <w:sz w:val="20"/>
        </w:rPr>
        <w:t>T</w:t>
      </w:r>
      <w:r>
        <w:rPr>
          <w:sz w:val="20"/>
        </w:rPr>
        <w:t xml:space="preserve">able </w:t>
      </w:r>
      <w:r w:rsidR="00083DDB">
        <w:rPr>
          <w:sz w:val="20"/>
        </w:rPr>
        <w:t>3 sho</w:t>
      </w:r>
      <w:r w:rsidR="000B5260">
        <w:rPr>
          <w:sz w:val="20"/>
        </w:rPr>
        <w:t>w</w:t>
      </w:r>
      <w:r w:rsidR="00083DDB">
        <w:rPr>
          <w:sz w:val="20"/>
        </w:rPr>
        <w:t>s the</w:t>
      </w:r>
      <w:r>
        <w:rPr>
          <w:sz w:val="20"/>
        </w:rPr>
        <w:t xml:space="preserve"> total emission of greenhouse gases </w:t>
      </w:r>
      <w:r w:rsidR="00083DDB">
        <w:rPr>
          <w:sz w:val="20"/>
        </w:rPr>
        <w:t>from</w:t>
      </w:r>
      <w:r w:rsidR="002B7AB1">
        <w:rPr>
          <w:sz w:val="20"/>
        </w:rPr>
        <w:t xml:space="preserve"> heat and electricity </w:t>
      </w:r>
      <w:r w:rsidR="006B5F84">
        <w:rPr>
          <w:sz w:val="20"/>
        </w:rPr>
        <w:t>production</w:t>
      </w:r>
      <w:r>
        <w:rPr>
          <w:sz w:val="20"/>
        </w:rPr>
        <w:t xml:space="preserve"> since Estonia became an EU member state in 2004</w:t>
      </w:r>
      <w:r w:rsidR="00350EAB">
        <w:rPr>
          <w:sz w:val="20"/>
        </w:rPr>
        <w:t>.</w:t>
      </w:r>
    </w:p>
    <w:p w14:paraId="46144D5D" w14:textId="5AB47FBF" w:rsidR="00350EAB" w:rsidRDefault="00350EAB" w:rsidP="00312177">
      <w:pPr>
        <w:spacing w:before="240" w:after="240" w:line="276" w:lineRule="auto"/>
        <w:ind w:firstLine="720"/>
        <w:jc w:val="both"/>
        <w:rPr>
          <w:sz w:val="20"/>
        </w:rPr>
      </w:pPr>
      <w:r>
        <w:rPr>
          <w:sz w:val="20"/>
        </w:rPr>
        <w:t>The recent decline in total emission of greenhouse gases is due to a combination of developments in renewable power generation, stricter EU energy regulations and evolving public perception about climate change. In 2021, Estonian energy industries accounted for 6.99 Mt of CO</w:t>
      </w:r>
      <w:r w:rsidRPr="005859D9">
        <w:rPr>
          <w:sz w:val="20"/>
          <w:vertAlign w:val="subscript"/>
        </w:rPr>
        <w:t>2</w:t>
      </w:r>
      <w:r>
        <w:rPr>
          <w:sz w:val="20"/>
        </w:rPr>
        <w:t xml:space="preserve"> equivalent greenhouse gas emissions, which represents a 68.4% reduction of these emissions since 1990. </w:t>
      </w:r>
    </w:p>
    <w:p w14:paraId="2E09FB88" w14:textId="6A5AF00D" w:rsidR="00835A85" w:rsidRDefault="00473D1F" w:rsidP="005C3AD9">
      <w:pPr>
        <w:overflowPunct/>
        <w:autoSpaceDE/>
        <w:autoSpaceDN/>
        <w:adjustRightInd/>
        <w:jc w:val="both"/>
        <w:textAlignment w:val="auto"/>
        <w:rPr>
          <w:sz w:val="20"/>
        </w:rPr>
      </w:pPr>
      <w:r>
        <w:rPr>
          <w:sz w:val="20"/>
        </w:rPr>
        <w:t>TABLE 3.</w:t>
      </w:r>
      <w:r>
        <w:rPr>
          <w:sz w:val="20"/>
        </w:rPr>
        <w:tab/>
      </w:r>
      <w:r w:rsidR="00595C40">
        <w:rPr>
          <w:sz w:val="20"/>
        </w:rPr>
        <w:t xml:space="preserve">EMISSIONS OF GREENHOUSE GASES </w:t>
      </w:r>
      <w:r w:rsidR="00C96636">
        <w:rPr>
          <w:sz w:val="20"/>
        </w:rPr>
        <w:t xml:space="preserve">FROM </w:t>
      </w:r>
      <w:r w:rsidR="00020230">
        <w:rPr>
          <w:sz w:val="20"/>
        </w:rPr>
        <w:t xml:space="preserve">ELECTRICITY AND HEAT </w:t>
      </w:r>
      <w:r w:rsidR="006B5F84">
        <w:rPr>
          <w:sz w:val="20"/>
        </w:rPr>
        <w:t>PRODUCTION</w:t>
      </w:r>
      <w:r w:rsidR="00020230">
        <w:rPr>
          <w:sz w:val="20"/>
        </w:rPr>
        <w:t xml:space="preserve"> </w:t>
      </w:r>
      <w:r w:rsidR="00595C40">
        <w:rPr>
          <w:sz w:val="20"/>
        </w:rPr>
        <w:t>IN ESTONIA</w:t>
      </w:r>
      <w:r>
        <w:rPr>
          <w:sz w:val="20"/>
        </w:rPr>
        <w:t xml:space="preserve"> </w:t>
      </w:r>
      <w:r w:rsidR="00335BAF">
        <w:rPr>
          <w:sz w:val="20"/>
        </w:rPr>
        <w:fldChar w:fldCharType="begin"/>
      </w:r>
      <w:r w:rsidR="00335BAF">
        <w:rPr>
          <w:sz w:val="20"/>
        </w:rPr>
        <w:instrText xml:space="preserve"> REF _Ref170404290 \r \h </w:instrText>
      </w:r>
      <w:r w:rsidR="00335BAF">
        <w:rPr>
          <w:sz w:val="20"/>
        </w:rPr>
      </w:r>
      <w:r w:rsidR="00335BAF">
        <w:rPr>
          <w:sz w:val="20"/>
        </w:rPr>
        <w:fldChar w:fldCharType="separate"/>
      </w:r>
      <w:r w:rsidR="000F020D">
        <w:rPr>
          <w:sz w:val="20"/>
        </w:rPr>
        <w:t>[9]</w:t>
      </w:r>
      <w:r w:rsidR="00335BAF">
        <w:rPr>
          <w:sz w:val="20"/>
        </w:rPr>
        <w:fldChar w:fldCharType="end"/>
      </w:r>
    </w:p>
    <w:p w14:paraId="636ACB7B" w14:textId="77777777" w:rsidR="00312177" w:rsidRPr="0055203F" w:rsidRDefault="00312177" w:rsidP="00312177">
      <w:pPr>
        <w:overflowPunct/>
        <w:autoSpaceDE/>
        <w:autoSpaceDN/>
        <w:adjustRightInd/>
        <w:textAlignment w:val="auto"/>
        <w:rPr>
          <w:sz w:val="20"/>
        </w:rPr>
      </w:pPr>
    </w:p>
    <w:tbl>
      <w:tblPr>
        <w:tblStyle w:val="TableGrid"/>
        <w:tblW w:w="5063" w:type="dxa"/>
        <w:jc w:val="center"/>
        <w:tblBorders>
          <w:left w:val="none" w:sz="0" w:space="0" w:color="auto"/>
          <w:right w:val="none" w:sz="0" w:space="0" w:color="auto"/>
          <w:insideV w:val="none" w:sz="0" w:space="0" w:color="auto"/>
        </w:tblBorders>
        <w:tblLook w:val="0600" w:firstRow="0" w:lastRow="0" w:firstColumn="0" w:lastColumn="0" w:noHBand="1" w:noVBand="1"/>
      </w:tblPr>
      <w:tblGrid>
        <w:gridCol w:w="1324"/>
        <w:gridCol w:w="771"/>
        <w:gridCol w:w="771"/>
        <w:gridCol w:w="771"/>
        <w:gridCol w:w="713"/>
        <w:gridCol w:w="713"/>
      </w:tblGrid>
      <w:tr w:rsidR="00A14D62" w14:paraId="1E7F3157" w14:textId="77777777" w:rsidTr="005859D9">
        <w:trPr>
          <w:trHeight w:val="51"/>
          <w:jc w:val="center"/>
        </w:trPr>
        <w:tc>
          <w:tcPr>
            <w:tcW w:w="0" w:type="auto"/>
          </w:tcPr>
          <w:p w14:paraId="725D9B73" w14:textId="39CC3248" w:rsidR="00A14D62" w:rsidRPr="005859D9" w:rsidRDefault="00A14D62" w:rsidP="000E70BB">
            <w:pPr>
              <w:widowControl w:val="0"/>
              <w:rPr>
                <w:sz w:val="20"/>
              </w:rPr>
            </w:pPr>
            <w:r w:rsidRPr="005859D9">
              <w:rPr>
                <w:sz w:val="20"/>
              </w:rPr>
              <w:t>Year</w:t>
            </w:r>
          </w:p>
        </w:tc>
        <w:tc>
          <w:tcPr>
            <w:tcW w:w="0" w:type="auto"/>
          </w:tcPr>
          <w:p w14:paraId="0DEB21EF" w14:textId="56666335" w:rsidR="00A14D62" w:rsidRPr="005859D9" w:rsidRDefault="00A14D62" w:rsidP="000E70BB">
            <w:pPr>
              <w:widowControl w:val="0"/>
              <w:rPr>
                <w:sz w:val="20"/>
              </w:rPr>
            </w:pPr>
            <w:r>
              <w:rPr>
                <w:sz w:val="20"/>
              </w:rPr>
              <w:t>2005</w:t>
            </w:r>
          </w:p>
        </w:tc>
        <w:tc>
          <w:tcPr>
            <w:tcW w:w="0" w:type="auto"/>
          </w:tcPr>
          <w:p w14:paraId="33C65C6C" w14:textId="6A424B2C" w:rsidR="00A14D62" w:rsidRPr="005859D9" w:rsidRDefault="00A14D62" w:rsidP="000E70BB">
            <w:pPr>
              <w:widowControl w:val="0"/>
              <w:rPr>
                <w:sz w:val="20"/>
              </w:rPr>
            </w:pPr>
            <w:r>
              <w:rPr>
                <w:sz w:val="20"/>
              </w:rPr>
              <w:t>2010</w:t>
            </w:r>
          </w:p>
        </w:tc>
        <w:tc>
          <w:tcPr>
            <w:tcW w:w="0" w:type="auto"/>
          </w:tcPr>
          <w:p w14:paraId="5D5B9774" w14:textId="16C9C495" w:rsidR="00A14D62" w:rsidRPr="005859D9" w:rsidRDefault="00A14D62" w:rsidP="000E70BB">
            <w:pPr>
              <w:widowControl w:val="0"/>
              <w:rPr>
                <w:sz w:val="20"/>
              </w:rPr>
            </w:pPr>
            <w:r>
              <w:rPr>
                <w:sz w:val="20"/>
              </w:rPr>
              <w:t>2015</w:t>
            </w:r>
          </w:p>
        </w:tc>
        <w:tc>
          <w:tcPr>
            <w:tcW w:w="0" w:type="auto"/>
          </w:tcPr>
          <w:p w14:paraId="1DCE30C2" w14:textId="77777777" w:rsidR="00A14D62" w:rsidRPr="005859D9" w:rsidRDefault="00A14D62" w:rsidP="000E70BB">
            <w:pPr>
              <w:widowControl w:val="0"/>
              <w:rPr>
                <w:sz w:val="20"/>
              </w:rPr>
            </w:pPr>
            <w:r w:rsidRPr="005859D9">
              <w:rPr>
                <w:sz w:val="20"/>
              </w:rPr>
              <w:t>2020</w:t>
            </w:r>
          </w:p>
        </w:tc>
        <w:tc>
          <w:tcPr>
            <w:tcW w:w="0" w:type="auto"/>
          </w:tcPr>
          <w:p w14:paraId="0A31405F" w14:textId="77777777" w:rsidR="00A14D62" w:rsidRPr="005859D9" w:rsidRDefault="00A14D62" w:rsidP="000E70BB">
            <w:pPr>
              <w:widowControl w:val="0"/>
              <w:rPr>
                <w:sz w:val="20"/>
              </w:rPr>
            </w:pPr>
            <w:r w:rsidRPr="005859D9">
              <w:rPr>
                <w:sz w:val="20"/>
              </w:rPr>
              <w:t>2021</w:t>
            </w:r>
          </w:p>
        </w:tc>
      </w:tr>
      <w:tr w:rsidR="00A14D62" w14:paraId="49380895" w14:textId="77777777" w:rsidTr="005859D9">
        <w:trPr>
          <w:trHeight w:val="297"/>
          <w:jc w:val="center"/>
        </w:trPr>
        <w:tc>
          <w:tcPr>
            <w:tcW w:w="0" w:type="auto"/>
          </w:tcPr>
          <w:p w14:paraId="10948C42" w14:textId="54E127DD" w:rsidR="00A14D62" w:rsidRPr="005859D9" w:rsidRDefault="00A14D62" w:rsidP="000E70BB">
            <w:pPr>
              <w:widowControl w:val="0"/>
              <w:rPr>
                <w:sz w:val="20"/>
              </w:rPr>
            </w:pPr>
            <w:r w:rsidRPr="005859D9">
              <w:rPr>
                <w:sz w:val="20"/>
              </w:rPr>
              <w:t>Mt of CO</w:t>
            </w:r>
            <w:r w:rsidRPr="005859D9">
              <w:rPr>
                <w:sz w:val="12"/>
                <w:szCs w:val="12"/>
              </w:rPr>
              <w:t>2</w:t>
            </w:r>
            <w:r w:rsidRPr="005859D9">
              <w:rPr>
                <w:sz w:val="20"/>
              </w:rPr>
              <w:t>e</w:t>
            </w:r>
          </w:p>
        </w:tc>
        <w:tc>
          <w:tcPr>
            <w:tcW w:w="0" w:type="auto"/>
          </w:tcPr>
          <w:p w14:paraId="530EC2AA" w14:textId="3EAEC0F1" w:rsidR="00A14D62" w:rsidRPr="005859D9" w:rsidRDefault="00A14D62" w:rsidP="000E70BB">
            <w:pPr>
              <w:widowControl w:val="0"/>
              <w:rPr>
                <w:sz w:val="20"/>
              </w:rPr>
            </w:pPr>
            <w:r w:rsidRPr="005859D9">
              <w:rPr>
                <w:sz w:val="20"/>
              </w:rPr>
              <w:t>12.61</w:t>
            </w:r>
          </w:p>
        </w:tc>
        <w:tc>
          <w:tcPr>
            <w:tcW w:w="0" w:type="auto"/>
          </w:tcPr>
          <w:p w14:paraId="419A9467" w14:textId="55EE984B" w:rsidR="00A14D62" w:rsidRPr="005859D9" w:rsidRDefault="00A14D62" w:rsidP="000E70BB">
            <w:pPr>
              <w:widowControl w:val="0"/>
              <w:rPr>
                <w:sz w:val="20"/>
              </w:rPr>
            </w:pPr>
            <w:r w:rsidRPr="005859D9">
              <w:rPr>
                <w:sz w:val="20"/>
              </w:rPr>
              <w:t>15.01</w:t>
            </w:r>
          </w:p>
        </w:tc>
        <w:tc>
          <w:tcPr>
            <w:tcW w:w="0" w:type="auto"/>
          </w:tcPr>
          <w:p w14:paraId="4E7879C0" w14:textId="1BFCCF2C" w:rsidR="00A14D62" w:rsidRPr="005859D9" w:rsidRDefault="00A14D62" w:rsidP="000E70BB">
            <w:pPr>
              <w:widowControl w:val="0"/>
              <w:rPr>
                <w:sz w:val="20"/>
              </w:rPr>
            </w:pPr>
            <w:r w:rsidRPr="003956D8">
              <w:rPr>
                <w:sz w:val="20"/>
              </w:rPr>
              <w:t>11.84</w:t>
            </w:r>
          </w:p>
        </w:tc>
        <w:tc>
          <w:tcPr>
            <w:tcW w:w="0" w:type="auto"/>
          </w:tcPr>
          <w:p w14:paraId="7EE38826" w14:textId="77777777" w:rsidR="00A14D62" w:rsidRPr="005859D9" w:rsidRDefault="00A14D62" w:rsidP="000E70BB">
            <w:pPr>
              <w:widowControl w:val="0"/>
              <w:rPr>
                <w:sz w:val="20"/>
              </w:rPr>
            </w:pPr>
            <w:r w:rsidRPr="005859D9">
              <w:rPr>
                <w:sz w:val="20"/>
              </w:rPr>
              <w:t>5.75</w:t>
            </w:r>
          </w:p>
        </w:tc>
        <w:tc>
          <w:tcPr>
            <w:tcW w:w="0" w:type="auto"/>
          </w:tcPr>
          <w:p w14:paraId="79EB0BFE" w14:textId="77777777" w:rsidR="00A14D62" w:rsidRPr="005859D9" w:rsidRDefault="00A14D62" w:rsidP="000E70BB">
            <w:pPr>
              <w:widowControl w:val="0"/>
              <w:rPr>
                <w:sz w:val="20"/>
              </w:rPr>
            </w:pPr>
            <w:r w:rsidRPr="005859D9">
              <w:rPr>
                <w:sz w:val="20"/>
              </w:rPr>
              <w:t>6.99</w:t>
            </w:r>
          </w:p>
        </w:tc>
      </w:tr>
    </w:tbl>
    <w:p w14:paraId="3F525173" w14:textId="4D473370" w:rsidR="0079322B" w:rsidRDefault="00473D1F" w:rsidP="00312177">
      <w:pPr>
        <w:pStyle w:val="Heading3"/>
        <w:keepNext/>
        <w:rPr>
          <w:sz w:val="18"/>
          <w:szCs w:val="18"/>
        </w:rPr>
      </w:pPr>
      <w:r>
        <w:t xml:space="preserve">Potential for nuclear power in </w:t>
      </w:r>
      <w:r w:rsidR="00C54B50">
        <w:t>the Estonian</w:t>
      </w:r>
      <w:r>
        <w:t xml:space="preserve"> energy </w:t>
      </w:r>
      <w:r w:rsidR="00C54B50">
        <w:t>system</w:t>
      </w:r>
    </w:p>
    <w:p w14:paraId="41D1C483" w14:textId="77777777" w:rsidR="0084033C" w:rsidRDefault="00C54B50" w:rsidP="00232C58">
      <w:pPr>
        <w:spacing w:line="276" w:lineRule="auto"/>
        <w:ind w:firstLine="720"/>
        <w:jc w:val="both"/>
        <w:rPr>
          <w:sz w:val="20"/>
        </w:rPr>
      </w:pPr>
      <w:r>
        <w:rPr>
          <w:sz w:val="20"/>
        </w:rPr>
        <w:t>The Estonian</w:t>
      </w:r>
      <w:r w:rsidR="00473D1F" w:rsidRPr="003D749D">
        <w:rPr>
          <w:sz w:val="20"/>
        </w:rPr>
        <w:t xml:space="preserve"> energy system is </w:t>
      </w:r>
      <w:r w:rsidR="0011532F" w:rsidRPr="003D749D">
        <w:rPr>
          <w:sz w:val="20"/>
        </w:rPr>
        <w:t>shifting toward</w:t>
      </w:r>
      <w:r w:rsidR="00473D1F" w:rsidRPr="003D749D">
        <w:rPr>
          <w:sz w:val="20"/>
        </w:rPr>
        <w:t xml:space="preserve"> renewable energy production. </w:t>
      </w:r>
      <w:r w:rsidR="000A4373" w:rsidRPr="003D749D">
        <w:rPr>
          <w:sz w:val="20"/>
        </w:rPr>
        <w:t>The country has set</w:t>
      </w:r>
      <w:r w:rsidR="00473D1F" w:rsidRPr="003D749D">
        <w:rPr>
          <w:sz w:val="20"/>
        </w:rPr>
        <w:t xml:space="preserve"> an ambitious goal to replace all </w:t>
      </w:r>
      <w:r>
        <w:rPr>
          <w:sz w:val="20"/>
        </w:rPr>
        <w:t>electricity</w:t>
      </w:r>
      <w:r w:rsidR="00473D1F" w:rsidRPr="003D749D">
        <w:rPr>
          <w:sz w:val="20"/>
        </w:rPr>
        <w:t xml:space="preserve"> generation with renewables by 2030. An attractive environment for investors of green energy has been created</w:t>
      </w:r>
      <w:r w:rsidR="00ED362A" w:rsidRPr="003D749D">
        <w:rPr>
          <w:sz w:val="20"/>
        </w:rPr>
        <w:t>, particularly as</w:t>
      </w:r>
      <w:r w:rsidR="00473D1F" w:rsidRPr="003D749D">
        <w:rPr>
          <w:sz w:val="20"/>
        </w:rPr>
        <w:t xml:space="preserve"> </w:t>
      </w:r>
      <w:r w:rsidR="00ED362A" w:rsidRPr="003D749D">
        <w:rPr>
          <w:sz w:val="20"/>
        </w:rPr>
        <w:t>the cos</w:t>
      </w:r>
      <w:r w:rsidR="00DD6149" w:rsidRPr="003D749D">
        <w:rPr>
          <w:sz w:val="20"/>
        </w:rPr>
        <w:t>t</w:t>
      </w:r>
      <w:r w:rsidR="00ED362A" w:rsidRPr="003D749D">
        <w:rPr>
          <w:sz w:val="20"/>
        </w:rPr>
        <w:t xml:space="preserve"> of </w:t>
      </w:r>
      <w:r w:rsidR="00473D1F" w:rsidRPr="003D749D">
        <w:rPr>
          <w:sz w:val="20"/>
        </w:rPr>
        <w:t xml:space="preserve">renewable technologies have </w:t>
      </w:r>
      <w:r w:rsidR="00E2708D" w:rsidRPr="003D749D">
        <w:rPr>
          <w:sz w:val="20"/>
        </w:rPr>
        <w:t>decreased</w:t>
      </w:r>
      <w:r w:rsidR="00473D1F" w:rsidRPr="003D749D">
        <w:rPr>
          <w:sz w:val="20"/>
        </w:rPr>
        <w:t xml:space="preserve">. It </w:t>
      </w:r>
      <w:r w:rsidR="00ED0D64" w:rsidRPr="003D749D">
        <w:rPr>
          <w:sz w:val="20"/>
        </w:rPr>
        <w:lastRenderedPageBreak/>
        <w:t>is projected</w:t>
      </w:r>
      <w:r w:rsidR="00473D1F" w:rsidRPr="003D749D">
        <w:rPr>
          <w:sz w:val="20"/>
        </w:rPr>
        <w:t xml:space="preserve"> that by 2030, an addition of </w:t>
      </w:r>
      <w:r w:rsidR="00473D1F" w:rsidRPr="00C54B50">
        <w:rPr>
          <w:sz w:val="20"/>
        </w:rPr>
        <w:t xml:space="preserve">2000 MW of wind energy into Estonia’s energy system </w:t>
      </w:r>
      <w:r w:rsidR="00557C0A" w:rsidRPr="00C54B50">
        <w:rPr>
          <w:sz w:val="20"/>
        </w:rPr>
        <w:t xml:space="preserve">will be </w:t>
      </w:r>
      <w:r w:rsidR="00FD19CC" w:rsidRPr="00C54B50">
        <w:rPr>
          <w:sz w:val="20"/>
        </w:rPr>
        <w:t xml:space="preserve">a </w:t>
      </w:r>
      <w:r w:rsidR="00473D1F" w:rsidRPr="00C54B50">
        <w:rPr>
          <w:sz w:val="20"/>
        </w:rPr>
        <w:t xml:space="preserve">substantial part of achieving policy goals set by the government. </w:t>
      </w:r>
      <w:r w:rsidR="003E6C48" w:rsidRPr="00C54B50">
        <w:rPr>
          <w:sz w:val="20"/>
        </w:rPr>
        <w:t xml:space="preserve">However, </w:t>
      </w:r>
      <w:r w:rsidRPr="00C54B50">
        <w:rPr>
          <w:sz w:val="20"/>
        </w:rPr>
        <w:t>the “</w:t>
      </w:r>
      <w:r>
        <w:rPr>
          <w:sz w:val="20"/>
        </w:rPr>
        <w:t xml:space="preserve">Final Report </w:t>
      </w:r>
      <w:r w:rsidR="00407C39">
        <w:rPr>
          <w:sz w:val="20"/>
        </w:rPr>
        <w:t>–</w:t>
      </w:r>
      <w:r>
        <w:rPr>
          <w:sz w:val="20"/>
        </w:rPr>
        <w:t xml:space="preserve"> </w:t>
      </w:r>
      <w:r w:rsidRPr="00C54B50">
        <w:rPr>
          <w:sz w:val="20"/>
        </w:rPr>
        <w:t>Possibilities for the Implementation of Nuclear Energy in Estonia”</w:t>
      </w:r>
      <w:r>
        <w:rPr>
          <w:sz w:val="20"/>
        </w:rPr>
        <w:t xml:space="preserve"> </w:t>
      </w:r>
      <w:r w:rsidR="0074693C" w:rsidRPr="00C54B50">
        <w:rPr>
          <w:sz w:val="20"/>
          <w:lang w:val="en-US"/>
        </w:rPr>
        <w:t>[1</w:t>
      </w:r>
      <w:r w:rsidR="000A3701" w:rsidRPr="00C54B50">
        <w:rPr>
          <w:sz w:val="20"/>
          <w:lang w:val="en-US"/>
        </w:rPr>
        <w:t>0</w:t>
      </w:r>
      <w:r w:rsidR="0074693C" w:rsidRPr="00C54B50">
        <w:rPr>
          <w:sz w:val="20"/>
          <w:lang w:val="en-US"/>
        </w:rPr>
        <w:t>]</w:t>
      </w:r>
      <w:r w:rsidR="00110ECE" w:rsidRPr="00C54B50">
        <w:rPr>
          <w:sz w:val="20"/>
          <w:lang w:val="en-US"/>
        </w:rPr>
        <w:t xml:space="preserve"> </w:t>
      </w:r>
      <w:r>
        <w:rPr>
          <w:sz w:val="20"/>
        </w:rPr>
        <w:t xml:space="preserve">published in 2023 by the </w:t>
      </w:r>
      <w:r w:rsidRPr="00C54B50">
        <w:rPr>
          <w:sz w:val="20"/>
        </w:rPr>
        <w:t xml:space="preserve">Estonian government’s Nuclear Energy Working Group </w:t>
      </w:r>
      <w:r w:rsidR="00BB329C" w:rsidRPr="00C54B50">
        <w:rPr>
          <w:sz w:val="20"/>
          <w:lang w:val="en-US"/>
        </w:rPr>
        <w:t>suggest</w:t>
      </w:r>
      <w:r>
        <w:rPr>
          <w:sz w:val="20"/>
          <w:lang w:val="en-US"/>
        </w:rPr>
        <w:t>s</w:t>
      </w:r>
      <w:r w:rsidR="00B8369E" w:rsidRPr="00C54B50">
        <w:rPr>
          <w:sz w:val="20"/>
          <w:lang w:val="en-US"/>
        </w:rPr>
        <w:t xml:space="preserve"> </w:t>
      </w:r>
      <w:r w:rsidR="000B6985" w:rsidRPr="00C54B50">
        <w:rPr>
          <w:sz w:val="20"/>
          <w:lang w:val="en-US"/>
        </w:rPr>
        <w:t>that</w:t>
      </w:r>
      <w:r w:rsidR="00232C58" w:rsidRPr="00232C58">
        <w:t xml:space="preserve"> </w:t>
      </w:r>
      <w:r w:rsidR="00232C58" w:rsidRPr="00C54B50">
        <w:rPr>
          <w:sz w:val="20"/>
        </w:rPr>
        <w:t>“</w:t>
      </w:r>
      <w:r w:rsidR="00232C58" w:rsidRPr="00232C58">
        <w:rPr>
          <w:sz w:val="20"/>
          <w:lang w:val="en-US"/>
        </w:rPr>
        <w:t>nuclear energy</w:t>
      </w:r>
      <w:r w:rsidR="00232C58">
        <w:rPr>
          <w:sz w:val="20"/>
          <w:lang w:val="en-US"/>
        </w:rPr>
        <w:t xml:space="preserve"> </w:t>
      </w:r>
      <w:r w:rsidR="00232C58" w:rsidRPr="00232C58">
        <w:rPr>
          <w:sz w:val="20"/>
          <w:lang w:val="en-US"/>
        </w:rPr>
        <w:t>produces electricity at lower long-term costs compared to some renewable energy sources</w:t>
      </w:r>
      <w:r w:rsidR="00473D1F" w:rsidRPr="00C54B50">
        <w:rPr>
          <w:sz w:val="20"/>
        </w:rPr>
        <w:t>.</w:t>
      </w:r>
      <w:r w:rsidR="00232C58" w:rsidRPr="00C54B50">
        <w:rPr>
          <w:sz w:val="20"/>
        </w:rPr>
        <w:t>”</w:t>
      </w:r>
      <w:r w:rsidR="00473D1F" w:rsidRPr="00C54B50">
        <w:rPr>
          <w:sz w:val="20"/>
        </w:rPr>
        <w:t xml:space="preserve"> </w:t>
      </w:r>
      <w:r w:rsidR="00980C72" w:rsidRPr="00C54B50">
        <w:rPr>
          <w:sz w:val="20"/>
        </w:rPr>
        <w:t>The i</w:t>
      </w:r>
      <w:r w:rsidR="00473D1F" w:rsidRPr="00C54B50">
        <w:rPr>
          <w:sz w:val="20"/>
        </w:rPr>
        <w:t xml:space="preserve">ntroduction of nuclear energy </w:t>
      </w:r>
      <w:r w:rsidR="00232C58">
        <w:rPr>
          <w:sz w:val="20"/>
        </w:rPr>
        <w:t xml:space="preserve">in Estonia </w:t>
      </w:r>
      <w:r w:rsidR="00473D1F" w:rsidRPr="00C54B50">
        <w:rPr>
          <w:sz w:val="20"/>
        </w:rPr>
        <w:t xml:space="preserve">through </w:t>
      </w:r>
      <w:r w:rsidR="00232C58">
        <w:rPr>
          <w:sz w:val="20"/>
        </w:rPr>
        <w:t>S</w:t>
      </w:r>
      <w:r w:rsidR="00473D1F" w:rsidRPr="00C54B50">
        <w:rPr>
          <w:sz w:val="20"/>
        </w:rPr>
        <w:t xml:space="preserve">mall </w:t>
      </w:r>
      <w:r w:rsidR="00232C58">
        <w:rPr>
          <w:sz w:val="20"/>
        </w:rPr>
        <w:t>M</w:t>
      </w:r>
      <w:r w:rsidR="00473D1F" w:rsidRPr="00C54B50">
        <w:rPr>
          <w:sz w:val="20"/>
        </w:rPr>
        <w:t xml:space="preserve">odular </w:t>
      </w:r>
      <w:r w:rsidR="00232C58">
        <w:rPr>
          <w:sz w:val="20"/>
        </w:rPr>
        <w:t>R</w:t>
      </w:r>
      <w:r w:rsidR="00473D1F" w:rsidRPr="00C54B50">
        <w:rPr>
          <w:sz w:val="20"/>
        </w:rPr>
        <w:t>eactors (SMRs) has been a relevant topic of discussion</w:t>
      </w:r>
      <w:r w:rsidR="00473D1F" w:rsidRPr="003D749D">
        <w:rPr>
          <w:sz w:val="20"/>
        </w:rPr>
        <w:t xml:space="preserve"> for the past </w:t>
      </w:r>
      <w:r w:rsidR="00705530">
        <w:rPr>
          <w:sz w:val="20"/>
        </w:rPr>
        <w:t>five</w:t>
      </w:r>
      <w:r w:rsidR="00473D1F" w:rsidRPr="003D749D">
        <w:rPr>
          <w:sz w:val="20"/>
        </w:rPr>
        <w:t xml:space="preserve"> years. </w:t>
      </w:r>
    </w:p>
    <w:p w14:paraId="55883CA2" w14:textId="1D7D3D5A" w:rsidR="0079322B" w:rsidRPr="00232C58" w:rsidRDefault="00232C58" w:rsidP="0084033C">
      <w:pPr>
        <w:spacing w:line="276" w:lineRule="auto"/>
        <w:ind w:firstLine="720"/>
        <w:jc w:val="both"/>
        <w:rPr>
          <w:sz w:val="20"/>
        </w:rPr>
      </w:pPr>
      <w:r>
        <w:rPr>
          <w:sz w:val="20"/>
        </w:rPr>
        <w:t>Potential benefits of SMRs which have been highlighted include addressing</w:t>
      </w:r>
      <w:r w:rsidR="00473D1F" w:rsidRPr="003D749D">
        <w:rPr>
          <w:sz w:val="20"/>
        </w:rPr>
        <w:t xml:space="preserve"> the need for a </w:t>
      </w:r>
      <w:r>
        <w:rPr>
          <w:sz w:val="20"/>
        </w:rPr>
        <w:t xml:space="preserve">clean baseload </w:t>
      </w:r>
      <w:r w:rsidR="00473D1F" w:rsidRPr="003D749D">
        <w:rPr>
          <w:sz w:val="20"/>
        </w:rPr>
        <w:t>energy source</w:t>
      </w:r>
      <w:r>
        <w:rPr>
          <w:sz w:val="20"/>
        </w:rPr>
        <w:t xml:space="preserve"> and providing inertial </w:t>
      </w:r>
      <w:r w:rsidR="003A01A7">
        <w:rPr>
          <w:sz w:val="20"/>
        </w:rPr>
        <w:t>capability</w:t>
      </w:r>
      <w:r>
        <w:rPr>
          <w:sz w:val="20"/>
        </w:rPr>
        <w:t xml:space="preserve"> </w:t>
      </w:r>
      <w:r w:rsidR="0084033C">
        <w:rPr>
          <w:sz w:val="20"/>
        </w:rPr>
        <w:t xml:space="preserve">for </w:t>
      </w:r>
      <w:r>
        <w:rPr>
          <w:sz w:val="20"/>
        </w:rPr>
        <w:t>the system (</w:t>
      </w:r>
      <w:r w:rsidR="0084033C">
        <w:rPr>
          <w:sz w:val="20"/>
        </w:rPr>
        <w:t xml:space="preserve">i.e., </w:t>
      </w:r>
      <w:r>
        <w:rPr>
          <w:sz w:val="20"/>
        </w:rPr>
        <w:t>solving</w:t>
      </w:r>
      <w:r w:rsidRPr="003D749D">
        <w:rPr>
          <w:sz w:val="20"/>
        </w:rPr>
        <w:t xml:space="preserve"> a </w:t>
      </w:r>
      <w:r w:rsidRPr="00B65642">
        <w:rPr>
          <w:sz w:val="20"/>
        </w:rPr>
        <w:t>potential</w:t>
      </w:r>
      <w:r w:rsidRPr="003D749D">
        <w:rPr>
          <w:sz w:val="20"/>
        </w:rPr>
        <w:t xml:space="preserve"> future</w:t>
      </w:r>
      <w:r w:rsidRPr="00B65642">
        <w:rPr>
          <w:sz w:val="20"/>
        </w:rPr>
        <w:t xml:space="preserve"> issue</w:t>
      </w:r>
      <w:r w:rsidR="003A01A7">
        <w:rPr>
          <w:sz w:val="20"/>
        </w:rPr>
        <w:t xml:space="preserve"> with system stability</w:t>
      </w:r>
      <w:r>
        <w:rPr>
          <w:sz w:val="20"/>
        </w:rPr>
        <w:t>)</w:t>
      </w:r>
      <w:r w:rsidRPr="003D749D">
        <w:rPr>
          <w:sz w:val="20"/>
        </w:rPr>
        <w:t>.</w:t>
      </w:r>
      <w:r w:rsidR="0084033C">
        <w:rPr>
          <w:sz w:val="20"/>
        </w:rPr>
        <w:t xml:space="preserve"> </w:t>
      </w:r>
      <w:r>
        <w:rPr>
          <w:sz w:val="20"/>
        </w:rPr>
        <w:t xml:space="preserve">In the </w:t>
      </w:r>
      <w:r w:rsidR="005C53C7">
        <w:rPr>
          <w:sz w:val="20"/>
        </w:rPr>
        <w:t>paper</w:t>
      </w:r>
      <w:r w:rsidR="005C53C7">
        <w:rPr>
          <w:rStyle w:val="CommentReference"/>
        </w:rPr>
        <w:t>,</w:t>
      </w:r>
      <w:r>
        <w:rPr>
          <w:sz w:val="20"/>
        </w:rPr>
        <w:t xml:space="preserve"> o</w:t>
      </w:r>
      <w:r w:rsidR="00473D1F" w:rsidRPr="003D749D">
        <w:rPr>
          <w:sz w:val="20"/>
        </w:rPr>
        <w:t xml:space="preserve">ne of the </w:t>
      </w:r>
      <w:r>
        <w:rPr>
          <w:sz w:val="20"/>
        </w:rPr>
        <w:t>considerations is to have a</w:t>
      </w:r>
      <w:r w:rsidR="00473D1F" w:rsidRPr="003D749D">
        <w:rPr>
          <w:sz w:val="20"/>
        </w:rPr>
        <w:t xml:space="preserve"> </w:t>
      </w:r>
      <w:r w:rsidR="00AD509D" w:rsidRPr="003D749D">
        <w:rPr>
          <w:sz w:val="20"/>
        </w:rPr>
        <w:t>dispatch</w:t>
      </w:r>
      <w:r w:rsidR="00922D03" w:rsidRPr="003D749D">
        <w:rPr>
          <w:sz w:val="20"/>
        </w:rPr>
        <w:t xml:space="preserve">able </w:t>
      </w:r>
      <w:r w:rsidR="00473D1F" w:rsidRPr="003D749D">
        <w:rPr>
          <w:sz w:val="20"/>
        </w:rPr>
        <w:t>net installed capacity of 1000</w:t>
      </w:r>
      <w:r>
        <w:rPr>
          <w:sz w:val="20"/>
        </w:rPr>
        <w:t> </w:t>
      </w:r>
      <w:r w:rsidR="00473D1F" w:rsidRPr="003D749D">
        <w:rPr>
          <w:sz w:val="20"/>
        </w:rPr>
        <w:t xml:space="preserve">MW. </w:t>
      </w:r>
      <w:r w:rsidR="00DB5258" w:rsidRPr="00B65642">
        <w:rPr>
          <w:sz w:val="20"/>
        </w:rPr>
        <w:t>In th</w:t>
      </w:r>
      <w:r>
        <w:rPr>
          <w:sz w:val="20"/>
        </w:rPr>
        <w:t>e</w:t>
      </w:r>
      <w:r w:rsidR="00DB5258" w:rsidRPr="00B65642">
        <w:rPr>
          <w:sz w:val="20"/>
        </w:rPr>
        <w:t xml:space="preserve"> </w:t>
      </w:r>
      <w:r>
        <w:rPr>
          <w:sz w:val="20"/>
        </w:rPr>
        <w:t>work</w:t>
      </w:r>
      <w:r w:rsidR="00DB5258" w:rsidRPr="00B65642">
        <w:rPr>
          <w:sz w:val="20"/>
        </w:rPr>
        <w:t xml:space="preserve">, the inertial requirements </w:t>
      </w:r>
      <w:r w:rsidR="00DB5258">
        <w:rPr>
          <w:sz w:val="20"/>
        </w:rPr>
        <w:t xml:space="preserve">of the system </w:t>
      </w:r>
      <w:r w:rsidR="00DB5258" w:rsidRPr="00B65642">
        <w:rPr>
          <w:sz w:val="20"/>
        </w:rPr>
        <w:t xml:space="preserve">are </w:t>
      </w:r>
      <w:r w:rsidR="00DB5258">
        <w:rPr>
          <w:sz w:val="20"/>
        </w:rPr>
        <w:t>not considered explicitly.</w:t>
      </w:r>
    </w:p>
    <w:p w14:paraId="4D93BC90" w14:textId="1A710310" w:rsidR="00473D1F" w:rsidRDefault="00473D1F" w:rsidP="00473D1F">
      <w:pPr>
        <w:pStyle w:val="Heading2"/>
      </w:pPr>
      <w:r>
        <w:t>KEY METHODOLOGIES</w:t>
      </w:r>
    </w:p>
    <w:p w14:paraId="57DC9D74" w14:textId="130BF605" w:rsidR="007A0528" w:rsidRPr="00932479" w:rsidRDefault="007A0528" w:rsidP="007A0528">
      <w:pPr>
        <w:pStyle w:val="Heading3"/>
        <w:numPr>
          <w:ilvl w:val="2"/>
          <w:numId w:val="40"/>
        </w:numPr>
      </w:pPr>
      <w:r>
        <w:t>MESSAGE</w:t>
      </w:r>
      <w:r w:rsidR="003464C6">
        <w:t xml:space="preserve"> modelling software</w:t>
      </w:r>
    </w:p>
    <w:p w14:paraId="269DF88A" w14:textId="035BAC30" w:rsidR="002C5D3C" w:rsidRPr="002C5D3C" w:rsidRDefault="00F0538F" w:rsidP="0055203F">
      <w:pPr>
        <w:spacing w:line="276" w:lineRule="auto"/>
        <w:ind w:firstLine="720"/>
        <w:jc w:val="both"/>
        <w:rPr>
          <w:sz w:val="20"/>
        </w:rPr>
      </w:pPr>
      <w:r w:rsidRPr="002C5D3C">
        <w:rPr>
          <w:sz w:val="20"/>
        </w:rPr>
        <w:t xml:space="preserve">The future </w:t>
      </w:r>
      <w:r w:rsidR="00BF7A45" w:rsidRPr="002C5D3C">
        <w:rPr>
          <w:sz w:val="20"/>
        </w:rPr>
        <w:t xml:space="preserve">pathways </w:t>
      </w:r>
      <w:r w:rsidR="003464C6">
        <w:rPr>
          <w:sz w:val="20"/>
        </w:rPr>
        <w:t>for the Estonian</w:t>
      </w:r>
      <w:r w:rsidRPr="002C5D3C">
        <w:rPr>
          <w:sz w:val="20"/>
        </w:rPr>
        <w:t xml:space="preserve"> energy system </w:t>
      </w:r>
      <w:r w:rsidR="004D19BB" w:rsidRPr="002C5D3C">
        <w:rPr>
          <w:sz w:val="20"/>
        </w:rPr>
        <w:t>are</w:t>
      </w:r>
      <w:r w:rsidRPr="002C5D3C">
        <w:rPr>
          <w:sz w:val="20"/>
        </w:rPr>
        <w:t xml:space="preserve"> analysed using </w:t>
      </w:r>
      <w:r w:rsidR="00B35AA6" w:rsidRPr="002C5D3C">
        <w:rPr>
          <w:sz w:val="20"/>
        </w:rPr>
        <w:t>MESSAGE</w:t>
      </w:r>
      <w:r w:rsidR="0045056A" w:rsidRPr="002C5D3C">
        <w:rPr>
          <w:sz w:val="20"/>
        </w:rPr>
        <w:t xml:space="preserve"> (Model for Energy Supply Strategy Alternatives and their General Environmental Impact)</w:t>
      </w:r>
      <w:r w:rsidR="007E3A28">
        <w:rPr>
          <w:sz w:val="20"/>
        </w:rPr>
        <w:t xml:space="preserve"> </w:t>
      </w:r>
      <w:r w:rsidR="007E3A28">
        <w:rPr>
          <w:sz w:val="20"/>
          <w:lang w:val="en-US"/>
        </w:rPr>
        <w:t>[11]</w:t>
      </w:r>
      <w:r w:rsidR="00961E1B" w:rsidRPr="002C5D3C">
        <w:rPr>
          <w:sz w:val="20"/>
        </w:rPr>
        <w:t>.</w:t>
      </w:r>
      <w:r w:rsidR="00B35AA6" w:rsidRPr="002C5D3C">
        <w:rPr>
          <w:sz w:val="20"/>
        </w:rPr>
        <w:t xml:space="preserve"> </w:t>
      </w:r>
      <w:r w:rsidR="00C92500" w:rsidRPr="002C5D3C">
        <w:rPr>
          <w:sz w:val="20"/>
        </w:rPr>
        <w:t xml:space="preserve">The </w:t>
      </w:r>
      <w:r w:rsidR="00D87AD9" w:rsidRPr="002C5D3C">
        <w:rPr>
          <w:sz w:val="20"/>
        </w:rPr>
        <w:t xml:space="preserve">MESSAGE modelling software is an </w:t>
      </w:r>
      <w:r w:rsidR="00AA5F9E">
        <w:rPr>
          <w:sz w:val="20"/>
        </w:rPr>
        <w:t>optimisation</w:t>
      </w:r>
      <w:r w:rsidR="00D87AD9" w:rsidRPr="002C5D3C">
        <w:rPr>
          <w:sz w:val="20"/>
        </w:rPr>
        <w:t xml:space="preserve"> tool designed for medium to long-term energy system planning, climate policy analysis, and scenario development for national or global regions. It can model all types of thermal generation, renewable energy, storage, conversion, and transportation technologies, as well as carbon capture and storag</w:t>
      </w:r>
      <w:r w:rsidR="00835A85" w:rsidRPr="002C5D3C">
        <w:rPr>
          <w:sz w:val="20"/>
        </w:rPr>
        <w:t>e.</w:t>
      </w:r>
    </w:p>
    <w:p w14:paraId="78279A9E" w14:textId="3FCFE1AD" w:rsidR="00473D1F" w:rsidRPr="002C5D3C" w:rsidRDefault="00473D1F" w:rsidP="0055203F">
      <w:pPr>
        <w:spacing w:line="276" w:lineRule="auto"/>
        <w:ind w:firstLine="720"/>
        <w:jc w:val="both"/>
        <w:rPr>
          <w:sz w:val="20"/>
        </w:rPr>
      </w:pPr>
      <w:r w:rsidRPr="002C5D3C">
        <w:rPr>
          <w:sz w:val="20"/>
        </w:rPr>
        <w:t xml:space="preserve">MESSAGE employs a linear programming algorithm, where an objective function is </w:t>
      </w:r>
      <w:r w:rsidR="002F2D69">
        <w:rPr>
          <w:sz w:val="20"/>
        </w:rPr>
        <w:t>minimise</w:t>
      </w:r>
      <w:r w:rsidRPr="002C5D3C">
        <w:rPr>
          <w:sz w:val="20"/>
        </w:rPr>
        <w:t xml:space="preserve">d subject to constraints. The objective in this case is </w:t>
      </w:r>
      <w:r w:rsidR="00235AF3">
        <w:rPr>
          <w:sz w:val="20"/>
        </w:rPr>
        <w:t>minimization of</w:t>
      </w:r>
      <w:r w:rsidRPr="002C5D3C">
        <w:rPr>
          <w:sz w:val="20"/>
        </w:rPr>
        <w:t xml:space="preserve"> total discounted system cost of </w:t>
      </w:r>
      <w:r w:rsidR="00541BC4">
        <w:rPr>
          <w:sz w:val="20"/>
        </w:rPr>
        <w:t>the Estonian</w:t>
      </w:r>
      <w:r w:rsidRPr="002C5D3C">
        <w:rPr>
          <w:sz w:val="20"/>
        </w:rPr>
        <w:t xml:space="preserve"> energy system over the entire planning horizon. These costs include investments, operation and maintenance costs, fuel costs</w:t>
      </w:r>
      <w:r w:rsidR="00235AF3">
        <w:rPr>
          <w:sz w:val="20"/>
        </w:rPr>
        <w:t>, externalities (e.g. as CO</w:t>
      </w:r>
      <w:r w:rsidR="00235AF3" w:rsidRPr="00235AF3">
        <w:rPr>
          <w:sz w:val="20"/>
          <w:vertAlign w:val="subscript"/>
        </w:rPr>
        <w:t>2</w:t>
      </w:r>
      <w:r w:rsidR="00235AF3">
        <w:rPr>
          <w:sz w:val="20"/>
        </w:rPr>
        <w:t xml:space="preserve"> prices)</w:t>
      </w:r>
      <w:r w:rsidRPr="002C5D3C">
        <w:rPr>
          <w:sz w:val="20"/>
        </w:rPr>
        <w:t xml:space="preserve"> and costs of energy imports from other markets. </w:t>
      </w:r>
    </w:p>
    <w:p w14:paraId="6939D286" w14:textId="28FF0FDB" w:rsidR="002C5D3C" w:rsidRPr="002C5D3C" w:rsidRDefault="00F60DE7" w:rsidP="002C5D3C">
      <w:pPr>
        <w:pStyle w:val="Heading3"/>
        <w:numPr>
          <w:ilvl w:val="2"/>
          <w:numId w:val="40"/>
        </w:numPr>
      </w:pPr>
      <w:r>
        <w:t>Modelled scenarios</w:t>
      </w:r>
    </w:p>
    <w:p w14:paraId="21546135" w14:textId="19A32317" w:rsidR="008A30D9" w:rsidRDefault="007C7E44" w:rsidP="0055203F">
      <w:pPr>
        <w:spacing w:line="276" w:lineRule="auto"/>
        <w:ind w:firstLine="567"/>
        <w:jc w:val="both"/>
        <w:rPr>
          <w:sz w:val="20"/>
        </w:rPr>
      </w:pPr>
      <w:r>
        <w:rPr>
          <w:sz w:val="20"/>
        </w:rPr>
        <w:t>T</w:t>
      </w:r>
      <w:r w:rsidR="00F60DE7" w:rsidRPr="0072699F">
        <w:rPr>
          <w:sz w:val="20"/>
        </w:rPr>
        <w:t>wo</w:t>
      </w:r>
      <w:r w:rsidR="00473D1F" w:rsidRPr="0072699F">
        <w:rPr>
          <w:sz w:val="20"/>
        </w:rPr>
        <w:t xml:space="preserve"> </w:t>
      </w:r>
      <w:r w:rsidR="00842592" w:rsidRPr="0072699F">
        <w:rPr>
          <w:sz w:val="20"/>
        </w:rPr>
        <w:t xml:space="preserve">alternative power supply </w:t>
      </w:r>
      <w:r w:rsidR="00473D1F" w:rsidRPr="0072699F">
        <w:rPr>
          <w:sz w:val="20"/>
        </w:rPr>
        <w:t xml:space="preserve">scenarios </w:t>
      </w:r>
      <w:r>
        <w:rPr>
          <w:sz w:val="20"/>
        </w:rPr>
        <w:t>were</w:t>
      </w:r>
      <w:r w:rsidR="00F60DE7" w:rsidRPr="0072699F">
        <w:rPr>
          <w:sz w:val="20"/>
        </w:rPr>
        <w:t xml:space="preserve"> modelled</w:t>
      </w:r>
      <w:r w:rsidR="00473D1F" w:rsidRPr="0072699F">
        <w:rPr>
          <w:sz w:val="20"/>
        </w:rPr>
        <w:t>.</w:t>
      </w:r>
      <w:r w:rsidR="0090061B" w:rsidRPr="0072699F">
        <w:rPr>
          <w:sz w:val="20"/>
        </w:rPr>
        <w:t xml:space="preserve"> </w:t>
      </w:r>
      <w:r w:rsidR="0084121F" w:rsidRPr="0072699F">
        <w:rPr>
          <w:sz w:val="20"/>
        </w:rPr>
        <w:t xml:space="preserve">The Reference scenario assumes </w:t>
      </w:r>
      <w:r w:rsidR="00BC5FE6" w:rsidRPr="0072699F">
        <w:rPr>
          <w:sz w:val="20"/>
        </w:rPr>
        <w:t xml:space="preserve">that investment decisions of all electricity production technologies are based on </w:t>
      </w:r>
      <w:r w:rsidR="00E62320">
        <w:rPr>
          <w:sz w:val="20"/>
        </w:rPr>
        <w:t xml:space="preserve">system </w:t>
      </w:r>
      <w:r w:rsidR="00144A5F" w:rsidRPr="0072699F">
        <w:rPr>
          <w:sz w:val="20"/>
        </w:rPr>
        <w:t>cost considerations</w:t>
      </w:r>
      <w:r w:rsidR="0003106E">
        <w:rPr>
          <w:sz w:val="20"/>
        </w:rPr>
        <w:t xml:space="preserve"> (grid </w:t>
      </w:r>
      <w:r w:rsidR="00621707">
        <w:rPr>
          <w:sz w:val="20"/>
        </w:rPr>
        <w:t>investments</w:t>
      </w:r>
      <w:r w:rsidR="0003106E">
        <w:rPr>
          <w:sz w:val="20"/>
        </w:rPr>
        <w:t xml:space="preserve"> and balancing costs are not included in th</w:t>
      </w:r>
      <w:r>
        <w:rPr>
          <w:sz w:val="20"/>
        </w:rPr>
        <w:t xml:space="preserve">is version of the </w:t>
      </w:r>
      <w:r w:rsidR="0003106E">
        <w:rPr>
          <w:sz w:val="20"/>
        </w:rPr>
        <w:t>model)</w:t>
      </w:r>
      <w:r w:rsidR="00144A5F" w:rsidRPr="0072699F">
        <w:rPr>
          <w:sz w:val="20"/>
        </w:rPr>
        <w:t xml:space="preserve">. All capacity build-out </w:t>
      </w:r>
      <w:r w:rsidR="007262F6" w:rsidRPr="0072699F">
        <w:rPr>
          <w:sz w:val="20"/>
        </w:rPr>
        <w:t xml:space="preserve">units </w:t>
      </w:r>
      <w:r w:rsidR="00144A5F" w:rsidRPr="0072699F">
        <w:rPr>
          <w:sz w:val="20"/>
        </w:rPr>
        <w:t xml:space="preserve">are </w:t>
      </w:r>
      <w:r w:rsidR="00473D1F" w:rsidRPr="0072699F">
        <w:rPr>
          <w:sz w:val="20"/>
        </w:rPr>
        <w:t>endogenous</w:t>
      </w:r>
      <w:r w:rsidR="00144A5F" w:rsidRPr="0072699F">
        <w:rPr>
          <w:sz w:val="20"/>
        </w:rPr>
        <w:t xml:space="preserve"> within the model.</w:t>
      </w:r>
      <w:r w:rsidR="00473D1F" w:rsidRPr="0072699F">
        <w:rPr>
          <w:sz w:val="20"/>
        </w:rPr>
        <w:t xml:space="preserve"> </w:t>
      </w:r>
      <w:r w:rsidR="004C2E38">
        <w:rPr>
          <w:sz w:val="20"/>
        </w:rPr>
        <w:t>I</w:t>
      </w:r>
      <w:r w:rsidR="004C2E38" w:rsidRPr="0055203F">
        <w:rPr>
          <w:sz w:val="20"/>
        </w:rPr>
        <w:t>n this scenario</w:t>
      </w:r>
      <w:r w:rsidR="00541BC4">
        <w:rPr>
          <w:sz w:val="20"/>
        </w:rPr>
        <w:t>,</w:t>
      </w:r>
      <w:r w:rsidR="004C2E38" w:rsidRPr="0055203F">
        <w:rPr>
          <w:sz w:val="20"/>
        </w:rPr>
        <w:t xml:space="preserve"> all electricity production technologies and import/export options were considered based on their technical and economic characteristics.</w:t>
      </w:r>
    </w:p>
    <w:p w14:paraId="58C9AB4D" w14:textId="1FE66099" w:rsidR="00473D1F" w:rsidRDefault="008A30D9" w:rsidP="00312177">
      <w:pPr>
        <w:spacing w:line="276" w:lineRule="auto"/>
        <w:ind w:firstLine="567"/>
        <w:jc w:val="both"/>
      </w:pPr>
      <w:r w:rsidRPr="0072699F">
        <w:rPr>
          <w:sz w:val="20"/>
        </w:rPr>
        <w:t xml:space="preserve">The Nuclear scenario </w:t>
      </w:r>
      <w:r w:rsidR="00F25620" w:rsidRPr="0072699F">
        <w:rPr>
          <w:sz w:val="20"/>
        </w:rPr>
        <w:t xml:space="preserve">focuses on the </w:t>
      </w:r>
      <w:r w:rsidR="00473D1F" w:rsidRPr="0072699F">
        <w:rPr>
          <w:sz w:val="20"/>
        </w:rPr>
        <w:t xml:space="preserve">introduction of nuclear power into </w:t>
      </w:r>
      <w:r w:rsidR="00797EDE">
        <w:rPr>
          <w:sz w:val="20"/>
        </w:rPr>
        <w:t>Estonia’s</w:t>
      </w:r>
      <w:r w:rsidR="00473D1F" w:rsidRPr="0072699F">
        <w:rPr>
          <w:sz w:val="20"/>
        </w:rPr>
        <w:t xml:space="preserve"> energy system. </w:t>
      </w:r>
      <w:r w:rsidR="007A63B5" w:rsidRPr="0072699F">
        <w:rPr>
          <w:sz w:val="20"/>
        </w:rPr>
        <w:t xml:space="preserve">The goal is to analyse </w:t>
      </w:r>
      <w:r w:rsidR="0088109F">
        <w:rPr>
          <w:sz w:val="20"/>
        </w:rPr>
        <w:t>the cost of incorporating nuclear power and</w:t>
      </w:r>
      <w:r w:rsidR="00A80A5E">
        <w:rPr>
          <w:sz w:val="20"/>
        </w:rPr>
        <w:t xml:space="preserve"> assess</w:t>
      </w:r>
      <w:r w:rsidR="007A63B5" w:rsidRPr="0072699F">
        <w:rPr>
          <w:sz w:val="20"/>
        </w:rPr>
        <w:t xml:space="preserve"> </w:t>
      </w:r>
      <w:r w:rsidR="00D515CE">
        <w:rPr>
          <w:sz w:val="20"/>
        </w:rPr>
        <w:t>if</w:t>
      </w:r>
      <w:r w:rsidR="007A63B5" w:rsidRPr="0072699F">
        <w:rPr>
          <w:sz w:val="20"/>
        </w:rPr>
        <w:t xml:space="preserve"> </w:t>
      </w:r>
      <w:r w:rsidR="00FB5A65" w:rsidRPr="0072699F">
        <w:rPr>
          <w:sz w:val="20"/>
        </w:rPr>
        <w:t xml:space="preserve">the nuclear option </w:t>
      </w:r>
      <w:r w:rsidR="00AA1A93">
        <w:rPr>
          <w:sz w:val="20"/>
        </w:rPr>
        <w:t xml:space="preserve">would </w:t>
      </w:r>
      <w:r w:rsidR="002075F6">
        <w:rPr>
          <w:sz w:val="20"/>
        </w:rPr>
        <w:t xml:space="preserve">accelerate the </w:t>
      </w:r>
      <w:r w:rsidR="00473D1F" w:rsidRPr="0055203F">
        <w:rPr>
          <w:sz w:val="20"/>
        </w:rPr>
        <w:t>phas</w:t>
      </w:r>
      <w:r w:rsidR="00B62449">
        <w:rPr>
          <w:sz w:val="20"/>
        </w:rPr>
        <w:t>e</w:t>
      </w:r>
      <w:r w:rsidR="0084033C">
        <w:rPr>
          <w:sz w:val="20"/>
        </w:rPr>
        <w:t>-</w:t>
      </w:r>
      <w:r w:rsidR="00473D1F" w:rsidRPr="0055203F">
        <w:rPr>
          <w:sz w:val="20"/>
        </w:rPr>
        <w:t>out</w:t>
      </w:r>
      <w:r w:rsidR="00B62449">
        <w:rPr>
          <w:sz w:val="20"/>
        </w:rPr>
        <w:t xml:space="preserve"> of</w:t>
      </w:r>
      <w:r w:rsidR="00473D1F" w:rsidRPr="0072699F">
        <w:rPr>
          <w:sz w:val="20"/>
        </w:rPr>
        <w:t xml:space="preserve"> conventional oil shale, natural </w:t>
      </w:r>
      <w:proofErr w:type="gramStart"/>
      <w:r w:rsidR="00473D1F" w:rsidRPr="0072699F">
        <w:rPr>
          <w:sz w:val="20"/>
        </w:rPr>
        <w:t>gas</w:t>
      </w:r>
      <w:proofErr w:type="gramEnd"/>
      <w:r w:rsidR="00473D1F" w:rsidRPr="0072699F">
        <w:rPr>
          <w:sz w:val="20"/>
        </w:rPr>
        <w:t xml:space="preserve"> and peat</w:t>
      </w:r>
      <w:r w:rsidR="0084033C">
        <w:rPr>
          <w:sz w:val="20"/>
        </w:rPr>
        <w:t>-based</w:t>
      </w:r>
      <w:r w:rsidR="00473D1F" w:rsidRPr="0072699F">
        <w:rPr>
          <w:sz w:val="20"/>
        </w:rPr>
        <w:t xml:space="preserve"> electricity production.</w:t>
      </w:r>
      <w:r w:rsidR="00540578" w:rsidRPr="0072699F">
        <w:rPr>
          <w:sz w:val="20"/>
        </w:rPr>
        <w:t xml:space="preserve"> In this scenario</w:t>
      </w:r>
      <w:r w:rsidR="0084033C">
        <w:rPr>
          <w:sz w:val="20"/>
        </w:rPr>
        <w:t>,</w:t>
      </w:r>
      <w:r w:rsidR="00540578" w:rsidRPr="0072699F">
        <w:rPr>
          <w:sz w:val="20"/>
        </w:rPr>
        <w:t xml:space="preserve"> nuclear </w:t>
      </w:r>
      <w:r w:rsidR="00AC51F5">
        <w:rPr>
          <w:sz w:val="20"/>
        </w:rPr>
        <w:t>generation</w:t>
      </w:r>
      <w:r w:rsidR="00540578" w:rsidRPr="0072699F">
        <w:rPr>
          <w:sz w:val="20"/>
        </w:rPr>
        <w:t xml:space="preserve"> is deployed exogenously in 2035 and 2040 (i.e.</w:t>
      </w:r>
      <w:r w:rsidR="006020F1">
        <w:rPr>
          <w:sz w:val="20"/>
        </w:rPr>
        <w:t>,</w:t>
      </w:r>
      <w:r w:rsidR="00540578" w:rsidRPr="0072699F">
        <w:rPr>
          <w:sz w:val="20"/>
        </w:rPr>
        <w:t xml:space="preserve"> two </w:t>
      </w:r>
      <w:r w:rsidR="00A80A5E">
        <w:rPr>
          <w:sz w:val="20"/>
        </w:rPr>
        <w:t xml:space="preserve">sequential </w:t>
      </w:r>
      <w:r w:rsidR="00540578" w:rsidRPr="0072699F">
        <w:rPr>
          <w:sz w:val="20"/>
        </w:rPr>
        <w:t>SMR units of 300 MW each).</w:t>
      </w:r>
    </w:p>
    <w:p w14:paraId="37E90E3B" w14:textId="0F3D94E0" w:rsidR="00473D1F" w:rsidRPr="00473D1F" w:rsidRDefault="00473D1F" w:rsidP="00473D1F">
      <w:pPr>
        <w:pStyle w:val="Heading3"/>
      </w:pPr>
      <w:r>
        <w:t>Main assumptions</w:t>
      </w:r>
    </w:p>
    <w:p w14:paraId="3AFF7898" w14:textId="5BF188E8" w:rsidR="002575BD" w:rsidRPr="003D749D" w:rsidRDefault="002575BD" w:rsidP="0055203F">
      <w:pPr>
        <w:pStyle w:val="Heading4"/>
        <w:numPr>
          <w:ilvl w:val="3"/>
          <w:numId w:val="38"/>
        </w:numPr>
        <w:tabs>
          <w:tab w:val="num" w:pos="2880"/>
        </w:tabs>
        <w:ind w:left="0" w:hanging="360"/>
        <w:jc w:val="both"/>
      </w:pPr>
      <w:r w:rsidRPr="003D749D">
        <w:t>Demand</w:t>
      </w:r>
    </w:p>
    <w:p w14:paraId="4CCA1CAF" w14:textId="454DBAA8" w:rsidR="002575BD" w:rsidRPr="003D749D" w:rsidRDefault="002575BD" w:rsidP="0055203F">
      <w:pPr>
        <w:spacing w:line="276" w:lineRule="auto"/>
        <w:ind w:firstLine="720"/>
        <w:jc w:val="both"/>
        <w:rPr>
          <w:sz w:val="20"/>
        </w:rPr>
      </w:pPr>
      <w:r w:rsidRPr="003D749D">
        <w:rPr>
          <w:sz w:val="20"/>
        </w:rPr>
        <w:t xml:space="preserve">Both electricity and heating demands are included in the model. </w:t>
      </w:r>
      <w:r w:rsidR="009E5C65" w:rsidRPr="003D749D">
        <w:rPr>
          <w:sz w:val="20"/>
        </w:rPr>
        <w:t xml:space="preserve">Table </w:t>
      </w:r>
      <w:r w:rsidR="003814E8" w:rsidRPr="003D749D">
        <w:rPr>
          <w:sz w:val="20"/>
        </w:rPr>
        <w:t>1</w:t>
      </w:r>
      <w:r w:rsidRPr="003D749D">
        <w:rPr>
          <w:sz w:val="20"/>
        </w:rPr>
        <w:t xml:space="preserve"> shows the demand trajectories until 2050. Hourly electricity demands are retrieved from </w:t>
      </w:r>
      <w:r w:rsidR="00EA3B8A" w:rsidRPr="003D749D">
        <w:rPr>
          <w:sz w:val="20"/>
        </w:rPr>
        <w:t>p</w:t>
      </w:r>
      <w:r w:rsidR="006017E1" w:rsidRPr="003D749D">
        <w:rPr>
          <w:sz w:val="20"/>
        </w:rPr>
        <w:t xml:space="preserve">ower </w:t>
      </w:r>
      <w:r w:rsidR="00EA3B8A" w:rsidRPr="003D749D">
        <w:rPr>
          <w:sz w:val="20"/>
        </w:rPr>
        <w:t>s</w:t>
      </w:r>
      <w:r w:rsidR="006017E1" w:rsidRPr="003D749D">
        <w:rPr>
          <w:sz w:val="20"/>
        </w:rPr>
        <w:t>tatistics</w:t>
      </w:r>
      <w:r w:rsidR="00D72229" w:rsidRPr="003D749D">
        <w:rPr>
          <w:sz w:val="20"/>
        </w:rPr>
        <w:t xml:space="preserve"> </w:t>
      </w:r>
      <w:r w:rsidR="00EA3B8A" w:rsidRPr="003D749D">
        <w:rPr>
          <w:sz w:val="20"/>
        </w:rPr>
        <w:t xml:space="preserve">data </w:t>
      </w:r>
      <w:r w:rsidR="001C275D">
        <w:rPr>
          <w:sz w:val="20"/>
        </w:rPr>
        <w:t>of</w:t>
      </w:r>
      <w:r w:rsidR="00EA3B8A" w:rsidRPr="003D749D">
        <w:rPr>
          <w:sz w:val="20"/>
        </w:rPr>
        <w:t xml:space="preserve"> ENTSO-E</w:t>
      </w:r>
      <w:r w:rsidRPr="003D749D">
        <w:rPr>
          <w:sz w:val="20"/>
        </w:rPr>
        <w:t xml:space="preserve"> [</w:t>
      </w:r>
      <w:r w:rsidR="00357E12" w:rsidRPr="003D749D">
        <w:rPr>
          <w:sz w:val="20"/>
        </w:rPr>
        <w:t>1</w:t>
      </w:r>
      <w:r w:rsidR="00A0616C">
        <w:rPr>
          <w:sz w:val="20"/>
        </w:rPr>
        <w:t>2</w:t>
      </w:r>
      <w:r w:rsidRPr="003D749D">
        <w:rPr>
          <w:sz w:val="20"/>
        </w:rPr>
        <w:t xml:space="preserve">], while hourly heat demand profiles are retrieved </w:t>
      </w:r>
      <w:r w:rsidR="001C275D">
        <w:rPr>
          <w:sz w:val="20"/>
        </w:rPr>
        <w:t>as</w:t>
      </w:r>
      <w:r w:rsidRPr="003D749D">
        <w:rPr>
          <w:sz w:val="20"/>
        </w:rPr>
        <w:t xml:space="preserve"> synthetic data from Renewables Ninja [</w:t>
      </w:r>
      <w:r w:rsidR="00D816FC" w:rsidRPr="003D749D">
        <w:rPr>
          <w:sz w:val="20"/>
        </w:rPr>
        <w:t>1</w:t>
      </w:r>
      <w:r w:rsidR="00A0616C">
        <w:rPr>
          <w:sz w:val="20"/>
        </w:rPr>
        <w:t>3</w:t>
      </w:r>
      <w:r w:rsidRPr="003D749D">
        <w:rPr>
          <w:sz w:val="20"/>
        </w:rPr>
        <w:t>]. The hourly demand profiles in each year are assumed to retain the same shape, scaled by total yearly demand.</w:t>
      </w:r>
      <w:r w:rsidR="00AA0153">
        <w:rPr>
          <w:sz w:val="20"/>
        </w:rPr>
        <w:t xml:space="preserve"> In addition, the reserve margin for modelled energy generation is set at 33% above peak load</w:t>
      </w:r>
      <w:r w:rsidR="00EC4217">
        <w:rPr>
          <w:sz w:val="20"/>
        </w:rPr>
        <w:t>,</w:t>
      </w:r>
      <w:r w:rsidR="00AA0153">
        <w:rPr>
          <w:sz w:val="20"/>
        </w:rPr>
        <w:t xml:space="preserve"> </w:t>
      </w:r>
      <w:r w:rsidR="00206DE3">
        <w:rPr>
          <w:sz w:val="20"/>
        </w:rPr>
        <w:t>to</w:t>
      </w:r>
      <w:r w:rsidR="00AA0153">
        <w:rPr>
          <w:sz w:val="20"/>
        </w:rPr>
        <w:t xml:space="preserve"> account for unexpected maintenance and forced outage rate. </w:t>
      </w:r>
      <w:r w:rsidR="00EC4217">
        <w:rPr>
          <w:sz w:val="20"/>
        </w:rPr>
        <w:t>The c</w:t>
      </w:r>
      <w:r w:rsidR="00AA0153">
        <w:rPr>
          <w:sz w:val="20"/>
        </w:rPr>
        <w:t>apacity credit value</w:t>
      </w:r>
      <w:r w:rsidR="00EC4217">
        <w:rPr>
          <w:sz w:val="20"/>
        </w:rPr>
        <w:t>s</w:t>
      </w:r>
      <w:r w:rsidR="00AA0153">
        <w:rPr>
          <w:sz w:val="20"/>
        </w:rPr>
        <w:t xml:space="preserve"> for wind power plants were set to 0.05 for both onshore and offshore wind power plants. </w:t>
      </w:r>
    </w:p>
    <w:p w14:paraId="57DE1354" w14:textId="1224EF90" w:rsidR="002575BD" w:rsidRPr="003D749D" w:rsidRDefault="002575BD" w:rsidP="00312177">
      <w:pPr>
        <w:pStyle w:val="Heading4"/>
        <w:keepNext/>
        <w:numPr>
          <w:ilvl w:val="0"/>
          <w:numId w:val="0"/>
        </w:numPr>
        <w:jc w:val="both"/>
      </w:pPr>
      <w:r w:rsidRPr="003D749D">
        <w:t xml:space="preserve">Renewables potential </w:t>
      </w:r>
    </w:p>
    <w:p w14:paraId="4759E483" w14:textId="20E14A7A" w:rsidR="0079322B" w:rsidRPr="003D749D" w:rsidRDefault="00E548F3" w:rsidP="00244540">
      <w:pPr>
        <w:spacing w:line="276" w:lineRule="auto"/>
        <w:jc w:val="both"/>
        <w:rPr>
          <w:sz w:val="20"/>
        </w:rPr>
      </w:pPr>
      <w:r w:rsidRPr="0055203F">
        <w:rPr>
          <w:sz w:val="20"/>
        </w:rPr>
        <w:tab/>
      </w:r>
      <w:r w:rsidR="00860817" w:rsidRPr="0055203F">
        <w:rPr>
          <w:sz w:val="20"/>
        </w:rPr>
        <w:t xml:space="preserve">Renewables profiles </w:t>
      </w:r>
      <w:r w:rsidR="00A80A5E">
        <w:rPr>
          <w:sz w:val="20"/>
        </w:rPr>
        <w:t>were</w:t>
      </w:r>
      <w:r w:rsidR="00860817" w:rsidRPr="0055203F">
        <w:rPr>
          <w:sz w:val="20"/>
        </w:rPr>
        <w:t xml:space="preserve"> </w:t>
      </w:r>
      <w:r w:rsidR="008E2EB6" w:rsidRPr="0055203F">
        <w:rPr>
          <w:sz w:val="20"/>
        </w:rPr>
        <w:t xml:space="preserve">retrieved from </w:t>
      </w:r>
      <w:r w:rsidR="006E13E5" w:rsidRPr="0055203F">
        <w:rPr>
          <w:sz w:val="20"/>
        </w:rPr>
        <w:t xml:space="preserve">Renewables Ninja </w:t>
      </w:r>
      <w:r w:rsidR="006E13E5" w:rsidRPr="0055203F">
        <w:rPr>
          <w:sz w:val="20"/>
          <w:lang w:val="en-US"/>
        </w:rPr>
        <w:t>[1</w:t>
      </w:r>
      <w:r w:rsidR="00A0616C">
        <w:rPr>
          <w:sz w:val="20"/>
          <w:lang w:val="en-US"/>
        </w:rPr>
        <w:t>3</w:t>
      </w:r>
      <w:r w:rsidR="006E13E5" w:rsidRPr="0055203F">
        <w:rPr>
          <w:sz w:val="20"/>
          <w:lang w:val="en-US"/>
        </w:rPr>
        <w:t xml:space="preserve">]. </w:t>
      </w:r>
      <w:r w:rsidR="0090061B" w:rsidRPr="0055203F">
        <w:rPr>
          <w:sz w:val="20"/>
        </w:rPr>
        <w:t>From this data, the average yearly capacity factor</w:t>
      </w:r>
      <w:r w:rsidR="00EC4217">
        <w:rPr>
          <w:sz w:val="20"/>
        </w:rPr>
        <w:t>s</w:t>
      </w:r>
      <w:r w:rsidR="0090061B" w:rsidRPr="0055203F">
        <w:rPr>
          <w:sz w:val="20"/>
        </w:rPr>
        <w:t xml:space="preserve"> for onshore wind, offshore wind, solar PV</w:t>
      </w:r>
      <w:r w:rsidR="00EC4217">
        <w:rPr>
          <w:sz w:val="20"/>
        </w:rPr>
        <w:t>,</w:t>
      </w:r>
      <w:r w:rsidR="0090061B" w:rsidRPr="0055203F">
        <w:rPr>
          <w:sz w:val="20"/>
        </w:rPr>
        <w:t xml:space="preserve"> and biomass w</w:t>
      </w:r>
      <w:r w:rsidR="00EC4217">
        <w:rPr>
          <w:sz w:val="20"/>
        </w:rPr>
        <w:t>ere</w:t>
      </w:r>
      <w:r w:rsidR="0090061B" w:rsidRPr="0055203F">
        <w:rPr>
          <w:sz w:val="20"/>
        </w:rPr>
        <w:t xml:space="preserve"> calculated</w:t>
      </w:r>
      <w:r w:rsidR="00CE2D0F">
        <w:rPr>
          <w:sz w:val="20"/>
        </w:rPr>
        <w:t>.</w:t>
      </w:r>
    </w:p>
    <w:p w14:paraId="00CABA6F" w14:textId="77777777" w:rsidR="00E14370" w:rsidRDefault="00E14370" w:rsidP="00312177">
      <w:pPr>
        <w:pStyle w:val="BodyText"/>
        <w:ind w:firstLine="0"/>
        <w:jc w:val="left"/>
      </w:pPr>
    </w:p>
    <w:p w14:paraId="5F235E54" w14:textId="77777777" w:rsidR="00E14370" w:rsidRDefault="00E14370" w:rsidP="00312177">
      <w:pPr>
        <w:pStyle w:val="BodyText"/>
        <w:ind w:firstLine="0"/>
        <w:jc w:val="left"/>
      </w:pPr>
    </w:p>
    <w:p w14:paraId="48E8F86D" w14:textId="7C5EE27A" w:rsidR="00C35E5E" w:rsidRDefault="00C35E5E" w:rsidP="00312177">
      <w:pPr>
        <w:pStyle w:val="BodyText"/>
        <w:ind w:firstLine="0"/>
        <w:jc w:val="left"/>
        <w:rPr>
          <w:lang w:val="en-US"/>
        </w:rPr>
      </w:pPr>
      <w:r>
        <w:t>TABLE 4.</w:t>
      </w:r>
      <w:r>
        <w:tab/>
      </w:r>
      <w:r w:rsidR="008347D0">
        <w:t>A</w:t>
      </w:r>
      <w:r w:rsidR="00207667">
        <w:t>VERAGE ANNUAL</w:t>
      </w:r>
      <w:r w:rsidR="008347D0">
        <w:t xml:space="preserve"> </w:t>
      </w:r>
      <w:r w:rsidR="00E01812">
        <w:t>CAPACITY FACTOR</w:t>
      </w:r>
      <w:r w:rsidR="002B7E74">
        <w:t xml:space="preserve"> </w:t>
      </w:r>
      <w:r w:rsidR="00207667">
        <w:t>AND RE</w:t>
      </w:r>
      <w:r w:rsidR="00312177">
        <w:t>NEWABLES</w:t>
      </w:r>
      <w:r w:rsidR="00207667">
        <w:t xml:space="preserve"> POTENTIAL IN ESTONIA</w:t>
      </w:r>
    </w:p>
    <w:p w14:paraId="0F34B875" w14:textId="77777777" w:rsidR="00C35E5E" w:rsidRPr="0055203F" w:rsidRDefault="00C35E5E" w:rsidP="002575BD">
      <w:pPr>
        <w:spacing w:line="276" w:lineRule="auto"/>
        <w:jc w:val="both"/>
        <w:rPr>
          <w:sz w:val="20"/>
        </w:rPr>
      </w:pPr>
    </w:p>
    <w:tbl>
      <w:tblPr>
        <w:tblStyle w:val="TableGrid"/>
        <w:tblW w:w="8930" w:type="dxa"/>
        <w:tblInd w:w="142" w:type="dxa"/>
        <w:tblBorders>
          <w:insideV w:val="none" w:sz="0" w:space="0" w:color="auto"/>
        </w:tblBorders>
        <w:tblLook w:val="04A0" w:firstRow="1" w:lastRow="0" w:firstColumn="1" w:lastColumn="0" w:noHBand="0" w:noVBand="1"/>
      </w:tblPr>
      <w:tblGrid>
        <w:gridCol w:w="3260"/>
        <w:gridCol w:w="1417"/>
        <w:gridCol w:w="1418"/>
        <w:gridCol w:w="1417"/>
        <w:gridCol w:w="1418"/>
      </w:tblGrid>
      <w:tr w:rsidR="0090061B" w14:paraId="44AE4EA6" w14:textId="77777777" w:rsidTr="00312177">
        <w:tc>
          <w:tcPr>
            <w:tcW w:w="3260" w:type="dxa"/>
            <w:tcBorders>
              <w:top w:val="single" w:sz="4" w:space="0" w:color="auto"/>
              <w:left w:val="nil"/>
              <w:bottom w:val="single" w:sz="4" w:space="0" w:color="auto"/>
            </w:tcBorders>
          </w:tcPr>
          <w:p w14:paraId="40FE4652" w14:textId="77777777" w:rsidR="0090061B" w:rsidRDefault="0090061B">
            <w:pPr>
              <w:pStyle w:val="BodyText"/>
              <w:ind w:firstLine="0"/>
              <w:rPr>
                <w:lang w:val="en-US"/>
              </w:rPr>
            </w:pPr>
          </w:p>
        </w:tc>
        <w:tc>
          <w:tcPr>
            <w:tcW w:w="1417" w:type="dxa"/>
            <w:tcBorders>
              <w:top w:val="single" w:sz="4" w:space="0" w:color="auto"/>
              <w:bottom w:val="single" w:sz="4" w:space="0" w:color="auto"/>
            </w:tcBorders>
          </w:tcPr>
          <w:p w14:paraId="75DC81E4" w14:textId="77777777" w:rsidR="0090061B" w:rsidRDefault="0090061B">
            <w:pPr>
              <w:pStyle w:val="BodyText"/>
              <w:ind w:firstLine="0"/>
              <w:rPr>
                <w:lang w:val="en-US"/>
              </w:rPr>
            </w:pPr>
            <w:r>
              <w:rPr>
                <w:lang w:val="en-US"/>
              </w:rPr>
              <w:t>Solar PV</w:t>
            </w:r>
          </w:p>
        </w:tc>
        <w:tc>
          <w:tcPr>
            <w:tcW w:w="1418" w:type="dxa"/>
            <w:tcBorders>
              <w:top w:val="single" w:sz="4" w:space="0" w:color="auto"/>
              <w:bottom w:val="single" w:sz="4" w:space="0" w:color="auto"/>
            </w:tcBorders>
          </w:tcPr>
          <w:p w14:paraId="276FFA52" w14:textId="77777777" w:rsidR="0090061B" w:rsidRDefault="0090061B">
            <w:pPr>
              <w:pStyle w:val="BodyText"/>
              <w:ind w:firstLine="0"/>
              <w:rPr>
                <w:lang w:val="en-US"/>
              </w:rPr>
            </w:pPr>
            <w:r>
              <w:rPr>
                <w:lang w:val="en-US"/>
              </w:rPr>
              <w:t>Onshore wind</w:t>
            </w:r>
          </w:p>
        </w:tc>
        <w:tc>
          <w:tcPr>
            <w:tcW w:w="1417" w:type="dxa"/>
            <w:tcBorders>
              <w:top w:val="single" w:sz="4" w:space="0" w:color="auto"/>
              <w:bottom w:val="single" w:sz="4" w:space="0" w:color="auto"/>
            </w:tcBorders>
          </w:tcPr>
          <w:p w14:paraId="0DE2E440" w14:textId="77777777" w:rsidR="0090061B" w:rsidRDefault="0090061B">
            <w:pPr>
              <w:pStyle w:val="BodyText"/>
              <w:ind w:firstLine="0"/>
              <w:rPr>
                <w:lang w:val="en-US"/>
              </w:rPr>
            </w:pPr>
            <w:r>
              <w:rPr>
                <w:lang w:val="en-US"/>
              </w:rPr>
              <w:t>Offshore wind</w:t>
            </w:r>
          </w:p>
        </w:tc>
        <w:tc>
          <w:tcPr>
            <w:tcW w:w="1418" w:type="dxa"/>
            <w:tcBorders>
              <w:top w:val="single" w:sz="4" w:space="0" w:color="auto"/>
              <w:bottom w:val="single" w:sz="4" w:space="0" w:color="auto"/>
              <w:right w:val="nil"/>
            </w:tcBorders>
          </w:tcPr>
          <w:p w14:paraId="545B112A" w14:textId="77777777" w:rsidR="0090061B" w:rsidRDefault="0090061B">
            <w:pPr>
              <w:pStyle w:val="BodyText"/>
              <w:ind w:firstLine="0"/>
              <w:rPr>
                <w:lang w:val="en-US"/>
              </w:rPr>
            </w:pPr>
            <w:r>
              <w:rPr>
                <w:lang w:val="en-US"/>
              </w:rPr>
              <w:t>Biomass</w:t>
            </w:r>
          </w:p>
        </w:tc>
      </w:tr>
      <w:tr w:rsidR="0090061B" w14:paraId="7C1C25C8" w14:textId="77777777" w:rsidTr="00312177">
        <w:tc>
          <w:tcPr>
            <w:tcW w:w="3260" w:type="dxa"/>
            <w:tcBorders>
              <w:left w:val="nil"/>
              <w:bottom w:val="nil"/>
            </w:tcBorders>
          </w:tcPr>
          <w:p w14:paraId="6E0C20B3" w14:textId="71214C3A" w:rsidR="0090061B" w:rsidRDefault="008347D0">
            <w:pPr>
              <w:pStyle w:val="BodyText"/>
              <w:ind w:firstLine="0"/>
              <w:rPr>
                <w:lang w:val="en-US"/>
              </w:rPr>
            </w:pPr>
            <w:r>
              <w:rPr>
                <w:lang w:val="en-US"/>
              </w:rPr>
              <w:t xml:space="preserve">Annual </w:t>
            </w:r>
            <w:r w:rsidR="0090061B">
              <w:rPr>
                <w:lang w:val="en-US"/>
              </w:rPr>
              <w:t>capacity factor</w:t>
            </w:r>
          </w:p>
        </w:tc>
        <w:tc>
          <w:tcPr>
            <w:tcW w:w="1417" w:type="dxa"/>
            <w:tcBorders>
              <w:bottom w:val="nil"/>
            </w:tcBorders>
          </w:tcPr>
          <w:p w14:paraId="624F7088" w14:textId="77777777" w:rsidR="0090061B" w:rsidRDefault="0090061B">
            <w:pPr>
              <w:pStyle w:val="BodyText"/>
              <w:ind w:firstLine="0"/>
              <w:rPr>
                <w:lang w:val="en-US"/>
              </w:rPr>
            </w:pPr>
            <w:r>
              <w:rPr>
                <w:lang w:val="en-US"/>
              </w:rPr>
              <w:t>0.126</w:t>
            </w:r>
          </w:p>
        </w:tc>
        <w:tc>
          <w:tcPr>
            <w:tcW w:w="1418" w:type="dxa"/>
            <w:tcBorders>
              <w:bottom w:val="nil"/>
            </w:tcBorders>
          </w:tcPr>
          <w:p w14:paraId="1C9CF4D7" w14:textId="64B12DE9" w:rsidR="0090061B" w:rsidRDefault="0090061B">
            <w:pPr>
              <w:pStyle w:val="BodyText"/>
              <w:ind w:firstLine="0"/>
              <w:rPr>
                <w:lang w:val="en-US"/>
              </w:rPr>
            </w:pPr>
            <w:r>
              <w:rPr>
                <w:lang w:val="en-US"/>
              </w:rPr>
              <w:t>0.</w:t>
            </w:r>
            <w:r w:rsidR="0055624C">
              <w:rPr>
                <w:lang w:val="en-US"/>
              </w:rPr>
              <w:t>48</w:t>
            </w:r>
          </w:p>
        </w:tc>
        <w:tc>
          <w:tcPr>
            <w:tcW w:w="1417" w:type="dxa"/>
            <w:tcBorders>
              <w:bottom w:val="nil"/>
            </w:tcBorders>
          </w:tcPr>
          <w:p w14:paraId="4C699101" w14:textId="77777777" w:rsidR="0090061B" w:rsidRDefault="0090061B">
            <w:pPr>
              <w:pStyle w:val="BodyText"/>
              <w:ind w:firstLine="0"/>
              <w:rPr>
                <w:lang w:val="en-US"/>
              </w:rPr>
            </w:pPr>
            <w:r>
              <w:rPr>
                <w:lang w:val="en-US"/>
              </w:rPr>
              <w:t>0.504</w:t>
            </w:r>
          </w:p>
        </w:tc>
        <w:tc>
          <w:tcPr>
            <w:tcW w:w="1418" w:type="dxa"/>
            <w:tcBorders>
              <w:bottom w:val="nil"/>
              <w:right w:val="nil"/>
            </w:tcBorders>
          </w:tcPr>
          <w:p w14:paraId="08ECB659" w14:textId="53031215" w:rsidR="0090061B" w:rsidRDefault="00B57F09">
            <w:pPr>
              <w:pStyle w:val="BodyText"/>
              <w:ind w:firstLine="0"/>
              <w:rPr>
                <w:lang w:val="en-US"/>
              </w:rPr>
            </w:pPr>
            <w:r w:rsidRPr="00B57F09">
              <w:t>≈</w:t>
            </w:r>
            <w:r>
              <w:t>0.85</w:t>
            </w:r>
          </w:p>
        </w:tc>
      </w:tr>
      <w:tr w:rsidR="0090061B" w14:paraId="58E98E87" w14:textId="77777777" w:rsidTr="00312177">
        <w:tc>
          <w:tcPr>
            <w:tcW w:w="3260" w:type="dxa"/>
            <w:tcBorders>
              <w:top w:val="nil"/>
              <w:left w:val="nil"/>
              <w:bottom w:val="single" w:sz="4" w:space="0" w:color="auto"/>
            </w:tcBorders>
          </w:tcPr>
          <w:p w14:paraId="5EE2655C" w14:textId="77777777" w:rsidR="0090061B" w:rsidRDefault="0090061B">
            <w:pPr>
              <w:pStyle w:val="BodyText"/>
              <w:ind w:firstLine="0"/>
              <w:rPr>
                <w:lang w:val="en-US"/>
              </w:rPr>
            </w:pPr>
            <w:r>
              <w:rPr>
                <w:lang w:val="en-US"/>
              </w:rPr>
              <w:t>Additional capacity possible MW</w:t>
            </w:r>
          </w:p>
        </w:tc>
        <w:tc>
          <w:tcPr>
            <w:tcW w:w="1417" w:type="dxa"/>
            <w:tcBorders>
              <w:top w:val="nil"/>
              <w:bottom w:val="single" w:sz="4" w:space="0" w:color="auto"/>
            </w:tcBorders>
          </w:tcPr>
          <w:p w14:paraId="2E57766E" w14:textId="77777777" w:rsidR="0090061B" w:rsidRDefault="0090061B">
            <w:pPr>
              <w:pStyle w:val="BodyText"/>
              <w:ind w:firstLine="0"/>
              <w:rPr>
                <w:lang w:val="en-US"/>
              </w:rPr>
            </w:pPr>
            <w:r>
              <w:rPr>
                <w:lang w:val="en-US"/>
              </w:rPr>
              <w:t>3000</w:t>
            </w:r>
          </w:p>
        </w:tc>
        <w:tc>
          <w:tcPr>
            <w:tcW w:w="1418" w:type="dxa"/>
            <w:tcBorders>
              <w:top w:val="nil"/>
              <w:bottom w:val="single" w:sz="4" w:space="0" w:color="auto"/>
            </w:tcBorders>
          </w:tcPr>
          <w:p w14:paraId="6C672509" w14:textId="77777777" w:rsidR="0090061B" w:rsidRDefault="0090061B">
            <w:pPr>
              <w:pStyle w:val="BodyText"/>
              <w:ind w:firstLine="0"/>
              <w:rPr>
                <w:lang w:val="en-US"/>
              </w:rPr>
            </w:pPr>
            <w:r>
              <w:rPr>
                <w:lang w:val="en-US"/>
              </w:rPr>
              <w:t>7000</w:t>
            </w:r>
          </w:p>
        </w:tc>
        <w:tc>
          <w:tcPr>
            <w:tcW w:w="1417" w:type="dxa"/>
            <w:tcBorders>
              <w:top w:val="nil"/>
              <w:bottom w:val="single" w:sz="4" w:space="0" w:color="auto"/>
            </w:tcBorders>
          </w:tcPr>
          <w:p w14:paraId="4C04CA9F" w14:textId="77777777" w:rsidR="0090061B" w:rsidRDefault="0090061B">
            <w:pPr>
              <w:pStyle w:val="BodyText"/>
              <w:ind w:firstLine="0"/>
              <w:rPr>
                <w:lang w:val="en-US"/>
              </w:rPr>
            </w:pPr>
            <w:r>
              <w:rPr>
                <w:lang w:val="en-US"/>
              </w:rPr>
              <w:t>7000</w:t>
            </w:r>
          </w:p>
        </w:tc>
        <w:tc>
          <w:tcPr>
            <w:tcW w:w="1418" w:type="dxa"/>
            <w:tcBorders>
              <w:top w:val="nil"/>
              <w:bottom w:val="single" w:sz="4" w:space="0" w:color="auto"/>
              <w:right w:val="nil"/>
            </w:tcBorders>
          </w:tcPr>
          <w:p w14:paraId="6EDE1571" w14:textId="77777777" w:rsidR="0090061B" w:rsidRDefault="0090061B">
            <w:pPr>
              <w:pStyle w:val="BodyText"/>
              <w:ind w:firstLine="0"/>
              <w:rPr>
                <w:lang w:val="en-US"/>
              </w:rPr>
            </w:pPr>
            <w:r>
              <w:rPr>
                <w:lang w:val="en-US"/>
              </w:rPr>
              <w:t>600</w:t>
            </w:r>
          </w:p>
        </w:tc>
      </w:tr>
    </w:tbl>
    <w:p w14:paraId="37635735" w14:textId="576365A2" w:rsidR="00C35E5E" w:rsidRDefault="00C35E5E" w:rsidP="0055203F">
      <w:pPr>
        <w:pStyle w:val="Heading4"/>
        <w:numPr>
          <w:ilvl w:val="0"/>
          <w:numId w:val="0"/>
        </w:numPr>
        <w:jc w:val="both"/>
      </w:pPr>
      <w:r>
        <w:t>CO</w:t>
      </w:r>
      <w:r w:rsidRPr="005859D9">
        <w:rPr>
          <w:vertAlign w:val="subscript"/>
        </w:rPr>
        <w:t>2</w:t>
      </w:r>
      <w:r>
        <w:t xml:space="preserve"> prices</w:t>
      </w:r>
    </w:p>
    <w:p w14:paraId="110B9F08" w14:textId="51EB2B26" w:rsidR="00C35E5E" w:rsidRDefault="00C35E5E" w:rsidP="00141922">
      <w:pPr>
        <w:pStyle w:val="BodyText"/>
        <w:ind w:firstLine="0"/>
        <w:rPr>
          <w:lang w:val="en-US"/>
        </w:rPr>
      </w:pPr>
      <w:r>
        <w:t>TABLE 5.</w:t>
      </w:r>
      <w:r>
        <w:tab/>
      </w:r>
      <w:r w:rsidR="00441498">
        <w:t xml:space="preserve">PROJECTED </w:t>
      </w:r>
      <w:r>
        <w:t>TRAJECTORY FOR THE CARBON PRICE</w:t>
      </w:r>
      <w:r>
        <w:rPr>
          <w:lang w:val="en-US"/>
        </w:rPr>
        <w:t xml:space="preserve"> </w:t>
      </w:r>
      <w:r w:rsidR="009A6B07">
        <w:rPr>
          <w:lang w:val="en-US"/>
        </w:rPr>
        <w:t xml:space="preserve">IN ESTONIA </w:t>
      </w:r>
      <w:r>
        <w:rPr>
          <w:lang w:val="en-US"/>
        </w:rPr>
        <w:t>[1</w:t>
      </w:r>
      <w:r w:rsidR="00A0616C">
        <w:rPr>
          <w:lang w:val="en-US"/>
        </w:rPr>
        <w:t>4</w:t>
      </w:r>
      <w:r>
        <w:rPr>
          <w:lang w:val="en-US"/>
        </w:rPr>
        <w:t>]</w:t>
      </w:r>
    </w:p>
    <w:p w14:paraId="05E0B90C" w14:textId="77777777" w:rsidR="00C35E5E" w:rsidRDefault="00C35E5E" w:rsidP="00C35E5E">
      <w:pPr>
        <w:pStyle w:val="BodyText"/>
        <w:ind w:firstLine="0"/>
      </w:pPr>
    </w:p>
    <w:tbl>
      <w:tblPr>
        <w:tblW w:w="9078"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647"/>
        <w:gridCol w:w="633"/>
        <w:gridCol w:w="633"/>
        <w:gridCol w:w="633"/>
        <w:gridCol w:w="633"/>
        <w:gridCol w:w="633"/>
        <w:gridCol w:w="633"/>
        <w:gridCol w:w="633"/>
      </w:tblGrid>
      <w:tr w:rsidR="00C35E5E" w:rsidRPr="009C4F91" w14:paraId="296D64E8" w14:textId="77777777">
        <w:trPr>
          <w:trHeight w:val="299"/>
        </w:trPr>
        <w:tc>
          <w:tcPr>
            <w:tcW w:w="4647" w:type="dxa"/>
            <w:shd w:val="clear" w:color="auto" w:fill="auto"/>
            <w:noWrap/>
            <w:vAlign w:val="bottom"/>
            <w:hideMark/>
          </w:tcPr>
          <w:p w14:paraId="1927AB3F" w14:textId="470C1E2F" w:rsidR="00C35E5E" w:rsidRPr="005859D9" w:rsidRDefault="00E33952">
            <w:pPr>
              <w:overflowPunct/>
              <w:autoSpaceDE/>
              <w:autoSpaceDN/>
              <w:adjustRightInd/>
              <w:textAlignment w:val="auto"/>
              <w:rPr>
                <w:color w:val="000000"/>
                <w:sz w:val="20"/>
                <w:lang w:val="et-EE" w:eastAsia="et-EE"/>
              </w:rPr>
            </w:pPr>
            <w:r w:rsidRPr="005859D9">
              <w:rPr>
                <w:color w:val="000000"/>
                <w:sz w:val="20"/>
                <w:lang w:val="et-EE" w:eastAsia="et-EE"/>
              </w:rPr>
              <w:t>Year</w:t>
            </w:r>
          </w:p>
        </w:tc>
        <w:tc>
          <w:tcPr>
            <w:tcW w:w="633" w:type="dxa"/>
            <w:shd w:val="clear" w:color="auto" w:fill="auto"/>
            <w:noWrap/>
            <w:vAlign w:val="bottom"/>
            <w:hideMark/>
          </w:tcPr>
          <w:p w14:paraId="21E157F8" w14:textId="77777777" w:rsidR="00C35E5E" w:rsidRPr="005859D9" w:rsidRDefault="00C35E5E">
            <w:pPr>
              <w:overflowPunct/>
              <w:autoSpaceDE/>
              <w:autoSpaceDN/>
              <w:adjustRightInd/>
              <w:jc w:val="right"/>
              <w:textAlignment w:val="auto"/>
              <w:rPr>
                <w:color w:val="000000"/>
                <w:sz w:val="20"/>
                <w:lang w:val="et-EE" w:eastAsia="et-EE"/>
              </w:rPr>
            </w:pPr>
            <w:r w:rsidRPr="005859D9">
              <w:rPr>
                <w:color w:val="000000"/>
                <w:sz w:val="20"/>
                <w:lang w:val="et-EE" w:eastAsia="et-EE"/>
              </w:rPr>
              <w:t>2020</w:t>
            </w:r>
          </w:p>
        </w:tc>
        <w:tc>
          <w:tcPr>
            <w:tcW w:w="633" w:type="dxa"/>
            <w:shd w:val="clear" w:color="auto" w:fill="auto"/>
            <w:noWrap/>
            <w:vAlign w:val="bottom"/>
            <w:hideMark/>
          </w:tcPr>
          <w:p w14:paraId="5CF894E4" w14:textId="77777777" w:rsidR="00C35E5E" w:rsidRPr="005859D9" w:rsidRDefault="00C35E5E">
            <w:pPr>
              <w:overflowPunct/>
              <w:autoSpaceDE/>
              <w:autoSpaceDN/>
              <w:adjustRightInd/>
              <w:jc w:val="right"/>
              <w:textAlignment w:val="auto"/>
              <w:rPr>
                <w:color w:val="000000"/>
                <w:sz w:val="20"/>
                <w:lang w:val="et-EE" w:eastAsia="et-EE"/>
              </w:rPr>
            </w:pPr>
            <w:r w:rsidRPr="005859D9">
              <w:rPr>
                <w:color w:val="000000"/>
                <w:sz w:val="20"/>
                <w:lang w:val="et-EE" w:eastAsia="et-EE"/>
              </w:rPr>
              <w:t>2025</w:t>
            </w:r>
          </w:p>
        </w:tc>
        <w:tc>
          <w:tcPr>
            <w:tcW w:w="633" w:type="dxa"/>
            <w:shd w:val="clear" w:color="auto" w:fill="auto"/>
            <w:noWrap/>
            <w:vAlign w:val="bottom"/>
            <w:hideMark/>
          </w:tcPr>
          <w:p w14:paraId="4774D9D3" w14:textId="77777777" w:rsidR="00C35E5E" w:rsidRPr="005859D9" w:rsidRDefault="00C35E5E">
            <w:pPr>
              <w:overflowPunct/>
              <w:autoSpaceDE/>
              <w:autoSpaceDN/>
              <w:adjustRightInd/>
              <w:jc w:val="right"/>
              <w:textAlignment w:val="auto"/>
              <w:rPr>
                <w:color w:val="000000"/>
                <w:sz w:val="20"/>
                <w:lang w:val="et-EE" w:eastAsia="et-EE"/>
              </w:rPr>
            </w:pPr>
            <w:r w:rsidRPr="005859D9">
              <w:rPr>
                <w:color w:val="000000"/>
                <w:sz w:val="20"/>
                <w:lang w:val="et-EE" w:eastAsia="et-EE"/>
              </w:rPr>
              <w:t>2030</w:t>
            </w:r>
          </w:p>
        </w:tc>
        <w:tc>
          <w:tcPr>
            <w:tcW w:w="633" w:type="dxa"/>
            <w:shd w:val="clear" w:color="auto" w:fill="auto"/>
            <w:noWrap/>
            <w:vAlign w:val="bottom"/>
            <w:hideMark/>
          </w:tcPr>
          <w:p w14:paraId="68D55C2D" w14:textId="77777777" w:rsidR="00C35E5E" w:rsidRPr="005859D9" w:rsidRDefault="00C35E5E">
            <w:pPr>
              <w:overflowPunct/>
              <w:autoSpaceDE/>
              <w:autoSpaceDN/>
              <w:adjustRightInd/>
              <w:jc w:val="right"/>
              <w:textAlignment w:val="auto"/>
              <w:rPr>
                <w:color w:val="000000"/>
                <w:sz w:val="20"/>
                <w:lang w:val="et-EE" w:eastAsia="et-EE"/>
              </w:rPr>
            </w:pPr>
            <w:r w:rsidRPr="005859D9">
              <w:rPr>
                <w:color w:val="000000"/>
                <w:sz w:val="20"/>
                <w:lang w:val="et-EE" w:eastAsia="et-EE"/>
              </w:rPr>
              <w:t>2035</w:t>
            </w:r>
          </w:p>
        </w:tc>
        <w:tc>
          <w:tcPr>
            <w:tcW w:w="633" w:type="dxa"/>
            <w:shd w:val="clear" w:color="auto" w:fill="auto"/>
            <w:noWrap/>
            <w:vAlign w:val="bottom"/>
            <w:hideMark/>
          </w:tcPr>
          <w:p w14:paraId="5C3E1319" w14:textId="77777777" w:rsidR="00C35E5E" w:rsidRPr="005859D9" w:rsidRDefault="00C35E5E">
            <w:pPr>
              <w:overflowPunct/>
              <w:autoSpaceDE/>
              <w:autoSpaceDN/>
              <w:adjustRightInd/>
              <w:jc w:val="right"/>
              <w:textAlignment w:val="auto"/>
              <w:rPr>
                <w:color w:val="000000"/>
                <w:sz w:val="20"/>
                <w:lang w:val="et-EE" w:eastAsia="et-EE"/>
              </w:rPr>
            </w:pPr>
            <w:r w:rsidRPr="005859D9">
              <w:rPr>
                <w:color w:val="000000"/>
                <w:sz w:val="20"/>
                <w:lang w:val="et-EE" w:eastAsia="et-EE"/>
              </w:rPr>
              <w:t>2040</w:t>
            </w:r>
          </w:p>
        </w:tc>
        <w:tc>
          <w:tcPr>
            <w:tcW w:w="633" w:type="dxa"/>
            <w:shd w:val="clear" w:color="auto" w:fill="auto"/>
            <w:noWrap/>
            <w:vAlign w:val="bottom"/>
            <w:hideMark/>
          </w:tcPr>
          <w:p w14:paraId="546F7D5F" w14:textId="77777777" w:rsidR="00C35E5E" w:rsidRPr="005859D9" w:rsidRDefault="00C35E5E">
            <w:pPr>
              <w:overflowPunct/>
              <w:autoSpaceDE/>
              <w:autoSpaceDN/>
              <w:adjustRightInd/>
              <w:jc w:val="right"/>
              <w:textAlignment w:val="auto"/>
              <w:rPr>
                <w:color w:val="000000"/>
                <w:sz w:val="20"/>
                <w:lang w:val="et-EE" w:eastAsia="et-EE"/>
              </w:rPr>
            </w:pPr>
            <w:r w:rsidRPr="005859D9">
              <w:rPr>
                <w:color w:val="000000"/>
                <w:sz w:val="20"/>
                <w:lang w:val="et-EE" w:eastAsia="et-EE"/>
              </w:rPr>
              <w:t>2045</w:t>
            </w:r>
          </w:p>
        </w:tc>
        <w:tc>
          <w:tcPr>
            <w:tcW w:w="633" w:type="dxa"/>
            <w:shd w:val="clear" w:color="auto" w:fill="auto"/>
            <w:noWrap/>
            <w:vAlign w:val="bottom"/>
            <w:hideMark/>
          </w:tcPr>
          <w:p w14:paraId="542996CD" w14:textId="77777777" w:rsidR="00C35E5E" w:rsidRPr="005859D9" w:rsidRDefault="00C35E5E">
            <w:pPr>
              <w:overflowPunct/>
              <w:autoSpaceDE/>
              <w:autoSpaceDN/>
              <w:adjustRightInd/>
              <w:jc w:val="right"/>
              <w:textAlignment w:val="auto"/>
              <w:rPr>
                <w:color w:val="000000"/>
                <w:sz w:val="20"/>
                <w:lang w:val="et-EE" w:eastAsia="et-EE"/>
              </w:rPr>
            </w:pPr>
            <w:r w:rsidRPr="005859D9">
              <w:rPr>
                <w:color w:val="000000"/>
                <w:sz w:val="20"/>
                <w:lang w:val="et-EE" w:eastAsia="et-EE"/>
              </w:rPr>
              <w:t>2050</w:t>
            </w:r>
          </w:p>
        </w:tc>
      </w:tr>
      <w:tr w:rsidR="00C35E5E" w:rsidRPr="009C4F91" w14:paraId="67ECF0D7" w14:textId="77777777">
        <w:trPr>
          <w:trHeight w:val="299"/>
        </w:trPr>
        <w:tc>
          <w:tcPr>
            <w:tcW w:w="4647" w:type="dxa"/>
            <w:shd w:val="clear" w:color="auto" w:fill="auto"/>
            <w:noWrap/>
            <w:vAlign w:val="bottom"/>
            <w:hideMark/>
          </w:tcPr>
          <w:p w14:paraId="27AC7451" w14:textId="36EECD3D" w:rsidR="00C35E5E" w:rsidRPr="005859D9" w:rsidRDefault="003B3400">
            <w:pPr>
              <w:overflowPunct/>
              <w:autoSpaceDE/>
              <w:autoSpaceDN/>
              <w:adjustRightInd/>
              <w:textAlignment w:val="auto"/>
              <w:rPr>
                <w:color w:val="000000"/>
                <w:sz w:val="20"/>
                <w:lang w:val="en-US" w:eastAsia="et-EE"/>
              </w:rPr>
            </w:pPr>
            <w:r w:rsidRPr="005859D9">
              <w:rPr>
                <w:color w:val="000000"/>
                <w:sz w:val="20"/>
                <w:lang w:val="et-EE" w:eastAsia="et-EE"/>
              </w:rPr>
              <w:t>Carbon price</w:t>
            </w:r>
            <w:r w:rsidR="00194C7C" w:rsidRPr="005859D9">
              <w:rPr>
                <w:color w:val="000000"/>
                <w:sz w:val="20"/>
                <w:lang w:val="et-EE" w:eastAsia="et-EE"/>
              </w:rPr>
              <w:t xml:space="preserve"> (EUR2020 / tCO</w:t>
            </w:r>
            <w:r w:rsidR="00194C7C" w:rsidRPr="005859D9">
              <w:rPr>
                <w:color w:val="000000"/>
                <w:sz w:val="12"/>
                <w:szCs w:val="12"/>
                <w:lang w:val="et-EE" w:eastAsia="et-EE"/>
              </w:rPr>
              <w:t>2</w:t>
            </w:r>
            <w:r w:rsidR="00194C7C" w:rsidRPr="005859D9">
              <w:rPr>
                <w:color w:val="000000"/>
                <w:sz w:val="20"/>
                <w:lang w:val="et-EE" w:eastAsia="et-EE"/>
              </w:rPr>
              <w:t>)</w:t>
            </w:r>
          </w:p>
        </w:tc>
        <w:tc>
          <w:tcPr>
            <w:tcW w:w="633" w:type="dxa"/>
            <w:shd w:val="clear" w:color="auto" w:fill="auto"/>
            <w:noWrap/>
            <w:vAlign w:val="bottom"/>
            <w:hideMark/>
          </w:tcPr>
          <w:p w14:paraId="1DF717D4" w14:textId="77777777" w:rsidR="00C35E5E" w:rsidRPr="005859D9" w:rsidRDefault="00C35E5E">
            <w:pPr>
              <w:overflowPunct/>
              <w:autoSpaceDE/>
              <w:autoSpaceDN/>
              <w:adjustRightInd/>
              <w:jc w:val="right"/>
              <w:textAlignment w:val="auto"/>
              <w:rPr>
                <w:color w:val="000000"/>
                <w:sz w:val="20"/>
                <w:lang w:val="et-EE" w:eastAsia="et-EE"/>
              </w:rPr>
            </w:pPr>
            <w:r w:rsidRPr="005859D9">
              <w:rPr>
                <w:color w:val="000000"/>
                <w:sz w:val="20"/>
                <w:lang w:val="et-EE" w:eastAsia="et-EE"/>
              </w:rPr>
              <w:t>24</w:t>
            </w:r>
          </w:p>
        </w:tc>
        <w:tc>
          <w:tcPr>
            <w:tcW w:w="633" w:type="dxa"/>
            <w:shd w:val="clear" w:color="auto" w:fill="auto"/>
            <w:noWrap/>
            <w:vAlign w:val="bottom"/>
            <w:hideMark/>
          </w:tcPr>
          <w:p w14:paraId="2B59CFAC" w14:textId="77777777" w:rsidR="00C35E5E" w:rsidRPr="005859D9" w:rsidRDefault="00C35E5E">
            <w:pPr>
              <w:overflowPunct/>
              <w:autoSpaceDE/>
              <w:autoSpaceDN/>
              <w:adjustRightInd/>
              <w:jc w:val="right"/>
              <w:textAlignment w:val="auto"/>
              <w:rPr>
                <w:color w:val="000000"/>
                <w:sz w:val="20"/>
                <w:lang w:val="et-EE" w:eastAsia="et-EE"/>
              </w:rPr>
            </w:pPr>
            <w:r w:rsidRPr="005859D9">
              <w:rPr>
                <w:color w:val="000000"/>
                <w:sz w:val="20"/>
                <w:lang w:val="et-EE" w:eastAsia="et-EE"/>
              </w:rPr>
              <w:t>90</w:t>
            </w:r>
          </w:p>
        </w:tc>
        <w:tc>
          <w:tcPr>
            <w:tcW w:w="633" w:type="dxa"/>
            <w:shd w:val="clear" w:color="auto" w:fill="auto"/>
            <w:noWrap/>
            <w:vAlign w:val="bottom"/>
            <w:hideMark/>
          </w:tcPr>
          <w:p w14:paraId="2F80C10B" w14:textId="77777777" w:rsidR="00C35E5E" w:rsidRPr="005859D9" w:rsidRDefault="00C35E5E">
            <w:pPr>
              <w:overflowPunct/>
              <w:autoSpaceDE/>
              <w:autoSpaceDN/>
              <w:adjustRightInd/>
              <w:jc w:val="right"/>
              <w:textAlignment w:val="auto"/>
              <w:rPr>
                <w:color w:val="000000"/>
                <w:sz w:val="20"/>
                <w:lang w:val="et-EE" w:eastAsia="et-EE"/>
              </w:rPr>
            </w:pPr>
            <w:r w:rsidRPr="005859D9">
              <w:rPr>
                <w:color w:val="000000"/>
                <w:sz w:val="20"/>
                <w:lang w:val="et-EE" w:eastAsia="et-EE"/>
              </w:rPr>
              <w:t>100</w:t>
            </w:r>
          </w:p>
        </w:tc>
        <w:tc>
          <w:tcPr>
            <w:tcW w:w="633" w:type="dxa"/>
            <w:shd w:val="clear" w:color="auto" w:fill="auto"/>
            <w:noWrap/>
            <w:vAlign w:val="bottom"/>
            <w:hideMark/>
          </w:tcPr>
          <w:p w14:paraId="797A8860" w14:textId="77777777" w:rsidR="00C35E5E" w:rsidRPr="005859D9" w:rsidRDefault="00C35E5E">
            <w:pPr>
              <w:overflowPunct/>
              <w:autoSpaceDE/>
              <w:autoSpaceDN/>
              <w:adjustRightInd/>
              <w:jc w:val="right"/>
              <w:textAlignment w:val="auto"/>
              <w:rPr>
                <w:color w:val="000000"/>
                <w:sz w:val="20"/>
                <w:lang w:val="et-EE" w:eastAsia="et-EE"/>
              </w:rPr>
            </w:pPr>
            <w:r w:rsidRPr="005859D9">
              <w:rPr>
                <w:color w:val="000000"/>
                <w:sz w:val="20"/>
                <w:lang w:val="et-EE" w:eastAsia="et-EE"/>
              </w:rPr>
              <w:t>120</w:t>
            </w:r>
          </w:p>
        </w:tc>
        <w:tc>
          <w:tcPr>
            <w:tcW w:w="633" w:type="dxa"/>
            <w:shd w:val="clear" w:color="auto" w:fill="auto"/>
            <w:noWrap/>
            <w:vAlign w:val="bottom"/>
            <w:hideMark/>
          </w:tcPr>
          <w:p w14:paraId="6CCED2B8" w14:textId="77777777" w:rsidR="00C35E5E" w:rsidRPr="005859D9" w:rsidRDefault="00C35E5E">
            <w:pPr>
              <w:overflowPunct/>
              <w:autoSpaceDE/>
              <w:autoSpaceDN/>
              <w:adjustRightInd/>
              <w:jc w:val="right"/>
              <w:textAlignment w:val="auto"/>
              <w:rPr>
                <w:color w:val="000000"/>
                <w:sz w:val="20"/>
                <w:lang w:val="et-EE" w:eastAsia="et-EE"/>
              </w:rPr>
            </w:pPr>
            <w:r w:rsidRPr="005859D9">
              <w:rPr>
                <w:color w:val="000000"/>
                <w:sz w:val="20"/>
                <w:lang w:val="et-EE" w:eastAsia="et-EE"/>
              </w:rPr>
              <w:t>250</w:t>
            </w:r>
          </w:p>
        </w:tc>
        <w:tc>
          <w:tcPr>
            <w:tcW w:w="633" w:type="dxa"/>
            <w:shd w:val="clear" w:color="auto" w:fill="auto"/>
            <w:noWrap/>
            <w:vAlign w:val="bottom"/>
            <w:hideMark/>
          </w:tcPr>
          <w:p w14:paraId="5576C2D2" w14:textId="77777777" w:rsidR="00C35E5E" w:rsidRPr="005859D9" w:rsidRDefault="00C35E5E">
            <w:pPr>
              <w:overflowPunct/>
              <w:autoSpaceDE/>
              <w:autoSpaceDN/>
              <w:adjustRightInd/>
              <w:jc w:val="right"/>
              <w:textAlignment w:val="auto"/>
              <w:rPr>
                <w:color w:val="000000"/>
                <w:sz w:val="20"/>
                <w:lang w:val="et-EE" w:eastAsia="et-EE"/>
              </w:rPr>
            </w:pPr>
            <w:r w:rsidRPr="005859D9">
              <w:rPr>
                <w:color w:val="000000"/>
                <w:sz w:val="20"/>
                <w:lang w:val="et-EE" w:eastAsia="et-EE"/>
              </w:rPr>
              <w:t>360</w:t>
            </w:r>
          </w:p>
        </w:tc>
        <w:tc>
          <w:tcPr>
            <w:tcW w:w="633" w:type="dxa"/>
            <w:shd w:val="clear" w:color="auto" w:fill="auto"/>
            <w:noWrap/>
            <w:vAlign w:val="bottom"/>
            <w:hideMark/>
          </w:tcPr>
          <w:p w14:paraId="481CD45F" w14:textId="77777777" w:rsidR="00C35E5E" w:rsidRPr="005859D9" w:rsidRDefault="00C35E5E">
            <w:pPr>
              <w:overflowPunct/>
              <w:autoSpaceDE/>
              <w:autoSpaceDN/>
              <w:adjustRightInd/>
              <w:jc w:val="right"/>
              <w:textAlignment w:val="auto"/>
              <w:rPr>
                <w:color w:val="000000"/>
                <w:sz w:val="20"/>
                <w:lang w:val="et-EE" w:eastAsia="et-EE"/>
              </w:rPr>
            </w:pPr>
            <w:r w:rsidRPr="005859D9">
              <w:rPr>
                <w:color w:val="000000"/>
                <w:sz w:val="20"/>
                <w:lang w:val="et-EE" w:eastAsia="et-EE"/>
              </w:rPr>
              <w:t>410</w:t>
            </w:r>
          </w:p>
        </w:tc>
      </w:tr>
    </w:tbl>
    <w:p w14:paraId="60E47A2A" w14:textId="77777777" w:rsidR="009E1529" w:rsidRDefault="009E1529" w:rsidP="0055203F">
      <w:pPr>
        <w:pStyle w:val="BodyText"/>
        <w:ind w:firstLine="0"/>
        <w:rPr>
          <w:lang w:val="en-US"/>
        </w:rPr>
      </w:pPr>
    </w:p>
    <w:p w14:paraId="580AB0CB" w14:textId="63F905CC" w:rsidR="00C35E5E" w:rsidRPr="0055203F" w:rsidRDefault="00A80A5E" w:rsidP="00034C3C">
      <w:pPr>
        <w:pStyle w:val="BodyText"/>
        <w:rPr>
          <w:lang w:val="en-US"/>
        </w:rPr>
      </w:pPr>
      <w:r>
        <w:rPr>
          <w:lang w:val="en-US"/>
        </w:rPr>
        <w:t>The c</w:t>
      </w:r>
      <w:r w:rsidR="008770B9">
        <w:rPr>
          <w:lang w:val="en-US"/>
        </w:rPr>
        <w:t xml:space="preserve">arbon prices come from </w:t>
      </w:r>
      <w:r w:rsidR="00F50DFE">
        <w:rPr>
          <w:lang w:val="en-US"/>
        </w:rPr>
        <w:t>European Commission</w:t>
      </w:r>
      <w:r w:rsidR="00671E14">
        <w:rPr>
          <w:lang w:val="en-US"/>
        </w:rPr>
        <w:t xml:space="preserve">’s </w:t>
      </w:r>
      <w:r w:rsidR="004C5867">
        <w:rPr>
          <w:lang w:val="en-US"/>
        </w:rPr>
        <w:t>projection fo</w:t>
      </w:r>
      <w:r w:rsidR="00E83BEA">
        <w:rPr>
          <w:lang w:val="en-US"/>
        </w:rPr>
        <w:t xml:space="preserve">r </w:t>
      </w:r>
      <w:r w:rsidR="0087706B">
        <w:rPr>
          <w:lang w:val="en-US"/>
        </w:rPr>
        <w:t>carbon price with an existing ETS (</w:t>
      </w:r>
      <w:r w:rsidR="00516F6F">
        <w:rPr>
          <w:lang w:val="en-US"/>
        </w:rPr>
        <w:t>Emissions Trading Scheme</w:t>
      </w:r>
      <w:r w:rsidR="0087706B">
        <w:rPr>
          <w:lang w:val="en-US"/>
        </w:rPr>
        <w:t>)</w:t>
      </w:r>
      <w:r w:rsidR="00516F6F">
        <w:rPr>
          <w:lang w:val="en-US"/>
        </w:rPr>
        <w:t xml:space="preserve"> up to 2030. From 2030 onwards,</w:t>
      </w:r>
      <w:r>
        <w:rPr>
          <w:lang w:val="en-US"/>
        </w:rPr>
        <w:t xml:space="preserve"> the</w:t>
      </w:r>
      <w:r w:rsidR="00516F6F">
        <w:rPr>
          <w:lang w:val="en-US"/>
        </w:rPr>
        <w:t xml:space="preserve"> WAM (</w:t>
      </w:r>
      <w:r w:rsidR="00E72FAD">
        <w:rPr>
          <w:lang w:val="en-US"/>
        </w:rPr>
        <w:t>With Additional Measures</w:t>
      </w:r>
      <w:r w:rsidR="00516F6F">
        <w:rPr>
          <w:lang w:val="en-US"/>
        </w:rPr>
        <w:t xml:space="preserve">) trajectory is </w:t>
      </w:r>
      <w:r w:rsidR="00E72FAD">
        <w:rPr>
          <w:lang w:val="en-US"/>
        </w:rPr>
        <w:t>used</w:t>
      </w:r>
      <w:r w:rsidR="00516F6F">
        <w:rPr>
          <w:lang w:val="en-US"/>
        </w:rPr>
        <w:t>.</w:t>
      </w:r>
      <w:r w:rsidR="00F50DFE">
        <w:rPr>
          <w:lang w:val="en-US"/>
        </w:rPr>
        <w:t xml:space="preserve"> </w:t>
      </w:r>
    </w:p>
    <w:p w14:paraId="749EF52C" w14:textId="3BD96F74" w:rsidR="002575BD" w:rsidRDefault="002575BD" w:rsidP="002575BD">
      <w:pPr>
        <w:pStyle w:val="Heading2"/>
      </w:pPr>
      <w:r>
        <w:t>ANALYSIS</w:t>
      </w:r>
      <w:r w:rsidR="003E24DC">
        <w:t xml:space="preserve"> OF RESULTS</w:t>
      </w:r>
    </w:p>
    <w:p w14:paraId="1E97116D" w14:textId="20BDB5E6" w:rsidR="00CF2851" w:rsidRPr="003D749D" w:rsidRDefault="009D3E7E" w:rsidP="0055203F">
      <w:pPr>
        <w:spacing w:line="276" w:lineRule="auto"/>
        <w:ind w:firstLine="567"/>
        <w:jc w:val="both"/>
        <w:rPr>
          <w:sz w:val="20"/>
        </w:rPr>
      </w:pPr>
      <w:r w:rsidRPr="003D749D">
        <w:rPr>
          <w:sz w:val="20"/>
        </w:rPr>
        <w:t>The a</w:t>
      </w:r>
      <w:r w:rsidR="7FD0AD9E" w:rsidRPr="003D749D">
        <w:rPr>
          <w:sz w:val="20"/>
        </w:rPr>
        <w:t xml:space="preserve">nalysis focuses on achieving internal energy policy goals and greenhouse gas emission reduction targets </w:t>
      </w:r>
      <w:r w:rsidR="71BEA333" w:rsidRPr="003D749D">
        <w:rPr>
          <w:sz w:val="20"/>
        </w:rPr>
        <w:t>from power generation</w:t>
      </w:r>
      <w:r w:rsidR="00EC4217">
        <w:rPr>
          <w:sz w:val="20"/>
        </w:rPr>
        <w:t xml:space="preserve"> </w:t>
      </w:r>
      <w:r w:rsidR="7FD0AD9E" w:rsidRPr="003D749D">
        <w:rPr>
          <w:sz w:val="20"/>
        </w:rPr>
        <w:t>set by the European Commission.</w:t>
      </w:r>
      <w:r w:rsidR="000C65C2" w:rsidRPr="003D749D">
        <w:rPr>
          <w:sz w:val="20"/>
        </w:rPr>
        <w:t xml:space="preserve"> The m</w:t>
      </w:r>
      <w:r w:rsidR="4E895849" w:rsidRPr="003D749D">
        <w:rPr>
          <w:sz w:val="20"/>
        </w:rPr>
        <w:t>ain metrics analysed and compared</w:t>
      </w:r>
      <w:r w:rsidR="00EC4217">
        <w:rPr>
          <w:sz w:val="20"/>
        </w:rPr>
        <w:t xml:space="preserve"> were</w:t>
      </w:r>
      <w:r w:rsidR="4E895849" w:rsidRPr="003D749D">
        <w:rPr>
          <w:sz w:val="20"/>
        </w:rPr>
        <w:t>:</w:t>
      </w:r>
    </w:p>
    <w:p w14:paraId="48F62318" w14:textId="28F80908" w:rsidR="00CC3960" w:rsidRPr="003D749D" w:rsidRDefault="003B7BC3" w:rsidP="0055203F">
      <w:pPr>
        <w:pStyle w:val="ListParagraph"/>
        <w:numPr>
          <w:ilvl w:val="0"/>
          <w:numId w:val="1"/>
        </w:numPr>
        <w:spacing w:line="276" w:lineRule="auto"/>
        <w:jc w:val="both"/>
        <w:rPr>
          <w:sz w:val="20"/>
        </w:rPr>
      </w:pPr>
      <w:r w:rsidRPr="003D749D">
        <w:rPr>
          <w:sz w:val="20"/>
        </w:rPr>
        <w:t xml:space="preserve">Capacity and energy mix: </w:t>
      </w:r>
      <w:r w:rsidR="00A36E43" w:rsidRPr="003D749D">
        <w:rPr>
          <w:sz w:val="20"/>
        </w:rPr>
        <w:t>I</w:t>
      </w:r>
      <w:r w:rsidR="4E895849" w:rsidRPr="003D749D">
        <w:rPr>
          <w:sz w:val="20"/>
        </w:rPr>
        <w:t>nstalled capacit</w:t>
      </w:r>
      <w:r w:rsidR="00A36E43" w:rsidRPr="003D749D">
        <w:rPr>
          <w:sz w:val="20"/>
        </w:rPr>
        <w:t>ies</w:t>
      </w:r>
      <w:r w:rsidR="00E249D5" w:rsidRPr="003D749D">
        <w:rPr>
          <w:sz w:val="20"/>
        </w:rPr>
        <w:t xml:space="preserve"> and</w:t>
      </w:r>
      <w:r w:rsidR="001432C9" w:rsidRPr="003D749D">
        <w:rPr>
          <w:sz w:val="20"/>
        </w:rPr>
        <w:t xml:space="preserve"> </w:t>
      </w:r>
      <w:r w:rsidR="00E249D5" w:rsidRPr="003D749D">
        <w:rPr>
          <w:sz w:val="20"/>
        </w:rPr>
        <w:t>e</w:t>
      </w:r>
      <w:r w:rsidR="4E895849" w:rsidRPr="003D749D">
        <w:rPr>
          <w:sz w:val="20"/>
        </w:rPr>
        <w:t>lectricity generation/supply</w:t>
      </w:r>
      <w:r w:rsidR="00EC4217">
        <w:rPr>
          <w:sz w:val="20"/>
        </w:rPr>
        <w:t>.</w:t>
      </w:r>
    </w:p>
    <w:p w14:paraId="26891502" w14:textId="4E7F2E87" w:rsidR="00CC3960" w:rsidRPr="003D749D" w:rsidRDefault="1E136A7C" w:rsidP="0055203F">
      <w:pPr>
        <w:pStyle w:val="ListParagraph"/>
        <w:numPr>
          <w:ilvl w:val="0"/>
          <w:numId w:val="1"/>
        </w:numPr>
        <w:spacing w:line="276" w:lineRule="auto"/>
        <w:jc w:val="both"/>
        <w:rPr>
          <w:sz w:val="20"/>
        </w:rPr>
      </w:pPr>
      <w:r w:rsidRPr="003D749D">
        <w:rPr>
          <w:sz w:val="20"/>
        </w:rPr>
        <w:t>CO</w:t>
      </w:r>
      <w:r w:rsidRPr="005859D9">
        <w:rPr>
          <w:sz w:val="20"/>
          <w:vertAlign w:val="subscript"/>
        </w:rPr>
        <w:t>2</w:t>
      </w:r>
      <w:r w:rsidRPr="003D749D">
        <w:rPr>
          <w:sz w:val="20"/>
        </w:rPr>
        <w:t xml:space="preserve"> emissions</w:t>
      </w:r>
      <w:r w:rsidR="00281AB2" w:rsidRPr="003D749D">
        <w:rPr>
          <w:sz w:val="20"/>
        </w:rPr>
        <w:t xml:space="preserve">: </w:t>
      </w:r>
      <w:r w:rsidR="001F381B" w:rsidRPr="003D749D">
        <w:rPr>
          <w:sz w:val="20"/>
        </w:rPr>
        <w:t xml:space="preserve">The total </w:t>
      </w:r>
      <w:r w:rsidR="00376B02" w:rsidRPr="003D749D">
        <w:rPr>
          <w:sz w:val="20"/>
        </w:rPr>
        <w:t xml:space="preserve">emissions from </w:t>
      </w:r>
      <w:r w:rsidR="00AA2A38" w:rsidRPr="003D749D">
        <w:rPr>
          <w:sz w:val="20"/>
        </w:rPr>
        <w:t>power generation activities</w:t>
      </w:r>
      <w:r w:rsidR="00EC4217">
        <w:rPr>
          <w:sz w:val="20"/>
        </w:rPr>
        <w:t>.</w:t>
      </w:r>
      <w:r w:rsidR="00AA2A38" w:rsidRPr="003D749D">
        <w:rPr>
          <w:sz w:val="20"/>
        </w:rPr>
        <w:t xml:space="preserve"> (</w:t>
      </w:r>
      <w:r w:rsidR="00C16160" w:rsidRPr="003D749D">
        <w:rPr>
          <w:sz w:val="20"/>
        </w:rPr>
        <w:t>CO</w:t>
      </w:r>
      <w:r w:rsidR="00C16160" w:rsidRPr="005859D9">
        <w:rPr>
          <w:sz w:val="20"/>
          <w:vertAlign w:val="subscript"/>
        </w:rPr>
        <w:t>2</w:t>
      </w:r>
      <w:r w:rsidR="00C16160" w:rsidRPr="003D749D">
        <w:rPr>
          <w:sz w:val="20"/>
        </w:rPr>
        <w:t xml:space="preserve"> intensity of imported electricity is </w:t>
      </w:r>
      <w:r w:rsidR="004F4A7B" w:rsidRPr="003D749D">
        <w:rPr>
          <w:sz w:val="20"/>
        </w:rPr>
        <w:t>not considered)</w:t>
      </w:r>
    </w:p>
    <w:p w14:paraId="7D23C160" w14:textId="54D05CE4" w:rsidR="00CC3960" w:rsidRPr="003D749D" w:rsidRDefault="4E895849" w:rsidP="0055203F">
      <w:pPr>
        <w:pStyle w:val="ListParagraph"/>
        <w:numPr>
          <w:ilvl w:val="0"/>
          <w:numId w:val="1"/>
        </w:numPr>
        <w:spacing w:line="276" w:lineRule="auto"/>
        <w:jc w:val="both"/>
        <w:rPr>
          <w:sz w:val="20"/>
        </w:rPr>
      </w:pPr>
      <w:r w:rsidRPr="003D749D">
        <w:rPr>
          <w:sz w:val="20"/>
        </w:rPr>
        <w:t>Total discounted power generation costs (</w:t>
      </w:r>
      <w:r w:rsidR="00EC4217">
        <w:rPr>
          <w:sz w:val="20"/>
        </w:rPr>
        <w:t xml:space="preserve">i.e., </w:t>
      </w:r>
      <w:r w:rsidR="00CD6380" w:rsidRPr="003D749D">
        <w:rPr>
          <w:sz w:val="20"/>
        </w:rPr>
        <w:t xml:space="preserve">the value of the </w:t>
      </w:r>
      <w:r w:rsidRPr="003D749D">
        <w:rPr>
          <w:sz w:val="20"/>
        </w:rPr>
        <w:t>objective function)</w:t>
      </w:r>
      <w:r w:rsidR="00EC4217">
        <w:rPr>
          <w:sz w:val="20"/>
        </w:rPr>
        <w:t>.</w:t>
      </w:r>
      <w:r w:rsidR="51EA8519" w:rsidRPr="003D749D">
        <w:rPr>
          <w:sz w:val="20"/>
        </w:rPr>
        <w:t xml:space="preserve"> </w:t>
      </w:r>
      <w:r w:rsidR="00EC4217">
        <w:rPr>
          <w:sz w:val="20"/>
        </w:rPr>
        <w:t>This consists</w:t>
      </w:r>
      <w:r w:rsidR="51EA8519" w:rsidRPr="003D749D">
        <w:rPr>
          <w:sz w:val="20"/>
        </w:rPr>
        <w:t xml:space="preserve"> of investments, operational costs (fixed, variable and fuel costs)</w:t>
      </w:r>
      <w:r w:rsidR="00C31850" w:rsidRPr="003D749D">
        <w:rPr>
          <w:sz w:val="20"/>
        </w:rPr>
        <w:t>,</w:t>
      </w:r>
      <w:r w:rsidR="51EA8519" w:rsidRPr="003D749D">
        <w:rPr>
          <w:sz w:val="20"/>
        </w:rPr>
        <w:t xml:space="preserve"> and CO</w:t>
      </w:r>
      <w:r w:rsidR="51EA8519" w:rsidRPr="005859D9">
        <w:rPr>
          <w:sz w:val="20"/>
          <w:vertAlign w:val="subscript"/>
        </w:rPr>
        <w:t>2</w:t>
      </w:r>
      <w:r w:rsidR="51EA8519" w:rsidRPr="003D749D">
        <w:rPr>
          <w:sz w:val="20"/>
        </w:rPr>
        <w:t xml:space="preserve"> </w:t>
      </w:r>
      <w:r w:rsidR="3E1716A6" w:rsidRPr="003D749D">
        <w:rPr>
          <w:sz w:val="20"/>
        </w:rPr>
        <w:t>costs</w:t>
      </w:r>
      <w:r w:rsidR="00A24B01">
        <w:rPr>
          <w:sz w:val="20"/>
        </w:rPr>
        <w:t xml:space="preserve">. All costs are </w:t>
      </w:r>
      <w:r w:rsidR="003C4497">
        <w:rPr>
          <w:sz w:val="20"/>
        </w:rPr>
        <w:t xml:space="preserve">reported in 2020 </w:t>
      </w:r>
      <w:r w:rsidR="00472A04">
        <w:rPr>
          <w:sz w:val="20"/>
        </w:rPr>
        <w:t>e</w:t>
      </w:r>
      <w:r w:rsidR="00EE6FF1">
        <w:rPr>
          <w:sz w:val="20"/>
        </w:rPr>
        <w:t>uros (</w:t>
      </w:r>
      <w:r w:rsidR="003C4497">
        <w:rPr>
          <w:sz w:val="20"/>
        </w:rPr>
        <w:t>EUR</w:t>
      </w:r>
      <w:r w:rsidR="00EE6FF1">
        <w:rPr>
          <w:sz w:val="20"/>
        </w:rPr>
        <w:t>)</w:t>
      </w:r>
      <w:r w:rsidR="003C4497">
        <w:rPr>
          <w:sz w:val="20"/>
        </w:rPr>
        <w:t>.</w:t>
      </w:r>
    </w:p>
    <w:p w14:paraId="434499BE" w14:textId="4C896553" w:rsidR="00CC3960" w:rsidRPr="003D749D" w:rsidRDefault="4E895849" w:rsidP="0055203F">
      <w:pPr>
        <w:pStyle w:val="ListParagraph"/>
        <w:numPr>
          <w:ilvl w:val="0"/>
          <w:numId w:val="1"/>
        </w:numPr>
        <w:spacing w:line="276" w:lineRule="auto"/>
        <w:jc w:val="both"/>
        <w:rPr>
          <w:sz w:val="20"/>
        </w:rPr>
      </w:pPr>
      <w:r w:rsidRPr="003D749D">
        <w:rPr>
          <w:sz w:val="20"/>
        </w:rPr>
        <w:t>Total investment costs</w:t>
      </w:r>
      <w:r w:rsidR="00D15792" w:rsidRPr="003D749D">
        <w:rPr>
          <w:sz w:val="20"/>
        </w:rPr>
        <w:t xml:space="preserve">: Total capital expenditure </w:t>
      </w:r>
      <w:r w:rsidR="00D12C9E" w:rsidRPr="003D749D">
        <w:rPr>
          <w:sz w:val="20"/>
        </w:rPr>
        <w:t>for building new power plants</w:t>
      </w:r>
      <w:r w:rsidR="005000CF" w:rsidRPr="003D749D">
        <w:rPr>
          <w:sz w:val="20"/>
        </w:rPr>
        <w:t xml:space="preserve"> and interconnectors</w:t>
      </w:r>
      <w:r w:rsidR="00487282">
        <w:rPr>
          <w:sz w:val="20"/>
        </w:rPr>
        <w:t>, in 2020 EUR</w:t>
      </w:r>
      <w:r w:rsidR="00CE7B69">
        <w:rPr>
          <w:sz w:val="20"/>
        </w:rPr>
        <w:t>.</w:t>
      </w:r>
    </w:p>
    <w:p w14:paraId="6EFE171A" w14:textId="74680468" w:rsidR="00CC3960" w:rsidRPr="003D749D" w:rsidRDefault="518FB5C0" w:rsidP="0055203F">
      <w:pPr>
        <w:pStyle w:val="ListParagraph"/>
        <w:numPr>
          <w:ilvl w:val="0"/>
          <w:numId w:val="1"/>
        </w:numPr>
        <w:spacing w:line="276" w:lineRule="auto"/>
        <w:jc w:val="both"/>
        <w:rPr>
          <w:sz w:val="20"/>
        </w:rPr>
      </w:pPr>
      <w:r w:rsidRPr="003D749D">
        <w:rPr>
          <w:sz w:val="20"/>
        </w:rPr>
        <w:t>Average generation cost</w:t>
      </w:r>
      <w:r w:rsidR="00A1253B" w:rsidRPr="003D749D">
        <w:rPr>
          <w:sz w:val="20"/>
        </w:rPr>
        <w:t xml:space="preserve">: The average cost </w:t>
      </w:r>
      <w:r w:rsidR="005B3EA1" w:rsidRPr="003D749D">
        <w:rPr>
          <w:sz w:val="20"/>
        </w:rPr>
        <w:t>per unit of electricity generated</w:t>
      </w:r>
      <w:r w:rsidR="00487282">
        <w:rPr>
          <w:sz w:val="20"/>
        </w:rPr>
        <w:t>, in 2020 EUR</w:t>
      </w:r>
      <w:r w:rsidR="00CE7B69">
        <w:rPr>
          <w:sz w:val="20"/>
        </w:rPr>
        <w:t>.</w:t>
      </w:r>
    </w:p>
    <w:p w14:paraId="1C977DC9" w14:textId="363579B9" w:rsidR="00CC3960" w:rsidRDefault="00CC3960" w:rsidP="001214BA">
      <w:pPr>
        <w:pStyle w:val="Heading3"/>
        <w:numPr>
          <w:ilvl w:val="2"/>
          <w:numId w:val="41"/>
        </w:numPr>
      </w:pPr>
      <w:r>
        <w:t>Installed capacities and electricity generation by energy source</w:t>
      </w:r>
      <w:r w:rsidR="00A80A5E">
        <w:t xml:space="preserve"> in </w:t>
      </w:r>
      <w:proofErr w:type="gramStart"/>
      <w:r w:rsidR="00A80A5E">
        <w:t>Estonia</w:t>
      </w:r>
      <w:proofErr w:type="gramEnd"/>
    </w:p>
    <w:p w14:paraId="31A48CF3" w14:textId="445C8086" w:rsidR="00CC3960" w:rsidRDefault="00ED1B05" w:rsidP="0055203F">
      <w:pPr>
        <w:pStyle w:val="BodyText"/>
        <w:spacing w:line="276" w:lineRule="auto"/>
      </w:pPr>
      <w:r>
        <w:t>T</w:t>
      </w:r>
      <w:r w:rsidR="00CC3960">
        <w:t xml:space="preserve">he </w:t>
      </w:r>
      <w:r w:rsidR="00FB1EAF">
        <w:t xml:space="preserve">model results </w:t>
      </w:r>
      <w:r w:rsidR="00CC3960">
        <w:t xml:space="preserve">of annual installed capacities and electricity generation by energy source </w:t>
      </w:r>
      <w:r w:rsidR="00D00310">
        <w:t>are analy</w:t>
      </w:r>
      <w:r w:rsidR="002C5D3C">
        <w:t>s</w:t>
      </w:r>
      <w:r w:rsidR="00D00310">
        <w:t xml:space="preserve">ed </w:t>
      </w:r>
      <w:r w:rsidR="00CC3960">
        <w:t>for both scenarios</w:t>
      </w:r>
      <w:r w:rsidR="59B9A8A1">
        <w:t>.</w:t>
      </w:r>
      <w:r w:rsidR="0022273B" w:rsidRPr="0022273B">
        <w:t xml:space="preserve"> </w:t>
      </w:r>
    </w:p>
    <w:p w14:paraId="100A50C3" w14:textId="03B4D2E5" w:rsidR="00CC3960" w:rsidRPr="00CC3960" w:rsidRDefault="00CC3960" w:rsidP="00CC3960">
      <w:pPr>
        <w:pStyle w:val="BodyText"/>
      </w:pPr>
    </w:p>
    <w:p w14:paraId="278032F5" w14:textId="3398B09B" w:rsidR="0039483D" w:rsidRPr="00312177" w:rsidRDefault="00CC3960" w:rsidP="00DB484A">
      <w:pPr>
        <w:keepNext/>
        <w:keepLines/>
        <w:widowControl w:val="0"/>
        <w:spacing w:after="240" w:line="276" w:lineRule="auto"/>
        <w:jc w:val="both"/>
        <w:rPr>
          <w:sz w:val="20"/>
        </w:rPr>
      </w:pPr>
      <w:r>
        <w:rPr>
          <w:sz w:val="20"/>
        </w:rPr>
        <w:t xml:space="preserve">FIGURE </w:t>
      </w:r>
      <w:r w:rsidR="001427A8">
        <w:rPr>
          <w:sz w:val="20"/>
        </w:rPr>
        <w:t>1</w:t>
      </w:r>
      <w:r>
        <w:rPr>
          <w:sz w:val="20"/>
        </w:rPr>
        <w:t>.</w:t>
      </w:r>
      <w:r>
        <w:rPr>
          <w:sz w:val="20"/>
        </w:rPr>
        <w:tab/>
      </w:r>
      <w:r w:rsidR="00DB484A">
        <w:rPr>
          <w:sz w:val="20"/>
        </w:rPr>
        <w:t xml:space="preserve">PROJECTED </w:t>
      </w:r>
      <w:r>
        <w:rPr>
          <w:sz w:val="20"/>
        </w:rPr>
        <w:t>INSTALLED CAPACITIES BY ENERGY SOURCE</w:t>
      </w:r>
      <w:r w:rsidR="00A07104">
        <w:rPr>
          <w:sz w:val="20"/>
        </w:rPr>
        <w:t xml:space="preserve"> IN ESTONIA</w:t>
      </w:r>
      <w:r w:rsidR="00DB484A">
        <w:rPr>
          <w:sz w:val="20"/>
        </w:rPr>
        <w:t xml:space="preserve"> FOR </w:t>
      </w:r>
      <w:r w:rsidR="00EC4217">
        <w:rPr>
          <w:sz w:val="20"/>
        </w:rPr>
        <w:t xml:space="preserve">REFERENCE AND NUCLEAR </w:t>
      </w:r>
      <w:r w:rsidR="00DB484A">
        <w:rPr>
          <w:sz w:val="20"/>
        </w:rPr>
        <w:t>SCENARIOS</w:t>
      </w:r>
    </w:p>
    <w:p w14:paraId="07C68FC7" w14:textId="33AAC373" w:rsidR="00875422" w:rsidRDefault="008B6690" w:rsidP="00824836">
      <w:pPr>
        <w:pStyle w:val="BodyText"/>
        <w:ind w:firstLine="0"/>
        <w:jc w:val="center"/>
      </w:pPr>
      <w:r>
        <w:rPr>
          <w:noProof/>
        </w:rPr>
        <w:drawing>
          <wp:inline distT="0" distB="0" distL="0" distR="0" wp14:anchorId="47D53F02" wp14:editId="51E24D5A">
            <wp:extent cx="5717067" cy="1737360"/>
            <wp:effectExtent l="0" t="0" r="0" b="0"/>
            <wp:docPr id="1458303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4714" cy="1767034"/>
                    </a:xfrm>
                    <a:prstGeom prst="rect">
                      <a:avLst/>
                    </a:prstGeom>
                    <a:noFill/>
                  </pic:spPr>
                </pic:pic>
              </a:graphicData>
            </a:graphic>
          </wp:inline>
        </w:drawing>
      </w:r>
    </w:p>
    <w:p w14:paraId="2ECDD87A" w14:textId="77777777" w:rsidR="00875422" w:rsidRDefault="00875422" w:rsidP="00CC3960">
      <w:pPr>
        <w:pStyle w:val="BodyText"/>
        <w:ind w:firstLine="0"/>
      </w:pPr>
    </w:p>
    <w:p w14:paraId="753A393A" w14:textId="07C4FA39" w:rsidR="00875D21" w:rsidRPr="002C5D3C" w:rsidRDefault="00824836" w:rsidP="0055203F">
      <w:pPr>
        <w:pStyle w:val="BodyText"/>
        <w:spacing w:line="276" w:lineRule="auto"/>
      </w:pPr>
      <w:r w:rsidRPr="002C5D3C">
        <w:t xml:space="preserve">Figure 2 shows modelled electricity capacities in Estonia’s energy system by energy sources. </w:t>
      </w:r>
      <w:r w:rsidR="00EC4217">
        <w:t xml:space="preserve">In </w:t>
      </w:r>
      <w:r w:rsidRPr="002C5D3C">
        <w:t>both scenarios, the capacity of wind power increases</w:t>
      </w:r>
      <w:r w:rsidR="005724EF">
        <w:t xml:space="preserve">. </w:t>
      </w:r>
      <w:r>
        <w:t>Additional import capacity introduced from 2040 onwards accounts for</w:t>
      </w:r>
      <w:r w:rsidR="00EC4217">
        <w:t xml:space="preserve"> the </w:t>
      </w:r>
      <w:r>
        <w:t>required dispatchable capacity</w:t>
      </w:r>
      <w:r w:rsidR="00EC4217">
        <w:t>,</w:t>
      </w:r>
      <w:r>
        <w:t xml:space="preserve"> as peak load increases according to the increasing demand. </w:t>
      </w:r>
      <w:r w:rsidR="00F90666" w:rsidRPr="002C5D3C">
        <w:t xml:space="preserve">Beyond the government targets of building </w:t>
      </w:r>
      <w:r w:rsidR="005A4B3B" w:rsidRPr="002C5D3C">
        <w:t>2000 MW of wind</w:t>
      </w:r>
      <w:r w:rsidR="0072168E" w:rsidRPr="002C5D3C">
        <w:t xml:space="preserve"> power, </w:t>
      </w:r>
      <w:r w:rsidR="00EC4217">
        <w:t xml:space="preserve">an </w:t>
      </w:r>
      <w:r w:rsidR="00135C3D" w:rsidRPr="002C5D3C">
        <w:t>additional</w:t>
      </w:r>
      <w:r w:rsidR="00DE39FB" w:rsidRPr="002C5D3C">
        <w:t xml:space="preserve"> </w:t>
      </w:r>
      <w:r w:rsidR="006840D2" w:rsidRPr="002C5D3C">
        <w:t>3936</w:t>
      </w:r>
      <w:r w:rsidR="00B71F51" w:rsidRPr="002C5D3C">
        <w:t xml:space="preserve"> </w:t>
      </w:r>
      <w:r w:rsidR="00EC4217">
        <w:t xml:space="preserve">MW </w:t>
      </w:r>
      <w:r w:rsidR="00B71F51" w:rsidRPr="002C5D3C">
        <w:t xml:space="preserve">and </w:t>
      </w:r>
      <w:r w:rsidR="00CC3F46" w:rsidRPr="002C5D3C">
        <w:t>1995</w:t>
      </w:r>
      <w:r w:rsidR="00B71F51" w:rsidRPr="002C5D3C">
        <w:t xml:space="preserve"> MW of </w:t>
      </w:r>
      <w:r w:rsidR="00DE39FB" w:rsidRPr="002C5D3C">
        <w:t xml:space="preserve">wind capacity </w:t>
      </w:r>
      <w:r w:rsidR="00B71F51" w:rsidRPr="002C5D3C">
        <w:t>would be installed</w:t>
      </w:r>
      <w:r w:rsidR="00EC4217">
        <w:t xml:space="preserve"> </w:t>
      </w:r>
      <w:r w:rsidR="00DE39FB" w:rsidRPr="002C5D3C">
        <w:t>in the Reference and Nuclear scenarios</w:t>
      </w:r>
      <w:r w:rsidR="00EC4217">
        <w:t>,</w:t>
      </w:r>
      <w:r w:rsidR="00DE39FB" w:rsidRPr="002C5D3C">
        <w:t xml:space="preserve"> respectively. </w:t>
      </w:r>
      <w:r w:rsidR="00571ED8" w:rsidRPr="002C5D3C">
        <w:t xml:space="preserve">As existing oil shale </w:t>
      </w:r>
      <w:r w:rsidR="00131DAF" w:rsidRPr="002C5D3C">
        <w:t xml:space="preserve">units </w:t>
      </w:r>
      <w:r w:rsidR="00511572">
        <w:t>undergo decommissioning</w:t>
      </w:r>
      <w:r w:rsidR="00131DAF" w:rsidRPr="002C5D3C">
        <w:t>, natural gas units are constructed</w:t>
      </w:r>
      <w:r w:rsidR="00F61176" w:rsidRPr="002C5D3C">
        <w:t xml:space="preserve"> primarily </w:t>
      </w:r>
      <w:r w:rsidR="00CE2EA3" w:rsidRPr="002C5D3C">
        <w:t xml:space="preserve">to serve </w:t>
      </w:r>
      <w:r w:rsidR="00F61176" w:rsidRPr="002C5D3C">
        <w:t xml:space="preserve">as the backup option </w:t>
      </w:r>
      <w:r w:rsidR="00EC4217">
        <w:t>for</w:t>
      </w:r>
      <w:r w:rsidR="00AE0388">
        <w:t xml:space="preserve"> renewables </w:t>
      </w:r>
      <w:r w:rsidR="00F61176" w:rsidRPr="002C5D3C">
        <w:t>in the system</w:t>
      </w:r>
      <w:r w:rsidR="00AE0388">
        <w:t>,</w:t>
      </w:r>
      <w:r w:rsidR="009248FD">
        <w:t xml:space="preserve"> to fulfil the</w:t>
      </w:r>
      <w:r w:rsidR="006C34C7">
        <w:t xml:space="preserve"> </w:t>
      </w:r>
      <w:r w:rsidR="00F61176" w:rsidRPr="002C5D3C">
        <w:t>minimum system reserve</w:t>
      </w:r>
      <w:r w:rsidR="004E3443">
        <w:t xml:space="preserve"> constraint</w:t>
      </w:r>
      <w:r w:rsidR="00F61176" w:rsidRPr="002C5D3C">
        <w:t>.</w:t>
      </w:r>
      <w:r w:rsidR="005A0339" w:rsidRPr="002C5D3C">
        <w:t xml:space="preserve"> </w:t>
      </w:r>
      <w:r w:rsidR="00EC4217">
        <w:t>In</w:t>
      </w:r>
      <w:r w:rsidR="00A27052" w:rsidRPr="002C5D3C">
        <w:t xml:space="preserve"> </w:t>
      </w:r>
      <w:r w:rsidR="00C8355F">
        <w:t>the N</w:t>
      </w:r>
      <w:r w:rsidR="00A27052" w:rsidRPr="002C5D3C">
        <w:t xml:space="preserve">uclear scenario, </w:t>
      </w:r>
      <w:r w:rsidR="00E34D31">
        <w:t xml:space="preserve">the construction of </w:t>
      </w:r>
      <w:r w:rsidR="00400F29">
        <w:t>SMR</w:t>
      </w:r>
      <w:r w:rsidR="000F32B6">
        <w:t>s</w:t>
      </w:r>
      <w:r w:rsidR="00400F29">
        <w:t xml:space="preserve"> delays the need to add </w:t>
      </w:r>
      <w:r w:rsidR="004E3443">
        <w:t xml:space="preserve">these </w:t>
      </w:r>
      <w:r w:rsidR="00400F29">
        <w:t>gas</w:t>
      </w:r>
      <w:r w:rsidR="00E34D31">
        <w:t xml:space="preserve"> capacities</w:t>
      </w:r>
      <w:r w:rsidR="00A27052" w:rsidRPr="002C5D3C">
        <w:t xml:space="preserve">, </w:t>
      </w:r>
      <w:r w:rsidR="003210C5">
        <w:t xml:space="preserve">since nuclear </w:t>
      </w:r>
      <w:r w:rsidR="00400F29">
        <w:t>power</w:t>
      </w:r>
      <w:r w:rsidR="003210C5">
        <w:t xml:space="preserve"> </w:t>
      </w:r>
      <w:r w:rsidR="00EC4217">
        <w:t>can provide</w:t>
      </w:r>
      <w:r w:rsidR="003210C5">
        <w:t xml:space="preserve"> firm generation and contribute to the system reserve</w:t>
      </w:r>
      <w:r w:rsidR="005E49B9" w:rsidRPr="002C5D3C">
        <w:t xml:space="preserve">. </w:t>
      </w:r>
      <w:r w:rsidR="00B32936">
        <w:t>The b</w:t>
      </w:r>
      <w:r w:rsidR="005E49B9" w:rsidRPr="002C5D3C">
        <w:t>iomass option is deployed in both scenarios up to the maximum assumed availability.</w:t>
      </w:r>
      <w:r w:rsidR="005D6050" w:rsidRPr="002C5D3C">
        <w:t xml:space="preserve"> In both scenarios, solar PV </w:t>
      </w:r>
      <w:r w:rsidR="006E7175" w:rsidRPr="002C5D3C">
        <w:t>remains</w:t>
      </w:r>
      <w:r w:rsidR="005D6050" w:rsidRPr="002C5D3C">
        <w:t xml:space="preserve"> at </w:t>
      </w:r>
      <w:r w:rsidR="00FA02DB" w:rsidRPr="002C5D3C">
        <w:t>capacity as of 2024</w:t>
      </w:r>
      <w:r w:rsidR="00CE4661" w:rsidRPr="002C5D3C">
        <w:t xml:space="preserve"> (</w:t>
      </w:r>
      <w:r w:rsidR="008A0BBB" w:rsidRPr="002C5D3C">
        <w:t xml:space="preserve">812 </w:t>
      </w:r>
      <w:r w:rsidR="00CE4661" w:rsidRPr="002C5D3C">
        <w:t>MW)</w:t>
      </w:r>
      <w:r w:rsidR="00FA02DB" w:rsidRPr="002C5D3C">
        <w:t>, indicating that th</w:t>
      </w:r>
      <w:r w:rsidR="00CC058E" w:rsidRPr="002C5D3C">
        <w:t xml:space="preserve">is option is less economically attractive compared to wind power. </w:t>
      </w:r>
      <w:r w:rsidR="00725CAD" w:rsidRPr="002C5D3C">
        <w:t xml:space="preserve">Incentives such as feed-in tariffs and subsidies are not </w:t>
      </w:r>
      <w:r w:rsidR="00BF6308" w:rsidRPr="002C5D3C">
        <w:t>included in the m</w:t>
      </w:r>
      <w:r w:rsidR="00E8012D" w:rsidRPr="002C5D3C">
        <w:t>odelling of wind power and solar PV</w:t>
      </w:r>
      <w:r w:rsidR="008C0A8D" w:rsidRPr="002C5D3C">
        <w:t>.</w:t>
      </w:r>
    </w:p>
    <w:p w14:paraId="51B3688C" w14:textId="24E090C2" w:rsidR="004A4319" w:rsidRPr="002C5D3C" w:rsidRDefault="00E6677B" w:rsidP="0055203F">
      <w:pPr>
        <w:pStyle w:val="BodyText"/>
        <w:spacing w:line="276" w:lineRule="auto"/>
      </w:pPr>
      <w:r w:rsidRPr="002C5D3C">
        <w:t>The t</w:t>
      </w:r>
      <w:r w:rsidR="004A4319" w:rsidRPr="002C5D3C">
        <w:t xml:space="preserve">otal installed capacity at the end of the planning period in </w:t>
      </w:r>
      <w:proofErr w:type="gramStart"/>
      <w:r w:rsidR="000553A9">
        <w:t>N</w:t>
      </w:r>
      <w:r w:rsidR="000553A9" w:rsidRPr="002C5D3C">
        <w:t>uclear</w:t>
      </w:r>
      <w:proofErr w:type="gramEnd"/>
      <w:r w:rsidR="000553A9" w:rsidRPr="002C5D3C">
        <w:t xml:space="preserve"> </w:t>
      </w:r>
      <w:r w:rsidR="004A4319" w:rsidRPr="002C5D3C">
        <w:t xml:space="preserve">scenario is lower compared to the reference scenario by </w:t>
      </w:r>
      <w:r w:rsidR="00000594" w:rsidRPr="002C5D3C">
        <w:t>1697</w:t>
      </w:r>
      <w:r w:rsidR="004A4319" w:rsidRPr="002C5D3C">
        <w:t xml:space="preserve"> MW</w:t>
      </w:r>
      <w:r w:rsidR="006E0B3C" w:rsidRPr="002C5D3C">
        <w:t xml:space="preserve">, as nuclear </w:t>
      </w:r>
      <w:r w:rsidR="00B85117" w:rsidRPr="002C5D3C">
        <w:t>units</w:t>
      </w:r>
      <w:r w:rsidR="006E0B3C" w:rsidRPr="002C5D3C">
        <w:t xml:space="preserve"> </w:t>
      </w:r>
      <w:r w:rsidR="00B85117" w:rsidRPr="002C5D3C">
        <w:t xml:space="preserve">offer </w:t>
      </w:r>
      <w:r w:rsidR="00EC4217">
        <w:t xml:space="preserve">a </w:t>
      </w:r>
      <w:r w:rsidR="00B85117" w:rsidRPr="002C5D3C">
        <w:t xml:space="preserve">higher capacity factor than wind </w:t>
      </w:r>
      <w:r w:rsidR="00647695" w:rsidRPr="002C5D3C">
        <w:t>power</w:t>
      </w:r>
      <w:r w:rsidR="006E0B3C" w:rsidRPr="002C5D3C">
        <w:t>.</w:t>
      </w:r>
    </w:p>
    <w:p w14:paraId="36851636" w14:textId="3587D6AC" w:rsidR="001E4275" w:rsidRDefault="001E4275" w:rsidP="00CC3960">
      <w:pPr>
        <w:pStyle w:val="BodyText"/>
        <w:ind w:firstLine="0"/>
      </w:pPr>
    </w:p>
    <w:p w14:paraId="34A642BD" w14:textId="3A6008A7" w:rsidR="001E4275" w:rsidRDefault="001E4275" w:rsidP="00CC3960">
      <w:pPr>
        <w:pStyle w:val="BodyText"/>
        <w:ind w:firstLine="0"/>
      </w:pPr>
      <w:r>
        <w:t xml:space="preserve">FIGURE </w:t>
      </w:r>
      <w:r w:rsidR="001427A8">
        <w:t>2</w:t>
      </w:r>
      <w:r>
        <w:t>.</w:t>
      </w:r>
      <w:r>
        <w:tab/>
        <w:t>ELECTRICITY GENERATION BY ENERGY SOURCE</w:t>
      </w:r>
      <w:r w:rsidR="009A24AA">
        <w:t xml:space="preserve"> IN ESTONIA</w:t>
      </w:r>
      <w:r w:rsidR="00EC4217">
        <w:t xml:space="preserve"> FOR REFERENCE AND NUCLEAR SCENARIOS</w:t>
      </w:r>
    </w:p>
    <w:p w14:paraId="1F3A0AD3" w14:textId="77777777" w:rsidR="00A848BA" w:rsidRDefault="00A848BA" w:rsidP="00CC3960">
      <w:pPr>
        <w:pStyle w:val="BodyText"/>
        <w:ind w:firstLine="0"/>
        <w:rPr>
          <w:noProof/>
        </w:rPr>
      </w:pPr>
    </w:p>
    <w:p w14:paraId="6CAF03D6" w14:textId="5C31CBA2" w:rsidR="00247334" w:rsidRDefault="00BD6080" w:rsidP="00824836">
      <w:pPr>
        <w:pStyle w:val="BodyText"/>
        <w:ind w:firstLine="0"/>
        <w:jc w:val="center"/>
      </w:pPr>
      <w:r>
        <w:rPr>
          <w:noProof/>
        </w:rPr>
        <w:drawing>
          <wp:inline distT="0" distB="0" distL="0" distR="0" wp14:anchorId="4599A0E3" wp14:editId="2FD4F51C">
            <wp:extent cx="5697940" cy="1948868"/>
            <wp:effectExtent l="0" t="0" r="0" b="0"/>
            <wp:docPr id="187830463" name="Picture 187830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25555" cy="1992516"/>
                    </a:xfrm>
                    <a:prstGeom prst="rect">
                      <a:avLst/>
                    </a:prstGeom>
                    <a:noFill/>
                  </pic:spPr>
                </pic:pic>
              </a:graphicData>
            </a:graphic>
          </wp:inline>
        </w:drawing>
      </w:r>
    </w:p>
    <w:p w14:paraId="623188D3" w14:textId="77777777" w:rsidR="00A848BA" w:rsidRDefault="00A848BA" w:rsidP="00CC3960">
      <w:pPr>
        <w:pStyle w:val="BodyText"/>
        <w:ind w:firstLine="0"/>
      </w:pPr>
    </w:p>
    <w:p w14:paraId="60037617" w14:textId="032E3A1D" w:rsidR="00157DB9" w:rsidRPr="002C5D3C" w:rsidRDefault="00E8415C" w:rsidP="0055203F">
      <w:pPr>
        <w:pStyle w:val="BodyText"/>
        <w:spacing w:line="276" w:lineRule="auto"/>
      </w:pPr>
      <w:r w:rsidRPr="002C5D3C">
        <w:t xml:space="preserve">Figure </w:t>
      </w:r>
      <w:r w:rsidR="00C91EF3" w:rsidRPr="002C5D3C">
        <w:t>3</w:t>
      </w:r>
      <w:r w:rsidRPr="002C5D3C">
        <w:t xml:space="preserve"> shows</w:t>
      </w:r>
      <w:r w:rsidR="00566209" w:rsidRPr="002C5D3C">
        <w:t xml:space="preserve"> electricity generation in Estonia by energy source.</w:t>
      </w:r>
      <w:r w:rsidRPr="002C5D3C">
        <w:t xml:space="preserve"> </w:t>
      </w:r>
      <w:r w:rsidR="00432DEE" w:rsidRPr="002C5D3C">
        <w:t xml:space="preserve">Total electricity generation increases </w:t>
      </w:r>
      <w:r w:rsidR="00586E49">
        <w:t>in accordance with the</w:t>
      </w:r>
      <w:r w:rsidR="00C155DC" w:rsidRPr="002C5D3C">
        <w:t xml:space="preserve"> </w:t>
      </w:r>
      <w:r w:rsidR="00BD5D6F" w:rsidRPr="002C5D3C">
        <w:t>rising</w:t>
      </w:r>
      <w:r w:rsidRPr="002C5D3C">
        <w:t xml:space="preserve"> </w:t>
      </w:r>
      <w:r w:rsidR="00C155DC" w:rsidRPr="002C5D3C">
        <w:t>energy demand</w:t>
      </w:r>
      <w:r w:rsidR="00641BAC" w:rsidRPr="002C5D3C">
        <w:t xml:space="preserve">. </w:t>
      </w:r>
      <w:r w:rsidR="004E5BD4" w:rsidRPr="002C5D3C">
        <w:t>Specifically</w:t>
      </w:r>
      <w:r w:rsidR="00157DB9" w:rsidRPr="002C5D3C">
        <w:t xml:space="preserve">, wind generation </w:t>
      </w:r>
      <w:r w:rsidR="007E0F06" w:rsidRPr="002C5D3C">
        <w:t>in both scenarios increase</w:t>
      </w:r>
      <w:r w:rsidR="006912D5" w:rsidRPr="002C5D3C">
        <w:t>s</w:t>
      </w:r>
      <w:r w:rsidR="007E0F06" w:rsidRPr="002C5D3C">
        <w:t xml:space="preserve"> significantly</w:t>
      </w:r>
      <w:r w:rsidR="006912D5" w:rsidRPr="002C5D3C">
        <w:t>:</w:t>
      </w:r>
      <w:r w:rsidR="00B74821" w:rsidRPr="002C5D3C">
        <w:t xml:space="preserve"> </w:t>
      </w:r>
      <w:r w:rsidR="001D7862" w:rsidRPr="002C5D3C">
        <w:t xml:space="preserve">by 2050, wind generation in the Reference scenario reaches 13773 GWh, accounting for 71% of total generation, whereas in the Nuclear </w:t>
      </w:r>
      <w:r w:rsidR="00016240">
        <w:t>s</w:t>
      </w:r>
      <w:r w:rsidR="001D7862" w:rsidRPr="002C5D3C">
        <w:t>cenario, it reaches 9501 GWh, representing 49% of total generation</w:t>
      </w:r>
      <w:r w:rsidR="007E0F06" w:rsidRPr="002C5D3C">
        <w:t>.</w:t>
      </w:r>
      <w:r w:rsidR="00AD502F" w:rsidRPr="002C5D3C">
        <w:t xml:space="preserve"> </w:t>
      </w:r>
      <w:r w:rsidR="00FB7664" w:rsidRPr="002C5D3C">
        <w:t xml:space="preserve">Relative to the Reference scenario, </w:t>
      </w:r>
      <w:r w:rsidR="00820790" w:rsidRPr="002C5D3C">
        <w:t xml:space="preserve">the </w:t>
      </w:r>
      <w:proofErr w:type="gramStart"/>
      <w:r w:rsidR="00820790" w:rsidRPr="002C5D3C">
        <w:t>Nuclear</w:t>
      </w:r>
      <w:proofErr w:type="gramEnd"/>
      <w:r w:rsidR="00820790" w:rsidRPr="002C5D3C">
        <w:t xml:space="preserve"> </w:t>
      </w:r>
      <w:r w:rsidR="00016240">
        <w:t>s</w:t>
      </w:r>
      <w:r w:rsidR="00820790" w:rsidRPr="002C5D3C">
        <w:t>cenario</w:t>
      </w:r>
      <w:r w:rsidR="00FB7664" w:rsidRPr="002C5D3C">
        <w:t xml:space="preserve"> has </w:t>
      </w:r>
      <w:r w:rsidR="00A86F4B" w:rsidRPr="002C5D3C">
        <w:t xml:space="preserve">a lower </w:t>
      </w:r>
      <w:r w:rsidR="008B6CE0" w:rsidRPr="002C5D3C">
        <w:t>share of wind production</w:t>
      </w:r>
      <w:r w:rsidR="0023396D" w:rsidRPr="002C5D3C">
        <w:t xml:space="preserve"> due to the introduction of </w:t>
      </w:r>
      <w:r w:rsidR="00CD129E" w:rsidRPr="002C5D3C">
        <w:t>SMR units from 2035 onwards.</w:t>
      </w:r>
      <w:r w:rsidR="00E71FF2" w:rsidRPr="002C5D3C">
        <w:t xml:space="preserve"> By 2035, nuclear power </w:t>
      </w:r>
      <w:r w:rsidR="0021346A" w:rsidRPr="002C5D3C">
        <w:t>constitutes</w:t>
      </w:r>
      <w:r w:rsidR="00E71FF2" w:rsidRPr="002C5D3C">
        <w:t xml:space="preserve"> </w:t>
      </w:r>
      <w:r w:rsidR="006B617C" w:rsidRPr="002C5D3C">
        <w:t>23</w:t>
      </w:r>
      <w:r w:rsidR="00E71FF2" w:rsidRPr="002C5D3C">
        <w:t xml:space="preserve">% of total electricity production in the </w:t>
      </w:r>
      <w:proofErr w:type="gramStart"/>
      <w:r w:rsidR="00E71FF2" w:rsidRPr="002C5D3C">
        <w:t>Nuclear</w:t>
      </w:r>
      <w:proofErr w:type="gramEnd"/>
      <w:r w:rsidR="00E71FF2" w:rsidRPr="002C5D3C">
        <w:t xml:space="preserve"> </w:t>
      </w:r>
      <w:r w:rsidR="00177EE7">
        <w:t>s</w:t>
      </w:r>
      <w:r w:rsidR="00E71FF2" w:rsidRPr="002C5D3C">
        <w:t>cenario.</w:t>
      </w:r>
      <w:r w:rsidR="00885C72">
        <w:t xml:space="preserve"> In both scenarios, </w:t>
      </w:r>
      <w:r w:rsidR="00A03486">
        <w:t>total</w:t>
      </w:r>
      <w:r w:rsidR="00885C72">
        <w:t xml:space="preserve"> generation from</w:t>
      </w:r>
      <w:r w:rsidR="00A03486">
        <w:t xml:space="preserve"> </w:t>
      </w:r>
      <w:r w:rsidR="00885C72">
        <w:t xml:space="preserve">gas is </w:t>
      </w:r>
      <w:r w:rsidR="00AB6CCA">
        <w:t xml:space="preserve">close to </w:t>
      </w:r>
      <w:r w:rsidR="00A03486">
        <w:t>zero</w:t>
      </w:r>
      <w:r w:rsidR="00912F89">
        <w:t xml:space="preserve"> </w:t>
      </w:r>
      <w:r w:rsidR="004E2A94">
        <w:t>in 2050</w:t>
      </w:r>
      <w:r w:rsidR="00C40557">
        <w:t xml:space="preserve"> despite the construction of gas capacities</w:t>
      </w:r>
      <w:r w:rsidR="004645AC">
        <w:t xml:space="preserve">. </w:t>
      </w:r>
      <w:r w:rsidR="007D36D8">
        <w:t xml:space="preserve">This is because gas capacities are </w:t>
      </w:r>
      <w:r w:rsidR="00811B38">
        <w:t xml:space="preserve">constructed for </w:t>
      </w:r>
      <w:r w:rsidR="007D36D8">
        <w:t>meet</w:t>
      </w:r>
      <w:r w:rsidR="00811B38">
        <w:t>ing</w:t>
      </w:r>
      <w:r w:rsidR="007D36D8">
        <w:t xml:space="preserve"> reserve margin requirements</w:t>
      </w:r>
      <w:r w:rsidR="006950C1">
        <w:t>.</w:t>
      </w:r>
      <w:r w:rsidR="00841DBA">
        <w:t xml:space="preserve"> </w:t>
      </w:r>
      <w:r w:rsidR="00CA7D04">
        <w:t>Gas plants</w:t>
      </w:r>
      <w:r w:rsidR="00635665">
        <w:t xml:space="preserve"> </w:t>
      </w:r>
      <w:r w:rsidR="00BB7997">
        <w:t xml:space="preserve">only produce during </w:t>
      </w:r>
      <w:r w:rsidR="00CC5940">
        <w:t xml:space="preserve">periods of very high </w:t>
      </w:r>
      <w:proofErr w:type="gramStart"/>
      <w:r w:rsidR="00CC5940">
        <w:t>demand, since</w:t>
      </w:r>
      <w:proofErr w:type="gramEnd"/>
      <w:r w:rsidR="00CC5940">
        <w:t xml:space="preserve"> they are </w:t>
      </w:r>
      <w:r w:rsidR="006E5308">
        <w:t>the last</w:t>
      </w:r>
      <w:r w:rsidR="00101415">
        <w:t xml:space="preserve"> </w:t>
      </w:r>
      <w:r w:rsidR="006E5308">
        <w:t>in</w:t>
      </w:r>
      <w:r w:rsidR="00101415">
        <w:t xml:space="preserve"> the merit order due to higher </w:t>
      </w:r>
      <w:r w:rsidR="00A60CBF" w:rsidRPr="00A60CBF">
        <w:t>Variable Operations and Maintenance (VOM)</w:t>
      </w:r>
      <w:r w:rsidR="00101415">
        <w:t xml:space="preserve"> and fuel </w:t>
      </w:r>
      <w:r w:rsidR="00570BF8">
        <w:t>cost</w:t>
      </w:r>
      <w:r w:rsidR="00101415">
        <w:t xml:space="preserve">s </w:t>
      </w:r>
      <w:r w:rsidR="00F032FD">
        <w:t>(EUR 0.17/kWh</w:t>
      </w:r>
      <w:r w:rsidR="003D5739">
        <w:t xml:space="preserve"> in 2050</w:t>
      </w:r>
      <w:r w:rsidR="00F032FD">
        <w:t>)</w:t>
      </w:r>
      <w:r w:rsidR="006D4CE1">
        <w:t xml:space="preserve"> </w:t>
      </w:r>
      <w:r w:rsidR="00101415">
        <w:t xml:space="preserve">compared to </w:t>
      </w:r>
      <w:r w:rsidR="007C7DA1">
        <w:t>wind</w:t>
      </w:r>
      <w:r w:rsidR="003E44F0">
        <w:t>.</w:t>
      </w:r>
    </w:p>
    <w:p w14:paraId="7D9D5710" w14:textId="0AB4DF48" w:rsidR="0070654F" w:rsidRPr="002C5D3C" w:rsidRDefault="005F3D58" w:rsidP="0055203F">
      <w:pPr>
        <w:pStyle w:val="BodyText"/>
        <w:spacing w:line="276" w:lineRule="auto"/>
      </w:pPr>
      <w:r w:rsidRPr="002C5D3C">
        <w:t xml:space="preserve">Despite the </w:t>
      </w:r>
      <w:r w:rsidR="0021346A" w:rsidRPr="002C5D3C">
        <w:t xml:space="preserve">presence </w:t>
      </w:r>
      <w:r w:rsidRPr="002C5D3C">
        <w:t>of oil shale capacity until 204</w:t>
      </w:r>
      <w:r w:rsidR="00464618" w:rsidRPr="002C5D3C">
        <w:t>4</w:t>
      </w:r>
      <w:r w:rsidRPr="002C5D3C">
        <w:t xml:space="preserve">, </w:t>
      </w:r>
      <w:r w:rsidR="0070654F" w:rsidRPr="002C5D3C">
        <w:t xml:space="preserve">electricity production from oil shale plants </w:t>
      </w:r>
      <w:r w:rsidR="0042533E" w:rsidRPr="002C5D3C">
        <w:t>falls significantly</w:t>
      </w:r>
      <w:r w:rsidR="0021346A" w:rsidRPr="002C5D3C">
        <w:t xml:space="preserve"> </w:t>
      </w:r>
      <w:r w:rsidR="0042533E" w:rsidRPr="002C5D3C">
        <w:t>from 2035 onwards</w:t>
      </w:r>
      <w:r w:rsidR="0070654F" w:rsidRPr="002C5D3C">
        <w:t>. This is mainly due to the imposition of a CO</w:t>
      </w:r>
      <w:r w:rsidR="0070654F" w:rsidRPr="005859D9">
        <w:rPr>
          <w:vertAlign w:val="subscript"/>
        </w:rPr>
        <w:t>2</w:t>
      </w:r>
      <w:r w:rsidR="0070654F" w:rsidRPr="002C5D3C">
        <w:t xml:space="preserve"> price</w:t>
      </w:r>
      <w:r w:rsidR="00954A73" w:rsidRPr="002C5D3C">
        <w:t xml:space="preserve">, which makes </w:t>
      </w:r>
      <w:r w:rsidR="0073232B" w:rsidRPr="002C5D3C">
        <w:t xml:space="preserve">production from oil shale </w:t>
      </w:r>
      <w:r w:rsidR="00F97365" w:rsidRPr="002C5D3C">
        <w:t xml:space="preserve">plants </w:t>
      </w:r>
      <w:r w:rsidR="009C6C71" w:rsidRPr="002C5D3C">
        <w:t>economically unviable</w:t>
      </w:r>
      <w:r w:rsidR="0073232B" w:rsidRPr="002C5D3C">
        <w:t xml:space="preserve">. </w:t>
      </w:r>
    </w:p>
    <w:p w14:paraId="686AF379" w14:textId="12773BA8" w:rsidR="001E4275" w:rsidRDefault="00C35E5E" w:rsidP="0055203F">
      <w:pPr>
        <w:pStyle w:val="BodyText"/>
        <w:spacing w:line="276" w:lineRule="auto"/>
        <w:ind w:firstLine="0"/>
      </w:pPr>
      <w:r w:rsidRPr="002C5D3C">
        <w:tab/>
      </w:r>
      <w:r w:rsidR="00800AB7" w:rsidRPr="002C5D3C">
        <w:t>In the base year, Estonia is a net importer of electricity</w:t>
      </w:r>
      <w:r w:rsidR="0068245C" w:rsidRPr="002C5D3C">
        <w:t xml:space="preserve">, </w:t>
      </w:r>
      <w:r w:rsidR="00E71FF2" w:rsidRPr="002C5D3C">
        <w:t xml:space="preserve">where </w:t>
      </w:r>
      <w:r w:rsidR="00792784" w:rsidRPr="002C5D3C">
        <w:t>54</w:t>
      </w:r>
      <w:r w:rsidR="00D13127" w:rsidRPr="002C5D3C">
        <w:t xml:space="preserve">% of its </w:t>
      </w:r>
      <w:r w:rsidR="00046A88" w:rsidRPr="002C5D3C">
        <w:t xml:space="preserve">total </w:t>
      </w:r>
      <w:r w:rsidR="00715FA4" w:rsidRPr="002C5D3C">
        <w:t>use</w:t>
      </w:r>
      <w:r w:rsidR="00273D80" w:rsidRPr="002C5D3C">
        <w:rPr>
          <w:lang w:val="en-US"/>
        </w:rPr>
        <w:t xml:space="preserve"> demand</w:t>
      </w:r>
      <w:r w:rsidR="00E71FF2" w:rsidRPr="002C5D3C">
        <w:rPr>
          <w:lang w:val="en-US"/>
        </w:rPr>
        <w:t xml:space="preserve"> comes from </w:t>
      </w:r>
      <w:r w:rsidR="00CC45C9" w:rsidRPr="002C5D3C">
        <w:rPr>
          <w:lang w:val="en-US"/>
        </w:rPr>
        <w:t>neighboring</w:t>
      </w:r>
      <w:r w:rsidR="00E71FF2" w:rsidRPr="002C5D3C">
        <w:rPr>
          <w:lang w:val="en-US"/>
        </w:rPr>
        <w:t xml:space="preserve"> countries</w:t>
      </w:r>
      <w:r w:rsidR="00046A88" w:rsidRPr="002C5D3C">
        <w:t>.</w:t>
      </w:r>
      <w:r w:rsidR="00273D80" w:rsidRPr="002C5D3C">
        <w:t xml:space="preserve"> </w:t>
      </w:r>
      <w:r w:rsidR="00E71FF2" w:rsidRPr="002C5D3C">
        <w:t xml:space="preserve">With </w:t>
      </w:r>
      <w:r w:rsidR="00213683" w:rsidRPr="002C5D3C">
        <w:t xml:space="preserve">the expansion of wind power </w:t>
      </w:r>
      <w:r w:rsidR="00920E20" w:rsidRPr="002C5D3C">
        <w:t>and the export of surplus wind</w:t>
      </w:r>
      <w:r w:rsidR="007B4C7A" w:rsidRPr="002C5D3C">
        <w:t>-generated electricity</w:t>
      </w:r>
      <w:r w:rsidR="00256B3E">
        <w:t xml:space="preserve"> in both scenarios</w:t>
      </w:r>
      <w:r w:rsidR="00213683" w:rsidRPr="002C5D3C">
        <w:t xml:space="preserve">, Estonia </w:t>
      </w:r>
      <w:r w:rsidR="00274E2D" w:rsidRPr="002C5D3C">
        <w:t xml:space="preserve">is </w:t>
      </w:r>
      <w:r w:rsidR="00920E20" w:rsidRPr="002C5D3C">
        <w:t xml:space="preserve">expected to </w:t>
      </w:r>
      <w:r w:rsidR="0034618A" w:rsidRPr="002C5D3C">
        <w:t xml:space="preserve">become </w:t>
      </w:r>
      <w:r w:rsidR="008B73E7" w:rsidRPr="002C5D3C">
        <w:t xml:space="preserve">a </w:t>
      </w:r>
      <w:r w:rsidR="0034618A" w:rsidRPr="002C5D3C">
        <w:t>net exporter of electricity around 204</w:t>
      </w:r>
      <w:r w:rsidR="00157DB9" w:rsidRPr="002C5D3C">
        <w:t>0</w:t>
      </w:r>
      <w:r w:rsidR="00460E69">
        <w:t xml:space="preserve"> in both </w:t>
      </w:r>
      <w:r w:rsidR="00A60CBF">
        <w:t xml:space="preserve">Reference and Nuclear </w:t>
      </w:r>
      <w:r w:rsidR="00460E69">
        <w:t>scenarios</w:t>
      </w:r>
      <w:r w:rsidR="0034618A" w:rsidRPr="002C5D3C">
        <w:t xml:space="preserve">. </w:t>
      </w:r>
      <w:r w:rsidR="00E56FD9" w:rsidRPr="002C5D3C">
        <w:t>This</w:t>
      </w:r>
      <w:r w:rsidR="00A33D89" w:rsidRPr="002C5D3C">
        <w:t xml:space="preserve"> shift</w:t>
      </w:r>
      <w:r w:rsidR="00E56FD9" w:rsidRPr="002C5D3C">
        <w:t xml:space="preserve"> </w:t>
      </w:r>
      <w:r w:rsidR="00CD286C" w:rsidRPr="002C5D3C">
        <w:t xml:space="preserve">occurs as the </w:t>
      </w:r>
      <w:r w:rsidR="00E87840" w:rsidRPr="002C5D3C">
        <w:t>cost</w:t>
      </w:r>
      <w:r w:rsidR="00CD286C" w:rsidRPr="002C5D3C">
        <w:t xml:space="preserve"> of </w:t>
      </w:r>
      <w:r w:rsidR="0077401F" w:rsidRPr="002C5D3C">
        <w:t xml:space="preserve">wind-generated </w:t>
      </w:r>
      <w:r w:rsidR="00CD286C" w:rsidRPr="002C5D3C">
        <w:t>electricity</w:t>
      </w:r>
      <w:r w:rsidR="0024371B" w:rsidRPr="002C5D3C">
        <w:t xml:space="preserve"> in</w:t>
      </w:r>
      <w:r w:rsidR="00CD286C" w:rsidRPr="002C5D3C">
        <w:t xml:space="preserve"> Estonia is lower </w:t>
      </w:r>
      <w:r w:rsidR="004B6E7E" w:rsidRPr="002C5D3C">
        <w:t xml:space="preserve">than the assumed electricity </w:t>
      </w:r>
      <w:r w:rsidR="00C95A3A" w:rsidRPr="002C5D3C">
        <w:t xml:space="preserve">prices </w:t>
      </w:r>
      <w:r w:rsidR="00A66CD1" w:rsidRPr="002C5D3C">
        <w:t>in</w:t>
      </w:r>
      <w:r w:rsidR="004B6E7E" w:rsidRPr="002C5D3C">
        <w:t xml:space="preserve"> markets </w:t>
      </w:r>
      <w:r w:rsidR="00E54870" w:rsidRPr="002C5D3C">
        <w:t xml:space="preserve">connected to </w:t>
      </w:r>
      <w:r w:rsidR="004B6E7E" w:rsidRPr="002C5D3C">
        <w:t xml:space="preserve">Estonia. </w:t>
      </w:r>
      <w:r w:rsidR="00FE42E4" w:rsidRPr="002C5D3C">
        <w:t>T</w:t>
      </w:r>
      <w:r w:rsidR="0034618A" w:rsidRPr="002C5D3C">
        <w:t>he price</w:t>
      </w:r>
      <w:r w:rsidR="004A0DE4" w:rsidRPr="002C5D3C">
        <w:t>s</w:t>
      </w:r>
      <w:r w:rsidR="0034618A" w:rsidRPr="002C5D3C">
        <w:t xml:space="preserve"> of electricity </w:t>
      </w:r>
      <w:r w:rsidR="00FE42E4" w:rsidRPr="002C5D3C">
        <w:t xml:space="preserve">of </w:t>
      </w:r>
      <w:r w:rsidR="004A0DE4" w:rsidRPr="002C5D3C">
        <w:t xml:space="preserve">connected markets </w:t>
      </w:r>
      <w:r w:rsidR="00C95A3A" w:rsidRPr="002C5D3C">
        <w:t>are</w:t>
      </w:r>
      <w:r w:rsidR="00FE42E4" w:rsidRPr="002C5D3C">
        <w:t xml:space="preserve"> exogenously </w:t>
      </w:r>
      <w:r w:rsidR="005168BF" w:rsidRPr="002C5D3C">
        <w:t>defined in the model</w:t>
      </w:r>
      <w:r w:rsidR="004C103E" w:rsidRPr="002C5D3C">
        <w:t>.</w:t>
      </w:r>
      <w:r w:rsidR="0034618A" w:rsidRPr="002C5D3C">
        <w:t xml:space="preserve"> </w:t>
      </w:r>
    </w:p>
    <w:p w14:paraId="601BA045" w14:textId="77777777" w:rsidR="000F0BB3" w:rsidRDefault="000F0BB3" w:rsidP="0055203F">
      <w:pPr>
        <w:pStyle w:val="BodyText"/>
        <w:spacing w:line="276" w:lineRule="auto"/>
        <w:ind w:firstLine="0"/>
      </w:pPr>
    </w:p>
    <w:p w14:paraId="5DEA421A" w14:textId="77777777" w:rsidR="003E44F0" w:rsidRDefault="003E44F0" w:rsidP="0055203F">
      <w:pPr>
        <w:pStyle w:val="BodyText"/>
        <w:spacing w:line="276" w:lineRule="auto"/>
        <w:ind w:firstLine="0"/>
      </w:pPr>
    </w:p>
    <w:p w14:paraId="5AE9CEC9" w14:textId="77777777" w:rsidR="003E44F0" w:rsidRDefault="003E44F0" w:rsidP="0055203F">
      <w:pPr>
        <w:pStyle w:val="BodyText"/>
        <w:spacing w:line="276" w:lineRule="auto"/>
        <w:ind w:firstLine="0"/>
      </w:pPr>
    </w:p>
    <w:p w14:paraId="0B4E1F14" w14:textId="77777777" w:rsidR="003E44F0" w:rsidRPr="002C5D3C" w:rsidRDefault="003E44F0" w:rsidP="0055203F">
      <w:pPr>
        <w:pStyle w:val="BodyText"/>
        <w:spacing w:line="276" w:lineRule="auto"/>
        <w:ind w:firstLine="0"/>
      </w:pPr>
    </w:p>
    <w:p w14:paraId="35EDBA5E" w14:textId="4A43DBA5" w:rsidR="0034618A" w:rsidRDefault="00966BAC" w:rsidP="0034618A">
      <w:pPr>
        <w:pStyle w:val="Heading3"/>
      </w:pPr>
      <w:r w:rsidRPr="14CB615A">
        <w:t>Total discounted costs</w:t>
      </w:r>
      <w:r w:rsidDel="00966BAC">
        <w:t xml:space="preserve"> </w:t>
      </w:r>
    </w:p>
    <w:p w14:paraId="45A9BCFF" w14:textId="7FBB2675" w:rsidR="006E5B0C" w:rsidRDefault="00E361BC" w:rsidP="00124B1A">
      <w:pPr>
        <w:pStyle w:val="BodyText"/>
      </w:pPr>
      <w:r>
        <w:t>The objective of the model is to minimise the ove</w:t>
      </w:r>
      <w:r w:rsidR="00007431">
        <w:t>rall system cost</w:t>
      </w:r>
      <w:r w:rsidR="00666724">
        <w:t xml:space="preserve"> over the planning horizon</w:t>
      </w:r>
      <w:r w:rsidR="00CF4D89">
        <w:t xml:space="preserve"> </w:t>
      </w:r>
      <w:r w:rsidR="00E6737E">
        <w:t>(</w:t>
      </w:r>
      <w:r w:rsidR="000971AF" w:rsidRPr="0055203F">
        <w:t>investment</w:t>
      </w:r>
      <w:r w:rsidR="00ED036F" w:rsidRPr="0055203F">
        <w:t>, fixed and variable costs, fuel costs, CO</w:t>
      </w:r>
      <w:r w:rsidR="00ED036F" w:rsidRPr="005859D9">
        <w:rPr>
          <w:vertAlign w:val="subscript"/>
        </w:rPr>
        <w:t>2</w:t>
      </w:r>
      <w:r w:rsidR="00ED036F" w:rsidRPr="0055203F">
        <w:t xml:space="preserve"> costs, import costs and export revenues</w:t>
      </w:r>
      <w:r w:rsidR="008B56F3">
        <w:t>)</w:t>
      </w:r>
      <w:r w:rsidR="00CF4D89">
        <w:t xml:space="preserve">. </w:t>
      </w:r>
      <w:r w:rsidR="00AC34D7">
        <w:t xml:space="preserve">The </w:t>
      </w:r>
      <w:r w:rsidR="00707253">
        <w:t>resulting</w:t>
      </w:r>
      <w:r w:rsidR="00AC34D7">
        <w:t xml:space="preserve"> system </w:t>
      </w:r>
      <w:r w:rsidR="00C30ABE">
        <w:t>achieves the</w:t>
      </w:r>
      <w:r w:rsidR="006643F2">
        <w:t xml:space="preserve"> </w:t>
      </w:r>
      <w:r w:rsidR="004C0C39" w:rsidRPr="0055203F">
        <w:t xml:space="preserve">lowest </w:t>
      </w:r>
      <w:r w:rsidR="002B2A8D">
        <w:t>possible</w:t>
      </w:r>
      <w:r w:rsidR="004C0C39" w:rsidRPr="0055203F">
        <w:t xml:space="preserve"> cost </w:t>
      </w:r>
      <w:r w:rsidR="009742A2">
        <w:t xml:space="preserve">within </w:t>
      </w:r>
      <w:r w:rsidR="00176553" w:rsidRPr="0055203F">
        <w:t>a set of defined constraints</w:t>
      </w:r>
      <w:r w:rsidR="00EB06A9">
        <w:t>.</w:t>
      </w:r>
      <w:r w:rsidR="001832C7">
        <w:t xml:space="preserve"> </w:t>
      </w:r>
      <w:r w:rsidR="00DA5E22">
        <w:t xml:space="preserve">By </w:t>
      </w:r>
      <w:r w:rsidR="00856D04">
        <w:t xml:space="preserve">building </w:t>
      </w:r>
      <w:r w:rsidR="00EB06A9">
        <w:t>these</w:t>
      </w:r>
      <w:r w:rsidR="00790732">
        <w:t xml:space="preserve"> SMRs</w:t>
      </w:r>
      <w:r w:rsidR="00856D04">
        <w:t xml:space="preserve">, the overall system cost is </w:t>
      </w:r>
      <w:r w:rsidR="000741DC">
        <w:t xml:space="preserve">marginally higher </w:t>
      </w:r>
      <w:r w:rsidR="002E3B47">
        <w:t>(</w:t>
      </w:r>
      <w:r w:rsidR="00CE42EF">
        <w:t>by 2.7%</w:t>
      </w:r>
      <w:r w:rsidR="00552973">
        <w:t xml:space="preserve">) </w:t>
      </w:r>
      <w:r w:rsidR="00CE42EF">
        <w:t>compared to</w:t>
      </w:r>
      <w:r w:rsidR="00856D04">
        <w:t xml:space="preserve"> the Reference scenario, where no nuclear plants are built</w:t>
      </w:r>
      <w:r w:rsidR="00EB06A9">
        <w:t xml:space="preserve"> endogenously</w:t>
      </w:r>
      <w:r w:rsidR="00856D04">
        <w:t>.</w:t>
      </w:r>
      <w:r w:rsidR="00CE42EF" w:rsidRPr="00CE42EF">
        <w:t xml:space="preserve"> </w:t>
      </w:r>
      <w:r w:rsidR="00CE42EF">
        <w:t>T</w:t>
      </w:r>
      <w:r w:rsidR="00CE42EF" w:rsidRPr="00CE42EF">
        <w:t>h</w:t>
      </w:r>
      <w:r w:rsidR="00CE42EF">
        <w:t>is difference is</w:t>
      </w:r>
      <w:r w:rsidR="00CE42EF" w:rsidRPr="00CE42EF">
        <w:t xml:space="preserve"> based on the system cost alone and do</w:t>
      </w:r>
      <w:r w:rsidR="00CE42EF">
        <w:t>es</w:t>
      </w:r>
      <w:r w:rsidR="00CE42EF" w:rsidRPr="00CE42EF">
        <w:t xml:space="preserve"> not </w:t>
      </w:r>
      <w:r w:rsidR="00250E87" w:rsidRPr="00CE42EF">
        <w:t>consider</w:t>
      </w:r>
      <w:r w:rsidR="00CE42EF" w:rsidRPr="00CE42EF">
        <w:t xml:space="preserve"> </w:t>
      </w:r>
      <w:r w:rsidR="004B798C">
        <w:t>expenses</w:t>
      </w:r>
      <w:r w:rsidR="00CE42EF" w:rsidRPr="00CE42EF">
        <w:t xml:space="preserve"> associated with grid investments or balancing</w:t>
      </w:r>
      <w:r w:rsidR="00B54330">
        <w:t>, which could impact the currently observed differences</w:t>
      </w:r>
      <w:r w:rsidR="00CE42EF">
        <w:t>.</w:t>
      </w:r>
      <w:r w:rsidR="00A60CBF">
        <w:t xml:space="preserve"> The </w:t>
      </w:r>
      <w:r w:rsidR="007F736F">
        <w:t>economic results</w:t>
      </w:r>
      <w:r w:rsidR="00A60CBF">
        <w:t xml:space="preserve"> of the </w:t>
      </w:r>
      <w:proofErr w:type="gramStart"/>
      <w:r w:rsidR="00A60CBF">
        <w:t>Nuclear</w:t>
      </w:r>
      <w:proofErr w:type="gramEnd"/>
      <w:r w:rsidR="00A60CBF">
        <w:t xml:space="preserve"> scenario</w:t>
      </w:r>
      <w:r w:rsidR="007F736F">
        <w:t xml:space="preserve"> are highly dependent on the investment cost of SMR units. In this case</w:t>
      </w:r>
      <w:r w:rsidR="00A60CBF">
        <w:t>,</w:t>
      </w:r>
      <w:r w:rsidR="007F736F">
        <w:t xml:space="preserve"> it was assumed that the investment cost for such units is 6000 EUR/kW.</w:t>
      </w:r>
    </w:p>
    <w:p w14:paraId="60268FAF" w14:textId="77777777" w:rsidR="0010614F" w:rsidRDefault="0010614F" w:rsidP="00141922">
      <w:pPr>
        <w:pStyle w:val="BodyText"/>
        <w:ind w:firstLine="0"/>
      </w:pPr>
    </w:p>
    <w:p w14:paraId="34991DBC" w14:textId="1D0B9895" w:rsidR="00720575" w:rsidRDefault="0010614F" w:rsidP="006A5ADE">
      <w:pPr>
        <w:pStyle w:val="BodyText"/>
        <w:ind w:firstLine="0"/>
      </w:pPr>
      <w:r>
        <w:t xml:space="preserve">TABLE </w:t>
      </w:r>
      <w:r w:rsidR="005006DD">
        <w:t>6.</w:t>
      </w:r>
      <w:r w:rsidR="005006DD">
        <w:tab/>
      </w:r>
      <w:r w:rsidR="00217CC2">
        <w:t>TOTAL SYSTEM COST</w:t>
      </w:r>
      <w:r w:rsidR="00CE7B69">
        <w:t>S</w:t>
      </w:r>
      <w:r w:rsidR="00217CC2">
        <w:t xml:space="preserve"> OF MODELLED SCENARIOS</w:t>
      </w:r>
      <w:r w:rsidR="00856D04">
        <w:t xml:space="preserve"> </w:t>
      </w:r>
    </w:p>
    <w:tbl>
      <w:tblPr>
        <w:tblStyle w:val="TableGrid"/>
        <w:tblW w:w="0" w:type="auto"/>
        <w:tblLook w:val="04A0" w:firstRow="1" w:lastRow="0" w:firstColumn="1" w:lastColumn="0" w:noHBand="0" w:noVBand="1"/>
      </w:tblPr>
      <w:tblGrid>
        <w:gridCol w:w="1705"/>
        <w:gridCol w:w="3960"/>
        <w:gridCol w:w="1530"/>
        <w:gridCol w:w="1822"/>
      </w:tblGrid>
      <w:tr w:rsidR="005C20F0" w14:paraId="034DD121" w14:textId="77777777" w:rsidTr="00151889">
        <w:tc>
          <w:tcPr>
            <w:tcW w:w="1705" w:type="dxa"/>
            <w:vMerge w:val="restart"/>
            <w:vAlign w:val="center"/>
          </w:tcPr>
          <w:p w14:paraId="3A4C942A" w14:textId="7151A5D9" w:rsidR="005C20F0" w:rsidRDefault="005C20F0" w:rsidP="00151889">
            <w:pPr>
              <w:pStyle w:val="BodyText"/>
              <w:ind w:firstLine="0"/>
              <w:jc w:val="center"/>
            </w:pPr>
            <w:r>
              <w:t>Scenario</w:t>
            </w:r>
          </w:p>
        </w:tc>
        <w:tc>
          <w:tcPr>
            <w:tcW w:w="3960" w:type="dxa"/>
            <w:vMerge w:val="restart"/>
            <w:vAlign w:val="center"/>
          </w:tcPr>
          <w:p w14:paraId="26DCF4F0" w14:textId="747B7262" w:rsidR="005C20F0" w:rsidRDefault="005C20F0" w:rsidP="00151889">
            <w:pPr>
              <w:pStyle w:val="BodyText"/>
              <w:ind w:firstLine="0"/>
              <w:jc w:val="center"/>
            </w:pPr>
            <w:r>
              <w:t>Total discounted cost (billion EUR)</w:t>
            </w:r>
          </w:p>
        </w:tc>
        <w:tc>
          <w:tcPr>
            <w:tcW w:w="3352" w:type="dxa"/>
            <w:gridSpan w:val="2"/>
            <w:vAlign w:val="center"/>
          </w:tcPr>
          <w:p w14:paraId="677B613A" w14:textId="6422B6F9" w:rsidR="005C20F0" w:rsidRDefault="005C20F0" w:rsidP="00151889">
            <w:pPr>
              <w:pStyle w:val="BodyText"/>
              <w:ind w:firstLine="0"/>
              <w:jc w:val="center"/>
            </w:pPr>
            <w:r>
              <w:t>Difference</w:t>
            </w:r>
          </w:p>
        </w:tc>
      </w:tr>
      <w:tr w:rsidR="005C20F0" w14:paraId="1C1E45B7" w14:textId="77777777" w:rsidTr="00151889">
        <w:tc>
          <w:tcPr>
            <w:tcW w:w="1705" w:type="dxa"/>
            <w:vMerge/>
            <w:vAlign w:val="center"/>
          </w:tcPr>
          <w:p w14:paraId="5B5C9768" w14:textId="15992C9E" w:rsidR="005C20F0" w:rsidRDefault="005C20F0" w:rsidP="00151889">
            <w:pPr>
              <w:pStyle w:val="BodyText"/>
              <w:ind w:firstLine="0"/>
              <w:jc w:val="center"/>
            </w:pPr>
          </w:p>
        </w:tc>
        <w:tc>
          <w:tcPr>
            <w:tcW w:w="3960" w:type="dxa"/>
            <w:vMerge/>
            <w:vAlign w:val="center"/>
          </w:tcPr>
          <w:p w14:paraId="0A29685F" w14:textId="77777777" w:rsidR="005C20F0" w:rsidRDefault="005C20F0" w:rsidP="00151889">
            <w:pPr>
              <w:pStyle w:val="BodyText"/>
              <w:ind w:firstLine="0"/>
              <w:jc w:val="center"/>
            </w:pPr>
          </w:p>
        </w:tc>
        <w:tc>
          <w:tcPr>
            <w:tcW w:w="1530" w:type="dxa"/>
            <w:vAlign w:val="center"/>
          </w:tcPr>
          <w:p w14:paraId="7195CB17" w14:textId="08527B06" w:rsidR="005C20F0" w:rsidRDefault="005C20F0" w:rsidP="00151889">
            <w:pPr>
              <w:pStyle w:val="BodyText"/>
              <w:ind w:firstLine="0"/>
              <w:jc w:val="center"/>
            </w:pPr>
            <w:r>
              <w:t>(billion EUR)</w:t>
            </w:r>
          </w:p>
        </w:tc>
        <w:tc>
          <w:tcPr>
            <w:tcW w:w="1822" w:type="dxa"/>
            <w:vAlign w:val="center"/>
          </w:tcPr>
          <w:p w14:paraId="1A9D359B" w14:textId="033A2207" w:rsidR="005C20F0" w:rsidRDefault="005C20F0" w:rsidP="00151889">
            <w:pPr>
              <w:pStyle w:val="BodyText"/>
              <w:ind w:firstLine="0"/>
              <w:jc w:val="center"/>
            </w:pPr>
            <w:r>
              <w:t>%</w:t>
            </w:r>
          </w:p>
        </w:tc>
      </w:tr>
      <w:tr w:rsidR="00DE4BE8" w14:paraId="540DFA07" w14:textId="77777777" w:rsidTr="00151889">
        <w:tc>
          <w:tcPr>
            <w:tcW w:w="1705" w:type="dxa"/>
            <w:vAlign w:val="center"/>
          </w:tcPr>
          <w:p w14:paraId="0DEB1E9B" w14:textId="15AAE47A" w:rsidR="00DE4BE8" w:rsidRDefault="00DE4BE8" w:rsidP="00151889">
            <w:pPr>
              <w:pStyle w:val="BodyText"/>
              <w:ind w:firstLine="0"/>
              <w:jc w:val="center"/>
            </w:pPr>
            <w:r>
              <w:t>Reference</w:t>
            </w:r>
          </w:p>
        </w:tc>
        <w:tc>
          <w:tcPr>
            <w:tcW w:w="3960" w:type="dxa"/>
            <w:vAlign w:val="center"/>
          </w:tcPr>
          <w:p w14:paraId="1001E6D2" w14:textId="610BF7CD" w:rsidR="00DE4BE8" w:rsidRDefault="00DE4BE8" w:rsidP="00151889">
            <w:pPr>
              <w:pStyle w:val="BodyText"/>
              <w:ind w:firstLine="0"/>
              <w:jc w:val="center"/>
            </w:pPr>
            <w:r>
              <w:t>15.0</w:t>
            </w:r>
          </w:p>
        </w:tc>
        <w:tc>
          <w:tcPr>
            <w:tcW w:w="1530" w:type="dxa"/>
            <w:vMerge w:val="restart"/>
            <w:vAlign w:val="center"/>
          </w:tcPr>
          <w:p w14:paraId="3400B6D8" w14:textId="0668EBC4" w:rsidR="00DE4BE8" w:rsidRDefault="00DE4BE8" w:rsidP="00151889">
            <w:pPr>
              <w:pStyle w:val="BodyText"/>
              <w:ind w:firstLine="0"/>
              <w:jc w:val="center"/>
            </w:pPr>
            <w:r>
              <w:t>0.</w:t>
            </w:r>
            <w:r w:rsidR="006A5ADE">
              <w:t>4</w:t>
            </w:r>
          </w:p>
        </w:tc>
        <w:tc>
          <w:tcPr>
            <w:tcW w:w="1822" w:type="dxa"/>
            <w:vMerge w:val="restart"/>
            <w:vAlign w:val="center"/>
          </w:tcPr>
          <w:p w14:paraId="1A734AEC" w14:textId="46C834A7" w:rsidR="00DE4BE8" w:rsidRDefault="005006DD" w:rsidP="00151889">
            <w:pPr>
              <w:pStyle w:val="BodyText"/>
              <w:ind w:firstLine="0"/>
              <w:jc w:val="center"/>
            </w:pPr>
            <w:r>
              <w:t>2.7</w:t>
            </w:r>
          </w:p>
        </w:tc>
      </w:tr>
      <w:tr w:rsidR="00DE4BE8" w14:paraId="6F82DA74" w14:textId="77777777" w:rsidTr="00151889">
        <w:tc>
          <w:tcPr>
            <w:tcW w:w="1705" w:type="dxa"/>
            <w:vAlign w:val="center"/>
          </w:tcPr>
          <w:p w14:paraId="50653F1E" w14:textId="51212382" w:rsidR="00DE4BE8" w:rsidRDefault="00DE4BE8" w:rsidP="00151889">
            <w:pPr>
              <w:pStyle w:val="BodyText"/>
              <w:ind w:firstLine="0"/>
              <w:jc w:val="center"/>
            </w:pPr>
            <w:r>
              <w:t>Nuclear</w:t>
            </w:r>
          </w:p>
        </w:tc>
        <w:tc>
          <w:tcPr>
            <w:tcW w:w="3960" w:type="dxa"/>
            <w:vAlign w:val="center"/>
          </w:tcPr>
          <w:p w14:paraId="5733403B" w14:textId="232E6AE9" w:rsidR="00DE4BE8" w:rsidRDefault="00DE4BE8" w:rsidP="00151889">
            <w:pPr>
              <w:pStyle w:val="BodyText"/>
              <w:ind w:firstLine="0"/>
              <w:jc w:val="center"/>
            </w:pPr>
            <w:r>
              <w:t>15.4</w:t>
            </w:r>
          </w:p>
        </w:tc>
        <w:tc>
          <w:tcPr>
            <w:tcW w:w="1530" w:type="dxa"/>
            <w:vMerge/>
            <w:vAlign w:val="center"/>
          </w:tcPr>
          <w:p w14:paraId="64340B92" w14:textId="77777777" w:rsidR="00DE4BE8" w:rsidRDefault="00DE4BE8" w:rsidP="00151889">
            <w:pPr>
              <w:pStyle w:val="BodyText"/>
              <w:ind w:firstLine="0"/>
              <w:jc w:val="center"/>
            </w:pPr>
          </w:p>
        </w:tc>
        <w:tc>
          <w:tcPr>
            <w:tcW w:w="1822" w:type="dxa"/>
            <w:vMerge/>
            <w:vAlign w:val="center"/>
          </w:tcPr>
          <w:p w14:paraId="3BACCEB5" w14:textId="77777777" w:rsidR="00DE4BE8" w:rsidRDefault="00DE4BE8" w:rsidP="00151889">
            <w:pPr>
              <w:pStyle w:val="BodyText"/>
              <w:ind w:firstLine="0"/>
              <w:jc w:val="center"/>
            </w:pPr>
          </w:p>
        </w:tc>
      </w:tr>
    </w:tbl>
    <w:p w14:paraId="5D7890CA" w14:textId="516FBCF4" w:rsidR="001214BA" w:rsidRDefault="001214BA" w:rsidP="001214BA">
      <w:pPr>
        <w:pStyle w:val="Heading3"/>
      </w:pPr>
      <w:r>
        <w:t>Average generation costs</w:t>
      </w:r>
    </w:p>
    <w:p w14:paraId="4589C17E" w14:textId="0755942F" w:rsidR="006F7EC9" w:rsidRDefault="006F7EC9" w:rsidP="006F7EC9">
      <w:pPr>
        <w:pStyle w:val="BodyText"/>
        <w:ind w:firstLine="0"/>
        <w:rPr>
          <w:noProof/>
        </w:rPr>
      </w:pPr>
      <w:r>
        <w:t>FIGURE 6.</w:t>
      </w:r>
      <w:r>
        <w:tab/>
        <w:t xml:space="preserve">AVERAGE GENERATION </w:t>
      </w:r>
      <w:r w:rsidR="00D175E0">
        <w:t>COST</w:t>
      </w:r>
      <w:r w:rsidR="00825F48">
        <w:t xml:space="preserve"> IN ESTONIA</w:t>
      </w:r>
    </w:p>
    <w:p w14:paraId="46502220" w14:textId="77777777" w:rsidR="006F7EC9" w:rsidRPr="006F7EC9" w:rsidRDefault="006F7EC9" w:rsidP="0055203F">
      <w:pPr>
        <w:pStyle w:val="BodyText"/>
        <w:ind w:firstLine="0"/>
      </w:pPr>
    </w:p>
    <w:p w14:paraId="09590878" w14:textId="1605B80B" w:rsidR="00445C2C" w:rsidRDefault="00A848BA" w:rsidP="00445C2C">
      <w:pPr>
        <w:pStyle w:val="BodyText"/>
        <w:ind w:firstLine="0"/>
        <w:jc w:val="center"/>
      </w:pPr>
      <w:r>
        <w:rPr>
          <w:noProof/>
        </w:rPr>
        <w:drawing>
          <wp:inline distT="0" distB="0" distL="0" distR="0" wp14:anchorId="47292690" wp14:editId="64850895">
            <wp:extent cx="3575713" cy="1324434"/>
            <wp:effectExtent l="0" t="0" r="5715" b="9525"/>
            <wp:docPr id="16461168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4517" cy="1338807"/>
                    </a:xfrm>
                    <a:prstGeom prst="rect">
                      <a:avLst/>
                    </a:prstGeom>
                    <a:noFill/>
                  </pic:spPr>
                </pic:pic>
              </a:graphicData>
            </a:graphic>
          </wp:inline>
        </w:drawing>
      </w:r>
    </w:p>
    <w:p w14:paraId="1AEF40C9" w14:textId="28567910" w:rsidR="00F66476" w:rsidRDefault="00C146DB" w:rsidP="0055203F">
      <w:pPr>
        <w:pStyle w:val="BodyText"/>
      </w:pPr>
      <w:r>
        <w:t xml:space="preserve">Average generation cost </w:t>
      </w:r>
      <w:r w:rsidR="002E4D05">
        <w:t xml:space="preserve">is the cost of generating one kWh of electricity </w:t>
      </w:r>
      <w:r w:rsidR="00EB540C">
        <w:t>from domestic power plants</w:t>
      </w:r>
      <w:r w:rsidR="002E4D05">
        <w:t xml:space="preserve">. </w:t>
      </w:r>
      <w:r w:rsidR="00294CF1">
        <w:t xml:space="preserve">It </w:t>
      </w:r>
      <w:r w:rsidR="00EB540C">
        <w:t>is</w:t>
      </w:r>
      <w:r w:rsidR="00294CF1">
        <w:t xml:space="preserve"> calculated by </w:t>
      </w:r>
      <w:r w:rsidR="0091685C">
        <w:t>aggregating all</w:t>
      </w:r>
      <w:r w:rsidR="00294CF1">
        <w:t xml:space="preserve"> generation cost</w:t>
      </w:r>
      <w:r w:rsidR="0006097C">
        <w:t xml:space="preserve"> (</w:t>
      </w:r>
      <w:r w:rsidR="004A2D0D">
        <w:t>annualised</w:t>
      </w:r>
      <w:r w:rsidR="00294CF1">
        <w:t xml:space="preserve"> investment, </w:t>
      </w:r>
      <w:r w:rsidR="00A60CBF">
        <w:t xml:space="preserve">Fixed </w:t>
      </w:r>
      <w:r w:rsidR="00A60CBF" w:rsidRPr="00A60CBF">
        <w:t>Operation and Maintenance</w:t>
      </w:r>
      <w:r w:rsidR="00A60CBF">
        <w:t>/</w:t>
      </w:r>
      <w:r w:rsidR="00294CF1">
        <w:t>FOM, VOM, fuel and CO</w:t>
      </w:r>
      <w:r w:rsidR="00294CF1" w:rsidRPr="005859D9">
        <w:rPr>
          <w:vertAlign w:val="subscript"/>
        </w:rPr>
        <w:t>2</w:t>
      </w:r>
      <w:r w:rsidR="00294CF1">
        <w:t xml:space="preserve"> costs</w:t>
      </w:r>
      <w:r w:rsidR="0006097C">
        <w:t>)</w:t>
      </w:r>
      <w:r w:rsidR="00294CF1">
        <w:t xml:space="preserve"> and dividing it by </w:t>
      </w:r>
      <w:r w:rsidR="0035056D">
        <w:t xml:space="preserve">total generation </w:t>
      </w:r>
      <w:r w:rsidR="0006097C">
        <w:t>for each year</w:t>
      </w:r>
      <w:r w:rsidR="0035056D">
        <w:t>.</w:t>
      </w:r>
      <w:r w:rsidR="0006097C">
        <w:t xml:space="preserve"> This calculation excludes </w:t>
      </w:r>
      <w:r w:rsidR="00DF13D9">
        <w:t>cost</w:t>
      </w:r>
      <w:r w:rsidR="00A60CBF">
        <w:t>s</w:t>
      </w:r>
      <w:r w:rsidR="00DF13D9">
        <w:t xml:space="preserve"> and benefits of </w:t>
      </w:r>
      <w:r w:rsidR="0006097C">
        <w:t>import</w:t>
      </w:r>
      <w:r w:rsidR="00DF13D9">
        <w:t xml:space="preserve"> and export</w:t>
      </w:r>
      <w:r w:rsidR="0006097C">
        <w:t>.</w:t>
      </w:r>
      <w:r w:rsidR="0035056D">
        <w:t xml:space="preserve"> </w:t>
      </w:r>
      <w:r w:rsidR="00A60CBF">
        <w:t>The i</w:t>
      </w:r>
      <w:r w:rsidR="0035056D">
        <w:t xml:space="preserve">ncrease </w:t>
      </w:r>
      <w:r w:rsidR="006A65DF">
        <w:t>in the first few years corresponds to increasing CO</w:t>
      </w:r>
      <w:r w:rsidR="006A65DF" w:rsidRPr="005859D9">
        <w:rPr>
          <w:vertAlign w:val="subscript"/>
        </w:rPr>
        <w:t>2</w:t>
      </w:r>
      <w:r w:rsidR="006A65DF">
        <w:t xml:space="preserve"> prices</w:t>
      </w:r>
      <w:r w:rsidR="00F2096C">
        <w:t xml:space="preserve"> (carbon taxes) set by the EU</w:t>
      </w:r>
      <w:r w:rsidR="001C3AE0">
        <w:t xml:space="preserve"> and high CO</w:t>
      </w:r>
      <w:r w:rsidR="001C3AE0" w:rsidRPr="005859D9">
        <w:rPr>
          <w:vertAlign w:val="subscript"/>
        </w:rPr>
        <w:t>2</w:t>
      </w:r>
      <w:r w:rsidR="001C3AE0">
        <w:t xml:space="preserve"> emissions</w:t>
      </w:r>
      <w:r w:rsidR="00F2096C">
        <w:t>. During the phase</w:t>
      </w:r>
      <w:r w:rsidR="00E1097B">
        <w:noBreakHyphen/>
      </w:r>
      <w:r w:rsidR="00F2096C">
        <w:t>out period of oil shale, CO</w:t>
      </w:r>
      <w:r w:rsidR="00F2096C" w:rsidRPr="005859D9">
        <w:rPr>
          <w:vertAlign w:val="subscript"/>
        </w:rPr>
        <w:t>2</w:t>
      </w:r>
      <w:r w:rsidR="00F2096C">
        <w:t xml:space="preserve"> costs </w:t>
      </w:r>
      <w:r w:rsidR="00B03F5F">
        <w:t xml:space="preserve">decrease to zero, which results in lower </w:t>
      </w:r>
      <w:r w:rsidR="001C3AE0">
        <w:t xml:space="preserve">total </w:t>
      </w:r>
      <w:r w:rsidR="00B03F5F">
        <w:t xml:space="preserve">electricity </w:t>
      </w:r>
      <w:r w:rsidR="00513A6A">
        <w:t>costs</w:t>
      </w:r>
      <w:r w:rsidR="00B03F5F">
        <w:t>. From 2027 to 2035</w:t>
      </w:r>
      <w:r w:rsidR="002C7868">
        <w:t xml:space="preserve"> </w:t>
      </w:r>
      <w:r w:rsidR="001C3AE0">
        <w:t xml:space="preserve">average generation </w:t>
      </w:r>
      <w:r w:rsidR="00513A6A">
        <w:t>costs</w:t>
      </w:r>
      <w:r w:rsidR="002C7868">
        <w:t xml:space="preserve"> remain stable as </w:t>
      </w:r>
      <w:r w:rsidR="00513A6A">
        <w:t>demand is increasing and the trend of investments into wind power and biomass plants follows</w:t>
      </w:r>
      <w:r w:rsidR="007B0BDC">
        <w:t xml:space="preserve"> </w:t>
      </w:r>
      <w:r w:rsidR="00A60CBF">
        <w:t xml:space="preserve">a </w:t>
      </w:r>
      <w:r w:rsidR="007B0BDC">
        <w:t>similar pattern</w:t>
      </w:r>
      <w:r w:rsidR="002C7868">
        <w:t xml:space="preserve">. </w:t>
      </w:r>
    </w:p>
    <w:p w14:paraId="6B45AE79" w14:textId="10CF684F" w:rsidR="00B54330" w:rsidRDefault="00F66476" w:rsidP="00B54330">
      <w:pPr>
        <w:pStyle w:val="BodyText"/>
      </w:pPr>
      <w:r>
        <w:t>The a</w:t>
      </w:r>
      <w:r w:rsidR="002C7868">
        <w:t>verage generation cost</w:t>
      </w:r>
      <w:r>
        <w:t>s of the</w:t>
      </w:r>
      <w:r w:rsidR="00B54330">
        <w:t xml:space="preserve"> Nuclear and Reference</w:t>
      </w:r>
      <w:r w:rsidR="00B16D14">
        <w:t xml:space="preserve"> scenarios </w:t>
      </w:r>
      <w:r w:rsidR="002C7868">
        <w:t xml:space="preserve">diverge from </w:t>
      </w:r>
      <w:r w:rsidR="00714E18">
        <w:t>2035</w:t>
      </w:r>
      <w:r w:rsidR="00B16D14">
        <w:t>.</w:t>
      </w:r>
      <w:r w:rsidR="00714E18">
        <w:t xml:space="preserve"> </w:t>
      </w:r>
      <w:r w:rsidR="00EE1609">
        <w:t>T</w:t>
      </w:r>
      <w:r w:rsidR="00714E18">
        <w:t xml:space="preserve">he first SMR unit </w:t>
      </w:r>
      <w:r w:rsidR="003208C8">
        <w:t xml:space="preserve">is </w:t>
      </w:r>
      <w:r w:rsidR="00714E18">
        <w:t xml:space="preserve">deployed </w:t>
      </w:r>
      <w:r w:rsidR="00EE1609">
        <w:t xml:space="preserve">in 2035 </w:t>
      </w:r>
      <w:r w:rsidR="00714E18">
        <w:t xml:space="preserve">in the </w:t>
      </w:r>
      <w:proofErr w:type="gramStart"/>
      <w:r w:rsidR="00714E18">
        <w:t>Nuclear</w:t>
      </w:r>
      <w:proofErr w:type="gramEnd"/>
      <w:r w:rsidR="00714E18">
        <w:t xml:space="preserve"> </w:t>
      </w:r>
      <w:r w:rsidR="00F969FE">
        <w:t>s</w:t>
      </w:r>
      <w:r w:rsidR="00714E18">
        <w:t>cenario</w:t>
      </w:r>
      <w:r w:rsidR="003208C8">
        <w:t>,</w:t>
      </w:r>
      <w:r w:rsidR="002F609A">
        <w:t xml:space="preserve"> and this</w:t>
      </w:r>
      <w:r w:rsidR="00AB257F">
        <w:t xml:space="preserve"> is reflected in high investment cost</w:t>
      </w:r>
      <w:r w:rsidR="003208C8">
        <w:t>,</w:t>
      </w:r>
      <w:r w:rsidR="00502A3B">
        <w:t xml:space="preserve"> which translates into higher avera</w:t>
      </w:r>
      <w:r w:rsidR="003208C8">
        <w:t>g</w:t>
      </w:r>
      <w:r w:rsidR="00502A3B">
        <w:t xml:space="preserve">e generation cost. </w:t>
      </w:r>
      <w:r w:rsidR="00CE42EF">
        <w:t>The i</w:t>
      </w:r>
      <w:r w:rsidR="00502A3B">
        <w:t>n</w:t>
      </w:r>
      <w:r w:rsidR="00736C49">
        <w:t>crease of average generation cost in the</w:t>
      </w:r>
      <w:r w:rsidR="00714E18">
        <w:t xml:space="preserve"> </w:t>
      </w:r>
      <w:r w:rsidR="00BA41D5">
        <w:t xml:space="preserve">Reference </w:t>
      </w:r>
      <w:r w:rsidR="00151856">
        <w:t>s</w:t>
      </w:r>
      <w:r w:rsidR="00BA41D5">
        <w:t>cenario</w:t>
      </w:r>
      <w:r w:rsidR="00736C49">
        <w:t xml:space="preserve"> is </w:t>
      </w:r>
      <w:r w:rsidR="0040118A">
        <w:t xml:space="preserve">smooth due to </w:t>
      </w:r>
      <w:r w:rsidR="00227612">
        <w:t>smaller capacity additions from wind and biomass projects.</w:t>
      </w:r>
      <w:r w:rsidR="00421FBD">
        <w:t xml:space="preserve"> </w:t>
      </w:r>
      <w:r w:rsidR="00547C69">
        <w:t xml:space="preserve">Without considering </w:t>
      </w:r>
      <w:r w:rsidR="008E6C5D">
        <w:t xml:space="preserve">grid </w:t>
      </w:r>
      <w:r w:rsidR="0078486C">
        <w:t>investment</w:t>
      </w:r>
      <w:r w:rsidR="008E6C5D">
        <w:t xml:space="preserve"> and balancing costs, t</w:t>
      </w:r>
      <w:r w:rsidR="00421FBD">
        <w:t xml:space="preserve">he </w:t>
      </w:r>
      <w:proofErr w:type="gramStart"/>
      <w:r w:rsidR="00421FBD">
        <w:t>Nuclear</w:t>
      </w:r>
      <w:proofErr w:type="gramEnd"/>
      <w:r w:rsidR="00421FBD">
        <w:t xml:space="preserve"> </w:t>
      </w:r>
      <w:r w:rsidR="00432A6E">
        <w:t>s</w:t>
      </w:r>
      <w:r w:rsidR="00421FBD">
        <w:t xml:space="preserve">cenario has </w:t>
      </w:r>
      <w:r w:rsidR="00B54330">
        <w:t xml:space="preserve">a </w:t>
      </w:r>
      <w:r w:rsidR="00421FBD">
        <w:t>higher average generation cost (</w:t>
      </w:r>
      <w:r w:rsidR="00CE42EF">
        <w:t xml:space="preserve">by 11% or </w:t>
      </w:r>
      <w:r w:rsidR="00D6328D">
        <w:t xml:space="preserve">8.8 </w:t>
      </w:r>
      <w:r w:rsidR="00421FBD">
        <w:t>EUR</w:t>
      </w:r>
      <w:r w:rsidR="00D6328D">
        <w:t>/MWh</w:t>
      </w:r>
      <w:r w:rsidR="00421FBD">
        <w:t xml:space="preserve">) as compared to the Reference </w:t>
      </w:r>
      <w:r w:rsidR="001140FD">
        <w:t>s</w:t>
      </w:r>
      <w:r w:rsidR="00421FBD">
        <w:t>cenario in 2035.</w:t>
      </w:r>
      <w:r w:rsidR="00FD3F8F">
        <w:t xml:space="preserve"> </w:t>
      </w:r>
      <w:r w:rsidR="0059324F">
        <w:t xml:space="preserve">If grid </w:t>
      </w:r>
      <w:r w:rsidR="0078486C">
        <w:t>investment</w:t>
      </w:r>
      <w:r w:rsidR="0059324F">
        <w:t xml:space="preserve"> and balancing costs </w:t>
      </w:r>
      <w:r>
        <w:t>were</w:t>
      </w:r>
      <w:r w:rsidR="0059324F">
        <w:t xml:space="preserve"> considered, </w:t>
      </w:r>
      <w:r w:rsidR="00B54330">
        <w:t>this could impact the currently observed differences.</w:t>
      </w:r>
    </w:p>
    <w:p w14:paraId="36F1353F" w14:textId="5194F08D" w:rsidR="00F66476" w:rsidRDefault="00FD3F8F" w:rsidP="0055203F">
      <w:pPr>
        <w:pStyle w:val="BodyText"/>
      </w:pPr>
      <w:r>
        <w:t xml:space="preserve">Part of the average generation cost increase </w:t>
      </w:r>
      <w:r w:rsidR="00A60CBF">
        <w:t>from</w:t>
      </w:r>
      <w:r>
        <w:t xml:space="preserve"> 2038 onwards in both scenarios is due to investment in gas </w:t>
      </w:r>
      <w:r w:rsidR="00411D61">
        <w:t>units</w:t>
      </w:r>
      <w:r w:rsidR="00B84698">
        <w:t xml:space="preserve">, which </w:t>
      </w:r>
      <w:r w:rsidR="00A60CBF">
        <w:t>represent the main backup option</w:t>
      </w:r>
      <w:r w:rsidR="00B84698">
        <w:t xml:space="preserve"> replacing</w:t>
      </w:r>
      <w:r>
        <w:t xml:space="preserve"> phase</w:t>
      </w:r>
      <w:r w:rsidR="00B84698">
        <w:t>d</w:t>
      </w:r>
      <w:r w:rsidR="00786468">
        <w:noBreakHyphen/>
      </w:r>
      <w:r>
        <w:t xml:space="preserve">out </w:t>
      </w:r>
      <w:r w:rsidR="0022173A">
        <w:t>oil shale</w:t>
      </w:r>
      <w:r w:rsidR="00B84698">
        <w:t xml:space="preserve"> plants</w:t>
      </w:r>
      <w:r>
        <w:t>.</w:t>
      </w:r>
      <w:r w:rsidR="00104090">
        <w:t xml:space="preserve"> </w:t>
      </w:r>
    </w:p>
    <w:p w14:paraId="0428C49D" w14:textId="2A25237D" w:rsidR="00F66476" w:rsidRDefault="00F66476" w:rsidP="00F66476">
      <w:pPr>
        <w:pStyle w:val="Heading3"/>
      </w:pPr>
      <w:r>
        <w:t>Limitations and externalities</w:t>
      </w:r>
    </w:p>
    <w:p w14:paraId="6D610770" w14:textId="30F37932" w:rsidR="00F66476" w:rsidRDefault="00B54330" w:rsidP="00F66476">
      <w:pPr>
        <w:pStyle w:val="BodyText"/>
      </w:pPr>
      <w:r>
        <w:t>It</w:t>
      </w:r>
      <w:r w:rsidR="00F66476">
        <w:t xml:space="preserve"> is important to note some limitations and externalities of the model. First, these findings are based on the </w:t>
      </w:r>
      <w:r w:rsidR="00786468">
        <w:t xml:space="preserve">construction </w:t>
      </w:r>
      <w:r w:rsidR="00833074">
        <w:t>and</w:t>
      </w:r>
      <w:r w:rsidR="00786468">
        <w:t xml:space="preserve"> generation</w:t>
      </w:r>
      <w:r w:rsidR="00F66476">
        <w:t xml:space="preserve"> cost</w:t>
      </w:r>
      <w:r w:rsidR="00786468">
        <w:t xml:space="preserve">, </w:t>
      </w:r>
      <w:r w:rsidR="00F66476">
        <w:t xml:space="preserve">and do not </w:t>
      </w:r>
      <w:proofErr w:type="gramStart"/>
      <w:r w:rsidR="00F66476">
        <w:t>take into account</w:t>
      </w:r>
      <w:proofErr w:type="gramEnd"/>
      <w:r w:rsidR="00F66476">
        <w:t xml:space="preserve"> costs associated with grid investments or balancing</w:t>
      </w:r>
      <w:r w:rsidR="00786468">
        <w:t xml:space="preserve"> (e.g. re</w:t>
      </w:r>
      <w:r w:rsidR="00786468">
        <w:noBreakHyphen/>
        <w:t>dispatching costs are not modelled or estimated)</w:t>
      </w:r>
      <w:r w:rsidR="00F66476">
        <w:t xml:space="preserve">. </w:t>
      </w:r>
      <w:bookmarkStart w:id="0" w:name="_Hlk170675416"/>
      <w:r w:rsidR="00F66476">
        <w:t xml:space="preserve">To provide a more accurate and </w:t>
      </w:r>
      <w:r w:rsidR="00F66476">
        <w:lastRenderedPageBreak/>
        <w:t xml:space="preserve">comprehensive evaluation of the Reference vs. Nuclear scenarios, future work could account for the </w:t>
      </w:r>
      <w:r w:rsidR="004B798C">
        <w:t>present</w:t>
      </w:r>
      <w:r w:rsidR="00F66476">
        <w:t xml:space="preserve"> status and future technical needs </w:t>
      </w:r>
      <w:r w:rsidR="000A580F">
        <w:t>of</w:t>
      </w:r>
      <w:r w:rsidR="00F66476">
        <w:t xml:space="preserve"> the Estonian grid</w:t>
      </w:r>
      <w:bookmarkEnd w:id="0"/>
      <w:r w:rsidR="00786468">
        <w:t>. More</w:t>
      </w:r>
      <w:r w:rsidR="00F66476">
        <w:t xml:space="preserve"> detailed accounting could </w:t>
      </w:r>
      <w:r w:rsidR="0091648A">
        <w:t xml:space="preserve">influence </w:t>
      </w:r>
      <w:r w:rsidR="00F66476">
        <w:t>the holistic costs for each scenario and possibly</w:t>
      </w:r>
      <w:r w:rsidR="0091648A">
        <w:t xml:space="preserve"> impact </w:t>
      </w:r>
      <w:r w:rsidR="00F66476">
        <w:t>the differences observed in the present results.</w:t>
      </w:r>
    </w:p>
    <w:p w14:paraId="1FADAAF0" w14:textId="18AE4F90" w:rsidR="00213A0D" w:rsidRDefault="00F66476" w:rsidP="00213A0D">
      <w:pPr>
        <w:pStyle w:val="BodyText"/>
      </w:pPr>
      <w:r>
        <w:t>Second,</w:t>
      </w:r>
      <w:r w:rsidR="00213A0D">
        <w:t xml:space="preserve"> several factors such as</w:t>
      </w:r>
      <w:r>
        <w:t xml:space="preserve"> energy security, system stability and reliability are not directly considered in th</w:t>
      </w:r>
      <w:r w:rsidR="00776928">
        <w:t>is case study</w:t>
      </w:r>
      <w:r w:rsidR="00213A0D">
        <w:t xml:space="preserve">. These external, non-economic factors can be important as a country weighs future energy portfolio options. For example, the </w:t>
      </w:r>
      <w:proofErr w:type="gramStart"/>
      <w:r w:rsidR="00213A0D">
        <w:t>Nuclear</w:t>
      </w:r>
      <w:proofErr w:type="gramEnd"/>
      <w:r w:rsidR="00213A0D">
        <w:t xml:space="preserve"> scenario results in a lower total volume </w:t>
      </w:r>
      <w:r w:rsidR="00213A0D" w:rsidRPr="002C5D3C">
        <w:t>of electricity being imported, thus increasing the independenc</w:t>
      </w:r>
      <w:r w:rsidR="00213A0D">
        <w:t>e</w:t>
      </w:r>
      <w:r w:rsidR="00213A0D" w:rsidRPr="002C5D3C">
        <w:t xml:space="preserve"> of </w:t>
      </w:r>
      <w:r w:rsidR="00213A0D">
        <w:t>the Estonian</w:t>
      </w:r>
      <w:r w:rsidR="00213A0D" w:rsidRPr="002C5D3C">
        <w:t xml:space="preserve"> energy system.</w:t>
      </w:r>
      <w:r w:rsidR="00213A0D">
        <w:t xml:space="preserve"> In choosing an energy trajectory for the country, national decision</w:t>
      </w:r>
      <w:r w:rsidR="009C4A99">
        <w:t xml:space="preserve"> </w:t>
      </w:r>
      <w:r w:rsidR="00213A0D">
        <w:t xml:space="preserve">makers </w:t>
      </w:r>
      <w:r w:rsidR="00790732">
        <w:t>may</w:t>
      </w:r>
      <w:r w:rsidR="00213A0D">
        <w:t xml:space="preserve"> </w:t>
      </w:r>
      <w:r w:rsidR="00790732">
        <w:t>consider</w:t>
      </w:r>
      <w:r w:rsidR="00213A0D">
        <w:t xml:space="preserve"> the relative importance of both economic and non-economic factors.</w:t>
      </w:r>
    </w:p>
    <w:p w14:paraId="46A8506B" w14:textId="3FD3843C" w:rsidR="002575BD" w:rsidRDefault="002575BD" w:rsidP="0055203F">
      <w:pPr>
        <w:pStyle w:val="Heading2"/>
      </w:pPr>
      <w:r>
        <w:t>CONCLUSIONS</w:t>
      </w:r>
    </w:p>
    <w:p w14:paraId="059F27D1" w14:textId="3DAA0A6E" w:rsidR="0091648A" w:rsidRDefault="00FC5B40" w:rsidP="00B32936">
      <w:pPr>
        <w:overflowPunct/>
        <w:autoSpaceDE/>
        <w:autoSpaceDN/>
        <w:adjustRightInd/>
        <w:ind w:firstLine="567"/>
        <w:jc w:val="both"/>
        <w:textAlignment w:val="auto"/>
        <w:rPr>
          <w:sz w:val="20"/>
        </w:rPr>
      </w:pPr>
      <w:r w:rsidRPr="002575BD">
        <w:rPr>
          <w:sz w:val="20"/>
        </w:rPr>
        <w:t xml:space="preserve">This </w:t>
      </w:r>
      <w:r>
        <w:rPr>
          <w:sz w:val="20"/>
        </w:rPr>
        <w:t>paper</w:t>
      </w:r>
      <w:r w:rsidRPr="002575BD">
        <w:rPr>
          <w:sz w:val="20"/>
        </w:rPr>
        <w:t xml:space="preserve"> </w:t>
      </w:r>
      <w:r w:rsidR="0045498A">
        <w:rPr>
          <w:sz w:val="20"/>
        </w:rPr>
        <w:t xml:space="preserve">presents a comparison of </w:t>
      </w:r>
      <w:r w:rsidR="00A60CBF">
        <w:rPr>
          <w:sz w:val="20"/>
        </w:rPr>
        <w:t xml:space="preserve">two possible </w:t>
      </w:r>
      <w:r w:rsidR="0064540E">
        <w:rPr>
          <w:sz w:val="20"/>
        </w:rPr>
        <w:t xml:space="preserve">trajectories </w:t>
      </w:r>
      <w:r w:rsidR="00A60CBF">
        <w:rPr>
          <w:sz w:val="20"/>
        </w:rPr>
        <w:t>of</w:t>
      </w:r>
      <w:r w:rsidR="00A60CBF" w:rsidRPr="002575BD">
        <w:rPr>
          <w:sz w:val="20"/>
        </w:rPr>
        <w:t xml:space="preserve"> Estonia’s energy system</w:t>
      </w:r>
      <w:r w:rsidR="00A60CBF">
        <w:rPr>
          <w:sz w:val="20"/>
        </w:rPr>
        <w:t xml:space="preserve">: a Reference scenario and a </w:t>
      </w:r>
      <w:proofErr w:type="gramStart"/>
      <w:r w:rsidR="00A60CBF">
        <w:rPr>
          <w:sz w:val="20"/>
        </w:rPr>
        <w:t>Nuclear</w:t>
      </w:r>
      <w:proofErr w:type="gramEnd"/>
      <w:r w:rsidR="00A60CBF">
        <w:rPr>
          <w:sz w:val="20"/>
        </w:rPr>
        <w:t xml:space="preserve"> scenario</w:t>
      </w:r>
      <w:r w:rsidRPr="002575BD">
        <w:rPr>
          <w:sz w:val="20"/>
        </w:rPr>
        <w:t xml:space="preserve">. </w:t>
      </w:r>
      <w:r w:rsidR="006A1A5D">
        <w:rPr>
          <w:sz w:val="20"/>
        </w:rPr>
        <w:t>In both</w:t>
      </w:r>
      <w:r w:rsidR="00B32936">
        <w:rPr>
          <w:sz w:val="20"/>
        </w:rPr>
        <w:t xml:space="preserve"> </w:t>
      </w:r>
      <w:r w:rsidR="006A1A5D">
        <w:rPr>
          <w:sz w:val="20"/>
        </w:rPr>
        <w:t>scenarios, CO</w:t>
      </w:r>
      <w:r w:rsidR="006A1A5D" w:rsidRPr="00C31C62">
        <w:rPr>
          <w:sz w:val="20"/>
          <w:vertAlign w:val="subscript"/>
        </w:rPr>
        <w:t>2</w:t>
      </w:r>
      <w:r w:rsidR="006A1A5D">
        <w:rPr>
          <w:sz w:val="20"/>
        </w:rPr>
        <w:t xml:space="preserve"> emission reduction targets </w:t>
      </w:r>
      <w:r w:rsidR="0045498A">
        <w:rPr>
          <w:sz w:val="20"/>
        </w:rPr>
        <w:t>could</w:t>
      </w:r>
      <w:r w:rsidR="006A1A5D">
        <w:rPr>
          <w:sz w:val="20"/>
        </w:rPr>
        <w:t xml:space="preserve"> be met with the phase</w:t>
      </w:r>
      <w:r w:rsidR="009C4A99">
        <w:rPr>
          <w:sz w:val="20"/>
        </w:rPr>
        <w:noBreakHyphen/>
      </w:r>
      <w:r w:rsidR="006A1A5D">
        <w:rPr>
          <w:sz w:val="20"/>
        </w:rPr>
        <w:t>out of oil shale and other intensive carbon sources, thus reducing carbon tax</w:t>
      </w:r>
      <w:r w:rsidR="00B32936">
        <w:rPr>
          <w:sz w:val="20"/>
        </w:rPr>
        <w:t xml:space="preserve"> costs</w:t>
      </w:r>
      <w:r w:rsidR="006A1A5D">
        <w:rPr>
          <w:sz w:val="20"/>
        </w:rPr>
        <w:t xml:space="preserve">. </w:t>
      </w:r>
      <w:r w:rsidR="0091648A">
        <w:rPr>
          <w:sz w:val="20"/>
        </w:rPr>
        <w:t>Furthermore, in both cases</w:t>
      </w:r>
      <w:r w:rsidR="0064540E">
        <w:rPr>
          <w:sz w:val="20"/>
        </w:rPr>
        <w:t>,</w:t>
      </w:r>
      <w:r w:rsidR="0091648A">
        <w:rPr>
          <w:sz w:val="20"/>
        </w:rPr>
        <w:t xml:space="preserve"> Estonia is expected to become a net energy exporter </w:t>
      </w:r>
      <w:r w:rsidR="0064540E">
        <w:rPr>
          <w:sz w:val="20"/>
        </w:rPr>
        <w:t>after</w:t>
      </w:r>
      <w:r w:rsidR="0091648A">
        <w:rPr>
          <w:sz w:val="20"/>
        </w:rPr>
        <w:t xml:space="preserve"> the year 2040,</w:t>
      </w:r>
      <w:r w:rsidR="0064540E">
        <w:rPr>
          <w:sz w:val="20"/>
        </w:rPr>
        <w:t xml:space="preserve"> by </w:t>
      </w:r>
      <w:r w:rsidR="0091648A">
        <w:rPr>
          <w:sz w:val="20"/>
        </w:rPr>
        <w:t>exporting surplus electricity generated by wind power.</w:t>
      </w:r>
    </w:p>
    <w:p w14:paraId="5D7B114F" w14:textId="14410B52" w:rsidR="000A580F" w:rsidRDefault="000A580F" w:rsidP="00B32936">
      <w:pPr>
        <w:overflowPunct/>
        <w:autoSpaceDE/>
        <w:autoSpaceDN/>
        <w:adjustRightInd/>
        <w:ind w:firstLine="567"/>
        <w:jc w:val="both"/>
        <w:textAlignment w:val="auto"/>
        <w:rPr>
          <w:sz w:val="20"/>
        </w:rPr>
      </w:pPr>
      <w:r w:rsidRPr="000A580F">
        <w:rPr>
          <w:sz w:val="20"/>
        </w:rPr>
        <w:t xml:space="preserve">Analysis </w:t>
      </w:r>
      <w:r>
        <w:rPr>
          <w:sz w:val="20"/>
        </w:rPr>
        <w:t>indicates</w:t>
      </w:r>
      <w:r w:rsidRPr="000A580F">
        <w:rPr>
          <w:sz w:val="20"/>
        </w:rPr>
        <w:t xml:space="preserve"> that compared to the Reference scenario, the deployment of two </w:t>
      </w:r>
      <w:r w:rsidR="0064540E">
        <w:rPr>
          <w:sz w:val="20"/>
        </w:rPr>
        <w:t xml:space="preserve">300 MW </w:t>
      </w:r>
      <w:r w:rsidRPr="000A580F">
        <w:rPr>
          <w:sz w:val="20"/>
        </w:rPr>
        <w:t xml:space="preserve">SMR plants in Estonia’s future energy system is marginally more costly by </w:t>
      </w:r>
      <w:r>
        <w:rPr>
          <w:sz w:val="20"/>
        </w:rPr>
        <w:t>2.7</w:t>
      </w:r>
      <w:r w:rsidRPr="000A580F">
        <w:rPr>
          <w:sz w:val="20"/>
        </w:rPr>
        <w:t>%</w:t>
      </w:r>
      <w:r w:rsidR="009C4A99">
        <w:rPr>
          <w:sz w:val="20"/>
        </w:rPr>
        <w:t xml:space="preserve"> (total discounted costs)</w:t>
      </w:r>
      <w:r w:rsidR="004B798C">
        <w:rPr>
          <w:sz w:val="20"/>
        </w:rPr>
        <w:t>. T</w:t>
      </w:r>
      <w:r w:rsidRPr="000A580F">
        <w:rPr>
          <w:sz w:val="20"/>
        </w:rPr>
        <w:t xml:space="preserve">his difference is based on the </w:t>
      </w:r>
      <w:r w:rsidR="00A22190">
        <w:rPr>
          <w:sz w:val="20"/>
        </w:rPr>
        <w:t>generation</w:t>
      </w:r>
      <w:r w:rsidRPr="000A580F">
        <w:rPr>
          <w:sz w:val="20"/>
        </w:rPr>
        <w:t xml:space="preserve"> cost and does not </w:t>
      </w:r>
      <w:r w:rsidR="009C4A99" w:rsidRPr="000A580F">
        <w:rPr>
          <w:sz w:val="20"/>
        </w:rPr>
        <w:t>consider</w:t>
      </w:r>
      <w:r w:rsidRPr="000A580F">
        <w:rPr>
          <w:sz w:val="20"/>
        </w:rPr>
        <w:t xml:space="preserve"> </w:t>
      </w:r>
      <w:r w:rsidR="004B798C">
        <w:rPr>
          <w:sz w:val="20"/>
        </w:rPr>
        <w:t>expenses</w:t>
      </w:r>
      <w:r w:rsidRPr="000A580F">
        <w:rPr>
          <w:sz w:val="20"/>
        </w:rPr>
        <w:t xml:space="preserve"> associated with grid investments or balancing, which could impact the currently observed differences</w:t>
      </w:r>
      <w:r>
        <w:rPr>
          <w:sz w:val="20"/>
        </w:rPr>
        <w:t xml:space="preserve">. </w:t>
      </w:r>
      <w:r w:rsidRPr="000A580F">
        <w:rPr>
          <w:sz w:val="20"/>
        </w:rPr>
        <w:t xml:space="preserve">To provide a more accurate and comprehensive evaluation of the Reference vs. Nuclear scenarios, future work could account for the </w:t>
      </w:r>
      <w:r w:rsidR="004B798C">
        <w:rPr>
          <w:sz w:val="20"/>
        </w:rPr>
        <w:t>present</w:t>
      </w:r>
      <w:r w:rsidRPr="000A580F">
        <w:rPr>
          <w:sz w:val="20"/>
        </w:rPr>
        <w:t xml:space="preserve"> status and future technical needs </w:t>
      </w:r>
      <w:r>
        <w:rPr>
          <w:sz w:val="20"/>
        </w:rPr>
        <w:t>of</w:t>
      </w:r>
      <w:r w:rsidRPr="000A580F">
        <w:rPr>
          <w:sz w:val="20"/>
        </w:rPr>
        <w:t xml:space="preserve"> the Estonian grid</w:t>
      </w:r>
      <w:r>
        <w:rPr>
          <w:sz w:val="20"/>
        </w:rPr>
        <w:t>.</w:t>
      </w:r>
    </w:p>
    <w:p w14:paraId="6AC9641B" w14:textId="7314076B" w:rsidR="000A580F" w:rsidRDefault="000A580F" w:rsidP="00B32936">
      <w:pPr>
        <w:overflowPunct/>
        <w:autoSpaceDE/>
        <w:autoSpaceDN/>
        <w:adjustRightInd/>
        <w:ind w:firstLine="567"/>
        <w:jc w:val="both"/>
        <w:textAlignment w:val="auto"/>
        <w:rPr>
          <w:sz w:val="20"/>
        </w:rPr>
      </w:pPr>
      <w:r>
        <w:rPr>
          <w:sz w:val="20"/>
        </w:rPr>
        <w:t>S</w:t>
      </w:r>
      <w:r w:rsidRPr="000A580F">
        <w:rPr>
          <w:sz w:val="20"/>
        </w:rPr>
        <w:t xml:space="preserve">everal factors such as energy security, system stability and reliability are not directly considered in the MESSAGE optimisation model. For example, the </w:t>
      </w:r>
      <w:proofErr w:type="gramStart"/>
      <w:r w:rsidRPr="000A580F">
        <w:rPr>
          <w:sz w:val="20"/>
        </w:rPr>
        <w:t>Nuclear</w:t>
      </w:r>
      <w:proofErr w:type="gramEnd"/>
      <w:r w:rsidRPr="000A580F">
        <w:rPr>
          <w:sz w:val="20"/>
        </w:rPr>
        <w:t xml:space="preserve"> scenario results in a lower total volume of electricity being imported, thus increasing the independence of the Estonian energy system. In choosing an energy trajectory for the country, national decisionmakers </w:t>
      </w:r>
      <w:r w:rsidR="00790732">
        <w:rPr>
          <w:sz w:val="20"/>
        </w:rPr>
        <w:t>may consider</w:t>
      </w:r>
      <w:r w:rsidRPr="000A580F">
        <w:rPr>
          <w:sz w:val="20"/>
        </w:rPr>
        <w:t xml:space="preserve"> the relative importance of both economic and non-economic factors.</w:t>
      </w:r>
    </w:p>
    <w:p w14:paraId="32B76F9D" w14:textId="77777777" w:rsidR="00D26ADA" w:rsidRPr="00285755" w:rsidRDefault="00D26ADA" w:rsidP="00537496">
      <w:pPr>
        <w:pStyle w:val="Otherunnumberedheadings"/>
      </w:pPr>
      <w:r>
        <w:t>References</w:t>
      </w:r>
    </w:p>
    <w:p w14:paraId="5FD2D27E" w14:textId="224F2125" w:rsidR="00AD4248" w:rsidRPr="00FB2FA1" w:rsidRDefault="00AD4248" w:rsidP="0055203F">
      <w:pPr>
        <w:numPr>
          <w:ilvl w:val="0"/>
          <w:numId w:val="39"/>
        </w:numPr>
        <w:pBdr>
          <w:top w:val="nil"/>
          <w:left w:val="nil"/>
          <w:bottom w:val="nil"/>
          <w:right w:val="nil"/>
          <w:between w:val="nil"/>
        </w:pBdr>
        <w:overflowPunct/>
        <w:autoSpaceDE/>
        <w:autoSpaceDN/>
        <w:adjustRightInd/>
        <w:jc w:val="both"/>
        <w:textAlignment w:val="auto"/>
        <w:rPr>
          <w:sz w:val="18"/>
          <w:szCs w:val="18"/>
        </w:rPr>
      </w:pPr>
      <w:r w:rsidRPr="00FB2FA1">
        <w:rPr>
          <w:sz w:val="18"/>
          <w:szCs w:val="18"/>
        </w:rPr>
        <w:t>STUDY IN ESTONIA, Nature and climate (2024</w:t>
      </w:r>
      <w:proofErr w:type="gramStart"/>
      <w:r w:rsidRPr="00FB2FA1">
        <w:rPr>
          <w:sz w:val="18"/>
          <w:szCs w:val="18"/>
        </w:rPr>
        <w:t>),</w:t>
      </w:r>
      <w:r w:rsidR="00FB2FA1">
        <w:rPr>
          <w:sz w:val="18"/>
          <w:szCs w:val="18"/>
        </w:rPr>
        <w:t xml:space="preserve"> </w:t>
      </w:r>
      <w:r w:rsidR="00FB2FA1" w:rsidRPr="00FB2FA1" w:rsidDel="00FB2FA1">
        <w:rPr>
          <w:sz w:val="18"/>
          <w:szCs w:val="18"/>
        </w:rPr>
        <w:t xml:space="preserve"> </w:t>
      </w:r>
      <w:r w:rsidR="00FB2FA1" w:rsidRPr="00FB2FA1">
        <w:rPr>
          <w:sz w:val="18"/>
          <w:szCs w:val="18"/>
        </w:rPr>
        <w:t>https://www.studyinestonia.ee/estonia/nature-and-climate</w:t>
      </w:r>
      <w:proofErr w:type="gramEnd"/>
    </w:p>
    <w:p w14:paraId="35E20743" w14:textId="7F9D4C5B" w:rsidR="00AD4248" w:rsidRPr="0055203F" w:rsidRDefault="00AD4248" w:rsidP="0055203F">
      <w:pPr>
        <w:numPr>
          <w:ilvl w:val="0"/>
          <w:numId w:val="39"/>
        </w:numPr>
        <w:pBdr>
          <w:top w:val="nil"/>
          <w:left w:val="nil"/>
          <w:bottom w:val="nil"/>
          <w:right w:val="nil"/>
          <w:between w:val="nil"/>
        </w:pBdr>
        <w:overflowPunct/>
        <w:autoSpaceDE/>
        <w:autoSpaceDN/>
        <w:adjustRightInd/>
        <w:jc w:val="both"/>
        <w:textAlignment w:val="auto"/>
        <w:rPr>
          <w:sz w:val="18"/>
          <w:szCs w:val="18"/>
        </w:rPr>
      </w:pPr>
      <w:bookmarkStart w:id="1" w:name="_Ref170404393"/>
      <w:r w:rsidRPr="00FB2FA1">
        <w:rPr>
          <w:sz w:val="18"/>
          <w:szCs w:val="18"/>
        </w:rPr>
        <w:t>OECD, Regional Outlook 2021 - Country Notes Estonia (2024),</w:t>
      </w:r>
      <w:r w:rsidR="00FB2FA1">
        <w:rPr>
          <w:sz w:val="18"/>
          <w:szCs w:val="18"/>
        </w:rPr>
        <w:t xml:space="preserve"> </w:t>
      </w:r>
      <w:r w:rsidR="00FB2FA1" w:rsidRPr="00FB2FA1">
        <w:rPr>
          <w:sz w:val="18"/>
          <w:szCs w:val="18"/>
        </w:rPr>
        <w:t>https://www.oecd.org/regional/RO2021%20Estonia.pdf</w:t>
      </w:r>
      <w:bookmarkEnd w:id="1"/>
    </w:p>
    <w:p w14:paraId="3B3D66DD" w14:textId="77777777" w:rsidR="00AD4248" w:rsidRPr="00FB2FA1" w:rsidRDefault="00AD4248" w:rsidP="001A0E32">
      <w:pPr>
        <w:numPr>
          <w:ilvl w:val="0"/>
          <w:numId w:val="39"/>
        </w:numPr>
        <w:pBdr>
          <w:top w:val="nil"/>
          <w:left w:val="nil"/>
          <w:bottom w:val="nil"/>
          <w:right w:val="nil"/>
          <w:between w:val="nil"/>
        </w:pBdr>
        <w:overflowPunct/>
        <w:autoSpaceDE/>
        <w:autoSpaceDN/>
        <w:adjustRightInd/>
        <w:jc w:val="both"/>
        <w:textAlignment w:val="auto"/>
        <w:rPr>
          <w:sz w:val="18"/>
          <w:szCs w:val="18"/>
        </w:rPr>
      </w:pPr>
      <w:bookmarkStart w:id="2" w:name="_Ref170404406"/>
      <w:r w:rsidRPr="00FB2FA1">
        <w:rPr>
          <w:sz w:val="18"/>
          <w:szCs w:val="18"/>
        </w:rPr>
        <w:t xml:space="preserve">EUROPEAN </w:t>
      </w:r>
      <w:proofErr w:type="gramStart"/>
      <w:r w:rsidRPr="00FB2FA1">
        <w:rPr>
          <w:sz w:val="18"/>
          <w:szCs w:val="18"/>
        </w:rPr>
        <w:t>COMMISSION,  Renewable</w:t>
      </w:r>
      <w:proofErr w:type="gramEnd"/>
      <w:r w:rsidRPr="00FB2FA1">
        <w:rPr>
          <w:sz w:val="18"/>
          <w:szCs w:val="18"/>
        </w:rPr>
        <w:t xml:space="preserve"> Energy Targets (2024), https://energy.ec.europa.eu/topics/renewable-energy/renewable-energy-directive-targets-and-rules/renewable-energy-targets_en</w:t>
      </w:r>
      <w:bookmarkEnd w:id="2"/>
    </w:p>
    <w:p w14:paraId="77E66ED0" w14:textId="77777777" w:rsidR="000D4926" w:rsidRPr="00FB2FA1" w:rsidRDefault="000D4926" w:rsidP="000D4926">
      <w:pPr>
        <w:numPr>
          <w:ilvl w:val="0"/>
          <w:numId w:val="39"/>
        </w:numPr>
        <w:pBdr>
          <w:top w:val="nil"/>
          <w:left w:val="nil"/>
          <w:bottom w:val="nil"/>
          <w:right w:val="nil"/>
          <w:between w:val="nil"/>
        </w:pBdr>
        <w:overflowPunct/>
        <w:autoSpaceDE/>
        <w:autoSpaceDN/>
        <w:adjustRightInd/>
        <w:jc w:val="both"/>
        <w:textAlignment w:val="auto"/>
        <w:rPr>
          <w:sz w:val="18"/>
          <w:szCs w:val="18"/>
        </w:rPr>
      </w:pPr>
      <w:bookmarkStart w:id="3" w:name="_Ref170404463"/>
      <w:r w:rsidRPr="00FB2FA1">
        <w:rPr>
          <w:sz w:val="18"/>
          <w:szCs w:val="18"/>
        </w:rPr>
        <w:t xml:space="preserve">ELERING, Electricity consumption and production (2024), </w:t>
      </w:r>
      <w:hyperlink r:id="rId14">
        <w:r w:rsidRPr="00FB2FA1">
          <w:rPr>
            <w:color w:val="1155CC"/>
            <w:sz w:val="18"/>
            <w:szCs w:val="18"/>
            <w:u w:val="single"/>
          </w:rPr>
          <w:t>https://elering.ee/en/electricity-consumption-and-production</w:t>
        </w:r>
      </w:hyperlink>
    </w:p>
    <w:p w14:paraId="76D784B4" w14:textId="3F67CEC5" w:rsidR="000A3701" w:rsidRPr="00FB2FA1" w:rsidRDefault="00876930" w:rsidP="000A3701">
      <w:pPr>
        <w:numPr>
          <w:ilvl w:val="0"/>
          <w:numId w:val="39"/>
        </w:numPr>
        <w:pBdr>
          <w:top w:val="nil"/>
          <w:left w:val="nil"/>
          <w:bottom w:val="nil"/>
          <w:right w:val="nil"/>
          <w:between w:val="nil"/>
        </w:pBdr>
        <w:overflowPunct/>
        <w:autoSpaceDE/>
        <w:autoSpaceDN/>
        <w:adjustRightInd/>
        <w:jc w:val="both"/>
        <w:textAlignment w:val="auto"/>
        <w:rPr>
          <w:sz w:val="18"/>
          <w:szCs w:val="18"/>
        </w:rPr>
      </w:pPr>
      <w:bookmarkStart w:id="4" w:name="_Ref170404435"/>
      <w:r>
        <w:rPr>
          <w:sz w:val="18"/>
          <w:szCs w:val="18"/>
        </w:rPr>
        <w:t>ENTSO-E</w:t>
      </w:r>
      <w:r w:rsidR="000A3701" w:rsidRPr="00FB2FA1">
        <w:rPr>
          <w:sz w:val="18"/>
          <w:szCs w:val="18"/>
        </w:rPr>
        <w:t xml:space="preserve">, </w:t>
      </w:r>
      <w:r w:rsidRPr="00876930">
        <w:rPr>
          <w:sz w:val="18"/>
          <w:szCs w:val="18"/>
        </w:rPr>
        <w:t>Installed Capacity per Production Type</w:t>
      </w:r>
      <w:r>
        <w:rPr>
          <w:sz w:val="18"/>
          <w:szCs w:val="18"/>
        </w:rPr>
        <w:t xml:space="preserve"> </w:t>
      </w:r>
      <w:r w:rsidR="000A3701" w:rsidRPr="00FB2FA1">
        <w:rPr>
          <w:sz w:val="18"/>
          <w:szCs w:val="18"/>
        </w:rPr>
        <w:t xml:space="preserve">21.03.2024 (2024), </w:t>
      </w:r>
      <w:bookmarkEnd w:id="4"/>
      <w:r w:rsidRPr="00876930">
        <w:rPr>
          <w:sz w:val="18"/>
          <w:szCs w:val="18"/>
        </w:rPr>
        <w:t>https://transparency.entsoe.eu/generation/r2/installedGenerationCapacityAggregation/show</w:t>
      </w:r>
    </w:p>
    <w:p w14:paraId="5A0F90FE" w14:textId="77777777" w:rsidR="00AD4248" w:rsidRPr="0055203F" w:rsidRDefault="00AD4248" w:rsidP="001A0E32">
      <w:pPr>
        <w:numPr>
          <w:ilvl w:val="0"/>
          <w:numId w:val="39"/>
        </w:numPr>
        <w:pBdr>
          <w:top w:val="nil"/>
          <w:left w:val="nil"/>
          <w:bottom w:val="nil"/>
          <w:right w:val="nil"/>
          <w:between w:val="nil"/>
        </w:pBdr>
        <w:overflowPunct/>
        <w:autoSpaceDE/>
        <w:autoSpaceDN/>
        <w:adjustRightInd/>
        <w:jc w:val="both"/>
        <w:textAlignment w:val="auto"/>
        <w:rPr>
          <w:sz w:val="18"/>
          <w:szCs w:val="18"/>
        </w:rPr>
      </w:pPr>
      <w:bookmarkStart w:id="5" w:name="_Ref170404448"/>
      <w:bookmarkEnd w:id="3"/>
      <w:r w:rsidRPr="00FB2FA1">
        <w:rPr>
          <w:sz w:val="18"/>
          <w:szCs w:val="18"/>
        </w:rPr>
        <w:t xml:space="preserve">ESTONIA’S MINISTRY OF ECONOMIC AFFAIRS AND COMMUNICATIONS, Possibilities of Efficiency in Heating and Cooling in Estonia (2016), </w:t>
      </w:r>
      <w:hyperlink r:id="rId15">
        <w:r w:rsidRPr="00FB2FA1">
          <w:rPr>
            <w:color w:val="1155CC"/>
            <w:sz w:val="18"/>
            <w:szCs w:val="18"/>
            <w:u w:val="single"/>
          </w:rPr>
          <w:t>https://energy.ec.europa.eu/system/files/2016-04/Art%252014%25281%2529%2520Estonia%2520EN_0.pdf</w:t>
        </w:r>
      </w:hyperlink>
      <w:bookmarkEnd w:id="5"/>
    </w:p>
    <w:p w14:paraId="61FC4885" w14:textId="475386EE" w:rsidR="00A05D50" w:rsidRPr="0055203F" w:rsidRDefault="00A05D50" w:rsidP="001A0E32">
      <w:pPr>
        <w:numPr>
          <w:ilvl w:val="0"/>
          <w:numId w:val="39"/>
        </w:numPr>
        <w:pBdr>
          <w:top w:val="nil"/>
          <w:left w:val="nil"/>
          <w:bottom w:val="nil"/>
          <w:right w:val="nil"/>
          <w:between w:val="nil"/>
        </w:pBdr>
        <w:overflowPunct/>
        <w:autoSpaceDE/>
        <w:autoSpaceDN/>
        <w:adjustRightInd/>
        <w:jc w:val="both"/>
        <w:textAlignment w:val="auto"/>
        <w:rPr>
          <w:sz w:val="18"/>
          <w:szCs w:val="18"/>
        </w:rPr>
      </w:pPr>
      <w:r w:rsidRPr="00FB2FA1">
        <w:rPr>
          <w:sz w:val="18"/>
          <w:szCs w:val="18"/>
        </w:rPr>
        <w:t xml:space="preserve">INTERNATIONAL ENERGY AGENCY, Estonia (2024), </w:t>
      </w:r>
      <w:hyperlink r:id="rId16">
        <w:r w:rsidRPr="00FB2FA1">
          <w:rPr>
            <w:color w:val="1155CC"/>
            <w:sz w:val="18"/>
            <w:szCs w:val="18"/>
            <w:u w:val="single"/>
          </w:rPr>
          <w:t>https://www.iea.org/countries/estonia/energy-mix</w:t>
        </w:r>
      </w:hyperlink>
    </w:p>
    <w:p w14:paraId="4753F1C7" w14:textId="0D6E4F11" w:rsidR="000A3701" w:rsidRPr="00A05D50" w:rsidRDefault="000A3701" w:rsidP="00A05D50">
      <w:pPr>
        <w:numPr>
          <w:ilvl w:val="0"/>
          <w:numId w:val="39"/>
        </w:numPr>
        <w:pBdr>
          <w:top w:val="nil"/>
          <w:left w:val="nil"/>
          <w:bottom w:val="nil"/>
          <w:right w:val="nil"/>
          <w:between w:val="nil"/>
        </w:pBdr>
        <w:overflowPunct/>
        <w:autoSpaceDE/>
        <w:autoSpaceDN/>
        <w:adjustRightInd/>
        <w:jc w:val="both"/>
        <w:textAlignment w:val="auto"/>
        <w:rPr>
          <w:sz w:val="18"/>
          <w:szCs w:val="18"/>
        </w:rPr>
      </w:pPr>
      <w:r w:rsidRPr="00FB2FA1">
        <w:rPr>
          <w:sz w:val="18"/>
          <w:szCs w:val="18"/>
        </w:rPr>
        <w:t xml:space="preserve">LEPMETS, J., Country Report Estonia - Energy Without Russia (2023), </w:t>
      </w:r>
      <w:hyperlink r:id="rId17">
        <w:r w:rsidRPr="00FB2FA1">
          <w:rPr>
            <w:color w:val="1155CC"/>
            <w:sz w:val="18"/>
            <w:szCs w:val="18"/>
            <w:u w:val="single"/>
          </w:rPr>
          <w:t>https://library.fes.de/pdf-files/bueros/budapest/20486.pdf</w:t>
        </w:r>
      </w:hyperlink>
    </w:p>
    <w:p w14:paraId="6C0EF297" w14:textId="77777777" w:rsidR="00AD4248" w:rsidRPr="00ED7927" w:rsidRDefault="00AD4248" w:rsidP="001A0E32">
      <w:pPr>
        <w:numPr>
          <w:ilvl w:val="0"/>
          <w:numId w:val="39"/>
        </w:numPr>
        <w:pBdr>
          <w:top w:val="nil"/>
          <w:left w:val="nil"/>
          <w:bottom w:val="nil"/>
          <w:right w:val="nil"/>
          <w:between w:val="nil"/>
        </w:pBdr>
        <w:overflowPunct/>
        <w:autoSpaceDE/>
        <w:autoSpaceDN/>
        <w:adjustRightInd/>
        <w:jc w:val="both"/>
        <w:textAlignment w:val="auto"/>
        <w:rPr>
          <w:sz w:val="18"/>
          <w:szCs w:val="18"/>
          <w:lang w:val="fr-FR"/>
        </w:rPr>
      </w:pPr>
      <w:bookmarkStart w:id="6" w:name="_Ref170404290"/>
      <w:bookmarkStart w:id="7" w:name="_Ref170400729"/>
      <w:r w:rsidRPr="00ED7927">
        <w:rPr>
          <w:sz w:val="18"/>
          <w:szCs w:val="18"/>
          <w:lang w:val="fr-FR"/>
        </w:rPr>
        <w:t xml:space="preserve">EU COMMISSION, Energy </w:t>
      </w:r>
      <w:proofErr w:type="gramStart"/>
      <w:r w:rsidRPr="00ED7927">
        <w:rPr>
          <w:sz w:val="18"/>
          <w:szCs w:val="18"/>
          <w:lang w:val="fr-FR"/>
        </w:rPr>
        <w:t>datasheets:</w:t>
      </w:r>
      <w:proofErr w:type="gramEnd"/>
      <w:r w:rsidRPr="00ED7927">
        <w:rPr>
          <w:sz w:val="18"/>
          <w:szCs w:val="18"/>
          <w:lang w:val="fr-FR"/>
        </w:rPr>
        <w:t xml:space="preserve"> EU countries (2024), </w:t>
      </w:r>
      <w:hyperlink r:id="rId18">
        <w:r w:rsidRPr="00ED7927">
          <w:rPr>
            <w:color w:val="1155CC"/>
            <w:sz w:val="18"/>
            <w:szCs w:val="18"/>
            <w:u w:val="single"/>
            <w:lang w:val="fr-FR"/>
          </w:rPr>
          <w:t>https://energy.ec.europa.eu/document/download/6b6b548d-96f0-401b-84ed-0dc8f85a1110_en?filename=Energy%20statistical%20country%20datasheets%202024-04%20for%20web.xlsx</w:t>
        </w:r>
      </w:hyperlink>
      <w:bookmarkEnd w:id="6"/>
      <w:bookmarkEnd w:id="7"/>
    </w:p>
    <w:p w14:paraId="3A216BF0" w14:textId="73867200" w:rsidR="000A3701" w:rsidRPr="00A0616C" w:rsidRDefault="000A3701" w:rsidP="000A3701">
      <w:pPr>
        <w:numPr>
          <w:ilvl w:val="0"/>
          <w:numId w:val="39"/>
        </w:numPr>
        <w:pBdr>
          <w:top w:val="nil"/>
          <w:left w:val="nil"/>
          <w:bottom w:val="nil"/>
          <w:right w:val="nil"/>
          <w:between w:val="nil"/>
        </w:pBdr>
        <w:overflowPunct/>
        <w:autoSpaceDE/>
        <w:autoSpaceDN/>
        <w:adjustRightInd/>
        <w:jc w:val="both"/>
        <w:textAlignment w:val="auto"/>
        <w:rPr>
          <w:rStyle w:val="Hyperlink"/>
          <w:color w:val="auto"/>
          <w:sz w:val="18"/>
          <w:szCs w:val="18"/>
          <w:u w:val="none"/>
        </w:rPr>
      </w:pPr>
      <w:r w:rsidRPr="00FB2FA1">
        <w:rPr>
          <w:sz w:val="18"/>
          <w:szCs w:val="18"/>
          <w:lang w:val="en-US"/>
        </w:rPr>
        <w:t xml:space="preserve">MINISTRY OF CLIMATE OF ESTONIA, </w:t>
      </w:r>
      <w:proofErr w:type="spellStart"/>
      <w:r w:rsidRPr="00FB2FA1">
        <w:rPr>
          <w:sz w:val="18"/>
          <w:szCs w:val="18"/>
          <w:lang w:val="en-US"/>
        </w:rPr>
        <w:t>Tuumaenergia</w:t>
      </w:r>
      <w:proofErr w:type="spellEnd"/>
      <w:r w:rsidRPr="00FB2FA1">
        <w:rPr>
          <w:sz w:val="18"/>
          <w:szCs w:val="18"/>
          <w:lang w:val="en-US"/>
        </w:rPr>
        <w:t xml:space="preserve"> </w:t>
      </w:r>
      <w:proofErr w:type="spellStart"/>
      <w:r w:rsidRPr="00FB2FA1">
        <w:rPr>
          <w:sz w:val="18"/>
          <w:szCs w:val="18"/>
          <w:lang w:val="en-US"/>
        </w:rPr>
        <w:t>töörühma</w:t>
      </w:r>
      <w:proofErr w:type="spellEnd"/>
      <w:r w:rsidRPr="00FB2FA1">
        <w:rPr>
          <w:sz w:val="18"/>
          <w:szCs w:val="18"/>
          <w:lang w:val="en-US"/>
        </w:rPr>
        <w:t xml:space="preserve"> </w:t>
      </w:r>
      <w:proofErr w:type="spellStart"/>
      <w:r w:rsidRPr="00FB2FA1">
        <w:rPr>
          <w:sz w:val="18"/>
          <w:szCs w:val="18"/>
          <w:lang w:val="en-US"/>
        </w:rPr>
        <w:t>lõpparuanne</w:t>
      </w:r>
      <w:proofErr w:type="spellEnd"/>
      <w:r w:rsidRPr="00FB2FA1">
        <w:rPr>
          <w:sz w:val="18"/>
          <w:szCs w:val="18"/>
          <w:lang w:val="en-US"/>
        </w:rPr>
        <w:t xml:space="preserve"> (2023), </w:t>
      </w:r>
      <w:hyperlink r:id="rId19" w:history="1">
        <w:r w:rsidR="0049617C" w:rsidRPr="0094203B">
          <w:rPr>
            <w:rStyle w:val="Hyperlink"/>
            <w:sz w:val="18"/>
            <w:szCs w:val="18"/>
            <w:lang w:val="en-US"/>
          </w:rPr>
          <w:t>https://kliimaministeerium.ee/sites/default/files/documents/2023-12/Tuumaenergia%20t%C3%B6%C3%B6r%C3%BChma%20l%C3%B5pparuanne.pdf</w:t>
        </w:r>
      </w:hyperlink>
    </w:p>
    <w:p w14:paraId="35D0FA29" w14:textId="0D86E7D0" w:rsidR="00A0616C" w:rsidRPr="0055203F" w:rsidRDefault="00FB2C78" w:rsidP="000A3701">
      <w:pPr>
        <w:numPr>
          <w:ilvl w:val="0"/>
          <w:numId w:val="39"/>
        </w:numPr>
        <w:pBdr>
          <w:top w:val="nil"/>
          <w:left w:val="nil"/>
          <w:bottom w:val="nil"/>
          <w:right w:val="nil"/>
          <w:between w:val="nil"/>
        </w:pBdr>
        <w:overflowPunct/>
        <w:autoSpaceDE/>
        <w:autoSpaceDN/>
        <w:adjustRightInd/>
        <w:jc w:val="both"/>
        <w:textAlignment w:val="auto"/>
        <w:rPr>
          <w:sz w:val="18"/>
          <w:szCs w:val="18"/>
        </w:rPr>
      </w:pPr>
      <w:r>
        <w:rPr>
          <w:sz w:val="18"/>
          <w:szCs w:val="18"/>
        </w:rPr>
        <w:t>INTERNATIONAL ATOMIC ENERGY AGENCY, Energy modelling tools 05.09.2024</w:t>
      </w:r>
      <w:r w:rsidR="00E70581">
        <w:rPr>
          <w:sz w:val="18"/>
          <w:szCs w:val="18"/>
        </w:rPr>
        <w:t xml:space="preserve"> (2024), </w:t>
      </w:r>
      <w:r w:rsidR="00A0616C" w:rsidRPr="00A0616C">
        <w:rPr>
          <w:sz w:val="18"/>
          <w:szCs w:val="18"/>
        </w:rPr>
        <w:t>https://www.iaea.org/topics/energy-planning/energy-modelling-tools</w:t>
      </w:r>
    </w:p>
    <w:p w14:paraId="082C9F7C" w14:textId="05634369" w:rsidR="0012546F" w:rsidRPr="0012546F" w:rsidRDefault="0049617C" w:rsidP="0012546F">
      <w:pPr>
        <w:numPr>
          <w:ilvl w:val="0"/>
          <w:numId w:val="39"/>
        </w:numPr>
        <w:pBdr>
          <w:top w:val="nil"/>
          <w:left w:val="nil"/>
          <w:bottom w:val="nil"/>
          <w:right w:val="nil"/>
          <w:between w:val="nil"/>
        </w:pBdr>
        <w:overflowPunct/>
        <w:autoSpaceDE/>
        <w:autoSpaceDN/>
        <w:adjustRightInd/>
        <w:jc w:val="both"/>
        <w:textAlignment w:val="auto"/>
        <w:rPr>
          <w:sz w:val="18"/>
          <w:szCs w:val="18"/>
        </w:rPr>
      </w:pPr>
      <w:r w:rsidRPr="007F28B5">
        <w:rPr>
          <w:sz w:val="18"/>
          <w:szCs w:val="18"/>
        </w:rPr>
        <w:t xml:space="preserve">ENTSO-E, Power Statistics (2023), </w:t>
      </w:r>
      <w:hyperlink r:id="rId20" w:history="1">
        <w:r w:rsidRPr="007F28B5">
          <w:rPr>
            <w:rStyle w:val="Hyperlink"/>
            <w:sz w:val="18"/>
            <w:szCs w:val="18"/>
          </w:rPr>
          <w:t>https://www.entsoe.eu/data/power-stats/</w:t>
        </w:r>
      </w:hyperlink>
    </w:p>
    <w:p w14:paraId="2C59833D" w14:textId="77777777" w:rsidR="000A3701" w:rsidRPr="007F28B5" w:rsidRDefault="000A3701" w:rsidP="000A3701">
      <w:pPr>
        <w:numPr>
          <w:ilvl w:val="0"/>
          <w:numId w:val="39"/>
        </w:numPr>
        <w:pBdr>
          <w:top w:val="nil"/>
          <w:left w:val="nil"/>
          <w:bottom w:val="nil"/>
          <w:right w:val="nil"/>
          <w:between w:val="nil"/>
        </w:pBdr>
        <w:overflowPunct/>
        <w:autoSpaceDE/>
        <w:autoSpaceDN/>
        <w:adjustRightInd/>
        <w:jc w:val="both"/>
        <w:textAlignment w:val="auto"/>
        <w:rPr>
          <w:sz w:val="18"/>
          <w:szCs w:val="18"/>
        </w:rPr>
      </w:pPr>
      <w:r w:rsidRPr="007F28B5">
        <w:rPr>
          <w:sz w:val="18"/>
          <w:szCs w:val="18"/>
        </w:rPr>
        <w:t xml:space="preserve">RENEWABLES NINJA (2024), </w:t>
      </w:r>
      <w:hyperlink r:id="rId21" w:history="1">
        <w:r w:rsidRPr="007F28B5">
          <w:rPr>
            <w:rStyle w:val="Hyperlink"/>
            <w:sz w:val="18"/>
            <w:szCs w:val="18"/>
          </w:rPr>
          <w:t>https://www.renewables.ninja/</w:t>
        </w:r>
      </w:hyperlink>
    </w:p>
    <w:p w14:paraId="362B9C7A" w14:textId="77777777" w:rsidR="000A3701" w:rsidRPr="007F28B5" w:rsidRDefault="000A3701" w:rsidP="000A3701">
      <w:pPr>
        <w:numPr>
          <w:ilvl w:val="0"/>
          <w:numId w:val="39"/>
        </w:numPr>
        <w:pBdr>
          <w:top w:val="nil"/>
          <w:left w:val="nil"/>
          <w:bottom w:val="nil"/>
          <w:right w:val="nil"/>
          <w:between w:val="nil"/>
        </w:pBdr>
        <w:overflowPunct/>
        <w:autoSpaceDE/>
        <w:autoSpaceDN/>
        <w:adjustRightInd/>
        <w:jc w:val="both"/>
        <w:textAlignment w:val="auto"/>
        <w:rPr>
          <w:sz w:val="18"/>
          <w:szCs w:val="18"/>
        </w:rPr>
      </w:pPr>
      <w:r w:rsidRPr="007F28B5">
        <w:rPr>
          <w:sz w:val="18"/>
          <w:szCs w:val="18"/>
        </w:rPr>
        <w:t>EUROPEAN COMMISSION, Recommended parameters for reporting on GHG projections in 2023 (2022)</w:t>
      </w:r>
    </w:p>
    <w:p w14:paraId="3BA56E06" w14:textId="77777777" w:rsidR="00F45EEE" w:rsidRPr="00662532" w:rsidRDefault="00F45EEE" w:rsidP="0055203F"/>
    <w:sectPr w:rsidR="00F45EEE" w:rsidRPr="00662532" w:rsidSect="00EB4541">
      <w:headerReference w:type="even" r:id="rId22"/>
      <w:headerReference w:type="default" r:id="rId23"/>
      <w:footerReference w:type="even" r:id="rId24"/>
      <w:footerReference w:type="default" r:id="rId25"/>
      <w:headerReference w:type="first" r:id="rId26"/>
      <w:footerReference w:type="first" r:id="rId27"/>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61B47" w14:textId="77777777" w:rsidR="00530444" w:rsidRDefault="00530444">
      <w:r>
        <w:separator/>
      </w:r>
    </w:p>
  </w:endnote>
  <w:endnote w:type="continuationSeparator" w:id="0">
    <w:p w14:paraId="71D3AC4D" w14:textId="77777777" w:rsidR="00530444" w:rsidRDefault="00530444">
      <w:r>
        <w:continuationSeparator/>
      </w:r>
    </w:p>
  </w:endnote>
  <w:endnote w:type="continuationNotice" w:id="1">
    <w:p w14:paraId="0E3DB9D4" w14:textId="77777777" w:rsidR="00530444" w:rsidRDefault="00530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9"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9"/>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10"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270DA" w14:textId="77777777" w:rsidR="00530444" w:rsidRDefault="00530444">
      <w:r>
        <w:t>___________________________________________________________________________</w:t>
      </w:r>
    </w:p>
  </w:footnote>
  <w:footnote w:type="continuationSeparator" w:id="0">
    <w:p w14:paraId="1FDA32FC" w14:textId="77777777" w:rsidR="00530444" w:rsidRDefault="00530444">
      <w:r>
        <w:t>___________________________________________________________________________</w:t>
      </w:r>
    </w:p>
  </w:footnote>
  <w:footnote w:type="continuationNotice" w:id="1">
    <w:p w14:paraId="62C0C3E8" w14:textId="77777777" w:rsidR="00530444" w:rsidRDefault="005304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211326A6" w:rsidR="00CF7AF3" w:rsidRDefault="00CF7AF3" w:rsidP="00CF7AF3">
    <w:pPr>
      <w:pStyle w:val="Runninghead"/>
    </w:pPr>
    <w:r>
      <w:tab/>
      <w:t>IAEA-CN-</w:t>
    </w:r>
    <w:r w:rsidR="00AC1C06">
      <w:t>327/91</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EF17" w14:textId="5CCB6682" w:rsidR="00037321" w:rsidRPr="0079322B" w:rsidRDefault="0079322B" w:rsidP="0079322B">
    <w:pPr>
      <w:pBdr>
        <w:top w:val="nil"/>
        <w:left w:val="nil"/>
        <w:bottom w:val="nil"/>
        <w:right w:val="nil"/>
        <w:between w:val="nil"/>
      </w:pBdr>
      <w:jc w:val="center"/>
      <w:rPr>
        <w:b/>
        <w:color w:val="000000"/>
        <w:sz w:val="16"/>
        <w:szCs w:val="16"/>
      </w:rPr>
    </w:pPr>
    <w:r>
      <w:rPr>
        <w:b/>
        <w:sz w:val="16"/>
        <w:szCs w:val="16"/>
      </w:rPr>
      <w:t>IVASK</w:t>
    </w:r>
    <w:r w:rsidR="00AC1C06">
      <w:rPr>
        <w:b/>
        <w:sz w:val="16"/>
        <w:szCs w:val="16"/>
      </w:rPr>
      <w:t>, TKACZYK</w:t>
    </w:r>
    <w:r>
      <w:rPr>
        <w:b/>
        <w:color w:val="000000"/>
        <w:sz w:val="16"/>
        <w:szCs w:val="16"/>
      </w:rPr>
      <w:t xml:space="preserve"> </w:t>
    </w:r>
    <w:r>
      <w:rPr>
        <w:b/>
        <w:sz w:val="16"/>
        <w:szCs w:val="16"/>
      </w:rPr>
      <w:t>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8"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8"/>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1BF"/>
    <w:multiLevelType w:val="multilevel"/>
    <w:tmpl w:val="349A6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17F56E1"/>
    <w:multiLevelType w:val="multilevel"/>
    <w:tmpl w:val="A02428F0"/>
    <w:lvl w:ilvl="0">
      <w:start w:val="1"/>
      <w:numFmt w:val="decimal"/>
      <w:lvlText w:val=""/>
      <w:lvlJc w:val="left"/>
      <w:pPr>
        <w:ind w:left="0" w:firstLine="0"/>
      </w:pPr>
    </w:lvl>
    <w:lvl w:ilvl="1">
      <w:start w:val="1"/>
      <w:numFmt w:val="decimal"/>
      <w:lvlText w:val="%1%2."/>
      <w:lvlJc w:val="left"/>
      <w:pPr>
        <w:ind w:left="0" w:firstLine="0"/>
      </w:pPr>
      <w:rPr>
        <w:color w:val="000000"/>
      </w:rPr>
    </w:lvl>
    <w:lvl w:ilvl="2">
      <w:start w:val="1"/>
      <w:numFmt w:val="decimal"/>
      <w:lvlText w:val="%1%2.%3."/>
      <w:lvlJc w:val="left"/>
      <w:pPr>
        <w:ind w:left="0" w:firstLine="0"/>
      </w:pPr>
    </w:lvl>
    <w:lvl w:ilvl="3">
      <w:start w:val="1"/>
      <w:numFmt w:val="decimal"/>
      <w:lvlText w:val=""/>
      <w:lvlJc w:val="left"/>
      <w:pPr>
        <w:ind w:left="1701" w:firstLine="0"/>
      </w:pPr>
    </w:lvl>
    <w:lvl w:ilvl="4">
      <w:start w:val="1"/>
      <w:numFmt w:val="lowerLetter"/>
      <w:lvlText w:val="%1(%5)"/>
      <w:lvlJc w:val="left"/>
      <w:pPr>
        <w:ind w:left="2268" w:firstLine="0"/>
      </w:pPr>
      <w:rPr>
        <w:sz w:val="20"/>
        <w:szCs w:val="20"/>
      </w:rPr>
    </w:lvl>
    <w:lvl w:ilvl="5">
      <w:start w:val="1"/>
      <w:numFmt w:val="decimal"/>
      <w:lvlText w:val="%1.%2.%3.%4.%5.%6"/>
      <w:lvlJc w:val="left"/>
      <w:pPr>
        <w:ind w:left="2835" w:firstLine="0"/>
      </w:pPr>
    </w:lvl>
    <w:lvl w:ilvl="6">
      <w:start w:val="1"/>
      <w:numFmt w:val="decimal"/>
      <w:lvlText w:val="%1.%2.%3.%4.%5.%6.%7"/>
      <w:lvlJc w:val="left"/>
      <w:pPr>
        <w:ind w:left="2432" w:hanging="1298"/>
      </w:pPr>
    </w:lvl>
    <w:lvl w:ilvl="7">
      <w:start w:val="1"/>
      <w:numFmt w:val="decimal"/>
      <w:lvlText w:val="%1.%2.%3.%4.%5.%6.%7.%8"/>
      <w:lvlJc w:val="left"/>
      <w:pPr>
        <w:ind w:left="2574" w:hanging="1440"/>
      </w:pPr>
    </w:lvl>
    <w:lvl w:ilvl="8">
      <w:start w:val="1"/>
      <w:numFmt w:val="decimal"/>
      <w:lvlText w:val="%1.%2.%3.%4.%5.%6.%7.%8.%9"/>
      <w:lvlJc w:val="left"/>
      <w:pPr>
        <w:ind w:left="2716" w:hanging="1581"/>
      </w:pPr>
    </w:lvl>
  </w:abstractNum>
  <w:abstractNum w:abstractNumId="4"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A04E03"/>
    <w:multiLevelType w:val="hybridMultilevel"/>
    <w:tmpl w:val="3382655C"/>
    <w:lvl w:ilvl="0" w:tplc="F54E4B70">
      <w:start w:val="1"/>
      <w:numFmt w:val="bullet"/>
      <w:lvlText w:val="-"/>
      <w:lvlJc w:val="left"/>
      <w:pPr>
        <w:ind w:left="927" w:hanging="360"/>
      </w:pPr>
      <w:rPr>
        <w:rFonts w:ascii="Aptos" w:hAnsi="Aptos" w:hint="default"/>
      </w:rPr>
    </w:lvl>
    <w:lvl w:ilvl="1" w:tplc="738674B6">
      <w:start w:val="1"/>
      <w:numFmt w:val="bullet"/>
      <w:lvlText w:val="o"/>
      <w:lvlJc w:val="left"/>
      <w:pPr>
        <w:ind w:left="1647" w:hanging="360"/>
      </w:pPr>
      <w:rPr>
        <w:rFonts w:ascii="Courier New" w:hAnsi="Courier New" w:hint="default"/>
      </w:rPr>
    </w:lvl>
    <w:lvl w:ilvl="2" w:tplc="C5ECA06A">
      <w:start w:val="1"/>
      <w:numFmt w:val="bullet"/>
      <w:lvlText w:val=""/>
      <w:lvlJc w:val="left"/>
      <w:pPr>
        <w:ind w:left="2367" w:hanging="360"/>
      </w:pPr>
      <w:rPr>
        <w:rFonts w:ascii="Wingdings" w:hAnsi="Wingdings" w:hint="default"/>
      </w:rPr>
    </w:lvl>
    <w:lvl w:ilvl="3" w:tplc="A64412F2">
      <w:start w:val="1"/>
      <w:numFmt w:val="bullet"/>
      <w:lvlText w:val=""/>
      <w:lvlJc w:val="left"/>
      <w:pPr>
        <w:ind w:left="3087" w:hanging="360"/>
      </w:pPr>
      <w:rPr>
        <w:rFonts w:ascii="Symbol" w:hAnsi="Symbol" w:hint="default"/>
      </w:rPr>
    </w:lvl>
    <w:lvl w:ilvl="4" w:tplc="249CBECC">
      <w:start w:val="1"/>
      <w:numFmt w:val="bullet"/>
      <w:lvlText w:val="o"/>
      <w:lvlJc w:val="left"/>
      <w:pPr>
        <w:ind w:left="3807" w:hanging="360"/>
      </w:pPr>
      <w:rPr>
        <w:rFonts w:ascii="Courier New" w:hAnsi="Courier New" w:hint="default"/>
      </w:rPr>
    </w:lvl>
    <w:lvl w:ilvl="5" w:tplc="1F86AEF8">
      <w:start w:val="1"/>
      <w:numFmt w:val="bullet"/>
      <w:lvlText w:val=""/>
      <w:lvlJc w:val="left"/>
      <w:pPr>
        <w:ind w:left="4527" w:hanging="360"/>
      </w:pPr>
      <w:rPr>
        <w:rFonts w:ascii="Wingdings" w:hAnsi="Wingdings" w:hint="default"/>
      </w:rPr>
    </w:lvl>
    <w:lvl w:ilvl="6" w:tplc="F2C89590">
      <w:start w:val="1"/>
      <w:numFmt w:val="bullet"/>
      <w:lvlText w:val=""/>
      <w:lvlJc w:val="left"/>
      <w:pPr>
        <w:ind w:left="5247" w:hanging="360"/>
      </w:pPr>
      <w:rPr>
        <w:rFonts w:ascii="Symbol" w:hAnsi="Symbol" w:hint="default"/>
      </w:rPr>
    </w:lvl>
    <w:lvl w:ilvl="7" w:tplc="4DFACBEC">
      <w:start w:val="1"/>
      <w:numFmt w:val="bullet"/>
      <w:lvlText w:val="o"/>
      <w:lvlJc w:val="left"/>
      <w:pPr>
        <w:ind w:left="5967" w:hanging="360"/>
      </w:pPr>
      <w:rPr>
        <w:rFonts w:ascii="Courier New" w:hAnsi="Courier New" w:hint="default"/>
      </w:rPr>
    </w:lvl>
    <w:lvl w:ilvl="8" w:tplc="CDA83AC6">
      <w:start w:val="1"/>
      <w:numFmt w:val="bullet"/>
      <w:lvlText w:val=""/>
      <w:lvlJc w:val="left"/>
      <w:pPr>
        <w:ind w:left="6687" w:hanging="360"/>
      </w:pPr>
      <w:rPr>
        <w:rFonts w:ascii="Wingdings" w:hAnsi="Wingdings" w:hint="default"/>
      </w:rPr>
    </w:lvl>
  </w:abstractNum>
  <w:abstractNum w:abstractNumId="8" w15:restartNumberingAfterBreak="0">
    <w:nsid w:val="2BB27A1D"/>
    <w:multiLevelType w:val="hybridMultilevel"/>
    <w:tmpl w:val="E8A81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0"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00C0CD"/>
    <w:multiLevelType w:val="hybridMultilevel"/>
    <w:tmpl w:val="1772EE04"/>
    <w:lvl w:ilvl="0" w:tplc="B84852D6">
      <w:start w:val="1"/>
      <w:numFmt w:val="bullet"/>
      <w:lvlText w:val="-"/>
      <w:lvlJc w:val="left"/>
      <w:pPr>
        <w:ind w:left="927" w:hanging="360"/>
      </w:pPr>
      <w:rPr>
        <w:rFonts w:ascii="Aptos" w:hAnsi="Aptos" w:hint="default"/>
      </w:rPr>
    </w:lvl>
    <w:lvl w:ilvl="1" w:tplc="40FA47E8">
      <w:start w:val="1"/>
      <w:numFmt w:val="bullet"/>
      <w:lvlText w:val="o"/>
      <w:lvlJc w:val="left"/>
      <w:pPr>
        <w:ind w:left="1647" w:hanging="360"/>
      </w:pPr>
      <w:rPr>
        <w:rFonts w:ascii="Courier New" w:hAnsi="Courier New" w:hint="default"/>
      </w:rPr>
    </w:lvl>
    <w:lvl w:ilvl="2" w:tplc="FFC84D16">
      <w:start w:val="1"/>
      <w:numFmt w:val="bullet"/>
      <w:lvlText w:val=""/>
      <w:lvlJc w:val="left"/>
      <w:pPr>
        <w:ind w:left="2367" w:hanging="360"/>
      </w:pPr>
      <w:rPr>
        <w:rFonts w:ascii="Wingdings" w:hAnsi="Wingdings" w:hint="default"/>
      </w:rPr>
    </w:lvl>
    <w:lvl w:ilvl="3" w:tplc="C00402AC">
      <w:start w:val="1"/>
      <w:numFmt w:val="bullet"/>
      <w:lvlText w:val=""/>
      <w:lvlJc w:val="left"/>
      <w:pPr>
        <w:ind w:left="3087" w:hanging="360"/>
      </w:pPr>
      <w:rPr>
        <w:rFonts w:ascii="Symbol" w:hAnsi="Symbol" w:hint="default"/>
      </w:rPr>
    </w:lvl>
    <w:lvl w:ilvl="4" w:tplc="F3606C50">
      <w:start w:val="1"/>
      <w:numFmt w:val="bullet"/>
      <w:lvlText w:val="o"/>
      <w:lvlJc w:val="left"/>
      <w:pPr>
        <w:ind w:left="3807" w:hanging="360"/>
      </w:pPr>
      <w:rPr>
        <w:rFonts w:ascii="Courier New" w:hAnsi="Courier New" w:hint="default"/>
      </w:rPr>
    </w:lvl>
    <w:lvl w:ilvl="5" w:tplc="A7A61E1C">
      <w:start w:val="1"/>
      <w:numFmt w:val="bullet"/>
      <w:lvlText w:val=""/>
      <w:lvlJc w:val="left"/>
      <w:pPr>
        <w:ind w:left="4527" w:hanging="360"/>
      </w:pPr>
      <w:rPr>
        <w:rFonts w:ascii="Wingdings" w:hAnsi="Wingdings" w:hint="default"/>
      </w:rPr>
    </w:lvl>
    <w:lvl w:ilvl="6" w:tplc="67B03B02">
      <w:start w:val="1"/>
      <w:numFmt w:val="bullet"/>
      <w:lvlText w:val=""/>
      <w:lvlJc w:val="left"/>
      <w:pPr>
        <w:ind w:left="5247" w:hanging="360"/>
      </w:pPr>
      <w:rPr>
        <w:rFonts w:ascii="Symbol" w:hAnsi="Symbol" w:hint="default"/>
      </w:rPr>
    </w:lvl>
    <w:lvl w:ilvl="7" w:tplc="49BE773E">
      <w:start w:val="1"/>
      <w:numFmt w:val="bullet"/>
      <w:lvlText w:val="o"/>
      <w:lvlJc w:val="left"/>
      <w:pPr>
        <w:ind w:left="5967" w:hanging="360"/>
      </w:pPr>
      <w:rPr>
        <w:rFonts w:ascii="Courier New" w:hAnsi="Courier New" w:hint="default"/>
      </w:rPr>
    </w:lvl>
    <w:lvl w:ilvl="8" w:tplc="F372EF0E">
      <w:start w:val="1"/>
      <w:numFmt w:val="bullet"/>
      <w:lvlText w:val=""/>
      <w:lvlJc w:val="left"/>
      <w:pPr>
        <w:ind w:left="6687" w:hanging="360"/>
      </w:pPr>
      <w:rPr>
        <w:rFonts w:ascii="Wingdings" w:hAnsi="Wingdings" w:hint="default"/>
      </w:rPr>
    </w:lvl>
  </w:abstractNum>
  <w:abstractNum w:abstractNumId="12" w15:restartNumberingAfterBreak="0">
    <w:nsid w:val="4D754485"/>
    <w:multiLevelType w:val="multilevel"/>
    <w:tmpl w:val="A67C6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C134A"/>
    <w:multiLevelType w:val="multilevel"/>
    <w:tmpl w:val="4CC8F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DD71477"/>
    <w:multiLevelType w:val="hybridMultilevel"/>
    <w:tmpl w:val="89A65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D51093"/>
    <w:multiLevelType w:val="multilevel"/>
    <w:tmpl w:val="7828FCDA"/>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9"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823854945">
    <w:abstractNumId w:val="7"/>
  </w:num>
  <w:num w:numId="2" w16cid:durableId="679813740">
    <w:abstractNumId w:val="11"/>
  </w:num>
  <w:num w:numId="3" w16cid:durableId="1485078158">
    <w:abstractNumId w:val="13"/>
  </w:num>
  <w:num w:numId="4" w16cid:durableId="59716700">
    <w:abstractNumId w:val="6"/>
  </w:num>
  <w:num w:numId="5" w16cid:durableId="731540123">
    <w:abstractNumId w:val="18"/>
  </w:num>
  <w:num w:numId="6" w16cid:durableId="744034000">
    <w:abstractNumId w:val="18"/>
  </w:num>
  <w:num w:numId="7" w16cid:durableId="1474641089">
    <w:abstractNumId w:val="18"/>
  </w:num>
  <w:num w:numId="8" w16cid:durableId="528497540">
    <w:abstractNumId w:val="9"/>
  </w:num>
  <w:num w:numId="9" w16cid:durableId="176696273">
    <w:abstractNumId w:val="14"/>
  </w:num>
  <w:num w:numId="10" w16cid:durableId="1131169468">
    <w:abstractNumId w:val="19"/>
  </w:num>
  <w:num w:numId="11" w16cid:durableId="1007632637">
    <w:abstractNumId w:val="2"/>
  </w:num>
  <w:num w:numId="12" w16cid:durableId="422917246">
    <w:abstractNumId w:val="18"/>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3" w16cid:durableId="1785685054">
    <w:abstractNumId w:val="18"/>
  </w:num>
  <w:num w:numId="14" w16cid:durableId="468400009">
    <w:abstractNumId w:val="18"/>
  </w:num>
  <w:num w:numId="15" w16cid:durableId="1927378143">
    <w:abstractNumId w:val="18"/>
  </w:num>
  <w:num w:numId="16" w16cid:durableId="1289622783">
    <w:abstractNumId w:val="18"/>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7" w16cid:durableId="1037123319">
    <w:abstractNumId w:val="18"/>
  </w:num>
  <w:num w:numId="18" w16cid:durableId="656224632">
    <w:abstractNumId w:val="18"/>
  </w:num>
  <w:num w:numId="19" w16cid:durableId="784034295">
    <w:abstractNumId w:val="18"/>
  </w:num>
  <w:num w:numId="20" w16cid:durableId="12935558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238170">
    <w:abstractNumId w:val="18"/>
  </w:num>
  <w:num w:numId="22" w16cid:durableId="2113888906">
    <w:abstractNumId w:val="4"/>
  </w:num>
  <w:num w:numId="23" w16cid:durableId="1417746791">
    <w:abstractNumId w:val="18"/>
  </w:num>
  <w:num w:numId="24" w16cid:durableId="1720975952">
    <w:abstractNumId w:val="5"/>
  </w:num>
  <w:num w:numId="25" w16cid:durableId="983584939">
    <w:abstractNumId w:val="1"/>
  </w:num>
  <w:num w:numId="26" w16cid:durableId="76482875">
    <w:abstractNumId w:val="17"/>
  </w:num>
  <w:num w:numId="27" w16cid:durableId="1024988134">
    <w:abstractNumId w:val="18"/>
  </w:num>
  <w:num w:numId="28" w16cid:durableId="2000382986">
    <w:abstractNumId w:val="18"/>
  </w:num>
  <w:num w:numId="29" w16cid:durableId="1390575348">
    <w:abstractNumId w:val="18"/>
  </w:num>
  <w:num w:numId="30" w16cid:durableId="621231405">
    <w:abstractNumId w:val="18"/>
  </w:num>
  <w:num w:numId="31" w16cid:durableId="995762299">
    <w:abstractNumId w:val="18"/>
  </w:num>
  <w:num w:numId="32" w16cid:durableId="320278723">
    <w:abstractNumId w:val="10"/>
  </w:num>
  <w:num w:numId="33" w16cid:durableId="1695614948">
    <w:abstractNumId w:val="10"/>
  </w:num>
  <w:num w:numId="34" w16cid:durableId="195823161">
    <w:abstractNumId w:val="18"/>
  </w:num>
  <w:num w:numId="35" w16cid:durableId="1248538695">
    <w:abstractNumId w:val="16"/>
  </w:num>
  <w:num w:numId="36" w16cid:durableId="2123069899">
    <w:abstractNumId w:val="15"/>
  </w:num>
  <w:num w:numId="37" w16cid:durableId="1985575811">
    <w:abstractNumId w:val="0"/>
  </w:num>
  <w:num w:numId="38" w16cid:durableId="1296527007">
    <w:abstractNumId w:val="3"/>
  </w:num>
  <w:num w:numId="39" w16cid:durableId="419528468">
    <w:abstractNumId w:val="12"/>
  </w:num>
  <w:num w:numId="40" w16cid:durableId="1807777373">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3723480">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80231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594"/>
    <w:rsid w:val="000008A8"/>
    <w:rsid w:val="000011CD"/>
    <w:rsid w:val="00001DE8"/>
    <w:rsid w:val="00001FAD"/>
    <w:rsid w:val="00002C62"/>
    <w:rsid w:val="00002F18"/>
    <w:rsid w:val="0000364D"/>
    <w:rsid w:val="000037E7"/>
    <w:rsid w:val="00003920"/>
    <w:rsid w:val="00007431"/>
    <w:rsid w:val="000077FB"/>
    <w:rsid w:val="00012DDB"/>
    <w:rsid w:val="00015516"/>
    <w:rsid w:val="00015D66"/>
    <w:rsid w:val="00016240"/>
    <w:rsid w:val="000164CA"/>
    <w:rsid w:val="000166E4"/>
    <w:rsid w:val="00017F31"/>
    <w:rsid w:val="00020230"/>
    <w:rsid w:val="0002230C"/>
    <w:rsid w:val="00022437"/>
    <w:rsid w:val="000229AB"/>
    <w:rsid w:val="00022DB0"/>
    <w:rsid w:val="00023D0A"/>
    <w:rsid w:val="00024274"/>
    <w:rsid w:val="0002569A"/>
    <w:rsid w:val="00030B48"/>
    <w:rsid w:val="0003106E"/>
    <w:rsid w:val="000314BC"/>
    <w:rsid w:val="00033F90"/>
    <w:rsid w:val="00034C3C"/>
    <w:rsid w:val="00036E0C"/>
    <w:rsid w:val="00037321"/>
    <w:rsid w:val="000417DF"/>
    <w:rsid w:val="000419F6"/>
    <w:rsid w:val="00041C3D"/>
    <w:rsid w:val="00044924"/>
    <w:rsid w:val="00045CF7"/>
    <w:rsid w:val="00045E77"/>
    <w:rsid w:val="00046A88"/>
    <w:rsid w:val="00047734"/>
    <w:rsid w:val="00047886"/>
    <w:rsid w:val="000501A9"/>
    <w:rsid w:val="00050B10"/>
    <w:rsid w:val="00050D3D"/>
    <w:rsid w:val="00051F9C"/>
    <w:rsid w:val="00052286"/>
    <w:rsid w:val="00052FAA"/>
    <w:rsid w:val="00053106"/>
    <w:rsid w:val="000553A9"/>
    <w:rsid w:val="000561A0"/>
    <w:rsid w:val="00057386"/>
    <w:rsid w:val="0006097C"/>
    <w:rsid w:val="000621AF"/>
    <w:rsid w:val="000621B8"/>
    <w:rsid w:val="000626CF"/>
    <w:rsid w:val="00066358"/>
    <w:rsid w:val="00070626"/>
    <w:rsid w:val="00070D17"/>
    <w:rsid w:val="00071B3E"/>
    <w:rsid w:val="000741DC"/>
    <w:rsid w:val="00077F96"/>
    <w:rsid w:val="00081DF7"/>
    <w:rsid w:val="0008202C"/>
    <w:rsid w:val="00082515"/>
    <w:rsid w:val="0008277B"/>
    <w:rsid w:val="000827C3"/>
    <w:rsid w:val="00082814"/>
    <w:rsid w:val="0008282C"/>
    <w:rsid w:val="00083DDB"/>
    <w:rsid w:val="00084ACC"/>
    <w:rsid w:val="00085500"/>
    <w:rsid w:val="000861C3"/>
    <w:rsid w:val="000862E3"/>
    <w:rsid w:val="000867D1"/>
    <w:rsid w:val="000900C3"/>
    <w:rsid w:val="000901A9"/>
    <w:rsid w:val="00092230"/>
    <w:rsid w:val="000941A2"/>
    <w:rsid w:val="0009595F"/>
    <w:rsid w:val="000966D5"/>
    <w:rsid w:val="000971AF"/>
    <w:rsid w:val="00097F4B"/>
    <w:rsid w:val="000A0299"/>
    <w:rsid w:val="000A03A0"/>
    <w:rsid w:val="000A26F6"/>
    <w:rsid w:val="000A287F"/>
    <w:rsid w:val="000A32A9"/>
    <w:rsid w:val="000A3701"/>
    <w:rsid w:val="000A3EDC"/>
    <w:rsid w:val="000A4373"/>
    <w:rsid w:val="000A4D81"/>
    <w:rsid w:val="000A4E14"/>
    <w:rsid w:val="000A5008"/>
    <w:rsid w:val="000A580F"/>
    <w:rsid w:val="000A59C7"/>
    <w:rsid w:val="000A5A91"/>
    <w:rsid w:val="000A5D33"/>
    <w:rsid w:val="000A5D9A"/>
    <w:rsid w:val="000B053A"/>
    <w:rsid w:val="000B10CA"/>
    <w:rsid w:val="000B13DF"/>
    <w:rsid w:val="000B1A9E"/>
    <w:rsid w:val="000B2086"/>
    <w:rsid w:val="000B28FD"/>
    <w:rsid w:val="000B3829"/>
    <w:rsid w:val="000B3B0D"/>
    <w:rsid w:val="000B421F"/>
    <w:rsid w:val="000B48A8"/>
    <w:rsid w:val="000B493B"/>
    <w:rsid w:val="000B5260"/>
    <w:rsid w:val="000B53EB"/>
    <w:rsid w:val="000B6985"/>
    <w:rsid w:val="000B7215"/>
    <w:rsid w:val="000B7506"/>
    <w:rsid w:val="000B7826"/>
    <w:rsid w:val="000C0013"/>
    <w:rsid w:val="000C0AC6"/>
    <w:rsid w:val="000C0CC3"/>
    <w:rsid w:val="000C1D93"/>
    <w:rsid w:val="000C2CF4"/>
    <w:rsid w:val="000C3FEB"/>
    <w:rsid w:val="000C65C2"/>
    <w:rsid w:val="000C6A2F"/>
    <w:rsid w:val="000C6F25"/>
    <w:rsid w:val="000C7E55"/>
    <w:rsid w:val="000D0505"/>
    <w:rsid w:val="000D063A"/>
    <w:rsid w:val="000D06DD"/>
    <w:rsid w:val="000D0C1A"/>
    <w:rsid w:val="000D2012"/>
    <w:rsid w:val="000D3016"/>
    <w:rsid w:val="000D3143"/>
    <w:rsid w:val="000D3606"/>
    <w:rsid w:val="000D40B9"/>
    <w:rsid w:val="000D420F"/>
    <w:rsid w:val="000D483F"/>
    <w:rsid w:val="000D4926"/>
    <w:rsid w:val="000D5661"/>
    <w:rsid w:val="000D6C2A"/>
    <w:rsid w:val="000D79BC"/>
    <w:rsid w:val="000E011C"/>
    <w:rsid w:val="000E0E1E"/>
    <w:rsid w:val="000E126C"/>
    <w:rsid w:val="000E1C29"/>
    <w:rsid w:val="000E1EED"/>
    <w:rsid w:val="000E2333"/>
    <w:rsid w:val="000E2BC4"/>
    <w:rsid w:val="000E33D8"/>
    <w:rsid w:val="000E48B2"/>
    <w:rsid w:val="000E5340"/>
    <w:rsid w:val="000E57A3"/>
    <w:rsid w:val="000E70BB"/>
    <w:rsid w:val="000F020D"/>
    <w:rsid w:val="000F04D8"/>
    <w:rsid w:val="000F08AB"/>
    <w:rsid w:val="000F0BB3"/>
    <w:rsid w:val="000F2404"/>
    <w:rsid w:val="000F2F37"/>
    <w:rsid w:val="000F32B6"/>
    <w:rsid w:val="000F339C"/>
    <w:rsid w:val="000F343B"/>
    <w:rsid w:val="000F3B42"/>
    <w:rsid w:val="000F498F"/>
    <w:rsid w:val="000F49BF"/>
    <w:rsid w:val="000F5054"/>
    <w:rsid w:val="000F7E94"/>
    <w:rsid w:val="00100DBD"/>
    <w:rsid w:val="00101415"/>
    <w:rsid w:val="00101757"/>
    <w:rsid w:val="00102425"/>
    <w:rsid w:val="00102861"/>
    <w:rsid w:val="00104090"/>
    <w:rsid w:val="00104ACD"/>
    <w:rsid w:val="001053A6"/>
    <w:rsid w:val="0010614F"/>
    <w:rsid w:val="0010640D"/>
    <w:rsid w:val="00106D2A"/>
    <w:rsid w:val="001070C4"/>
    <w:rsid w:val="00107274"/>
    <w:rsid w:val="0011054C"/>
    <w:rsid w:val="00110ECE"/>
    <w:rsid w:val="001117FC"/>
    <w:rsid w:val="001119D6"/>
    <w:rsid w:val="001140FD"/>
    <w:rsid w:val="0011532F"/>
    <w:rsid w:val="00117536"/>
    <w:rsid w:val="00117CC7"/>
    <w:rsid w:val="00120197"/>
    <w:rsid w:val="00120755"/>
    <w:rsid w:val="001214BA"/>
    <w:rsid w:val="00121AD5"/>
    <w:rsid w:val="00122A7A"/>
    <w:rsid w:val="0012369C"/>
    <w:rsid w:val="00123C77"/>
    <w:rsid w:val="00124350"/>
    <w:rsid w:val="00124B1A"/>
    <w:rsid w:val="0012546F"/>
    <w:rsid w:val="00125920"/>
    <w:rsid w:val="001279E7"/>
    <w:rsid w:val="00127DCF"/>
    <w:rsid w:val="00130102"/>
    <w:rsid w:val="001304C6"/>
    <w:rsid w:val="001308F2"/>
    <w:rsid w:val="001313E8"/>
    <w:rsid w:val="00131DAF"/>
    <w:rsid w:val="00133CF2"/>
    <w:rsid w:val="00134D3E"/>
    <w:rsid w:val="00135659"/>
    <w:rsid w:val="00135C3D"/>
    <w:rsid w:val="001410A2"/>
    <w:rsid w:val="00141677"/>
    <w:rsid w:val="00141922"/>
    <w:rsid w:val="001427A8"/>
    <w:rsid w:val="001432C9"/>
    <w:rsid w:val="00144A5F"/>
    <w:rsid w:val="0014523E"/>
    <w:rsid w:val="001460D0"/>
    <w:rsid w:val="00146497"/>
    <w:rsid w:val="0014768D"/>
    <w:rsid w:val="0014796C"/>
    <w:rsid w:val="00147A73"/>
    <w:rsid w:val="00151570"/>
    <w:rsid w:val="00151856"/>
    <w:rsid w:val="00151889"/>
    <w:rsid w:val="00153584"/>
    <w:rsid w:val="0015383D"/>
    <w:rsid w:val="001540D8"/>
    <w:rsid w:val="00155153"/>
    <w:rsid w:val="00156C62"/>
    <w:rsid w:val="00157DB9"/>
    <w:rsid w:val="00160C2A"/>
    <w:rsid w:val="00161F67"/>
    <w:rsid w:val="00164000"/>
    <w:rsid w:val="001659D1"/>
    <w:rsid w:val="001665E7"/>
    <w:rsid w:val="0016728D"/>
    <w:rsid w:val="00170C6D"/>
    <w:rsid w:val="00172323"/>
    <w:rsid w:val="00173871"/>
    <w:rsid w:val="00173CB5"/>
    <w:rsid w:val="0017479D"/>
    <w:rsid w:val="00175A70"/>
    <w:rsid w:val="00176553"/>
    <w:rsid w:val="0017737E"/>
    <w:rsid w:val="00177BE3"/>
    <w:rsid w:val="00177EE7"/>
    <w:rsid w:val="00180306"/>
    <w:rsid w:val="00182D13"/>
    <w:rsid w:val="001832C7"/>
    <w:rsid w:val="00183F84"/>
    <w:rsid w:val="001842A1"/>
    <w:rsid w:val="001846BA"/>
    <w:rsid w:val="00187A6A"/>
    <w:rsid w:val="00191DF3"/>
    <w:rsid w:val="00192437"/>
    <w:rsid w:val="00193D17"/>
    <w:rsid w:val="00193F9C"/>
    <w:rsid w:val="00194C7C"/>
    <w:rsid w:val="00195062"/>
    <w:rsid w:val="0019525A"/>
    <w:rsid w:val="00196A3D"/>
    <w:rsid w:val="001979F7"/>
    <w:rsid w:val="001A003B"/>
    <w:rsid w:val="001A0E32"/>
    <w:rsid w:val="001A1220"/>
    <w:rsid w:val="001A1325"/>
    <w:rsid w:val="001A1FD3"/>
    <w:rsid w:val="001A27CF"/>
    <w:rsid w:val="001A6FE6"/>
    <w:rsid w:val="001A76E5"/>
    <w:rsid w:val="001B026D"/>
    <w:rsid w:val="001B0F38"/>
    <w:rsid w:val="001B112A"/>
    <w:rsid w:val="001B32D3"/>
    <w:rsid w:val="001B39A3"/>
    <w:rsid w:val="001B39C3"/>
    <w:rsid w:val="001B4C6F"/>
    <w:rsid w:val="001B7050"/>
    <w:rsid w:val="001C03DF"/>
    <w:rsid w:val="001C227C"/>
    <w:rsid w:val="001C275D"/>
    <w:rsid w:val="001C378E"/>
    <w:rsid w:val="001C3AE0"/>
    <w:rsid w:val="001C3E7E"/>
    <w:rsid w:val="001C3E99"/>
    <w:rsid w:val="001C4B07"/>
    <w:rsid w:val="001C4FB6"/>
    <w:rsid w:val="001C556F"/>
    <w:rsid w:val="001C5811"/>
    <w:rsid w:val="001C5867"/>
    <w:rsid w:val="001C58F5"/>
    <w:rsid w:val="001C683E"/>
    <w:rsid w:val="001D02AE"/>
    <w:rsid w:val="001D05E1"/>
    <w:rsid w:val="001D15C3"/>
    <w:rsid w:val="001D25E1"/>
    <w:rsid w:val="001D277A"/>
    <w:rsid w:val="001D3062"/>
    <w:rsid w:val="001D3512"/>
    <w:rsid w:val="001D3B53"/>
    <w:rsid w:val="001D49B9"/>
    <w:rsid w:val="001D5CEE"/>
    <w:rsid w:val="001D63A9"/>
    <w:rsid w:val="001D64D1"/>
    <w:rsid w:val="001D7862"/>
    <w:rsid w:val="001D7BB2"/>
    <w:rsid w:val="001E1004"/>
    <w:rsid w:val="001E1375"/>
    <w:rsid w:val="001E1BD5"/>
    <w:rsid w:val="001E2C7F"/>
    <w:rsid w:val="001E3B11"/>
    <w:rsid w:val="001E4275"/>
    <w:rsid w:val="001E7010"/>
    <w:rsid w:val="001F0332"/>
    <w:rsid w:val="001F0546"/>
    <w:rsid w:val="001F073D"/>
    <w:rsid w:val="001F1FA1"/>
    <w:rsid w:val="001F2868"/>
    <w:rsid w:val="001F312B"/>
    <w:rsid w:val="001F381B"/>
    <w:rsid w:val="001F461E"/>
    <w:rsid w:val="001F537C"/>
    <w:rsid w:val="001F5580"/>
    <w:rsid w:val="001F7203"/>
    <w:rsid w:val="002003D4"/>
    <w:rsid w:val="00200A35"/>
    <w:rsid w:val="00200DFE"/>
    <w:rsid w:val="00206236"/>
    <w:rsid w:val="00206DE3"/>
    <w:rsid w:val="002071D9"/>
    <w:rsid w:val="002075F6"/>
    <w:rsid w:val="00207667"/>
    <w:rsid w:val="00207974"/>
    <w:rsid w:val="00210088"/>
    <w:rsid w:val="00210119"/>
    <w:rsid w:val="00210835"/>
    <w:rsid w:val="00210A4F"/>
    <w:rsid w:val="00211ABE"/>
    <w:rsid w:val="00211E05"/>
    <w:rsid w:val="002123F2"/>
    <w:rsid w:val="00212B64"/>
    <w:rsid w:val="0021346A"/>
    <w:rsid w:val="00213683"/>
    <w:rsid w:val="00213A0D"/>
    <w:rsid w:val="00213B57"/>
    <w:rsid w:val="00213C4A"/>
    <w:rsid w:val="00213D67"/>
    <w:rsid w:val="0021452B"/>
    <w:rsid w:val="0021568D"/>
    <w:rsid w:val="00215F2B"/>
    <w:rsid w:val="00217CC2"/>
    <w:rsid w:val="00221625"/>
    <w:rsid w:val="002216D5"/>
    <w:rsid w:val="0022173A"/>
    <w:rsid w:val="00222193"/>
    <w:rsid w:val="002223E6"/>
    <w:rsid w:val="0022273B"/>
    <w:rsid w:val="00223F6A"/>
    <w:rsid w:val="00224019"/>
    <w:rsid w:val="00224F7C"/>
    <w:rsid w:val="0022605D"/>
    <w:rsid w:val="00227612"/>
    <w:rsid w:val="00230D68"/>
    <w:rsid w:val="002313AF"/>
    <w:rsid w:val="00231CA3"/>
    <w:rsid w:val="00232C58"/>
    <w:rsid w:val="0023369D"/>
    <w:rsid w:val="0023396D"/>
    <w:rsid w:val="00233F3F"/>
    <w:rsid w:val="002352F9"/>
    <w:rsid w:val="00235AF3"/>
    <w:rsid w:val="00236A91"/>
    <w:rsid w:val="00237874"/>
    <w:rsid w:val="00240592"/>
    <w:rsid w:val="00240E89"/>
    <w:rsid w:val="00240F56"/>
    <w:rsid w:val="0024199A"/>
    <w:rsid w:val="0024371B"/>
    <w:rsid w:val="00243D11"/>
    <w:rsid w:val="00244540"/>
    <w:rsid w:val="00245318"/>
    <w:rsid w:val="00245AE0"/>
    <w:rsid w:val="00245FC1"/>
    <w:rsid w:val="00246B48"/>
    <w:rsid w:val="002472F9"/>
    <w:rsid w:val="00247334"/>
    <w:rsid w:val="00250E87"/>
    <w:rsid w:val="00250F23"/>
    <w:rsid w:val="00251FDE"/>
    <w:rsid w:val="00252740"/>
    <w:rsid w:val="00253243"/>
    <w:rsid w:val="002534C8"/>
    <w:rsid w:val="00253C33"/>
    <w:rsid w:val="00256822"/>
    <w:rsid w:val="00256B3E"/>
    <w:rsid w:val="002575BD"/>
    <w:rsid w:val="00261DAF"/>
    <w:rsid w:val="0026256A"/>
    <w:rsid w:val="00263B02"/>
    <w:rsid w:val="0026481C"/>
    <w:rsid w:val="0026525A"/>
    <w:rsid w:val="00265C7E"/>
    <w:rsid w:val="002665D7"/>
    <w:rsid w:val="002674F1"/>
    <w:rsid w:val="00270CCD"/>
    <w:rsid w:val="002718D4"/>
    <w:rsid w:val="00271F75"/>
    <w:rsid w:val="00273D80"/>
    <w:rsid w:val="00274790"/>
    <w:rsid w:val="00274E2D"/>
    <w:rsid w:val="00274F94"/>
    <w:rsid w:val="00275A00"/>
    <w:rsid w:val="00275E52"/>
    <w:rsid w:val="00276241"/>
    <w:rsid w:val="0027659A"/>
    <w:rsid w:val="002775A8"/>
    <w:rsid w:val="00277E4A"/>
    <w:rsid w:val="0028048E"/>
    <w:rsid w:val="00280A01"/>
    <w:rsid w:val="00281AB2"/>
    <w:rsid w:val="002823DB"/>
    <w:rsid w:val="00285755"/>
    <w:rsid w:val="002862C0"/>
    <w:rsid w:val="00286D78"/>
    <w:rsid w:val="00287700"/>
    <w:rsid w:val="00287C09"/>
    <w:rsid w:val="00291478"/>
    <w:rsid w:val="00292E73"/>
    <w:rsid w:val="0029312B"/>
    <w:rsid w:val="00294CF1"/>
    <w:rsid w:val="00296694"/>
    <w:rsid w:val="002A1654"/>
    <w:rsid w:val="002A192F"/>
    <w:rsid w:val="002A1F9C"/>
    <w:rsid w:val="002A2650"/>
    <w:rsid w:val="002A28E2"/>
    <w:rsid w:val="002A382E"/>
    <w:rsid w:val="002A604F"/>
    <w:rsid w:val="002A63E5"/>
    <w:rsid w:val="002B0FCC"/>
    <w:rsid w:val="002B156D"/>
    <w:rsid w:val="002B26F3"/>
    <w:rsid w:val="002B29C2"/>
    <w:rsid w:val="002B2A8D"/>
    <w:rsid w:val="002B3DD5"/>
    <w:rsid w:val="002B4E82"/>
    <w:rsid w:val="002B5176"/>
    <w:rsid w:val="002B5C41"/>
    <w:rsid w:val="002B7AB1"/>
    <w:rsid w:val="002B7E74"/>
    <w:rsid w:val="002C0386"/>
    <w:rsid w:val="002C0A68"/>
    <w:rsid w:val="002C2F00"/>
    <w:rsid w:val="002C3AFF"/>
    <w:rsid w:val="002C3D20"/>
    <w:rsid w:val="002C4208"/>
    <w:rsid w:val="002C5D3C"/>
    <w:rsid w:val="002C6DAE"/>
    <w:rsid w:val="002C7868"/>
    <w:rsid w:val="002D1653"/>
    <w:rsid w:val="002D2257"/>
    <w:rsid w:val="002D2344"/>
    <w:rsid w:val="002D23C2"/>
    <w:rsid w:val="002D410A"/>
    <w:rsid w:val="002D42F6"/>
    <w:rsid w:val="002D5DCC"/>
    <w:rsid w:val="002D6046"/>
    <w:rsid w:val="002E02D0"/>
    <w:rsid w:val="002E1A7C"/>
    <w:rsid w:val="002E1FDC"/>
    <w:rsid w:val="002E3B47"/>
    <w:rsid w:val="002E4B8C"/>
    <w:rsid w:val="002E4D05"/>
    <w:rsid w:val="002E5D35"/>
    <w:rsid w:val="002E65B2"/>
    <w:rsid w:val="002E7115"/>
    <w:rsid w:val="002F0C7C"/>
    <w:rsid w:val="002F18E9"/>
    <w:rsid w:val="002F1ECC"/>
    <w:rsid w:val="002F2D02"/>
    <w:rsid w:val="002F2D69"/>
    <w:rsid w:val="002F3321"/>
    <w:rsid w:val="002F33A7"/>
    <w:rsid w:val="002F5F43"/>
    <w:rsid w:val="002F609A"/>
    <w:rsid w:val="002F66F4"/>
    <w:rsid w:val="002F6B53"/>
    <w:rsid w:val="002F74D7"/>
    <w:rsid w:val="0030025F"/>
    <w:rsid w:val="00300A54"/>
    <w:rsid w:val="0030130B"/>
    <w:rsid w:val="00301451"/>
    <w:rsid w:val="00303B0C"/>
    <w:rsid w:val="003050BD"/>
    <w:rsid w:val="00305FB4"/>
    <w:rsid w:val="00306917"/>
    <w:rsid w:val="00306F7C"/>
    <w:rsid w:val="003115F4"/>
    <w:rsid w:val="00312177"/>
    <w:rsid w:val="003125D7"/>
    <w:rsid w:val="003129A5"/>
    <w:rsid w:val="00312C83"/>
    <w:rsid w:val="00314A6A"/>
    <w:rsid w:val="00315422"/>
    <w:rsid w:val="003160D9"/>
    <w:rsid w:val="00316330"/>
    <w:rsid w:val="003206B0"/>
    <w:rsid w:val="003208C8"/>
    <w:rsid w:val="00320960"/>
    <w:rsid w:val="003209F2"/>
    <w:rsid w:val="003210C5"/>
    <w:rsid w:val="00321EF8"/>
    <w:rsid w:val="003239AD"/>
    <w:rsid w:val="00323F2E"/>
    <w:rsid w:val="0032661A"/>
    <w:rsid w:val="00327DD5"/>
    <w:rsid w:val="0033048A"/>
    <w:rsid w:val="003309D4"/>
    <w:rsid w:val="00330AD0"/>
    <w:rsid w:val="00330B86"/>
    <w:rsid w:val="00331039"/>
    <w:rsid w:val="0033207E"/>
    <w:rsid w:val="00333669"/>
    <w:rsid w:val="00333870"/>
    <w:rsid w:val="003350E4"/>
    <w:rsid w:val="00335410"/>
    <w:rsid w:val="003357A6"/>
    <w:rsid w:val="00335BAF"/>
    <w:rsid w:val="00336F3B"/>
    <w:rsid w:val="00337AEA"/>
    <w:rsid w:val="00337B20"/>
    <w:rsid w:val="00341189"/>
    <w:rsid w:val="003429E3"/>
    <w:rsid w:val="00342B1A"/>
    <w:rsid w:val="00343AFC"/>
    <w:rsid w:val="0034412A"/>
    <w:rsid w:val="00344EB0"/>
    <w:rsid w:val="0034618A"/>
    <w:rsid w:val="003464C6"/>
    <w:rsid w:val="0034710A"/>
    <w:rsid w:val="003475FE"/>
    <w:rsid w:val="0035056D"/>
    <w:rsid w:val="003506E9"/>
    <w:rsid w:val="003507AE"/>
    <w:rsid w:val="00350EAB"/>
    <w:rsid w:val="003521A9"/>
    <w:rsid w:val="003522AC"/>
    <w:rsid w:val="00352DE1"/>
    <w:rsid w:val="00353908"/>
    <w:rsid w:val="00353D06"/>
    <w:rsid w:val="003568B5"/>
    <w:rsid w:val="00357E12"/>
    <w:rsid w:val="003603F0"/>
    <w:rsid w:val="003610FD"/>
    <w:rsid w:val="003619F7"/>
    <w:rsid w:val="00361F16"/>
    <w:rsid w:val="0036293F"/>
    <w:rsid w:val="00363301"/>
    <w:rsid w:val="00363440"/>
    <w:rsid w:val="0036365B"/>
    <w:rsid w:val="00364FF5"/>
    <w:rsid w:val="00366574"/>
    <w:rsid w:val="0036692B"/>
    <w:rsid w:val="003703E3"/>
    <w:rsid w:val="00370573"/>
    <w:rsid w:val="00370688"/>
    <w:rsid w:val="00372385"/>
    <w:rsid w:val="0037276B"/>
    <w:rsid w:val="00372886"/>
    <w:rsid w:val="003728E6"/>
    <w:rsid w:val="003730C0"/>
    <w:rsid w:val="003762FF"/>
    <w:rsid w:val="00376B02"/>
    <w:rsid w:val="003774AB"/>
    <w:rsid w:val="003802E1"/>
    <w:rsid w:val="00380B9E"/>
    <w:rsid w:val="003814E8"/>
    <w:rsid w:val="00385383"/>
    <w:rsid w:val="0039127C"/>
    <w:rsid w:val="0039171A"/>
    <w:rsid w:val="003934A7"/>
    <w:rsid w:val="003945E7"/>
    <w:rsid w:val="0039483D"/>
    <w:rsid w:val="00394DF0"/>
    <w:rsid w:val="0039626C"/>
    <w:rsid w:val="00396375"/>
    <w:rsid w:val="003966B6"/>
    <w:rsid w:val="00396C92"/>
    <w:rsid w:val="00396FFC"/>
    <w:rsid w:val="00397884"/>
    <w:rsid w:val="00397C8F"/>
    <w:rsid w:val="003A01A7"/>
    <w:rsid w:val="003A066D"/>
    <w:rsid w:val="003A0EC4"/>
    <w:rsid w:val="003A179D"/>
    <w:rsid w:val="003A1C5C"/>
    <w:rsid w:val="003A1FB6"/>
    <w:rsid w:val="003A2362"/>
    <w:rsid w:val="003A37DD"/>
    <w:rsid w:val="003A4659"/>
    <w:rsid w:val="003A46C4"/>
    <w:rsid w:val="003A5642"/>
    <w:rsid w:val="003B02C4"/>
    <w:rsid w:val="003B23A4"/>
    <w:rsid w:val="003B30D1"/>
    <w:rsid w:val="003B3400"/>
    <w:rsid w:val="003B374B"/>
    <w:rsid w:val="003B3ECC"/>
    <w:rsid w:val="003B43BC"/>
    <w:rsid w:val="003B5E0E"/>
    <w:rsid w:val="003B7BA7"/>
    <w:rsid w:val="003B7BC3"/>
    <w:rsid w:val="003C0BCA"/>
    <w:rsid w:val="003C2DA1"/>
    <w:rsid w:val="003C4497"/>
    <w:rsid w:val="003C4CD5"/>
    <w:rsid w:val="003C6D58"/>
    <w:rsid w:val="003D13F3"/>
    <w:rsid w:val="003D1E1E"/>
    <w:rsid w:val="003D255A"/>
    <w:rsid w:val="003D326C"/>
    <w:rsid w:val="003D349A"/>
    <w:rsid w:val="003D39C1"/>
    <w:rsid w:val="003D3ED6"/>
    <w:rsid w:val="003D4239"/>
    <w:rsid w:val="003D5573"/>
    <w:rsid w:val="003D5739"/>
    <w:rsid w:val="003D5984"/>
    <w:rsid w:val="003D5A67"/>
    <w:rsid w:val="003D6196"/>
    <w:rsid w:val="003D647D"/>
    <w:rsid w:val="003D6C67"/>
    <w:rsid w:val="003D6DB0"/>
    <w:rsid w:val="003D749D"/>
    <w:rsid w:val="003E0425"/>
    <w:rsid w:val="003E0A26"/>
    <w:rsid w:val="003E0D0E"/>
    <w:rsid w:val="003E24DC"/>
    <w:rsid w:val="003E2919"/>
    <w:rsid w:val="003E32CB"/>
    <w:rsid w:val="003E44F0"/>
    <w:rsid w:val="003E4653"/>
    <w:rsid w:val="003E5405"/>
    <w:rsid w:val="003E57BB"/>
    <w:rsid w:val="003E5A83"/>
    <w:rsid w:val="003E62B4"/>
    <w:rsid w:val="003E6C06"/>
    <w:rsid w:val="003E6C48"/>
    <w:rsid w:val="003F1EEE"/>
    <w:rsid w:val="003F3A21"/>
    <w:rsid w:val="003F62F9"/>
    <w:rsid w:val="003F64DB"/>
    <w:rsid w:val="003F760C"/>
    <w:rsid w:val="0040001E"/>
    <w:rsid w:val="00400151"/>
    <w:rsid w:val="00400F29"/>
    <w:rsid w:val="00400FC1"/>
    <w:rsid w:val="0040118A"/>
    <w:rsid w:val="0040276C"/>
    <w:rsid w:val="0040293A"/>
    <w:rsid w:val="00403B1D"/>
    <w:rsid w:val="00407879"/>
    <w:rsid w:val="00407C39"/>
    <w:rsid w:val="0041132E"/>
    <w:rsid w:val="00411D61"/>
    <w:rsid w:val="004127C3"/>
    <w:rsid w:val="0041448E"/>
    <w:rsid w:val="00414DD4"/>
    <w:rsid w:val="00415748"/>
    <w:rsid w:val="00416189"/>
    <w:rsid w:val="00416949"/>
    <w:rsid w:val="0042130A"/>
    <w:rsid w:val="00421FBD"/>
    <w:rsid w:val="00422E6F"/>
    <w:rsid w:val="0042533E"/>
    <w:rsid w:val="004255E7"/>
    <w:rsid w:val="00427367"/>
    <w:rsid w:val="00430349"/>
    <w:rsid w:val="00431822"/>
    <w:rsid w:val="00431DFD"/>
    <w:rsid w:val="00432A6E"/>
    <w:rsid w:val="00432DEE"/>
    <w:rsid w:val="00434087"/>
    <w:rsid w:val="004348A5"/>
    <w:rsid w:val="004351F6"/>
    <w:rsid w:val="0043583D"/>
    <w:rsid w:val="004370D8"/>
    <w:rsid w:val="0044069A"/>
    <w:rsid w:val="004407CA"/>
    <w:rsid w:val="00440BD9"/>
    <w:rsid w:val="00441292"/>
    <w:rsid w:val="00441498"/>
    <w:rsid w:val="0044377E"/>
    <w:rsid w:val="004439B4"/>
    <w:rsid w:val="00443CDE"/>
    <w:rsid w:val="00444AE3"/>
    <w:rsid w:val="00445C2C"/>
    <w:rsid w:val="0044691A"/>
    <w:rsid w:val="00447DD1"/>
    <w:rsid w:val="0045056A"/>
    <w:rsid w:val="00451102"/>
    <w:rsid w:val="00451491"/>
    <w:rsid w:val="004517A7"/>
    <w:rsid w:val="004544C3"/>
    <w:rsid w:val="004547FA"/>
    <w:rsid w:val="0045498A"/>
    <w:rsid w:val="0045647E"/>
    <w:rsid w:val="0046001D"/>
    <w:rsid w:val="004604C5"/>
    <w:rsid w:val="00460E69"/>
    <w:rsid w:val="00461B15"/>
    <w:rsid w:val="0046333F"/>
    <w:rsid w:val="004645AC"/>
    <w:rsid w:val="00464618"/>
    <w:rsid w:val="00466CE8"/>
    <w:rsid w:val="00466FCA"/>
    <w:rsid w:val="0047153B"/>
    <w:rsid w:val="00472A04"/>
    <w:rsid w:val="00472B9D"/>
    <w:rsid w:val="00472BB1"/>
    <w:rsid w:val="00472C43"/>
    <w:rsid w:val="004735E8"/>
    <w:rsid w:val="00473D1F"/>
    <w:rsid w:val="004759B4"/>
    <w:rsid w:val="00475D5F"/>
    <w:rsid w:val="00476EAA"/>
    <w:rsid w:val="00481138"/>
    <w:rsid w:val="004848C6"/>
    <w:rsid w:val="00484C03"/>
    <w:rsid w:val="00485022"/>
    <w:rsid w:val="004862C0"/>
    <w:rsid w:val="00486501"/>
    <w:rsid w:val="0048698C"/>
    <w:rsid w:val="00486BD5"/>
    <w:rsid w:val="00486F33"/>
    <w:rsid w:val="00487282"/>
    <w:rsid w:val="00490A37"/>
    <w:rsid w:val="00490D1D"/>
    <w:rsid w:val="00491D62"/>
    <w:rsid w:val="0049289F"/>
    <w:rsid w:val="00492987"/>
    <w:rsid w:val="0049617C"/>
    <w:rsid w:val="0049640F"/>
    <w:rsid w:val="00496F23"/>
    <w:rsid w:val="00497296"/>
    <w:rsid w:val="00497F13"/>
    <w:rsid w:val="004A0DE4"/>
    <w:rsid w:val="004A1E78"/>
    <w:rsid w:val="004A1E8C"/>
    <w:rsid w:val="004A20F9"/>
    <w:rsid w:val="004A2729"/>
    <w:rsid w:val="004A28B2"/>
    <w:rsid w:val="004A2D0D"/>
    <w:rsid w:val="004A4319"/>
    <w:rsid w:val="004A4707"/>
    <w:rsid w:val="004A4D32"/>
    <w:rsid w:val="004B0FBB"/>
    <w:rsid w:val="004B1F65"/>
    <w:rsid w:val="004B1F8C"/>
    <w:rsid w:val="004B2EDE"/>
    <w:rsid w:val="004B3E81"/>
    <w:rsid w:val="004B5148"/>
    <w:rsid w:val="004B5934"/>
    <w:rsid w:val="004B596B"/>
    <w:rsid w:val="004B6E7E"/>
    <w:rsid w:val="004B798C"/>
    <w:rsid w:val="004B7FB9"/>
    <w:rsid w:val="004C0BB4"/>
    <w:rsid w:val="004C0C39"/>
    <w:rsid w:val="004C103E"/>
    <w:rsid w:val="004C1B49"/>
    <w:rsid w:val="004C29A0"/>
    <w:rsid w:val="004C2E38"/>
    <w:rsid w:val="004C3C45"/>
    <w:rsid w:val="004C3D71"/>
    <w:rsid w:val="004C5867"/>
    <w:rsid w:val="004C5A58"/>
    <w:rsid w:val="004C7597"/>
    <w:rsid w:val="004D19BB"/>
    <w:rsid w:val="004D19FC"/>
    <w:rsid w:val="004D434B"/>
    <w:rsid w:val="004D4E72"/>
    <w:rsid w:val="004D5EB8"/>
    <w:rsid w:val="004D6D09"/>
    <w:rsid w:val="004D6E8A"/>
    <w:rsid w:val="004D7105"/>
    <w:rsid w:val="004E0110"/>
    <w:rsid w:val="004E1685"/>
    <w:rsid w:val="004E1F47"/>
    <w:rsid w:val="004E25E9"/>
    <w:rsid w:val="004E2A94"/>
    <w:rsid w:val="004E2F88"/>
    <w:rsid w:val="004E3443"/>
    <w:rsid w:val="004E3809"/>
    <w:rsid w:val="004E4CE3"/>
    <w:rsid w:val="004E5BD4"/>
    <w:rsid w:val="004E6566"/>
    <w:rsid w:val="004E78FE"/>
    <w:rsid w:val="004F0C87"/>
    <w:rsid w:val="004F319C"/>
    <w:rsid w:val="004F4895"/>
    <w:rsid w:val="004F4A7B"/>
    <w:rsid w:val="004F4F67"/>
    <w:rsid w:val="004F6538"/>
    <w:rsid w:val="004F6CA9"/>
    <w:rsid w:val="004F73DF"/>
    <w:rsid w:val="004F7E55"/>
    <w:rsid w:val="005000CF"/>
    <w:rsid w:val="0050027A"/>
    <w:rsid w:val="005006DD"/>
    <w:rsid w:val="00500961"/>
    <w:rsid w:val="0050166C"/>
    <w:rsid w:val="005017D6"/>
    <w:rsid w:val="00501E9B"/>
    <w:rsid w:val="0050266E"/>
    <w:rsid w:val="00502930"/>
    <w:rsid w:val="00502A3B"/>
    <w:rsid w:val="0050598D"/>
    <w:rsid w:val="005067FF"/>
    <w:rsid w:val="00507330"/>
    <w:rsid w:val="00507553"/>
    <w:rsid w:val="00507A9E"/>
    <w:rsid w:val="00511406"/>
    <w:rsid w:val="00511572"/>
    <w:rsid w:val="00511A3F"/>
    <w:rsid w:val="00511F7A"/>
    <w:rsid w:val="00512A55"/>
    <w:rsid w:val="00513A6A"/>
    <w:rsid w:val="0051469E"/>
    <w:rsid w:val="00515266"/>
    <w:rsid w:val="005156ED"/>
    <w:rsid w:val="005168BF"/>
    <w:rsid w:val="00516F6F"/>
    <w:rsid w:val="005209A5"/>
    <w:rsid w:val="0052112B"/>
    <w:rsid w:val="005245F2"/>
    <w:rsid w:val="005253CF"/>
    <w:rsid w:val="005270C5"/>
    <w:rsid w:val="0053024F"/>
    <w:rsid w:val="00530444"/>
    <w:rsid w:val="00530873"/>
    <w:rsid w:val="00533909"/>
    <w:rsid w:val="00534DFC"/>
    <w:rsid w:val="00535ACF"/>
    <w:rsid w:val="005372FA"/>
    <w:rsid w:val="00537496"/>
    <w:rsid w:val="0054042D"/>
    <w:rsid w:val="00540578"/>
    <w:rsid w:val="00541A44"/>
    <w:rsid w:val="00541BC4"/>
    <w:rsid w:val="005422CD"/>
    <w:rsid w:val="00542D37"/>
    <w:rsid w:val="00542DEC"/>
    <w:rsid w:val="00542EED"/>
    <w:rsid w:val="00543FEE"/>
    <w:rsid w:val="00544938"/>
    <w:rsid w:val="00544ED3"/>
    <w:rsid w:val="00545111"/>
    <w:rsid w:val="005453F6"/>
    <w:rsid w:val="00545C51"/>
    <w:rsid w:val="00546627"/>
    <w:rsid w:val="00546FBE"/>
    <w:rsid w:val="00547C69"/>
    <w:rsid w:val="00550200"/>
    <w:rsid w:val="00551B45"/>
    <w:rsid w:val="00551DF0"/>
    <w:rsid w:val="00551EDF"/>
    <w:rsid w:val="0055203F"/>
    <w:rsid w:val="00552973"/>
    <w:rsid w:val="0055544E"/>
    <w:rsid w:val="0055624C"/>
    <w:rsid w:val="00557876"/>
    <w:rsid w:val="00557C0A"/>
    <w:rsid w:val="00560507"/>
    <w:rsid w:val="005622BF"/>
    <w:rsid w:val="0056615C"/>
    <w:rsid w:val="00566209"/>
    <w:rsid w:val="005662D4"/>
    <w:rsid w:val="005664C9"/>
    <w:rsid w:val="005669A6"/>
    <w:rsid w:val="00566C2D"/>
    <w:rsid w:val="00566EE3"/>
    <w:rsid w:val="0057055B"/>
    <w:rsid w:val="00570BF8"/>
    <w:rsid w:val="0057120C"/>
    <w:rsid w:val="0057175E"/>
    <w:rsid w:val="00571ED8"/>
    <w:rsid w:val="005724EF"/>
    <w:rsid w:val="00573217"/>
    <w:rsid w:val="00573446"/>
    <w:rsid w:val="00574EE2"/>
    <w:rsid w:val="00575377"/>
    <w:rsid w:val="00580BCC"/>
    <w:rsid w:val="00580F9F"/>
    <w:rsid w:val="005817FC"/>
    <w:rsid w:val="00581A4C"/>
    <w:rsid w:val="00583218"/>
    <w:rsid w:val="00583230"/>
    <w:rsid w:val="005833C4"/>
    <w:rsid w:val="0058477B"/>
    <w:rsid w:val="0058535F"/>
    <w:rsid w:val="005859D9"/>
    <w:rsid w:val="00585A42"/>
    <w:rsid w:val="0058654F"/>
    <w:rsid w:val="00586E49"/>
    <w:rsid w:val="0059324F"/>
    <w:rsid w:val="00595C40"/>
    <w:rsid w:val="005965B6"/>
    <w:rsid w:val="00596ACA"/>
    <w:rsid w:val="00597248"/>
    <w:rsid w:val="005A0339"/>
    <w:rsid w:val="005A1C3B"/>
    <w:rsid w:val="005A3AA5"/>
    <w:rsid w:val="005A4507"/>
    <w:rsid w:val="005A4A27"/>
    <w:rsid w:val="005A4B3B"/>
    <w:rsid w:val="005A52D8"/>
    <w:rsid w:val="005A691D"/>
    <w:rsid w:val="005A74D8"/>
    <w:rsid w:val="005A780C"/>
    <w:rsid w:val="005A7AA5"/>
    <w:rsid w:val="005B11BA"/>
    <w:rsid w:val="005B1E73"/>
    <w:rsid w:val="005B3EA1"/>
    <w:rsid w:val="005B3F3A"/>
    <w:rsid w:val="005B4CAF"/>
    <w:rsid w:val="005B5D72"/>
    <w:rsid w:val="005B67C8"/>
    <w:rsid w:val="005C1CD7"/>
    <w:rsid w:val="005C20F0"/>
    <w:rsid w:val="005C26C7"/>
    <w:rsid w:val="005C2C7A"/>
    <w:rsid w:val="005C2DFF"/>
    <w:rsid w:val="005C3AD9"/>
    <w:rsid w:val="005C3EE6"/>
    <w:rsid w:val="005C4041"/>
    <w:rsid w:val="005C4267"/>
    <w:rsid w:val="005C5153"/>
    <w:rsid w:val="005C53C7"/>
    <w:rsid w:val="005D06E9"/>
    <w:rsid w:val="005D11DF"/>
    <w:rsid w:val="005D2716"/>
    <w:rsid w:val="005D3620"/>
    <w:rsid w:val="005D3F9C"/>
    <w:rsid w:val="005D4433"/>
    <w:rsid w:val="005D4B53"/>
    <w:rsid w:val="005D6050"/>
    <w:rsid w:val="005D649C"/>
    <w:rsid w:val="005D7307"/>
    <w:rsid w:val="005D7D19"/>
    <w:rsid w:val="005E01C2"/>
    <w:rsid w:val="005E09E8"/>
    <w:rsid w:val="005E30BB"/>
    <w:rsid w:val="005E39BC"/>
    <w:rsid w:val="005E49B9"/>
    <w:rsid w:val="005E4B32"/>
    <w:rsid w:val="005E4FAC"/>
    <w:rsid w:val="005E52B2"/>
    <w:rsid w:val="005E6AAA"/>
    <w:rsid w:val="005F00A0"/>
    <w:rsid w:val="005F3397"/>
    <w:rsid w:val="005F3D58"/>
    <w:rsid w:val="005F6A90"/>
    <w:rsid w:val="00600436"/>
    <w:rsid w:val="006017E1"/>
    <w:rsid w:val="006020F1"/>
    <w:rsid w:val="006033C2"/>
    <w:rsid w:val="00607538"/>
    <w:rsid w:val="00611A88"/>
    <w:rsid w:val="00611DA6"/>
    <w:rsid w:val="0061224A"/>
    <w:rsid w:val="00613683"/>
    <w:rsid w:val="006136B8"/>
    <w:rsid w:val="00615474"/>
    <w:rsid w:val="0061627D"/>
    <w:rsid w:val="0061756E"/>
    <w:rsid w:val="0062122A"/>
    <w:rsid w:val="00621707"/>
    <w:rsid w:val="006227A1"/>
    <w:rsid w:val="006248AD"/>
    <w:rsid w:val="00626BDD"/>
    <w:rsid w:val="00626CF3"/>
    <w:rsid w:val="00630E13"/>
    <w:rsid w:val="006325A8"/>
    <w:rsid w:val="00634085"/>
    <w:rsid w:val="0063450E"/>
    <w:rsid w:val="00635665"/>
    <w:rsid w:val="00636DB5"/>
    <w:rsid w:val="00641246"/>
    <w:rsid w:val="00641B06"/>
    <w:rsid w:val="00641BAC"/>
    <w:rsid w:val="00641CE6"/>
    <w:rsid w:val="00642B74"/>
    <w:rsid w:val="0064480D"/>
    <w:rsid w:val="006448DB"/>
    <w:rsid w:val="0064540E"/>
    <w:rsid w:val="00645F0E"/>
    <w:rsid w:val="00645F5D"/>
    <w:rsid w:val="00646339"/>
    <w:rsid w:val="006465B9"/>
    <w:rsid w:val="00647695"/>
    <w:rsid w:val="00647F33"/>
    <w:rsid w:val="006517D7"/>
    <w:rsid w:val="0065219F"/>
    <w:rsid w:val="00652B0A"/>
    <w:rsid w:val="006559DF"/>
    <w:rsid w:val="00662532"/>
    <w:rsid w:val="00662BEC"/>
    <w:rsid w:val="00663A23"/>
    <w:rsid w:val="006643F2"/>
    <w:rsid w:val="00664A70"/>
    <w:rsid w:val="00666724"/>
    <w:rsid w:val="00666D4D"/>
    <w:rsid w:val="006676EC"/>
    <w:rsid w:val="0067007C"/>
    <w:rsid w:val="00670313"/>
    <w:rsid w:val="006704B4"/>
    <w:rsid w:val="00671E14"/>
    <w:rsid w:val="00672B1B"/>
    <w:rsid w:val="0067570F"/>
    <w:rsid w:val="00680302"/>
    <w:rsid w:val="0068245C"/>
    <w:rsid w:val="006828B8"/>
    <w:rsid w:val="00682943"/>
    <w:rsid w:val="006840D2"/>
    <w:rsid w:val="00685046"/>
    <w:rsid w:val="00686505"/>
    <w:rsid w:val="00690772"/>
    <w:rsid w:val="006912D5"/>
    <w:rsid w:val="00693E81"/>
    <w:rsid w:val="00694385"/>
    <w:rsid w:val="006950C1"/>
    <w:rsid w:val="00695E16"/>
    <w:rsid w:val="006A023D"/>
    <w:rsid w:val="006A19C3"/>
    <w:rsid w:val="006A19DB"/>
    <w:rsid w:val="006A1A5D"/>
    <w:rsid w:val="006A20F0"/>
    <w:rsid w:val="006A2ECB"/>
    <w:rsid w:val="006A313E"/>
    <w:rsid w:val="006A37AF"/>
    <w:rsid w:val="006A49D1"/>
    <w:rsid w:val="006A513D"/>
    <w:rsid w:val="006A5ADE"/>
    <w:rsid w:val="006A65DF"/>
    <w:rsid w:val="006B0127"/>
    <w:rsid w:val="006B0DDB"/>
    <w:rsid w:val="006B15A1"/>
    <w:rsid w:val="006B1AE2"/>
    <w:rsid w:val="006B1E44"/>
    <w:rsid w:val="006B2143"/>
    <w:rsid w:val="006B2191"/>
    <w:rsid w:val="006B2274"/>
    <w:rsid w:val="006B3B8E"/>
    <w:rsid w:val="006B45E2"/>
    <w:rsid w:val="006B4955"/>
    <w:rsid w:val="006B5F84"/>
    <w:rsid w:val="006B617C"/>
    <w:rsid w:val="006B78E3"/>
    <w:rsid w:val="006C1F3A"/>
    <w:rsid w:val="006C34C7"/>
    <w:rsid w:val="006C3EFB"/>
    <w:rsid w:val="006C4196"/>
    <w:rsid w:val="006C455D"/>
    <w:rsid w:val="006C4CBA"/>
    <w:rsid w:val="006C5D68"/>
    <w:rsid w:val="006D01AA"/>
    <w:rsid w:val="006D0E35"/>
    <w:rsid w:val="006D1C48"/>
    <w:rsid w:val="006D1EB4"/>
    <w:rsid w:val="006D31C9"/>
    <w:rsid w:val="006D4CE1"/>
    <w:rsid w:val="006D6069"/>
    <w:rsid w:val="006E0B3C"/>
    <w:rsid w:val="006E13E5"/>
    <w:rsid w:val="006E1A42"/>
    <w:rsid w:val="006E1BB8"/>
    <w:rsid w:val="006E2265"/>
    <w:rsid w:val="006E229E"/>
    <w:rsid w:val="006E3936"/>
    <w:rsid w:val="006E3C95"/>
    <w:rsid w:val="006E4E21"/>
    <w:rsid w:val="006E5308"/>
    <w:rsid w:val="006E5B0C"/>
    <w:rsid w:val="006E7175"/>
    <w:rsid w:val="006E7922"/>
    <w:rsid w:val="006E7B7D"/>
    <w:rsid w:val="006F028A"/>
    <w:rsid w:val="006F0748"/>
    <w:rsid w:val="006F310D"/>
    <w:rsid w:val="006F39C2"/>
    <w:rsid w:val="006F6257"/>
    <w:rsid w:val="006F7EC9"/>
    <w:rsid w:val="007011F2"/>
    <w:rsid w:val="00702E02"/>
    <w:rsid w:val="007036CE"/>
    <w:rsid w:val="00703743"/>
    <w:rsid w:val="00705530"/>
    <w:rsid w:val="0070654F"/>
    <w:rsid w:val="00706F54"/>
    <w:rsid w:val="00707009"/>
    <w:rsid w:val="00707253"/>
    <w:rsid w:val="00707DBC"/>
    <w:rsid w:val="00707F53"/>
    <w:rsid w:val="00710149"/>
    <w:rsid w:val="007110F0"/>
    <w:rsid w:val="00711C7C"/>
    <w:rsid w:val="00712C19"/>
    <w:rsid w:val="00712EAC"/>
    <w:rsid w:val="00713913"/>
    <w:rsid w:val="007146B3"/>
    <w:rsid w:val="00714E18"/>
    <w:rsid w:val="0071521F"/>
    <w:rsid w:val="00715501"/>
    <w:rsid w:val="00715FA4"/>
    <w:rsid w:val="00717460"/>
    <w:rsid w:val="00717C6F"/>
    <w:rsid w:val="00720575"/>
    <w:rsid w:val="00720D19"/>
    <w:rsid w:val="0072168E"/>
    <w:rsid w:val="007218BE"/>
    <w:rsid w:val="00721EE6"/>
    <w:rsid w:val="00722389"/>
    <w:rsid w:val="00722E4C"/>
    <w:rsid w:val="0072588C"/>
    <w:rsid w:val="00725CAD"/>
    <w:rsid w:val="00726082"/>
    <w:rsid w:val="007262F6"/>
    <w:rsid w:val="00726441"/>
    <w:rsid w:val="00726488"/>
    <w:rsid w:val="0072699F"/>
    <w:rsid w:val="0073232B"/>
    <w:rsid w:val="00732669"/>
    <w:rsid w:val="00733C42"/>
    <w:rsid w:val="00734098"/>
    <w:rsid w:val="00734536"/>
    <w:rsid w:val="00735C39"/>
    <w:rsid w:val="00736C49"/>
    <w:rsid w:val="00737B59"/>
    <w:rsid w:val="00741CA4"/>
    <w:rsid w:val="007422CE"/>
    <w:rsid w:val="00742644"/>
    <w:rsid w:val="00742B9B"/>
    <w:rsid w:val="00743799"/>
    <w:rsid w:val="0074427D"/>
    <w:rsid w:val="007445DA"/>
    <w:rsid w:val="0074693C"/>
    <w:rsid w:val="00747F15"/>
    <w:rsid w:val="007528C6"/>
    <w:rsid w:val="00754204"/>
    <w:rsid w:val="00754912"/>
    <w:rsid w:val="00754D4A"/>
    <w:rsid w:val="0075500D"/>
    <w:rsid w:val="007575F4"/>
    <w:rsid w:val="00761242"/>
    <w:rsid w:val="00762009"/>
    <w:rsid w:val="0076275E"/>
    <w:rsid w:val="0076422B"/>
    <w:rsid w:val="00764506"/>
    <w:rsid w:val="00765958"/>
    <w:rsid w:val="0076636D"/>
    <w:rsid w:val="00771B9D"/>
    <w:rsid w:val="00772278"/>
    <w:rsid w:val="00772872"/>
    <w:rsid w:val="00772D77"/>
    <w:rsid w:val="007738AB"/>
    <w:rsid w:val="0077401F"/>
    <w:rsid w:val="00774D81"/>
    <w:rsid w:val="00774F1D"/>
    <w:rsid w:val="007763B4"/>
    <w:rsid w:val="00776928"/>
    <w:rsid w:val="00777CA4"/>
    <w:rsid w:val="007813DA"/>
    <w:rsid w:val="00783A3B"/>
    <w:rsid w:val="00783E0E"/>
    <w:rsid w:val="00784254"/>
    <w:rsid w:val="0078486C"/>
    <w:rsid w:val="0078508C"/>
    <w:rsid w:val="00785C79"/>
    <w:rsid w:val="007863C4"/>
    <w:rsid w:val="00786468"/>
    <w:rsid w:val="00786595"/>
    <w:rsid w:val="00786682"/>
    <w:rsid w:val="007905BE"/>
    <w:rsid w:val="00790732"/>
    <w:rsid w:val="00790A67"/>
    <w:rsid w:val="00792784"/>
    <w:rsid w:val="00792F45"/>
    <w:rsid w:val="0079322B"/>
    <w:rsid w:val="00793E32"/>
    <w:rsid w:val="007957BE"/>
    <w:rsid w:val="00797EDE"/>
    <w:rsid w:val="007A0214"/>
    <w:rsid w:val="007A0528"/>
    <w:rsid w:val="007A1F05"/>
    <w:rsid w:val="007A3475"/>
    <w:rsid w:val="007A4141"/>
    <w:rsid w:val="007A4B02"/>
    <w:rsid w:val="007A4BEC"/>
    <w:rsid w:val="007A63B5"/>
    <w:rsid w:val="007A6F44"/>
    <w:rsid w:val="007A7967"/>
    <w:rsid w:val="007B0BDC"/>
    <w:rsid w:val="007B139C"/>
    <w:rsid w:val="007B13D4"/>
    <w:rsid w:val="007B2D35"/>
    <w:rsid w:val="007B3B7F"/>
    <w:rsid w:val="007B4967"/>
    <w:rsid w:val="007B4B4E"/>
    <w:rsid w:val="007B4C7A"/>
    <w:rsid w:val="007B4FD1"/>
    <w:rsid w:val="007B59A5"/>
    <w:rsid w:val="007B6F11"/>
    <w:rsid w:val="007B6F2F"/>
    <w:rsid w:val="007B7A86"/>
    <w:rsid w:val="007C1121"/>
    <w:rsid w:val="007C24D2"/>
    <w:rsid w:val="007C38F1"/>
    <w:rsid w:val="007C4DF2"/>
    <w:rsid w:val="007C4F82"/>
    <w:rsid w:val="007C5973"/>
    <w:rsid w:val="007C5D60"/>
    <w:rsid w:val="007C7542"/>
    <w:rsid w:val="007C7676"/>
    <w:rsid w:val="007C7722"/>
    <w:rsid w:val="007C7DA1"/>
    <w:rsid w:val="007C7E44"/>
    <w:rsid w:val="007D0572"/>
    <w:rsid w:val="007D1489"/>
    <w:rsid w:val="007D14B1"/>
    <w:rsid w:val="007D1DC3"/>
    <w:rsid w:val="007D36D8"/>
    <w:rsid w:val="007D4CD0"/>
    <w:rsid w:val="007D5A5A"/>
    <w:rsid w:val="007D7394"/>
    <w:rsid w:val="007D7AFF"/>
    <w:rsid w:val="007E0F06"/>
    <w:rsid w:val="007E242B"/>
    <w:rsid w:val="007E2A20"/>
    <w:rsid w:val="007E3A28"/>
    <w:rsid w:val="007E4547"/>
    <w:rsid w:val="007E4B89"/>
    <w:rsid w:val="007E5C6B"/>
    <w:rsid w:val="007E70B3"/>
    <w:rsid w:val="007E7EDB"/>
    <w:rsid w:val="007F1214"/>
    <w:rsid w:val="007F2052"/>
    <w:rsid w:val="007F2641"/>
    <w:rsid w:val="007F35B9"/>
    <w:rsid w:val="007F3F9C"/>
    <w:rsid w:val="007F4731"/>
    <w:rsid w:val="007F6308"/>
    <w:rsid w:val="007F736F"/>
    <w:rsid w:val="007F7B6A"/>
    <w:rsid w:val="00800729"/>
    <w:rsid w:val="0080093A"/>
    <w:rsid w:val="00800AB7"/>
    <w:rsid w:val="00802381"/>
    <w:rsid w:val="008027DE"/>
    <w:rsid w:val="008029D5"/>
    <w:rsid w:val="008048AC"/>
    <w:rsid w:val="00805195"/>
    <w:rsid w:val="00806F47"/>
    <w:rsid w:val="00810335"/>
    <w:rsid w:val="00811016"/>
    <w:rsid w:val="00811B38"/>
    <w:rsid w:val="008123F5"/>
    <w:rsid w:val="008139E0"/>
    <w:rsid w:val="0081405A"/>
    <w:rsid w:val="0081443D"/>
    <w:rsid w:val="00815754"/>
    <w:rsid w:val="0081749F"/>
    <w:rsid w:val="008202C5"/>
    <w:rsid w:val="00820790"/>
    <w:rsid w:val="00820EC3"/>
    <w:rsid w:val="00821760"/>
    <w:rsid w:val="008231C1"/>
    <w:rsid w:val="00823CD9"/>
    <w:rsid w:val="008240EC"/>
    <w:rsid w:val="00824836"/>
    <w:rsid w:val="00824E9B"/>
    <w:rsid w:val="00825F48"/>
    <w:rsid w:val="0083148E"/>
    <w:rsid w:val="00831C45"/>
    <w:rsid w:val="00832762"/>
    <w:rsid w:val="00833074"/>
    <w:rsid w:val="00833D3F"/>
    <w:rsid w:val="008347D0"/>
    <w:rsid w:val="00835A85"/>
    <w:rsid w:val="00835F58"/>
    <w:rsid w:val="00836679"/>
    <w:rsid w:val="00837441"/>
    <w:rsid w:val="0084014C"/>
    <w:rsid w:val="0084024F"/>
    <w:rsid w:val="0084033C"/>
    <w:rsid w:val="00840B42"/>
    <w:rsid w:val="0084113D"/>
    <w:rsid w:val="0084121F"/>
    <w:rsid w:val="00841DBA"/>
    <w:rsid w:val="00842592"/>
    <w:rsid w:val="008433B7"/>
    <w:rsid w:val="00843E1C"/>
    <w:rsid w:val="00843E94"/>
    <w:rsid w:val="00844BA8"/>
    <w:rsid w:val="00846002"/>
    <w:rsid w:val="0084626C"/>
    <w:rsid w:val="00846ECC"/>
    <w:rsid w:val="0084767C"/>
    <w:rsid w:val="008479E5"/>
    <w:rsid w:val="00847B6F"/>
    <w:rsid w:val="008502D2"/>
    <w:rsid w:val="00850FC2"/>
    <w:rsid w:val="00851AFE"/>
    <w:rsid w:val="008529D8"/>
    <w:rsid w:val="00852D56"/>
    <w:rsid w:val="00855B76"/>
    <w:rsid w:val="00856D04"/>
    <w:rsid w:val="00856ED8"/>
    <w:rsid w:val="00860322"/>
    <w:rsid w:val="00860494"/>
    <w:rsid w:val="00860817"/>
    <w:rsid w:val="00860A8D"/>
    <w:rsid w:val="008621FB"/>
    <w:rsid w:val="00863405"/>
    <w:rsid w:val="00866E53"/>
    <w:rsid w:val="008670DB"/>
    <w:rsid w:val="008674D8"/>
    <w:rsid w:val="00870A79"/>
    <w:rsid w:val="00872378"/>
    <w:rsid w:val="008729CD"/>
    <w:rsid w:val="00875422"/>
    <w:rsid w:val="00875D21"/>
    <w:rsid w:val="008768CC"/>
    <w:rsid w:val="00876930"/>
    <w:rsid w:val="0087706B"/>
    <w:rsid w:val="008770B9"/>
    <w:rsid w:val="00880E5E"/>
    <w:rsid w:val="0088109F"/>
    <w:rsid w:val="00881F75"/>
    <w:rsid w:val="00883848"/>
    <w:rsid w:val="00883942"/>
    <w:rsid w:val="00883CEE"/>
    <w:rsid w:val="00885894"/>
    <w:rsid w:val="00885C72"/>
    <w:rsid w:val="008874DC"/>
    <w:rsid w:val="00887B41"/>
    <w:rsid w:val="00890414"/>
    <w:rsid w:val="00890BFB"/>
    <w:rsid w:val="00891116"/>
    <w:rsid w:val="00891236"/>
    <w:rsid w:val="00891B83"/>
    <w:rsid w:val="00891BB0"/>
    <w:rsid w:val="008921BB"/>
    <w:rsid w:val="0089418F"/>
    <w:rsid w:val="00895106"/>
    <w:rsid w:val="0089548D"/>
    <w:rsid w:val="0089595A"/>
    <w:rsid w:val="008960C7"/>
    <w:rsid w:val="00896408"/>
    <w:rsid w:val="00897ED5"/>
    <w:rsid w:val="008A0BBB"/>
    <w:rsid w:val="008A1E60"/>
    <w:rsid w:val="008A2335"/>
    <w:rsid w:val="008A30D9"/>
    <w:rsid w:val="008A41AB"/>
    <w:rsid w:val="008A467B"/>
    <w:rsid w:val="008A4996"/>
    <w:rsid w:val="008A49DA"/>
    <w:rsid w:val="008A584C"/>
    <w:rsid w:val="008B0C41"/>
    <w:rsid w:val="008B1F9A"/>
    <w:rsid w:val="008B3A2D"/>
    <w:rsid w:val="008B3B59"/>
    <w:rsid w:val="008B4A1E"/>
    <w:rsid w:val="008B56F3"/>
    <w:rsid w:val="008B6690"/>
    <w:rsid w:val="008B6BB9"/>
    <w:rsid w:val="008B6CE0"/>
    <w:rsid w:val="008B73E7"/>
    <w:rsid w:val="008B7C8D"/>
    <w:rsid w:val="008B7EEC"/>
    <w:rsid w:val="008C0A8D"/>
    <w:rsid w:val="008C0BEC"/>
    <w:rsid w:val="008C1CAC"/>
    <w:rsid w:val="008C2188"/>
    <w:rsid w:val="008C23B7"/>
    <w:rsid w:val="008C2577"/>
    <w:rsid w:val="008C2668"/>
    <w:rsid w:val="008C3132"/>
    <w:rsid w:val="008C363A"/>
    <w:rsid w:val="008C388F"/>
    <w:rsid w:val="008C452A"/>
    <w:rsid w:val="008C59B4"/>
    <w:rsid w:val="008C5C88"/>
    <w:rsid w:val="008C62F9"/>
    <w:rsid w:val="008C6439"/>
    <w:rsid w:val="008C7657"/>
    <w:rsid w:val="008C789D"/>
    <w:rsid w:val="008D0218"/>
    <w:rsid w:val="008D0643"/>
    <w:rsid w:val="008D0C26"/>
    <w:rsid w:val="008D11E0"/>
    <w:rsid w:val="008D2596"/>
    <w:rsid w:val="008D3DC4"/>
    <w:rsid w:val="008D4159"/>
    <w:rsid w:val="008D52C8"/>
    <w:rsid w:val="008D52D4"/>
    <w:rsid w:val="008D6114"/>
    <w:rsid w:val="008D7EAB"/>
    <w:rsid w:val="008E0DFA"/>
    <w:rsid w:val="008E13A1"/>
    <w:rsid w:val="008E1D36"/>
    <w:rsid w:val="008E2EB6"/>
    <w:rsid w:val="008E34D6"/>
    <w:rsid w:val="008E3946"/>
    <w:rsid w:val="008E4A19"/>
    <w:rsid w:val="008E5223"/>
    <w:rsid w:val="008E698E"/>
    <w:rsid w:val="008E6C5D"/>
    <w:rsid w:val="008E6DF3"/>
    <w:rsid w:val="008E7FE4"/>
    <w:rsid w:val="008F17F4"/>
    <w:rsid w:val="008F1B22"/>
    <w:rsid w:val="008F3965"/>
    <w:rsid w:val="008F4CC4"/>
    <w:rsid w:val="008F52FE"/>
    <w:rsid w:val="008F5725"/>
    <w:rsid w:val="008F5BEC"/>
    <w:rsid w:val="008F68EB"/>
    <w:rsid w:val="008F6EDC"/>
    <w:rsid w:val="008F73FB"/>
    <w:rsid w:val="008F7AB4"/>
    <w:rsid w:val="0090061B"/>
    <w:rsid w:val="00901ECD"/>
    <w:rsid w:val="009039D4"/>
    <w:rsid w:val="00904C05"/>
    <w:rsid w:val="00905588"/>
    <w:rsid w:val="00905A81"/>
    <w:rsid w:val="00910283"/>
    <w:rsid w:val="00910F07"/>
    <w:rsid w:val="00911543"/>
    <w:rsid w:val="00912F89"/>
    <w:rsid w:val="009148AF"/>
    <w:rsid w:val="009149EB"/>
    <w:rsid w:val="00914D4C"/>
    <w:rsid w:val="00914FDE"/>
    <w:rsid w:val="00915343"/>
    <w:rsid w:val="0091648A"/>
    <w:rsid w:val="0091685C"/>
    <w:rsid w:val="00916946"/>
    <w:rsid w:val="00916FB9"/>
    <w:rsid w:val="00917A98"/>
    <w:rsid w:val="00920E20"/>
    <w:rsid w:val="00921A2C"/>
    <w:rsid w:val="00922D03"/>
    <w:rsid w:val="00923FF4"/>
    <w:rsid w:val="009242D0"/>
    <w:rsid w:val="009248FD"/>
    <w:rsid w:val="00924BCB"/>
    <w:rsid w:val="009259A0"/>
    <w:rsid w:val="0093045B"/>
    <w:rsid w:val="00932479"/>
    <w:rsid w:val="00932A32"/>
    <w:rsid w:val="009331F7"/>
    <w:rsid w:val="00933B1A"/>
    <w:rsid w:val="00934D53"/>
    <w:rsid w:val="00935624"/>
    <w:rsid w:val="00935EE9"/>
    <w:rsid w:val="00936AEB"/>
    <w:rsid w:val="00937A9C"/>
    <w:rsid w:val="00937F53"/>
    <w:rsid w:val="0094032B"/>
    <w:rsid w:val="00940920"/>
    <w:rsid w:val="009420A8"/>
    <w:rsid w:val="00942FA3"/>
    <w:rsid w:val="0094415A"/>
    <w:rsid w:val="00945151"/>
    <w:rsid w:val="0094535D"/>
    <w:rsid w:val="00946C3F"/>
    <w:rsid w:val="009476FD"/>
    <w:rsid w:val="00947E60"/>
    <w:rsid w:val="009510A2"/>
    <w:rsid w:val="009519C9"/>
    <w:rsid w:val="00951BF1"/>
    <w:rsid w:val="0095415E"/>
    <w:rsid w:val="009542CE"/>
    <w:rsid w:val="00954307"/>
    <w:rsid w:val="00954393"/>
    <w:rsid w:val="00954A73"/>
    <w:rsid w:val="0096059E"/>
    <w:rsid w:val="00960FA4"/>
    <w:rsid w:val="00961A17"/>
    <w:rsid w:val="00961E1B"/>
    <w:rsid w:val="0096335E"/>
    <w:rsid w:val="00965A67"/>
    <w:rsid w:val="00966BAC"/>
    <w:rsid w:val="00967C29"/>
    <w:rsid w:val="00972114"/>
    <w:rsid w:val="00972604"/>
    <w:rsid w:val="00972623"/>
    <w:rsid w:val="00972644"/>
    <w:rsid w:val="009734B2"/>
    <w:rsid w:val="009742A2"/>
    <w:rsid w:val="009748DE"/>
    <w:rsid w:val="00976646"/>
    <w:rsid w:val="00980C72"/>
    <w:rsid w:val="009813B1"/>
    <w:rsid w:val="009813E6"/>
    <w:rsid w:val="00982083"/>
    <w:rsid w:val="00982943"/>
    <w:rsid w:val="00983361"/>
    <w:rsid w:val="00984250"/>
    <w:rsid w:val="009843B2"/>
    <w:rsid w:val="00984DA1"/>
    <w:rsid w:val="00985966"/>
    <w:rsid w:val="00985CE3"/>
    <w:rsid w:val="00986838"/>
    <w:rsid w:val="0098708B"/>
    <w:rsid w:val="009877BF"/>
    <w:rsid w:val="00987D72"/>
    <w:rsid w:val="00990A69"/>
    <w:rsid w:val="00990DEB"/>
    <w:rsid w:val="00991E17"/>
    <w:rsid w:val="00992C72"/>
    <w:rsid w:val="009930FD"/>
    <w:rsid w:val="0099694E"/>
    <w:rsid w:val="00997E9B"/>
    <w:rsid w:val="009A0370"/>
    <w:rsid w:val="009A24AA"/>
    <w:rsid w:val="009A3675"/>
    <w:rsid w:val="009A4076"/>
    <w:rsid w:val="009A4D3A"/>
    <w:rsid w:val="009A6B07"/>
    <w:rsid w:val="009A7038"/>
    <w:rsid w:val="009A7283"/>
    <w:rsid w:val="009A746D"/>
    <w:rsid w:val="009B02F0"/>
    <w:rsid w:val="009B0A7D"/>
    <w:rsid w:val="009B0BC9"/>
    <w:rsid w:val="009B0DBE"/>
    <w:rsid w:val="009B0DCA"/>
    <w:rsid w:val="009B2BC3"/>
    <w:rsid w:val="009B327C"/>
    <w:rsid w:val="009B7D64"/>
    <w:rsid w:val="009C00A0"/>
    <w:rsid w:val="009C039D"/>
    <w:rsid w:val="009C15AB"/>
    <w:rsid w:val="009C1E3D"/>
    <w:rsid w:val="009C20AA"/>
    <w:rsid w:val="009C29FA"/>
    <w:rsid w:val="009C3037"/>
    <w:rsid w:val="009C32CB"/>
    <w:rsid w:val="009C3463"/>
    <w:rsid w:val="009C4A99"/>
    <w:rsid w:val="009C4F91"/>
    <w:rsid w:val="009C63D3"/>
    <w:rsid w:val="009C63FD"/>
    <w:rsid w:val="009C6C71"/>
    <w:rsid w:val="009C7EC7"/>
    <w:rsid w:val="009D0B86"/>
    <w:rsid w:val="009D1BFC"/>
    <w:rsid w:val="009D2C4C"/>
    <w:rsid w:val="009D3BE8"/>
    <w:rsid w:val="009D3E7E"/>
    <w:rsid w:val="009D53FC"/>
    <w:rsid w:val="009D5F5D"/>
    <w:rsid w:val="009D67EF"/>
    <w:rsid w:val="009D70E2"/>
    <w:rsid w:val="009D7ED9"/>
    <w:rsid w:val="009E0D5B"/>
    <w:rsid w:val="009E1077"/>
    <w:rsid w:val="009E1460"/>
    <w:rsid w:val="009E1529"/>
    <w:rsid w:val="009E1558"/>
    <w:rsid w:val="009E16C7"/>
    <w:rsid w:val="009E18AC"/>
    <w:rsid w:val="009E1E61"/>
    <w:rsid w:val="009E201A"/>
    <w:rsid w:val="009E278C"/>
    <w:rsid w:val="009E2F9D"/>
    <w:rsid w:val="009E311A"/>
    <w:rsid w:val="009E5C65"/>
    <w:rsid w:val="009E5F90"/>
    <w:rsid w:val="009E7C66"/>
    <w:rsid w:val="009F06FB"/>
    <w:rsid w:val="009F0FDB"/>
    <w:rsid w:val="009F1402"/>
    <w:rsid w:val="009F3C21"/>
    <w:rsid w:val="009F4B0C"/>
    <w:rsid w:val="009F53F7"/>
    <w:rsid w:val="009F5B6D"/>
    <w:rsid w:val="009F7091"/>
    <w:rsid w:val="00A00679"/>
    <w:rsid w:val="00A00B40"/>
    <w:rsid w:val="00A00F91"/>
    <w:rsid w:val="00A0189C"/>
    <w:rsid w:val="00A01E54"/>
    <w:rsid w:val="00A028FE"/>
    <w:rsid w:val="00A02996"/>
    <w:rsid w:val="00A03185"/>
    <w:rsid w:val="00A03486"/>
    <w:rsid w:val="00A04FA5"/>
    <w:rsid w:val="00A05623"/>
    <w:rsid w:val="00A05D50"/>
    <w:rsid w:val="00A0616C"/>
    <w:rsid w:val="00A07104"/>
    <w:rsid w:val="00A073A1"/>
    <w:rsid w:val="00A07F3C"/>
    <w:rsid w:val="00A11A6F"/>
    <w:rsid w:val="00A1253B"/>
    <w:rsid w:val="00A12C64"/>
    <w:rsid w:val="00A12DFA"/>
    <w:rsid w:val="00A12F45"/>
    <w:rsid w:val="00A13F1A"/>
    <w:rsid w:val="00A1467A"/>
    <w:rsid w:val="00A14D62"/>
    <w:rsid w:val="00A15E5C"/>
    <w:rsid w:val="00A2054D"/>
    <w:rsid w:val="00A20752"/>
    <w:rsid w:val="00A20797"/>
    <w:rsid w:val="00A20CB8"/>
    <w:rsid w:val="00A21118"/>
    <w:rsid w:val="00A2168C"/>
    <w:rsid w:val="00A22190"/>
    <w:rsid w:val="00A22ED3"/>
    <w:rsid w:val="00A2329F"/>
    <w:rsid w:val="00A234DE"/>
    <w:rsid w:val="00A23786"/>
    <w:rsid w:val="00A237FD"/>
    <w:rsid w:val="00A23E07"/>
    <w:rsid w:val="00A24B01"/>
    <w:rsid w:val="00A25728"/>
    <w:rsid w:val="00A2610E"/>
    <w:rsid w:val="00A27052"/>
    <w:rsid w:val="00A27E13"/>
    <w:rsid w:val="00A30547"/>
    <w:rsid w:val="00A30B41"/>
    <w:rsid w:val="00A332C2"/>
    <w:rsid w:val="00A33D89"/>
    <w:rsid w:val="00A34628"/>
    <w:rsid w:val="00A34EAC"/>
    <w:rsid w:val="00A358D3"/>
    <w:rsid w:val="00A36AAA"/>
    <w:rsid w:val="00A36E43"/>
    <w:rsid w:val="00A371F5"/>
    <w:rsid w:val="00A37332"/>
    <w:rsid w:val="00A377DE"/>
    <w:rsid w:val="00A40483"/>
    <w:rsid w:val="00A4171A"/>
    <w:rsid w:val="00A41DE7"/>
    <w:rsid w:val="00A4287E"/>
    <w:rsid w:val="00A42898"/>
    <w:rsid w:val="00A44B11"/>
    <w:rsid w:val="00A4502E"/>
    <w:rsid w:val="00A50634"/>
    <w:rsid w:val="00A52E1C"/>
    <w:rsid w:val="00A5459B"/>
    <w:rsid w:val="00A54DA2"/>
    <w:rsid w:val="00A55231"/>
    <w:rsid w:val="00A559BA"/>
    <w:rsid w:val="00A563E9"/>
    <w:rsid w:val="00A57D92"/>
    <w:rsid w:val="00A608EE"/>
    <w:rsid w:val="00A60CBF"/>
    <w:rsid w:val="00A61087"/>
    <w:rsid w:val="00A61846"/>
    <w:rsid w:val="00A66ADE"/>
    <w:rsid w:val="00A66CD1"/>
    <w:rsid w:val="00A713D8"/>
    <w:rsid w:val="00A7377C"/>
    <w:rsid w:val="00A74210"/>
    <w:rsid w:val="00A74E13"/>
    <w:rsid w:val="00A763B5"/>
    <w:rsid w:val="00A76EE7"/>
    <w:rsid w:val="00A77820"/>
    <w:rsid w:val="00A80A5E"/>
    <w:rsid w:val="00A80D67"/>
    <w:rsid w:val="00A8105E"/>
    <w:rsid w:val="00A8171A"/>
    <w:rsid w:val="00A8309A"/>
    <w:rsid w:val="00A83BF8"/>
    <w:rsid w:val="00A846E3"/>
    <w:rsid w:val="00A848BA"/>
    <w:rsid w:val="00A84BAF"/>
    <w:rsid w:val="00A866C6"/>
    <w:rsid w:val="00A86F4B"/>
    <w:rsid w:val="00A86FD5"/>
    <w:rsid w:val="00A90C6F"/>
    <w:rsid w:val="00A9197A"/>
    <w:rsid w:val="00A92097"/>
    <w:rsid w:val="00A927C6"/>
    <w:rsid w:val="00A933C9"/>
    <w:rsid w:val="00AA0153"/>
    <w:rsid w:val="00AA1A93"/>
    <w:rsid w:val="00AA2A38"/>
    <w:rsid w:val="00AA2F94"/>
    <w:rsid w:val="00AA4514"/>
    <w:rsid w:val="00AA5A19"/>
    <w:rsid w:val="00AA5C23"/>
    <w:rsid w:val="00AA5F9E"/>
    <w:rsid w:val="00AA744E"/>
    <w:rsid w:val="00AA7E00"/>
    <w:rsid w:val="00AB121E"/>
    <w:rsid w:val="00AB15AC"/>
    <w:rsid w:val="00AB160B"/>
    <w:rsid w:val="00AB16B4"/>
    <w:rsid w:val="00AB257F"/>
    <w:rsid w:val="00AB466F"/>
    <w:rsid w:val="00AB4690"/>
    <w:rsid w:val="00AB63BF"/>
    <w:rsid w:val="00AB6ACE"/>
    <w:rsid w:val="00AB6CCA"/>
    <w:rsid w:val="00AC1C06"/>
    <w:rsid w:val="00AC25FE"/>
    <w:rsid w:val="00AC2E58"/>
    <w:rsid w:val="00AC34D7"/>
    <w:rsid w:val="00AC3ACF"/>
    <w:rsid w:val="00AC51F5"/>
    <w:rsid w:val="00AC5A3A"/>
    <w:rsid w:val="00AC70A7"/>
    <w:rsid w:val="00AC7481"/>
    <w:rsid w:val="00AC7F65"/>
    <w:rsid w:val="00AD00C2"/>
    <w:rsid w:val="00AD13B5"/>
    <w:rsid w:val="00AD1A27"/>
    <w:rsid w:val="00AD1B67"/>
    <w:rsid w:val="00AD2B31"/>
    <w:rsid w:val="00AD4248"/>
    <w:rsid w:val="00AD4D67"/>
    <w:rsid w:val="00AD502F"/>
    <w:rsid w:val="00AD509D"/>
    <w:rsid w:val="00AD61C6"/>
    <w:rsid w:val="00AE0388"/>
    <w:rsid w:val="00AE1673"/>
    <w:rsid w:val="00AE1E1C"/>
    <w:rsid w:val="00AE2A38"/>
    <w:rsid w:val="00AE3537"/>
    <w:rsid w:val="00AE4116"/>
    <w:rsid w:val="00AE7B2C"/>
    <w:rsid w:val="00AF1E30"/>
    <w:rsid w:val="00AF53FC"/>
    <w:rsid w:val="00AF56CB"/>
    <w:rsid w:val="00AF74B7"/>
    <w:rsid w:val="00B038FA"/>
    <w:rsid w:val="00B03DB2"/>
    <w:rsid w:val="00B03F5F"/>
    <w:rsid w:val="00B0499A"/>
    <w:rsid w:val="00B051E0"/>
    <w:rsid w:val="00B06BFA"/>
    <w:rsid w:val="00B06D05"/>
    <w:rsid w:val="00B0744B"/>
    <w:rsid w:val="00B107A3"/>
    <w:rsid w:val="00B1092B"/>
    <w:rsid w:val="00B115D6"/>
    <w:rsid w:val="00B125E8"/>
    <w:rsid w:val="00B12D87"/>
    <w:rsid w:val="00B13061"/>
    <w:rsid w:val="00B13210"/>
    <w:rsid w:val="00B13230"/>
    <w:rsid w:val="00B13996"/>
    <w:rsid w:val="00B143C4"/>
    <w:rsid w:val="00B14860"/>
    <w:rsid w:val="00B14D8D"/>
    <w:rsid w:val="00B16D14"/>
    <w:rsid w:val="00B16EC8"/>
    <w:rsid w:val="00B16F4D"/>
    <w:rsid w:val="00B2121D"/>
    <w:rsid w:val="00B2142C"/>
    <w:rsid w:val="00B23BE2"/>
    <w:rsid w:val="00B25212"/>
    <w:rsid w:val="00B25F73"/>
    <w:rsid w:val="00B26B4F"/>
    <w:rsid w:val="00B2700B"/>
    <w:rsid w:val="00B32936"/>
    <w:rsid w:val="00B32EE2"/>
    <w:rsid w:val="00B33F09"/>
    <w:rsid w:val="00B35AA6"/>
    <w:rsid w:val="00B36753"/>
    <w:rsid w:val="00B36DD4"/>
    <w:rsid w:val="00B374E9"/>
    <w:rsid w:val="00B415B8"/>
    <w:rsid w:val="00B423E0"/>
    <w:rsid w:val="00B43B5F"/>
    <w:rsid w:val="00B43C51"/>
    <w:rsid w:val="00B448E0"/>
    <w:rsid w:val="00B44ADF"/>
    <w:rsid w:val="00B45427"/>
    <w:rsid w:val="00B45CED"/>
    <w:rsid w:val="00B478D8"/>
    <w:rsid w:val="00B507BE"/>
    <w:rsid w:val="00B50824"/>
    <w:rsid w:val="00B51244"/>
    <w:rsid w:val="00B51502"/>
    <w:rsid w:val="00B5178D"/>
    <w:rsid w:val="00B54330"/>
    <w:rsid w:val="00B564E2"/>
    <w:rsid w:val="00B57413"/>
    <w:rsid w:val="00B57F09"/>
    <w:rsid w:val="00B57F23"/>
    <w:rsid w:val="00B61BF6"/>
    <w:rsid w:val="00B61E5E"/>
    <w:rsid w:val="00B62449"/>
    <w:rsid w:val="00B648AC"/>
    <w:rsid w:val="00B65070"/>
    <w:rsid w:val="00B65642"/>
    <w:rsid w:val="00B65960"/>
    <w:rsid w:val="00B65B30"/>
    <w:rsid w:val="00B66332"/>
    <w:rsid w:val="00B66815"/>
    <w:rsid w:val="00B66B0D"/>
    <w:rsid w:val="00B7075B"/>
    <w:rsid w:val="00B70A2C"/>
    <w:rsid w:val="00B71F51"/>
    <w:rsid w:val="00B74713"/>
    <w:rsid w:val="00B74821"/>
    <w:rsid w:val="00B75A75"/>
    <w:rsid w:val="00B76188"/>
    <w:rsid w:val="00B80DEB"/>
    <w:rsid w:val="00B8260A"/>
    <w:rsid w:val="00B82FA5"/>
    <w:rsid w:val="00B82FD7"/>
    <w:rsid w:val="00B8369E"/>
    <w:rsid w:val="00B8378C"/>
    <w:rsid w:val="00B84698"/>
    <w:rsid w:val="00B85117"/>
    <w:rsid w:val="00B86B8A"/>
    <w:rsid w:val="00B90023"/>
    <w:rsid w:val="00B9035B"/>
    <w:rsid w:val="00B91EF0"/>
    <w:rsid w:val="00B921EE"/>
    <w:rsid w:val="00B92775"/>
    <w:rsid w:val="00B940CB"/>
    <w:rsid w:val="00B958D0"/>
    <w:rsid w:val="00B96160"/>
    <w:rsid w:val="00B969BB"/>
    <w:rsid w:val="00B96B4C"/>
    <w:rsid w:val="00B9773A"/>
    <w:rsid w:val="00BA0494"/>
    <w:rsid w:val="00BA0E5C"/>
    <w:rsid w:val="00BA1583"/>
    <w:rsid w:val="00BA1DF9"/>
    <w:rsid w:val="00BA27FD"/>
    <w:rsid w:val="00BA2EF4"/>
    <w:rsid w:val="00BA402C"/>
    <w:rsid w:val="00BA41D5"/>
    <w:rsid w:val="00BA4C7D"/>
    <w:rsid w:val="00BA689F"/>
    <w:rsid w:val="00BA762F"/>
    <w:rsid w:val="00BB1303"/>
    <w:rsid w:val="00BB202A"/>
    <w:rsid w:val="00BB329C"/>
    <w:rsid w:val="00BB36AA"/>
    <w:rsid w:val="00BB521D"/>
    <w:rsid w:val="00BB5B64"/>
    <w:rsid w:val="00BB647D"/>
    <w:rsid w:val="00BB64DD"/>
    <w:rsid w:val="00BB6BE8"/>
    <w:rsid w:val="00BB6C44"/>
    <w:rsid w:val="00BB76A7"/>
    <w:rsid w:val="00BB7997"/>
    <w:rsid w:val="00BC1FE3"/>
    <w:rsid w:val="00BC3711"/>
    <w:rsid w:val="00BC410B"/>
    <w:rsid w:val="00BC43B7"/>
    <w:rsid w:val="00BC4450"/>
    <w:rsid w:val="00BC5AFD"/>
    <w:rsid w:val="00BC5D51"/>
    <w:rsid w:val="00BC5FE6"/>
    <w:rsid w:val="00BC60D9"/>
    <w:rsid w:val="00BC6569"/>
    <w:rsid w:val="00BC6590"/>
    <w:rsid w:val="00BC7E10"/>
    <w:rsid w:val="00BD10D9"/>
    <w:rsid w:val="00BD11C2"/>
    <w:rsid w:val="00BD1400"/>
    <w:rsid w:val="00BD232D"/>
    <w:rsid w:val="00BD2B0C"/>
    <w:rsid w:val="00BD3B89"/>
    <w:rsid w:val="00BD3F89"/>
    <w:rsid w:val="00BD4180"/>
    <w:rsid w:val="00BD4471"/>
    <w:rsid w:val="00BD45B8"/>
    <w:rsid w:val="00BD5D6F"/>
    <w:rsid w:val="00BD605C"/>
    <w:rsid w:val="00BD6080"/>
    <w:rsid w:val="00BD6101"/>
    <w:rsid w:val="00BD6398"/>
    <w:rsid w:val="00BD6C77"/>
    <w:rsid w:val="00BD71A7"/>
    <w:rsid w:val="00BD7226"/>
    <w:rsid w:val="00BD76E0"/>
    <w:rsid w:val="00BE1DF4"/>
    <w:rsid w:val="00BE2622"/>
    <w:rsid w:val="00BE2A76"/>
    <w:rsid w:val="00BE2F95"/>
    <w:rsid w:val="00BE379C"/>
    <w:rsid w:val="00BE3E2F"/>
    <w:rsid w:val="00BE3FA1"/>
    <w:rsid w:val="00BE434C"/>
    <w:rsid w:val="00BE6338"/>
    <w:rsid w:val="00BF1FE2"/>
    <w:rsid w:val="00BF252F"/>
    <w:rsid w:val="00BF47CE"/>
    <w:rsid w:val="00BF4AF9"/>
    <w:rsid w:val="00BF5AA7"/>
    <w:rsid w:val="00BF60CB"/>
    <w:rsid w:val="00BF6308"/>
    <w:rsid w:val="00BF673A"/>
    <w:rsid w:val="00BF7A45"/>
    <w:rsid w:val="00BF7E61"/>
    <w:rsid w:val="00C0176F"/>
    <w:rsid w:val="00C017C3"/>
    <w:rsid w:val="00C01E1C"/>
    <w:rsid w:val="00C027B8"/>
    <w:rsid w:val="00C03732"/>
    <w:rsid w:val="00C0394E"/>
    <w:rsid w:val="00C03A07"/>
    <w:rsid w:val="00C03EBA"/>
    <w:rsid w:val="00C06131"/>
    <w:rsid w:val="00C0716D"/>
    <w:rsid w:val="00C07359"/>
    <w:rsid w:val="00C07944"/>
    <w:rsid w:val="00C1007F"/>
    <w:rsid w:val="00C1077F"/>
    <w:rsid w:val="00C1139D"/>
    <w:rsid w:val="00C1192D"/>
    <w:rsid w:val="00C11994"/>
    <w:rsid w:val="00C125A1"/>
    <w:rsid w:val="00C1316A"/>
    <w:rsid w:val="00C146DB"/>
    <w:rsid w:val="00C154DD"/>
    <w:rsid w:val="00C1550A"/>
    <w:rsid w:val="00C155DC"/>
    <w:rsid w:val="00C1576E"/>
    <w:rsid w:val="00C15CA4"/>
    <w:rsid w:val="00C16160"/>
    <w:rsid w:val="00C2015E"/>
    <w:rsid w:val="00C20863"/>
    <w:rsid w:val="00C20BF4"/>
    <w:rsid w:val="00C23644"/>
    <w:rsid w:val="00C23F26"/>
    <w:rsid w:val="00C240CA"/>
    <w:rsid w:val="00C2415F"/>
    <w:rsid w:val="00C244ED"/>
    <w:rsid w:val="00C248A7"/>
    <w:rsid w:val="00C24F9F"/>
    <w:rsid w:val="00C25B4F"/>
    <w:rsid w:val="00C25C46"/>
    <w:rsid w:val="00C265F5"/>
    <w:rsid w:val="00C27636"/>
    <w:rsid w:val="00C30626"/>
    <w:rsid w:val="00C30835"/>
    <w:rsid w:val="00C308FC"/>
    <w:rsid w:val="00C30ABE"/>
    <w:rsid w:val="00C314EA"/>
    <w:rsid w:val="00C3184F"/>
    <w:rsid w:val="00C31850"/>
    <w:rsid w:val="00C32033"/>
    <w:rsid w:val="00C33EF8"/>
    <w:rsid w:val="00C346F0"/>
    <w:rsid w:val="00C34D3F"/>
    <w:rsid w:val="00C35E5E"/>
    <w:rsid w:val="00C36B31"/>
    <w:rsid w:val="00C40557"/>
    <w:rsid w:val="00C414FE"/>
    <w:rsid w:val="00C43002"/>
    <w:rsid w:val="00C4351C"/>
    <w:rsid w:val="00C44A88"/>
    <w:rsid w:val="00C46816"/>
    <w:rsid w:val="00C47040"/>
    <w:rsid w:val="00C47B90"/>
    <w:rsid w:val="00C47CB7"/>
    <w:rsid w:val="00C508CD"/>
    <w:rsid w:val="00C51F3A"/>
    <w:rsid w:val="00C53126"/>
    <w:rsid w:val="00C544E0"/>
    <w:rsid w:val="00C54B50"/>
    <w:rsid w:val="00C55291"/>
    <w:rsid w:val="00C55785"/>
    <w:rsid w:val="00C568AD"/>
    <w:rsid w:val="00C56D32"/>
    <w:rsid w:val="00C6167F"/>
    <w:rsid w:val="00C61D93"/>
    <w:rsid w:val="00C62390"/>
    <w:rsid w:val="00C6385B"/>
    <w:rsid w:val="00C63E5B"/>
    <w:rsid w:val="00C641D5"/>
    <w:rsid w:val="00C6453E"/>
    <w:rsid w:val="00C65E60"/>
    <w:rsid w:val="00C7137F"/>
    <w:rsid w:val="00C7223D"/>
    <w:rsid w:val="00C73D60"/>
    <w:rsid w:val="00C800D2"/>
    <w:rsid w:val="00C80B19"/>
    <w:rsid w:val="00C80BE6"/>
    <w:rsid w:val="00C80CB4"/>
    <w:rsid w:val="00C8355F"/>
    <w:rsid w:val="00C840D7"/>
    <w:rsid w:val="00C84D31"/>
    <w:rsid w:val="00C8643F"/>
    <w:rsid w:val="00C907D8"/>
    <w:rsid w:val="00C91438"/>
    <w:rsid w:val="00C919DF"/>
    <w:rsid w:val="00C91CD9"/>
    <w:rsid w:val="00C91EF3"/>
    <w:rsid w:val="00C92500"/>
    <w:rsid w:val="00C92978"/>
    <w:rsid w:val="00C934AC"/>
    <w:rsid w:val="00C94D17"/>
    <w:rsid w:val="00C9558D"/>
    <w:rsid w:val="00C95A3A"/>
    <w:rsid w:val="00C96636"/>
    <w:rsid w:val="00C968A4"/>
    <w:rsid w:val="00C9731A"/>
    <w:rsid w:val="00C97FAD"/>
    <w:rsid w:val="00CA05DA"/>
    <w:rsid w:val="00CA09FC"/>
    <w:rsid w:val="00CA1194"/>
    <w:rsid w:val="00CA14F7"/>
    <w:rsid w:val="00CA197C"/>
    <w:rsid w:val="00CA1BA1"/>
    <w:rsid w:val="00CA5C32"/>
    <w:rsid w:val="00CA72A9"/>
    <w:rsid w:val="00CA7422"/>
    <w:rsid w:val="00CA7D04"/>
    <w:rsid w:val="00CB1366"/>
    <w:rsid w:val="00CB3A89"/>
    <w:rsid w:val="00CB493E"/>
    <w:rsid w:val="00CB4E01"/>
    <w:rsid w:val="00CB56AD"/>
    <w:rsid w:val="00CB6437"/>
    <w:rsid w:val="00CB675E"/>
    <w:rsid w:val="00CB7183"/>
    <w:rsid w:val="00CC058E"/>
    <w:rsid w:val="00CC0FEA"/>
    <w:rsid w:val="00CC1D60"/>
    <w:rsid w:val="00CC20F8"/>
    <w:rsid w:val="00CC2CEC"/>
    <w:rsid w:val="00CC35D8"/>
    <w:rsid w:val="00CC3960"/>
    <w:rsid w:val="00CC3F46"/>
    <w:rsid w:val="00CC45C9"/>
    <w:rsid w:val="00CC5940"/>
    <w:rsid w:val="00CC6397"/>
    <w:rsid w:val="00CD03FA"/>
    <w:rsid w:val="00CD0485"/>
    <w:rsid w:val="00CD129E"/>
    <w:rsid w:val="00CD156C"/>
    <w:rsid w:val="00CD286C"/>
    <w:rsid w:val="00CD2F73"/>
    <w:rsid w:val="00CD49F0"/>
    <w:rsid w:val="00CD6380"/>
    <w:rsid w:val="00CD6DD4"/>
    <w:rsid w:val="00CD7048"/>
    <w:rsid w:val="00CE1CAE"/>
    <w:rsid w:val="00CE2361"/>
    <w:rsid w:val="00CE2678"/>
    <w:rsid w:val="00CE2D0F"/>
    <w:rsid w:val="00CE2EA3"/>
    <w:rsid w:val="00CE42EF"/>
    <w:rsid w:val="00CE4578"/>
    <w:rsid w:val="00CE4661"/>
    <w:rsid w:val="00CE4C2E"/>
    <w:rsid w:val="00CE5260"/>
    <w:rsid w:val="00CE5A52"/>
    <w:rsid w:val="00CE6747"/>
    <w:rsid w:val="00CE6A22"/>
    <w:rsid w:val="00CE7A9A"/>
    <w:rsid w:val="00CE7B69"/>
    <w:rsid w:val="00CE7DD7"/>
    <w:rsid w:val="00CF1665"/>
    <w:rsid w:val="00CF16D4"/>
    <w:rsid w:val="00CF2851"/>
    <w:rsid w:val="00CF29F7"/>
    <w:rsid w:val="00CF2AC6"/>
    <w:rsid w:val="00CF416B"/>
    <w:rsid w:val="00CF4446"/>
    <w:rsid w:val="00CF4C46"/>
    <w:rsid w:val="00CF4D89"/>
    <w:rsid w:val="00CF63B3"/>
    <w:rsid w:val="00CF7028"/>
    <w:rsid w:val="00CF7AF3"/>
    <w:rsid w:val="00D00310"/>
    <w:rsid w:val="00D00363"/>
    <w:rsid w:val="00D00B8A"/>
    <w:rsid w:val="00D01E37"/>
    <w:rsid w:val="00D02D79"/>
    <w:rsid w:val="00D02ECC"/>
    <w:rsid w:val="00D03392"/>
    <w:rsid w:val="00D03A80"/>
    <w:rsid w:val="00D03E5C"/>
    <w:rsid w:val="00D0400E"/>
    <w:rsid w:val="00D05EB9"/>
    <w:rsid w:val="00D07335"/>
    <w:rsid w:val="00D0733E"/>
    <w:rsid w:val="00D12077"/>
    <w:rsid w:val="00D12A22"/>
    <w:rsid w:val="00D12C9E"/>
    <w:rsid w:val="00D13127"/>
    <w:rsid w:val="00D135B3"/>
    <w:rsid w:val="00D14361"/>
    <w:rsid w:val="00D152B3"/>
    <w:rsid w:val="00D15792"/>
    <w:rsid w:val="00D160B9"/>
    <w:rsid w:val="00D16C65"/>
    <w:rsid w:val="00D175E0"/>
    <w:rsid w:val="00D20265"/>
    <w:rsid w:val="00D20366"/>
    <w:rsid w:val="00D20B61"/>
    <w:rsid w:val="00D21267"/>
    <w:rsid w:val="00D217E5"/>
    <w:rsid w:val="00D21C10"/>
    <w:rsid w:val="00D229E0"/>
    <w:rsid w:val="00D236AE"/>
    <w:rsid w:val="00D244C4"/>
    <w:rsid w:val="00D26ADA"/>
    <w:rsid w:val="00D26BA4"/>
    <w:rsid w:val="00D27448"/>
    <w:rsid w:val="00D27BF6"/>
    <w:rsid w:val="00D30538"/>
    <w:rsid w:val="00D30E14"/>
    <w:rsid w:val="00D32E95"/>
    <w:rsid w:val="00D33648"/>
    <w:rsid w:val="00D352C2"/>
    <w:rsid w:val="00D359CF"/>
    <w:rsid w:val="00D35A78"/>
    <w:rsid w:val="00D401F3"/>
    <w:rsid w:val="00D4054C"/>
    <w:rsid w:val="00D41D9E"/>
    <w:rsid w:val="00D42BD2"/>
    <w:rsid w:val="00D43BB6"/>
    <w:rsid w:val="00D44BD9"/>
    <w:rsid w:val="00D46601"/>
    <w:rsid w:val="00D47A5F"/>
    <w:rsid w:val="00D50D2B"/>
    <w:rsid w:val="00D515CE"/>
    <w:rsid w:val="00D518B7"/>
    <w:rsid w:val="00D52BB0"/>
    <w:rsid w:val="00D555A1"/>
    <w:rsid w:val="00D55C05"/>
    <w:rsid w:val="00D561E8"/>
    <w:rsid w:val="00D574C9"/>
    <w:rsid w:val="00D617AD"/>
    <w:rsid w:val="00D61A10"/>
    <w:rsid w:val="00D623B6"/>
    <w:rsid w:val="00D6328D"/>
    <w:rsid w:val="00D63AFA"/>
    <w:rsid w:val="00D643CD"/>
    <w:rsid w:val="00D64DC2"/>
    <w:rsid w:val="00D65975"/>
    <w:rsid w:val="00D65C0D"/>
    <w:rsid w:val="00D65C6C"/>
    <w:rsid w:val="00D72156"/>
    <w:rsid w:val="00D72229"/>
    <w:rsid w:val="00D73448"/>
    <w:rsid w:val="00D73543"/>
    <w:rsid w:val="00D7392B"/>
    <w:rsid w:val="00D74F2C"/>
    <w:rsid w:val="00D75563"/>
    <w:rsid w:val="00D7688A"/>
    <w:rsid w:val="00D77358"/>
    <w:rsid w:val="00D80D15"/>
    <w:rsid w:val="00D816FC"/>
    <w:rsid w:val="00D8392C"/>
    <w:rsid w:val="00D84271"/>
    <w:rsid w:val="00D8488B"/>
    <w:rsid w:val="00D85CD3"/>
    <w:rsid w:val="00D868A0"/>
    <w:rsid w:val="00D87AD9"/>
    <w:rsid w:val="00D90E89"/>
    <w:rsid w:val="00D916AA"/>
    <w:rsid w:val="00D9172E"/>
    <w:rsid w:val="00D933F3"/>
    <w:rsid w:val="00D93CB6"/>
    <w:rsid w:val="00D961E0"/>
    <w:rsid w:val="00DA01F2"/>
    <w:rsid w:val="00DA31A1"/>
    <w:rsid w:val="00DA3B64"/>
    <w:rsid w:val="00DA3B9D"/>
    <w:rsid w:val="00DA3BD9"/>
    <w:rsid w:val="00DA4408"/>
    <w:rsid w:val="00DA46CA"/>
    <w:rsid w:val="00DA49AD"/>
    <w:rsid w:val="00DA581C"/>
    <w:rsid w:val="00DA5B83"/>
    <w:rsid w:val="00DA5E22"/>
    <w:rsid w:val="00DA6863"/>
    <w:rsid w:val="00DB155E"/>
    <w:rsid w:val="00DB1694"/>
    <w:rsid w:val="00DB1D21"/>
    <w:rsid w:val="00DB3210"/>
    <w:rsid w:val="00DB325B"/>
    <w:rsid w:val="00DB484A"/>
    <w:rsid w:val="00DB4A35"/>
    <w:rsid w:val="00DB5258"/>
    <w:rsid w:val="00DB52D1"/>
    <w:rsid w:val="00DB76CD"/>
    <w:rsid w:val="00DB7752"/>
    <w:rsid w:val="00DB7A51"/>
    <w:rsid w:val="00DC1437"/>
    <w:rsid w:val="00DC2205"/>
    <w:rsid w:val="00DC7902"/>
    <w:rsid w:val="00DD1A0F"/>
    <w:rsid w:val="00DD1D98"/>
    <w:rsid w:val="00DD2928"/>
    <w:rsid w:val="00DD31DF"/>
    <w:rsid w:val="00DD4B25"/>
    <w:rsid w:val="00DD4EE2"/>
    <w:rsid w:val="00DD5E86"/>
    <w:rsid w:val="00DD6149"/>
    <w:rsid w:val="00DE07E1"/>
    <w:rsid w:val="00DE10FA"/>
    <w:rsid w:val="00DE1135"/>
    <w:rsid w:val="00DE19D7"/>
    <w:rsid w:val="00DE2319"/>
    <w:rsid w:val="00DE39FB"/>
    <w:rsid w:val="00DE411A"/>
    <w:rsid w:val="00DE4BE8"/>
    <w:rsid w:val="00DE5819"/>
    <w:rsid w:val="00DF13D9"/>
    <w:rsid w:val="00DF21EB"/>
    <w:rsid w:val="00DF4B6C"/>
    <w:rsid w:val="00DF671F"/>
    <w:rsid w:val="00DF7C89"/>
    <w:rsid w:val="00DF7D9C"/>
    <w:rsid w:val="00E00476"/>
    <w:rsid w:val="00E00DB2"/>
    <w:rsid w:val="00E01812"/>
    <w:rsid w:val="00E02238"/>
    <w:rsid w:val="00E02688"/>
    <w:rsid w:val="00E02DF4"/>
    <w:rsid w:val="00E071FA"/>
    <w:rsid w:val="00E0745E"/>
    <w:rsid w:val="00E075B8"/>
    <w:rsid w:val="00E07923"/>
    <w:rsid w:val="00E1097B"/>
    <w:rsid w:val="00E11F17"/>
    <w:rsid w:val="00E13D1C"/>
    <w:rsid w:val="00E14370"/>
    <w:rsid w:val="00E1469A"/>
    <w:rsid w:val="00E14EC9"/>
    <w:rsid w:val="00E15142"/>
    <w:rsid w:val="00E1577E"/>
    <w:rsid w:val="00E169FF"/>
    <w:rsid w:val="00E208CD"/>
    <w:rsid w:val="00E2097C"/>
    <w:rsid w:val="00E20E70"/>
    <w:rsid w:val="00E2195A"/>
    <w:rsid w:val="00E249D5"/>
    <w:rsid w:val="00E25B68"/>
    <w:rsid w:val="00E25C54"/>
    <w:rsid w:val="00E26AE9"/>
    <w:rsid w:val="00E2708D"/>
    <w:rsid w:val="00E30F00"/>
    <w:rsid w:val="00E32D67"/>
    <w:rsid w:val="00E33217"/>
    <w:rsid w:val="00E33246"/>
    <w:rsid w:val="00E335C4"/>
    <w:rsid w:val="00E33952"/>
    <w:rsid w:val="00E33F52"/>
    <w:rsid w:val="00E347BD"/>
    <w:rsid w:val="00E34D31"/>
    <w:rsid w:val="00E353B8"/>
    <w:rsid w:val="00E35B7F"/>
    <w:rsid w:val="00E361BC"/>
    <w:rsid w:val="00E36E54"/>
    <w:rsid w:val="00E37378"/>
    <w:rsid w:val="00E37E8E"/>
    <w:rsid w:val="00E37EA6"/>
    <w:rsid w:val="00E40267"/>
    <w:rsid w:val="00E43C62"/>
    <w:rsid w:val="00E45567"/>
    <w:rsid w:val="00E5327C"/>
    <w:rsid w:val="00E53797"/>
    <w:rsid w:val="00E5393F"/>
    <w:rsid w:val="00E54870"/>
    <w:rsid w:val="00E548F3"/>
    <w:rsid w:val="00E54917"/>
    <w:rsid w:val="00E5590E"/>
    <w:rsid w:val="00E559CE"/>
    <w:rsid w:val="00E56FD9"/>
    <w:rsid w:val="00E577E6"/>
    <w:rsid w:val="00E57A6F"/>
    <w:rsid w:val="00E61E84"/>
    <w:rsid w:val="00E62320"/>
    <w:rsid w:val="00E62B4A"/>
    <w:rsid w:val="00E63968"/>
    <w:rsid w:val="00E641EC"/>
    <w:rsid w:val="00E64CFF"/>
    <w:rsid w:val="00E654C2"/>
    <w:rsid w:val="00E65F12"/>
    <w:rsid w:val="00E6677B"/>
    <w:rsid w:val="00E66D13"/>
    <w:rsid w:val="00E6737E"/>
    <w:rsid w:val="00E67CB1"/>
    <w:rsid w:val="00E70146"/>
    <w:rsid w:val="00E70581"/>
    <w:rsid w:val="00E71FF2"/>
    <w:rsid w:val="00E72746"/>
    <w:rsid w:val="00E72FAD"/>
    <w:rsid w:val="00E732B2"/>
    <w:rsid w:val="00E74024"/>
    <w:rsid w:val="00E74B11"/>
    <w:rsid w:val="00E757AC"/>
    <w:rsid w:val="00E76F15"/>
    <w:rsid w:val="00E77E44"/>
    <w:rsid w:val="00E8012D"/>
    <w:rsid w:val="00E8205F"/>
    <w:rsid w:val="00E83BEA"/>
    <w:rsid w:val="00E84003"/>
    <w:rsid w:val="00E8415C"/>
    <w:rsid w:val="00E8542B"/>
    <w:rsid w:val="00E863C3"/>
    <w:rsid w:val="00E86B6B"/>
    <w:rsid w:val="00E87234"/>
    <w:rsid w:val="00E87840"/>
    <w:rsid w:val="00E87B53"/>
    <w:rsid w:val="00E87E64"/>
    <w:rsid w:val="00E90938"/>
    <w:rsid w:val="00E91182"/>
    <w:rsid w:val="00E91E09"/>
    <w:rsid w:val="00E93254"/>
    <w:rsid w:val="00E93482"/>
    <w:rsid w:val="00E93624"/>
    <w:rsid w:val="00E96022"/>
    <w:rsid w:val="00E96882"/>
    <w:rsid w:val="00E96FB7"/>
    <w:rsid w:val="00EA0535"/>
    <w:rsid w:val="00EA1253"/>
    <w:rsid w:val="00EA25E0"/>
    <w:rsid w:val="00EA3B8A"/>
    <w:rsid w:val="00EA4230"/>
    <w:rsid w:val="00EA4A5B"/>
    <w:rsid w:val="00EA4BFE"/>
    <w:rsid w:val="00EA51B2"/>
    <w:rsid w:val="00EA58EB"/>
    <w:rsid w:val="00EA6E8F"/>
    <w:rsid w:val="00EB06A9"/>
    <w:rsid w:val="00EB0809"/>
    <w:rsid w:val="00EB2D45"/>
    <w:rsid w:val="00EB37B8"/>
    <w:rsid w:val="00EB3C7B"/>
    <w:rsid w:val="00EB40CA"/>
    <w:rsid w:val="00EB4418"/>
    <w:rsid w:val="00EB4541"/>
    <w:rsid w:val="00EB4719"/>
    <w:rsid w:val="00EB5054"/>
    <w:rsid w:val="00EB512F"/>
    <w:rsid w:val="00EB540C"/>
    <w:rsid w:val="00EB662A"/>
    <w:rsid w:val="00EB7021"/>
    <w:rsid w:val="00EB725A"/>
    <w:rsid w:val="00EC0068"/>
    <w:rsid w:val="00EC052F"/>
    <w:rsid w:val="00EC10FC"/>
    <w:rsid w:val="00EC23E2"/>
    <w:rsid w:val="00EC2AB2"/>
    <w:rsid w:val="00EC331B"/>
    <w:rsid w:val="00EC4217"/>
    <w:rsid w:val="00EC4406"/>
    <w:rsid w:val="00EC45CB"/>
    <w:rsid w:val="00EC460D"/>
    <w:rsid w:val="00EC4A58"/>
    <w:rsid w:val="00EC4B04"/>
    <w:rsid w:val="00EC4DAC"/>
    <w:rsid w:val="00EC52D6"/>
    <w:rsid w:val="00EC5FFE"/>
    <w:rsid w:val="00ED007C"/>
    <w:rsid w:val="00ED036F"/>
    <w:rsid w:val="00ED0D64"/>
    <w:rsid w:val="00ED1AE2"/>
    <w:rsid w:val="00ED1B05"/>
    <w:rsid w:val="00ED23F8"/>
    <w:rsid w:val="00ED362A"/>
    <w:rsid w:val="00ED5302"/>
    <w:rsid w:val="00ED55A1"/>
    <w:rsid w:val="00ED6177"/>
    <w:rsid w:val="00ED7927"/>
    <w:rsid w:val="00EE0041"/>
    <w:rsid w:val="00EE1609"/>
    <w:rsid w:val="00EE1A98"/>
    <w:rsid w:val="00EE29B9"/>
    <w:rsid w:val="00EE2E04"/>
    <w:rsid w:val="00EE315E"/>
    <w:rsid w:val="00EE3568"/>
    <w:rsid w:val="00EE3CA7"/>
    <w:rsid w:val="00EE47A5"/>
    <w:rsid w:val="00EE5530"/>
    <w:rsid w:val="00EE58A3"/>
    <w:rsid w:val="00EE5A55"/>
    <w:rsid w:val="00EE6FF1"/>
    <w:rsid w:val="00EE7EF8"/>
    <w:rsid w:val="00EF054E"/>
    <w:rsid w:val="00EF09DB"/>
    <w:rsid w:val="00EF149C"/>
    <w:rsid w:val="00EF1672"/>
    <w:rsid w:val="00EF28ED"/>
    <w:rsid w:val="00EF3655"/>
    <w:rsid w:val="00EF39DA"/>
    <w:rsid w:val="00EF3D24"/>
    <w:rsid w:val="00EF40C2"/>
    <w:rsid w:val="00EF41C2"/>
    <w:rsid w:val="00EF4AEB"/>
    <w:rsid w:val="00EF554E"/>
    <w:rsid w:val="00EF6D83"/>
    <w:rsid w:val="00EF72CF"/>
    <w:rsid w:val="00EF76B1"/>
    <w:rsid w:val="00F004EE"/>
    <w:rsid w:val="00F008D1"/>
    <w:rsid w:val="00F00A40"/>
    <w:rsid w:val="00F02498"/>
    <w:rsid w:val="00F032FD"/>
    <w:rsid w:val="00F03A82"/>
    <w:rsid w:val="00F04409"/>
    <w:rsid w:val="00F0538F"/>
    <w:rsid w:val="00F05E9C"/>
    <w:rsid w:val="00F06157"/>
    <w:rsid w:val="00F06FB2"/>
    <w:rsid w:val="00F07899"/>
    <w:rsid w:val="00F136D0"/>
    <w:rsid w:val="00F14223"/>
    <w:rsid w:val="00F15915"/>
    <w:rsid w:val="00F159AB"/>
    <w:rsid w:val="00F16E94"/>
    <w:rsid w:val="00F17D5A"/>
    <w:rsid w:val="00F2018D"/>
    <w:rsid w:val="00F2096C"/>
    <w:rsid w:val="00F20BB9"/>
    <w:rsid w:val="00F2135F"/>
    <w:rsid w:val="00F21E0D"/>
    <w:rsid w:val="00F22041"/>
    <w:rsid w:val="00F22555"/>
    <w:rsid w:val="00F23059"/>
    <w:rsid w:val="00F23B8B"/>
    <w:rsid w:val="00F23EC8"/>
    <w:rsid w:val="00F24ED2"/>
    <w:rsid w:val="00F25620"/>
    <w:rsid w:val="00F25CBA"/>
    <w:rsid w:val="00F276C0"/>
    <w:rsid w:val="00F27D45"/>
    <w:rsid w:val="00F30628"/>
    <w:rsid w:val="00F30DF6"/>
    <w:rsid w:val="00F32D5E"/>
    <w:rsid w:val="00F33A26"/>
    <w:rsid w:val="00F37A72"/>
    <w:rsid w:val="00F40B94"/>
    <w:rsid w:val="00F40BDF"/>
    <w:rsid w:val="00F40FE3"/>
    <w:rsid w:val="00F42E23"/>
    <w:rsid w:val="00F42FC8"/>
    <w:rsid w:val="00F439FE"/>
    <w:rsid w:val="00F43CA3"/>
    <w:rsid w:val="00F45EEE"/>
    <w:rsid w:val="00F46445"/>
    <w:rsid w:val="00F47106"/>
    <w:rsid w:val="00F50DFE"/>
    <w:rsid w:val="00F51601"/>
    <w:rsid w:val="00F51E9C"/>
    <w:rsid w:val="00F51FD7"/>
    <w:rsid w:val="00F523CA"/>
    <w:rsid w:val="00F53AE2"/>
    <w:rsid w:val="00F53F83"/>
    <w:rsid w:val="00F552AE"/>
    <w:rsid w:val="00F55745"/>
    <w:rsid w:val="00F561A1"/>
    <w:rsid w:val="00F5794F"/>
    <w:rsid w:val="00F60CD9"/>
    <w:rsid w:val="00F60DE7"/>
    <w:rsid w:val="00F61176"/>
    <w:rsid w:val="00F61CD3"/>
    <w:rsid w:val="00F635D2"/>
    <w:rsid w:val="00F65674"/>
    <w:rsid w:val="00F65D1D"/>
    <w:rsid w:val="00F66476"/>
    <w:rsid w:val="00F66F13"/>
    <w:rsid w:val="00F67E12"/>
    <w:rsid w:val="00F70434"/>
    <w:rsid w:val="00F70A7D"/>
    <w:rsid w:val="00F70E7B"/>
    <w:rsid w:val="00F719DB"/>
    <w:rsid w:val="00F7267D"/>
    <w:rsid w:val="00F72E0D"/>
    <w:rsid w:val="00F731F2"/>
    <w:rsid w:val="00F73B6B"/>
    <w:rsid w:val="00F74A9D"/>
    <w:rsid w:val="00F75831"/>
    <w:rsid w:val="00F75970"/>
    <w:rsid w:val="00F77A63"/>
    <w:rsid w:val="00F80868"/>
    <w:rsid w:val="00F80C27"/>
    <w:rsid w:val="00F817F9"/>
    <w:rsid w:val="00F81F77"/>
    <w:rsid w:val="00F82149"/>
    <w:rsid w:val="00F82576"/>
    <w:rsid w:val="00F82851"/>
    <w:rsid w:val="00F832C1"/>
    <w:rsid w:val="00F850B3"/>
    <w:rsid w:val="00F8524F"/>
    <w:rsid w:val="00F8578B"/>
    <w:rsid w:val="00F86CDA"/>
    <w:rsid w:val="00F87211"/>
    <w:rsid w:val="00F873C1"/>
    <w:rsid w:val="00F87905"/>
    <w:rsid w:val="00F9030E"/>
    <w:rsid w:val="00F90666"/>
    <w:rsid w:val="00F9071E"/>
    <w:rsid w:val="00F94675"/>
    <w:rsid w:val="00F95171"/>
    <w:rsid w:val="00F95F4F"/>
    <w:rsid w:val="00F966A6"/>
    <w:rsid w:val="00F969FE"/>
    <w:rsid w:val="00F96A6C"/>
    <w:rsid w:val="00F97365"/>
    <w:rsid w:val="00F97586"/>
    <w:rsid w:val="00FA007D"/>
    <w:rsid w:val="00FA02DB"/>
    <w:rsid w:val="00FA1C08"/>
    <w:rsid w:val="00FA3C39"/>
    <w:rsid w:val="00FA3D8D"/>
    <w:rsid w:val="00FA40AC"/>
    <w:rsid w:val="00FA55B9"/>
    <w:rsid w:val="00FA5FA2"/>
    <w:rsid w:val="00FA7DFC"/>
    <w:rsid w:val="00FB0920"/>
    <w:rsid w:val="00FB1EAF"/>
    <w:rsid w:val="00FB2C78"/>
    <w:rsid w:val="00FB2FA1"/>
    <w:rsid w:val="00FB5A65"/>
    <w:rsid w:val="00FB7664"/>
    <w:rsid w:val="00FB7FF1"/>
    <w:rsid w:val="00FC0B7A"/>
    <w:rsid w:val="00FC2D38"/>
    <w:rsid w:val="00FC2E10"/>
    <w:rsid w:val="00FC31A7"/>
    <w:rsid w:val="00FC34BB"/>
    <w:rsid w:val="00FC497F"/>
    <w:rsid w:val="00FC57FA"/>
    <w:rsid w:val="00FC58DB"/>
    <w:rsid w:val="00FC5B40"/>
    <w:rsid w:val="00FC6EF5"/>
    <w:rsid w:val="00FC727F"/>
    <w:rsid w:val="00FD0082"/>
    <w:rsid w:val="00FD19CC"/>
    <w:rsid w:val="00FD2161"/>
    <w:rsid w:val="00FD3D62"/>
    <w:rsid w:val="00FD3F8F"/>
    <w:rsid w:val="00FD713C"/>
    <w:rsid w:val="00FD7D25"/>
    <w:rsid w:val="00FE0263"/>
    <w:rsid w:val="00FE0A8A"/>
    <w:rsid w:val="00FE0F5C"/>
    <w:rsid w:val="00FE1C59"/>
    <w:rsid w:val="00FE1CA0"/>
    <w:rsid w:val="00FE3FF4"/>
    <w:rsid w:val="00FE42E4"/>
    <w:rsid w:val="00FE443B"/>
    <w:rsid w:val="00FE4DC3"/>
    <w:rsid w:val="00FE5195"/>
    <w:rsid w:val="00FE68F6"/>
    <w:rsid w:val="00FE729F"/>
    <w:rsid w:val="00FE76A0"/>
    <w:rsid w:val="00FF1BD8"/>
    <w:rsid w:val="00FF353F"/>
    <w:rsid w:val="00FF386F"/>
    <w:rsid w:val="00FF5028"/>
    <w:rsid w:val="00FF5573"/>
    <w:rsid w:val="00FF6F19"/>
    <w:rsid w:val="07A09AFF"/>
    <w:rsid w:val="081ACFC6"/>
    <w:rsid w:val="0BE81B07"/>
    <w:rsid w:val="0EB64E10"/>
    <w:rsid w:val="130AC569"/>
    <w:rsid w:val="14CB615A"/>
    <w:rsid w:val="1C5E11FC"/>
    <w:rsid w:val="1D892B33"/>
    <w:rsid w:val="1E136A7C"/>
    <w:rsid w:val="21D588D7"/>
    <w:rsid w:val="25620FDE"/>
    <w:rsid w:val="2D664898"/>
    <w:rsid w:val="3114013A"/>
    <w:rsid w:val="3586C4C6"/>
    <w:rsid w:val="3B08388E"/>
    <w:rsid w:val="3B14B049"/>
    <w:rsid w:val="3CFC6DFE"/>
    <w:rsid w:val="3E1716A6"/>
    <w:rsid w:val="474542DE"/>
    <w:rsid w:val="4BADBF47"/>
    <w:rsid w:val="4D48991D"/>
    <w:rsid w:val="4E75AE71"/>
    <w:rsid w:val="4E895849"/>
    <w:rsid w:val="518FB5C0"/>
    <w:rsid w:val="51EA8519"/>
    <w:rsid w:val="561747AE"/>
    <w:rsid w:val="583F5E64"/>
    <w:rsid w:val="59015E6E"/>
    <w:rsid w:val="59B9A8A1"/>
    <w:rsid w:val="59CEC971"/>
    <w:rsid w:val="6149FD52"/>
    <w:rsid w:val="64C451D5"/>
    <w:rsid w:val="64ED124E"/>
    <w:rsid w:val="6923DA47"/>
    <w:rsid w:val="6E05B102"/>
    <w:rsid w:val="71BEA333"/>
    <w:rsid w:val="7258197D"/>
    <w:rsid w:val="72B2BA4F"/>
    <w:rsid w:val="7844F059"/>
    <w:rsid w:val="7FD0AD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79947D6A-BC51-4923-8108-F79E4320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4"/>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4"/>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4"/>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3"/>
      </w:numPr>
    </w:pPr>
  </w:style>
  <w:style w:type="paragraph" w:customStyle="1" w:styleId="BodyTextSummary">
    <w:name w:val="Body Text Summary"/>
    <w:uiPriority w:val="49"/>
    <w:locked/>
    <w:pPr>
      <w:numPr>
        <w:numId w:val="4"/>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8"/>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2"/>
      </w:numPr>
      <w:ind w:left="709"/>
    </w:pPr>
  </w:style>
  <w:style w:type="paragraph" w:customStyle="1" w:styleId="ListNumbered">
    <w:name w:val="List Numbered"/>
    <w:basedOn w:val="BodyText"/>
    <w:uiPriority w:val="5"/>
    <w:qFormat/>
    <w:locked/>
    <w:rsid w:val="00717C6F"/>
    <w:pPr>
      <w:numPr>
        <w:numId w:val="24"/>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11"/>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2"/>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ListParagraph">
    <w:name w:val="List Paragraph"/>
    <w:basedOn w:val="Normal"/>
    <w:uiPriority w:val="49"/>
    <w:locked/>
    <w:rsid w:val="0079322B"/>
    <w:pPr>
      <w:ind w:left="720"/>
      <w:contextualSpacing/>
    </w:pPr>
  </w:style>
  <w:style w:type="character" w:styleId="CommentReference">
    <w:name w:val="annotation reference"/>
    <w:basedOn w:val="DefaultParagraphFont"/>
    <w:uiPriority w:val="49"/>
    <w:locked/>
    <w:rsid w:val="00DD1A0F"/>
    <w:rPr>
      <w:sz w:val="16"/>
      <w:szCs w:val="16"/>
    </w:rPr>
  </w:style>
  <w:style w:type="paragraph" w:styleId="CommentText">
    <w:name w:val="annotation text"/>
    <w:basedOn w:val="Normal"/>
    <w:link w:val="CommentTextChar"/>
    <w:uiPriority w:val="49"/>
    <w:locked/>
    <w:rsid w:val="00DD1A0F"/>
    <w:rPr>
      <w:sz w:val="20"/>
    </w:rPr>
  </w:style>
  <w:style w:type="character" w:customStyle="1" w:styleId="CommentTextChar">
    <w:name w:val="Comment Text Char"/>
    <w:basedOn w:val="DefaultParagraphFont"/>
    <w:link w:val="CommentText"/>
    <w:uiPriority w:val="49"/>
    <w:rsid w:val="00DD1A0F"/>
    <w:rPr>
      <w:lang w:eastAsia="en-US"/>
    </w:rPr>
  </w:style>
  <w:style w:type="paragraph" w:styleId="CommentSubject">
    <w:name w:val="annotation subject"/>
    <w:basedOn w:val="CommentText"/>
    <w:next w:val="CommentText"/>
    <w:link w:val="CommentSubjectChar"/>
    <w:uiPriority w:val="49"/>
    <w:locked/>
    <w:rsid w:val="00DD1A0F"/>
    <w:rPr>
      <w:b/>
      <w:bCs/>
    </w:rPr>
  </w:style>
  <w:style w:type="character" w:customStyle="1" w:styleId="CommentSubjectChar">
    <w:name w:val="Comment Subject Char"/>
    <w:basedOn w:val="CommentTextChar"/>
    <w:link w:val="CommentSubject"/>
    <w:uiPriority w:val="49"/>
    <w:rsid w:val="00DD1A0F"/>
    <w:rPr>
      <w:b/>
      <w:bCs/>
      <w:lang w:eastAsia="en-US"/>
    </w:rPr>
  </w:style>
  <w:style w:type="paragraph" w:styleId="Revision">
    <w:name w:val="Revision"/>
    <w:hidden/>
    <w:uiPriority w:val="99"/>
    <w:semiHidden/>
    <w:rsid w:val="00BC7E10"/>
    <w:rPr>
      <w:sz w:val="22"/>
      <w:lang w:eastAsia="en-US"/>
    </w:rPr>
  </w:style>
  <w:style w:type="character" w:styleId="Hyperlink">
    <w:name w:val="Hyperlink"/>
    <w:basedOn w:val="DefaultParagraphFont"/>
    <w:uiPriority w:val="49"/>
    <w:locked/>
    <w:rsid w:val="001053A6"/>
    <w:rPr>
      <w:color w:val="0000FF" w:themeColor="hyperlink"/>
      <w:u w:val="single"/>
    </w:rPr>
  </w:style>
  <w:style w:type="character" w:styleId="UnresolvedMention">
    <w:name w:val="Unresolved Mention"/>
    <w:basedOn w:val="DefaultParagraphFont"/>
    <w:uiPriority w:val="99"/>
    <w:semiHidden/>
    <w:unhideWhenUsed/>
    <w:rsid w:val="00105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08284">
      <w:bodyDiv w:val="1"/>
      <w:marLeft w:val="0"/>
      <w:marRight w:val="0"/>
      <w:marTop w:val="0"/>
      <w:marBottom w:val="0"/>
      <w:divBdr>
        <w:top w:val="none" w:sz="0" w:space="0" w:color="auto"/>
        <w:left w:val="none" w:sz="0" w:space="0" w:color="auto"/>
        <w:bottom w:val="none" w:sz="0" w:space="0" w:color="auto"/>
        <w:right w:val="none" w:sz="0" w:space="0" w:color="auto"/>
      </w:divBdr>
    </w:div>
    <w:div w:id="535388600">
      <w:bodyDiv w:val="1"/>
      <w:marLeft w:val="0"/>
      <w:marRight w:val="0"/>
      <w:marTop w:val="0"/>
      <w:marBottom w:val="0"/>
      <w:divBdr>
        <w:top w:val="none" w:sz="0" w:space="0" w:color="auto"/>
        <w:left w:val="none" w:sz="0" w:space="0" w:color="auto"/>
        <w:bottom w:val="none" w:sz="0" w:space="0" w:color="auto"/>
        <w:right w:val="none" w:sz="0" w:space="0" w:color="auto"/>
      </w:divBdr>
    </w:div>
    <w:div w:id="1152217319">
      <w:bodyDiv w:val="1"/>
      <w:marLeft w:val="0"/>
      <w:marRight w:val="0"/>
      <w:marTop w:val="0"/>
      <w:marBottom w:val="0"/>
      <w:divBdr>
        <w:top w:val="none" w:sz="0" w:space="0" w:color="auto"/>
        <w:left w:val="none" w:sz="0" w:space="0" w:color="auto"/>
        <w:bottom w:val="none" w:sz="0" w:space="0" w:color="auto"/>
        <w:right w:val="none" w:sz="0" w:space="0" w:color="auto"/>
      </w:divBdr>
    </w:div>
    <w:div w:id="1306081317">
      <w:bodyDiv w:val="1"/>
      <w:marLeft w:val="0"/>
      <w:marRight w:val="0"/>
      <w:marTop w:val="0"/>
      <w:marBottom w:val="0"/>
      <w:divBdr>
        <w:top w:val="none" w:sz="0" w:space="0" w:color="auto"/>
        <w:left w:val="none" w:sz="0" w:space="0" w:color="auto"/>
        <w:bottom w:val="none" w:sz="0" w:space="0" w:color="auto"/>
        <w:right w:val="none" w:sz="0" w:space="0" w:color="auto"/>
      </w:divBdr>
    </w:div>
    <w:div w:id="189943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nergy.ec.europa.eu/document/download/6b6b548d-96f0-401b-84ed-0dc8f85a1110_en?filename=Energy%20statistical%20country%20datasheets%202024-04%20for%20web.xls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renewables.ninj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library.fes.de/pdf-files/bueros/budapest/20486.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ea.org/countries/estonia/energy-mix" TargetMode="External"/><Relationship Id="rId20" Type="http://schemas.openxmlformats.org/officeDocument/2006/relationships/hyperlink" Target="https://www.entsoe.eu/data/power-sta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nergy.ec.europa.eu/system/files/2016-04/Art%252014%25281%2529%2520Estonia%2520EN_0.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liimaministeerium.ee/sites/default/files/documents/2023-12/Tuumaenergia%20t%C3%B6%C3%B6r%C3%BChma%20l%C3%B5pparuann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ering.ee/en/electricity-consumption-and-production"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9D74CBA90FE84CAD6AF60607FE75D2" ma:contentTypeVersion="14" ma:contentTypeDescription="Create a new document." ma:contentTypeScope="" ma:versionID="2fe676d981f319bb9337384889aaf966">
  <xsd:schema xmlns:xsd="http://www.w3.org/2001/XMLSchema" xmlns:xs="http://www.w3.org/2001/XMLSchema" xmlns:p="http://schemas.microsoft.com/office/2006/metadata/properties" xmlns:ns2="0ab519ef-076d-4c24-b8f0-a6485b1abfcf" xmlns:ns3="baaabdca-49a8-4187-8c57-8daa68ed7427" targetNamespace="http://schemas.microsoft.com/office/2006/metadata/properties" ma:root="true" ma:fieldsID="e7aff8f0740890a448e668e65369508d" ns2:_="" ns3:_="">
    <xsd:import namespace="0ab519ef-076d-4c24-b8f0-a6485b1abfcf"/>
    <xsd:import namespace="baaabdca-49a8-4187-8c57-8daa68ed74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519ef-076d-4c24-b8f0-a6485b1ab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aabdca-49a8-4187-8c57-8daa68ed74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7b8f6b-ec00-46b0-86fb-e4088d1dab59}" ma:internalName="TaxCatchAll" ma:showField="CatchAllData" ma:web="baaabdca-49a8-4187-8c57-8daa68ed742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aabdca-49a8-4187-8c57-8daa68ed7427" xsi:nil="true"/>
    <lcf76f155ced4ddcb4097134ff3c332f xmlns="0ab519ef-076d-4c24-b8f0-a6485b1abf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D094681-FF8E-4A16-88C2-0AD0375D1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519ef-076d-4c24-b8f0-a6485b1abfcf"/>
    <ds:schemaRef ds:uri="baaabdca-49a8-4187-8c57-8daa68ed7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27801-B794-46A8-A7C3-25537ADE58CA}">
  <ds:schemaRefs>
    <ds:schemaRef ds:uri="http://schemas.microsoft.com/office/2006/metadata/properties"/>
    <ds:schemaRef ds:uri="http://schemas.microsoft.com/office/infopath/2007/PartnerControls"/>
    <ds:schemaRef ds:uri="baaabdca-49a8-4187-8c57-8daa68ed7427"/>
    <ds:schemaRef ds:uri="0ab519ef-076d-4c24-b8f0-a6485b1abfcf"/>
  </ds:schemaRefs>
</ds:datastoreItem>
</file>

<file path=customXml/itemProps3.xml><?xml version="1.0" encoding="utf-8"?>
<ds:datastoreItem xmlns:ds="http://schemas.openxmlformats.org/officeDocument/2006/customXml" ds:itemID="{1CF6A8F8-518E-4EE7-A03B-BCA0E3ECD7AF}">
  <ds:schemaRefs>
    <ds:schemaRef ds:uri="http://schemas.microsoft.com/sharepoint/v3/contenttype/forms"/>
  </ds:schemaRefs>
</ds:datastoreItem>
</file>

<file path=customXml/itemProps4.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TotalTime>
  <Pages>7</Pages>
  <Words>3401</Words>
  <Characters>20800</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24153</CharactersWithSpaces>
  <SharedDoc>false</SharedDoc>
  <HLinks>
    <vt:vector size="54" baseType="variant">
      <vt:variant>
        <vt:i4>5701633</vt:i4>
      </vt:variant>
      <vt:variant>
        <vt:i4>51</vt:i4>
      </vt:variant>
      <vt:variant>
        <vt:i4>0</vt:i4>
      </vt:variant>
      <vt:variant>
        <vt:i4>5</vt:i4>
      </vt:variant>
      <vt:variant>
        <vt:lpwstr>https://www.renewables.ninja/</vt:lpwstr>
      </vt:variant>
      <vt:variant>
        <vt:lpwstr/>
      </vt:variant>
      <vt:variant>
        <vt:i4>7209085</vt:i4>
      </vt:variant>
      <vt:variant>
        <vt:i4>48</vt:i4>
      </vt:variant>
      <vt:variant>
        <vt:i4>0</vt:i4>
      </vt:variant>
      <vt:variant>
        <vt:i4>5</vt:i4>
      </vt:variant>
      <vt:variant>
        <vt:lpwstr>https://www.entsoe.eu/data/power-stats/</vt:lpwstr>
      </vt:variant>
      <vt:variant>
        <vt:lpwstr/>
      </vt:variant>
      <vt:variant>
        <vt:i4>1769556</vt:i4>
      </vt:variant>
      <vt:variant>
        <vt:i4>45</vt:i4>
      </vt:variant>
      <vt:variant>
        <vt:i4>0</vt:i4>
      </vt:variant>
      <vt:variant>
        <vt:i4>5</vt:i4>
      </vt:variant>
      <vt:variant>
        <vt:lpwstr>https://kliimaministeerium.ee/sites/default/files/documents/2023-12/Tuumaenergia t%C3%B6%C3%B6r%C3%BChma l%C3%B5pparuanne.pdf</vt:lpwstr>
      </vt:variant>
      <vt:variant>
        <vt:lpwstr/>
      </vt:variant>
      <vt:variant>
        <vt:i4>4653179</vt:i4>
      </vt:variant>
      <vt:variant>
        <vt:i4>42</vt:i4>
      </vt:variant>
      <vt:variant>
        <vt:i4>0</vt:i4>
      </vt:variant>
      <vt:variant>
        <vt:i4>5</vt:i4>
      </vt:variant>
      <vt:variant>
        <vt:lpwstr>https://energy.ec.europa.eu/document/download/6b6b548d-96f0-401b-84ed-0dc8f85a1110_en?filename=Energy%20statistical%20country%20datasheets%202024-04%20for%20web.xlsx</vt:lpwstr>
      </vt:variant>
      <vt:variant>
        <vt:lpwstr/>
      </vt:variant>
      <vt:variant>
        <vt:i4>7536766</vt:i4>
      </vt:variant>
      <vt:variant>
        <vt:i4>39</vt:i4>
      </vt:variant>
      <vt:variant>
        <vt:i4>0</vt:i4>
      </vt:variant>
      <vt:variant>
        <vt:i4>5</vt:i4>
      </vt:variant>
      <vt:variant>
        <vt:lpwstr>https://library.fes.de/pdf-files/bueros/budapest/20486.pdf</vt:lpwstr>
      </vt:variant>
      <vt:variant>
        <vt:lpwstr/>
      </vt:variant>
      <vt:variant>
        <vt:i4>5046277</vt:i4>
      </vt:variant>
      <vt:variant>
        <vt:i4>36</vt:i4>
      </vt:variant>
      <vt:variant>
        <vt:i4>0</vt:i4>
      </vt:variant>
      <vt:variant>
        <vt:i4>5</vt:i4>
      </vt:variant>
      <vt:variant>
        <vt:lpwstr>https://www.iea.org/countries/estonia/energy-mix</vt:lpwstr>
      </vt:variant>
      <vt:variant>
        <vt:lpwstr/>
      </vt:variant>
      <vt:variant>
        <vt:i4>4587562</vt:i4>
      </vt:variant>
      <vt:variant>
        <vt:i4>33</vt:i4>
      </vt:variant>
      <vt:variant>
        <vt:i4>0</vt:i4>
      </vt:variant>
      <vt:variant>
        <vt:i4>5</vt:i4>
      </vt:variant>
      <vt:variant>
        <vt:lpwstr>https://energy.ec.europa.eu/system/files/2016-04/Art%252014%25281%2529%2520Estonia%2520EN_0.pdf</vt:lpwstr>
      </vt:variant>
      <vt:variant>
        <vt:lpwstr/>
      </vt:variant>
      <vt:variant>
        <vt:i4>5308444</vt:i4>
      </vt:variant>
      <vt:variant>
        <vt:i4>30</vt:i4>
      </vt:variant>
      <vt:variant>
        <vt:i4>0</vt:i4>
      </vt:variant>
      <vt:variant>
        <vt:i4>5</vt:i4>
      </vt:variant>
      <vt:variant>
        <vt:lpwstr>https://elering.ee/en/electricity-consumption-and-production</vt:lpwstr>
      </vt:variant>
      <vt:variant>
        <vt:lpwstr/>
      </vt:variant>
      <vt:variant>
        <vt:i4>3473504</vt:i4>
      </vt:variant>
      <vt:variant>
        <vt:i4>0</vt:i4>
      </vt:variant>
      <vt:variant>
        <vt:i4>0</vt:i4>
      </vt:variant>
      <vt:variant>
        <vt:i4>5</vt:i4>
      </vt:variant>
      <vt:variant>
        <vt:lpwstr>https://www.iaea.org/topics/energy-planning/energy-modelling-tools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LI, Yunshu</dc:creator>
  <cp:keywords/>
  <cp:lastModifiedBy>CONSTANTIN, Alina</cp:lastModifiedBy>
  <cp:revision>2</cp:revision>
  <cp:lastPrinted>2024-03-20T09:52:00Z</cp:lastPrinted>
  <dcterms:created xsi:type="dcterms:W3CDTF">2024-09-20T09:17:00Z</dcterms:created>
  <dcterms:modified xsi:type="dcterms:W3CDTF">2024-09-20T09:17:00Z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0x010100B39D74CBA90FE84CAD6AF60607FE75D2</vt:lpwstr>
  </property>
  <property fmtid="{D5CDD505-2E9C-101B-9397-08002B2CF9AE}" pid="12" name="MediaServiceImageTags">
    <vt:lpwstr/>
  </property>
</Properties>
</file>