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501F0" w14:textId="0FA65DDF" w:rsidR="00E20E70" w:rsidRPr="009D1AE0" w:rsidRDefault="00CA0F0B" w:rsidP="00537496">
      <w:pPr>
        <w:pStyle w:val="1"/>
      </w:pPr>
      <w:bookmarkStart w:id="0" w:name="_GoBack"/>
      <w:bookmarkEnd w:id="0"/>
      <w:r w:rsidRPr="009D1AE0">
        <w:t>EFFICIENCY ASSESSMENT OF SMR DEVELOPMENT AS A NON-CARBON ENERGY SOURCE IN THE RUSSIAN ELECTRICITY AND DISTRICT HEAT SUPPLY SYSTEMS</w:t>
      </w:r>
    </w:p>
    <w:p w14:paraId="4D1B799F" w14:textId="77777777" w:rsidR="00802381" w:rsidRPr="009D1AE0" w:rsidRDefault="00802381" w:rsidP="00537496">
      <w:pPr>
        <w:pStyle w:val="Authornameandaffiliation"/>
      </w:pPr>
    </w:p>
    <w:p w14:paraId="32159D0F" w14:textId="726EDBB0" w:rsidR="003B5E0E" w:rsidRPr="009D1AE0" w:rsidRDefault="00CA0F0B" w:rsidP="00537496">
      <w:pPr>
        <w:pStyle w:val="Authornameandaffiliation"/>
      </w:pPr>
      <w:r w:rsidRPr="009D1AE0">
        <w:t>F.V. VESELOV</w:t>
      </w:r>
    </w:p>
    <w:p w14:paraId="02370931" w14:textId="42C222EF" w:rsidR="00FF386F" w:rsidRPr="009D1AE0" w:rsidRDefault="00CA0F0B" w:rsidP="00537496">
      <w:pPr>
        <w:pStyle w:val="Authornameandaffiliation"/>
      </w:pPr>
      <w:r w:rsidRPr="009D1AE0">
        <w:t>Energy Research Institute of the Russian Academy of Sciences</w:t>
      </w:r>
    </w:p>
    <w:p w14:paraId="14684DE2" w14:textId="69362F4D" w:rsidR="00FF386F" w:rsidRPr="009D1AE0" w:rsidRDefault="00CA0F0B" w:rsidP="00537496">
      <w:pPr>
        <w:pStyle w:val="Authornameandaffiliation"/>
      </w:pPr>
      <w:r w:rsidRPr="009D1AE0">
        <w:t>Moscow</w:t>
      </w:r>
      <w:r w:rsidR="00FF386F" w:rsidRPr="009D1AE0">
        <w:t xml:space="preserve">, </w:t>
      </w:r>
      <w:r w:rsidRPr="009D1AE0">
        <w:t>Russian Federation</w:t>
      </w:r>
    </w:p>
    <w:p w14:paraId="0080899C" w14:textId="1B9B1A97" w:rsidR="00FF386F" w:rsidRPr="009D1AE0" w:rsidRDefault="00FF386F" w:rsidP="00537496">
      <w:pPr>
        <w:pStyle w:val="Authornameandaffiliation"/>
      </w:pPr>
      <w:r w:rsidRPr="009D1AE0">
        <w:t xml:space="preserve">Email: </w:t>
      </w:r>
      <w:r w:rsidR="00CA0F0B" w:rsidRPr="009D1AE0">
        <w:t>erifedor</w:t>
      </w:r>
      <w:r w:rsidRPr="009D1AE0">
        <w:t>@</w:t>
      </w:r>
      <w:r w:rsidR="00CA0F0B" w:rsidRPr="009D1AE0">
        <w:t>mail.ru</w:t>
      </w:r>
    </w:p>
    <w:p w14:paraId="5E2BDA1F" w14:textId="77777777" w:rsidR="00FF386F" w:rsidRPr="009D1AE0" w:rsidRDefault="00FF386F" w:rsidP="00537496">
      <w:pPr>
        <w:pStyle w:val="Authornameandaffiliation"/>
      </w:pPr>
    </w:p>
    <w:p w14:paraId="535BB6CC" w14:textId="7796503C" w:rsidR="00FF386F" w:rsidRPr="009D1AE0" w:rsidRDefault="00CA0F0B" w:rsidP="00537496">
      <w:pPr>
        <w:pStyle w:val="Authornameandaffiliation"/>
      </w:pPr>
      <w:r w:rsidRPr="009D1AE0">
        <w:t>A.A</w:t>
      </w:r>
      <w:r w:rsidR="00FF386F" w:rsidRPr="009D1AE0">
        <w:t xml:space="preserve">. </w:t>
      </w:r>
      <w:r w:rsidRPr="009D1AE0">
        <w:t>KHORSHEV</w:t>
      </w:r>
      <w:r w:rsidR="00506C48" w:rsidRPr="009D1AE0">
        <w:t>, T.G. PANKRUSHINA, and T.V. NOVIKOVA</w:t>
      </w:r>
    </w:p>
    <w:p w14:paraId="7D9F2649" w14:textId="77777777" w:rsidR="00CA0F0B" w:rsidRPr="009D1AE0" w:rsidRDefault="00CA0F0B" w:rsidP="00CA0F0B">
      <w:pPr>
        <w:pStyle w:val="Authornameandaffiliation"/>
      </w:pPr>
      <w:r w:rsidRPr="009D1AE0">
        <w:t>Energy Research Institute of the Russian Academy of Sciences</w:t>
      </w:r>
    </w:p>
    <w:p w14:paraId="5D8CB727" w14:textId="77777777" w:rsidR="00CA0F0B" w:rsidRPr="009D1AE0" w:rsidRDefault="00CA0F0B" w:rsidP="00CA0F0B">
      <w:pPr>
        <w:pStyle w:val="Authornameandaffiliation"/>
      </w:pPr>
      <w:r w:rsidRPr="009D1AE0">
        <w:t>Moscow, Russian Federation</w:t>
      </w:r>
    </w:p>
    <w:p w14:paraId="2C7F19CB" w14:textId="77777777" w:rsidR="00FF386F" w:rsidRPr="009D1AE0" w:rsidRDefault="00FF386F" w:rsidP="00537496">
      <w:pPr>
        <w:pStyle w:val="Authornameandaffiliation"/>
      </w:pPr>
    </w:p>
    <w:p w14:paraId="230D4575" w14:textId="77777777" w:rsidR="00647F33" w:rsidRPr="009D1AE0" w:rsidRDefault="00647F33" w:rsidP="00537496">
      <w:pPr>
        <w:pStyle w:val="Authornameandaffiliation"/>
        <w:rPr>
          <w:b/>
        </w:rPr>
      </w:pPr>
      <w:r w:rsidRPr="009D1AE0">
        <w:rPr>
          <w:b/>
        </w:rPr>
        <w:t>Abstract</w:t>
      </w:r>
    </w:p>
    <w:p w14:paraId="4F2E62A2" w14:textId="77777777" w:rsidR="00647F33" w:rsidRPr="009D1AE0" w:rsidRDefault="00647F33" w:rsidP="00537496">
      <w:pPr>
        <w:pStyle w:val="Authornameandaffiliation"/>
      </w:pPr>
    </w:p>
    <w:p w14:paraId="418AC57B" w14:textId="27C450C6" w:rsidR="00647F33" w:rsidRPr="009D1AE0" w:rsidRDefault="002E3287" w:rsidP="009706D3">
      <w:pPr>
        <w:pStyle w:val="Abstracttext"/>
        <w:jc w:val="both"/>
      </w:pPr>
      <w:r w:rsidRPr="009D1AE0">
        <w:t xml:space="preserve">The paper discusses the economic and technical possibilities and limitations of SMR development in the Russian energy system. The results of an economic comparison of </w:t>
      </w:r>
      <w:r w:rsidR="00C477C9" w:rsidRPr="009D1AE0">
        <w:t xml:space="preserve">nuclear plants with SMR units and </w:t>
      </w:r>
      <w:r w:rsidRPr="009D1AE0">
        <w:t xml:space="preserve">large reactors (LR), low-carbon thermal power plants (CCS) and renewable energy sources are presented. </w:t>
      </w:r>
      <w:r w:rsidR="00C477C9" w:rsidRPr="009D1AE0">
        <w:t xml:space="preserve">The assessment of SMR capital costs </w:t>
      </w:r>
      <w:r w:rsidR="000661B4" w:rsidRPr="009D1AE0">
        <w:t xml:space="preserve">(based on LR cost) </w:t>
      </w:r>
      <w:r w:rsidR="00C477C9" w:rsidRPr="009D1AE0">
        <w:t>takes into account</w:t>
      </w:r>
      <w:r w:rsidRPr="009D1AE0">
        <w:t xml:space="preserve"> various factors of their reduction, including the technological </w:t>
      </w:r>
      <w:r w:rsidR="00C477C9" w:rsidRPr="009D1AE0">
        <w:t>learning, multiunit</w:t>
      </w:r>
      <w:r w:rsidRPr="009D1AE0">
        <w:t xml:space="preserve"> </w:t>
      </w:r>
      <w:r w:rsidR="00C477C9" w:rsidRPr="009D1AE0">
        <w:t>effect</w:t>
      </w:r>
      <w:r w:rsidRPr="009D1AE0">
        <w:t xml:space="preserve">, the </w:t>
      </w:r>
      <w:r w:rsidR="00C477C9" w:rsidRPr="009D1AE0">
        <w:t xml:space="preserve">grid connection </w:t>
      </w:r>
      <w:r w:rsidRPr="009D1AE0">
        <w:t xml:space="preserve">cost. The SMR competitiveness analysis has been extended to district heating systems. Coal and gas cogeneration plants (CHP), as well as a carbon-free </w:t>
      </w:r>
      <w:r w:rsidR="00C477C9" w:rsidRPr="009D1AE0">
        <w:t>“joint scheme” of energy supply using a</w:t>
      </w:r>
      <w:r w:rsidRPr="009D1AE0">
        <w:t xml:space="preserve"> combination of electric boilers and LR nuclear power plants or hydroelectric power plants as sources of electricity, are considered </w:t>
      </w:r>
      <w:r w:rsidR="00C477C9" w:rsidRPr="009D1AE0">
        <w:t xml:space="preserve">as </w:t>
      </w:r>
      <w:r w:rsidRPr="009D1AE0">
        <w:t xml:space="preserve">competitors of nuclear </w:t>
      </w:r>
      <w:r w:rsidR="00C477C9" w:rsidRPr="009D1AE0">
        <w:t xml:space="preserve">CHP </w:t>
      </w:r>
      <w:r w:rsidRPr="009D1AE0">
        <w:t xml:space="preserve">with SMR. An analysis </w:t>
      </w:r>
      <w:r w:rsidR="00BA2224" w:rsidRPr="009D1AE0">
        <w:t xml:space="preserve">of </w:t>
      </w:r>
      <w:r w:rsidRPr="009D1AE0">
        <w:t>"</w:t>
      </w:r>
      <w:r w:rsidR="00C477C9" w:rsidRPr="009D1AE0">
        <w:t>switching</w:t>
      </w:r>
      <w:r w:rsidR="00CF5B6D" w:rsidRPr="009D1AE0">
        <w:t xml:space="preserve"> to nuclear</w:t>
      </w:r>
      <w:r w:rsidRPr="009D1AE0">
        <w:t xml:space="preserve">" </w:t>
      </w:r>
      <w:r w:rsidR="00C477C9" w:rsidRPr="009D1AE0">
        <w:t xml:space="preserve">condition has been performed </w:t>
      </w:r>
      <w:r w:rsidRPr="009D1AE0">
        <w:t xml:space="preserve">to assess the </w:t>
      </w:r>
      <w:r w:rsidR="00C477C9" w:rsidRPr="009D1AE0">
        <w:t xml:space="preserve">scale of </w:t>
      </w:r>
      <w:r w:rsidRPr="009D1AE0">
        <w:t>support measures (for example, carbon payments) that are necessary for the mass implementation of SMR</w:t>
      </w:r>
      <w:r w:rsidR="00C477C9" w:rsidRPr="009D1AE0">
        <w:t xml:space="preserve"> as an option for district heating</w:t>
      </w:r>
      <w:r w:rsidRPr="009D1AE0">
        <w:t xml:space="preserve">. Optimization of the low-carbon transformation of Russian </w:t>
      </w:r>
      <w:r w:rsidR="00C477C9" w:rsidRPr="009D1AE0">
        <w:t xml:space="preserve">electricity </w:t>
      </w:r>
      <w:r w:rsidRPr="009D1AE0">
        <w:t xml:space="preserve">and district heating </w:t>
      </w:r>
      <w:r w:rsidR="00C477C9" w:rsidRPr="009D1AE0">
        <w:t xml:space="preserve">supply </w:t>
      </w:r>
      <w:r w:rsidRPr="009D1AE0">
        <w:t xml:space="preserve">systems has made it possible to study the effective scale of SMR development for the period up to 2050. The optimization took into account different levels of carbon emissions quotas. The impact of carbon payments on </w:t>
      </w:r>
      <w:r w:rsidR="00BA2224" w:rsidRPr="009D1AE0">
        <w:t>“switching</w:t>
      </w:r>
      <w:r w:rsidR="00CF5B6D" w:rsidRPr="009D1AE0">
        <w:t xml:space="preserve"> to </w:t>
      </w:r>
      <w:proofErr w:type="spellStart"/>
      <w:r w:rsidR="00CF5B6D" w:rsidRPr="009D1AE0">
        <w:t>nuclesr</w:t>
      </w:r>
      <w:proofErr w:type="spellEnd"/>
      <w:r w:rsidR="00BA2224" w:rsidRPr="009D1AE0">
        <w:t>”</w:t>
      </w:r>
      <w:r w:rsidRPr="009D1AE0">
        <w:t xml:space="preserve"> </w:t>
      </w:r>
      <w:r w:rsidR="00CF5B6D" w:rsidRPr="009D1AE0">
        <w:t>decisions</w:t>
      </w:r>
      <w:r w:rsidRPr="009D1AE0">
        <w:t xml:space="preserve"> and the development of nuclear </w:t>
      </w:r>
      <w:r w:rsidR="00BA2224" w:rsidRPr="009D1AE0">
        <w:t>energy sources</w:t>
      </w:r>
      <w:r w:rsidRPr="009D1AE0">
        <w:t xml:space="preserve">, including SMR, </w:t>
      </w:r>
      <w:proofErr w:type="gramStart"/>
      <w:r w:rsidR="000C76D6" w:rsidRPr="009D1AE0">
        <w:t>was</w:t>
      </w:r>
      <w:proofErr w:type="gramEnd"/>
      <w:r w:rsidR="000C76D6" w:rsidRPr="009D1AE0">
        <w:t xml:space="preserve"> </w:t>
      </w:r>
      <w:r w:rsidRPr="009D1AE0">
        <w:t>also studied.</w:t>
      </w:r>
    </w:p>
    <w:p w14:paraId="03C6D75B" w14:textId="77777777" w:rsidR="00647F33" w:rsidRPr="009D1AE0" w:rsidRDefault="00F523CA" w:rsidP="00537496">
      <w:pPr>
        <w:pStyle w:val="2"/>
        <w:numPr>
          <w:ilvl w:val="1"/>
          <w:numId w:val="10"/>
        </w:numPr>
      </w:pPr>
      <w:r w:rsidRPr="009D1AE0">
        <w:t>INTRODUCTION</w:t>
      </w:r>
    </w:p>
    <w:p w14:paraId="1442C383" w14:textId="69AE2C2C" w:rsidR="002F7E6A" w:rsidRPr="009D1AE0" w:rsidRDefault="002F7E6A" w:rsidP="00537496">
      <w:pPr>
        <w:pStyle w:val="a1"/>
      </w:pPr>
      <w:r w:rsidRPr="009D1AE0">
        <w:t>Russia is one of the most significant emitters of greenhouse gases (GHGs) in the world and an important participant in the Paris Agreement. The Climate Doctrine</w:t>
      </w:r>
      <w:r w:rsidR="009706D3" w:rsidRPr="009D1AE0">
        <w:rPr>
          <w:lang w:val="en-US"/>
        </w:rPr>
        <w:t>,</w:t>
      </w:r>
      <w:r w:rsidRPr="009D1AE0">
        <w:t xml:space="preserve"> adopted in 2022</w:t>
      </w:r>
      <w:r w:rsidR="009706D3" w:rsidRPr="009D1AE0">
        <w:t>,</w:t>
      </w:r>
      <w:r w:rsidRPr="009D1AE0">
        <w:t xml:space="preserve"> provides for achieving carbon neutrality of the national economy by 2060. The Strategy for the Development of Russia with Low GHG Emissions (SNUR)</w:t>
      </w:r>
      <w:r w:rsidR="009706D3" w:rsidRPr="009D1AE0">
        <w:t>,</w:t>
      </w:r>
      <w:r w:rsidRPr="009D1AE0">
        <w:t xml:space="preserve"> adopted in 2021</w:t>
      </w:r>
      <w:r w:rsidR="009706D3" w:rsidRPr="009D1AE0">
        <w:t>,</w:t>
      </w:r>
      <w:r w:rsidRPr="009D1AE0">
        <w:t xml:space="preserve"> provides that by 2050 net emissions should decrease by 2.5 times </w:t>
      </w:r>
      <w:r w:rsidR="009706D3" w:rsidRPr="009D1AE0">
        <w:t>compared</w:t>
      </w:r>
      <w:r w:rsidRPr="009D1AE0">
        <w:t xml:space="preserve"> to the level of 2019 (1.58 billion tons of CO</w:t>
      </w:r>
      <w:r w:rsidRPr="009D1AE0">
        <w:rPr>
          <w:vertAlign w:val="subscript"/>
        </w:rPr>
        <w:t>2</w:t>
      </w:r>
      <w:r w:rsidRPr="009D1AE0">
        <w:t>-eq), to 0.63 billion tons of CO</w:t>
      </w:r>
      <w:r w:rsidRPr="009D1AE0">
        <w:rPr>
          <w:vertAlign w:val="subscript"/>
        </w:rPr>
        <w:t>2</w:t>
      </w:r>
      <w:r w:rsidRPr="009D1AE0">
        <w:t>-eq [1]. At the same time, by 2050, the absorptive capacity of ecosystem</w:t>
      </w:r>
      <w:r w:rsidR="00452774" w:rsidRPr="009D1AE0">
        <w:t>s</w:t>
      </w:r>
      <w:r w:rsidRPr="009D1AE0">
        <w:t xml:space="preserve"> is expected to increase by more than 2 times – up to 1.2 billion tons of CO</w:t>
      </w:r>
      <w:r w:rsidRPr="009D1AE0">
        <w:rPr>
          <w:vertAlign w:val="subscript"/>
        </w:rPr>
        <w:t>2</w:t>
      </w:r>
      <w:r w:rsidRPr="009D1AE0">
        <w:t xml:space="preserve">-eq. In this case, the physical annual GHG emissions over </w:t>
      </w:r>
      <w:r w:rsidR="00672D56" w:rsidRPr="009D1AE0">
        <w:rPr>
          <w:lang w:val="en-US"/>
        </w:rPr>
        <w:t>3</w:t>
      </w:r>
      <w:r w:rsidR="00672D56" w:rsidRPr="009D1AE0">
        <w:t xml:space="preserve">0 </w:t>
      </w:r>
      <w:r w:rsidRPr="009D1AE0">
        <w:t xml:space="preserve">years (from </w:t>
      </w:r>
      <w:r w:rsidR="00672D56" w:rsidRPr="009D1AE0">
        <w:t>20</w:t>
      </w:r>
      <w:r w:rsidR="00672D56" w:rsidRPr="009D1AE0">
        <w:rPr>
          <w:lang w:val="en-US"/>
        </w:rPr>
        <w:t>19</w:t>
      </w:r>
      <w:r w:rsidR="00672D56" w:rsidRPr="009D1AE0">
        <w:t xml:space="preserve"> </w:t>
      </w:r>
      <w:r w:rsidRPr="009D1AE0">
        <w:t>to 2050) should decrease by 0.</w:t>
      </w:r>
      <w:r w:rsidR="00672D56" w:rsidRPr="009D1AE0">
        <w:rPr>
          <w:lang w:val="en-US"/>
        </w:rPr>
        <w:t>29</w:t>
      </w:r>
      <w:r w:rsidR="00672D56" w:rsidRPr="009D1AE0">
        <w:t xml:space="preserve"> </w:t>
      </w:r>
      <w:r w:rsidRPr="009D1AE0">
        <w:t>billion tons of CO</w:t>
      </w:r>
      <w:r w:rsidRPr="009D1AE0">
        <w:rPr>
          <w:vertAlign w:val="subscript"/>
        </w:rPr>
        <w:t>2</w:t>
      </w:r>
      <w:r w:rsidRPr="009D1AE0">
        <w:t xml:space="preserve">-eq. This is less than 14% of the level in 2019. However, if </w:t>
      </w:r>
      <w:r w:rsidR="00452774" w:rsidRPr="009D1AE0">
        <w:t xml:space="preserve">GHG </w:t>
      </w:r>
      <w:r w:rsidRPr="009D1AE0">
        <w:t xml:space="preserve">absorption volumes </w:t>
      </w:r>
      <w:r w:rsidR="009706D3" w:rsidRPr="009D1AE0">
        <w:rPr>
          <w:lang w:val="en-US"/>
        </w:rPr>
        <w:t xml:space="preserve">remain </w:t>
      </w:r>
      <w:r w:rsidR="009706D3" w:rsidRPr="009D1AE0">
        <w:t>constant</w:t>
      </w:r>
      <w:r w:rsidRPr="009D1AE0">
        <w:t xml:space="preserve">, physical emissions will have to </w:t>
      </w:r>
      <w:r w:rsidR="009706D3" w:rsidRPr="009D1AE0">
        <w:t>be reduced by</w:t>
      </w:r>
      <w:r w:rsidRPr="009D1AE0">
        <w:t xml:space="preserve"> three times more by 2050 - by </w:t>
      </w:r>
      <w:r w:rsidR="00672D56" w:rsidRPr="009D1AE0">
        <w:rPr>
          <w:lang w:val="en-US"/>
        </w:rPr>
        <w:t>0</w:t>
      </w:r>
      <w:r w:rsidRPr="009D1AE0">
        <w:t>.</w:t>
      </w:r>
      <w:r w:rsidR="00672D56" w:rsidRPr="009D1AE0">
        <w:rPr>
          <w:lang w:val="en-US"/>
        </w:rPr>
        <w:t>9</w:t>
      </w:r>
      <w:r w:rsidR="00672D56" w:rsidRPr="009D1AE0">
        <w:t xml:space="preserve">5 </w:t>
      </w:r>
      <w:r w:rsidRPr="009D1AE0">
        <w:t>billion tons of CO</w:t>
      </w:r>
      <w:r w:rsidRPr="009D1AE0">
        <w:rPr>
          <w:vertAlign w:val="subscript"/>
        </w:rPr>
        <w:t>2</w:t>
      </w:r>
      <w:r w:rsidRPr="009D1AE0">
        <w:t>-eq</w:t>
      </w:r>
      <w:r w:rsidR="000C2C0B" w:rsidRPr="009D1AE0">
        <w:rPr>
          <w:lang w:val="en-US"/>
        </w:rPr>
        <w:t xml:space="preserve"> [2]</w:t>
      </w:r>
      <w:r w:rsidRPr="009D1AE0">
        <w:t>.</w:t>
      </w:r>
    </w:p>
    <w:p w14:paraId="55285FDA" w14:textId="59747C8B" w:rsidR="00E42A6D" w:rsidRPr="009D1AE0" w:rsidRDefault="00E67F16" w:rsidP="00537496">
      <w:pPr>
        <w:pStyle w:val="a1"/>
      </w:pPr>
      <w:r w:rsidRPr="009D1AE0">
        <w:t xml:space="preserve">The electric power industry is the largest GHG emitter in the country and the sector where </w:t>
      </w:r>
      <w:proofErr w:type="spellStart"/>
      <w:r w:rsidRPr="009D1AE0">
        <w:t>decarbonization</w:t>
      </w:r>
      <w:proofErr w:type="spellEnd"/>
      <w:r w:rsidRPr="009D1AE0">
        <w:t xml:space="preserve"> can be most active. In 2021, 1,15</w:t>
      </w:r>
      <w:r w:rsidR="0016203A" w:rsidRPr="009D1AE0">
        <w:t>9</w:t>
      </w:r>
      <w:r w:rsidRPr="009D1AE0">
        <w:t xml:space="preserve"> </w:t>
      </w:r>
      <w:proofErr w:type="spellStart"/>
      <w:r w:rsidRPr="009D1AE0">
        <w:t>TWh</w:t>
      </w:r>
      <w:proofErr w:type="spellEnd"/>
      <w:r w:rsidRPr="009D1AE0">
        <w:t xml:space="preserve"> of electricity (or 4.1</w:t>
      </w:r>
      <w:r w:rsidR="0016203A" w:rsidRPr="009D1AE0">
        <w:t>7</w:t>
      </w:r>
      <w:r w:rsidRPr="009D1AE0">
        <w:t xml:space="preserve"> EJ) was produced in Russia, of which almost half (49%) was provided by gas-fired thermal power plants (TPP</w:t>
      </w:r>
      <w:r w:rsidR="00831CE8" w:rsidRPr="009D1AE0">
        <w:t>s</w:t>
      </w:r>
      <w:r w:rsidRPr="009D1AE0">
        <w:t>) and about 13% by coal-fired ones. The share of nuclear power plants (NPP) is estimated at 19%, which is comparable to the contribution of hydroelectric power plants. The share of other renewable sources (</w:t>
      </w:r>
      <w:r w:rsidR="00452774" w:rsidRPr="009D1AE0">
        <w:rPr>
          <w:lang w:val="en-US"/>
        </w:rPr>
        <w:t>RES</w:t>
      </w:r>
      <w:r w:rsidRPr="009D1AE0">
        <w:t>) is still less than 1%.</w:t>
      </w:r>
      <w:r w:rsidR="00831CE8" w:rsidRPr="009D1AE0">
        <w:t xml:space="preserve"> </w:t>
      </w:r>
      <w:r w:rsidR="00E42A6D" w:rsidRPr="009D1AE0">
        <w:t>Due to geographical factors, the Russian economy and population consume a large amount of district heat</w:t>
      </w:r>
      <w:r w:rsidR="00831CE8" w:rsidRPr="009D1AE0">
        <w:t>, mainly</w:t>
      </w:r>
      <w:r w:rsidR="00E42A6D" w:rsidRPr="009D1AE0">
        <w:t xml:space="preserve"> for space heating. In 2021, its production volume amounted to 5.62 EJ, while 45% was produced at combined cycle power plants (CHP) using gas or coal. About 48% of the district heat </w:t>
      </w:r>
      <w:r w:rsidR="009706D3" w:rsidRPr="009D1AE0">
        <w:t>was</w:t>
      </w:r>
      <w:r w:rsidR="00E42A6D" w:rsidRPr="009D1AE0">
        <w:t xml:space="preserve"> produced in gas or coal-fired boilers. The remaining 7% </w:t>
      </w:r>
      <w:r w:rsidR="00EC76D7" w:rsidRPr="009D1AE0">
        <w:t>was</w:t>
      </w:r>
      <w:r w:rsidR="00E42A6D" w:rsidRPr="009D1AE0">
        <w:t xml:space="preserve"> provided by secondary heat recovery resources and carbon-free sources. At the same time, about 16 PJ of </w:t>
      </w:r>
      <w:r w:rsidR="00452774" w:rsidRPr="009D1AE0">
        <w:t>heat</w:t>
      </w:r>
      <w:r w:rsidR="00E42A6D" w:rsidRPr="009D1AE0">
        <w:t xml:space="preserve"> is supplied to consumers from operating </w:t>
      </w:r>
      <w:r w:rsidR="00831CE8" w:rsidRPr="009D1AE0">
        <w:t>NPPs</w:t>
      </w:r>
      <w:r w:rsidR="00E42A6D" w:rsidRPr="009D1AE0">
        <w:t>.</w:t>
      </w:r>
    </w:p>
    <w:p w14:paraId="6B9DF35A" w14:textId="050B2835" w:rsidR="0024508A" w:rsidRPr="009D1AE0" w:rsidRDefault="00475564" w:rsidP="00537496">
      <w:pPr>
        <w:pStyle w:val="a1"/>
      </w:pPr>
      <w:r w:rsidRPr="009D1AE0">
        <w:t>Currently, more than 60% of electricity and 92% of district heat is produced using fossil fuels, mainly natural gas, and the total GHG emissions associated with electricity and heat production amount to about 0.78 billion tons of CO</w:t>
      </w:r>
      <w:r w:rsidRPr="009D1AE0">
        <w:rPr>
          <w:vertAlign w:val="subscript"/>
        </w:rPr>
        <w:t>2</w:t>
      </w:r>
      <w:r w:rsidRPr="009D1AE0">
        <w:t xml:space="preserve">-eq. This amount is twice as much as the target reduction of GHG emissions in the country's economy as a whole by 2050 with an optimistic increase in the absorption </w:t>
      </w:r>
      <w:r w:rsidR="00452774" w:rsidRPr="009D1AE0">
        <w:rPr>
          <w:lang w:val="en-US"/>
        </w:rPr>
        <w:t>volumes</w:t>
      </w:r>
      <w:r w:rsidRPr="009D1AE0">
        <w:t xml:space="preserve">. </w:t>
      </w:r>
      <w:r w:rsidR="00FA4822" w:rsidRPr="009D1AE0">
        <w:t xml:space="preserve">Thus, </w:t>
      </w:r>
      <w:r w:rsidR="00FA4822" w:rsidRPr="009D1AE0">
        <w:rPr>
          <w:lang w:val="en-US"/>
        </w:rPr>
        <w:t xml:space="preserve">the </w:t>
      </w:r>
      <w:r w:rsidR="00FA4822" w:rsidRPr="009D1AE0">
        <w:t xml:space="preserve">SNUR targets </w:t>
      </w:r>
      <w:r w:rsidR="00FA4822" w:rsidRPr="009D1AE0">
        <w:lastRenderedPageBreak/>
        <w:t xml:space="preserve">may be achieved through the </w:t>
      </w:r>
      <w:r w:rsidR="00782CA5" w:rsidRPr="009D1AE0">
        <w:t xml:space="preserve">active development of carbon-free sources of electricity (including </w:t>
      </w:r>
      <w:r w:rsidR="00FA4822" w:rsidRPr="009D1AE0">
        <w:t>NPP</w:t>
      </w:r>
      <w:r w:rsidR="00782CA5" w:rsidRPr="009D1AE0">
        <w:t>), as well as the replacement of fossil fuels in the production of district heat with nuclear energy (</w:t>
      </w:r>
      <w:r w:rsidR="00287668" w:rsidRPr="009D1AE0">
        <w:t xml:space="preserve">SMR </w:t>
      </w:r>
      <w:r w:rsidR="00782CA5" w:rsidRPr="009D1AE0">
        <w:t xml:space="preserve">CHP) or electricity also produced from carbon-free sources (including </w:t>
      </w:r>
      <w:r w:rsidR="00C860BE" w:rsidRPr="009D1AE0">
        <w:t xml:space="preserve">hydro or </w:t>
      </w:r>
      <w:r w:rsidR="00782CA5" w:rsidRPr="009D1AE0">
        <w:t>nuclear power plants).</w:t>
      </w:r>
      <w:r w:rsidR="00B1688D" w:rsidRPr="009D1AE0">
        <w:t xml:space="preserve"> </w:t>
      </w:r>
    </w:p>
    <w:p w14:paraId="74CD1556" w14:textId="3936660F" w:rsidR="00E25B68" w:rsidRPr="009D1AE0" w:rsidRDefault="009339DC" w:rsidP="009339DC">
      <w:pPr>
        <w:pStyle w:val="2"/>
        <w:numPr>
          <w:ilvl w:val="1"/>
          <w:numId w:val="10"/>
        </w:numPr>
      </w:pPr>
      <w:r w:rsidRPr="009D1AE0">
        <w:t>TECHNOLOGICAL PROFILE OF RUSSIAN NUCLEAR POWER PLANTS OF LARGE AND SMALL unit CAPACITY</w:t>
      </w:r>
    </w:p>
    <w:p w14:paraId="7AB86964" w14:textId="7076C1C4" w:rsidR="00E25B68" w:rsidRPr="009D1AE0" w:rsidRDefault="006F2AA3" w:rsidP="00537496">
      <w:pPr>
        <w:pStyle w:val="a1"/>
        <w:rPr>
          <w:lang w:val="en-US"/>
        </w:rPr>
      </w:pPr>
      <w:r w:rsidRPr="009D1AE0">
        <w:t xml:space="preserve">The traditional priority for the development of NPPs in Russia is </w:t>
      </w:r>
      <w:r w:rsidR="008B2257" w:rsidRPr="009D1AE0">
        <w:t xml:space="preserve">large reactor units (LR) </w:t>
      </w:r>
      <w:r w:rsidRPr="009D1AE0">
        <w:t>with a capacity of up to 1</w:t>
      </w:r>
      <w:r w:rsidR="008B2257" w:rsidRPr="009D1AE0">
        <w:t xml:space="preserve">000+ </w:t>
      </w:r>
      <w:r w:rsidRPr="009D1AE0">
        <w:t xml:space="preserve">MW. The National </w:t>
      </w:r>
      <w:r w:rsidR="00DD402D" w:rsidRPr="009D1AE0">
        <w:t xml:space="preserve">Power </w:t>
      </w:r>
      <w:r w:rsidRPr="009D1AE0">
        <w:t>System (</w:t>
      </w:r>
      <w:r w:rsidR="00EF56C8" w:rsidRPr="009D1AE0">
        <w:t xml:space="preserve">the </w:t>
      </w:r>
      <w:r w:rsidRPr="009D1AE0">
        <w:t>U</w:t>
      </w:r>
      <w:r w:rsidR="00DD402D" w:rsidRPr="009D1AE0">
        <w:t>P</w:t>
      </w:r>
      <w:r w:rsidRPr="009D1AE0">
        <w:t xml:space="preserve">S of Russia) is one of the largest in the world (the total </w:t>
      </w:r>
      <w:r w:rsidR="0028631A" w:rsidRPr="009D1AE0">
        <w:t xml:space="preserve">installed </w:t>
      </w:r>
      <w:r w:rsidRPr="009D1AE0">
        <w:t xml:space="preserve">capacity is about 250 GW). The </w:t>
      </w:r>
      <w:r w:rsidR="00EC76D7" w:rsidRPr="009D1AE0">
        <w:t xml:space="preserve">rapid </w:t>
      </w:r>
      <w:r w:rsidRPr="009D1AE0">
        <w:t xml:space="preserve">development of </w:t>
      </w:r>
      <w:r w:rsidR="0028631A" w:rsidRPr="009D1AE0">
        <w:t>LR NPP</w:t>
      </w:r>
      <w:r w:rsidRPr="009D1AE0">
        <w:t xml:space="preserve"> in </w:t>
      </w:r>
      <w:r w:rsidR="007A76CF" w:rsidRPr="009D1AE0">
        <w:t xml:space="preserve">this </w:t>
      </w:r>
      <w:r w:rsidR="0028631A" w:rsidRPr="009D1AE0">
        <w:t>power</w:t>
      </w:r>
      <w:r w:rsidRPr="009D1AE0">
        <w:t xml:space="preserve"> system is possible taking into account </w:t>
      </w:r>
      <w:r w:rsidR="00EF56C8" w:rsidRPr="009D1AE0">
        <w:t xml:space="preserve">the </w:t>
      </w:r>
      <w:r w:rsidRPr="009D1AE0">
        <w:t xml:space="preserve">balance and system requirements (including </w:t>
      </w:r>
      <w:r w:rsidR="0028631A" w:rsidRPr="009D1AE0">
        <w:t xml:space="preserve">available </w:t>
      </w:r>
      <w:r w:rsidR="008B2257" w:rsidRPr="009D1AE0">
        <w:t xml:space="preserve">reserves </w:t>
      </w:r>
      <w:r w:rsidRPr="009D1AE0">
        <w:t xml:space="preserve">and flexibility resources) and </w:t>
      </w:r>
      <w:r w:rsidR="00EF56C8" w:rsidRPr="009D1AE0">
        <w:t xml:space="preserve">reasonable </w:t>
      </w:r>
      <w:r w:rsidRPr="009D1AE0">
        <w:t xml:space="preserve">based on economic considerations. By 2045, the share of </w:t>
      </w:r>
      <w:r w:rsidR="008B2257" w:rsidRPr="009D1AE0">
        <w:t>NPP</w:t>
      </w:r>
      <w:r w:rsidRPr="009D1AE0">
        <w:t xml:space="preserve"> in total electricity production should grow to 25% (in 2021</w:t>
      </w:r>
      <w:r w:rsidR="00EF56C8" w:rsidRPr="009D1AE0">
        <w:t>,</w:t>
      </w:r>
      <w:r w:rsidRPr="009D1AE0">
        <w:t xml:space="preserve"> it was about 19%). The capacity of all </w:t>
      </w:r>
      <w:r w:rsidR="0028631A" w:rsidRPr="009D1AE0">
        <w:t>NPP</w:t>
      </w:r>
      <w:r w:rsidRPr="009D1AE0">
        <w:t xml:space="preserve">s will increase from 30 to 50+ GW. At the same time, projects with VVER-1200 units with an installed capacity of 1,250 MW will be actively developed. It is also planned to build 600 MW VVER units for a number of zones of the </w:t>
      </w:r>
      <w:r w:rsidR="008B2257" w:rsidRPr="009D1AE0">
        <w:t>UPS</w:t>
      </w:r>
      <w:r w:rsidRPr="009D1AE0">
        <w:t xml:space="preserve"> with lower balance needs in </w:t>
      </w:r>
      <w:proofErr w:type="spellStart"/>
      <w:r w:rsidR="008B2257" w:rsidRPr="009D1AE0">
        <w:t>baseload</w:t>
      </w:r>
      <w:proofErr w:type="spellEnd"/>
      <w:r w:rsidR="008B2257" w:rsidRPr="009D1AE0">
        <w:t xml:space="preserve"> capacity</w:t>
      </w:r>
      <w:r w:rsidRPr="009D1AE0">
        <w:t xml:space="preserve">. After 2035, it is planned to increase the share of </w:t>
      </w:r>
      <w:r w:rsidR="00BC759C" w:rsidRPr="009D1AE0">
        <w:t>fast</w:t>
      </w:r>
      <w:r w:rsidRPr="009D1AE0">
        <w:t xml:space="preserve"> reactors (also 1,250 MW</w:t>
      </w:r>
      <w:r w:rsidR="008B2257" w:rsidRPr="009D1AE0">
        <w:t xml:space="preserve"> units</w:t>
      </w:r>
      <w:r w:rsidRPr="009D1AE0">
        <w:t>), which will allow in practice to begin the transition to a closed fuel cycle in nuclear energy [</w:t>
      </w:r>
      <w:r w:rsidR="00BC759C" w:rsidRPr="009D1AE0">
        <w:t>3</w:t>
      </w:r>
      <w:proofErr w:type="gramStart"/>
      <w:r w:rsidR="00BC759C" w:rsidRPr="009D1AE0">
        <w:t>,4</w:t>
      </w:r>
      <w:proofErr w:type="gramEnd"/>
      <w:r w:rsidRPr="009D1AE0">
        <w:t>].</w:t>
      </w:r>
    </w:p>
    <w:p w14:paraId="50C5D19D" w14:textId="06262ED0" w:rsidR="00F53798" w:rsidRPr="009D1AE0" w:rsidRDefault="00287668" w:rsidP="00537496">
      <w:pPr>
        <w:pStyle w:val="a1"/>
        <w:rPr>
          <w:lang w:val="en-US"/>
        </w:rPr>
      </w:pPr>
      <w:r w:rsidRPr="009D1AE0">
        <w:rPr>
          <w:lang w:val="en-US"/>
        </w:rPr>
        <w:t xml:space="preserve">In Russia, the areas of application of LR and SMR nuclear power plants are </w:t>
      </w:r>
      <w:r w:rsidR="00EF56C8" w:rsidRPr="009D1AE0">
        <w:rPr>
          <w:lang w:val="en-US"/>
        </w:rPr>
        <w:t xml:space="preserve">now </w:t>
      </w:r>
      <w:r w:rsidRPr="009D1AE0">
        <w:rPr>
          <w:lang w:val="en-US"/>
        </w:rPr>
        <w:t xml:space="preserve">geographically separated. The development of SMR nuclear power plants is strategically considered for areas in the north and east of the country, as well as in the Arctic zone, where the cost of energy supply is traditionally high due to fuel supply costs. Since 1974, the </w:t>
      </w:r>
      <w:proofErr w:type="spellStart"/>
      <w:r w:rsidRPr="009D1AE0">
        <w:rPr>
          <w:lang w:val="en-US"/>
        </w:rPr>
        <w:t>Bilibin</w:t>
      </w:r>
      <w:r w:rsidR="00506C48" w:rsidRPr="009D1AE0">
        <w:rPr>
          <w:lang w:val="en-US"/>
        </w:rPr>
        <w:t>o</w:t>
      </w:r>
      <w:proofErr w:type="spellEnd"/>
      <w:r w:rsidRPr="009D1AE0">
        <w:rPr>
          <w:lang w:val="en-US"/>
        </w:rPr>
        <w:t xml:space="preserve"> nuclear power plant with 12MW EGP-6 reactors has been operating in the Arctic. In 2019, the </w:t>
      </w:r>
      <w:r w:rsidR="00EF56C8" w:rsidRPr="009D1AE0">
        <w:rPr>
          <w:lang w:val="en-US"/>
        </w:rPr>
        <w:t xml:space="preserve">Academic </w:t>
      </w:r>
      <w:proofErr w:type="spellStart"/>
      <w:r w:rsidRPr="009D1AE0">
        <w:rPr>
          <w:lang w:val="en-US"/>
        </w:rPr>
        <w:t>Lomonosov</w:t>
      </w:r>
      <w:proofErr w:type="spellEnd"/>
      <w:r w:rsidRPr="009D1AE0">
        <w:rPr>
          <w:lang w:val="en-US"/>
        </w:rPr>
        <w:t xml:space="preserve"> floating NPP with KLT-40S reactors was put into operation in the same area.</w:t>
      </w:r>
      <w:r w:rsidR="00A600C3" w:rsidRPr="009D1AE0">
        <w:rPr>
          <w:lang w:val="en-US"/>
        </w:rPr>
        <w:t xml:space="preserve"> </w:t>
      </w:r>
      <w:r w:rsidR="00F53798" w:rsidRPr="009D1AE0">
        <w:rPr>
          <w:lang w:val="en-US"/>
        </w:rPr>
        <w:t xml:space="preserve">Currently, the adapted icebreaker reactor RITM-200 is being considered as a base </w:t>
      </w:r>
      <w:r w:rsidR="00A714ED" w:rsidRPr="009D1AE0">
        <w:rPr>
          <w:lang w:val="en-US"/>
        </w:rPr>
        <w:t xml:space="preserve">solution </w:t>
      </w:r>
      <w:r w:rsidR="00F53798" w:rsidRPr="009D1AE0">
        <w:rPr>
          <w:lang w:val="en-US"/>
        </w:rPr>
        <w:t xml:space="preserve">for </w:t>
      </w:r>
      <w:r w:rsidR="00A714ED" w:rsidRPr="009D1AE0">
        <w:rPr>
          <w:lang w:val="en-US"/>
        </w:rPr>
        <w:t>SMR power plants</w:t>
      </w:r>
      <w:r w:rsidR="00F53798" w:rsidRPr="009D1AE0">
        <w:rPr>
          <w:lang w:val="en-US"/>
        </w:rPr>
        <w:t>. The construction of a</w:t>
      </w:r>
      <w:r w:rsidR="004E5A26" w:rsidRPr="009D1AE0">
        <w:rPr>
          <w:lang w:val="en-US"/>
        </w:rPr>
        <w:t>n</w:t>
      </w:r>
      <w:r w:rsidR="00F53798" w:rsidRPr="009D1AE0">
        <w:rPr>
          <w:lang w:val="en-US"/>
        </w:rPr>
        <w:t xml:space="preserve"> </w:t>
      </w:r>
      <w:r w:rsidR="00A714ED" w:rsidRPr="009D1AE0">
        <w:rPr>
          <w:lang w:val="en-US"/>
        </w:rPr>
        <w:t>onshore</w:t>
      </w:r>
      <w:r w:rsidR="00F53798" w:rsidRPr="009D1AE0">
        <w:rPr>
          <w:lang w:val="en-US"/>
        </w:rPr>
        <w:t xml:space="preserve"> </w:t>
      </w:r>
      <w:r w:rsidR="00A714ED" w:rsidRPr="009D1AE0">
        <w:rPr>
          <w:lang w:val="en-US"/>
        </w:rPr>
        <w:t xml:space="preserve">SMR NPP </w:t>
      </w:r>
      <w:r w:rsidR="00F53798" w:rsidRPr="009D1AE0">
        <w:rPr>
          <w:lang w:val="en-US"/>
        </w:rPr>
        <w:t xml:space="preserve">with a 55 MW unit based on the RITM-200N reactor has begun. A typical floating power </w:t>
      </w:r>
      <w:r w:rsidR="00A714ED" w:rsidRPr="009D1AE0">
        <w:rPr>
          <w:lang w:val="en-US"/>
        </w:rPr>
        <w:t>module</w:t>
      </w:r>
      <w:r w:rsidR="00F53798" w:rsidRPr="009D1AE0">
        <w:rPr>
          <w:lang w:val="en-US"/>
        </w:rPr>
        <w:t xml:space="preserve"> with two RITM-200S reactors with a capacity of 110 MW has </w:t>
      </w:r>
      <w:r w:rsidR="00EF56C8" w:rsidRPr="009D1AE0">
        <w:rPr>
          <w:lang w:val="en-US"/>
        </w:rPr>
        <w:t xml:space="preserve">also </w:t>
      </w:r>
      <w:r w:rsidR="00F53798" w:rsidRPr="009D1AE0">
        <w:rPr>
          <w:lang w:val="en-US"/>
        </w:rPr>
        <w:t xml:space="preserve">been designed. Two of </w:t>
      </w:r>
      <w:r w:rsidR="00EF56C8" w:rsidRPr="009D1AE0">
        <w:rPr>
          <w:lang w:val="en-US"/>
        </w:rPr>
        <w:t>four</w:t>
      </w:r>
      <w:r w:rsidR="00F53798" w:rsidRPr="009D1AE0">
        <w:rPr>
          <w:lang w:val="en-US"/>
        </w:rPr>
        <w:t xml:space="preserve"> such power </w:t>
      </w:r>
      <w:r w:rsidR="00A714ED" w:rsidRPr="009D1AE0">
        <w:rPr>
          <w:lang w:val="en-US"/>
        </w:rPr>
        <w:t>modules</w:t>
      </w:r>
      <w:r w:rsidR="00F53798" w:rsidRPr="009D1AE0">
        <w:rPr>
          <w:lang w:val="en-US"/>
        </w:rPr>
        <w:t xml:space="preserve"> are under construction for new </w:t>
      </w:r>
      <w:r w:rsidR="00A714ED" w:rsidRPr="009D1AE0">
        <w:rPr>
          <w:lang w:val="en-US"/>
        </w:rPr>
        <w:t xml:space="preserve">mineral </w:t>
      </w:r>
      <w:r w:rsidR="00F53798" w:rsidRPr="009D1AE0">
        <w:rPr>
          <w:lang w:val="en-US"/>
        </w:rPr>
        <w:t>mining projects in the Arctic</w:t>
      </w:r>
      <w:r w:rsidR="00A714ED" w:rsidRPr="009D1AE0">
        <w:rPr>
          <w:lang w:val="en-US"/>
        </w:rPr>
        <w:t xml:space="preserve"> zone</w:t>
      </w:r>
      <w:r w:rsidR="00F53798" w:rsidRPr="009D1AE0">
        <w:rPr>
          <w:lang w:val="en-US"/>
        </w:rPr>
        <w:t xml:space="preserve">. For the power supply of large industrial nodes remote from the national power grid, </w:t>
      </w:r>
      <w:r w:rsidR="00A714ED" w:rsidRPr="009D1AE0">
        <w:rPr>
          <w:lang w:val="en-US"/>
        </w:rPr>
        <w:t>SMR NPP</w:t>
      </w:r>
      <w:r w:rsidR="00F53798" w:rsidRPr="009D1AE0">
        <w:rPr>
          <w:lang w:val="en-US"/>
        </w:rPr>
        <w:t xml:space="preserve"> with 80 MW units based on RITM-400 reactors are being considered. The peculiarity of the energy supply of settlements in these territories is the distribution of electrical and thermal loads and their relatively small values. This narrows the scope of mass application of </w:t>
      </w:r>
      <w:r w:rsidR="000E735F" w:rsidRPr="009D1AE0">
        <w:rPr>
          <w:lang w:val="en-US"/>
        </w:rPr>
        <w:t>SMR plants</w:t>
      </w:r>
      <w:r w:rsidR="00F53798" w:rsidRPr="009D1AE0">
        <w:rPr>
          <w:lang w:val="en-US"/>
        </w:rPr>
        <w:t xml:space="preserve"> with units of 50-100 MW, but makes it relevant to promote </w:t>
      </w:r>
      <w:r w:rsidR="000E735F" w:rsidRPr="009D1AE0">
        <w:rPr>
          <w:lang w:val="en-US"/>
        </w:rPr>
        <w:t xml:space="preserve">smaller </w:t>
      </w:r>
      <w:r w:rsidR="00F53798" w:rsidRPr="009D1AE0">
        <w:rPr>
          <w:lang w:val="en-US"/>
        </w:rPr>
        <w:t xml:space="preserve">units. Pilot projects </w:t>
      </w:r>
      <w:r w:rsidR="00CE151F" w:rsidRPr="009D1AE0">
        <w:rPr>
          <w:lang w:val="en-US"/>
        </w:rPr>
        <w:t>with</w:t>
      </w:r>
      <w:r w:rsidR="00F53798" w:rsidRPr="009D1AE0">
        <w:rPr>
          <w:lang w:val="en-US"/>
        </w:rPr>
        <w:t xml:space="preserve"> Shelf (10 MW) and Elena (200 kW) reactors have now been launched.</w:t>
      </w:r>
    </w:p>
    <w:p w14:paraId="28FBBA85" w14:textId="26585953" w:rsidR="00B14E08" w:rsidRPr="009D1AE0" w:rsidRDefault="00B14E08" w:rsidP="00537496">
      <w:pPr>
        <w:pStyle w:val="a1"/>
        <w:rPr>
          <w:lang w:val="en-US"/>
        </w:rPr>
      </w:pPr>
      <w:r w:rsidRPr="009D1AE0">
        <w:rPr>
          <w:lang w:val="en-US"/>
        </w:rPr>
        <w:t xml:space="preserve">In Russian conditions, taking into account the full cycle of own production of equipment, design and construction of </w:t>
      </w:r>
      <w:r w:rsidR="00C72272" w:rsidRPr="009D1AE0">
        <w:rPr>
          <w:lang w:val="en-US"/>
        </w:rPr>
        <w:t xml:space="preserve">nuclear </w:t>
      </w:r>
      <w:r w:rsidRPr="009D1AE0">
        <w:rPr>
          <w:lang w:val="en-US"/>
        </w:rPr>
        <w:t xml:space="preserve">power plants, the </w:t>
      </w:r>
      <w:r w:rsidR="00B54D3B" w:rsidRPr="009D1AE0">
        <w:rPr>
          <w:lang w:val="en-US"/>
        </w:rPr>
        <w:t>specific</w:t>
      </w:r>
      <w:r w:rsidRPr="009D1AE0">
        <w:rPr>
          <w:lang w:val="en-US"/>
        </w:rPr>
        <w:t xml:space="preserve"> </w:t>
      </w:r>
      <w:r w:rsidR="00B54D3B" w:rsidRPr="009D1AE0">
        <w:rPr>
          <w:lang w:val="en-US"/>
        </w:rPr>
        <w:t xml:space="preserve">capital </w:t>
      </w:r>
      <w:r w:rsidRPr="009D1AE0">
        <w:rPr>
          <w:lang w:val="en-US"/>
        </w:rPr>
        <w:t xml:space="preserve">cost of </w:t>
      </w:r>
      <w:r w:rsidR="00C72272" w:rsidRPr="009D1AE0">
        <w:rPr>
          <w:lang w:val="en-US"/>
        </w:rPr>
        <w:t>LR</w:t>
      </w:r>
      <w:r w:rsidRPr="009D1AE0">
        <w:rPr>
          <w:lang w:val="en-US"/>
        </w:rPr>
        <w:t xml:space="preserve"> NPP units turns out to be about 1.5-2 times lower than the global average. </w:t>
      </w:r>
      <w:r w:rsidR="00ED0BF5" w:rsidRPr="009D1AE0">
        <w:rPr>
          <w:lang w:val="en-US"/>
        </w:rPr>
        <w:t>T</w:t>
      </w:r>
      <w:r w:rsidRPr="009D1AE0">
        <w:rPr>
          <w:lang w:val="en-US"/>
        </w:rPr>
        <w:t xml:space="preserve">he </w:t>
      </w:r>
      <w:r w:rsidR="001B146E" w:rsidRPr="009D1AE0">
        <w:rPr>
          <w:lang w:val="en-US"/>
        </w:rPr>
        <w:t xml:space="preserve">national market </w:t>
      </w:r>
      <w:r w:rsidRPr="009D1AE0">
        <w:rPr>
          <w:lang w:val="en-US"/>
        </w:rPr>
        <w:t xml:space="preserve">regulator estimated </w:t>
      </w:r>
      <w:r w:rsidR="001B146E" w:rsidRPr="009D1AE0">
        <w:rPr>
          <w:lang w:val="en-US"/>
        </w:rPr>
        <w:t xml:space="preserve">their </w:t>
      </w:r>
      <w:r w:rsidR="006A4BBA" w:rsidRPr="009D1AE0">
        <w:rPr>
          <w:lang w:val="en-US"/>
        </w:rPr>
        <w:t xml:space="preserve">specific </w:t>
      </w:r>
      <w:r w:rsidR="001B146E" w:rsidRPr="009D1AE0">
        <w:rPr>
          <w:lang w:val="en-US"/>
        </w:rPr>
        <w:t>capital cost</w:t>
      </w:r>
      <w:r w:rsidRPr="009D1AE0">
        <w:rPr>
          <w:lang w:val="en-US"/>
        </w:rPr>
        <w:t xml:space="preserve"> </w:t>
      </w:r>
      <w:r w:rsidR="006A4BBA" w:rsidRPr="009D1AE0">
        <w:rPr>
          <w:lang w:val="en-US"/>
        </w:rPr>
        <w:t xml:space="preserve">(CAPEX) </w:t>
      </w:r>
      <w:r w:rsidRPr="009D1AE0">
        <w:rPr>
          <w:lang w:val="en-US"/>
        </w:rPr>
        <w:t xml:space="preserve">based on the cost of the first VVER-1200 units at 186 </w:t>
      </w:r>
      <w:r w:rsidR="001B146E" w:rsidRPr="009D1AE0">
        <w:rPr>
          <w:lang w:val="en-US"/>
        </w:rPr>
        <w:t>million</w:t>
      </w:r>
      <w:r w:rsidRPr="009D1AE0">
        <w:rPr>
          <w:lang w:val="en-US"/>
        </w:rPr>
        <w:t xml:space="preserve"> rubles/</w:t>
      </w:r>
      <w:r w:rsidR="001B146E" w:rsidRPr="009D1AE0">
        <w:rPr>
          <w:lang w:val="en-US"/>
        </w:rPr>
        <w:t>M</w:t>
      </w:r>
      <w:r w:rsidRPr="009D1AE0">
        <w:rPr>
          <w:lang w:val="en-US"/>
        </w:rPr>
        <w:t xml:space="preserve">W or about $2,700/kW (in 2021 prices). Technological </w:t>
      </w:r>
      <w:r w:rsidR="001B146E" w:rsidRPr="009D1AE0">
        <w:rPr>
          <w:lang w:val="en-US"/>
        </w:rPr>
        <w:t xml:space="preserve">learning </w:t>
      </w:r>
      <w:r w:rsidRPr="009D1AE0">
        <w:rPr>
          <w:lang w:val="en-US"/>
        </w:rPr>
        <w:t>can reduce these costs by another 10-15% (moreover, based on the historical analysis of the implementation of NPP development programs [</w:t>
      </w:r>
      <w:r w:rsidR="000C2C0B" w:rsidRPr="009D1AE0">
        <w:rPr>
          <w:lang w:val="en-US"/>
        </w:rPr>
        <w:t>5-8</w:t>
      </w:r>
      <w:r w:rsidRPr="009D1AE0">
        <w:rPr>
          <w:lang w:val="en-US"/>
        </w:rPr>
        <w:t xml:space="preserve">], this assessment is not the most optimistic). When designing </w:t>
      </w:r>
      <w:r w:rsidR="00CD219E" w:rsidRPr="009D1AE0">
        <w:rPr>
          <w:lang w:val="en-US"/>
        </w:rPr>
        <w:t xml:space="preserve">fast reactor </w:t>
      </w:r>
      <w:r w:rsidRPr="009D1AE0">
        <w:rPr>
          <w:lang w:val="en-US"/>
        </w:rPr>
        <w:t xml:space="preserve">units, the goal is to ensure that their </w:t>
      </w:r>
      <w:r w:rsidR="006A4BBA" w:rsidRPr="009D1AE0">
        <w:rPr>
          <w:lang w:val="en-US"/>
        </w:rPr>
        <w:t>CAPEX</w:t>
      </w:r>
      <w:r w:rsidR="00CD219E" w:rsidRPr="009D1AE0">
        <w:rPr>
          <w:lang w:val="en-US"/>
        </w:rPr>
        <w:t xml:space="preserve"> </w:t>
      </w:r>
      <w:r w:rsidRPr="009D1AE0">
        <w:rPr>
          <w:lang w:val="en-US"/>
        </w:rPr>
        <w:t xml:space="preserve">are comparable to VVER-1200 units. With such cost indicators, </w:t>
      </w:r>
      <w:r w:rsidR="00253CA6" w:rsidRPr="009D1AE0">
        <w:rPr>
          <w:lang w:val="en-US"/>
        </w:rPr>
        <w:t>LR NPP</w:t>
      </w:r>
      <w:r w:rsidRPr="009D1AE0">
        <w:rPr>
          <w:lang w:val="en-US"/>
        </w:rPr>
        <w:t xml:space="preserve"> turn out to be the cheapest carbon-free technology in comparison with new </w:t>
      </w:r>
      <w:r w:rsidR="00DE53D3" w:rsidRPr="009D1AE0">
        <w:rPr>
          <w:lang w:val="en-US"/>
        </w:rPr>
        <w:t xml:space="preserve">gas </w:t>
      </w:r>
      <w:r w:rsidRPr="009D1AE0">
        <w:rPr>
          <w:lang w:val="en-US"/>
        </w:rPr>
        <w:t xml:space="preserve">combined-cycle </w:t>
      </w:r>
      <w:r w:rsidR="006211CE" w:rsidRPr="009D1AE0">
        <w:rPr>
          <w:lang w:val="en-US"/>
        </w:rPr>
        <w:t xml:space="preserve">(CCGT) </w:t>
      </w:r>
      <w:r w:rsidRPr="009D1AE0">
        <w:rPr>
          <w:lang w:val="en-US"/>
        </w:rPr>
        <w:t xml:space="preserve">and even more so coal-fired units and a priority for solving the problem of </w:t>
      </w:r>
      <w:proofErr w:type="spellStart"/>
      <w:r w:rsidRPr="009D1AE0">
        <w:rPr>
          <w:lang w:val="en-US"/>
        </w:rPr>
        <w:t>decarbonization</w:t>
      </w:r>
      <w:proofErr w:type="spellEnd"/>
      <w:r w:rsidRPr="009D1AE0">
        <w:rPr>
          <w:lang w:val="en-US"/>
        </w:rPr>
        <w:t xml:space="preserve"> of electricity production (Fig. 1).</w:t>
      </w:r>
    </w:p>
    <w:p w14:paraId="5DE151E6" w14:textId="327FA2D9" w:rsidR="00226E77" w:rsidRPr="009D1AE0" w:rsidRDefault="00072E03" w:rsidP="00226E77">
      <w:pPr>
        <w:pStyle w:val="a1"/>
      </w:pPr>
      <w:r w:rsidRPr="009D1AE0">
        <w:rPr>
          <w:lang w:val="en-US"/>
        </w:rPr>
        <w:t>Due to the scale effect, SMR NPP will have noticeably higher CAPEX than LR NPP (when using the same type of technology, for example</w:t>
      </w:r>
      <w:r w:rsidR="007A04A8" w:rsidRPr="009D1AE0">
        <w:rPr>
          <w:lang w:val="en-US"/>
        </w:rPr>
        <w:t>,</w:t>
      </w:r>
      <w:r w:rsidRPr="009D1AE0">
        <w:rPr>
          <w:lang w:val="en-US"/>
        </w:rPr>
        <w:t xml:space="preserve"> PWR). If we apply the classical formula of a power-law increase in CAPEX as the unit capacity decreases [</w:t>
      </w:r>
      <w:r w:rsidR="000C2C0B" w:rsidRPr="009D1AE0">
        <w:rPr>
          <w:lang w:val="en-US"/>
        </w:rPr>
        <w:t>9</w:t>
      </w:r>
      <w:r w:rsidRPr="009D1AE0">
        <w:rPr>
          <w:lang w:val="en-US"/>
        </w:rPr>
        <w:t xml:space="preserve">], then for 100 MW units their level should be 3.5-5.5 times higher than that of the 1200 MW unit, and for 50 MW </w:t>
      </w:r>
      <w:proofErr w:type="gramStart"/>
      <w:r w:rsidRPr="009D1AE0">
        <w:rPr>
          <w:lang w:val="en-US"/>
        </w:rPr>
        <w:t>unit</w:t>
      </w:r>
      <w:proofErr w:type="gramEnd"/>
      <w:r w:rsidRPr="009D1AE0">
        <w:rPr>
          <w:lang w:val="en-US"/>
        </w:rPr>
        <w:t xml:space="preserve"> – 5-8 times. In recent years, the possibilities of mitigating this effect have been actively discussed and very broad estimates of the possible reduction in CAPEX for SMR due to the simultaneous action of several factors [</w:t>
      </w:r>
      <w:r w:rsidR="000C2C0B" w:rsidRPr="009D1AE0">
        <w:rPr>
          <w:lang w:val="en-US"/>
        </w:rPr>
        <w:t>6</w:t>
      </w:r>
      <w:r w:rsidRPr="009D1AE0">
        <w:rPr>
          <w:lang w:val="en-US"/>
        </w:rPr>
        <w:t xml:space="preserve">, </w:t>
      </w:r>
      <w:r w:rsidR="000C2C0B" w:rsidRPr="009D1AE0">
        <w:rPr>
          <w:lang w:val="en-US"/>
        </w:rPr>
        <w:t>10-12</w:t>
      </w:r>
      <w:r w:rsidRPr="009D1AE0">
        <w:rPr>
          <w:lang w:val="en-US"/>
        </w:rPr>
        <w:t xml:space="preserve">], including </w:t>
      </w:r>
      <w:r w:rsidRPr="009D1AE0">
        <w:t>modularity and high integrity of production, optimization and simplification of design, more intensive technological learning due to the mass serial production of equipment and in-line construction, optimization of regulatory procedures and requirements.</w:t>
      </w:r>
      <w:r w:rsidR="00226E77" w:rsidRPr="009D1AE0">
        <w:t xml:space="preserve"> The analysis showed that the cumulative effect of these factors can significantly reduce the capital cost gap between LR and SMR. But the </w:t>
      </w:r>
      <w:r w:rsidR="00226E77" w:rsidRPr="009D1AE0">
        <w:rPr>
          <w:lang w:val="en-US"/>
        </w:rPr>
        <w:t>CAPEX</w:t>
      </w:r>
      <w:r w:rsidR="00226E77" w:rsidRPr="009D1AE0">
        <w:t xml:space="preserve"> for 50 and 100 MW units will still remain 3.5 and 2.5 times higher than for 1200 MW units, respectively (for comparable conditions of a two-unit plant). An additional (up to 15-20%) reduction in </w:t>
      </w:r>
      <w:r w:rsidR="00226E77" w:rsidRPr="009D1AE0">
        <w:rPr>
          <w:lang w:val="en-US"/>
        </w:rPr>
        <w:t>CAPEX</w:t>
      </w:r>
      <w:r w:rsidR="00226E77" w:rsidRPr="009D1AE0">
        <w:t xml:space="preserve"> is achieved by placing a larger number of units (up to 8-12) on one site. </w:t>
      </w:r>
    </w:p>
    <w:p w14:paraId="582350D8" w14:textId="77777777" w:rsidR="00226E77" w:rsidRPr="009D1AE0" w:rsidRDefault="00226E77" w:rsidP="00537496">
      <w:pPr>
        <w:pStyle w:val="a1"/>
      </w:pPr>
    </w:p>
    <w:p w14:paraId="4E0B45C5" w14:textId="2FC19E15" w:rsidR="00BC4263" w:rsidRPr="009D1AE0" w:rsidRDefault="00BC4263" w:rsidP="00BC4263">
      <w:pPr>
        <w:pStyle w:val="a1"/>
        <w:spacing w:line="240" w:lineRule="auto"/>
        <w:ind w:firstLine="0"/>
        <w:rPr>
          <w:lang w:val="ru-RU"/>
        </w:rPr>
      </w:pPr>
      <w:r w:rsidRPr="009D1AE0">
        <w:rPr>
          <w:noProof/>
          <w:lang w:val="ru-RU" w:eastAsia="ru-RU"/>
        </w:rPr>
        <w:drawing>
          <wp:inline distT="0" distB="0" distL="0" distR="0" wp14:anchorId="56DB1DA9" wp14:editId="724837BF">
            <wp:extent cx="2789893" cy="3128416"/>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9D1AE0">
        <w:rPr>
          <w:noProof/>
          <w:lang w:val="ru-RU" w:eastAsia="ru-RU"/>
        </w:rPr>
        <w:drawing>
          <wp:inline distT="0" distB="0" distL="0" distR="0" wp14:anchorId="3CE9A3E6" wp14:editId="6E7BF954">
            <wp:extent cx="2789893" cy="2961099"/>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290199" w14:textId="5F608A11" w:rsidR="00BC4263" w:rsidRPr="00A3647B" w:rsidRDefault="00BC4263" w:rsidP="00BC4263">
      <w:pPr>
        <w:pStyle w:val="a1"/>
        <w:rPr>
          <w:lang w:val="ru-RU"/>
        </w:rPr>
      </w:pPr>
    </w:p>
    <w:p w14:paraId="3E490F26" w14:textId="0AEEB0D5" w:rsidR="00072E03" w:rsidRPr="009D1AE0" w:rsidRDefault="00506C48" w:rsidP="00072E03">
      <w:pPr>
        <w:pStyle w:val="a1"/>
      </w:pPr>
      <w:r w:rsidRPr="009D1AE0">
        <w:rPr>
          <w:noProof/>
          <w:lang w:val="ru-RU" w:eastAsia="ru-RU"/>
        </w:rPr>
        <mc:AlternateContent>
          <mc:Choice Requires="wps">
            <w:drawing>
              <wp:anchor distT="0" distB="0" distL="114300" distR="114300" simplePos="0" relativeHeight="251662336" behindDoc="0" locked="0" layoutInCell="1" allowOverlap="1" wp14:anchorId="13734AE6" wp14:editId="7EC05BB7">
                <wp:simplePos x="0" y="0"/>
                <wp:positionH relativeFrom="margin">
                  <wp:posOffset>228600</wp:posOffset>
                </wp:positionH>
                <wp:positionV relativeFrom="paragraph">
                  <wp:posOffset>-2540</wp:posOffset>
                </wp:positionV>
                <wp:extent cx="5501640" cy="635"/>
                <wp:effectExtent l="0" t="0" r="3810" b="6985"/>
                <wp:wrapTopAndBottom/>
                <wp:docPr id="5" name="Text Box 2"/>
                <wp:cNvGraphicFramePr/>
                <a:graphic xmlns:a="http://schemas.openxmlformats.org/drawingml/2006/main">
                  <a:graphicData uri="http://schemas.microsoft.com/office/word/2010/wordprocessingShape">
                    <wps:wsp>
                      <wps:cNvSpPr txBox="1"/>
                      <wps:spPr>
                        <a:xfrm>
                          <a:off x="0" y="0"/>
                          <a:ext cx="5501640" cy="635"/>
                        </a:xfrm>
                        <a:prstGeom prst="rect">
                          <a:avLst/>
                        </a:prstGeom>
                        <a:solidFill>
                          <a:prstClr val="white"/>
                        </a:solidFill>
                        <a:ln>
                          <a:noFill/>
                        </a:ln>
                        <a:effectLst/>
                      </wps:spPr>
                      <wps:txbx>
                        <w:txbxContent>
                          <w:p w14:paraId="5F635DA1" w14:textId="30C3EACE" w:rsidR="009A1E79" w:rsidRPr="00802381" w:rsidRDefault="009A1E79" w:rsidP="00BC4263">
                            <w:pPr>
                              <w:pStyle w:val="a7"/>
                              <w:rPr>
                                <w:i/>
                                <w:sz w:val="20"/>
                              </w:rPr>
                            </w:pPr>
                            <w:proofErr w:type="gramStart"/>
                            <w:r w:rsidRPr="00802381">
                              <w:rPr>
                                <w:i/>
                              </w:rPr>
                              <w:t>FIG.</w:t>
                            </w:r>
                            <w:proofErr w:type="gramEnd"/>
                            <w:r w:rsidRPr="00802381">
                              <w:rPr>
                                <w:i/>
                              </w:rPr>
                              <w:t xml:space="preserve"> </w:t>
                            </w:r>
                            <w:r w:rsidRPr="00802381">
                              <w:rPr>
                                <w:i/>
                              </w:rPr>
                              <w:fldChar w:fldCharType="begin"/>
                            </w:r>
                            <w:r w:rsidRPr="00802381">
                              <w:rPr>
                                <w:i/>
                              </w:rPr>
                              <w:instrText xml:space="preserve"> SEQ Figure \* ARABIC </w:instrText>
                            </w:r>
                            <w:r w:rsidRPr="00802381">
                              <w:rPr>
                                <w:i/>
                              </w:rPr>
                              <w:fldChar w:fldCharType="separate"/>
                            </w:r>
                            <w:r w:rsidR="008A2091">
                              <w:rPr>
                                <w:i/>
                                <w:noProof/>
                              </w:rPr>
                              <w:t>1</w:t>
                            </w:r>
                            <w:r w:rsidRPr="00802381">
                              <w:rPr>
                                <w:i/>
                              </w:rPr>
                              <w:fldChar w:fldCharType="end"/>
                            </w:r>
                            <w:r>
                              <w:rPr>
                                <w:i/>
                              </w:rPr>
                              <w:t xml:space="preserve">. </w:t>
                            </w:r>
                            <w:r w:rsidRPr="00BC4263">
                              <w:rPr>
                                <w:i/>
                              </w:rPr>
                              <w:t>Annual impact of low- and non-carbon technologies on reducing of СО</w:t>
                            </w:r>
                            <w:r w:rsidRPr="00BC4263">
                              <w:rPr>
                                <w:i/>
                                <w:vertAlign w:val="subscript"/>
                              </w:rPr>
                              <w:t>2</w:t>
                            </w:r>
                            <w:r w:rsidRPr="00BC4263">
                              <w:rPr>
                                <w:i/>
                              </w:rPr>
                              <w:t xml:space="preserve"> emissions from thermal plants (a), per 1 GW and changes in LCOE from 2025 to 2040 due to technological factors and discount rate (b), USD 2023Y/</w:t>
                            </w:r>
                            <w:proofErr w:type="spellStart"/>
                            <w:r w:rsidRPr="00BC4263">
                              <w:rPr>
                                <w:i/>
                              </w:rPr>
                              <w:t>MWh</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2pt;width:433.2pt;height:.0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" stroked="f">
                <v:textbox style="mso-fit-shape-to-text:t" inset="0,0,0,0">
                  <w:txbxContent>
                    <w:p w14:paraId="5F635DA1" w14:textId="30C3EACE" w:rsidR="009A1E79" w:rsidRPr="00802381" w:rsidRDefault="009A1E79" w:rsidP="00BC4263">
                      <w:pPr>
                        <w:pStyle w:val="a7"/>
                        <w:rPr>
                          <w:i/>
                          <w:sz w:val="20"/>
                        </w:rPr>
                      </w:pPr>
                      <w:proofErr w:type="gramStart"/>
                      <w:r w:rsidRPr="00802381">
                        <w:rPr>
                          <w:i/>
                        </w:rPr>
                        <w:t>FIG.</w:t>
                      </w:r>
                      <w:proofErr w:type="gramEnd"/>
                      <w:r w:rsidRPr="00802381">
                        <w:rPr>
                          <w:i/>
                        </w:rPr>
                        <w:t xml:space="preserve"> </w:t>
                      </w:r>
                      <w:r w:rsidRPr="00802381">
                        <w:rPr>
                          <w:i/>
                        </w:rPr>
                        <w:fldChar w:fldCharType="begin"/>
                      </w:r>
                      <w:r w:rsidRPr="00802381">
                        <w:rPr>
                          <w:i/>
                        </w:rPr>
                        <w:instrText xml:space="preserve"> SEQ Figure \* ARABIC </w:instrText>
                      </w:r>
                      <w:r w:rsidRPr="00802381">
                        <w:rPr>
                          <w:i/>
                        </w:rPr>
                        <w:fldChar w:fldCharType="separate"/>
                      </w:r>
                      <w:r w:rsidR="008A2091">
                        <w:rPr>
                          <w:i/>
                          <w:noProof/>
                        </w:rPr>
                        <w:t>1</w:t>
                      </w:r>
                      <w:r w:rsidRPr="00802381">
                        <w:rPr>
                          <w:i/>
                        </w:rPr>
                        <w:fldChar w:fldCharType="end"/>
                      </w:r>
                      <w:r>
                        <w:rPr>
                          <w:i/>
                        </w:rPr>
                        <w:t xml:space="preserve">. </w:t>
                      </w:r>
                      <w:r w:rsidRPr="00BC4263">
                        <w:rPr>
                          <w:i/>
                        </w:rPr>
                        <w:t>Annual impact of low- and non-carbon technologies on reducing of СО</w:t>
                      </w:r>
                      <w:r w:rsidRPr="00BC4263">
                        <w:rPr>
                          <w:i/>
                          <w:vertAlign w:val="subscript"/>
                        </w:rPr>
                        <w:t>2</w:t>
                      </w:r>
                      <w:r w:rsidRPr="00BC4263">
                        <w:rPr>
                          <w:i/>
                        </w:rPr>
                        <w:t xml:space="preserve"> emissions from thermal plants (a), per 1 GW and changes in LCOE from 2025 to 2040 due to technological factors and discount rate (b), USD 2023Y/</w:t>
                      </w:r>
                      <w:proofErr w:type="spellStart"/>
                      <w:r w:rsidRPr="00BC4263">
                        <w:rPr>
                          <w:i/>
                        </w:rPr>
                        <w:t>MWh</w:t>
                      </w:r>
                      <w:proofErr w:type="spellEnd"/>
                    </w:p>
                  </w:txbxContent>
                </v:textbox>
                <w10:wrap type="topAndBottom" anchorx="margin"/>
              </v:shape>
            </w:pict>
          </mc:Fallback>
        </mc:AlternateContent>
      </w:r>
      <w:r w:rsidR="00072E03" w:rsidRPr="009D1AE0">
        <w:t xml:space="preserve">Such a solution makes it possible to create a plant with a capacity of 400-600 MW on the basis of RITM reactors. It is comparable to the capacity of VVER-600 units, which are planned to be built in the peripheral zones of the UPS of Russia. The uncertainty in the increase in the </w:t>
      </w:r>
      <w:r w:rsidR="00072E03" w:rsidRPr="009D1AE0">
        <w:rPr>
          <w:lang w:val="en-US"/>
        </w:rPr>
        <w:t>CAPEX</w:t>
      </w:r>
      <w:r w:rsidR="00072E03" w:rsidRPr="009D1AE0">
        <w:t xml:space="preserve"> of VVER units with a change in unit capacity from 1200 to 600 MW creates a potential opportunity to choose alternative solutions based on multi-unit SM</w:t>
      </w:r>
      <w:r w:rsidR="00A600C3" w:rsidRPr="009D1AE0">
        <w:t>R</w:t>
      </w:r>
      <w:r w:rsidR="00072E03" w:rsidRPr="009D1AE0">
        <w:t xml:space="preserve"> plant</w:t>
      </w:r>
      <w:r w:rsidR="00226E77" w:rsidRPr="009D1AE0">
        <w:t xml:space="preserve"> (Fig.2)</w:t>
      </w:r>
      <w:r w:rsidR="00072E03" w:rsidRPr="009D1AE0">
        <w:t xml:space="preserve">. Even if the capital costs in this case turn out to be higher, system effects </w:t>
      </w:r>
      <w:r w:rsidR="005D4E28" w:rsidRPr="009D1AE0">
        <w:t>can</w:t>
      </w:r>
      <w:r w:rsidR="00072E03" w:rsidRPr="009D1AE0">
        <w:t xml:space="preserve"> play an important role, including lower power reserve requirements, as well as </w:t>
      </w:r>
      <w:r w:rsidR="005D4E28" w:rsidRPr="009D1AE0">
        <w:t>easier</w:t>
      </w:r>
      <w:r w:rsidR="00072E03" w:rsidRPr="009D1AE0">
        <w:t xml:space="preserve"> adaptation of the power system and grid to a more uniform capacity increase, adapted to demand growth. However, the </w:t>
      </w:r>
      <w:r w:rsidR="00DE53D3" w:rsidRPr="009D1AE0">
        <w:t xml:space="preserve">potential </w:t>
      </w:r>
      <w:r w:rsidR="00DE53D3" w:rsidRPr="009D1AE0">
        <w:rPr>
          <w:lang w:val="en-US"/>
        </w:rPr>
        <w:t>amount</w:t>
      </w:r>
      <w:r w:rsidR="00072E03" w:rsidRPr="009D1AE0">
        <w:t xml:space="preserve"> of such projects for multi-unit SMR NPP is quite limited.</w:t>
      </w:r>
    </w:p>
    <w:p w14:paraId="4FD6209F" w14:textId="64AE5731" w:rsidR="00D90D4C" w:rsidRPr="009D1AE0" w:rsidRDefault="00D90D4C" w:rsidP="006A4BBA">
      <w:pPr>
        <w:pStyle w:val="a1"/>
      </w:pPr>
    </w:p>
    <w:p w14:paraId="4ED14953" w14:textId="534F9C3A" w:rsidR="00897CE0" w:rsidRPr="009D1AE0" w:rsidRDefault="00897CE0" w:rsidP="00897CE0">
      <w:pPr>
        <w:pStyle w:val="a1"/>
        <w:ind w:firstLine="0"/>
        <w:rPr>
          <w:lang w:val="en-US"/>
        </w:rPr>
      </w:pPr>
      <w:r w:rsidRPr="009D1AE0">
        <w:rPr>
          <w:noProof/>
          <w:lang w:val="ru-RU" w:eastAsia="ru-RU"/>
        </w:rPr>
        <mc:AlternateContent>
          <mc:Choice Requires="wps">
            <w:drawing>
              <wp:anchor distT="0" distB="0" distL="114300" distR="114300" simplePos="0" relativeHeight="251664384" behindDoc="0" locked="0" layoutInCell="1" allowOverlap="1" wp14:anchorId="781914E3" wp14:editId="15F4CB48">
                <wp:simplePos x="0" y="0"/>
                <wp:positionH relativeFrom="margin">
                  <wp:posOffset>0</wp:posOffset>
                </wp:positionH>
                <wp:positionV relativeFrom="paragraph">
                  <wp:posOffset>2124075</wp:posOffset>
                </wp:positionV>
                <wp:extent cx="5730240" cy="635"/>
                <wp:effectExtent l="0" t="0" r="3810" b="5080"/>
                <wp:wrapTopAndBottom/>
                <wp:docPr id="7" name="Text Box 2"/>
                <wp:cNvGraphicFramePr/>
                <a:graphic xmlns:a="http://schemas.openxmlformats.org/drawingml/2006/main">
                  <a:graphicData uri="http://schemas.microsoft.com/office/word/2010/wordprocessingShape">
                    <wps:wsp>
                      <wps:cNvSpPr txBox="1"/>
                      <wps:spPr>
                        <a:xfrm>
                          <a:off x="0" y="0"/>
                          <a:ext cx="5730240" cy="635"/>
                        </a:xfrm>
                        <a:prstGeom prst="rect">
                          <a:avLst/>
                        </a:prstGeom>
                        <a:solidFill>
                          <a:prstClr val="white"/>
                        </a:solidFill>
                        <a:ln>
                          <a:noFill/>
                        </a:ln>
                        <a:effectLst/>
                      </wps:spPr>
                      <wps:txbx>
                        <w:txbxContent>
                          <w:p w14:paraId="6C2B4AFA" w14:textId="7EDE79E8" w:rsidR="009A1E79" w:rsidRPr="00D83C32" w:rsidRDefault="009A1E79" w:rsidP="00476FE5">
                            <w:pPr>
                              <w:pStyle w:val="a7"/>
                              <w:jc w:val="center"/>
                              <w:rPr>
                                <w:i/>
                                <w:sz w:val="20"/>
                              </w:rPr>
                            </w:pPr>
                            <w:proofErr w:type="gramStart"/>
                            <w:r w:rsidRPr="00802381">
                              <w:rPr>
                                <w:i/>
                              </w:rPr>
                              <w:t xml:space="preserve">FIG. </w:t>
                            </w:r>
                            <w:r w:rsidRPr="00D83C32">
                              <w:rPr>
                                <w:i/>
                              </w:rPr>
                              <w:t>2</w:t>
                            </w:r>
                            <w:r>
                              <w:rPr>
                                <w:i/>
                              </w:rPr>
                              <w:t>.</w:t>
                            </w:r>
                            <w:proofErr w:type="gramEnd"/>
                            <w:r>
                              <w:rPr>
                                <w:i/>
                              </w:rPr>
                              <w:t xml:space="preserve"> Difference in the CAPEX of LR NPP and SMR and an impact of multiunit effect, times to 1200 MW unit CAPEX</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167.25pt;width:451.2pt;height:.0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" stroked="f">
                <v:textbox style="mso-fit-shape-to-text:t" inset="0,0,0,0">
                  <w:txbxContent>
                    <w:p w14:paraId="6C2B4AFA" w14:textId="7EDE79E8" w:rsidR="009A1E79" w:rsidRPr="00D83C32" w:rsidRDefault="009A1E79" w:rsidP="00476FE5">
                      <w:pPr>
                        <w:pStyle w:val="a7"/>
                        <w:jc w:val="center"/>
                        <w:rPr>
                          <w:i/>
                          <w:sz w:val="20"/>
                        </w:rPr>
                      </w:pPr>
                      <w:bookmarkStart w:id="1" w:name="_GoBack"/>
                      <w:proofErr w:type="gramStart"/>
                      <w:r w:rsidRPr="00802381">
                        <w:rPr>
                          <w:i/>
                        </w:rPr>
                        <w:t xml:space="preserve">FIG. </w:t>
                      </w:r>
                      <w:r w:rsidRPr="00D83C32">
                        <w:rPr>
                          <w:i/>
                        </w:rPr>
                        <w:t>2</w:t>
                      </w:r>
                      <w:r>
                        <w:rPr>
                          <w:i/>
                        </w:rPr>
                        <w:t>.</w:t>
                      </w:r>
                      <w:proofErr w:type="gramEnd"/>
                      <w:r>
                        <w:rPr>
                          <w:i/>
                        </w:rPr>
                        <w:t xml:space="preserve"> Difference in the CAPEX of LR NPP and SMR and an impact of multiunit effect, times to 1200 MW unit CAPEX</w:t>
                      </w:r>
                      <w:bookmarkEnd w:id="1"/>
                    </w:p>
                  </w:txbxContent>
                </v:textbox>
                <w10:wrap type="topAndBottom" anchorx="margin"/>
              </v:shape>
            </w:pict>
          </mc:Fallback>
        </mc:AlternateContent>
      </w:r>
      <w:r w:rsidRPr="009D1AE0">
        <w:rPr>
          <w:noProof/>
          <w:lang w:val="ru-RU" w:eastAsia="ru-RU"/>
        </w:rPr>
        <w:drawing>
          <wp:inline distT="0" distB="0" distL="0" distR="0" wp14:anchorId="4DF6E1F3" wp14:editId="7936090C">
            <wp:extent cx="5607023" cy="2120630"/>
            <wp:effectExtent l="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3C8E9B" w14:textId="7708F853" w:rsidR="00DA3B2F" w:rsidRPr="009D1AE0" w:rsidRDefault="00DA3B2F" w:rsidP="00537496">
      <w:pPr>
        <w:pStyle w:val="a1"/>
        <w:rPr>
          <w:lang w:val="en-US"/>
        </w:rPr>
      </w:pPr>
      <w:r w:rsidRPr="009D1AE0">
        <w:rPr>
          <w:lang w:val="en-US"/>
        </w:rPr>
        <w:t>Thus, in the U</w:t>
      </w:r>
      <w:r w:rsidR="00172971" w:rsidRPr="009D1AE0">
        <w:rPr>
          <w:lang w:val="en-US"/>
        </w:rPr>
        <w:t>P</w:t>
      </w:r>
      <w:r w:rsidRPr="009D1AE0">
        <w:rPr>
          <w:lang w:val="en-US"/>
        </w:rPr>
        <w:t xml:space="preserve">S of Russia, SMR </w:t>
      </w:r>
      <w:r w:rsidR="00172971" w:rsidRPr="009D1AE0">
        <w:rPr>
          <w:lang w:val="en-US"/>
        </w:rPr>
        <w:t xml:space="preserve">plants </w:t>
      </w:r>
      <w:r w:rsidRPr="009D1AE0">
        <w:rPr>
          <w:lang w:val="en-US"/>
        </w:rPr>
        <w:t xml:space="preserve">are generally economically inferior to </w:t>
      </w:r>
      <w:r w:rsidR="00172971" w:rsidRPr="009D1AE0">
        <w:rPr>
          <w:lang w:val="en-US"/>
        </w:rPr>
        <w:t>LR NPP</w:t>
      </w:r>
      <w:r w:rsidRPr="009D1AE0">
        <w:rPr>
          <w:lang w:val="en-US"/>
        </w:rPr>
        <w:t>s</w:t>
      </w:r>
      <w:r w:rsidR="00071A7C" w:rsidRPr="009D1AE0">
        <w:rPr>
          <w:lang w:val="en-US"/>
        </w:rPr>
        <w:t xml:space="preserve"> (Fig.1)</w:t>
      </w:r>
      <w:r w:rsidRPr="009D1AE0">
        <w:rPr>
          <w:lang w:val="en-US"/>
        </w:rPr>
        <w:t xml:space="preserve">. However, another major area of </w:t>
      </w:r>
      <w:r w:rsidR="00172971" w:rsidRPr="009D1AE0">
        <w:rPr>
          <w:lang w:val="en-US"/>
        </w:rPr>
        <w:t>SMR</w:t>
      </w:r>
      <w:r w:rsidRPr="009D1AE0">
        <w:rPr>
          <w:lang w:val="en-US"/>
        </w:rPr>
        <w:t xml:space="preserve"> application </w:t>
      </w:r>
      <w:r w:rsidR="005D4E28" w:rsidRPr="009D1AE0">
        <w:rPr>
          <w:lang w:val="en-US"/>
        </w:rPr>
        <w:t xml:space="preserve">could </w:t>
      </w:r>
      <w:r w:rsidRPr="009D1AE0">
        <w:rPr>
          <w:lang w:val="en-US"/>
        </w:rPr>
        <w:t xml:space="preserve">be </w:t>
      </w:r>
      <w:r w:rsidR="00172971" w:rsidRPr="009D1AE0">
        <w:rPr>
          <w:lang w:val="en-US"/>
        </w:rPr>
        <w:t>district heating</w:t>
      </w:r>
      <w:r w:rsidRPr="009D1AE0">
        <w:rPr>
          <w:lang w:val="en-US"/>
        </w:rPr>
        <w:t xml:space="preserve">, where, as noted above, </w:t>
      </w:r>
      <w:r w:rsidR="00172971" w:rsidRPr="009D1AE0">
        <w:rPr>
          <w:lang w:val="en-US"/>
        </w:rPr>
        <w:t xml:space="preserve">fossil </w:t>
      </w:r>
      <w:r w:rsidRPr="009D1AE0">
        <w:rPr>
          <w:lang w:val="en-US"/>
        </w:rPr>
        <w:t xml:space="preserve">fuels dominate. The transition to a low-carbon economy will inevitably affect this sector as well. In the </w:t>
      </w:r>
      <w:r w:rsidR="004F148C" w:rsidRPr="009D1AE0">
        <w:rPr>
          <w:lang w:val="en-US"/>
        </w:rPr>
        <w:t xml:space="preserve">district </w:t>
      </w:r>
      <w:r w:rsidRPr="009D1AE0">
        <w:rPr>
          <w:lang w:val="en-US"/>
        </w:rPr>
        <w:t xml:space="preserve">heat supply, the technological possibilities of replacing </w:t>
      </w:r>
      <w:r w:rsidR="004F148C" w:rsidRPr="009D1AE0">
        <w:rPr>
          <w:lang w:val="en-US"/>
        </w:rPr>
        <w:t>fossil</w:t>
      </w:r>
      <w:r w:rsidRPr="009D1AE0">
        <w:rPr>
          <w:lang w:val="en-US"/>
        </w:rPr>
        <w:t xml:space="preserve"> fuels with carbon-free sources are more limited than in the production of electricity. Electric boilers can replace gas and coal boilers. Combined power and heat generation at gas and coal-fired </w:t>
      </w:r>
      <w:r w:rsidR="004F148C" w:rsidRPr="009D1AE0">
        <w:rPr>
          <w:lang w:val="en-US"/>
        </w:rPr>
        <w:t>CHPs</w:t>
      </w:r>
      <w:r w:rsidRPr="009D1AE0">
        <w:rPr>
          <w:lang w:val="en-US"/>
        </w:rPr>
        <w:t xml:space="preserve"> can be replaced by nuclear </w:t>
      </w:r>
      <w:r w:rsidR="004F148C" w:rsidRPr="009D1AE0">
        <w:rPr>
          <w:lang w:val="en-US"/>
        </w:rPr>
        <w:t>CHPs (NCHP)</w:t>
      </w:r>
      <w:r w:rsidRPr="009D1AE0">
        <w:rPr>
          <w:lang w:val="en-US"/>
        </w:rPr>
        <w:t xml:space="preserve"> or a combination of</w:t>
      </w:r>
      <w:r w:rsidR="0040491A" w:rsidRPr="009D1AE0">
        <w:rPr>
          <w:lang w:val="en-US"/>
        </w:rPr>
        <w:t xml:space="preserve"> an</w:t>
      </w:r>
      <w:r w:rsidRPr="009D1AE0">
        <w:rPr>
          <w:lang w:val="en-US"/>
        </w:rPr>
        <w:t xml:space="preserve"> electric </w:t>
      </w:r>
      <w:r w:rsidRPr="009D1AE0">
        <w:rPr>
          <w:lang w:val="en-US"/>
        </w:rPr>
        <w:lastRenderedPageBreak/>
        <w:t xml:space="preserve">boiler and </w:t>
      </w:r>
      <w:r w:rsidR="004F148C" w:rsidRPr="009D1AE0">
        <w:rPr>
          <w:lang w:val="en-US"/>
        </w:rPr>
        <w:t>LR</w:t>
      </w:r>
      <w:r w:rsidRPr="009D1AE0">
        <w:rPr>
          <w:lang w:val="en-US"/>
        </w:rPr>
        <w:t xml:space="preserve"> </w:t>
      </w:r>
      <w:r w:rsidR="004F148C" w:rsidRPr="009D1AE0">
        <w:rPr>
          <w:lang w:val="en-US"/>
        </w:rPr>
        <w:t>NPP</w:t>
      </w:r>
      <w:r w:rsidRPr="009D1AE0">
        <w:rPr>
          <w:lang w:val="en-US"/>
        </w:rPr>
        <w:t xml:space="preserve">. Thus, the area of competition between small and large </w:t>
      </w:r>
      <w:r w:rsidR="004F148C" w:rsidRPr="009D1AE0">
        <w:rPr>
          <w:lang w:val="en-US"/>
        </w:rPr>
        <w:t>nuclear reactors</w:t>
      </w:r>
      <w:r w:rsidRPr="009D1AE0">
        <w:rPr>
          <w:lang w:val="en-US"/>
        </w:rPr>
        <w:t xml:space="preserve"> remains here, but the conditions of this competition are significantly different. Let's look at them in more detail.</w:t>
      </w:r>
    </w:p>
    <w:p w14:paraId="1B297C48" w14:textId="0B20401D" w:rsidR="00EE0041" w:rsidRPr="009D1AE0" w:rsidRDefault="006535E1" w:rsidP="006535E1">
      <w:pPr>
        <w:pStyle w:val="2"/>
        <w:numPr>
          <w:ilvl w:val="1"/>
          <w:numId w:val="10"/>
        </w:numPr>
      </w:pPr>
      <w:r w:rsidRPr="009D1AE0">
        <w:t>ECONOMIC COMPARISON OF SMR NPP TECHNOLOGIES AND ALTERNATIVE CARBON-FREE HEAT SUPPLY OPTIONS</w:t>
      </w:r>
    </w:p>
    <w:p w14:paraId="25B7C88A" w14:textId="44F65BE8" w:rsidR="00524955" w:rsidRPr="009D1AE0" w:rsidRDefault="00A25CB4" w:rsidP="00537496">
      <w:pPr>
        <w:pStyle w:val="a1"/>
      </w:pPr>
      <w:r w:rsidRPr="009D1AE0">
        <w:t xml:space="preserve">For an economic comparison of various district heating technologies, the indicator of the </w:t>
      </w:r>
      <w:proofErr w:type="spellStart"/>
      <w:r w:rsidRPr="009D1AE0">
        <w:t>levelized</w:t>
      </w:r>
      <w:proofErr w:type="spellEnd"/>
      <w:r w:rsidRPr="009D1AE0">
        <w:t xml:space="preserve"> cost of heat – LCOH [</w:t>
      </w:r>
      <w:r w:rsidR="000C2C0B" w:rsidRPr="009D1AE0">
        <w:t>13</w:t>
      </w:r>
      <w:r w:rsidR="00831CE8" w:rsidRPr="009D1AE0">
        <w:t>, 14</w:t>
      </w:r>
      <w:r w:rsidRPr="009D1AE0">
        <w:t xml:space="preserve">] can be used. Its structure is similar to the LCOE indicator for power plants, but the denominator takes into account the heat output from the source, not electricity. A certain methodological difficulty is </w:t>
      </w:r>
      <w:r w:rsidR="009002E5" w:rsidRPr="009D1AE0">
        <w:t>the comparison of</w:t>
      </w:r>
      <w:r w:rsidRPr="009D1AE0">
        <w:t xml:space="preserve"> CHP that simultaneously produce </w:t>
      </w:r>
      <w:r w:rsidR="00DE53D3" w:rsidRPr="009D1AE0">
        <w:t xml:space="preserve">both </w:t>
      </w:r>
      <w:r w:rsidRPr="009D1AE0">
        <w:t xml:space="preserve">electricity and heat. For these technologies, </w:t>
      </w:r>
      <w:r w:rsidR="00D90D4C" w:rsidRPr="009D1AE0">
        <w:t xml:space="preserve">LCOQ indicator </w:t>
      </w:r>
      <w:r w:rsidR="009002E5" w:rsidRPr="009D1AE0">
        <w:t>can</w:t>
      </w:r>
      <w:r w:rsidR="00D90D4C" w:rsidRPr="009D1AE0">
        <w:t xml:space="preserve"> be calculated, </w:t>
      </w:r>
      <w:r w:rsidR="009002E5" w:rsidRPr="009D1AE0">
        <w:t>in which the formula of</w:t>
      </w:r>
      <w:r w:rsidR="00D90D4C" w:rsidRPr="009D1AE0">
        <w:t xml:space="preserve"> </w:t>
      </w:r>
      <w:r w:rsidRPr="009D1AE0">
        <w:t xml:space="preserve">the </w:t>
      </w:r>
      <w:proofErr w:type="spellStart"/>
      <w:r w:rsidRPr="009D1AE0">
        <w:t>levelized</w:t>
      </w:r>
      <w:proofErr w:type="spellEnd"/>
      <w:r w:rsidRPr="009D1AE0">
        <w:t xml:space="preserve"> cost </w:t>
      </w:r>
      <w:r w:rsidR="00D90D4C" w:rsidRPr="009D1AE0">
        <w:t xml:space="preserve">is </w:t>
      </w:r>
      <w:r w:rsidRPr="009D1AE0">
        <w:t>modified so that the denominator takes into account the total useful energy output to consumers (both electric</w:t>
      </w:r>
      <w:r w:rsidR="00D90D4C" w:rsidRPr="009D1AE0">
        <w:t>ity</w:t>
      </w:r>
      <w:r w:rsidRPr="009D1AE0">
        <w:t xml:space="preserve"> and </w:t>
      </w:r>
      <w:r w:rsidR="00D90D4C" w:rsidRPr="009D1AE0">
        <w:t xml:space="preserve">heat, expressed in Joules or </w:t>
      </w:r>
      <w:proofErr w:type="spellStart"/>
      <w:r w:rsidR="00D90D4C" w:rsidRPr="009D1AE0">
        <w:t>MWh</w:t>
      </w:r>
      <w:proofErr w:type="spellEnd"/>
      <w:r w:rsidRPr="009D1AE0">
        <w:t>) [1</w:t>
      </w:r>
      <w:r w:rsidR="00831CE8" w:rsidRPr="009D1AE0">
        <w:t>5</w:t>
      </w:r>
      <w:r w:rsidR="00D90D4C" w:rsidRPr="009D1AE0">
        <w:t xml:space="preserve">]. </w:t>
      </w:r>
      <w:r w:rsidR="00803EFE" w:rsidRPr="009D1AE0">
        <w:t xml:space="preserve">An alternative to </w:t>
      </w:r>
      <w:r w:rsidR="005264A0" w:rsidRPr="009D1AE0">
        <w:t>CHP</w:t>
      </w:r>
      <w:r w:rsidR="00803EFE" w:rsidRPr="009D1AE0">
        <w:t xml:space="preserve"> is a </w:t>
      </w:r>
      <w:r w:rsidR="005264A0" w:rsidRPr="009D1AE0">
        <w:t>“</w:t>
      </w:r>
      <w:r w:rsidR="00B16055" w:rsidRPr="009D1AE0">
        <w:rPr>
          <w:lang w:val="en-US"/>
        </w:rPr>
        <w:t>join</w:t>
      </w:r>
      <w:r w:rsidR="00B16055" w:rsidRPr="009D1AE0">
        <w:t xml:space="preserve"> </w:t>
      </w:r>
      <w:r w:rsidR="00803EFE" w:rsidRPr="009D1AE0">
        <w:t>scheme</w:t>
      </w:r>
      <w:r w:rsidR="005264A0" w:rsidRPr="009D1AE0">
        <w:t>”</w:t>
      </w:r>
      <w:r w:rsidR="00D90D4C" w:rsidRPr="009D1AE0">
        <w:t xml:space="preserve"> of energy supply</w:t>
      </w:r>
      <w:r w:rsidR="00803EFE" w:rsidRPr="009D1AE0">
        <w:t xml:space="preserve">, which considers the supply of electricity from a single-product power plant (j) and </w:t>
      </w:r>
      <w:r w:rsidR="005264A0" w:rsidRPr="009D1AE0">
        <w:t>supply</w:t>
      </w:r>
      <w:r w:rsidR="00803EFE" w:rsidRPr="009D1AE0">
        <w:t xml:space="preserve"> of heat from a boiler house (k). In this case, a similar </w:t>
      </w:r>
      <w:r w:rsidR="00D90D4C" w:rsidRPr="009D1AE0">
        <w:t>LCOQ</w:t>
      </w:r>
      <w:r w:rsidR="00803EFE" w:rsidRPr="009D1AE0">
        <w:t xml:space="preserve"> indicator is determined</w:t>
      </w:r>
      <w:r w:rsidR="00D90D4C" w:rsidRPr="009D1AE0">
        <w:t xml:space="preserve">. </w:t>
      </w:r>
      <w:r w:rsidR="007724E1" w:rsidRPr="009D1AE0">
        <w:rPr>
          <w:lang w:val="en-US"/>
        </w:rPr>
        <w:t xml:space="preserve">Total cost of energy supplied in the numerator is defined by the volumes of electricity and heat </w:t>
      </w:r>
      <w:proofErr w:type="gramStart"/>
      <w:r w:rsidR="007724E1" w:rsidRPr="009D1AE0">
        <w:rPr>
          <w:lang w:val="en-US"/>
        </w:rPr>
        <w:t>supplied,</w:t>
      </w:r>
      <w:proofErr w:type="gramEnd"/>
      <w:r w:rsidR="007724E1" w:rsidRPr="009D1AE0">
        <w:rPr>
          <w:lang w:val="en-US"/>
        </w:rPr>
        <w:t xml:space="preserve"> </w:t>
      </w:r>
      <w:proofErr w:type="spellStart"/>
      <w:r w:rsidR="007724E1" w:rsidRPr="009D1AE0">
        <w:t>LCOE</w:t>
      </w:r>
      <w:r w:rsidR="007724E1" w:rsidRPr="009D1AE0">
        <w:rPr>
          <w:vertAlign w:val="subscript"/>
        </w:rPr>
        <w:t>j</w:t>
      </w:r>
      <w:proofErr w:type="spellEnd"/>
      <w:r w:rsidR="00803EFE" w:rsidRPr="009D1AE0">
        <w:t xml:space="preserve"> </w:t>
      </w:r>
      <w:r w:rsidR="007724E1" w:rsidRPr="009D1AE0">
        <w:t xml:space="preserve">of power plant and </w:t>
      </w:r>
      <w:proofErr w:type="spellStart"/>
      <w:r w:rsidR="00803EFE" w:rsidRPr="009D1AE0">
        <w:t>LCOH</w:t>
      </w:r>
      <w:r w:rsidR="00803EFE" w:rsidRPr="009D1AE0">
        <w:rPr>
          <w:vertAlign w:val="subscript"/>
        </w:rPr>
        <w:t>k</w:t>
      </w:r>
      <w:proofErr w:type="spellEnd"/>
      <w:r w:rsidR="00D90D4C" w:rsidRPr="009D1AE0">
        <w:t xml:space="preserve"> </w:t>
      </w:r>
      <w:r w:rsidR="007724E1" w:rsidRPr="009D1AE0">
        <w:t>of boiler</w:t>
      </w:r>
      <w:r w:rsidR="00B16055" w:rsidRPr="009D1AE0">
        <w:t xml:space="preserve"> house</w:t>
      </w:r>
      <w:r w:rsidR="007724E1" w:rsidRPr="009D1AE0">
        <w:t>.</w:t>
      </w:r>
    </w:p>
    <w:p w14:paraId="71DF6189" w14:textId="0138212D" w:rsidR="0081257D" w:rsidRPr="009D1AE0" w:rsidRDefault="00933B71" w:rsidP="00537496">
      <w:pPr>
        <w:pStyle w:val="a1"/>
      </w:pPr>
      <w:r w:rsidRPr="009D1AE0">
        <w:t xml:space="preserve">In this study, the analysis includes technologies of SMR </w:t>
      </w:r>
      <w:r w:rsidR="001418B4" w:rsidRPr="009D1AE0">
        <w:t>NCHP</w:t>
      </w:r>
      <w:r w:rsidRPr="009D1AE0">
        <w:t xml:space="preserve"> with 50 MW units, comparable power units of </w:t>
      </w:r>
      <w:r w:rsidR="0082132A" w:rsidRPr="009D1AE0">
        <w:rPr>
          <w:lang w:val="en-US"/>
        </w:rPr>
        <w:t xml:space="preserve">gas </w:t>
      </w:r>
      <w:r w:rsidRPr="009D1AE0">
        <w:t>CC</w:t>
      </w:r>
      <w:r w:rsidR="00B16055" w:rsidRPr="009D1AE0">
        <w:t>GT</w:t>
      </w:r>
      <w:r w:rsidRPr="009D1AE0">
        <w:t xml:space="preserve"> CHP and coal-fired CHP. In addition, a “</w:t>
      </w:r>
      <w:r w:rsidR="00B16055" w:rsidRPr="009D1AE0">
        <w:t xml:space="preserve">joint </w:t>
      </w:r>
      <w:r w:rsidRPr="009D1AE0">
        <w:t>scheme” is also being considered, where the heat source is an electric boiler, and the source of electricity (including for an electric boiler) is a LR NPP or a hydroelectric power plant. The cost of electricity for an electric boiler is determined by the LCOE of the nuclear or hydro power plant feeding it.</w:t>
      </w:r>
      <w:r w:rsidR="004E1E60" w:rsidRPr="009D1AE0">
        <w:t xml:space="preserve"> </w:t>
      </w:r>
      <w:r w:rsidR="00F27339" w:rsidRPr="009D1AE0">
        <w:t xml:space="preserve">The calculated LCOQ for nuclear and conventional CHP and heat supply technologies are shown in Fig.3. </w:t>
      </w:r>
      <w:r w:rsidR="007F757F" w:rsidRPr="007F757F">
        <w:t>Due to the page limitation the paper cannot provide a detailed description of the LCOQ formula and key input data. More information is available in [15] and [16]</w:t>
      </w:r>
      <w:r w:rsidR="007F757F">
        <w:t>.</w:t>
      </w:r>
    </w:p>
    <w:p w14:paraId="1E6B043F" w14:textId="10F79CB5" w:rsidR="0081257D" w:rsidRPr="009D1AE0" w:rsidRDefault="006F61BA" w:rsidP="006F61BA">
      <w:pPr>
        <w:pStyle w:val="a1"/>
        <w:rPr>
          <w:lang w:val="en-US"/>
        </w:rPr>
      </w:pPr>
      <w:r w:rsidRPr="009D1AE0">
        <w:rPr>
          <w:noProof/>
          <w:lang w:val="ru-RU" w:eastAsia="ru-RU"/>
        </w:rPr>
        <mc:AlternateContent>
          <mc:Choice Requires="wps">
            <w:drawing>
              <wp:anchor distT="0" distB="0" distL="114300" distR="114300" simplePos="0" relativeHeight="251666432" behindDoc="0" locked="0" layoutInCell="1" allowOverlap="1" wp14:anchorId="3F053A94" wp14:editId="387443F6">
                <wp:simplePos x="0" y="0"/>
                <wp:positionH relativeFrom="margin">
                  <wp:posOffset>202565</wp:posOffset>
                </wp:positionH>
                <wp:positionV relativeFrom="paragraph">
                  <wp:posOffset>2334260</wp:posOffset>
                </wp:positionV>
                <wp:extent cx="5501640" cy="635"/>
                <wp:effectExtent l="0" t="0" r="3810" b="5080"/>
                <wp:wrapTopAndBottom/>
                <wp:docPr id="9" name="Text Box 2"/>
                <wp:cNvGraphicFramePr/>
                <a:graphic xmlns:a="http://schemas.openxmlformats.org/drawingml/2006/main">
                  <a:graphicData uri="http://schemas.microsoft.com/office/word/2010/wordprocessingShape">
                    <wps:wsp>
                      <wps:cNvSpPr txBox="1"/>
                      <wps:spPr>
                        <a:xfrm>
                          <a:off x="0" y="0"/>
                          <a:ext cx="5501640" cy="635"/>
                        </a:xfrm>
                        <a:prstGeom prst="rect">
                          <a:avLst/>
                        </a:prstGeom>
                        <a:solidFill>
                          <a:prstClr val="white"/>
                        </a:solidFill>
                        <a:ln>
                          <a:noFill/>
                        </a:ln>
                        <a:effectLst/>
                      </wps:spPr>
                      <wps:txbx>
                        <w:txbxContent>
                          <w:p w14:paraId="261C8DD2" w14:textId="5D9AF3FA" w:rsidR="009A1E79" w:rsidRPr="00D83C32" w:rsidRDefault="009A1E79" w:rsidP="002E1A57">
                            <w:pPr>
                              <w:pStyle w:val="a7"/>
                              <w:jc w:val="center"/>
                              <w:rPr>
                                <w:i/>
                                <w:sz w:val="20"/>
                              </w:rPr>
                            </w:pPr>
                            <w:proofErr w:type="gramStart"/>
                            <w:r w:rsidRPr="00802381">
                              <w:rPr>
                                <w:i/>
                              </w:rPr>
                              <w:t xml:space="preserve">FIG. </w:t>
                            </w:r>
                            <w:r>
                              <w:rPr>
                                <w:i/>
                              </w:rPr>
                              <w:t>3.</w:t>
                            </w:r>
                            <w:proofErr w:type="gramEnd"/>
                            <w:r>
                              <w:rPr>
                                <w:i/>
                              </w:rPr>
                              <w:t xml:space="preserve"> </w:t>
                            </w:r>
                            <w:r w:rsidRPr="002E1A57">
                              <w:rPr>
                                <w:i/>
                              </w:rPr>
                              <w:t>Changes in LCOQ from 2025 to 2040 due to technological factors and discount rate (b), USD 2023Y/MJ</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_x0000_s1028" type="#_x0000_t202" style="position:absolute;left:0;text-align:left;margin-left:15.95pt;margin-top:183.8pt;width:433.2pt;height:.0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" stroked="f">
                <v:textbox style="mso-fit-shape-to-text:t" inset="0,0,0,0">
                  <w:txbxContent>
                    <w:p w14:paraId="261C8DD2" w14:textId="5D9AF3FA" w:rsidR="009A1E79" w:rsidRPr="00D83C32" w:rsidRDefault="009A1E79" w:rsidP="002E1A57">
                      <w:pPr>
                        <w:pStyle w:val="a7"/>
                        <w:jc w:val="center"/>
                        <w:rPr>
                          <w:i/>
                          <w:sz w:val="20"/>
                        </w:rPr>
                      </w:pPr>
                      <w:proofErr w:type="gramStart"/>
                      <w:r w:rsidRPr="00802381">
                        <w:rPr>
                          <w:i/>
                        </w:rPr>
                        <w:t xml:space="preserve">FIG. </w:t>
                      </w:r>
                      <w:r>
                        <w:rPr>
                          <w:i/>
                        </w:rPr>
                        <w:t>3.</w:t>
                      </w:r>
                      <w:proofErr w:type="gramEnd"/>
                      <w:r>
                        <w:rPr>
                          <w:i/>
                        </w:rPr>
                        <w:t xml:space="preserve"> </w:t>
                      </w:r>
                      <w:r w:rsidRPr="002E1A57">
                        <w:rPr>
                          <w:i/>
                        </w:rPr>
                        <w:t>Changes in LCOQ from 2025 to 2040 due to technological factors and discount rate (b), USD 2023Y/MJ</w:t>
                      </w:r>
                    </w:p>
                  </w:txbxContent>
                </v:textbox>
                <w10:wrap type="topAndBottom" anchorx="margin"/>
              </v:shape>
            </w:pict>
          </mc:Fallback>
        </mc:AlternateContent>
      </w:r>
      <w:r w:rsidRPr="009D1AE0">
        <w:rPr>
          <w:noProof/>
          <w:lang w:val="ru-RU" w:eastAsia="ru-RU"/>
        </w:rPr>
        <w:drawing>
          <wp:inline distT="0" distB="0" distL="0" distR="0" wp14:anchorId="5927777A" wp14:editId="3544D7BB">
            <wp:extent cx="4649821" cy="2330748"/>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BDDF61" w14:textId="77777777" w:rsidR="002E1A57" w:rsidRPr="009D1AE0" w:rsidRDefault="002E1A57" w:rsidP="00537496">
      <w:pPr>
        <w:pStyle w:val="a1"/>
        <w:rPr>
          <w:lang w:val="en-US"/>
        </w:rPr>
      </w:pPr>
    </w:p>
    <w:p w14:paraId="179F1B9E" w14:textId="067E4864" w:rsidR="004E1E60" w:rsidRPr="009D1AE0" w:rsidRDefault="004E1E60" w:rsidP="004E1E60">
      <w:pPr>
        <w:pStyle w:val="a1"/>
      </w:pPr>
      <w:r w:rsidRPr="009D1AE0">
        <w:t xml:space="preserve">By 2050, coal and gas-fired CHPs will be able to provide approximately twice the cost of electricity and heat supply than alternatives using nuclear energy. Reducing the discount </w:t>
      </w:r>
      <w:r w:rsidR="00C91BEA" w:rsidRPr="009D1AE0">
        <w:t xml:space="preserve">rate </w:t>
      </w:r>
      <w:r w:rsidRPr="009D1AE0">
        <w:t xml:space="preserve">will improve the situation to a certain extent, especially for a combination of electric boiler and LR NPP. The </w:t>
      </w:r>
      <w:r w:rsidR="006211CE" w:rsidRPr="009D1AE0">
        <w:t>LCOQ of</w:t>
      </w:r>
      <w:r w:rsidRPr="009D1AE0">
        <w:t xml:space="preserve"> </w:t>
      </w:r>
      <w:r w:rsidR="00F51740" w:rsidRPr="009D1AE0">
        <w:t xml:space="preserve">SMR </w:t>
      </w:r>
      <w:r w:rsidR="006211CE" w:rsidRPr="009D1AE0">
        <w:t>N</w:t>
      </w:r>
      <w:r w:rsidRPr="009D1AE0">
        <w:t>CHP will be 10-15% higher than from a combin</w:t>
      </w:r>
      <w:r w:rsidR="00831CE8" w:rsidRPr="009D1AE0">
        <w:t>ation of</w:t>
      </w:r>
      <w:r w:rsidRPr="009D1AE0">
        <w:t xml:space="preserve"> electric boiler and LR NPP. Thus, </w:t>
      </w:r>
      <w:r w:rsidR="001418B4" w:rsidRPr="009D1AE0">
        <w:t>N</w:t>
      </w:r>
      <w:r w:rsidRPr="009D1AE0">
        <w:t xml:space="preserve">CHP with 50 MW SMR can also lose </w:t>
      </w:r>
      <w:r w:rsidR="00C91BEA" w:rsidRPr="009D1AE0">
        <w:t xml:space="preserve">out in the </w:t>
      </w:r>
      <w:r w:rsidRPr="009D1AE0">
        <w:t xml:space="preserve">competition with large nuclear power plants in the heat supply. The transition to larger </w:t>
      </w:r>
      <w:r w:rsidR="006211CE" w:rsidRPr="009D1AE0">
        <w:t xml:space="preserve">SMR </w:t>
      </w:r>
      <w:r w:rsidRPr="009D1AE0">
        <w:t>units (with a capacity of 100 MW) aligns the competitive positions of NCHP and LR NPP with electric boilers in heat supply.</w:t>
      </w:r>
    </w:p>
    <w:p w14:paraId="482D0944" w14:textId="20EF230E" w:rsidR="0081257D" w:rsidRPr="009D1AE0" w:rsidRDefault="0081257D" w:rsidP="00537496">
      <w:pPr>
        <w:pStyle w:val="a1"/>
        <w:rPr>
          <w:lang w:val="en-US"/>
        </w:rPr>
      </w:pPr>
      <w:r w:rsidRPr="009D1AE0">
        <w:rPr>
          <w:lang w:val="en-US"/>
        </w:rPr>
        <w:t xml:space="preserve">However, the results obtained do not mean that the SMR </w:t>
      </w:r>
      <w:r w:rsidR="00B60427" w:rsidRPr="009D1AE0">
        <w:rPr>
          <w:lang w:val="en-US"/>
        </w:rPr>
        <w:t>N</w:t>
      </w:r>
      <w:r w:rsidRPr="009D1AE0">
        <w:rPr>
          <w:lang w:val="en-US"/>
        </w:rPr>
        <w:t xml:space="preserve">CHP will not appear in the power system during intensive </w:t>
      </w:r>
      <w:proofErr w:type="spellStart"/>
      <w:r w:rsidRPr="009D1AE0">
        <w:rPr>
          <w:lang w:val="en-US"/>
        </w:rPr>
        <w:t>decarbonization</w:t>
      </w:r>
      <w:proofErr w:type="spellEnd"/>
      <w:r w:rsidRPr="009D1AE0">
        <w:rPr>
          <w:lang w:val="en-US"/>
        </w:rPr>
        <w:t xml:space="preserve"> in district heating. A strong limitation for the scale of LR NPP development in the power system is the limit of sites for the placement of such large facilities. In Russian conditions, the </w:t>
      </w:r>
      <w:r w:rsidR="00B60427" w:rsidRPr="009D1AE0">
        <w:rPr>
          <w:lang w:val="en-US"/>
        </w:rPr>
        <w:t>investigated</w:t>
      </w:r>
      <w:r w:rsidRPr="009D1AE0">
        <w:rPr>
          <w:lang w:val="en-US"/>
        </w:rPr>
        <w:t xml:space="preserve"> potential sites </w:t>
      </w:r>
      <w:r w:rsidR="00B60427" w:rsidRPr="009D1AE0">
        <w:rPr>
          <w:lang w:val="en-US"/>
        </w:rPr>
        <w:t xml:space="preserve">allow </w:t>
      </w:r>
      <w:r w:rsidR="00544079" w:rsidRPr="009D1AE0">
        <w:rPr>
          <w:lang w:val="en-US"/>
        </w:rPr>
        <w:t>the construction of</w:t>
      </w:r>
      <w:r w:rsidR="00B60427" w:rsidRPr="009D1AE0">
        <w:rPr>
          <w:lang w:val="en-US"/>
        </w:rPr>
        <w:t xml:space="preserve"> </w:t>
      </w:r>
      <w:r w:rsidRPr="009D1AE0">
        <w:rPr>
          <w:lang w:val="en-US"/>
        </w:rPr>
        <w:t>about 100 GW</w:t>
      </w:r>
      <w:r w:rsidR="00B60427" w:rsidRPr="009D1AE0">
        <w:rPr>
          <w:lang w:val="en-US"/>
        </w:rPr>
        <w:t xml:space="preserve"> of NPPs</w:t>
      </w:r>
      <w:r w:rsidRPr="009D1AE0">
        <w:rPr>
          <w:lang w:val="en-US"/>
        </w:rPr>
        <w:t xml:space="preserve">. As will be shown below, with strong carbon regulation, all these sites need to be fully utilized to </w:t>
      </w:r>
      <w:r w:rsidR="00B60427" w:rsidRPr="009D1AE0">
        <w:rPr>
          <w:lang w:val="en-US"/>
        </w:rPr>
        <w:t>produce carbon-free</w:t>
      </w:r>
      <w:r w:rsidRPr="009D1AE0">
        <w:rPr>
          <w:lang w:val="en-US"/>
        </w:rPr>
        <w:t xml:space="preserve"> electricity. Under these conditions, </w:t>
      </w:r>
      <w:r w:rsidR="00B60427" w:rsidRPr="009D1AE0">
        <w:rPr>
          <w:lang w:val="en-US"/>
        </w:rPr>
        <w:t>NCHP</w:t>
      </w:r>
      <w:r w:rsidRPr="009D1AE0">
        <w:rPr>
          <w:lang w:val="en-US"/>
        </w:rPr>
        <w:t xml:space="preserve"> will be able to additional</w:t>
      </w:r>
      <w:r w:rsidR="00004B05" w:rsidRPr="009D1AE0">
        <w:rPr>
          <w:lang w:val="en-US"/>
        </w:rPr>
        <w:t>ly</w:t>
      </w:r>
      <w:r w:rsidRPr="009D1AE0">
        <w:rPr>
          <w:lang w:val="en-US"/>
        </w:rPr>
        <w:t xml:space="preserve"> substitut</w:t>
      </w:r>
      <w:r w:rsidR="00004B05" w:rsidRPr="009D1AE0">
        <w:rPr>
          <w:lang w:val="en-US"/>
        </w:rPr>
        <w:t>e</w:t>
      </w:r>
      <w:r w:rsidRPr="009D1AE0">
        <w:rPr>
          <w:lang w:val="en-US"/>
        </w:rPr>
        <w:t xml:space="preserve"> of </w:t>
      </w:r>
      <w:r w:rsidR="00B60427" w:rsidRPr="009D1AE0">
        <w:rPr>
          <w:lang w:val="en-US"/>
        </w:rPr>
        <w:t>fossil</w:t>
      </w:r>
      <w:r w:rsidRPr="009D1AE0">
        <w:rPr>
          <w:lang w:val="en-US"/>
        </w:rPr>
        <w:t xml:space="preserve"> fuels in the production of </w:t>
      </w:r>
      <w:r w:rsidR="00B60427" w:rsidRPr="009D1AE0">
        <w:rPr>
          <w:lang w:val="en-US"/>
        </w:rPr>
        <w:t xml:space="preserve">district </w:t>
      </w:r>
      <w:r w:rsidRPr="009D1AE0">
        <w:rPr>
          <w:lang w:val="en-US"/>
        </w:rPr>
        <w:t xml:space="preserve">heat (and, in part, electricity). The economic parameters of such a "switch" to nuclear sources can be estimated by calculating </w:t>
      </w:r>
      <w:r w:rsidRPr="009D1AE0">
        <w:rPr>
          <w:lang w:val="en-US"/>
        </w:rPr>
        <w:lastRenderedPageBreak/>
        <w:t>the carbon avoided cost level and thereby determining the CO</w:t>
      </w:r>
      <w:r w:rsidRPr="009D1AE0">
        <w:rPr>
          <w:vertAlign w:val="subscript"/>
          <w:lang w:val="en-US"/>
        </w:rPr>
        <w:t>2</w:t>
      </w:r>
      <w:r w:rsidRPr="009D1AE0">
        <w:rPr>
          <w:lang w:val="en-US"/>
        </w:rPr>
        <w:t xml:space="preserve"> price level at which the LCOQ of a </w:t>
      </w:r>
      <w:r w:rsidR="00377DFF" w:rsidRPr="009D1AE0">
        <w:rPr>
          <w:lang w:val="en-US"/>
        </w:rPr>
        <w:t>conventional</w:t>
      </w:r>
      <w:r w:rsidRPr="009D1AE0">
        <w:rPr>
          <w:lang w:val="en-US"/>
        </w:rPr>
        <w:t xml:space="preserve"> CHP plant will be equal to the LCOQ of an </w:t>
      </w:r>
      <w:r w:rsidR="00377DFF" w:rsidRPr="009D1AE0">
        <w:rPr>
          <w:lang w:val="en-US"/>
        </w:rPr>
        <w:t>NCHP</w:t>
      </w:r>
      <w:r w:rsidRPr="009D1AE0">
        <w:rPr>
          <w:lang w:val="en-US"/>
        </w:rPr>
        <w:t xml:space="preserve"> or a </w:t>
      </w:r>
      <w:r w:rsidR="00377DFF" w:rsidRPr="009D1AE0">
        <w:rPr>
          <w:lang w:val="en-US"/>
        </w:rPr>
        <w:t>“</w:t>
      </w:r>
      <w:r w:rsidR="00544079" w:rsidRPr="009D1AE0">
        <w:rPr>
          <w:lang w:val="en-US"/>
        </w:rPr>
        <w:t xml:space="preserve">joint </w:t>
      </w:r>
      <w:r w:rsidRPr="009D1AE0">
        <w:rPr>
          <w:lang w:val="en-US"/>
        </w:rPr>
        <w:t>scheme</w:t>
      </w:r>
      <w:r w:rsidR="00377DFF" w:rsidRPr="009D1AE0">
        <w:rPr>
          <w:lang w:val="en-US"/>
        </w:rPr>
        <w:t>”</w:t>
      </w:r>
      <w:r w:rsidRPr="009D1AE0">
        <w:rPr>
          <w:lang w:val="en-US"/>
        </w:rPr>
        <w:t xml:space="preserve"> with an electric boiler and </w:t>
      </w:r>
      <w:r w:rsidR="00377DFF" w:rsidRPr="009D1AE0">
        <w:rPr>
          <w:lang w:val="en-US"/>
        </w:rPr>
        <w:t>LR</w:t>
      </w:r>
      <w:r w:rsidRPr="009D1AE0">
        <w:rPr>
          <w:lang w:val="en-US"/>
        </w:rPr>
        <w:t xml:space="preserve"> NPP. </w:t>
      </w:r>
      <w:r w:rsidR="00782949" w:rsidRPr="009D1AE0">
        <w:rPr>
          <w:lang w:val="en-US"/>
        </w:rPr>
        <w:t>T</w:t>
      </w:r>
      <w:r w:rsidRPr="009D1AE0">
        <w:rPr>
          <w:lang w:val="en-US"/>
        </w:rPr>
        <w:t xml:space="preserve">he cost of such a switch to nuclear technologies will be different for gas and coal-fired thermal power plants due to their </w:t>
      </w:r>
      <w:proofErr w:type="spellStart"/>
      <w:r w:rsidR="00004B05" w:rsidRPr="009D1AE0">
        <w:rPr>
          <w:lang w:val="en-US"/>
        </w:rPr>
        <w:t>levelized</w:t>
      </w:r>
      <w:proofErr w:type="spellEnd"/>
      <w:r w:rsidR="00004B05" w:rsidRPr="009D1AE0">
        <w:rPr>
          <w:lang w:val="en-US"/>
        </w:rPr>
        <w:t xml:space="preserve"> costs</w:t>
      </w:r>
      <w:r w:rsidRPr="009D1AE0">
        <w:rPr>
          <w:lang w:val="en-US"/>
        </w:rPr>
        <w:t>, as well as specific CO</w:t>
      </w:r>
      <w:r w:rsidRPr="009D1AE0">
        <w:rPr>
          <w:vertAlign w:val="subscript"/>
          <w:lang w:val="en-US"/>
        </w:rPr>
        <w:t>2</w:t>
      </w:r>
      <w:r w:rsidRPr="009D1AE0">
        <w:rPr>
          <w:lang w:val="en-US"/>
        </w:rPr>
        <w:t xml:space="preserve"> emissions </w:t>
      </w:r>
      <w:r w:rsidR="00377DFF" w:rsidRPr="009D1AE0">
        <w:rPr>
          <w:lang w:val="en-US"/>
        </w:rPr>
        <w:t>[1</w:t>
      </w:r>
      <w:r w:rsidR="00831CE8" w:rsidRPr="009D1AE0">
        <w:rPr>
          <w:lang w:val="en-US"/>
        </w:rPr>
        <w:t>6</w:t>
      </w:r>
      <w:r w:rsidRPr="009D1AE0">
        <w:rPr>
          <w:lang w:val="en-US"/>
        </w:rPr>
        <w:t>].</w:t>
      </w:r>
    </w:p>
    <w:p w14:paraId="77BC208C" w14:textId="4CB4CA4C" w:rsidR="00B60427" w:rsidRPr="009D1AE0" w:rsidRDefault="00B858F4" w:rsidP="00537496">
      <w:pPr>
        <w:pStyle w:val="a1"/>
        <w:rPr>
          <w:lang w:val="en-US"/>
        </w:rPr>
      </w:pPr>
      <w:r w:rsidRPr="009D1AE0">
        <w:rPr>
          <w:lang w:val="en-US"/>
        </w:rPr>
        <w:t>Table 1 shows the CO</w:t>
      </w:r>
      <w:r w:rsidRPr="009D1AE0">
        <w:rPr>
          <w:vertAlign w:val="subscript"/>
          <w:lang w:val="en-US"/>
        </w:rPr>
        <w:t>2</w:t>
      </w:r>
      <w:r w:rsidRPr="009D1AE0">
        <w:rPr>
          <w:lang w:val="en-US"/>
        </w:rPr>
        <w:t xml:space="preserve"> price levels at which switching from gas and coal to nuclear technologies in heat supply becomes economically efficient. These values are quite high, especially for 2030. At the same time, the price of switching from </w:t>
      </w:r>
      <w:r w:rsidR="00B33034" w:rsidRPr="009D1AE0">
        <w:rPr>
          <w:lang w:val="en-US"/>
        </w:rPr>
        <w:t>gas</w:t>
      </w:r>
      <w:r w:rsidRPr="009D1AE0">
        <w:rPr>
          <w:lang w:val="en-US"/>
        </w:rPr>
        <w:t xml:space="preserve"> is about twice as high as from </w:t>
      </w:r>
      <w:r w:rsidR="00B33034" w:rsidRPr="009D1AE0">
        <w:rPr>
          <w:lang w:val="en-US"/>
        </w:rPr>
        <w:t>coal</w:t>
      </w:r>
      <w:r w:rsidRPr="009D1AE0">
        <w:rPr>
          <w:lang w:val="en-US"/>
        </w:rPr>
        <w:t>. This is primarily due to the higher specific CO</w:t>
      </w:r>
      <w:r w:rsidRPr="009D1AE0">
        <w:rPr>
          <w:vertAlign w:val="subscript"/>
          <w:lang w:val="en-US"/>
        </w:rPr>
        <w:t>2</w:t>
      </w:r>
      <w:r w:rsidRPr="009D1AE0">
        <w:rPr>
          <w:lang w:val="en-US"/>
        </w:rPr>
        <w:t xml:space="preserve"> emissions from coal-fired </w:t>
      </w:r>
      <w:r w:rsidR="00B33034" w:rsidRPr="009D1AE0">
        <w:rPr>
          <w:lang w:val="en-US"/>
        </w:rPr>
        <w:t>CHP</w:t>
      </w:r>
      <w:r w:rsidRPr="009D1AE0">
        <w:rPr>
          <w:lang w:val="en-US"/>
        </w:rPr>
        <w:t xml:space="preserve">, as well as the difference in LCOQ with </w:t>
      </w:r>
      <w:r w:rsidR="00B33034" w:rsidRPr="009D1AE0">
        <w:rPr>
          <w:lang w:val="en-US"/>
        </w:rPr>
        <w:t xml:space="preserve">coal and </w:t>
      </w:r>
      <w:r w:rsidRPr="009D1AE0">
        <w:rPr>
          <w:lang w:val="en-US"/>
        </w:rPr>
        <w:t xml:space="preserve">gas </w:t>
      </w:r>
      <w:r w:rsidR="00B33034" w:rsidRPr="009D1AE0">
        <w:rPr>
          <w:lang w:val="en-US"/>
        </w:rPr>
        <w:t>power plants</w:t>
      </w:r>
      <w:r w:rsidRPr="009D1AE0">
        <w:rPr>
          <w:lang w:val="en-US"/>
        </w:rPr>
        <w:t xml:space="preserve">. A lower discount </w:t>
      </w:r>
      <w:r w:rsidR="00B33034" w:rsidRPr="009D1AE0">
        <w:rPr>
          <w:lang w:val="en-US"/>
        </w:rPr>
        <w:t xml:space="preserve">rate </w:t>
      </w:r>
      <w:r w:rsidRPr="009D1AE0">
        <w:rPr>
          <w:lang w:val="en-US"/>
        </w:rPr>
        <w:t>(and a concomitant decrease in LCOQ) makes it possible to significantly reduce the price of CO</w:t>
      </w:r>
      <w:r w:rsidRPr="009D1AE0">
        <w:rPr>
          <w:vertAlign w:val="subscript"/>
          <w:lang w:val="en-US"/>
        </w:rPr>
        <w:t>2</w:t>
      </w:r>
      <w:r w:rsidRPr="009D1AE0">
        <w:rPr>
          <w:lang w:val="en-US"/>
        </w:rPr>
        <w:t xml:space="preserve"> for switching, especially from coal-fired </w:t>
      </w:r>
      <w:r w:rsidR="00B33034" w:rsidRPr="009D1AE0">
        <w:rPr>
          <w:lang w:val="en-US"/>
        </w:rPr>
        <w:t>CHP</w:t>
      </w:r>
      <w:r w:rsidRPr="009D1AE0">
        <w:rPr>
          <w:lang w:val="en-US"/>
        </w:rPr>
        <w:t xml:space="preserve">s. In general, the transition to carbon-free technologies in the production of district heat will require fairly strict carbon regulation, unlike switching to nuclear power in the electricity generation sector (Table 1). Even in 2030, the LCOE of a LR NPP is only 15% higher than that of a CCGT and lower than that of a coal-fired </w:t>
      </w:r>
      <w:r w:rsidR="00B33034" w:rsidRPr="009D1AE0">
        <w:rPr>
          <w:lang w:val="en-US"/>
        </w:rPr>
        <w:t>TPP</w:t>
      </w:r>
      <w:r w:rsidRPr="009D1AE0">
        <w:rPr>
          <w:lang w:val="en-US"/>
        </w:rPr>
        <w:t>. Therefore, the calculated values of carbon avoided cost show that the price of CO</w:t>
      </w:r>
      <w:r w:rsidRPr="009D1AE0">
        <w:rPr>
          <w:vertAlign w:val="subscript"/>
          <w:lang w:val="en-US"/>
        </w:rPr>
        <w:t>2</w:t>
      </w:r>
      <w:r w:rsidRPr="009D1AE0">
        <w:rPr>
          <w:lang w:val="en-US"/>
        </w:rPr>
        <w:t xml:space="preserve"> for switching from a CCGT to a LR NPP does not exceed $ 30/t CO</w:t>
      </w:r>
      <w:r w:rsidRPr="009D1AE0">
        <w:rPr>
          <w:vertAlign w:val="subscript"/>
          <w:lang w:val="en-US"/>
        </w:rPr>
        <w:t>2</w:t>
      </w:r>
      <w:r w:rsidRPr="009D1AE0">
        <w:rPr>
          <w:lang w:val="en-US"/>
        </w:rPr>
        <w:t xml:space="preserve">, and for switching from a coal-fired power plant it is </w:t>
      </w:r>
      <w:r w:rsidR="00782949" w:rsidRPr="009D1AE0">
        <w:rPr>
          <w:lang w:val="en-US"/>
        </w:rPr>
        <w:t xml:space="preserve">even </w:t>
      </w:r>
      <w:r w:rsidRPr="009D1AE0">
        <w:rPr>
          <w:lang w:val="en-US"/>
        </w:rPr>
        <w:t>negative (because the LCOE of a nuclear power plant is lower than that of a coal-fired TPP and the economic choice in favor of a</w:t>
      </w:r>
      <w:r w:rsidR="00B33034" w:rsidRPr="009D1AE0">
        <w:rPr>
          <w:lang w:val="en-US"/>
        </w:rPr>
        <w:t>n</w:t>
      </w:r>
      <w:r w:rsidRPr="009D1AE0">
        <w:rPr>
          <w:lang w:val="en-US"/>
        </w:rPr>
        <w:t xml:space="preserve"> </w:t>
      </w:r>
      <w:r w:rsidR="00B33034" w:rsidRPr="009D1AE0">
        <w:rPr>
          <w:lang w:val="en-US"/>
        </w:rPr>
        <w:t>NPP</w:t>
      </w:r>
      <w:r w:rsidRPr="009D1AE0">
        <w:rPr>
          <w:lang w:val="en-US"/>
        </w:rPr>
        <w:t xml:space="preserve"> does not require mandatory carbon regulation).</w:t>
      </w:r>
    </w:p>
    <w:p w14:paraId="66DD64FA" w14:textId="77777777" w:rsidR="008A3104" w:rsidRPr="009D1AE0" w:rsidRDefault="008A3104" w:rsidP="008A3104">
      <w:pPr>
        <w:pStyle w:val="a1"/>
        <w:ind w:firstLine="0"/>
      </w:pPr>
    </w:p>
    <w:p w14:paraId="4A0295E4" w14:textId="4EDC3C9A" w:rsidR="008A3104" w:rsidRPr="009D1AE0" w:rsidRDefault="008A3104" w:rsidP="008A3104">
      <w:pPr>
        <w:pStyle w:val="a1"/>
        <w:ind w:firstLine="0"/>
      </w:pPr>
      <w:proofErr w:type="gramStart"/>
      <w:r w:rsidRPr="009D1AE0">
        <w:t>TABLE 1.</w:t>
      </w:r>
      <w:proofErr w:type="gramEnd"/>
      <w:r w:rsidRPr="009D1AE0">
        <w:tab/>
        <w:t>CO</w:t>
      </w:r>
      <w:r w:rsidRPr="009D1AE0">
        <w:rPr>
          <w:vertAlign w:val="subscript"/>
        </w:rPr>
        <w:t>2</w:t>
      </w:r>
      <w:r w:rsidRPr="009D1AE0">
        <w:t xml:space="preserve"> PRICES (ESTIMATED AS CARBON AVOIDED COSTS) REQUIRED FOR SWITCHING TO THE NUCLEAR TECHNOLOGIES, INCL. CHP WITH SMR, $ 2023Y/T CO</w:t>
      </w:r>
      <w:r w:rsidRPr="009D1AE0">
        <w:rPr>
          <w:vertAlign w:val="subscript"/>
        </w:rPr>
        <w:t>2</w:t>
      </w:r>
    </w:p>
    <w:p w14:paraId="603D1CD3" w14:textId="77777777" w:rsidR="008A3104" w:rsidRPr="009D1AE0" w:rsidRDefault="008A3104" w:rsidP="008A3104">
      <w:pPr>
        <w:pStyle w:val="a1"/>
      </w:pPr>
    </w:p>
    <w:tbl>
      <w:tblPr>
        <w:tblStyle w:val="ae"/>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1560"/>
        <w:gridCol w:w="1490"/>
        <w:gridCol w:w="1491"/>
        <w:gridCol w:w="1491"/>
      </w:tblGrid>
      <w:tr w:rsidR="008A3104" w:rsidRPr="009D1AE0" w14:paraId="64A00112" w14:textId="77777777" w:rsidTr="00813EFD">
        <w:trPr>
          <w:jc w:val="center"/>
        </w:trPr>
        <w:tc>
          <w:tcPr>
            <w:tcW w:w="2676" w:type="dxa"/>
            <w:tcBorders>
              <w:top w:val="single" w:sz="4" w:space="0" w:color="auto"/>
              <w:bottom w:val="single" w:sz="4" w:space="0" w:color="auto"/>
            </w:tcBorders>
          </w:tcPr>
          <w:p w14:paraId="2387B20E" w14:textId="77777777" w:rsidR="008A3104" w:rsidRPr="009D1AE0" w:rsidRDefault="008A3104" w:rsidP="00532EED">
            <w:pPr>
              <w:pStyle w:val="a1"/>
              <w:ind w:firstLine="0"/>
            </w:pPr>
            <w:r w:rsidRPr="009D1AE0">
              <w:t>Nuclear technology</w:t>
            </w:r>
          </w:p>
        </w:tc>
        <w:tc>
          <w:tcPr>
            <w:tcW w:w="1560" w:type="dxa"/>
            <w:tcBorders>
              <w:top w:val="single" w:sz="4" w:space="0" w:color="auto"/>
              <w:bottom w:val="single" w:sz="4" w:space="0" w:color="auto"/>
            </w:tcBorders>
          </w:tcPr>
          <w:p w14:paraId="27C6900A" w14:textId="77777777" w:rsidR="008A3104" w:rsidRPr="009D1AE0" w:rsidRDefault="008A3104" w:rsidP="00532EED">
            <w:pPr>
              <w:pStyle w:val="a1"/>
              <w:ind w:firstLine="0"/>
              <w:jc w:val="center"/>
            </w:pPr>
            <w:r w:rsidRPr="009D1AE0">
              <w:t>Substituted conventional technology</w:t>
            </w:r>
          </w:p>
        </w:tc>
        <w:tc>
          <w:tcPr>
            <w:tcW w:w="1490" w:type="dxa"/>
            <w:tcBorders>
              <w:top w:val="single" w:sz="4" w:space="0" w:color="auto"/>
              <w:bottom w:val="single" w:sz="4" w:space="0" w:color="auto"/>
            </w:tcBorders>
          </w:tcPr>
          <w:p w14:paraId="07909804" w14:textId="77777777" w:rsidR="008A3104" w:rsidRPr="009D1AE0" w:rsidRDefault="008A3104" w:rsidP="00532EED">
            <w:pPr>
              <w:pStyle w:val="a1"/>
              <w:ind w:firstLine="0"/>
              <w:jc w:val="center"/>
            </w:pPr>
            <w:r w:rsidRPr="009D1AE0">
              <w:t>Required CO</w:t>
            </w:r>
            <w:r w:rsidRPr="009D1AE0">
              <w:rPr>
                <w:vertAlign w:val="subscript"/>
              </w:rPr>
              <w:t>2</w:t>
            </w:r>
            <w:r w:rsidRPr="009D1AE0">
              <w:t xml:space="preserve"> price in 2030, </w:t>
            </w:r>
          </w:p>
          <w:p w14:paraId="512496C3" w14:textId="77777777" w:rsidR="008A3104" w:rsidRPr="009D1AE0" w:rsidRDefault="008A3104" w:rsidP="00532EED">
            <w:pPr>
              <w:pStyle w:val="a1"/>
              <w:ind w:firstLine="0"/>
              <w:jc w:val="center"/>
            </w:pPr>
            <w:r w:rsidRPr="009D1AE0">
              <w:t>8% discount</w:t>
            </w:r>
          </w:p>
        </w:tc>
        <w:tc>
          <w:tcPr>
            <w:tcW w:w="1491" w:type="dxa"/>
            <w:tcBorders>
              <w:top w:val="single" w:sz="4" w:space="0" w:color="auto"/>
              <w:bottom w:val="single" w:sz="4" w:space="0" w:color="auto"/>
            </w:tcBorders>
          </w:tcPr>
          <w:p w14:paraId="03B8915B" w14:textId="77777777" w:rsidR="008A3104" w:rsidRPr="009D1AE0" w:rsidRDefault="008A3104" w:rsidP="00532EED">
            <w:pPr>
              <w:pStyle w:val="a1"/>
              <w:ind w:firstLine="0"/>
              <w:jc w:val="center"/>
            </w:pPr>
            <w:r w:rsidRPr="009D1AE0">
              <w:t>Required CO</w:t>
            </w:r>
            <w:r w:rsidRPr="009D1AE0">
              <w:rPr>
                <w:vertAlign w:val="subscript"/>
              </w:rPr>
              <w:t>2</w:t>
            </w:r>
            <w:r w:rsidRPr="009D1AE0">
              <w:t xml:space="preserve"> price in 2050, </w:t>
            </w:r>
          </w:p>
          <w:p w14:paraId="5AAD13B8" w14:textId="77777777" w:rsidR="008A3104" w:rsidRPr="009D1AE0" w:rsidRDefault="008A3104" w:rsidP="00532EED">
            <w:pPr>
              <w:pStyle w:val="a1"/>
              <w:ind w:firstLine="0"/>
              <w:jc w:val="center"/>
            </w:pPr>
            <w:r w:rsidRPr="009D1AE0">
              <w:t>8% discount</w:t>
            </w:r>
          </w:p>
        </w:tc>
        <w:tc>
          <w:tcPr>
            <w:tcW w:w="1491" w:type="dxa"/>
            <w:tcBorders>
              <w:top w:val="single" w:sz="4" w:space="0" w:color="auto"/>
              <w:bottom w:val="single" w:sz="4" w:space="0" w:color="auto"/>
            </w:tcBorders>
          </w:tcPr>
          <w:p w14:paraId="3CDA5482" w14:textId="77777777" w:rsidR="008A3104" w:rsidRPr="009D1AE0" w:rsidRDefault="008A3104" w:rsidP="00532EED">
            <w:pPr>
              <w:pStyle w:val="a1"/>
              <w:ind w:firstLine="0"/>
              <w:jc w:val="center"/>
            </w:pPr>
            <w:r w:rsidRPr="009D1AE0">
              <w:t>Required CO</w:t>
            </w:r>
            <w:r w:rsidRPr="009D1AE0">
              <w:rPr>
                <w:vertAlign w:val="subscript"/>
              </w:rPr>
              <w:t>2</w:t>
            </w:r>
            <w:r w:rsidRPr="009D1AE0">
              <w:t xml:space="preserve"> price in 2050, </w:t>
            </w:r>
          </w:p>
          <w:p w14:paraId="1EE8D0D3" w14:textId="77777777" w:rsidR="008A3104" w:rsidRPr="009D1AE0" w:rsidRDefault="008A3104" w:rsidP="00532EED">
            <w:pPr>
              <w:pStyle w:val="a1"/>
              <w:ind w:firstLine="0"/>
              <w:jc w:val="center"/>
            </w:pPr>
            <w:r w:rsidRPr="009D1AE0">
              <w:t>5% discount</w:t>
            </w:r>
          </w:p>
        </w:tc>
      </w:tr>
      <w:tr w:rsidR="008A3104" w:rsidRPr="009D1AE0" w14:paraId="3EC9ED42" w14:textId="77777777" w:rsidTr="00813EFD">
        <w:trPr>
          <w:jc w:val="center"/>
        </w:trPr>
        <w:tc>
          <w:tcPr>
            <w:tcW w:w="2676" w:type="dxa"/>
            <w:tcBorders>
              <w:top w:val="single" w:sz="4" w:space="0" w:color="auto"/>
            </w:tcBorders>
            <w:vAlign w:val="center"/>
          </w:tcPr>
          <w:p w14:paraId="6956083F" w14:textId="25CF70B1" w:rsidR="008A3104" w:rsidRPr="009D1AE0" w:rsidRDefault="008A3104" w:rsidP="00C073BD">
            <w:pPr>
              <w:pStyle w:val="a1"/>
              <w:ind w:firstLine="0"/>
              <w:jc w:val="left"/>
              <w:rPr>
                <w:lang w:val="en-US"/>
              </w:rPr>
            </w:pPr>
            <w:r w:rsidRPr="009D1AE0">
              <w:rPr>
                <w:rStyle w:val="TabletextChar"/>
              </w:rPr>
              <w:t xml:space="preserve">Nuclear </w:t>
            </w:r>
            <w:r w:rsidR="00C073BD" w:rsidRPr="009D1AE0">
              <w:rPr>
                <w:rStyle w:val="TabletextChar"/>
              </w:rPr>
              <w:t>(</w:t>
            </w:r>
            <w:r w:rsidRPr="009D1AE0">
              <w:rPr>
                <w:rStyle w:val="TabletextChar"/>
              </w:rPr>
              <w:t>SMR</w:t>
            </w:r>
            <w:r w:rsidR="00C073BD" w:rsidRPr="009D1AE0">
              <w:rPr>
                <w:rStyle w:val="TabletextChar"/>
              </w:rPr>
              <w:t>) CHP</w:t>
            </w:r>
          </w:p>
        </w:tc>
        <w:tc>
          <w:tcPr>
            <w:tcW w:w="1560" w:type="dxa"/>
            <w:tcBorders>
              <w:top w:val="single" w:sz="4" w:space="0" w:color="auto"/>
            </w:tcBorders>
            <w:vAlign w:val="center"/>
          </w:tcPr>
          <w:p w14:paraId="24874AA1" w14:textId="77777777" w:rsidR="008A3104" w:rsidRPr="009D1AE0" w:rsidRDefault="008A3104" w:rsidP="00532EED">
            <w:pPr>
              <w:pStyle w:val="a1"/>
              <w:ind w:firstLine="0"/>
              <w:jc w:val="center"/>
            </w:pPr>
            <w:r w:rsidRPr="009D1AE0">
              <w:t>Coal CHP</w:t>
            </w:r>
          </w:p>
        </w:tc>
        <w:tc>
          <w:tcPr>
            <w:tcW w:w="1490" w:type="dxa"/>
            <w:tcBorders>
              <w:top w:val="single" w:sz="4" w:space="0" w:color="auto"/>
            </w:tcBorders>
            <w:vAlign w:val="center"/>
          </w:tcPr>
          <w:p w14:paraId="7546D1FC" w14:textId="77777777" w:rsidR="008A3104" w:rsidRPr="009D1AE0" w:rsidRDefault="008A3104" w:rsidP="00532EED">
            <w:pPr>
              <w:pStyle w:val="a1"/>
              <w:ind w:firstLine="0"/>
              <w:jc w:val="center"/>
            </w:pPr>
            <w:r w:rsidRPr="009D1AE0">
              <w:t>132</w:t>
            </w:r>
          </w:p>
        </w:tc>
        <w:tc>
          <w:tcPr>
            <w:tcW w:w="1491" w:type="dxa"/>
            <w:tcBorders>
              <w:top w:val="single" w:sz="4" w:space="0" w:color="auto"/>
            </w:tcBorders>
            <w:vAlign w:val="center"/>
          </w:tcPr>
          <w:p w14:paraId="38F2A609" w14:textId="77777777" w:rsidR="008A3104" w:rsidRPr="009D1AE0" w:rsidRDefault="008A3104" w:rsidP="00532EED">
            <w:pPr>
              <w:pStyle w:val="a1"/>
              <w:ind w:firstLine="0"/>
              <w:jc w:val="center"/>
            </w:pPr>
            <w:r w:rsidRPr="009D1AE0">
              <w:t>103</w:t>
            </w:r>
          </w:p>
        </w:tc>
        <w:tc>
          <w:tcPr>
            <w:tcW w:w="1491" w:type="dxa"/>
            <w:tcBorders>
              <w:top w:val="single" w:sz="4" w:space="0" w:color="auto"/>
            </w:tcBorders>
            <w:vAlign w:val="center"/>
          </w:tcPr>
          <w:p w14:paraId="4FD879EA" w14:textId="77777777" w:rsidR="008A3104" w:rsidRPr="009D1AE0" w:rsidRDefault="008A3104" w:rsidP="00532EED">
            <w:pPr>
              <w:pStyle w:val="a1"/>
              <w:ind w:firstLine="0"/>
              <w:jc w:val="center"/>
            </w:pPr>
            <w:r w:rsidRPr="009D1AE0">
              <w:t>67</w:t>
            </w:r>
          </w:p>
        </w:tc>
      </w:tr>
      <w:tr w:rsidR="008A3104" w:rsidRPr="009D1AE0" w14:paraId="1AA9902A" w14:textId="77777777" w:rsidTr="00813EFD">
        <w:trPr>
          <w:jc w:val="center"/>
        </w:trPr>
        <w:tc>
          <w:tcPr>
            <w:tcW w:w="2676" w:type="dxa"/>
            <w:vAlign w:val="center"/>
          </w:tcPr>
          <w:p w14:paraId="639FE25A" w14:textId="3BEC36FE" w:rsidR="008A3104" w:rsidRPr="009D1AE0" w:rsidRDefault="00813EFD" w:rsidP="00813EFD">
            <w:pPr>
              <w:pStyle w:val="a1"/>
              <w:ind w:firstLine="0"/>
              <w:jc w:val="left"/>
            </w:pPr>
            <w:r w:rsidRPr="009D1AE0">
              <w:t>Nuclear (LR)</w:t>
            </w:r>
            <w:r w:rsidR="008A3104" w:rsidRPr="009D1AE0">
              <w:t xml:space="preserve"> + electric boiler</w:t>
            </w:r>
          </w:p>
        </w:tc>
        <w:tc>
          <w:tcPr>
            <w:tcW w:w="1560" w:type="dxa"/>
            <w:vAlign w:val="center"/>
          </w:tcPr>
          <w:p w14:paraId="07BB8DAF" w14:textId="77777777" w:rsidR="008A3104" w:rsidRPr="009D1AE0" w:rsidRDefault="008A3104" w:rsidP="00532EED">
            <w:pPr>
              <w:pStyle w:val="a1"/>
              <w:ind w:firstLine="0"/>
              <w:jc w:val="center"/>
            </w:pPr>
            <w:r w:rsidRPr="009D1AE0">
              <w:t>Coal CHP</w:t>
            </w:r>
          </w:p>
        </w:tc>
        <w:tc>
          <w:tcPr>
            <w:tcW w:w="1490" w:type="dxa"/>
            <w:vAlign w:val="center"/>
          </w:tcPr>
          <w:p w14:paraId="41373722" w14:textId="77777777" w:rsidR="008A3104" w:rsidRPr="009D1AE0" w:rsidRDefault="008A3104" w:rsidP="00532EED">
            <w:pPr>
              <w:pStyle w:val="a1"/>
              <w:ind w:firstLine="0"/>
              <w:jc w:val="center"/>
            </w:pPr>
            <w:r w:rsidRPr="009D1AE0">
              <w:t>113</w:t>
            </w:r>
          </w:p>
        </w:tc>
        <w:tc>
          <w:tcPr>
            <w:tcW w:w="1491" w:type="dxa"/>
            <w:vAlign w:val="center"/>
          </w:tcPr>
          <w:p w14:paraId="7E4AF4E8" w14:textId="77777777" w:rsidR="008A3104" w:rsidRPr="009D1AE0" w:rsidRDefault="008A3104" w:rsidP="00532EED">
            <w:pPr>
              <w:pStyle w:val="a1"/>
              <w:ind w:firstLine="0"/>
              <w:jc w:val="center"/>
            </w:pPr>
            <w:r w:rsidRPr="009D1AE0">
              <w:t>80</w:t>
            </w:r>
          </w:p>
        </w:tc>
        <w:tc>
          <w:tcPr>
            <w:tcW w:w="1491" w:type="dxa"/>
            <w:vAlign w:val="center"/>
          </w:tcPr>
          <w:p w14:paraId="1CA25528" w14:textId="77777777" w:rsidR="008A3104" w:rsidRPr="009D1AE0" w:rsidRDefault="008A3104" w:rsidP="00532EED">
            <w:pPr>
              <w:pStyle w:val="a1"/>
              <w:ind w:firstLine="0"/>
              <w:jc w:val="center"/>
            </w:pPr>
            <w:r w:rsidRPr="009D1AE0">
              <w:t>47</w:t>
            </w:r>
          </w:p>
        </w:tc>
      </w:tr>
      <w:tr w:rsidR="008A3104" w:rsidRPr="009D1AE0" w14:paraId="4415CDC6" w14:textId="77777777" w:rsidTr="00813EFD">
        <w:trPr>
          <w:jc w:val="center"/>
        </w:trPr>
        <w:tc>
          <w:tcPr>
            <w:tcW w:w="2676" w:type="dxa"/>
          </w:tcPr>
          <w:p w14:paraId="760C4A4F" w14:textId="77777777" w:rsidR="008A3104" w:rsidRPr="009D1AE0" w:rsidRDefault="008A3104" w:rsidP="00813EFD">
            <w:pPr>
              <w:pStyle w:val="a1"/>
              <w:ind w:firstLine="0"/>
              <w:jc w:val="left"/>
            </w:pPr>
            <w:r w:rsidRPr="009D1AE0">
              <w:t>Nuclear plant (LR)</w:t>
            </w:r>
          </w:p>
        </w:tc>
        <w:tc>
          <w:tcPr>
            <w:tcW w:w="1560" w:type="dxa"/>
          </w:tcPr>
          <w:p w14:paraId="508BBB99" w14:textId="25239D6C" w:rsidR="008A3104" w:rsidRPr="009D1AE0" w:rsidRDefault="008A3104" w:rsidP="00813EFD">
            <w:pPr>
              <w:pStyle w:val="a1"/>
              <w:ind w:firstLine="0"/>
              <w:jc w:val="center"/>
            </w:pPr>
            <w:r w:rsidRPr="009D1AE0">
              <w:t xml:space="preserve">Coal plant </w:t>
            </w:r>
          </w:p>
        </w:tc>
        <w:tc>
          <w:tcPr>
            <w:tcW w:w="1490" w:type="dxa"/>
          </w:tcPr>
          <w:p w14:paraId="1BA8C303" w14:textId="77777777" w:rsidR="008A3104" w:rsidRPr="009D1AE0" w:rsidRDefault="008A3104" w:rsidP="00532EED">
            <w:pPr>
              <w:pStyle w:val="a1"/>
              <w:ind w:firstLine="0"/>
              <w:jc w:val="center"/>
              <w:rPr>
                <w:lang w:val="ru-RU"/>
              </w:rPr>
            </w:pPr>
            <w:r w:rsidRPr="009D1AE0">
              <w:rPr>
                <w:lang w:val="ru-RU"/>
              </w:rPr>
              <w:t>-9</w:t>
            </w:r>
          </w:p>
        </w:tc>
        <w:tc>
          <w:tcPr>
            <w:tcW w:w="1491" w:type="dxa"/>
          </w:tcPr>
          <w:p w14:paraId="344E092E" w14:textId="77777777" w:rsidR="008A3104" w:rsidRPr="009D1AE0" w:rsidRDefault="008A3104" w:rsidP="00532EED">
            <w:pPr>
              <w:pStyle w:val="a1"/>
              <w:ind w:firstLine="0"/>
              <w:jc w:val="center"/>
              <w:rPr>
                <w:lang w:val="ru-RU"/>
              </w:rPr>
            </w:pPr>
            <w:r w:rsidRPr="009D1AE0">
              <w:rPr>
                <w:lang w:val="ru-RU"/>
              </w:rPr>
              <w:t>-19</w:t>
            </w:r>
          </w:p>
        </w:tc>
        <w:tc>
          <w:tcPr>
            <w:tcW w:w="1491" w:type="dxa"/>
          </w:tcPr>
          <w:p w14:paraId="30C3014E" w14:textId="77777777" w:rsidR="008A3104" w:rsidRPr="009D1AE0" w:rsidRDefault="008A3104" w:rsidP="00532EED">
            <w:pPr>
              <w:pStyle w:val="a1"/>
              <w:ind w:firstLine="0"/>
              <w:jc w:val="center"/>
              <w:rPr>
                <w:lang w:val="ru-RU"/>
              </w:rPr>
            </w:pPr>
            <w:r w:rsidRPr="009D1AE0">
              <w:rPr>
                <w:lang w:val="ru-RU"/>
              </w:rPr>
              <w:t>-21</w:t>
            </w:r>
          </w:p>
        </w:tc>
      </w:tr>
      <w:tr w:rsidR="008A3104" w:rsidRPr="009D1AE0" w14:paraId="17B1B75B" w14:textId="77777777" w:rsidTr="00813EFD">
        <w:trPr>
          <w:jc w:val="center"/>
        </w:trPr>
        <w:tc>
          <w:tcPr>
            <w:tcW w:w="2676" w:type="dxa"/>
            <w:vAlign w:val="center"/>
          </w:tcPr>
          <w:p w14:paraId="138406DD" w14:textId="76E8C6C1" w:rsidR="008A3104" w:rsidRPr="009D1AE0" w:rsidRDefault="008A3104" w:rsidP="00C073BD">
            <w:pPr>
              <w:pStyle w:val="a1"/>
              <w:ind w:firstLine="0"/>
              <w:jc w:val="left"/>
            </w:pPr>
            <w:r w:rsidRPr="009D1AE0">
              <w:rPr>
                <w:rStyle w:val="TabletextChar"/>
              </w:rPr>
              <w:t xml:space="preserve">Nuclear </w:t>
            </w:r>
            <w:r w:rsidR="00C073BD" w:rsidRPr="009D1AE0">
              <w:rPr>
                <w:rStyle w:val="TabletextChar"/>
              </w:rPr>
              <w:t xml:space="preserve">(SMR) </w:t>
            </w:r>
            <w:r w:rsidRPr="009D1AE0">
              <w:rPr>
                <w:rStyle w:val="TabletextChar"/>
              </w:rPr>
              <w:t xml:space="preserve">CHP </w:t>
            </w:r>
          </w:p>
        </w:tc>
        <w:tc>
          <w:tcPr>
            <w:tcW w:w="1560" w:type="dxa"/>
            <w:vAlign w:val="center"/>
          </w:tcPr>
          <w:p w14:paraId="4B080F45" w14:textId="6E313FF5" w:rsidR="008A3104" w:rsidRPr="009D1AE0" w:rsidRDefault="008A3104" w:rsidP="00813EFD">
            <w:pPr>
              <w:pStyle w:val="a1"/>
              <w:ind w:firstLine="0"/>
              <w:jc w:val="center"/>
            </w:pPr>
            <w:r w:rsidRPr="009D1AE0">
              <w:t>CC</w:t>
            </w:r>
            <w:r w:rsidR="002978BA" w:rsidRPr="009D1AE0">
              <w:t>GT</w:t>
            </w:r>
            <w:r w:rsidR="00813EFD" w:rsidRPr="009D1AE0">
              <w:t>-</w:t>
            </w:r>
            <w:r w:rsidRPr="009D1AE0">
              <w:t>CHP</w:t>
            </w:r>
          </w:p>
        </w:tc>
        <w:tc>
          <w:tcPr>
            <w:tcW w:w="1490" w:type="dxa"/>
            <w:vAlign w:val="center"/>
          </w:tcPr>
          <w:p w14:paraId="0F3EB2BF" w14:textId="77777777" w:rsidR="008A3104" w:rsidRPr="009D1AE0" w:rsidRDefault="008A3104" w:rsidP="00532EED">
            <w:pPr>
              <w:pStyle w:val="a1"/>
              <w:ind w:firstLine="0"/>
              <w:jc w:val="center"/>
            </w:pPr>
            <w:r w:rsidRPr="009D1AE0">
              <w:t>253</w:t>
            </w:r>
          </w:p>
        </w:tc>
        <w:tc>
          <w:tcPr>
            <w:tcW w:w="1491" w:type="dxa"/>
            <w:vAlign w:val="center"/>
          </w:tcPr>
          <w:p w14:paraId="735BF358" w14:textId="77777777" w:rsidR="008A3104" w:rsidRPr="009D1AE0" w:rsidRDefault="008A3104" w:rsidP="00532EED">
            <w:pPr>
              <w:pStyle w:val="a1"/>
              <w:ind w:firstLine="0"/>
              <w:jc w:val="center"/>
            </w:pPr>
            <w:r w:rsidRPr="009D1AE0">
              <w:t>232</w:t>
            </w:r>
          </w:p>
        </w:tc>
        <w:tc>
          <w:tcPr>
            <w:tcW w:w="1491" w:type="dxa"/>
            <w:vAlign w:val="center"/>
          </w:tcPr>
          <w:p w14:paraId="29936C62" w14:textId="77777777" w:rsidR="008A3104" w:rsidRPr="009D1AE0" w:rsidRDefault="008A3104" w:rsidP="00532EED">
            <w:pPr>
              <w:pStyle w:val="a1"/>
              <w:ind w:firstLine="0"/>
              <w:jc w:val="center"/>
            </w:pPr>
            <w:r w:rsidRPr="009D1AE0">
              <w:t>145</w:t>
            </w:r>
          </w:p>
        </w:tc>
      </w:tr>
      <w:tr w:rsidR="008A3104" w:rsidRPr="009D1AE0" w14:paraId="2913033F" w14:textId="77777777" w:rsidTr="00813EFD">
        <w:trPr>
          <w:jc w:val="center"/>
        </w:trPr>
        <w:tc>
          <w:tcPr>
            <w:tcW w:w="2676" w:type="dxa"/>
            <w:vAlign w:val="center"/>
          </w:tcPr>
          <w:p w14:paraId="17D3EA0A" w14:textId="77777777" w:rsidR="008A3104" w:rsidRPr="009D1AE0" w:rsidRDefault="008A3104" w:rsidP="00813EFD">
            <w:pPr>
              <w:pStyle w:val="a1"/>
              <w:ind w:firstLine="0"/>
              <w:jc w:val="left"/>
            </w:pPr>
            <w:r w:rsidRPr="009D1AE0">
              <w:t>Nuclear (LR) + electric boiler</w:t>
            </w:r>
          </w:p>
        </w:tc>
        <w:tc>
          <w:tcPr>
            <w:tcW w:w="1560" w:type="dxa"/>
            <w:vAlign w:val="center"/>
          </w:tcPr>
          <w:p w14:paraId="37C63C27" w14:textId="56D5822A" w:rsidR="008A3104" w:rsidRPr="009D1AE0" w:rsidRDefault="008A3104" w:rsidP="00813EFD">
            <w:pPr>
              <w:pStyle w:val="a1"/>
              <w:ind w:firstLine="0"/>
              <w:jc w:val="center"/>
            </w:pPr>
            <w:r w:rsidRPr="009D1AE0">
              <w:t>CC</w:t>
            </w:r>
            <w:r w:rsidR="002978BA" w:rsidRPr="009D1AE0">
              <w:t>GT</w:t>
            </w:r>
            <w:r w:rsidR="00813EFD" w:rsidRPr="009D1AE0">
              <w:t>-</w:t>
            </w:r>
            <w:r w:rsidRPr="009D1AE0">
              <w:t>CHP</w:t>
            </w:r>
          </w:p>
        </w:tc>
        <w:tc>
          <w:tcPr>
            <w:tcW w:w="1490" w:type="dxa"/>
            <w:vAlign w:val="center"/>
          </w:tcPr>
          <w:p w14:paraId="4AFE78B0" w14:textId="77777777" w:rsidR="008A3104" w:rsidRPr="009D1AE0" w:rsidRDefault="008A3104" w:rsidP="00532EED">
            <w:pPr>
              <w:pStyle w:val="a1"/>
              <w:ind w:firstLine="0"/>
              <w:jc w:val="center"/>
            </w:pPr>
            <w:r w:rsidRPr="009D1AE0">
              <w:t>200</w:t>
            </w:r>
          </w:p>
        </w:tc>
        <w:tc>
          <w:tcPr>
            <w:tcW w:w="1491" w:type="dxa"/>
            <w:vAlign w:val="center"/>
          </w:tcPr>
          <w:p w14:paraId="1F68CD95" w14:textId="77777777" w:rsidR="008A3104" w:rsidRPr="009D1AE0" w:rsidRDefault="008A3104" w:rsidP="00532EED">
            <w:pPr>
              <w:pStyle w:val="a1"/>
              <w:ind w:firstLine="0"/>
              <w:jc w:val="center"/>
            </w:pPr>
            <w:r w:rsidRPr="009D1AE0">
              <w:t>169</w:t>
            </w:r>
          </w:p>
        </w:tc>
        <w:tc>
          <w:tcPr>
            <w:tcW w:w="1491" w:type="dxa"/>
            <w:vAlign w:val="center"/>
          </w:tcPr>
          <w:p w14:paraId="12A39836" w14:textId="77777777" w:rsidR="008A3104" w:rsidRPr="009D1AE0" w:rsidRDefault="008A3104" w:rsidP="00532EED">
            <w:pPr>
              <w:pStyle w:val="a1"/>
              <w:ind w:firstLine="0"/>
              <w:jc w:val="center"/>
            </w:pPr>
            <w:r w:rsidRPr="009D1AE0">
              <w:t>94</w:t>
            </w:r>
          </w:p>
        </w:tc>
      </w:tr>
      <w:tr w:rsidR="008A3104" w:rsidRPr="009D1AE0" w14:paraId="52D355E6" w14:textId="77777777" w:rsidTr="00813EFD">
        <w:trPr>
          <w:jc w:val="center"/>
        </w:trPr>
        <w:tc>
          <w:tcPr>
            <w:tcW w:w="2676" w:type="dxa"/>
          </w:tcPr>
          <w:p w14:paraId="59704121" w14:textId="77777777" w:rsidR="008A3104" w:rsidRPr="009D1AE0" w:rsidRDefault="008A3104" w:rsidP="00813EFD">
            <w:pPr>
              <w:pStyle w:val="a1"/>
              <w:ind w:firstLine="0"/>
              <w:jc w:val="left"/>
            </w:pPr>
            <w:r w:rsidRPr="009D1AE0">
              <w:t>Nuclear plant (LR)</w:t>
            </w:r>
          </w:p>
        </w:tc>
        <w:tc>
          <w:tcPr>
            <w:tcW w:w="1560" w:type="dxa"/>
          </w:tcPr>
          <w:p w14:paraId="427F8680" w14:textId="77777777" w:rsidR="008A3104" w:rsidRPr="009D1AE0" w:rsidRDefault="008A3104" w:rsidP="00532EED">
            <w:pPr>
              <w:pStyle w:val="a1"/>
              <w:ind w:firstLine="0"/>
              <w:jc w:val="center"/>
            </w:pPr>
            <w:r w:rsidRPr="009D1AE0">
              <w:t>CCGT</w:t>
            </w:r>
          </w:p>
        </w:tc>
        <w:tc>
          <w:tcPr>
            <w:tcW w:w="1490" w:type="dxa"/>
          </w:tcPr>
          <w:p w14:paraId="3157AB7A" w14:textId="77777777" w:rsidR="008A3104" w:rsidRPr="009D1AE0" w:rsidRDefault="008A3104" w:rsidP="00532EED">
            <w:pPr>
              <w:pStyle w:val="a1"/>
              <w:ind w:firstLine="0"/>
              <w:jc w:val="center"/>
              <w:rPr>
                <w:lang w:val="ru-RU"/>
              </w:rPr>
            </w:pPr>
            <w:r w:rsidRPr="009D1AE0">
              <w:rPr>
                <w:lang w:val="ru-RU"/>
              </w:rPr>
              <w:t>20</w:t>
            </w:r>
          </w:p>
        </w:tc>
        <w:tc>
          <w:tcPr>
            <w:tcW w:w="1491" w:type="dxa"/>
          </w:tcPr>
          <w:p w14:paraId="0B5A2C08" w14:textId="77777777" w:rsidR="008A3104" w:rsidRPr="009D1AE0" w:rsidRDefault="008A3104" w:rsidP="00532EED">
            <w:pPr>
              <w:pStyle w:val="a1"/>
              <w:ind w:firstLine="0"/>
              <w:jc w:val="center"/>
              <w:rPr>
                <w:lang w:val="ru-RU"/>
              </w:rPr>
            </w:pPr>
            <w:r w:rsidRPr="009D1AE0">
              <w:rPr>
                <w:lang w:val="ru-RU"/>
              </w:rPr>
              <w:t>27</w:t>
            </w:r>
          </w:p>
        </w:tc>
        <w:tc>
          <w:tcPr>
            <w:tcW w:w="1491" w:type="dxa"/>
          </w:tcPr>
          <w:p w14:paraId="1D57F80A" w14:textId="77777777" w:rsidR="008A3104" w:rsidRPr="009D1AE0" w:rsidRDefault="008A3104" w:rsidP="00532EED">
            <w:pPr>
              <w:pStyle w:val="a1"/>
              <w:ind w:firstLine="0"/>
              <w:jc w:val="center"/>
              <w:rPr>
                <w:lang w:val="ru-RU"/>
              </w:rPr>
            </w:pPr>
            <w:r w:rsidRPr="009D1AE0">
              <w:rPr>
                <w:lang w:val="ru-RU"/>
              </w:rPr>
              <w:t>-2</w:t>
            </w:r>
          </w:p>
        </w:tc>
      </w:tr>
    </w:tbl>
    <w:p w14:paraId="7B29C0F0" w14:textId="06F69F19" w:rsidR="00F004EE" w:rsidRPr="009D1AE0" w:rsidRDefault="00DF2E51" w:rsidP="00DF2E51">
      <w:pPr>
        <w:pStyle w:val="2"/>
      </w:pPr>
      <w:r w:rsidRPr="009D1AE0">
        <w:t xml:space="preserve">MODELING </w:t>
      </w:r>
      <w:r w:rsidR="002978BA" w:rsidRPr="009D1AE0">
        <w:t xml:space="preserve">OF </w:t>
      </w:r>
      <w:r w:rsidRPr="009D1AE0">
        <w:t>THE EFFECTIVE SCALE OF DEVELOPMENT OF NUCLEAR CHP WITH SMR IN THE RUSSIAN POWER SYSTeM IN SCENARIOS OF INTENSIVE DECARBONIZATION</w:t>
      </w:r>
    </w:p>
    <w:p w14:paraId="3271A34A" w14:textId="03E21FC1" w:rsidR="00883F48" w:rsidRPr="009D1AE0" w:rsidRDefault="00883F48" w:rsidP="00537496">
      <w:pPr>
        <w:pStyle w:val="a1"/>
        <w:rPr>
          <w:lang w:val="en-US"/>
        </w:rPr>
      </w:pPr>
      <w:r w:rsidRPr="009D1AE0">
        <w:rPr>
          <w:lang w:val="en-US"/>
        </w:rPr>
        <w:t>Comparing of electricity and district heat production technologies (or co</w:t>
      </w:r>
      <w:r w:rsidR="002978BA" w:rsidRPr="009D1AE0">
        <w:rPr>
          <w:lang w:val="en-US"/>
        </w:rPr>
        <w:t>-</w:t>
      </w:r>
      <w:r w:rsidRPr="009D1AE0">
        <w:rPr>
          <w:lang w:val="en-US"/>
        </w:rPr>
        <w:t xml:space="preserve">generation power plants) in terms of the </w:t>
      </w:r>
      <w:proofErr w:type="spellStart"/>
      <w:r w:rsidR="0075698D" w:rsidRPr="009D1AE0">
        <w:rPr>
          <w:lang w:val="en-US"/>
        </w:rPr>
        <w:t>levelized</w:t>
      </w:r>
      <w:proofErr w:type="spellEnd"/>
      <w:r w:rsidRPr="009D1AE0">
        <w:rPr>
          <w:lang w:val="en-US"/>
        </w:rPr>
        <w:t xml:space="preserve"> cost of production is an important, but only the first step in energy planning. Such a comparison makes it possible to identify economically priority types of </w:t>
      </w:r>
      <w:r w:rsidR="0075698D" w:rsidRPr="009D1AE0">
        <w:rPr>
          <w:lang w:val="en-US"/>
        </w:rPr>
        <w:t>energy sources</w:t>
      </w:r>
      <w:r w:rsidRPr="009D1AE0">
        <w:rPr>
          <w:lang w:val="en-US"/>
        </w:rPr>
        <w:t xml:space="preserve"> and assess cost gaps with alternative technologies. However, the scale and speed of </w:t>
      </w:r>
      <w:r w:rsidR="002978BA" w:rsidRPr="009D1AE0">
        <w:rPr>
          <w:lang w:val="en-US"/>
        </w:rPr>
        <w:t xml:space="preserve">the </w:t>
      </w:r>
      <w:r w:rsidR="0075698D" w:rsidRPr="009D1AE0">
        <w:rPr>
          <w:lang w:val="en-US"/>
        </w:rPr>
        <w:t>transformation</w:t>
      </w:r>
      <w:r w:rsidR="002978BA" w:rsidRPr="009D1AE0">
        <w:rPr>
          <w:lang w:val="en-US"/>
        </w:rPr>
        <w:t xml:space="preserve"> of</w:t>
      </w:r>
      <w:r w:rsidRPr="009D1AE0">
        <w:rPr>
          <w:lang w:val="en-US"/>
        </w:rPr>
        <w:t xml:space="preserve"> the technological structure in the electric power industry and heat supply depends on </w:t>
      </w:r>
      <w:r w:rsidR="002978BA" w:rsidRPr="009D1AE0">
        <w:rPr>
          <w:lang w:val="en-US"/>
        </w:rPr>
        <w:t xml:space="preserve">the </w:t>
      </w:r>
      <w:r w:rsidR="00AF7AD3" w:rsidRPr="009D1AE0">
        <w:rPr>
          <w:lang w:val="en-US"/>
        </w:rPr>
        <w:t xml:space="preserve">dynamics </w:t>
      </w:r>
      <w:r w:rsidR="002978BA" w:rsidRPr="009D1AE0">
        <w:rPr>
          <w:lang w:val="en-US"/>
        </w:rPr>
        <w:t>o</w:t>
      </w:r>
      <w:r w:rsidR="00AF7AD3" w:rsidRPr="009D1AE0">
        <w:rPr>
          <w:lang w:val="en-US"/>
        </w:rPr>
        <w:t xml:space="preserve">f </w:t>
      </w:r>
      <w:r w:rsidRPr="009D1AE0">
        <w:rPr>
          <w:lang w:val="en-US"/>
        </w:rPr>
        <w:t xml:space="preserve">many factors. The most significant are: demand for electricity and </w:t>
      </w:r>
      <w:r w:rsidR="00790CAA" w:rsidRPr="009D1AE0">
        <w:rPr>
          <w:lang w:val="en-US"/>
        </w:rPr>
        <w:t xml:space="preserve">district </w:t>
      </w:r>
      <w:r w:rsidRPr="009D1AE0">
        <w:rPr>
          <w:lang w:val="en-US"/>
        </w:rPr>
        <w:t xml:space="preserve">heat, </w:t>
      </w:r>
      <w:r w:rsidR="00790CAA" w:rsidRPr="009D1AE0">
        <w:rPr>
          <w:lang w:val="en-US"/>
        </w:rPr>
        <w:t>fuel</w:t>
      </w:r>
      <w:r w:rsidRPr="009D1AE0">
        <w:rPr>
          <w:lang w:val="en-US"/>
        </w:rPr>
        <w:t xml:space="preserve"> prices, </w:t>
      </w:r>
      <w:r w:rsidR="0075698D" w:rsidRPr="009D1AE0">
        <w:rPr>
          <w:lang w:val="en-US"/>
        </w:rPr>
        <w:t>decommissioning</w:t>
      </w:r>
      <w:r w:rsidRPr="009D1AE0">
        <w:rPr>
          <w:lang w:val="en-US"/>
        </w:rPr>
        <w:t xml:space="preserve"> of existing </w:t>
      </w:r>
      <w:r w:rsidR="00AF7AD3" w:rsidRPr="009D1AE0">
        <w:rPr>
          <w:lang w:val="en-US"/>
        </w:rPr>
        <w:t>capacities</w:t>
      </w:r>
      <w:r w:rsidRPr="009D1AE0">
        <w:rPr>
          <w:lang w:val="en-US"/>
        </w:rPr>
        <w:t xml:space="preserve">. </w:t>
      </w:r>
      <w:r w:rsidR="00AF7AD3" w:rsidRPr="009D1AE0">
        <w:rPr>
          <w:lang w:val="en-US"/>
        </w:rPr>
        <w:t>T</w:t>
      </w:r>
      <w:r w:rsidRPr="009D1AE0">
        <w:rPr>
          <w:lang w:val="en-US"/>
        </w:rPr>
        <w:t xml:space="preserve">he uneven change of these parameters </w:t>
      </w:r>
      <w:r w:rsidR="00BB101C" w:rsidRPr="009D1AE0">
        <w:rPr>
          <w:lang w:val="en-US"/>
        </w:rPr>
        <w:t xml:space="preserve">(as well as capital costs) </w:t>
      </w:r>
      <w:r w:rsidRPr="009D1AE0">
        <w:rPr>
          <w:lang w:val="en-US"/>
        </w:rPr>
        <w:t xml:space="preserve">across </w:t>
      </w:r>
      <w:r w:rsidR="00790CAA" w:rsidRPr="009D1AE0">
        <w:rPr>
          <w:lang w:val="en-US"/>
        </w:rPr>
        <w:t xml:space="preserve">UPS </w:t>
      </w:r>
      <w:r w:rsidRPr="009D1AE0">
        <w:rPr>
          <w:lang w:val="en-US"/>
        </w:rPr>
        <w:t xml:space="preserve">territorial zones (the European part, the Urals, Siberia, the Far East) also plays an important role. Carbon regulation mechanisms constitute a separate group of factors. Within the framework of the </w:t>
      </w:r>
      <w:r w:rsidR="0075698D" w:rsidRPr="009D1AE0">
        <w:rPr>
          <w:lang w:val="en-US"/>
        </w:rPr>
        <w:t>study</w:t>
      </w:r>
      <w:r w:rsidRPr="009D1AE0">
        <w:rPr>
          <w:lang w:val="en-US"/>
        </w:rPr>
        <w:t>, two of the most "strong" mechanisms are considered: direct emission quotas from power plants and boiler houses and payment for CO</w:t>
      </w:r>
      <w:r w:rsidRPr="009D1AE0">
        <w:rPr>
          <w:vertAlign w:val="subscript"/>
          <w:lang w:val="en-US"/>
        </w:rPr>
        <w:t>2</w:t>
      </w:r>
      <w:r w:rsidRPr="009D1AE0">
        <w:rPr>
          <w:lang w:val="en-US"/>
        </w:rPr>
        <w:t xml:space="preserve"> emissions.</w:t>
      </w:r>
    </w:p>
    <w:p w14:paraId="4571C06F" w14:textId="14E8F373" w:rsidR="00673965" w:rsidRPr="009D1AE0" w:rsidRDefault="00673965" w:rsidP="00673965">
      <w:pPr>
        <w:pStyle w:val="a1"/>
        <w:rPr>
          <w:lang w:val="en-US"/>
        </w:rPr>
      </w:pPr>
      <w:r w:rsidRPr="009D1AE0">
        <w:rPr>
          <w:lang w:val="en-US"/>
        </w:rPr>
        <w:t xml:space="preserve">Modeling of changes in the structure of electricity and </w:t>
      </w:r>
      <w:r w:rsidR="003B21CD" w:rsidRPr="009D1AE0">
        <w:rPr>
          <w:lang w:val="en-US"/>
        </w:rPr>
        <w:t xml:space="preserve">district </w:t>
      </w:r>
      <w:r w:rsidRPr="009D1AE0">
        <w:rPr>
          <w:lang w:val="en-US"/>
        </w:rPr>
        <w:t>heat production until 2050 was performed using the EPOS long-term capacity planning model developed at</w:t>
      </w:r>
      <w:r w:rsidR="001C0A5D" w:rsidRPr="009D1AE0">
        <w:rPr>
          <w:lang w:val="en-US"/>
        </w:rPr>
        <w:t xml:space="preserve"> the</w:t>
      </w:r>
      <w:r w:rsidRPr="009D1AE0">
        <w:rPr>
          <w:lang w:val="en-US"/>
        </w:rPr>
        <w:t xml:space="preserve"> ERI RAS [</w:t>
      </w:r>
      <w:r w:rsidR="000C2C0B" w:rsidRPr="009D1AE0">
        <w:rPr>
          <w:lang w:val="en-US"/>
        </w:rPr>
        <w:t>1</w:t>
      </w:r>
      <w:r w:rsidR="00831CE8" w:rsidRPr="009D1AE0">
        <w:rPr>
          <w:lang w:val="en-US"/>
        </w:rPr>
        <w:t>7</w:t>
      </w:r>
      <w:r w:rsidRPr="009D1AE0">
        <w:rPr>
          <w:lang w:val="en-US"/>
        </w:rPr>
        <w:t xml:space="preserve">]. The </w:t>
      </w:r>
      <w:r w:rsidR="00615B07" w:rsidRPr="009D1AE0">
        <w:rPr>
          <w:lang w:val="en-US"/>
        </w:rPr>
        <w:t xml:space="preserve">EPOS </w:t>
      </w:r>
      <w:r w:rsidRPr="009D1AE0">
        <w:rPr>
          <w:lang w:val="en-US"/>
        </w:rPr>
        <w:t xml:space="preserve">model can take into account </w:t>
      </w:r>
      <w:r w:rsidR="00BB101C" w:rsidRPr="009D1AE0">
        <w:rPr>
          <w:lang w:val="en-US"/>
        </w:rPr>
        <w:t>limits</w:t>
      </w:r>
      <w:r w:rsidRPr="009D1AE0">
        <w:rPr>
          <w:lang w:val="en-US"/>
        </w:rPr>
        <w:t xml:space="preserve"> on CO</w:t>
      </w:r>
      <w:r w:rsidRPr="009D1AE0">
        <w:rPr>
          <w:vertAlign w:val="subscript"/>
          <w:lang w:val="en-US"/>
        </w:rPr>
        <w:t>2</w:t>
      </w:r>
      <w:r w:rsidRPr="009D1AE0">
        <w:rPr>
          <w:lang w:val="en-US"/>
        </w:rPr>
        <w:t xml:space="preserve"> emissions from power plants and boilers, or set targets for the carbon intensity of electricity and heat production [</w:t>
      </w:r>
      <w:r w:rsidR="000C2C0B" w:rsidRPr="009D1AE0">
        <w:rPr>
          <w:lang w:val="en-US"/>
        </w:rPr>
        <w:t>1</w:t>
      </w:r>
      <w:r w:rsidR="00831CE8" w:rsidRPr="009D1AE0">
        <w:rPr>
          <w:lang w:val="en-US"/>
        </w:rPr>
        <w:t>8</w:t>
      </w:r>
      <w:r w:rsidRPr="009D1AE0">
        <w:rPr>
          <w:lang w:val="en-US"/>
        </w:rPr>
        <w:t xml:space="preserve">]. The </w:t>
      </w:r>
      <w:r w:rsidR="00615B07" w:rsidRPr="009D1AE0">
        <w:rPr>
          <w:lang w:val="en-US"/>
        </w:rPr>
        <w:t>cost</w:t>
      </w:r>
      <w:r w:rsidRPr="009D1AE0">
        <w:rPr>
          <w:lang w:val="en-US"/>
        </w:rPr>
        <w:t xml:space="preserve"> function of the model corresponds to the classical least</w:t>
      </w:r>
      <w:r w:rsidR="00831CE8" w:rsidRPr="009D1AE0">
        <w:rPr>
          <w:lang w:val="en-US"/>
        </w:rPr>
        <w:t>-</w:t>
      </w:r>
      <w:r w:rsidRPr="009D1AE0">
        <w:rPr>
          <w:lang w:val="en-US"/>
        </w:rPr>
        <w:t>cost planning approach</w:t>
      </w:r>
      <w:r w:rsidR="00831CE8" w:rsidRPr="009D1AE0">
        <w:rPr>
          <w:lang w:val="en-US"/>
        </w:rPr>
        <w:t>,</w:t>
      </w:r>
      <w:r w:rsidRPr="009D1AE0">
        <w:rPr>
          <w:lang w:val="en-US"/>
        </w:rPr>
        <w:t xml:space="preserve"> and </w:t>
      </w:r>
      <w:r w:rsidR="00831CE8" w:rsidRPr="009D1AE0">
        <w:rPr>
          <w:lang w:val="en-US"/>
        </w:rPr>
        <w:t xml:space="preserve">carbon payments are also included in the total discounted costs of energy supply. </w:t>
      </w:r>
      <w:r w:rsidRPr="009D1AE0">
        <w:rPr>
          <w:lang w:val="en-US"/>
        </w:rPr>
        <w:t xml:space="preserve">Table 2 presents the results of several scenarios </w:t>
      </w:r>
      <w:r w:rsidR="00216104" w:rsidRPr="009D1AE0">
        <w:rPr>
          <w:lang w:val="en-US"/>
        </w:rPr>
        <w:t>of</w:t>
      </w:r>
      <w:r w:rsidRPr="009D1AE0">
        <w:rPr>
          <w:lang w:val="en-US"/>
        </w:rPr>
        <w:t xml:space="preserve"> the electricity and heat production </w:t>
      </w:r>
      <w:r w:rsidR="00216104" w:rsidRPr="009D1AE0">
        <w:rPr>
          <w:lang w:val="en-US"/>
        </w:rPr>
        <w:t xml:space="preserve">mix </w:t>
      </w:r>
      <w:r w:rsidRPr="009D1AE0">
        <w:rPr>
          <w:lang w:val="en-US"/>
        </w:rPr>
        <w:t>in the U</w:t>
      </w:r>
      <w:r w:rsidR="00216104" w:rsidRPr="009D1AE0">
        <w:rPr>
          <w:lang w:val="en-US"/>
        </w:rPr>
        <w:t>P</w:t>
      </w:r>
      <w:r w:rsidRPr="009D1AE0">
        <w:rPr>
          <w:lang w:val="en-US"/>
        </w:rPr>
        <w:t xml:space="preserve">S of Russia with the introduction of carbon regulation, which allow us to assess, among other things, the effective scale of development of </w:t>
      </w:r>
      <w:r w:rsidR="00216104" w:rsidRPr="009D1AE0">
        <w:rPr>
          <w:lang w:val="en-US"/>
        </w:rPr>
        <w:t>NCHP</w:t>
      </w:r>
      <w:r w:rsidRPr="009D1AE0">
        <w:rPr>
          <w:lang w:val="en-US"/>
        </w:rPr>
        <w:t xml:space="preserve"> with SMR</w:t>
      </w:r>
      <w:r w:rsidR="00AB751E" w:rsidRPr="009D1AE0">
        <w:rPr>
          <w:lang w:val="en-US"/>
        </w:rPr>
        <w:t>s</w:t>
      </w:r>
      <w:r w:rsidRPr="009D1AE0">
        <w:rPr>
          <w:lang w:val="en-US"/>
        </w:rPr>
        <w:t>.</w:t>
      </w:r>
    </w:p>
    <w:p w14:paraId="2BF58F9D" w14:textId="33FA9C57" w:rsidR="00226E77" w:rsidRPr="009D1AE0" w:rsidRDefault="00226E77" w:rsidP="00226E77">
      <w:pPr>
        <w:pStyle w:val="a1"/>
      </w:pPr>
      <w:r w:rsidRPr="009D1AE0">
        <w:t>The baseline scenario assumes that by 2050 CO</w:t>
      </w:r>
      <w:r w:rsidRPr="009D1AE0">
        <w:rPr>
          <w:vertAlign w:val="subscript"/>
        </w:rPr>
        <w:t>2</w:t>
      </w:r>
      <w:r w:rsidRPr="009D1AE0">
        <w:t xml:space="preserve"> emissions from power plants and boilers will be 13.4% lower than in 2019, in accordance with the SNUR target. In this scenario, only LR NPP capacity will increase to </w:t>
      </w:r>
      <w:r w:rsidRPr="009D1AE0">
        <w:lastRenderedPageBreak/>
        <w:t>60 GW, and their share in electricity production will increase to 30% by 2050. SMR</w:t>
      </w:r>
      <w:r w:rsidRPr="009D1AE0">
        <w:rPr>
          <w:lang w:val="en-US"/>
        </w:rPr>
        <w:t>s</w:t>
      </w:r>
      <w:r w:rsidRPr="009D1AE0">
        <w:t xml:space="preserve"> appear in the energy supply mix if CO</w:t>
      </w:r>
      <w:r w:rsidRPr="009D1AE0">
        <w:rPr>
          <w:vertAlign w:val="subscript"/>
        </w:rPr>
        <w:t>2</w:t>
      </w:r>
      <w:r w:rsidRPr="009D1AE0">
        <w:t xml:space="preserve"> emissions are reduced by more than 30% by 2050. Table 2 shows the simulation results for the 40% and 50% quotas. To implement these scenarios, LR NPP will increase to 100 GW by 2050 and 10-14 GW of the SMR NCHP will additionally need to be added. Totally, NPP</w:t>
      </w:r>
      <w:r w:rsidR="00CD0120" w:rsidRPr="009D1AE0">
        <w:t>s</w:t>
      </w:r>
      <w:r w:rsidRPr="009D1AE0">
        <w:t xml:space="preserve"> in these scenarios will produce more than 50% of electricity, and their share in the structure of district heat production will be 5-7%. </w:t>
      </w:r>
    </w:p>
    <w:p w14:paraId="3E71B9E6" w14:textId="77777777" w:rsidR="00226E77" w:rsidRPr="009D1AE0" w:rsidRDefault="00226E77" w:rsidP="00673965">
      <w:pPr>
        <w:pStyle w:val="a1"/>
      </w:pPr>
    </w:p>
    <w:p w14:paraId="718A2C0A" w14:textId="6C471E2B" w:rsidR="00216DAB" w:rsidRPr="009D1AE0" w:rsidRDefault="00216DAB" w:rsidP="00216DAB">
      <w:pPr>
        <w:pStyle w:val="a1"/>
        <w:ind w:firstLine="0"/>
      </w:pPr>
      <w:proofErr w:type="gramStart"/>
      <w:r w:rsidRPr="009D1AE0">
        <w:t>TABLE 2.</w:t>
      </w:r>
      <w:proofErr w:type="gramEnd"/>
      <w:r w:rsidRPr="009D1AE0">
        <w:tab/>
        <w:t>CHANGES IN THE ELECTRICITY AND DISTRICT HEAT P</w:t>
      </w:r>
      <w:r w:rsidR="00CD0120" w:rsidRPr="009D1AE0">
        <w:t>R</w:t>
      </w:r>
      <w:r w:rsidRPr="009D1AE0">
        <w:t>ODUCTION STRUCTURE BY 2050 UNDER DI</w:t>
      </w:r>
      <w:r w:rsidR="00CD0120" w:rsidRPr="009D1AE0">
        <w:t>FF</w:t>
      </w:r>
      <w:r w:rsidRPr="009D1AE0">
        <w:t>E</w:t>
      </w:r>
      <w:r w:rsidR="00CD0120" w:rsidRPr="009D1AE0">
        <w:t>R</w:t>
      </w:r>
      <w:r w:rsidRPr="009D1AE0">
        <w:t>ENT SCENARIOS OF CO</w:t>
      </w:r>
      <w:r w:rsidRPr="009D1AE0">
        <w:rPr>
          <w:vertAlign w:val="subscript"/>
        </w:rPr>
        <w:t>2</w:t>
      </w:r>
      <w:r w:rsidRPr="009D1AE0">
        <w:t xml:space="preserve"> QUOTAS </w:t>
      </w:r>
      <w:r w:rsidR="00C82B71" w:rsidRPr="009D1AE0">
        <w:t xml:space="preserve">(% OF 2019 YEAR) </w:t>
      </w:r>
      <w:r w:rsidRPr="009D1AE0">
        <w:t>AND CO</w:t>
      </w:r>
      <w:r w:rsidRPr="009D1AE0">
        <w:rPr>
          <w:vertAlign w:val="subscript"/>
        </w:rPr>
        <w:t>2</w:t>
      </w:r>
      <w:r w:rsidRPr="009D1AE0">
        <w:t xml:space="preserve"> PRICES</w:t>
      </w:r>
    </w:p>
    <w:p w14:paraId="5CC862CF" w14:textId="77777777" w:rsidR="00216DAB" w:rsidRPr="009D1AE0" w:rsidRDefault="00216DAB" w:rsidP="00216DAB">
      <w:pPr>
        <w:pStyle w:val="a1"/>
      </w:pPr>
    </w:p>
    <w:tbl>
      <w:tblPr>
        <w:tblStyle w:val="ae"/>
        <w:tblW w:w="9571"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4"/>
        <w:gridCol w:w="817"/>
        <w:gridCol w:w="1186"/>
        <w:gridCol w:w="1186"/>
        <w:gridCol w:w="1186"/>
        <w:gridCol w:w="1186"/>
        <w:gridCol w:w="1186"/>
      </w:tblGrid>
      <w:tr w:rsidR="00216DAB" w:rsidRPr="009D1AE0" w14:paraId="423496D6" w14:textId="77777777" w:rsidTr="00EC65A9">
        <w:trPr>
          <w:jc w:val="center"/>
        </w:trPr>
        <w:tc>
          <w:tcPr>
            <w:tcW w:w="2824" w:type="dxa"/>
            <w:tcBorders>
              <w:top w:val="single" w:sz="4" w:space="0" w:color="auto"/>
              <w:bottom w:val="single" w:sz="4" w:space="0" w:color="auto"/>
            </w:tcBorders>
          </w:tcPr>
          <w:p w14:paraId="0E837DB0" w14:textId="5F6008A9" w:rsidR="00216DAB" w:rsidRPr="009D1AE0" w:rsidRDefault="00216DAB" w:rsidP="00532EED">
            <w:pPr>
              <w:pStyle w:val="a1"/>
              <w:ind w:firstLine="0"/>
            </w:pPr>
          </w:p>
        </w:tc>
        <w:tc>
          <w:tcPr>
            <w:tcW w:w="817" w:type="dxa"/>
            <w:tcBorders>
              <w:top w:val="single" w:sz="4" w:space="0" w:color="auto"/>
              <w:bottom w:val="single" w:sz="4" w:space="0" w:color="auto"/>
            </w:tcBorders>
          </w:tcPr>
          <w:p w14:paraId="65797E49" w14:textId="77777777" w:rsidR="00216DAB" w:rsidRPr="009D1AE0" w:rsidRDefault="00216DAB" w:rsidP="00532EED">
            <w:pPr>
              <w:pStyle w:val="a1"/>
              <w:ind w:firstLine="0"/>
              <w:jc w:val="center"/>
            </w:pPr>
            <w:r w:rsidRPr="009D1AE0">
              <w:t>2021</w:t>
            </w:r>
          </w:p>
        </w:tc>
        <w:tc>
          <w:tcPr>
            <w:tcW w:w="1186" w:type="dxa"/>
            <w:tcBorders>
              <w:top w:val="single" w:sz="4" w:space="0" w:color="auto"/>
              <w:bottom w:val="single" w:sz="4" w:space="0" w:color="auto"/>
            </w:tcBorders>
          </w:tcPr>
          <w:p w14:paraId="2EABCCB8" w14:textId="0FD97009" w:rsidR="00393D57" w:rsidRPr="009D1AE0" w:rsidRDefault="00216DAB" w:rsidP="00393D57">
            <w:pPr>
              <w:pStyle w:val="a1"/>
              <w:ind w:firstLine="0"/>
              <w:jc w:val="center"/>
            </w:pPr>
            <w:r w:rsidRPr="009D1AE0">
              <w:t xml:space="preserve">2050 </w:t>
            </w:r>
          </w:p>
          <w:p w14:paraId="5D07D55E" w14:textId="70984406" w:rsidR="00216DAB" w:rsidRPr="009D1AE0" w:rsidRDefault="00216DAB" w:rsidP="00EC65A9">
            <w:pPr>
              <w:pStyle w:val="a1"/>
              <w:ind w:firstLine="0"/>
              <w:jc w:val="center"/>
              <w:rPr>
                <w:sz w:val="22"/>
              </w:rPr>
            </w:pPr>
            <w:r w:rsidRPr="009D1AE0">
              <w:t>CO</w:t>
            </w:r>
            <w:r w:rsidRPr="009D1AE0">
              <w:rPr>
                <w:vertAlign w:val="subscript"/>
              </w:rPr>
              <w:t>2</w:t>
            </w:r>
            <w:r w:rsidRPr="009D1AE0">
              <w:t xml:space="preserve"> limit at 84,6% </w:t>
            </w:r>
          </w:p>
        </w:tc>
        <w:tc>
          <w:tcPr>
            <w:tcW w:w="1186" w:type="dxa"/>
            <w:tcBorders>
              <w:top w:val="single" w:sz="4" w:space="0" w:color="auto"/>
              <w:bottom w:val="single" w:sz="4" w:space="0" w:color="auto"/>
            </w:tcBorders>
          </w:tcPr>
          <w:p w14:paraId="10914EBE" w14:textId="77777777" w:rsidR="00216DAB" w:rsidRPr="009D1AE0" w:rsidRDefault="00216DAB" w:rsidP="00532EED">
            <w:pPr>
              <w:pStyle w:val="a1"/>
              <w:ind w:firstLine="0"/>
              <w:jc w:val="center"/>
            </w:pPr>
            <w:r w:rsidRPr="009D1AE0">
              <w:t xml:space="preserve">2050 </w:t>
            </w:r>
          </w:p>
          <w:p w14:paraId="31869AED" w14:textId="1C769A3C" w:rsidR="00216DAB" w:rsidRPr="009D1AE0" w:rsidRDefault="00216DAB" w:rsidP="00EC65A9">
            <w:pPr>
              <w:pStyle w:val="a1"/>
              <w:ind w:firstLine="0"/>
              <w:jc w:val="center"/>
              <w:rPr>
                <w:sz w:val="22"/>
              </w:rPr>
            </w:pPr>
            <w:r w:rsidRPr="009D1AE0">
              <w:t>CO</w:t>
            </w:r>
            <w:r w:rsidRPr="009D1AE0">
              <w:rPr>
                <w:vertAlign w:val="subscript"/>
              </w:rPr>
              <w:t>2</w:t>
            </w:r>
            <w:r w:rsidRPr="009D1AE0">
              <w:t xml:space="preserve"> limit at 60% </w:t>
            </w:r>
          </w:p>
        </w:tc>
        <w:tc>
          <w:tcPr>
            <w:tcW w:w="1186" w:type="dxa"/>
            <w:tcBorders>
              <w:top w:val="single" w:sz="4" w:space="0" w:color="auto"/>
              <w:bottom w:val="single" w:sz="4" w:space="0" w:color="auto"/>
            </w:tcBorders>
          </w:tcPr>
          <w:p w14:paraId="13F25004" w14:textId="77777777" w:rsidR="00216DAB" w:rsidRPr="009D1AE0" w:rsidRDefault="00216DAB" w:rsidP="00532EED">
            <w:pPr>
              <w:pStyle w:val="a1"/>
              <w:ind w:firstLine="0"/>
              <w:jc w:val="center"/>
            </w:pPr>
            <w:r w:rsidRPr="009D1AE0">
              <w:t xml:space="preserve">2050 </w:t>
            </w:r>
          </w:p>
          <w:p w14:paraId="51F45BBB" w14:textId="0D07B39C" w:rsidR="00216DAB" w:rsidRPr="009D1AE0" w:rsidRDefault="00216DAB" w:rsidP="00EC65A9">
            <w:pPr>
              <w:pStyle w:val="a1"/>
              <w:ind w:firstLine="0"/>
              <w:jc w:val="center"/>
              <w:rPr>
                <w:sz w:val="22"/>
              </w:rPr>
            </w:pPr>
            <w:r w:rsidRPr="009D1AE0">
              <w:t>CO</w:t>
            </w:r>
            <w:r w:rsidRPr="009D1AE0">
              <w:rPr>
                <w:vertAlign w:val="subscript"/>
              </w:rPr>
              <w:t>2</w:t>
            </w:r>
            <w:r w:rsidRPr="009D1AE0">
              <w:t xml:space="preserve"> limit at 50% </w:t>
            </w:r>
          </w:p>
        </w:tc>
        <w:tc>
          <w:tcPr>
            <w:tcW w:w="1186" w:type="dxa"/>
            <w:tcBorders>
              <w:top w:val="single" w:sz="4" w:space="0" w:color="auto"/>
              <w:bottom w:val="single" w:sz="4" w:space="0" w:color="auto"/>
            </w:tcBorders>
          </w:tcPr>
          <w:p w14:paraId="266FEA34" w14:textId="77777777" w:rsidR="00216DAB" w:rsidRPr="009D1AE0" w:rsidRDefault="00216DAB" w:rsidP="00532EED">
            <w:pPr>
              <w:pStyle w:val="a1"/>
              <w:ind w:firstLine="0"/>
              <w:jc w:val="center"/>
            </w:pPr>
            <w:r w:rsidRPr="009D1AE0">
              <w:t xml:space="preserve">2050 </w:t>
            </w:r>
          </w:p>
          <w:p w14:paraId="2E789B7E" w14:textId="77777777" w:rsidR="00216DAB" w:rsidRPr="009D1AE0" w:rsidRDefault="00216DAB" w:rsidP="00532EED">
            <w:pPr>
              <w:pStyle w:val="a1"/>
              <w:ind w:firstLine="0"/>
              <w:jc w:val="center"/>
            </w:pPr>
            <w:r w:rsidRPr="009D1AE0">
              <w:t>CO</w:t>
            </w:r>
            <w:r w:rsidRPr="009D1AE0">
              <w:rPr>
                <w:vertAlign w:val="subscript"/>
              </w:rPr>
              <w:t>2</w:t>
            </w:r>
            <w:r w:rsidRPr="009D1AE0">
              <w:t xml:space="preserve"> price 100$/t CO</w:t>
            </w:r>
            <w:r w:rsidRPr="009D1AE0">
              <w:rPr>
                <w:vertAlign w:val="subscript"/>
              </w:rPr>
              <w:t>2</w:t>
            </w:r>
          </w:p>
        </w:tc>
        <w:tc>
          <w:tcPr>
            <w:tcW w:w="1186" w:type="dxa"/>
            <w:tcBorders>
              <w:top w:val="single" w:sz="4" w:space="0" w:color="auto"/>
              <w:bottom w:val="single" w:sz="4" w:space="0" w:color="auto"/>
            </w:tcBorders>
          </w:tcPr>
          <w:p w14:paraId="63F1F901" w14:textId="77777777" w:rsidR="00216DAB" w:rsidRPr="009D1AE0" w:rsidRDefault="00216DAB" w:rsidP="00532EED">
            <w:pPr>
              <w:pStyle w:val="a1"/>
              <w:ind w:firstLine="0"/>
              <w:jc w:val="center"/>
            </w:pPr>
            <w:r w:rsidRPr="009D1AE0">
              <w:t xml:space="preserve">2050 </w:t>
            </w:r>
          </w:p>
          <w:p w14:paraId="54EA7919" w14:textId="77777777" w:rsidR="00216DAB" w:rsidRPr="009D1AE0" w:rsidRDefault="00216DAB" w:rsidP="00532EED">
            <w:pPr>
              <w:pStyle w:val="a1"/>
              <w:ind w:firstLine="0"/>
              <w:jc w:val="center"/>
            </w:pPr>
            <w:r w:rsidRPr="009D1AE0">
              <w:t>CO</w:t>
            </w:r>
            <w:r w:rsidRPr="009D1AE0">
              <w:rPr>
                <w:vertAlign w:val="subscript"/>
              </w:rPr>
              <w:t>2</w:t>
            </w:r>
            <w:r w:rsidRPr="009D1AE0">
              <w:t xml:space="preserve"> price 200$/t CO</w:t>
            </w:r>
            <w:r w:rsidRPr="009D1AE0">
              <w:rPr>
                <w:vertAlign w:val="subscript"/>
              </w:rPr>
              <w:t>2</w:t>
            </w:r>
          </w:p>
        </w:tc>
      </w:tr>
      <w:tr w:rsidR="00216DAB" w:rsidRPr="009D1AE0" w14:paraId="2711F7CA" w14:textId="77777777" w:rsidTr="00EC65A9">
        <w:trPr>
          <w:jc w:val="center"/>
        </w:trPr>
        <w:tc>
          <w:tcPr>
            <w:tcW w:w="2824" w:type="dxa"/>
            <w:tcBorders>
              <w:top w:val="single" w:sz="4" w:space="0" w:color="auto"/>
            </w:tcBorders>
          </w:tcPr>
          <w:p w14:paraId="768B7903" w14:textId="4B8E9900" w:rsidR="00216DAB" w:rsidRPr="009D1AE0" w:rsidRDefault="00C82B71">
            <w:pPr>
              <w:rPr>
                <w:lang w:val="en-US"/>
              </w:rPr>
            </w:pPr>
            <w:r w:rsidRPr="009D1AE0">
              <w:rPr>
                <w:lang w:val="en-US"/>
              </w:rPr>
              <w:t>E</w:t>
            </w:r>
            <w:r w:rsidR="00216DAB" w:rsidRPr="009D1AE0">
              <w:rPr>
                <w:lang w:val="en-US"/>
              </w:rPr>
              <w:t>lectricity production,</w:t>
            </w:r>
            <w:r w:rsidRPr="009D1AE0">
              <w:rPr>
                <w:lang w:val="en-US"/>
              </w:rPr>
              <w:t xml:space="preserve"> </w:t>
            </w:r>
            <w:proofErr w:type="spellStart"/>
            <w:r w:rsidR="00216DAB" w:rsidRPr="009D1AE0">
              <w:rPr>
                <w:lang w:val="en-US"/>
              </w:rPr>
              <w:t>TWh</w:t>
            </w:r>
            <w:proofErr w:type="spellEnd"/>
          </w:p>
        </w:tc>
        <w:tc>
          <w:tcPr>
            <w:tcW w:w="817" w:type="dxa"/>
            <w:tcBorders>
              <w:top w:val="single" w:sz="4" w:space="0" w:color="auto"/>
            </w:tcBorders>
            <w:vAlign w:val="center"/>
          </w:tcPr>
          <w:p w14:paraId="5FAE7028" w14:textId="77777777" w:rsidR="00216DAB" w:rsidRPr="009D1AE0" w:rsidRDefault="00216DAB" w:rsidP="00532EED">
            <w:pPr>
              <w:pStyle w:val="a1"/>
              <w:ind w:firstLine="0"/>
              <w:jc w:val="center"/>
              <w:rPr>
                <w:lang w:val="ru-RU"/>
              </w:rPr>
            </w:pPr>
            <w:r w:rsidRPr="009D1AE0">
              <w:rPr>
                <w:lang w:val="ru-RU"/>
              </w:rPr>
              <w:t>1159</w:t>
            </w:r>
          </w:p>
        </w:tc>
        <w:tc>
          <w:tcPr>
            <w:tcW w:w="1186" w:type="dxa"/>
            <w:tcBorders>
              <w:top w:val="single" w:sz="4" w:space="0" w:color="auto"/>
            </w:tcBorders>
            <w:vAlign w:val="center"/>
          </w:tcPr>
          <w:p w14:paraId="4211A957" w14:textId="77777777" w:rsidR="00216DAB" w:rsidRPr="009D1AE0" w:rsidRDefault="00216DAB" w:rsidP="00532EED">
            <w:pPr>
              <w:pStyle w:val="a1"/>
              <w:ind w:firstLine="0"/>
              <w:jc w:val="center"/>
              <w:rPr>
                <w:lang w:val="ru-RU"/>
              </w:rPr>
            </w:pPr>
            <w:r w:rsidRPr="009D1AE0">
              <w:rPr>
                <w:lang w:val="ru-RU"/>
              </w:rPr>
              <w:t>1482</w:t>
            </w:r>
          </w:p>
        </w:tc>
        <w:tc>
          <w:tcPr>
            <w:tcW w:w="1186" w:type="dxa"/>
            <w:tcBorders>
              <w:top w:val="single" w:sz="4" w:space="0" w:color="auto"/>
            </w:tcBorders>
            <w:vAlign w:val="center"/>
          </w:tcPr>
          <w:p w14:paraId="3A9A3D48" w14:textId="77777777" w:rsidR="00216DAB" w:rsidRPr="009D1AE0" w:rsidRDefault="00216DAB" w:rsidP="00532EED">
            <w:pPr>
              <w:pStyle w:val="a1"/>
              <w:ind w:firstLine="0"/>
              <w:jc w:val="center"/>
              <w:rPr>
                <w:lang w:val="ru-RU"/>
              </w:rPr>
            </w:pPr>
            <w:r w:rsidRPr="009D1AE0">
              <w:rPr>
                <w:lang w:val="ru-RU"/>
              </w:rPr>
              <w:t>1610</w:t>
            </w:r>
          </w:p>
        </w:tc>
        <w:tc>
          <w:tcPr>
            <w:tcW w:w="1186" w:type="dxa"/>
            <w:tcBorders>
              <w:top w:val="single" w:sz="4" w:space="0" w:color="auto"/>
            </w:tcBorders>
            <w:vAlign w:val="center"/>
          </w:tcPr>
          <w:p w14:paraId="4A2DC25B" w14:textId="77777777" w:rsidR="00216DAB" w:rsidRPr="009D1AE0" w:rsidRDefault="00216DAB" w:rsidP="00532EED">
            <w:pPr>
              <w:pStyle w:val="a1"/>
              <w:ind w:firstLine="0"/>
              <w:jc w:val="center"/>
              <w:rPr>
                <w:lang w:val="ru-RU"/>
              </w:rPr>
            </w:pPr>
            <w:r w:rsidRPr="009D1AE0">
              <w:rPr>
                <w:lang w:val="ru-RU"/>
              </w:rPr>
              <w:t>1821</w:t>
            </w:r>
          </w:p>
        </w:tc>
        <w:tc>
          <w:tcPr>
            <w:tcW w:w="1186" w:type="dxa"/>
            <w:tcBorders>
              <w:top w:val="single" w:sz="4" w:space="0" w:color="auto"/>
            </w:tcBorders>
            <w:vAlign w:val="center"/>
          </w:tcPr>
          <w:p w14:paraId="5885F6AC" w14:textId="77777777" w:rsidR="00216DAB" w:rsidRPr="009D1AE0" w:rsidRDefault="00216DAB" w:rsidP="00532EED">
            <w:pPr>
              <w:pStyle w:val="a1"/>
              <w:ind w:firstLine="0"/>
              <w:jc w:val="center"/>
              <w:rPr>
                <w:lang w:val="ru-RU"/>
              </w:rPr>
            </w:pPr>
            <w:r w:rsidRPr="009D1AE0">
              <w:rPr>
                <w:lang w:val="ru-RU"/>
              </w:rPr>
              <w:t>1532</w:t>
            </w:r>
          </w:p>
        </w:tc>
        <w:tc>
          <w:tcPr>
            <w:tcW w:w="1186" w:type="dxa"/>
            <w:tcBorders>
              <w:top w:val="single" w:sz="4" w:space="0" w:color="auto"/>
            </w:tcBorders>
            <w:vAlign w:val="center"/>
          </w:tcPr>
          <w:p w14:paraId="2655079E" w14:textId="77777777" w:rsidR="00216DAB" w:rsidRPr="009D1AE0" w:rsidRDefault="00216DAB" w:rsidP="00532EED">
            <w:pPr>
              <w:pStyle w:val="a1"/>
              <w:ind w:firstLine="0"/>
              <w:jc w:val="center"/>
              <w:rPr>
                <w:lang w:val="ru-RU"/>
              </w:rPr>
            </w:pPr>
            <w:r w:rsidRPr="009D1AE0">
              <w:rPr>
                <w:lang w:val="ru-RU"/>
              </w:rPr>
              <w:t>1669</w:t>
            </w:r>
          </w:p>
        </w:tc>
      </w:tr>
      <w:tr w:rsidR="00532EED" w:rsidRPr="009D1AE0" w14:paraId="781672D4" w14:textId="77777777" w:rsidTr="00EC65A9">
        <w:trPr>
          <w:jc w:val="center"/>
        </w:trPr>
        <w:tc>
          <w:tcPr>
            <w:tcW w:w="2824" w:type="dxa"/>
          </w:tcPr>
          <w:p w14:paraId="184A3B2B" w14:textId="07600FA0" w:rsidR="00532EED" w:rsidRPr="009D1AE0" w:rsidRDefault="00532EED" w:rsidP="00532EED">
            <w:pPr>
              <w:ind w:left="164"/>
              <w:rPr>
                <w:lang w:val="en-US"/>
              </w:rPr>
            </w:pPr>
            <w:r w:rsidRPr="009D1AE0">
              <w:rPr>
                <w:lang w:val="en-US"/>
              </w:rPr>
              <w:t>the same, PJ</w:t>
            </w:r>
          </w:p>
        </w:tc>
        <w:tc>
          <w:tcPr>
            <w:tcW w:w="817" w:type="dxa"/>
          </w:tcPr>
          <w:p w14:paraId="72CCA5A1" w14:textId="58456A02" w:rsidR="00532EED" w:rsidRPr="009D1AE0" w:rsidRDefault="00532EED" w:rsidP="00532EED">
            <w:pPr>
              <w:pStyle w:val="a1"/>
              <w:ind w:firstLine="0"/>
              <w:jc w:val="center"/>
              <w:rPr>
                <w:lang w:val="ru-RU"/>
              </w:rPr>
            </w:pPr>
            <w:r w:rsidRPr="009D1AE0">
              <w:rPr>
                <w:lang w:val="ru-RU"/>
              </w:rPr>
              <w:t>4172</w:t>
            </w:r>
          </w:p>
        </w:tc>
        <w:tc>
          <w:tcPr>
            <w:tcW w:w="1186" w:type="dxa"/>
          </w:tcPr>
          <w:p w14:paraId="2FFAF67E" w14:textId="7A00A63D" w:rsidR="00532EED" w:rsidRPr="009D1AE0" w:rsidRDefault="00532EED" w:rsidP="00532EED">
            <w:pPr>
              <w:pStyle w:val="a1"/>
              <w:ind w:firstLine="0"/>
              <w:jc w:val="center"/>
              <w:rPr>
                <w:lang w:val="ru-RU"/>
              </w:rPr>
            </w:pPr>
            <w:r w:rsidRPr="009D1AE0">
              <w:rPr>
                <w:lang w:val="ru-RU"/>
              </w:rPr>
              <w:t>5335</w:t>
            </w:r>
          </w:p>
        </w:tc>
        <w:tc>
          <w:tcPr>
            <w:tcW w:w="1186" w:type="dxa"/>
          </w:tcPr>
          <w:p w14:paraId="49CF13EB" w14:textId="05F6785C" w:rsidR="00532EED" w:rsidRPr="009D1AE0" w:rsidRDefault="00532EED" w:rsidP="00532EED">
            <w:pPr>
              <w:pStyle w:val="a1"/>
              <w:ind w:firstLine="0"/>
              <w:jc w:val="center"/>
              <w:rPr>
                <w:lang w:val="ru-RU"/>
              </w:rPr>
            </w:pPr>
            <w:r w:rsidRPr="009D1AE0">
              <w:rPr>
                <w:lang w:val="ru-RU"/>
              </w:rPr>
              <w:t>5796</w:t>
            </w:r>
          </w:p>
        </w:tc>
        <w:tc>
          <w:tcPr>
            <w:tcW w:w="1186" w:type="dxa"/>
          </w:tcPr>
          <w:p w14:paraId="283BF78A" w14:textId="5B74212F" w:rsidR="00532EED" w:rsidRPr="009D1AE0" w:rsidRDefault="00532EED" w:rsidP="00532EED">
            <w:pPr>
              <w:pStyle w:val="a1"/>
              <w:ind w:firstLine="0"/>
              <w:jc w:val="center"/>
              <w:rPr>
                <w:lang w:val="ru-RU"/>
              </w:rPr>
            </w:pPr>
            <w:r w:rsidRPr="009D1AE0">
              <w:rPr>
                <w:lang w:val="ru-RU"/>
              </w:rPr>
              <w:t>6556</w:t>
            </w:r>
          </w:p>
        </w:tc>
        <w:tc>
          <w:tcPr>
            <w:tcW w:w="1186" w:type="dxa"/>
          </w:tcPr>
          <w:p w14:paraId="1F942275" w14:textId="1129F805" w:rsidR="00532EED" w:rsidRPr="009D1AE0" w:rsidRDefault="00532EED" w:rsidP="00532EED">
            <w:pPr>
              <w:pStyle w:val="a1"/>
              <w:ind w:firstLine="0"/>
              <w:jc w:val="center"/>
              <w:rPr>
                <w:lang w:val="ru-RU"/>
              </w:rPr>
            </w:pPr>
            <w:r w:rsidRPr="009D1AE0">
              <w:rPr>
                <w:lang w:val="ru-RU"/>
              </w:rPr>
              <w:t>5515</w:t>
            </w:r>
          </w:p>
        </w:tc>
        <w:tc>
          <w:tcPr>
            <w:tcW w:w="1186" w:type="dxa"/>
          </w:tcPr>
          <w:p w14:paraId="10FA9442" w14:textId="121C9988" w:rsidR="00532EED" w:rsidRPr="009D1AE0" w:rsidRDefault="00532EED" w:rsidP="00532EED">
            <w:pPr>
              <w:pStyle w:val="a1"/>
              <w:ind w:firstLine="0"/>
              <w:jc w:val="center"/>
              <w:rPr>
                <w:lang w:val="ru-RU"/>
              </w:rPr>
            </w:pPr>
            <w:r w:rsidRPr="009D1AE0">
              <w:rPr>
                <w:lang w:val="ru-RU"/>
              </w:rPr>
              <w:t>6008</w:t>
            </w:r>
          </w:p>
        </w:tc>
      </w:tr>
      <w:tr w:rsidR="00216DAB" w:rsidRPr="009D1AE0" w14:paraId="61E7D627" w14:textId="77777777" w:rsidTr="00EC65A9">
        <w:trPr>
          <w:jc w:val="center"/>
        </w:trPr>
        <w:tc>
          <w:tcPr>
            <w:tcW w:w="2824" w:type="dxa"/>
          </w:tcPr>
          <w:p w14:paraId="775BCD7B" w14:textId="7ACD663F" w:rsidR="00216DAB" w:rsidRPr="009D1AE0" w:rsidRDefault="00216DAB" w:rsidP="00532EED">
            <w:pPr>
              <w:rPr>
                <w:lang w:val="en-US"/>
              </w:rPr>
            </w:pPr>
            <w:r w:rsidRPr="009D1AE0">
              <w:rPr>
                <w:lang w:val="en-US"/>
              </w:rPr>
              <w:t>Electricity production structure, %, including</w:t>
            </w:r>
          </w:p>
        </w:tc>
        <w:tc>
          <w:tcPr>
            <w:tcW w:w="817" w:type="dxa"/>
            <w:vAlign w:val="center"/>
          </w:tcPr>
          <w:p w14:paraId="17E6E45E" w14:textId="77777777" w:rsidR="00216DAB" w:rsidRPr="009D1AE0" w:rsidRDefault="00216DAB" w:rsidP="00532EED">
            <w:pPr>
              <w:pStyle w:val="a1"/>
              <w:ind w:firstLine="0"/>
              <w:jc w:val="center"/>
              <w:rPr>
                <w:lang w:val="ru-RU"/>
              </w:rPr>
            </w:pPr>
            <w:r w:rsidRPr="009D1AE0">
              <w:rPr>
                <w:lang w:val="ru-RU"/>
              </w:rPr>
              <w:t>100,0</w:t>
            </w:r>
          </w:p>
        </w:tc>
        <w:tc>
          <w:tcPr>
            <w:tcW w:w="1186" w:type="dxa"/>
            <w:vAlign w:val="center"/>
          </w:tcPr>
          <w:p w14:paraId="0FD3A738" w14:textId="77777777" w:rsidR="00216DAB" w:rsidRPr="009D1AE0" w:rsidRDefault="00216DAB" w:rsidP="00532EED">
            <w:pPr>
              <w:pStyle w:val="a1"/>
              <w:ind w:firstLine="0"/>
              <w:jc w:val="center"/>
              <w:rPr>
                <w:lang w:val="ru-RU"/>
              </w:rPr>
            </w:pPr>
            <w:r w:rsidRPr="009D1AE0">
              <w:rPr>
                <w:lang w:val="ru-RU"/>
              </w:rPr>
              <w:t>100,0</w:t>
            </w:r>
          </w:p>
        </w:tc>
        <w:tc>
          <w:tcPr>
            <w:tcW w:w="1186" w:type="dxa"/>
            <w:vAlign w:val="center"/>
          </w:tcPr>
          <w:p w14:paraId="45C2C43E" w14:textId="77777777" w:rsidR="00216DAB" w:rsidRPr="009D1AE0" w:rsidRDefault="00216DAB" w:rsidP="00532EED">
            <w:pPr>
              <w:pStyle w:val="a1"/>
              <w:ind w:firstLine="0"/>
              <w:jc w:val="center"/>
              <w:rPr>
                <w:lang w:val="ru-RU"/>
              </w:rPr>
            </w:pPr>
            <w:r w:rsidRPr="009D1AE0">
              <w:rPr>
                <w:lang w:val="ru-RU"/>
              </w:rPr>
              <w:t>100,0</w:t>
            </w:r>
          </w:p>
        </w:tc>
        <w:tc>
          <w:tcPr>
            <w:tcW w:w="1186" w:type="dxa"/>
            <w:vAlign w:val="center"/>
          </w:tcPr>
          <w:p w14:paraId="5BEF6181" w14:textId="77777777" w:rsidR="00216DAB" w:rsidRPr="009D1AE0" w:rsidRDefault="00216DAB" w:rsidP="00532EED">
            <w:pPr>
              <w:pStyle w:val="a1"/>
              <w:ind w:firstLine="0"/>
              <w:jc w:val="center"/>
              <w:rPr>
                <w:lang w:val="ru-RU"/>
              </w:rPr>
            </w:pPr>
            <w:r w:rsidRPr="009D1AE0">
              <w:rPr>
                <w:lang w:val="ru-RU"/>
              </w:rPr>
              <w:t>100,0</w:t>
            </w:r>
          </w:p>
        </w:tc>
        <w:tc>
          <w:tcPr>
            <w:tcW w:w="1186" w:type="dxa"/>
            <w:vAlign w:val="center"/>
          </w:tcPr>
          <w:p w14:paraId="097C69AF" w14:textId="77777777" w:rsidR="00216DAB" w:rsidRPr="009D1AE0" w:rsidRDefault="00216DAB" w:rsidP="00532EED">
            <w:pPr>
              <w:pStyle w:val="a1"/>
              <w:ind w:firstLine="0"/>
              <w:jc w:val="center"/>
              <w:rPr>
                <w:lang w:val="ru-RU"/>
              </w:rPr>
            </w:pPr>
            <w:r w:rsidRPr="009D1AE0">
              <w:rPr>
                <w:lang w:val="ru-RU"/>
              </w:rPr>
              <w:t>100,0</w:t>
            </w:r>
          </w:p>
        </w:tc>
        <w:tc>
          <w:tcPr>
            <w:tcW w:w="1186" w:type="dxa"/>
            <w:vAlign w:val="center"/>
          </w:tcPr>
          <w:p w14:paraId="04EF0D8F" w14:textId="77777777" w:rsidR="00216DAB" w:rsidRPr="009D1AE0" w:rsidRDefault="00216DAB" w:rsidP="00532EED">
            <w:pPr>
              <w:pStyle w:val="a1"/>
              <w:ind w:firstLine="0"/>
              <w:jc w:val="center"/>
              <w:rPr>
                <w:lang w:val="ru-RU"/>
              </w:rPr>
            </w:pPr>
            <w:r w:rsidRPr="009D1AE0">
              <w:rPr>
                <w:lang w:val="ru-RU"/>
              </w:rPr>
              <w:t>100,0</w:t>
            </w:r>
          </w:p>
        </w:tc>
      </w:tr>
      <w:tr w:rsidR="00004B05" w:rsidRPr="009D1AE0" w14:paraId="5DFDC7DE" w14:textId="77777777" w:rsidTr="00EC65A9">
        <w:trPr>
          <w:jc w:val="center"/>
        </w:trPr>
        <w:tc>
          <w:tcPr>
            <w:tcW w:w="2824" w:type="dxa"/>
          </w:tcPr>
          <w:p w14:paraId="160F80A5" w14:textId="1E7081CB" w:rsidR="00004B05" w:rsidRPr="009D1AE0" w:rsidRDefault="00004B05" w:rsidP="00532EED">
            <w:pPr>
              <w:ind w:left="142"/>
            </w:pPr>
            <w:r w:rsidRPr="009D1AE0">
              <w:t>Hydro and RES</w:t>
            </w:r>
          </w:p>
        </w:tc>
        <w:tc>
          <w:tcPr>
            <w:tcW w:w="817" w:type="dxa"/>
            <w:vAlign w:val="bottom"/>
          </w:tcPr>
          <w:p w14:paraId="6BC6F1B0" w14:textId="0B9F0746" w:rsidR="00004B05" w:rsidRPr="009D1AE0" w:rsidRDefault="00004B05" w:rsidP="00004B05">
            <w:pPr>
              <w:jc w:val="center"/>
              <w:rPr>
                <w:lang w:eastAsia="ru-RU"/>
              </w:rPr>
            </w:pPr>
            <w:r w:rsidRPr="009D1AE0">
              <w:rPr>
                <w:lang w:eastAsia="ru-RU"/>
              </w:rPr>
              <w:t>19.5</w:t>
            </w:r>
          </w:p>
        </w:tc>
        <w:tc>
          <w:tcPr>
            <w:tcW w:w="1186" w:type="dxa"/>
            <w:vAlign w:val="bottom"/>
          </w:tcPr>
          <w:p w14:paraId="4A32CC2C" w14:textId="251CA0F2" w:rsidR="00004B05" w:rsidRPr="009D1AE0" w:rsidRDefault="00004B05" w:rsidP="00004B05">
            <w:pPr>
              <w:pStyle w:val="a1"/>
              <w:ind w:firstLine="0"/>
              <w:jc w:val="center"/>
              <w:rPr>
                <w:sz w:val="22"/>
                <w:lang w:eastAsia="ru-RU"/>
              </w:rPr>
            </w:pPr>
            <w:r w:rsidRPr="009D1AE0">
              <w:rPr>
                <w:sz w:val="22"/>
                <w:lang w:eastAsia="ru-RU"/>
              </w:rPr>
              <w:t>19.7</w:t>
            </w:r>
          </w:p>
        </w:tc>
        <w:tc>
          <w:tcPr>
            <w:tcW w:w="1186" w:type="dxa"/>
            <w:vAlign w:val="bottom"/>
          </w:tcPr>
          <w:p w14:paraId="19CF88BB" w14:textId="69F4BD49" w:rsidR="00004B05" w:rsidRPr="009D1AE0" w:rsidRDefault="00004B05" w:rsidP="00004B05">
            <w:pPr>
              <w:pStyle w:val="a1"/>
              <w:ind w:firstLine="0"/>
              <w:jc w:val="center"/>
              <w:rPr>
                <w:sz w:val="22"/>
                <w:lang w:eastAsia="ru-RU"/>
              </w:rPr>
            </w:pPr>
            <w:r w:rsidRPr="009D1AE0">
              <w:rPr>
                <w:sz w:val="22"/>
                <w:lang w:eastAsia="ru-RU"/>
              </w:rPr>
              <w:t>21.5</w:t>
            </w:r>
          </w:p>
        </w:tc>
        <w:tc>
          <w:tcPr>
            <w:tcW w:w="1186" w:type="dxa"/>
            <w:vAlign w:val="bottom"/>
          </w:tcPr>
          <w:p w14:paraId="49BD321E" w14:textId="6254B516" w:rsidR="00004B05" w:rsidRPr="009D1AE0" w:rsidRDefault="00004B05" w:rsidP="00004B05">
            <w:pPr>
              <w:pStyle w:val="a1"/>
              <w:ind w:firstLine="0"/>
              <w:jc w:val="center"/>
              <w:rPr>
                <w:sz w:val="22"/>
                <w:lang w:eastAsia="ru-RU"/>
              </w:rPr>
            </w:pPr>
            <w:r w:rsidRPr="009D1AE0">
              <w:rPr>
                <w:sz w:val="22"/>
                <w:lang w:eastAsia="ru-RU"/>
              </w:rPr>
              <w:t>29.4</w:t>
            </w:r>
          </w:p>
        </w:tc>
        <w:tc>
          <w:tcPr>
            <w:tcW w:w="1186" w:type="dxa"/>
            <w:vAlign w:val="bottom"/>
          </w:tcPr>
          <w:p w14:paraId="7A388DF9" w14:textId="222C22B4" w:rsidR="00004B05" w:rsidRPr="009D1AE0" w:rsidRDefault="00004B05" w:rsidP="00004B05">
            <w:pPr>
              <w:pStyle w:val="a1"/>
              <w:ind w:firstLine="0"/>
              <w:jc w:val="center"/>
              <w:rPr>
                <w:sz w:val="22"/>
                <w:lang w:eastAsia="ru-RU"/>
              </w:rPr>
            </w:pPr>
            <w:r w:rsidRPr="009D1AE0">
              <w:rPr>
                <w:sz w:val="22"/>
                <w:lang w:eastAsia="ru-RU"/>
              </w:rPr>
              <w:t>21.2</w:t>
            </w:r>
          </w:p>
        </w:tc>
        <w:tc>
          <w:tcPr>
            <w:tcW w:w="1186" w:type="dxa"/>
            <w:vAlign w:val="bottom"/>
          </w:tcPr>
          <w:p w14:paraId="66AB8AEE" w14:textId="2697E506" w:rsidR="00004B05" w:rsidRPr="009D1AE0" w:rsidRDefault="00004B05" w:rsidP="00004B05">
            <w:pPr>
              <w:pStyle w:val="a1"/>
              <w:ind w:firstLine="0"/>
              <w:jc w:val="center"/>
              <w:rPr>
                <w:sz w:val="22"/>
                <w:lang w:eastAsia="ru-RU"/>
              </w:rPr>
            </w:pPr>
            <w:r w:rsidRPr="009D1AE0">
              <w:rPr>
                <w:sz w:val="22"/>
                <w:lang w:eastAsia="ru-RU"/>
              </w:rPr>
              <w:t>25.4</w:t>
            </w:r>
          </w:p>
        </w:tc>
      </w:tr>
      <w:tr w:rsidR="00216DAB" w:rsidRPr="009D1AE0" w14:paraId="341E00D4" w14:textId="77777777" w:rsidTr="00EC65A9">
        <w:trPr>
          <w:jc w:val="center"/>
        </w:trPr>
        <w:tc>
          <w:tcPr>
            <w:tcW w:w="2824" w:type="dxa"/>
          </w:tcPr>
          <w:p w14:paraId="35E61852" w14:textId="1B1F51FB" w:rsidR="00216DAB" w:rsidRPr="009D1AE0" w:rsidRDefault="00216DAB" w:rsidP="00216DAB">
            <w:pPr>
              <w:ind w:left="142"/>
            </w:pPr>
            <w:r w:rsidRPr="009D1AE0">
              <w:t>Nuclear</w:t>
            </w:r>
          </w:p>
        </w:tc>
        <w:tc>
          <w:tcPr>
            <w:tcW w:w="817" w:type="dxa"/>
            <w:vAlign w:val="center"/>
          </w:tcPr>
          <w:p w14:paraId="573FC73F" w14:textId="3E53FC37" w:rsidR="00216DAB" w:rsidRPr="009D1AE0" w:rsidRDefault="00216DAB" w:rsidP="00532EED">
            <w:pPr>
              <w:jc w:val="center"/>
              <w:rPr>
                <w:lang w:eastAsia="ru-RU"/>
              </w:rPr>
            </w:pPr>
            <w:r w:rsidRPr="009D1AE0">
              <w:rPr>
                <w:lang w:eastAsia="ru-RU"/>
              </w:rPr>
              <w:t>19</w:t>
            </w:r>
            <w:r w:rsidR="00194CF9" w:rsidRPr="009D1AE0">
              <w:rPr>
                <w:lang w:eastAsia="ru-RU"/>
              </w:rPr>
              <w:t>.</w:t>
            </w:r>
            <w:r w:rsidRPr="009D1AE0">
              <w:rPr>
                <w:lang w:eastAsia="ru-RU"/>
              </w:rPr>
              <w:t>2</w:t>
            </w:r>
          </w:p>
        </w:tc>
        <w:tc>
          <w:tcPr>
            <w:tcW w:w="1186" w:type="dxa"/>
            <w:vAlign w:val="center"/>
          </w:tcPr>
          <w:p w14:paraId="44CBA456" w14:textId="07482BF5" w:rsidR="00216DAB" w:rsidRPr="009D1AE0" w:rsidRDefault="00216DAB" w:rsidP="00532EED">
            <w:pPr>
              <w:pStyle w:val="a1"/>
              <w:ind w:firstLine="0"/>
              <w:jc w:val="center"/>
              <w:rPr>
                <w:lang w:val="ru-RU"/>
              </w:rPr>
            </w:pPr>
            <w:r w:rsidRPr="009D1AE0">
              <w:rPr>
                <w:lang w:val="ru-RU"/>
              </w:rPr>
              <w:t>21</w:t>
            </w:r>
            <w:r w:rsidR="00194CF9" w:rsidRPr="009D1AE0">
              <w:rPr>
                <w:lang w:val="ru-RU"/>
              </w:rPr>
              <w:t>.</w:t>
            </w:r>
            <w:r w:rsidRPr="009D1AE0">
              <w:rPr>
                <w:lang w:val="ru-RU"/>
              </w:rPr>
              <w:t>8</w:t>
            </w:r>
          </w:p>
        </w:tc>
        <w:tc>
          <w:tcPr>
            <w:tcW w:w="1186" w:type="dxa"/>
            <w:vAlign w:val="center"/>
          </w:tcPr>
          <w:p w14:paraId="536C5906" w14:textId="66E6DD77" w:rsidR="00216DAB" w:rsidRPr="009D1AE0" w:rsidRDefault="00216DAB" w:rsidP="00532EED">
            <w:pPr>
              <w:pStyle w:val="a1"/>
              <w:ind w:firstLine="0"/>
              <w:jc w:val="center"/>
              <w:rPr>
                <w:lang w:val="ru-RU"/>
              </w:rPr>
            </w:pPr>
            <w:r w:rsidRPr="009D1AE0">
              <w:rPr>
                <w:lang w:val="ru-RU"/>
              </w:rPr>
              <w:t>55</w:t>
            </w:r>
            <w:r w:rsidR="00194CF9" w:rsidRPr="009D1AE0">
              <w:rPr>
                <w:lang w:val="ru-RU"/>
              </w:rPr>
              <w:t>.</w:t>
            </w:r>
            <w:r w:rsidRPr="009D1AE0">
              <w:rPr>
                <w:lang w:val="ru-RU"/>
              </w:rPr>
              <w:t>0</w:t>
            </w:r>
          </w:p>
        </w:tc>
        <w:tc>
          <w:tcPr>
            <w:tcW w:w="1186" w:type="dxa"/>
            <w:vAlign w:val="center"/>
          </w:tcPr>
          <w:p w14:paraId="7EA01697" w14:textId="251F7F3E" w:rsidR="00216DAB" w:rsidRPr="009D1AE0" w:rsidRDefault="00216DAB" w:rsidP="00532EED">
            <w:pPr>
              <w:pStyle w:val="a1"/>
              <w:ind w:firstLine="0"/>
              <w:jc w:val="center"/>
              <w:rPr>
                <w:lang w:val="ru-RU"/>
              </w:rPr>
            </w:pPr>
            <w:r w:rsidRPr="009D1AE0">
              <w:rPr>
                <w:lang w:val="ru-RU"/>
              </w:rPr>
              <w:t>50</w:t>
            </w:r>
            <w:r w:rsidR="00194CF9" w:rsidRPr="009D1AE0">
              <w:rPr>
                <w:lang w:val="ru-RU"/>
              </w:rPr>
              <w:t>.</w:t>
            </w:r>
            <w:r w:rsidRPr="009D1AE0">
              <w:rPr>
                <w:lang w:val="ru-RU"/>
              </w:rPr>
              <w:t>4</w:t>
            </w:r>
          </w:p>
        </w:tc>
        <w:tc>
          <w:tcPr>
            <w:tcW w:w="1186" w:type="dxa"/>
            <w:vAlign w:val="center"/>
          </w:tcPr>
          <w:p w14:paraId="5E8F8FC5" w14:textId="628E515F" w:rsidR="00216DAB" w:rsidRPr="009D1AE0" w:rsidRDefault="00216DAB" w:rsidP="00532EED">
            <w:pPr>
              <w:pStyle w:val="a1"/>
              <w:ind w:firstLine="0"/>
              <w:jc w:val="center"/>
              <w:rPr>
                <w:lang w:val="ru-RU"/>
              </w:rPr>
            </w:pPr>
            <w:r w:rsidRPr="009D1AE0">
              <w:rPr>
                <w:lang w:val="ru-RU"/>
              </w:rPr>
              <w:t>55</w:t>
            </w:r>
            <w:r w:rsidR="00194CF9" w:rsidRPr="009D1AE0">
              <w:rPr>
                <w:lang w:val="ru-RU"/>
              </w:rPr>
              <w:t>.</w:t>
            </w:r>
            <w:r w:rsidRPr="009D1AE0">
              <w:rPr>
                <w:lang w:val="ru-RU"/>
              </w:rPr>
              <w:t>0</w:t>
            </w:r>
          </w:p>
        </w:tc>
        <w:tc>
          <w:tcPr>
            <w:tcW w:w="1186" w:type="dxa"/>
            <w:vAlign w:val="center"/>
          </w:tcPr>
          <w:p w14:paraId="448B6E94" w14:textId="5C2760B6" w:rsidR="00216DAB" w:rsidRPr="009D1AE0" w:rsidRDefault="00216DAB" w:rsidP="00532EED">
            <w:pPr>
              <w:pStyle w:val="a1"/>
              <w:ind w:firstLine="0"/>
              <w:jc w:val="center"/>
              <w:rPr>
                <w:lang w:val="ru-RU"/>
              </w:rPr>
            </w:pPr>
            <w:r w:rsidRPr="009D1AE0">
              <w:rPr>
                <w:lang w:val="ru-RU"/>
              </w:rPr>
              <w:t>55</w:t>
            </w:r>
            <w:r w:rsidR="00194CF9" w:rsidRPr="009D1AE0">
              <w:rPr>
                <w:lang w:val="ru-RU"/>
              </w:rPr>
              <w:t>.</w:t>
            </w:r>
            <w:r w:rsidRPr="009D1AE0">
              <w:rPr>
                <w:lang w:val="ru-RU"/>
              </w:rPr>
              <w:t>1</w:t>
            </w:r>
          </w:p>
        </w:tc>
      </w:tr>
      <w:tr w:rsidR="00004B05" w:rsidRPr="009D1AE0" w14:paraId="0A5FA437" w14:textId="77777777" w:rsidTr="00EC65A9">
        <w:trPr>
          <w:jc w:val="center"/>
        </w:trPr>
        <w:tc>
          <w:tcPr>
            <w:tcW w:w="2824" w:type="dxa"/>
          </w:tcPr>
          <w:p w14:paraId="7E128F6A" w14:textId="2620F961" w:rsidR="00004B05" w:rsidRPr="009D1AE0" w:rsidRDefault="00004B05" w:rsidP="00532EED">
            <w:pPr>
              <w:pStyle w:val="a1"/>
              <w:ind w:left="142" w:firstLine="0"/>
              <w:rPr>
                <w:lang w:val="en-US"/>
              </w:rPr>
            </w:pPr>
            <w:r w:rsidRPr="009D1AE0">
              <w:rPr>
                <w:color w:val="000000"/>
                <w:sz w:val="21"/>
                <w:szCs w:val="21"/>
                <w:lang w:val="en-US" w:eastAsia="ru-RU"/>
              </w:rPr>
              <w:t>Thermal (gas and coal)</w:t>
            </w:r>
          </w:p>
        </w:tc>
        <w:tc>
          <w:tcPr>
            <w:tcW w:w="817" w:type="dxa"/>
          </w:tcPr>
          <w:p w14:paraId="2914E3E0" w14:textId="29B58DDA" w:rsidR="00004B05" w:rsidRPr="009D1AE0" w:rsidRDefault="00004B05" w:rsidP="00532EED">
            <w:pPr>
              <w:jc w:val="center"/>
              <w:rPr>
                <w:lang w:eastAsia="ru-RU"/>
              </w:rPr>
            </w:pPr>
            <w:r w:rsidRPr="009D1AE0">
              <w:t>61.4</w:t>
            </w:r>
          </w:p>
        </w:tc>
        <w:tc>
          <w:tcPr>
            <w:tcW w:w="1186" w:type="dxa"/>
          </w:tcPr>
          <w:p w14:paraId="2176C059" w14:textId="38112FE8" w:rsidR="00004B05" w:rsidRPr="009D1AE0" w:rsidRDefault="00004B05" w:rsidP="00004B05">
            <w:pPr>
              <w:pStyle w:val="a1"/>
              <w:ind w:firstLine="0"/>
              <w:jc w:val="center"/>
              <w:rPr>
                <w:lang w:val="ru-RU"/>
              </w:rPr>
            </w:pPr>
            <w:r w:rsidRPr="009D1AE0">
              <w:t>58.5</w:t>
            </w:r>
          </w:p>
        </w:tc>
        <w:tc>
          <w:tcPr>
            <w:tcW w:w="1186" w:type="dxa"/>
          </w:tcPr>
          <w:p w14:paraId="63BDE41B" w14:textId="1A4ACE00" w:rsidR="00004B05" w:rsidRPr="009D1AE0" w:rsidRDefault="00004B05" w:rsidP="00532EED">
            <w:pPr>
              <w:pStyle w:val="a1"/>
              <w:ind w:firstLine="0"/>
              <w:jc w:val="center"/>
              <w:rPr>
                <w:lang w:val="ru-RU"/>
              </w:rPr>
            </w:pPr>
            <w:r w:rsidRPr="009D1AE0">
              <w:t>23.5</w:t>
            </w:r>
          </w:p>
        </w:tc>
        <w:tc>
          <w:tcPr>
            <w:tcW w:w="1186" w:type="dxa"/>
          </w:tcPr>
          <w:p w14:paraId="06E4CE7B" w14:textId="5DDCF287" w:rsidR="00004B05" w:rsidRPr="009D1AE0" w:rsidRDefault="00004B05" w:rsidP="00532EED">
            <w:pPr>
              <w:pStyle w:val="a1"/>
              <w:ind w:firstLine="0"/>
              <w:jc w:val="center"/>
              <w:rPr>
                <w:lang w:val="ru-RU"/>
              </w:rPr>
            </w:pPr>
            <w:r w:rsidRPr="009D1AE0">
              <w:t>20.3</w:t>
            </w:r>
          </w:p>
        </w:tc>
        <w:tc>
          <w:tcPr>
            <w:tcW w:w="1186" w:type="dxa"/>
          </w:tcPr>
          <w:p w14:paraId="12D20307" w14:textId="0F6D8F95" w:rsidR="00004B05" w:rsidRPr="009D1AE0" w:rsidRDefault="00004B05" w:rsidP="00532EED">
            <w:pPr>
              <w:pStyle w:val="a1"/>
              <w:ind w:firstLine="0"/>
              <w:jc w:val="center"/>
              <w:rPr>
                <w:lang w:val="ru-RU"/>
              </w:rPr>
            </w:pPr>
            <w:r w:rsidRPr="009D1AE0">
              <w:t>23.6</w:t>
            </w:r>
          </w:p>
        </w:tc>
        <w:tc>
          <w:tcPr>
            <w:tcW w:w="1186" w:type="dxa"/>
          </w:tcPr>
          <w:p w14:paraId="1DCADBD1" w14:textId="4B07ABDA" w:rsidR="00004B05" w:rsidRPr="009D1AE0" w:rsidRDefault="00004B05" w:rsidP="00532EED">
            <w:pPr>
              <w:pStyle w:val="a1"/>
              <w:ind w:firstLine="0"/>
              <w:jc w:val="center"/>
              <w:rPr>
                <w:lang w:val="ru-RU"/>
              </w:rPr>
            </w:pPr>
            <w:r w:rsidRPr="009D1AE0">
              <w:t>19.4</w:t>
            </w:r>
          </w:p>
        </w:tc>
      </w:tr>
      <w:tr w:rsidR="000646F0" w:rsidRPr="009D1AE0" w14:paraId="30403A43" w14:textId="77777777" w:rsidTr="00EC65A9">
        <w:trPr>
          <w:jc w:val="center"/>
        </w:trPr>
        <w:tc>
          <w:tcPr>
            <w:tcW w:w="2824" w:type="dxa"/>
            <w:vAlign w:val="center"/>
          </w:tcPr>
          <w:p w14:paraId="2D09CB7C" w14:textId="3890683F" w:rsidR="000646F0" w:rsidRPr="009D1AE0" w:rsidRDefault="00C82B71" w:rsidP="000646F0">
            <w:pPr>
              <w:spacing w:line="240" w:lineRule="exact"/>
              <w:rPr>
                <w:sz w:val="21"/>
                <w:szCs w:val="21"/>
                <w:lang w:val="en-US" w:eastAsia="ru-RU"/>
              </w:rPr>
            </w:pPr>
            <w:r w:rsidRPr="009D1AE0">
              <w:rPr>
                <w:color w:val="000000"/>
                <w:sz w:val="21"/>
                <w:szCs w:val="21"/>
                <w:lang w:val="en-US" w:eastAsia="ru-RU"/>
              </w:rPr>
              <w:t>D</w:t>
            </w:r>
            <w:r w:rsidR="000646F0" w:rsidRPr="009D1AE0">
              <w:rPr>
                <w:color w:val="000000"/>
                <w:sz w:val="21"/>
                <w:szCs w:val="21"/>
                <w:lang w:val="en-US" w:eastAsia="ru-RU"/>
              </w:rPr>
              <w:t>istrict heat production, PJ</w:t>
            </w:r>
          </w:p>
        </w:tc>
        <w:tc>
          <w:tcPr>
            <w:tcW w:w="817" w:type="dxa"/>
            <w:vAlign w:val="bottom"/>
          </w:tcPr>
          <w:p w14:paraId="6BD021BF" w14:textId="0ECDAC34" w:rsidR="000646F0" w:rsidRPr="009D1AE0" w:rsidRDefault="000646F0" w:rsidP="00532EED">
            <w:pPr>
              <w:pStyle w:val="a1"/>
              <w:ind w:firstLine="0"/>
              <w:jc w:val="center"/>
              <w:rPr>
                <w:lang w:val="ru-RU"/>
              </w:rPr>
            </w:pPr>
            <w:r w:rsidRPr="009D1AE0">
              <w:rPr>
                <w:lang w:val="ru-RU"/>
              </w:rPr>
              <w:t>5623</w:t>
            </w:r>
          </w:p>
        </w:tc>
        <w:tc>
          <w:tcPr>
            <w:tcW w:w="1186" w:type="dxa"/>
            <w:vAlign w:val="bottom"/>
          </w:tcPr>
          <w:p w14:paraId="2AAB8417" w14:textId="4A145EA9" w:rsidR="000646F0" w:rsidRPr="009D1AE0" w:rsidRDefault="000646F0" w:rsidP="00532EED">
            <w:pPr>
              <w:spacing w:line="240" w:lineRule="exact"/>
              <w:jc w:val="center"/>
              <w:rPr>
                <w:sz w:val="20"/>
                <w:lang w:val="ru-RU"/>
              </w:rPr>
            </w:pPr>
            <w:r w:rsidRPr="009D1AE0">
              <w:rPr>
                <w:sz w:val="20"/>
                <w:lang w:val="ru-RU"/>
              </w:rPr>
              <w:t>4517</w:t>
            </w:r>
          </w:p>
        </w:tc>
        <w:tc>
          <w:tcPr>
            <w:tcW w:w="1186" w:type="dxa"/>
            <w:vAlign w:val="bottom"/>
          </w:tcPr>
          <w:p w14:paraId="10F728D2" w14:textId="7A7E7104" w:rsidR="000646F0" w:rsidRPr="009D1AE0" w:rsidRDefault="000646F0" w:rsidP="00532EED">
            <w:pPr>
              <w:spacing w:line="240" w:lineRule="exact"/>
              <w:jc w:val="center"/>
              <w:rPr>
                <w:sz w:val="20"/>
                <w:lang w:val="ru-RU"/>
              </w:rPr>
            </w:pPr>
            <w:r w:rsidRPr="009D1AE0">
              <w:rPr>
                <w:sz w:val="20"/>
                <w:lang w:val="ru-RU"/>
              </w:rPr>
              <w:t>4517</w:t>
            </w:r>
          </w:p>
        </w:tc>
        <w:tc>
          <w:tcPr>
            <w:tcW w:w="1186" w:type="dxa"/>
            <w:vAlign w:val="bottom"/>
          </w:tcPr>
          <w:p w14:paraId="74E5B82F" w14:textId="4A2FA4D0" w:rsidR="000646F0" w:rsidRPr="009D1AE0" w:rsidRDefault="000646F0" w:rsidP="00532EED">
            <w:pPr>
              <w:spacing w:line="240" w:lineRule="exact"/>
              <w:jc w:val="center"/>
              <w:rPr>
                <w:sz w:val="20"/>
                <w:lang w:val="ru-RU"/>
              </w:rPr>
            </w:pPr>
            <w:r w:rsidRPr="009D1AE0">
              <w:rPr>
                <w:sz w:val="20"/>
                <w:lang w:val="ru-RU"/>
              </w:rPr>
              <w:t>4517</w:t>
            </w:r>
          </w:p>
        </w:tc>
        <w:tc>
          <w:tcPr>
            <w:tcW w:w="1186" w:type="dxa"/>
            <w:vAlign w:val="bottom"/>
          </w:tcPr>
          <w:p w14:paraId="2BD7D03F" w14:textId="4CD4D940" w:rsidR="000646F0" w:rsidRPr="009D1AE0" w:rsidRDefault="000646F0" w:rsidP="00532EED">
            <w:pPr>
              <w:spacing w:line="240" w:lineRule="exact"/>
              <w:jc w:val="center"/>
              <w:rPr>
                <w:sz w:val="20"/>
                <w:lang w:val="ru-RU"/>
              </w:rPr>
            </w:pPr>
            <w:r w:rsidRPr="009D1AE0">
              <w:rPr>
                <w:sz w:val="20"/>
                <w:lang w:val="ru-RU"/>
              </w:rPr>
              <w:t>4517</w:t>
            </w:r>
          </w:p>
        </w:tc>
        <w:tc>
          <w:tcPr>
            <w:tcW w:w="1186" w:type="dxa"/>
            <w:vAlign w:val="bottom"/>
          </w:tcPr>
          <w:p w14:paraId="115CCD64" w14:textId="25818FD5" w:rsidR="000646F0" w:rsidRPr="009D1AE0" w:rsidRDefault="000646F0" w:rsidP="00532EED">
            <w:pPr>
              <w:spacing w:line="240" w:lineRule="exact"/>
              <w:jc w:val="center"/>
              <w:rPr>
                <w:sz w:val="20"/>
                <w:lang w:val="ru-RU"/>
              </w:rPr>
            </w:pPr>
            <w:r w:rsidRPr="009D1AE0">
              <w:rPr>
                <w:sz w:val="20"/>
                <w:lang w:val="ru-RU"/>
              </w:rPr>
              <w:t>4517</w:t>
            </w:r>
          </w:p>
        </w:tc>
      </w:tr>
      <w:tr w:rsidR="00216DAB" w:rsidRPr="009D1AE0" w14:paraId="3D9E3C3E" w14:textId="77777777" w:rsidTr="00EC65A9">
        <w:trPr>
          <w:jc w:val="center"/>
        </w:trPr>
        <w:tc>
          <w:tcPr>
            <w:tcW w:w="2824" w:type="dxa"/>
            <w:vAlign w:val="center"/>
          </w:tcPr>
          <w:p w14:paraId="2B07FA60" w14:textId="47B57D75" w:rsidR="00216DAB" w:rsidRPr="009D1AE0" w:rsidRDefault="00216DAB" w:rsidP="00532EED">
            <w:pPr>
              <w:spacing w:line="240" w:lineRule="exact"/>
              <w:rPr>
                <w:sz w:val="21"/>
                <w:szCs w:val="21"/>
                <w:lang w:val="en-US" w:eastAsia="ru-RU"/>
              </w:rPr>
            </w:pPr>
            <w:r w:rsidRPr="009D1AE0">
              <w:rPr>
                <w:lang w:val="en-US"/>
              </w:rPr>
              <w:t>District heat production structure, %, including</w:t>
            </w:r>
          </w:p>
        </w:tc>
        <w:tc>
          <w:tcPr>
            <w:tcW w:w="817" w:type="dxa"/>
            <w:vAlign w:val="center"/>
          </w:tcPr>
          <w:p w14:paraId="6C1D0D23" w14:textId="346DC3EC" w:rsidR="00216DAB" w:rsidRPr="009D1AE0" w:rsidRDefault="00216DAB" w:rsidP="00532EED">
            <w:pPr>
              <w:pStyle w:val="a1"/>
              <w:ind w:firstLine="0"/>
              <w:jc w:val="center"/>
              <w:rPr>
                <w:lang w:val="ru-RU"/>
              </w:rPr>
            </w:pPr>
            <w:r w:rsidRPr="009D1AE0">
              <w:rPr>
                <w:lang w:val="ru-RU"/>
              </w:rPr>
              <w:t>100</w:t>
            </w:r>
            <w:r w:rsidR="00194CF9" w:rsidRPr="009D1AE0">
              <w:rPr>
                <w:lang w:val="ru-RU"/>
              </w:rPr>
              <w:t>.</w:t>
            </w:r>
            <w:r w:rsidRPr="009D1AE0">
              <w:rPr>
                <w:lang w:val="ru-RU"/>
              </w:rPr>
              <w:t>0</w:t>
            </w:r>
          </w:p>
        </w:tc>
        <w:tc>
          <w:tcPr>
            <w:tcW w:w="1186" w:type="dxa"/>
            <w:vAlign w:val="center"/>
          </w:tcPr>
          <w:p w14:paraId="318DF6DF" w14:textId="50E81240" w:rsidR="00216DAB" w:rsidRPr="009D1AE0" w:rsidRDefault="00216DAB" w:rsidP="00532EED">
            <w:pPr>
              <w:spacing w:line="240" w:lineRule="exact"/>
              <w:jc w:val="center"/>
              <w:rPr>
                <w:sz w:val="21"/>
                <w:szCs w:val="21"/>
                <w:lang w:eastAsia="ru-RU"/>
              </w:rPr>
            </w:pPr>
            <w:r w:rsidRPr="009D1AE0">
              <w:rPr>
                <w:color w:val="000000"/>
                <w:sz w:val="21"/>
                <w:szCs w:val="21"/>
                <w:lang w:eastAsia="ru-RU"/>
              </w:rPr>
              <w:t>100</w:t>
            </w:r>
            <w:r w:rsidR="00194CF9" w:rsidRPr="009D1AE0">
              <w:rPr>
                <w:color w:val="000000"/>
                <w:sz w:val="21"/>
                <w:szCs w:val="21"/>
                <w:lang w:eastAsia="ru-RU"/>
              </w:rPr>
              <w:t>.</w:t>
            </w:r>
            <w:r w:rsidRPr="009D1AE0">
              <w:rPr>
                <w:color w:val="000000"/>
                <w:sz w:val="21"/>
                <w:szCs w:val="21"/>
                <w:lang w:eastAsia="ru-RU"/>
              </w:rPr>
              <w:t>0</w:t>
            </w:r>
          </w:p>
        </w:tc>
        <w:tc>
          <w:tcPr>
            <w:tcW w:w="1186" w:type="dxa"/>
            <w:vAlign w:val="center"/>
          </w:tcPr>
          <w:p w14:paraId="2E4485EE" w14:textId="11B3E510" w:rsidR="00216DAB" w:rsidRPr="009D1AE0" w:rsidRDefault="00216DAB" w:rsidP="00532EED">
            <w:pPr>
              <w:spacing w:line="240" w:lineRule="exact"/>
              <w:jc w:val="center"/>
              <w:rPr>
                <w:color w:val="000000"/>
                <w:sz w:val="21"/>
                <w:szCs w:val="21"/>
                <w:lang w:eastAsia="ru-RU"/>
              </w:rPr>
            </w:pPr>
            <w:r w:rsidRPr="009D1AE0">
              <w:rPr>
                <w:color w:val="000000"/>
                <w:sz w:val="21"/>
                <w:szCs w:val="21"/>
                <w:lang w:eastAsia="ru-RU"/>
              </w:rPr>
              <w:t>100</w:t>
            </w:r>
            <w:r w:rsidR="00194CF9" w:rsidRPr="009D1AE0">
              <w:rPr>
                <w:color w:val="000000"/>
                <w:sz w:val="21"/>
                <w:szCs w:val="21"/>
                <w:lang w:eastAsia="ru-RU"/>
              </w:rPr>
              <w:t>.</w:t>
            </w:r>
            <w:r w:rsidRPr="009D1AE0">
              <w:rPr>
                <w:color w:val="000000"/>
                <w:sz w:val="21"/>
                <w:szCs w:val="21"/>
                <w:lang w:eastAsia="ru-RU"/>
              </w:rPr>
              <w:t>0</w:t>
            </w:r>
          </w:p>
        </w:tc>
        <w:tc>
          <w:tcPr>
            <w:tcW w:w="1186" w:type="dxa"/>
            <w:vAlign w:val="center"/>
          </w:tcPr>
          <w:p w14:paraId="15D2C8CA" w14:textId="40D8B0B1" w:rsidR="00216DAB" w:rsidRPr="009D1AE0" w:rsidRDefault="00216DAB" w:rsidP="00532EED">
            <w:pPr>
              <w:spacing w:line="240" w:lineRule="exact"/>
              <w:jc w:val="center"/>
              <w:rPr>
                <w:sz w:val="21"/>
                <w:szCs w:val="21"/>
                <w:lang w:eastAsia="ru-RU"/>
              </w:rPr>
            </w:pPr>
            <w:r w:rsidRPr="009D1AE0">
              <w:rPr>
                <w:color w:val="000000"/>
                <w:sz w:val="21"/>
                <w:szCs w:val="21"/>
                <w:lang w:eastAsia="ru-RU"/>
              </w:rPr>
              <w:t>100</w:t>
            </w:r>
            <w:r w:rsidR="00194CF9" w:rsidRPr="009D1AE0">
              <w:rPr>
                <w:color w:val="000000"/>
                <w:sz w:val="21"/>
                <w:szCs w:val="21"/>
                <w:lang w:eastAsia="ru-RU"/>
              </w:rPr>
              <w:t>.</w:t>
            </w:r>
            <w:r w:rsidRPr="009D1AE0">
              <w:rPr>
                <w:color w:val="000000"/>
                <w:sz w:val="21"/>
                <w:szCs w:val="21"/>
                <w:lang w:eastAsia="ru-RU"/>
              </w:rPr>
              <w:t>0</w:t>
            </w:r>
          </w:p>
        </w:tc>
        <w:tc>
          <w:tcPr>
            <w:tcW w:w="1186" w:type="dxa"/>
            <w:vAlign w:val="center"/>
          </w:tcPr>
          <w:p w14:paraId="526DB23E" w14:textId="01D8279A" w:rsidR="00216DAB" w:rsidRPr="009D1AE0" w:rsidRDefault="00216DAB" w:rsidP="00532EED">
            <w:pPr>
              <w:spacing w:line="240" w:lineRule="exact"/>
              <w:jc w:val="center"/>
              <w:rPr>
                <w:sz w:val="21"/>
                <w:szCs w:val="21"/>
                <w:lang w:eastAsia="ru-RU"/>
              </w:rPr>
            </w:pPr>
            <w:r w:rsidRPr="009D1AE0">
              <w:rPr>
                <w:color w:val="000000"/>
                <w:sz w:val="21"/>
                <w:szCs w:val="21"/>
                <w:lang w:eastAsia="ru-RU"/>
              </w:rPr>
              <w:t>100</w:t>
            </w:r>
            <w:r w:rsidR="00194CF9" w:rsidRPr="009D1AE0">
              <w:rPr>
                <w:color w:val="000000"/>
                <w:sz w:val="21"/>
                <w:szCs w:val="21"/>
                <w:lang w:eastAsia="ru-RU"/>
              </w:rPr>
              <w:t>.</w:t>
            </w:r>
            <w:r w:rsidRPr="009D1AE0">
              <w:rPr>
                <w:color w:val="000000"/>
                <w:sz w:val="21"/>
                <w:szCs w:val="21"/>
                <w:lang w:eastAsia="ru-RU"/>
              </w:rPr>
              <w:t>0</w:t>
            </w:r>
          </w:p>
        </w:tc>
        <w:tc>
          <w:tcPr>
            <w:tcW w:w="1186" w:type="dxa"/>
            <w:vAlign w:val="center"/>
          </w:tcPr>
          <w:p w14:paraId="555BCB97" w14:textId="68BA58CD" w:rsidR="00216DAB" w:rsidRPr="009D1AE0" w:rsidRDefault="00216DAB" w:rsidP="00532EED">
            <w:pPr>
              <w:spacing w:line="240" w:lineRule="exact"/>
              <w:jc w:val="center"/>
              <w:rPr>
                <w:color w:val="000000"/>
                <w:sz w:val="21"/>
                <w:szCs w:val="21"/>
                <w:lang w:eastAsia="ru-RU"/>
              </w:rPr>
            </w:pPr>
            <w:r w:rsidRPr="009D1AE0">
              <w:rPr>
                <w:color w:val="000000"/>
                <w:sz w:val="21"/>
                <w:szCs w:val="21"/>
                <w:lang w:eastAsia="ru-RU"/>
              </w:rPr>
              <w:t>100</w:t>
            </w:r>
            <w:r w:rsidR="00194CF9" w:rsidRPr="009D1AE0">
              <w:rPr>
                <w:color w:val="000000"/>
                <w:sz w:val="21"/>
                <w:szCs w:val="21"/>
                <w:lang w:eastAsia="ru-RU"/>
              </w:rPr>
              <w:t>.</w:t>
            </w:r>
            <w:r w:rsidRPr="009D1AE0">
              <w:rPr>
                <w:color w:val="000000"/>
                <w:sz w:val="21"/>
                <w:szCs w:val="21"/>
                <w:lang w:eastAsia="ru-RU"/>
              </w:rPr>
              <w:t>0</w:t>
            </w:r>
          </w:p>
        </w:tc>
      </w:tr>
      <w:tr w:rsidR="00216DAB" w:rsidRPr="009D1AE0" w14:paraId="5772A5E2" w14:textId="77777777" w:rsidTr="00EC65A9">
        <w:trPr>
          <w:jc w:val="center"/>
        </w:trPr>
        <w:tc>
          <w:tcPr>
            <w:tcW w:w="2824" w:type="dxa"/>
            <w:vAlign w:val="center"/>
          </w:tcPr>
          <w:p w14:paraId="7A79EEF0" w14:textId="746AFC64" w:rsidR="00216DAB" w:rsidRPr="009D1AE0" w:rsidRDefault="00216DAB" w:rsidP="00532EED">
            <w:pPr>
              <w:spacing w:line="240" w:lineRule="exact"/>
              <w:ind w:left="142"/>
              <w:rPr>
                <w:sz w:val="21"/>
                <w:szCs w:val="21"/>
                <w:lang w:eastAsia="ru-RU"/>
              </w:rPr>
            </w:pPr>
            <w:r w:rsidRPr="009D1AE0">
              <w:rPr>
                <w:color w:val="000000"/>
                <w:sz w:val="21"/>
                <w:szCs w:val="21"/>
                <w:lang w:eastAsia="ru-RU"/>
              </w:rPr>
              <w:t>CHP</w:t>
            </w:r>
          </w:p>
        </w:tc>
        <w:tc>
          <w:tcPr>
            <w:tcW w:w="817" w:type="dxa"/>
            <w:vAlign w:val="center"/>
          </w:tcPr>
          <w:p w14:paraId="32D053EA" w14:textId="6A07AC64" w:rsidR="00216DAB" w:rsidRPr="009D1AE0" w:rsidRDefault="00216DAB" w:rsidP="00532EED">
            <w:pPr>
              <w:pStyle w:val="a1"/>
              <w:ind w:firstLine="0"/>
              <w:jc w:val="center"/>
              <w:rPr>
                <w:lang w:val="ru-RU"/>
              </w:rPr>
            </w:pPr>
            <w:r w:rsidRPr="009D1AE0">
              <w:rPr>
                <w:lang w:val="ru-RU"/>
              </w:rPr>
              <w:t>51</w:t>
            </w:r>
            <w:r w:rsidR="00194CF9" w:rsidRPr="009D1AE0">
              <w:rPr>
                <w:lang w:val="ru-RU"/>
              </w:rPr>
              <w:t>.</w:t>
            </w:r>
            <w:r w:rsidRPr="009D1AE0">
              <w:rPr>
                <w:lang w:val="ru-RU"/>
              </w:rPr>
              <w:t>1</w:t>
            </w:r>
          </w:p>
        </w:tc>
        <w:tc>
          <w:tcPr>
            <w:tcW w:w="1186" w:type="dxa"/>
            <w:vAlign w:val="center"/>
          </w:tcPr>
          <w:p w14:paraId="7D30130B" w14:textId="58937824" w:rsidR="00216DAB" w:rsidRPr="009D1AE0" w:rsidRDefault="00216DAB" w:rsidP="00532EED">
            <w:pPr>
              <w:pStyle w:val="a1"/>
              <w:ind w:firstLine="0"/>
              <w:jc w:val="center"/>
              <w:rPr>
                <w:lang w:val="ru-RU"/>
              </w:rPr>
            </w:pPr>
            <w:r w:rsidRPr="009D1AE0">
              <w:rPr>
                <w:lang w:val="ru-RU"/>
              </w:rPr>
              <w:t>65</w:t>
            </w:r>
            <w:r w:rsidR="00194CF9" w:rsidRPr="009D1AE0">
              <w:rPr>
                <w:lang w:val="ru-RU"/>
              </w:rPr>
              <w:t>.</w:t>
            </w:r>
            <w:r w:rsidRPr="009D1AE0">
              <w:rPr>
                <w:lang w:val="ru-RU"/>
              </w:rPr>
              <w:t>9</w:t>
            </w:r>
          </w:p>
        </w:tc>
        <w:tc>
          <w:tcPr>
            <w:tcW w:w="1186" w:type="dxa"/>
            <w:vAlign w:val="center"/>
          </w:tcPr>
          <w:p w14:paraId="3857816F" w14:textId="187731C8" w:rsidR="00216DAB" w:rsidRPr="009D1AE0" w:rsidRDefault="00216DAB" w:rsidP="00532EED">
            <w:pPr>
              <w:spacing w:line="240" w:lineRule="exact"/>
              <w:jc w:val="center"/>
              <w:rPr>
                <w:lang w:eastAsia="ru-RU"/>
              </w:rPr>
            </w:pPr>
            <w:r w:rsidRPr="009D1AE0">
              <w:rPr>
                <w:color w:val="000000"/>
                <w:lang w:eastAsia="ru-RU"/>
              </w:rPr>
              <w:t>42</w:t>
            </w:r>
            <w:r w:rsidR="00194CF9" w:rsidRPr="009D1AE0">
              <w:rPr>
                <w:color w:val="000000"/>
                <w:lang w:eastAsia="ru-RU"/>
              </w:rPr>
              <w:t>.</w:t>
            </w:r>
            <w:r w:rsidRPr="009D1AE0">
              <w:rPr>
                <w:color w:val="000000"/>
                <w:lang w:eastAsia="ru-RU"/>
              </w:rPr>
              <w:t>9</w:t>
            </w:r>
          </w:p>
        </w:tc>
        <w:tc>
          <w:tcPr>
            <w:tcW w:w="1186" w:type="dxa"/>
            <w:vAlign w:val="center"/>
          </w:tcPr>
          <w:p w14:paraId="100D63A8" w14:textId="1250055D" w:rsidR="00216DAB" w:rsidRPr="009D1AE0" w:rsidRDefault="00216DAB" w:rsidP="00532EED">
            <w:pPr>
              <w:spacing w:line="240" w:lineRule="exact"/>
              <w:jc w:val="center"/>
              <w:rPr>
                <w:lang w:eastAsia="ru-RU"/>
              </w:rPr>
            </w:pPr>
            <w:r w:rsidRPr="009D1AE0">
              <w:rPr>
                <w:color w:val="000000"/>
                <w:lang w:eastAsia="ru-RU"/>
              </w:rPr>
              <w:t>37</w:t>
            </w:r>
            <w:r w:rsidR="00194CF9" w:rsidRPr="009D1AE0">
              <w:rPr>
                <w:color w:val="000000"/>
                <w:lang w:eastAsia="ru-RU"/>
              </w:rPr>
              <w:t>.</w:t>
            </w:r>
            <w:r w:rsidRPr="009D1AE0">
              <w:rPr>
                <w:color w:val="000000"/>
                <w:lang w:eastAsia="ru-RU"/>
              </w:rPr>
              <w:t>9</w:t>
            </w:r>
          </w:p>
        </w:tc>
        <w:tc>
          <w:tcPr>
            <w:tcW w:w="1186" w:type="dxa"/>
            <w:vAlign w:val="center"/>
          </w:tcPr>
          <w:p w14:paraId="6CB4DFD2" w14:textId="18EDCF55" w:rsidR="00216DAB" w:rsidRPr="009D1AE0" w:rsidRDefault="00216DAB" w:rsidP="00532EED">
            <w:pPr>
              <w:spacing w:line="240" w:lineRule="exact"/>
              <w:jc w:val="center"/>
              <w:rPr>
                <w:sz w:val="21"/>
                <w:szCs w:val="21"/>
                <w:lang w:eastAsia="ru-RU"/>
              </w:rPr>
            </w:pPr>
            <w:r w:rsidRPr="009D1AE0">
              <w:rPr>
                <w:color w:val="000000"/>
              </w:rPr>
              <w:t>43</w:t>
            </w:r>
            <w:r w:rsidR="00194CF9" w:rsidRPr="009D1AE0">
              <w:rPr>
                <w:color w:val="000000"/>
              </w:rPr>
              <w:t>.</w:t>
            </w:r>
            <w:r w:rsidRPr="009D1AE0">
              <w:rPr>
                <w:color w:val="000000"/>
              </w:rPr>
              <w:t>6</w:t>
            </w:r>
          </w:p>
        </w:tc>
        <w:tc>
          <w:tcPr>
            <w:tcW w:w="1186" w:type="dxa"/>
            <w:vAlign w:val="center"/>
          </w:tcPr>
          <w:p w14:paraId="71FB798A" w14:textId="50434311" w:rsidR="00216DAB" w:rsidRPr="009D1AE0" w:rsidRDefault="00216DAB" w:rsidP="00532EED">
            <w:pPr>
              <w:spacing w:line="240" w:lineRule="exact"/>
              <w:jc w:val="center"/>
              <w:rPr>
                <w:color w:val="000000"/>
                <w:sz w:val="21"/>
                <w:szCs w:val="21"/>
              </w:rPr>
            </w:pPr>
            <w:r w:rsidRPr="009D1AE0">
              <w:rPr>
                <w:color w:val="000000"/>
              </w:rPr>
              <w:t>36</w:t>
            </w:r>
            <w:r w:rsidR="00194CF9" w:rsidRPr="009D1AE0">
              <w:rPr>
                <w:color w:val="000000"/>
              </w:rPr>
              <w:t>.</w:t>
            </w:r>
            <w:r w:rsidRPr="009D1AE0">
              <w:rPr>
                <w:color w:val="000000"/>
              </w:rPr>
              <w:t>7</w:t>
            </w:r>
          </w:p>
        </w:tc>
      </w:tr>
      <w:tr w:rsidR="00216DAB" w:rsidRPr="009D1AE0" w14:paraId="61404B06" w14:textId="77777777" w:rsidTr="00EC65A9">
        <w:trPr>
          <w:jc w:val="center"/>
        </w:trPr>
        <w:tc>
          <w:tcPr>
            <w:tcW w:w="2824" w:type="dxa"/>
            <w:vAlign w:val="center"/>
          </w:tcPr>
          <w:p w14:paraId="6452A797" w14:textId="5DB3123D" w:rsidR="00216DAB" w:rsidRPr="009D1AE0" w:rsidRDefault="00216DAB" w:rsidP="00532EED">
            <w:pPr>
              <w:spacing w:line="240" w:lineRule="exact"/>
              <w:ind w:left="142"/>
              <w:rPr>
                <w:sz w:val="21"/>
                <w:szCs w:val="21"/>
                <w:lang w:eastAsia="ru-RU"/>
              </w:rPr>
            </w:pPr>
            <w:r w:rsidRPr="009D1AE0">
              <w:rPr>
                <w:color w:val="000000"/>
                <w:sz w:val="21"/>
                <w:szCs w:val="21"/>
                <w:lang w:eastAsia="ru-RU"/>
              </w:rPr>
              <w:t>Boilers (gas or coal)</w:t>
            </w:r>
          </w:p>
        </w:tc>
        <w:tc>
          <w:tcPr>
            <w:tcW w:w="817" w:type="dxa"/>
            <w:vAlign w:val="center"/>
          </w:tcPr>
          <w:p w14:paraId="51F4398D" w14:textId="61DF61D5" w:rsidR="00216DAB" w:rsidRPr="009D1AE0" w:rsidRDefault="00216DAB" w:rsidP="00532EED">
            <w:pPr>
              <w:pStyle w:val="a1"/>
              <w:ind w:firstLine="0"/>
              <w:jc w:val="center"/>
              <w:rPr>
                <w:lang w:val="ru-RU"/>
              </w:rPr>
            </w:pPr>
            <w:r w:rsidRPr="009D1AE0">
              <w:rPr>
                <w:lang w:val="ru-RU"/>
              </w:rPr>
              <w:t>48</w:t>
            </w:r>
            <w:r w:rsidR="00194CF9" w:rsidRPr="009D1AE0">
              <w:rPr>
                <w:lang w:val="ru-RU"/>
              </w:rPr>
              <w:t>.</w:t>
            </w:r>
            <w:r w:rsidRPr="009D1AE0">
              <w:rPr>
                <w:lang w:val="ru-RU"/>
              </w:rPr>
              <w:t>2</w:t>
            </w:r>
          </w:p>
        </w:tc>
        <w:tc>
          <w:tcPr>
            <w:tcW w:w="1186" w:type="dxa"/>
            <w:vAlign w:val="center"/>
          </w:tcPr>
          <w:p w14:paraId="2150AD11" w14:textId="43BED72F" w:rsidR="00216DAB" w:rsidRPr="009D1AE0" w:rsidRDefault="00216DAB" w:rsidP="00532EED">
            <w:pPr>
              <w:pStyle w:val="a1"/>
              <w:ind w:firstLine="0"/>
              <w:jc w:val="center"/>
              <w:rPr>
                <w:lang w:val="ru-RU"/>
              </w:rPr>
            </w:pPr>
            <w:r w:rsidRPr="009D1AE0">
              <w:rPr>
                <w:lang w:val="ru-RU"/>
              </w:rPr>
              <w:t>33</w:t>
            </w:r>
            <w:r w:rsidR="00194CF9" w:rsidRPr="009D1AE0">
              <w:rPr>
                <w:lang w:val="ru-RU"/>
              </w:rPr>
              <w:t>.</w:t>
            </w:r>
            <w:r w:rsidRPr="009D1AE0">
              <w:rPr>
                <w:lang w:val="ru-RU"/>
              </w:rPr>
              <w:t>0</w:t>
            </w:r>
          </w:p>
        </w:tc>
        <w:tc>
          <w:tcPr>
            <w:tcW w:w="1186" w:type="dxa"/>
            <w:vAlign w:val="center"/>
          </w:tcPr>
          <w:p w14:paraId="2F0C2CA9" w14:textId="65EA2DA0" w:rsidR="00216DAB" w:rsidRPr="009D1AE0" w:rsidRDefault="00216DAB" w:rsidP="00532EED">
            <w:pPr>
              <w:spacing w:line="240" w:lineRule="exact"/>
              <w:jc w:val="center"/>
              <w:rPr>
                <w:lang w:eastAsia="ru-RU"/>
              </w:rPr>
            </w:pPr>
            <w:r w:rsidRPr="009D1AE0">
              <w:rPr>
                <w:color w:val="000000"/>
                <w:lang w:eastAsia="ru-RU"/>
              </w:rPr>
              <w:t>43</w:t>
            </w:r>
            <w:r w:rsidR="00194CF9" w:rsidRPr="009D1AE0">
              <w:rPr>
                <w:color w:val="000000"/>
                <w:lang w:eastAsia="ru-RU"/>
              </w:rPr>
              <w:t>.</w:t>
            </w:r>
            <w:r w:rsidRPr="009D1AE0">
              <w:rPr>
                <w:color w:val="000000"/>
                <w:lang w:eastAsia="ru-RU"/>
              </w:rPr>
              <w:t>6</w:t>
            </w:r>
          </w:p>
        </w:tc>
        <w:tc>
          <w:tcPr>
            <w:tcW w:w="1186" w:type="dxa"/>
            <w:vAlign w:val="center"/>
          </w:tcPr>
          <w:p w14:paraId="011A0DD0" w14:textId="6A0650E2" w:rsidR="00216DAB" w:rsidRPr="009D1AE0" w:rsidRDefault="00216DAB" w:rsidP="00532EED">
            <w:pPr>
              <w:spacing w:line="240" w:lineRule="exact"/>
              <w:jc w:val="center"/>
              <w:rPr>
                <w:lang w:eastAsia="ru-RU"/>
              </w:rPr>
            </w:pPr>
            <w:r w:rsidRPr="009D1AE0">
              <w:rPr>
                <w:color w:val="000000"/>
                <w:lang w:eastAsia="ru-RU"/>
              </w:rPr>
              <w:t>32</w:t>
            </w:r>
            <w:r w:rsidR="00194CF9" w:rsidRPr="009D1AE0">
              <w:rPr>
                <w:color w:val="000000"/>
                <w:lang w:eastAsia="ru-RU"/>
              </w:rPr>
              <w:t>.</w:t>
            </w:r>
            <w:r w:rsidRPr="009D1AE0">
              <w:rPr>
                <w:color w:val="000000"/>
                <w:lang w:eastAsia="ru-RU"/>
              </w:rPr>
              <w:t>0</w:t>
            </w:r>
          </w:p>
        </w:tc>
        <w:tc>
          <w:tcPr>
            <w:tcW w:w="1186" w:type="dxa"/>
            <w:vAlign w:val="center"/>
          </w:tcPr>
          <w:p w14:paraId="5F90A3CD" w14:textId="058E553D" w:rsidR="00216DAB" w:rsidRPr="009D1AE0" w:rsidRDefault="00216DAB" w:rsidP="00532EED">
            <w:pPr>
              <w:spacing w:line="240" w:lineRule="exact"/>
              <w:jc w:val="center"/>
              <w:rPr>
                <w:sz w:val="21"/>
                <w:szCs w:val="21"/>
                <w:lang w:eastAsia="ru-RU"/>
              </w:rPr>
            </w:pPr>
            <w:r w:rsidRPr="009D1AE0">
              <w:rPr>
                <w:color w:val="000000"/>
              </w:rPr>
              <w:t>49</w:t>
            </w:r>
            <w:r w:rsidR="00194CF9" w:rsidRPr="009D1AE0">
              <w:rPr>
                <w:color w:val="000000"/>
              </w:rPr>
              <w:t>.</w:t>
            </w:r>
            <w:r w:rsidRPr="009D1AE0">
              <w:rPr>
                <w:color w:val="000000"/>
              </w:rPr>
              <w:t>4</w:t>
            </w:r>
          </w:p>
        </w:tc>
        <w:tc>
          <w:tcPr>
            <w:tcW w:w="1186" w:type="dxa"/>
            <w:vAlign w:val="center"/>
          </w:tcPr>
          <w:p w14:paraId="4AE8D500" w14:textId="0E07054D" w:rsidR="00216DAB" w:rsidRPr="009D1AE0" w:rsidRDefault="00216DAB" w:rsidP="00532EED">
            <w:pPr>
              <w:spacing w:line="240" w:lineRule="exact"/>
              <w:jc w:val="center"/>
              <w:rPr>
                <w:color w:val="000000"/>
                <w:sz w:val="21"/>
                <w:szCs w:val="21"/>
              </w:rPr>
            </w:pPr>
            <w:r w:rsidRPr="009D1AE0">
              <w:rPr>
                <w:color w:val="000000"/>
              </w:rPr>
              <w:t>37</w:t>
            </w:r>
            <w:r w:rsidR="00194CF9" w:rsidRPr="009D1AE0">
              <w:rPr>
                <w:color w:val="000000"/>
              </w:rPr>
              <w:t>.</w:t>
            </w:r>
            <w:r w:rsidRPr="009D1AE0">
              <w:rPr>
                <w:color w:val="000000"/>
              </w:rPr>
              <w:t>8</w:t>
            </w:r>
          </w:p>
        </w:tc>
      </w:tr>
      <w:tr w:rsidR="00216DAB" w:rsidRPr="009D1AE0" w14:paraId="1D9C54E1" w14:textId="77777777" w:rsidTr="00EC65A9">
        <w:trPr>
          <w:jc w:val="center"/>
        </w:trPr>
        <w:tc>
          <w:tcPr>
            <w:tcW w:w="2824" w:type="dxa"/>
            <w:vAlign w:val="center"/>
          </w:tcPr>
          <w:p w14:paraId="7A8AFFD7" w14:textId="27E72898" w:rsidR="00216DAB" w:rsidRPr="009D1AE0" w:rsidRDefault="00216DAB" w:rsidP="00532EED">
            <w:pPr>
              <w:spacing w:line="240" w:lineRule="exact"/>
              <w:ind w:left="142"/>
              <w:rPr>
                <w:color w:val="000000"/>
                <w:sz w:val="21"/>
                <w:szCs w:val="21"/>
                <w:lang w:eastAsia="ru-RU"/>
              </w:rPr>
            </w:pPr>
            <w:r w:rsidRPr="009D1AE0">
              <w:rPr>
                <w:color w:val="000000"/>
                <w:sz w:val="21"/>
                <w:szCs w:val="21"/>
                <w:lang w:eastAsia="ru-RU"/>
              </w:rPr>
              <w:t>Electric boilers</w:t>
            </w:r>
          </w:p>
        </w:tc>
        <w:tc>
          <w:tcPr>
            <w:tcW w:w="817" w:type="dxa"/>
            <w:vAlign w:val="center"/>
          </w:tcPr>
          <w:p w14:paraId="4185D311" w14:textId="7B5BCA5B" w:rsidR="00216DAB" w:rsidRPr="009D1AE0" w:rsidRDefault="00216DAB" w:rsidP="00532EED">
            <w:pPr>
              <w:pStyle w:val="a1"/>
              <w:ind w:firstLine="0"/>
              <w:jc w:val="center"/>
              <w:rPr>
                <w:lang w:val="ru-RU"/>
              </w:rPr>
            </w:pPr>
            <w:r w:rsidRPr="009D1AE0">
              <w:rPr>
                <w:lang w:val="ru-RU"/>
              </w:rPr>
              <w:t>0</w:t>
            </w:r>
            <w:r w:rsidR="00194CF9" w:rsidRPr="009D1AE0">
              <w:rPr>
                <w:lang w:val="ru-RU"/>
              </w:rPr>
              <w:t>.</w:t>
            </w:r>
            <w:r w:rsidRPr="009D1AE0">
              <w:rPr>
                <w:lang w:val="ru-RU"/>
              </w:rPr>
              <w:t>3</w:t>
            </w:r>
          </w:p>
        </w:tc>
        <w:tc>
          <w:tcPr>
            <w:tcW w:w="1186" w:type="dxa"/>
            <w:vAlign w:val="center"/>
          </w:tcPr>
          <w:p w14:paraId="45FF05AC" w14:textId="3E042342" w:rsidR="00216DAB" w:rsidRPr="009D1AE0" w:rsidRDefault="00216DAB" w:rsidP="00532EED">
            <w:pPr>
              <w:pStyle w:val="a1"/>
              <w:ind w:firstLine="0"/>
              <w:jc w:val="center"/>
              <w:rPr>
                <w:lang w:val="ru-RU"/>
              </w:rPr>
            </w:pPr>
            <w:r w:rsidRPr="009D1AE0">
              <w:rPr>
                <w:lang w:val="ru-RU"/>
              </w:rPr>
              <w:t>0</w:t>
            </w:r>
            <w:r w:rsidR="00194CF9" w:rsidRPr="009D1AE0">
              <w:rPr>
                <w:lang w:val="ru-RU"/>
              </w:rPr>
              <w:t>.</w:t>
            </w:r>
            <w:r w:rsidRPr="009D1AE0">
              <w:rPr>
                <w:lang w:val="ru-RU"/>
              </w:rPr>
              <w:t>5</w:t>
            </w:r>
          </w:p>
        </w:tc>
        <w:tc>
          <w:tcPr>
            <w:tcW w:w="1186" w:type="dxa"/>
            <w:vAlign w:val="center"/>
          </w:tcPr>
          <w:p w14:paraId="638970CC" w14:textId="2E9BE736" w:rsidR="00216DAB" w:rsidRPr="009D1AE0" w:rsidRDefault="00216DAB" w:rsidP="00532EED">
            <w:pPr>
              <w:spacing w:line="240" w:lineRule="exact"/>
              <w:jc w:val="center"/>
              <w:rPr>
                <w:color w:val="000000"/>
                <w:lang w:eastAsia="ru-RU"/>
              </w:rPr>
            </w:pPr>
            <w:r w:rsidRPr="009D1AE0">
              <w:rPr>
                <w:color w:val="000000"/>
                <w:lang w:eastAsia="ru-RU"/>
              </w:rPr>
              <w:t>8</w:t>
            </w:r>
            <w:r w:rsidR="00194CF9" w:rsidRPr="009D1AE0">
              <w:rPr>
                <w:color w:val="000000"/>
                <w:lang w:eastAsia="ru-RU"/>
              </w:rPr>
              <w:t>.</w:t>
            </w:r>
            <w:r w:rsidRPr="009D1AE0">
              <w:rPr>
                <w:color w:val="000000"/>
                <w:lang w:eastAsia="ru-RU"/>
              </w:rPr>
              <w:t>6</w:t>
            </w:r>
          </w:p>
        </w:tc>
        <w:tc>
          <w:tcPr>
            <w:tcW w:w="1186" w:type="dxa"/>
            <w:vAlign w:val="center"/>
          </w:tcPr>
          <w:p w14:paraId="2AB92FBB" w14:textId="1687BC4B" w:rsidR="00216DAB" w:rsidRPr="009D1AE0" w:rsidRDefault="00216DAB" w:rsidP="00532EED">
            <w:pPr>
              <w:spacing w:line="240" w:lineRule="exact"/>
              <w:jc w:val="center"/>
              <w:rPr>
                <w:color w:val="000000"/>
                <w:lang w:val="ru-RU" w:eastAsia="ru-RU"/>
              </w:rPr>
            </w:pPr>
            <w:r w:rsidRPr="009D1AE0">
              <w:rPr>
                <w:color w:val="000000"/>
                <w:lang w:eastAsia="ru-RU"/>
              </w:rPr>
              <w:t>2</w:t>
            </w:r>
            <w:r w:rsidRPr="009D1AE0">
              <w:rPr>
                <w:color w:val="000000"/>
                <w:lang w:val="ru-RU" w:eastAsia="ru-RU"/>
              </w:rPr>
              <w:t>2</w:t>
            </w:r>
            <w:r w:rsidR="00194CF9" w:rsidRPr="009D1AE0">
              <w:rPr>
                <w:color w:val="000000"/>
                <w:lang w:val="ru-RU" w:eastAsia="ru-RU"/>
              </w:rPr>
              <w:t>.</w:t>
            </w:r>
            <w:r w:rsidRPr="009D1AE0">
              <w:rPr>
                <w:color w:val="000000"/>
                <w:lang w:val="ru-RU" w:eastAsia="ru-RU"/>
              </w:rPr>
              <w:t>9</w:t>
            </w:r>
          </w:p>
        </w:tc>
        <w:tc>
          <w:tcPr>
            <w:tcW w:w="1186" w:type="dxa"/>
            <w:vAlign w:val="center"/>
          </w:tcPr>
          <w:p w14:paraId="1D68E8CF" w14:textId="2CE75F37" w:rsidR="00216DAB" w:rsidRPr="009D1AE0" w:rsidRDefault="00216DAB" w:rsidP="00532EED">
            <w:pPr>
              <w:spacing w:line="240" w:lineRule="exact"/>
              <w:jc w:val="center"/>
              <w:rPr>
                <w:color w:val="000000"/>
                <w:sz w:val="21"/>
                <w:szCs w:val="21"/>
                <w:lang w:eastAsia="ru-RU"/>
              </w:rPr>
            </w:pPr>
            <w:r w:rsidRPr="009D1AE0">
              <w:rPr>
                <w:color w:val="000000"/>
              </w:rPr>
              <w:t>3</w:t>
            </w:r>
            <w:r w:rsidR="00194CF9" w:rsidRPr="009D1AE0">
              <w:rPr>
                <w:color w:val="000000"/>
              </w:rPr>
              <w:t>.</w:t>
            </w:r>
            <w:r w:rsidRPr="009D1AE0">
              <w:rPr>
                <w:color w:val="000000"/>
              </w:rPr>
              <w:t>3</w:t>
            </w:r>
          </w:p>
        </w:tc>
        <w:tc>
          <w:tcPr>
            <w:tcW w:w="1186" w:type="dxa"/>
            <w:vAlign w:val="center"/>
          </w:tcPr>
          <w:p w14:paraId="5CB818CD" w14:textId="03352832" w:rsidR="00216DAB" w:rsidRPr="009D1AE0" w:rsidRDefault="00216DAB" w:rsidP="00532EED">
            <w:pPr>
              <w:spacing w:line="240" w:lineRule="exact"/>
              <w:jc w:val="center"/>
              <w:rPr>
                <w:color w:val="000000"/>
                <w:sz w:val="21"/>
                <w:szCs w:val="21"/>
              </w:rPr>
            </w:pPr>
            <w:r w:rsidRPr="009D1AE0">
              <w:rPr>
                <w:color w:val="000000"/>
              </w:rPr>
              <w:t>18</w:t>
            </w:r>
            <w:r w:rsidR="00194CF9" w:rsidRPr="009D1AE0">
              <w:rPr>
                <w:color w:val="000000"/>
              </w:rPr>
              <w:t>.</w:t>
            </w:r>
            <w:r w:rsidRPr="009D1AE0">
              <w:rPr>
                <w:color w:val="000000"/>
              </w:rPr>
              <w:t>5</w:t>
            </w:r>
          </w:p>
        </w:tc>
      </w:tr>
      <w:tr w:rsidR="00216DAB" w:rsidRPr="009D1AE0" w14:paraId="5D03923B" w14:textId="77777777" w:rsidTr="00EC65A9">
        <w:trPr>
          <w:jc w:val="center"/>
        </w:trPr>
        <w:tc>
          <w:tcPr>
            <w:tcW w:w="2824" w:type="dxa"/>
            <w:vAlign w:val="center"/>
          </w:tcPr>
          <w:p w14:paraId="1170FE81" w14:textId="263C7873" w:rsidR="00216DAB" w:rsidRPr="009D1AE0" w:rsidRDefault="00216DAB" w:rsidP="009E1B63">
            <w:pPr>
              <w:spacing w:line="240" w:lineRule="exact"/>
              <w:ind w:left="142"/>
              <w:rPr>
                <w:color w:val="000000"/>
                <w:sz w:val="21"/>
                <w:szCs w:val="21"/>
                <w:lang w:val="en-US" w:eastAsia="ru-RU"/>
              </w:rPr>
            </w:pPr>
            <w:r w:rsidRPr="009D1AE0">
              <w:rPr>
                <w:color w:val="000000"/>
                <w:sz w:val="21"/>
                <w:szCs w:val="21"/>
                <w:lang w:val="en-US" w:eastAsia="ru-RU"/>
              </w:rPr>
              <w:t xml:space="preserve">Nuclear </w:t>
            </w:r>
            <w:r w:rsidR="009E1B63" w:rsidRPr="009D1AE0">
              <w:rPr>
                <w:color w:val="000000"/>
                <w:sz w:val="21"/>
                <w:szCs w:val="21"/>
                <w:lang w:val="en-US" w:eastAsia="ru-RU"/>
              </w:rPr>
              <w:t>plants</w:t>
            </w:r>
          </w:p>
        </w:tc>
        <w:tc>
          <w:tcPr>
            <w:tcW w:w="817" w:type="dxa"/>
            <w:vAlign w:val="center"/>
          </w:tcPr>
          <w:p w14:paraId="36E04845" w14:textId="16B11F37" w:rsidR="00216DAB" w:rsidRPr="009D1AE0" w:rsidRDefault="00216DAB">
            <w:pPr>
              <w:pStyle w:val="a1"/>
              <w:overflowPunct w:val="0"/>
              <w:autoSpaceDE w:val="0"/>
              <w:autoSpaceDN w:val="0"/>
              <w:adjustRightInd w:val="0"/>
              <w:ind w:firstLine="0"/>
              <w:jc w:val="center"/>
              <w:textAlignment w:val="baseline"/>
              <w:rPr>
                <w:lang w:val="en-US"/>
              </w:rPr>
            </w:pPr>
            <w:r w:rsidRPr="009D1AE0">
              <w:rPr>
                <w:lang w:val="ru-RU"/>
              </w:rPr>
              <w:t>0</w:t>
            </w:r>
            <w:r w:rsidR="00194CF9" w:rsidRPr="009D1AE0">
              <w:rPr>
                <w:lang w:val="ru-RU"/>
              </w:rPr>
              <w:t>.</w:t>
            </w:r>
            <w:r w:rsidRPr="009D1AE0">
              <w:rPr>
                <w:lang w:val="ru-RU"/>
              </w:rPr>
              <w:t>4</w:t>
            </w:r>
          </w:p>
        </w:tc>
        <w:tc>
          <w:tcPr>
            <w:tcW w:w="1186" w:type="dxa"/>
            <w:vAlign w:val="center"/>
          </w:tcPr>
          <w:p w14:paraId="55415BC0" w14:textId="75BA97B6" w:rsidR="00216DAB" w:rsidRPr="009D1AE0" w:rsidRDefault="00216DAB" w:rsidP="00532EED">
            <w:pPr>
              <w:pStyle w:val="a1"/>
              <w:ind w:firstLine="0"/>
              <w:jc w:val="center"/>
              <w:rPr>
                <w:lang w:val="ru-RU"/>
              </w:rPr>
            </w:pPr>
            <w:r w:rsidRPr="009D1AE0">
              <w:rPr>
                <w:lang w:val="ru-RU"/>
              </w:rPr>
              <w:t>0</w:t>
            </w:r>
            <w:r w:rsidR="00194CF9" w:rsidRPr="009D1AE0">
              <w:rPr>
                <w:lang w:val="ru-RU"/>
              </w:rPr>
              <w:t>.</w:t>
            </w:r>
            <w:r w:rsidRPr="009D1AE0">
              <w:rPr>
                <w:lang w:val="ru-RU"/>
              </w:rPr>
              <w:t>6</w:t>
            </w:r>
          </w:p>
        </w:tc>
        <w:tc>
          <w:tcPr>
            <w:tcW w:w="1186" w:type="dxa"/>
            <w:vAlign w:val="center"/>
          </w:tcPr>
          <w:p w14:paraId="4769C90A" w14:textId="4A45B920" w:rsidR="00216DAB" w:rsidRPr="009D1AE0" w:rsidRDefault="00216DAB" w:rsidP="00532EED">
            <w:pPr>
              <w:spacing w:line="240" w:lineRule="exact"/>
              <w:jc w:val="center"/>
              <w:rPr>
                <w:color w:val="000000"/>
                <w:lang w:eastAsia="ru-RU"/>
              </w:rPr>
            </w:pPr>
            <w:r w:rsidRPr="009D1AE0">
              <w:rPr>
                <w:color w:val="000000"/>
                <w:lang w:eastAsia="ru-RU"/>
              </w:rPr>
              <w:t>4</w:t>
            </w:r>
            <w:r w:rsidR="00194CF9" w:rsidRPr="009D1AE0">
              <w:rPr>
                <w:color w:val="000000"/>
                <w:lang w:eastAsia="ru-RU"/>
              </w:rPr>
              <w:t>.</w:t>
            </w:r>
            <w:r w:rsidRPr="009D1AE0">
              <w:rPr>
                <w:color w:val="000000"/>
                <w:lang w:eastAsia="ru-RU"/>
              </w:rPr>
              <w:t>9</w:t>
            </w:r>
          </w:p>
        </w:tc>
        <w:tc>
          <w:tcPr>
            <w:tcW w:w="1186" w:type="dxa"/>
            <w:vAlign w:val="center"/>
          </w:tcPr>
          <w:p w14:paraId="40525AE0" w14:textId="61BA68FE" w:rsidR="00216DAB" w:rsidRPr="009D1AE0" w:rsidRDefault="00216DAB" w:rsidP="00532EED">
            <w:pPr>
              <w:spacing w:line="240" w:lineRule="exact"/>
              <w:jc w:val="center"/>
              <w:rPr>
                <w:color w:val="000000"/>
                <w:lang w:val="ru-RU" w:eastAsia="ru-RU"/>
              </w:rPr>
            </w:pPr>
            <w:r w:rsidRPr="009D1AE0">
              <w:rPr>
                <w:color w:val="000000"/>
                <w:lang w:val="ru-RU" w:eastAsia="ru-RU"/>
              </w:rPr>
              <w:t>7</w:t>
            </w:r>
            <w:r w:rsidR="00194CF9" w:rsidRPr="009D1AE0">
              <w:rPr>
                <w:color w:val="000000"/>
                <w:lang w:val="ru-RU" w:eastAsia="ru-RU"/>
              </w:rPr>
              <w:t>.</w:t>
            </w:r>
            <w:r w:rsidRPr="009D1AE0">
              <w:rPr>
                <w:color w:val="000000"/>
                <w:lang w:val="ru-RU" w:eastAsia="ru-RU"/>
              </w:rPr>
              <w:t>2</w:t>
            </w:r>
          </w:p>
        </w:tc>
        <w:tc>
          <w:tcPr>
            <w:tcW w:w="1186" w:type="dxa"/>
            <w:vAlign w:val="center"/>
          </w:tcPr>
          <w:p w14:paraId="32751FD6" w14:textId="01E7E0BD" w:rsidR="00216DAB" w:rsidRPr="009D1AE0" w:rsidRDefault="00216DAB" w:rsidP="00532EED">
            <w:pPr>
              <w:spacing w:line="240" w:lineRule="exact"/>
              <w:jc w:val="center"/>
              <w:rPr>
                <w:color w:val="000000"/>
                <w:sz w:val="21"/>
                <w:szCs w:val="21"/>
                <w:lang w:eastAsia="ru-RU"/>
              </w:rPr>
            </w:pPr>
            <w:r w:rsidRPr="009D1AE0">
              <w:rPr>
                <w:color w:val="000000"/>
              </w:rPr>
              <w:t>3</w:t>
            </w:r>
            <w:r w:rsidR="00194CF9" w:rsidRPr="009D1AE0">
              <w:rPr>
                <w:color w:val="000000"/>
              </w:rPr>
              <w:t>.</w:t>
            </w:r>
            <w:r w:rsidRPr="009D1AE0">
              <w:rPr>
                <w:color w:val="000000"/>
              </w:rPr>
              <w:t>7</w:t>
            </w:r>
          </w:p>
        </w:tc>
        <w:tc>
          <w:tcPr>
            <w:tcW w:w="1186" w:type="dxa"/>
            <w:vAlign w:val="center"/>
          </w:tcPr>
          <w:p w14:paraId="52533420" w14:textId="60A50EDE" w:rsidR="00216DAB" w:rsidRPr="009D1AE0" w:rsidRDefault="00216DAB" w:rsidP="00532EED">
            <w:pPr>
              <w:spacing w:line="240" w:lineRule="exact"/>
              <w:jc w:val="center"/>
              <w:rPr>
                <w:color w:val="000000"/>
                <w:sz w:val="21"/>
                <w:szCs w:val="21"/>
              </w:rPr>
            </w:pPr>
            <w:r w:rsidRPr="009D1AE0">
              <w:rPr>
                <w:color w:val="000000"/>
              </w:rPr>
              <w:t>7</w:t>
            </w:r>
            <w:r w:rsidR="00194CF9" w:rsidRPr="009D1AE0">
              <w:rPr>
                <w:color w:val="000000"/>
              </w:rPr>
              <w:t>.</w:t>
            </w:r>
            <w:r w:rsidRPr="009D1AE0">
              <w:rPr>
                <w:color w:val="000000"/>
              </w:rPr>
              <w:t>0</w:t>
            </w:r>
          </w:p>
        </w:tc>
      </w:tr>
    </w:tbl>
    <w:p w14:paraId="29BDCDBA" w14:textId="77777777" w:rsidR="00216DAB" w:rsidRPr="009D1AE0" w:rsidRDefault="00216DAB" w:rsidP="00216DAB">
      <w:pPr>
        <w:pStyle w:val="a1"/>
        <w:ind w:firstLine="0"/>
        <w:rPr>
          <w:lang w:val="ru-RU"/>
        </w:rPr>
      </w:pPr>
    </w:p>
    <w:p w14:paraId="78A892F2" w14:textId="3ADF6CBF" w:rsidR="00393D57" w:rsidRPr="009D1AE0" w:rsidRDefault="00A93714" w:rsidP="00A93714">
      <w:pPr>
        <w:pStyle w:val="a1"/>
      </w:pPr>
      <w:r w:rsidRPr="009D1AE0">
        <w:t xml:space="preserve">The introduction of carbon payments is an equally effective mechanism that changes inter-fuel competition and helps strengthen the position of </w:t>
      </w:r>
      <w:r w:rsidR="00C82B71" w:rsidRPr="009D1AE0">
        <w:t>NPPs</w:t>
      </w:r>
      <w:r w:rsidRPr="009D1AE0">
        <w:t>, including tho</w:t>
      </w:r>
      <w:r w:rsidR="00600D0C" w:rsidRPr="009D1AE0">
        <w:t>se with SMR. A</w:t>
      </w:r>
      <w:r w:rsidR="00B602ED" w:rsidRPr="009D1AE0">
        <w:t>t</w:t>
      </w:r>
      <w:r w:rsidR="00600D0C" w:rsidRPr="009D1AE0">
        <w:t xml:space="preserve"> </w:t>
      </w:r>
      <w:r w:rsidR="00B602ED" w:rsidRPr="009D1AE0">
        <w:t xml:space="preserve">a price of </w:t>
      </w:r>
      <w:r w:rsidR="00600D0C" w:rsidRPr="009D1AE0">
        <w:t>$25-50/t</w:t>
      </w:r>
      <w:r w:rsidRPr="009D1AE0">
        <w:t xml:space="preserve"> CO</w:t>
      </w:r>
      <w:r w:rsidRPr="009D1AE0">
        <w:rPr>
          <w:vertAlign w:val="subscript"/>
        </w:rPr>
        <w:t>2</w:t>
      </w:r>
      <w:r w:rsidRPr="009D1AE0">
        <w:t xml:space="preserve"> </w:t>
      </w:r>
      <w:r w:rsidR="00600D0C" w:rsidRPr="009D1AE0">
        <w:t>LR NPP</w:t>
      </w:r>
      <w:r w:rsidRPr="009D1AE0">
        <w:t xml:space="preserve"> capacity </w:t>
      </w:r>
      <w:r w:rsidR="00B602ED" w:rsidRPr="009D1AE0">
        <w:t xml:space="preserve">increases </w:t>
      </w:r>
      <w:r w:rsidRPr="009D1AE0">
        <w:t>to 70-90 GW</w:t>
      </w:r>
      <w:r w:rsidR="00B602ED" w:rsidRPr="009D1AE0">
        <w:t>,</w:t>
      </w:r>
      <w:r w:rsidRPr="009D1AE0">
        <w:t xml:space="preserve"> and </w:t>
      </w:r>
      <w:r w:rsidR="00B602ED" w:rsidRPr="009D1AE0">
        <w:t>e</w:t>
      </w:r>
      <w:r w:rsidRPr="009D1AE0">
        <w:t xml:space="preserve">missions </w:t>
      </w:r>
      <w:r w:rsidR="00B602ED" w:rsidRPr="009D1AE0">
        <w:t xml:space="preserve">are reduced </w:t>
      </w:r>
      <w:r w:rsidRPr="009D1AE0">
        <w:t xml:space="preserve">by 20-30%. </w:t>
      </w:r>
      <w:r w:rsidR="00B602ED" w:rsidRPr="009D1AE0">
        <w:t>At a price of</w:t>
      </w:r>
      <w:r w:rsidRPr="009D1AE0">
        <w:t xml:space="preserve"> $100/t CO</w:t>
      </w:r>
      <w:r w:rsidRPr="009D1AE0">
        <w:rPr>
          <w:vertAlign w:val="subscript"/>
        </w:rPr>
        <w:t>2</w:t>
      </w:r>
      <w:r w:rsidRPr="009D1AE0">
        <w:t xml:space="preserve">, the </w:t>
      </w:r>
      <w:r w:rsidR="00600D0C" w:rsidRPr="009D1AE0">
        <w:t xml:space="preserve">LR </w:t>
      </w:r>
      <w:r w:rsidRPr="009D1AE0">
        <w:t xml:space="preserve">NPP </w:t>
      </w:r>
      <w:r w:rsidR="00E336E8" w:rsidRPr="009D1AE0">
        <w:t xml:space="preserve">capacity </w:t>
      </w:r>
      <w:r w:rsidRPr="009D1AE0">
        <w:t>increase</w:t>
      </w:r>
      <w:r w:rsidR="00E336E8" w:rsidRPr="009D1AE0">
        <w:t>s</w:t>
      </w:r>
      <w:r w:rsidRPr="009D1AE0">
        <w:t xml:space="preserve"> to 100 GW and, about 8 GW of </w:t>
      </w:r>
      <w:r w:rsidR="00600D0C" w:rsidRPr="009D1AE0">
        <w:t xml:space="preserve">NCHP </w:t>
      </w:r>
      <w:r w:rsidR="00CD0120" w:rsidRPr="009D1AE0">
        <w:t xml:space="preserve">with SMR </w:t>
      </w:r>
      <w:r w:rsidRPr="009D1AE0">
        <w:t xml:space="preserve">will be introduced, which will provide about 4% of the total </w:t>
      </w:r>
      <w:r w:rsidR="00600D0C" w:rsidRPr="009D1AE0">
        <w:t>district</w:t>
      </w:r>
      <w:r w:rsidRPr="009D1AE0">
        <w:t xml:space="preserve"> heat</w:t>
      </w:r>
      <w:r w:rsidR="00C82B71" w:rsidRPr="009D1AE0">
        <w:t xml:space="preserve"> production</w:t>
      </w:r>
      <w:r w:rsidRPr="009D1AE0">
        <w:t xml:space="preserve">. If the carbon </w:t>
      </w:r>
      <w:r w:rsidR="00E336E8" w:rsidRPr="009D1AE0">
        <w:t>price</w:t>
      </w:r>
      <w:r w:rsidRPr="009D1AE0">
        <w:t xml:space="preserve"> is doubled (up to $ 200/t CO</w:t>
      </w:r>
      <w:r w:rsidRPr="009D1AE0">
        <w:rPr>
          <w:vertAlign w:val="subscript"/>
        </w:rPr>
        <w:t>2</w:t>
      </w:r>
      <w:r w:rsidRPr="009D1AE0">
        <w:t xml:space="preserve">), the volume of </w:t>
      </w:r>
      <w:r w:rsidR="00600D0C" w:rsidRPr="009D1AE0">
        <w:t>NCHP</w:t>
      </w:r>
      <w:r w:rsidR="00CD0120" w:rsidRPr="009D1AE0">
        <w:t xml:space="preserve"> with SMR</w:t>
      </w:r>
      <w:r w:rsidR="00600D0C" w:rsidRPr="009D1AE0">
        <w:t xml:space="preserve"> </w:t>
      </w:r>
      <w:r w:rsidRPr="009D1AE0">
        <w:t xml:space="preserve">will increase to 15 GW, and their share in the structure of heat production will increase to 7%. If we assume that a </w:t>
      </w:r>
      <w:r w:rsidR="00600D0C" w:rsidRPr="009D1AE0">
        <w:t>NCHP</w:t>
      </w:r>
      <w:r w:rsidRPr="009D1AE0">
        <w:t xml:space="preserve"> will consist of 3-4 </w:t>
      </w:r>
      <w:r w:rsidR="00600D0C" w:rsidRPr="009D1AE0">
        <w:t xml:space="preserve">SMR </w:t>
      </w:r>
      <w:r w:rsidRPr="009D1AE0">
        <w:t xml:space="preserve">units of 50 MW each, then this means commissioning 75-100 </w:t>
      </w:r>
      <w:r w:rsidR="00600D0C" w:rsidRPr="009D1AE0">
        <w:t xml:space="preserve">nuclear </w:t>
      </w:r>
      <w:r w:rsidRPr="009D1AE0">
        <w:t xml:space="preserve">power plants to achieve an effective volume of 15 GW. Thus, SMR can really become a mass energy </w:t>
      </w:r>
      <w:r w:rsidR="00600D0C" w:rsidRPr="009D1AE0">
        <w:t xml:space="preserve">supply </w:t>
      </w:r>
      <w:r w:rsidRPr="009D1AE0">
        <w:t>technology in the U</w:t>
      </w:r>
      <w:r w:rsidR="00600D0C" w:rsidRPr="009D1AE0">
        <w:t>P</w:t>
      </w:r>
      <w:r w:rsidRPr="009D1AE0">
        <w:t>S of Russia.</w:t>
      </w:r>
    </w:p>
    <w:p w14:paraId="03881226" w14:textId="1880AB58" w:rsidR="00E20E70" w:rsidRPr="009D1AE0" w:rsidRDefault="00547626" w:rsidP="00537496">
      <w:pPr>
        <w:pStyle w:val="2"/>
      </w:pPr>
      <w:r w:rsidRPr="009D1AE0">
        <w:t>CONCLUSION</w:t>
      </w:r>
    </w:p>
    <w:p w14:paraId="26838D93" w14:textId="285BBBD2" w:rsidR="00547626" w:rsidRPr="009D1AE0" w:rsidRDefault="00547626" w:rsidP="00547626">
      <w:pPr>
        <w:pStyle w:val="a1"/>
      </w:pPr>
      <w:r w:rsidRPr="009D1AE0">
        <w:t xml:space="preserve">Nuclear power plants </w:t>
      </w:r>
      <w:r w:rsidR="00072E03" w:rsidRPr="009D1AE0">
        <w:t xml:space="preserve">with </w:t>
      </w:r>
      <w:r w:rsidRPr="009D1AE0">
        <w:rPr>
          <w:lang w:val="en-US"/>
        </w:rPr>
        <w:t>large</w:t>
      </w:r>
      <w:r w:rsidRPr="009D1AE0">
        <w:t xml:space="preserve"> reactors occupy a significant share in the Russian electric power industry. Given the relatively low capital costs within the country, they are the strongest carbon-free competitor to conventional thermal power plants even in conditions of low fuel prices, and, depending on the intensity of carbon regulation, they can provide from 30 to 50% of the electricity produced in the country</w:t>
      </w:r>
      <w:r w:rsidRPr="009D1AE0">
        <w:rPr>
          <w:lang w:val="en-US"/>
        </w:rPr>
        <w:t xml:space="preserve"> by 2050</w:t>
      </w:r>
      <w:r w:rsidRPr="009D1AE0">
        <w:t>.</w:t>
      </w:r>
    </w:p>
    <w:p w14:paraId="1FDB038A" w14:textId="0F5788A5" w:rsidR="00547626" w:rsidRPr="009D1AE0" w:rsidRDefault="00547626" w:rsidP="00547626">
      <w:pPr>
        <w:pStyle w:val="a1"/>
      </w:pPr>
      <w:r w:rsidRPr="009D1AE0">
        <w:t xml:space="preserve">Nuclear power plants with SMR, even taking into account the reduction in cost due to optimization of design, modularity of production, </w:t>
      </w:r>
      <w:r w:rsidR="00ED24C0" w:rsidRPr="009D1AE0">
        <w:t xml:space="preserve">and </w:t>
      </w:r>
      <w:r w:rsidRPr="009D1AE0">
        <w:t xml:space="preserve">faster rates of technological learning with mass implementation, will not be able to overcome the "curse" of economies of scale. 50-100 MW </w:t>
      </w:r>
      <w:r w:rsidR="0048595D" w:rsidRPr="009D1AE0">
        <w:t xml:space="preserve">SMR </w:t>
      </w:r>
      <w:r w:rsidRPr="009D1AE0">
        <w:t xml:space="preserve">units will remain 3.5-2.5 times more expensive than 1200 MW </w:t>
      </w:r>
      <w:r w:rsidR="0048595D" w:rsidRPr="009D1AE0">
        <w:t xml:space="preserve">LR </w:t>
      </w:r>
      <w:r w:rsidRPr="009D1AE0">
        <w:t>units. This makes their direct competition in the production of electricity in the U</w:t>
      </w:r>
      <w:r w:rsidR="0048595D" w:rsidRPr="009D1AE0">
        <w:t>P</w:t>
      </w:r>
      <w:r w:rsidRPr="009D1AE0">
        <w:t>S of Russia unrealistic.</w:t>
      </w:r>
    </w:p>
    <w:p w14:paraId="41E8264C" w14:textId="02BAB9D3" w:rsidR="00C82B71" w:rsidRPr="009D1AE0" w:rsidRDefault="00547626" w:rsidP="00547626">
      <w:pPr>
        <w:pStyle w:val="a1"/>
      </w:pPr>
      <w:r w:rsidRPr="009D1AE0">
        <w:t xml:space="preserve">An important regional niche for the development of </w:t>
      </w:r>
      <w:r w:rsidR="0048595D" w:rsidRPr="009D1AE0">
        <w:t>NPP</w:t>
      </w:r>
      <w:r w:rsidRPr="009D1AE0">
        <w:t xml:space="preserve"> with SMR are the areas in the north and east of the country, as well as in the Arctic zone, where the cost of energy supply is traditionally high due to transportation costs for fuel delivery. Within the borders of the U</w:t>
      </w:r>
      <w:r w:rsidR="0048595D" w:rsidRPr="009D1AE0">
        <w:t>P</w:t>
      </w:r>
      <w:r w:rsidRPr="009D1AE0">
        <w:t xml:space="preserve">S of Russia, the development of a </w:t>
      </w:r>
      <w:r w:rsidR="0048595D" w:rsidRPr="009D1AE0">
        <w:t>NPP</w:t>
      </w:r>
      <w:r w:rsidRPr="009D1AE0">
        <w:t xml:space="preserve"> with SMR may be in demand in scenarios of deep </w:t>
      </w:r>
      <w:proofErr w:type="spellStart"/>
      <w:r w:rsidRPr="009D1AE0">
        <w:t>decarbonization</w:t>
      </w:r>
      <w:proofErr w:type="spellEnd"/>
      <w:r w:rsidRPr="009D1AE0">
        <w:t xml:space="preserve"> of </w:t>
      </w:r>
      <w:r w:rsidR="0048595D" w:rsidRPr="009D1AE0">
        <w:t>district</w:t>
      </w:r>
      <w:r w:rsidRPr="009D1AE0">
        <w:t xml:space="preserve"> heat. </w:t>
      </w:r>
    </w:p>
    <w:p w14:paraId="0841CFB8" w14:textId="6289DDCE" w:rsidR="00547626" w:rsidRPr="009D1AE0" w:rsidRDefault="00547626" w:rsidP="00547626">
      <w:pPr>
        <w:pStyle w:val="a1"/>
      </w:pPr>
      <w:r w:rsidRPr="009D1AE0">
        <w:lastRenderedPageBreak/>
        <w:t xml:space="preserve">Together with electric boilers (powered by </w:t>
      </w:r>
      <w:r w:rsidR="00194CF9" w:rsidRPr="009D1AE0">
        <w:t>LR NPP</w:t>
      </w:r>
      <w:r w:rsidRPr="009D1AE0">
        <w:t xml:space="preserve"> or hydroelectric power plants), nuclear </w:t>
      </w:r>
      <w:r w:rsidR="00194CF9" w:rsidRPr="009D1AE0">
        <w:t>CHP</w:t>
      </w:r>
      <w:r w:rsidRPr="009D1AE0">
        <w:t xml:space="preserve"> with SMR are perhaps the key technologies for replacing </w:t>
      </w:r>
      <w:r w:rsidR="00396976" w:rsidRPr="009D1AE0">
        <w:t>fossil fuel</w:t>
      </w:r>
      <w:r w:rsidR="00ED24C0" w:rsidRPr="009D1AE0">
        <w:t>s</w:t>
      </w:r>
      <w:r w:rsidR="00396976" w:rsidRPr="009D1AE0">
        <w:t xml:space="preserve"> in district heating</w:t>
      </w:r>
      <w:r w:rsidRPr="009D1AE0">
        <w:t>. Such a switch will require the introduction of high carbon prices (more than $100/t CO</w:t>
      </w:r>
      <w:r w:rsidRPr="009D1AE0">
        <w:rPr>
          <w:vertAlign w:val="subscript"/>
        </w:rPr>
        <w:t>2</w:t>
      </w:r>
      <w:r w:rsidRPr="009D1AE0">
        <w:t xml:space="preserve"> to replace coal sources and more than $200/t CO</w:t>
      </w:r>
      <w:r w:rsidRPr="009D1AE0">
        <w:rPr>
          <w:vertAlign w:val="subscript"/>
        </w:rPr>
        <w:t>2</w:t>
      </w:r>
      <w:r w:rsidRPr="009D1AE0">
        <w:t xml:space="preserve"> to replace gas heat sources) or strict quotas for CO</w:t>
      </w:r>
      <w:r w:rsidRPr="009D1AE0">
        <w:rPr>
          <w:vertAlign w:val="subscript"/>
        </w:rPr>
        <w:t>2</w:t>
      </w:r>
      <w:r w:rsidRPr="009D1AE0">
        <w:t xml:space="preserve"> emissions (up to 40-50% of the 2019 level). Model calculations show</w:t>
      </w:r>
      <w:r w:rsidR="00ED24C0" w:rsidRPr="009D1AE0">
        <w:t>ed</w:t>
      </w:r>
      <w:r w:rsidRPr="009D1AE0">
        <w:t xml:space="preserve"> that under these conditions, the capacity of </w:t>
      </w:r>
      <w:r w:rsidR="006211CE" w:rsidRPr="009D1AE0">
        <w:t>N</w:t>
      </w:r>
      <w:r w:rsidR="00194CF9" w:rsidRPr="009D1AE0">
        <w:t>CHP</w:t>
      </w:r>
      <w:r w:rsidRPr="009D1AE0">
        <w:t xml:space="preserve"> with SMR by 2050 can reach up to 15 GW.</w:t>
      </w:r>
    </w:p>
    <w:p w14:paraId="234A9A76" w14:textId="77777777" w:rsidR="00506C48" w:rsidRPr="009D1AE0" w:rsidRDefault="00506C48" w:rsidP="00506C48">
      <w:pPr>
        <w:spacing w:before="100" w:beforeAutospacing="1" w:after="100" w:afterAutospacing="1" w:line="260" w:lineRule="atLeast"/>
        <w:jc w:val="center"/>
        <w:rPr>
          <w:rFonts w:ascii="Times New Roman Bold" w:hAnsi="Times New Roman Bold"/>
          <w:b/>
          <w:caps/>
          <w:sz w:val="20"/>
        </w:rPr>
      </w:pPr>
      <w:r w:rsidRPr="009D1AE0">
        <w:rPr>
          <w:rFonts w:ascii="Times New Roman Bold" w:hAnsi="Times New Roman Bold"/>
          <w:b/>
          <w:caps/>
          <w:sz w:val="20"/>
        </w:rPr>
        <w:t>ACKNOWLEDGEMENTS</w:t>
      </w:r>
    </w:p>
    <w:p w14:paraId="00147265" w14:textId="77777777" w:rsidR="00506C48" w:rsidRPr="009D1AE0" w:rsidRDefault="00506C48" w:rsidP="00506C48">
      <w:pPr>
        <w:spacing w:line="260" w:lineRule="atLeast"/>
        <w:ind w:firstLine="567"/>
        <w:contextualSpacing/>
        <w:jc w:val="both"/>
        <w:rPr>
          <w:sz w:val="20"/>
        </w:rPr>
      </w:pPr>
      <w:r w:rsidRPr="009D1AE0">
        <w:rPr>
          <w:sz w:val="20"/>
        </w:rPr>
        <w:t>The study is supported by Russian Science Foundation grant (project № 21-79-30013).</w:t>
      </w:r>
    </w:p>
    <w:p w14:paraId="2B7531C8" w14:textId="77777777" w:rsidR="00506C48" w:rsidRPr="009D1AE0" w:rsidRDefault="00506C48" w:rsidP="00506C48">
      <w:pPr>
        <w:spacing w:before="100" w:beforeAutospacing="1" w:after="100" w:afterAutospacing="1" w:line="260" w:lineRule="atLeast"/>
        <w:jc w:val="center"/>
        <w:rPr>
          <w:rFonts w:ascii="Times New Roman Bold" w:hAnsi="Times New Roman Bold"/>
          <w:b/>
          <w:caps/>
          <w:sz w:val="20"/>
        </w:rPr>
      </w:pPr>
      <w:r w:rsidRPr="009D1AE0">
        <w:rPr>
          <w:rFonts w:ascii="Times New Roman Bold" w:hAnsi="Times New Roman Bold"/>
          <w:b/>
          <w:caps/>
          <w:sz w:val="20"/>
        </w:rPr>
        <w:t>References</w:t>
      </w:r>
    </w:p>
    <w:p w14:paraId="072CA544" w14:textId="77777777" w:rsidR="00F974DE" w:rsidRPr="009D1AE0" w:rsidRDefault="00F974DE" w:rsidP="00F974DE">
      <w:pPr>
        <w:pStyle w:val="Referencelist"/>
      </w:pPr>
      <w:r w:rsidRPr="009D1AE0">
        <w:t>SHIROV, A., KOLPAKOV, A., Target Scenario of Low Greenhouse Gas Emissions Socio-Economic Development of Russia for the Period until 2060, Stud. Russ. Econ. Dev. 34 (2023) 758–768.</w:t>
      </w:r>
    </w:p>
    <w:p w14:paraId="56CCD301" w14:textId="77777777" w:rsidR="00F974DE" w:rsidRPr="009D1AE0" w:rsidRDefault="00F974DE" w:rsidP="00F974DE">
      <w:pPr>
        <w:pStyle w:val="Referencelist"/>
      </w:pPr>
      <w:r w:rsidRPr="009D1AE0">
        <w:t>FILIPPOV, S., Transition to a carbon neutral economy: opportunities and limitations, current challenges, Therm. Eng. 71 (2024) 18–35.</w:t>
      </w:r>
    </w:p>
    <w:p w14:paraId="0AC7BB23" w14:textId="77777777" w:rsidR="00F974DE" w:rsidRPr="009D1AE0" w:rsidRDefault="00F974DE" w:rsidP="00F974DE">
      <w:pPr>
        <w:pStyle w:val="Referencelist"/>
      </w:pPr>
      <w:r w:rsidRPr="009D1AE0">
        <w:t>ADAMOV, E., RACHKOV, V., New technological platform for the national nuclear energy strategy development, Therm. Eng. 64 (2017) 945–951.</w:t>
      </w:r>
    </w:p>
    <w:p w14:paraId="2B62E52A" w14:textId="77777777" w:rsidR="00F974DE" w:rsidRPr="009D1AE0" w:rsidRDefault="00F974DE" w:rsidP="00F974DE">
      <w:pPr>
        <w:pStyle w:val="Referencelist"/>
      </w:pPr>
      <w:r w:rsidRPr="009D1AE0">
        <w:t>ADAMOV, E., RACHKOV, V., KASHIRSKY, A., ORLOV, A</w:t>
      </w:r>
      <w:r w:rsidRPr="009D1AE0">
        <w:rPr>
          <w:lang w:val="en-US"/>
        </w:rPr>
        <w:t>.</w:t>
      </w:r>
      <w:r w:rsidRPr="009D1AE0">
        <w:t xml:space="preserve">, Global outlook on large-scale nuclear power development strategies, </w:t>
      </w:r>
      <w:proofErr w:type="spellStart"/>
      <w:r w:rsidRPr="009D1AE0">
        <w:t>Nucl</w:t>
      </w:r>
      <w:proofErr w:type="spellEnd"/>
      <w:r w:rsidRPr="009D1AE0">
        <w:t>. Eng. Technol. 7 (2021) 263–270.</w:t>
      </w:r>
    </w:p>
    <w:p w14:paraId="0BFE3F9F" w14:textId="77777777" w:rsidR="00F974DE" w:rsidRPr="009D1AE0" w:rsidRDefault="00F974DE" w:rsidP="00F974DE">
      <w:pPr>
        <w:pStyle w:val="Referencelist"/>
      </w:pPr>
      <w:r w:rsidRPr="009D1AE0">
        <w:t>Reduction of Capital Costs of Nuclear Power Plants, OECD/NEA, Paris (2000).</w:t>
      </w:r>
    </w:p>
    <w:p w14:paraId="33DB758D" w14:textId="77777777" w:rsidR="00F974DE" w:rsidRPr="009D1AE0" w:rsidRDefault="00F974DE" w:rsidP="00F974DE">
      <w:pPr>
        <w:pStyle w:val="Referencelist"/>
      </w:pPr>
      <w:r w:rsidRPr="009D1AE0">
        <w:t>Unlocking Reductions in the Construction Costs of Nuclear: A Practical Guide for Stakeholders, OECD/NEA, Paris (2020).</w:t>
      </w:r>
    </w:p>
    <w:p w14:paraId="0539844F" w14:textId="77777777" w:rsidR="00F974DE" w:rsidRPr="009D1AE0" w:rsidRDefault="00F974DE" w:rsidP="00F974DE">
      <w:pPr>
        <w:pStyle w:val="Referencelist"/>
      </w:pPr>
      <w:r w:rsidRPr="009D1AE0">
        <w:t>LOVERING, J., YIP, A., NORDHAUS, T. Historical construction costs of global nuclear power reactors, Energy Policy 91 (2016) 371–382.</w:t>
      </w:r>
    </w:p>
    <w:p w14:paraId="0A957543" w14:textId="77777777" w:rsidR="00F974DE" w:rsidRPr="009D1AE0" w:rsidRDefault="00F974DE" w:rsidP="00F974DE">
      <w:pPr>
        <w:pStyle w:val="Referencelist"/>
      </w:pPr>
      <w:r w:rsidRPr="009D1AE0">
        <w:t>The Economic Future of Nuclear Power. A Study Conducted at the University of Chicago, The University of Chicago, Chicago (2004).</w:t>
      </w:r>
    </w:p>
    <w:p w14:paraId="22C04569" w14:textId="77777777" w:rsidR="00F974DE" w:rsidRPr="009D1AE0" w:rsidRDefault="00F974DE" w:rsidP="00F974DE">
      <w:pPr>
        <w:pStyle w:val="Referencelist"/>
      </w:pPr>
      <w:r w:rsidRPr="009D1AE0">
        <w:t>Current Status, Technical Feasibility and Economics of Small Nuclear Reactors, OECD/NEA, Paris (2011).</w:t>
      </w:r>
    </w:p>
    <w:p w14:paraId="45339E38" w14:textId="77777777" w:rsidR="00F974DE" w:rsidRPr="009D1AE0" w:rsidRDefault="00F974DE" w:rsidP="00F974DE">
      <w:pPr>
        <w:pStyle w:val="Referencelist"/>
      </w:pPr>
      <w:r w:rsidRPr="009D1AE0">
        <w:t xml:space="preserve">CARELLI, M., INGERSOLL, D. Handbook of Small Modular Nuclear Reactors. </w:t>
      </w:r>
      <w:proofErr w:type="spellStart"/>
      <w:r w:rsidRPr="009D1AE0">
        <w:t>Woodhead</w:t>
      </w:r>
      <w:proofErr w:type="spellEnd"/>
      <w:r w:rsidRPr="009D1AE0">
        <w:t xml:space="preserve"> Publishing Series in Energy (2015).</w:t>
      </w:r>
    </w:p>
    <w:p w14:paraId="68499259" w14:textId="77777777" w:rsidR="00F974DE" w:rsidRPr="009D1AE0" w:rsidRDefault="00F974DE" w:rsidP="00F974DE">
      <w:pPr>
        <w:pStyle w:val="Referencelist"/>
      </w:pPr>
      <w:r w:rsidRPr="009D1AE0">
        <w:t xml:space="preserve">ALONSO, G., BILBAO y LEON, S., </w:t>
      </w:r>
      <w:proofErr w:type="gramStart"/>
      <w:r w:rsidRPr="009D1AE0">
        <w:t>del</w:t>
      </w:r>
      <w:proofErr w:type="gramEnd"/>
      <w:r w:rsidRPr="009D1AE0">
        <w:t xml:space="preserve"> VALLE GALLEGOS, E., Economic competitiveness of small modular reactors versus coal and combined cycle plants, Energy 116 (2016) 867–879.</w:t>
      </w:r>
    </w:p>
    <w:p w14:paraId="69804F86" w14:textId="77777777" w:rsidR="00F974DE" w:rsidRPr="009D1AE0" w:rsidRDefault="00F974DE" w:rsidP="00F974DE">
      <w:pPr>
        <w:pStyle w:val="Referencelist"/>
      </w:pPr>
      <w:r w:rsidRPr="009D1AE0">
        <w:t xml:space="preserve">Pathways to Commercial </w:t>
      </w:r>
      <w:proofErr w:type="spellStart"/>
      <w:r w:rsidRPr="009D1AE0">
        <w:t>Liftoff</w:t>
      </w:r>
      <w:proofErr w:type="spellEnd"/>
      <w:r w:rsidRPr="009D1AE0">
        <w:t>: Advanced Nuclear, U.S. Department of Energy (2023).</w:t>
      </w:r>
    </w:p>
    <w:p w14:paraId="7A77B6CC" w14:textId="77777777" w:rsidR="00F974DE" w:rsidRPr="009D1AE0" w:rsidRDefault="00F974DE" w:rsidP="00F974DE">
      <w:pPr>
        <w:pStyle w:val="Referencelist"/>
      </w:pPr>
      <w:r w:rsidRPr="009D1AE0">
        <w:t xml:space="preserve">HUANG, J., FAN, J., FURBO, S., Feasibility study on solar district heating in China, Renew. </w:t>
      </w:r>
      <w:proofErr w:type="spellStart"/>
      <w:r w:rsidRPr="009D1AE0">
        <w:t>Sust</w:t>
      </w:r>
      <w:proofErr w:type="spellEnd"/>
      <w:r w:rsidRPr="009D1AE0">
        <w:t xml:space="preserve">. </w:t>
      </w:r>
      <w:proofErr w:type="spellStart"/>
      <w:r w:rsidRPr="009D1AE0">
        <w:t>Energ</w:t>
      </w:r>
      <w:proofErr w:type="spellEnd"/>
      <w:r w:rsidRPr="009D1AE0">
        <w:t>. Rev. 108 (2019) 53–64.</w:t>
      </w:r>
    </w:p>
    <w:p w14:paraId="5DAC9842" w14:textId="77777777" w:rsidR="00F974DE" w:rsidRPr="009D1AE0" w:rsidRDefault="00F974DE" w:rsidP="00F974DE">
      <w:pPr>
        <w:pStyle w:val="Referencelist"/>
      </w:pPr>
      <w:r w:rsidRPr="009D1AE0">
        <w:t xml:space="preserve">GILBERT, T., MENON, A., DAMES, C., PRASHER, R., Heat source and application-dependent </w:t>
      </w:r>
      <w:proofErr w:type="spellStart"/>
      <w:r w:rsidRPr="009D1AE0">
        <w:t>levelized</w:t>
      </w:r>
      <w:proofErr w:type="spellEnd"/>
      <w:r w:rsidRPr="009D1AE0">
        <w:t xml:space="preserve"> cost of decarbonized heat, Joule 7 (2022) 128–149.</w:t>
      </w:r>
    </w:p>
    <w:p w14:paraId="415A0866" w14:textId="77777777" w:rsidR="00F974DE" w:rsidRPr="009D1AE0" w:rsidRDefault="00F974DE" w:rsidP="00F974DE">
      <w:pPr>
        <w:pStyle w:val="Referencelist"/>
      </w:pPr>
      <w:r w:rsidRPr="009D1AE0">
        <w:t xml:space="preserve">VESELOV, F., MAKAROVA, A., NOVIKOVA, T., PANKRUSHINA, T., Modification of the methodological approach to assessing the effectiveness of alternative options for integrated energy supply to consumers in the tasks of long-term planning of energy system development. </w:t>
      </w:r>
      <w:proofErr w:type="spellStart"/>
      <w:r w:rsidRPr="009D1AE0">
        <w:t>Izv</w:t>
      </w:r>
      <w:proofErr w:type="spellEnd"/>
      <w:r w:rsidRPr="009D1AE0">
        <w:t xml:space="preserve">. Ran. </w:t>
      </w:r>
      <w:proofErr w:type="spellStart"/>
      <w:r w:rsidRPr="009D1AE0">
        <w:t>Energ</w:t>
      </w:r>
      <w:proofErr w:type="spellEnd"/>
      <w:r w:rsidRPr="009D1AE0">
        <w:t>. [In Russian] 1 (2021) 14–25.</w:t>
      </w:r>
    </w:p>
    <w:p w14:paraId="36010487" w14:textId="77777777" w:rsidR="00F974DE" w:rsidRPr="009D1AE0" w:rsidRDefault="00F974DE" w:rsidP="00F974DE">
      <w:pPr>
        <w:pStyle w:val="Referencelist"/>
      </w:pPr>
      <w:r w:rsidRPr="009D1AE0">
        <w:t>VESELOV, F., PANKRUSHINA, T., KHORSHEV, A., Comparative economic analysis of technological priorities for low-carbon transformation of electric power industry in Russia and the EU, Energy Policy 156 (2021) 112409.</w:t>
      </w:r>
    </w:p>
    <w:p w14:paraId="60176FDB" w14:textId="77777777" w:rsidR="00F974DE" w:rsidRPr="009D1AE0" w:rsidRDefault="00F974DE" w:rsidP="00F974DE">
      <w:pPr>
        <w:pStyle w:val="Referencelist"/>
      </w:pPr>
      <w:r w:rsidRPr="009D1AE0">
        <w:t>VESELOV, F., KHORSHEV, A., “Integrated modelling and information technology for strategic planning in the energy sector of Russia”, 11</w:t>
      </w:r>
      <w:r w:rsidRPr="009D1AE0">
        <w:rPr>
          <w:vertAlign w:val="superscript"/>
        </w:rPr>
        <w:t>th</w:t>
      </w:r>
      <w:r w:rsidRPr="009D1AE0">
        <w:t xml:space="preserve"> IEEE International Conference on Application of Information and Communication Technologies (Moscow, Russian Federation, 2017), IEEE Conference (2017).</w:t>
      </w:r>
    </w:p>
    <w:p w14:paraId="7E2B02F7" w14:textId="77777777" w:rsidR="00F974DE" w:rsidRPr="009D1AE0" w:rsidRDefault="00F974DE" w:rsidP="00F974DE">
      <w:pPr>
        <w:pStyle w:val="Referencelist"/>
      </w:pPr>
      <w:r w:rsidRPr="009D1AE0">
        <w:t xml:space="preserve">KHORSHEV, A., SOLYANIK, “Adaptation of Capacity Expansion Optimization Models Taking into Account Heterogeneous Requirements for Power Industry </w:t>
      </w:r>
      <w:proofErr w:type="spellStart"/>
      <w:r w:rsidRPr="009D1AE0">
        <w:t>Decarbonization</w:t>
      </w:r>
      <w:proofErr w:type="spellEnd"/>
      <w:r w:rsidRPr="009D1AE0">
        <w:t>”, 14th Int. Conf. Management of large-scale system development (Moscow, Russian Federation, 2021), IEEE Conference (2021).</w:t>
      </w:r>
    </w:p>
    <w:p w14:paraId="19BF74A3" w14:textId="606EFA16" w:rsidR="009A1E79" w:rsidRPr="00662532" w:rsidRDefault="009A1E79" w:rsidP="00F974DE">
      <w:pPr>
        <w:pStyle w:val="a1"/>
        <w:ind w:firstLine="0"/>
      </w:pPr>
    </w:p>
    <w:sectPr w:rsidR="009A1E79" w:rsidRPr="00662532" w:rsidSect="0026525A">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EE07E" w14:textId="77777777" w:rsidR="00BC421F" w:rsidRDefault="00BC421F">
      <w:r>
        <w:separator/>
      </w:r>
    </w:p>
  </w:endnote>
  <w:endnote w:type="continuationSeparator" w:id="0">
    <w:p w14:paraId="197FFF3F" w14:textId="77777777" w:rsidR="00BC421F" w:rsidRDefault="00BC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FF961" w14:textId="71EB65A1" w:rsidR="009A1E79" w:rsidRDefault="009A1E79">
    <w:pPr>
      <w:pStyle w:val="zyxClassification1"/>
    </w:pPr>
    <w:r>
      <w:fldChar w:fldCharType="begin"/>
    </w:r>
    <w:r>
      <w:instrText xml:space="preserve"> DOCPROPERTY "IaeaClassification"  \* MERGEFORMAT </w:instrText>
    </w:r>
    <w:r>
      <w:fldChar w:fldCharType="end"/>
    </w:r>
  </w:p>
  <w:p w14:paraId="1FDEB1B7" w14:textId="0ED3327B" w:rsidR="009A1E79" w:rsidRDefault="009A1E79">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B308E" w14:textId="74B9F514" w:rsidR="009A1E79" w:rsidRDefault="009A1E79">
    <w:pPr>
      <w:pStyle w:val="zyxClassification1"/>
    </w:pPr>
    <w:r>
      <w:fldChar w:fldCharType="begin"/>
    </w:r>
    <w:r>
      <w:instrText xml:space="preserve"> DOCPROPERTY "IaeaClassification"  \* MERGEFORMAT </w:instrText>
    </w:r>
    <w:r>
      <w:fldChar w:fldCharType="end"/>
    </w:r>
  </w:p>
  <w:p w14:paraId="7E32AC2C" w14:textId="07C52EB6" w:rsidR="009A1E79" w:rsidRPr="00037321" w:rsidRDefault="009A1E79">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8A2091">
      <w:rPr>
        <w:rFonts w:ascii="Times New Roman" w:hAnsi="Times New Roman" w:cs="Times New Roman"/>
        <w:noProof/>
        <w:sz w:val="20"/>
      </w:rPr>
      <w:t>7</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9A1E79" w14:paraId="2AC0DA17" w14:textId="77777777">
      <w:trPr>
        <w:cantSplit/>
      </w:trPr>
      <w:tc>
        <w:tcPr>
          <w:tcW w:w="4644" w:type="dxa"/>
        </w:tcPr>
        <w:p w14:paraId="6CFF9F49" w14:textId="0172A26A" w:rsidR="009A1E79" w:rsidRDefault="009A1E79">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9A1E79" w:rsidRDefault="009A1E79">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9A1E79" w:rsidRDefault="009A1E79">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9A1E79" w:rsidRDefault="009A1E79">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9A1E79" w:rsidRDefault="009A1E79">
    <w:r>
      <w:rPr>
        <w:sz w:val="16"/>
      </w:rPr>
      <w:fldChar w:fldCharType="begin"/>
    </w:r>
    <w:r>
      <w:rPr>
        <w:sz w:val="16"/>
      </w:rPr>
      <w:instrText xml:space="preserve"> FILENAME \* MERGEFORMAT </w:instrText>
    </w:r>
    <w:r>
      <w:rPr>
        <w:sz w:val="16"/>
      </w:rPr>
      <w:fldChar w:fldCharType="separate"/>
    </w:r>
    <w:r w:rsidR="008A2091">
      <w:rPr>
        <w:noProof/>
        <w:sz w:val="16"/>
      </w:rPr>
      <w:t>Veselov et al CN327-29</w:t>
    </w:r>
    <w:r>
      <w:rPr>
        <w:sz w:val="16"/>
      </w:rPr>
      <w:fldChar w:fldCharType="end"/>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84BF1" w14:textId="77777777" w:rsidR="00BC421F" w:rsidRDefault="00BC421F">
      <w:r>
        <w:t>___________________________________________________________________________</w:t>
      </w:r>
    </w:p>
  </w:footnote>
  <w:footnote w:type="continuationSeparator" w:id="0">
    <w:p w14:paraId="00CA1C2B" w14:textId="77777777" w:rsidR="00BC421F" w:rsidRDefault="00BC421F">
      <w:r>
        <w:t>___________________________________________________________________________</w:t>
      </w:r>
    </w:p>
  </w:footnote>
  <w:footnote w:type="continuationNotice" w:id="1">
    <w:p w14:paraId="04434236" w14:textId="77777777" w:rsidR="00BC421F" w:rsidRDefault="00BC42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F522D" w14:textId="361499A0" w:rsidR="009A1E79" w:rsidRDefault="009A1E79" w:rsidP="00CF7AF3">
    <w:pPr>
      <w:pStyle w:val="Runninghead"/>
    </w:pPr>
    <w:r>
      <w:tab/>
      <w:t>IAEA-CN-</w:t>
    </w:r>
    <w:r w:rsidR="007A76CF">
      <w:t>327</w:t>
    </w:r>
    <w:r>
      <w:t>/</w:t>
    </w:r>
    <w:r w:rsidR="007A76CF">
      <w:t>29</w:t>
    </w:r>
  </w:p>
  <w:p w14:paraId="6E7E9A0F" w14:textId="18B87A12" w:rsidR="009A1E79" w:rsidRDefault="009A1E79" w:rsidP="00CF7AF3">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14:paraId="09E92CEF" w14:textId="58EFCBEB" w:rsidR="009A1E79" w:rsidRDefault="009A1E79">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2EF17" w14:textId="620A94B1" w:rsidR="009A1E79" w:rsidRPr="007A76CF" w:rsidRDefault="009A1E79" w:rsidP="007A76CF">
    <w:pPr>
      <w:pStyle w:val="Runninghead"/>
    </w:pPr>
    <w:r>
      <w:t>VESELOV et 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9A1E79" w14:paraId="2C69EA9B" w14:textId="77777777">
      <w:trPr>
        <w:cantSplit/>
        <w:trHeight w:val="716"/>
      </w:trPr>
      <w:tc>
        <w:tcPr>
          <w:tcW w:w="979" w:type="dxa"/>
          <w:vMerge w:val="restart"/>
        </w:tcPr>
        <w:p w14:paraId="2A6ADF80" w14:textId="77777777" w:rsidR="009A1E79" w:rsidRDefault="009A1E79">
          <w:pPr>
            <w:spacing w:before="180"/>
            <w:ind w:left="17"/>
          </w:pPr>
        </w:p>
      </w:tc>
      <w:tc>
        <w:tcPr>
          <w:tcW w:w="3638" w:type="dxa"/>
          <w:vAlign w:val="bottom"/>
        </w:tcPr>
        <w:p w14:paraId="610CF310" w14:textId="77777777" w:rsidR="009A1E79" w:rsidRDefault="009A1E79">
          <w:pPr>
            <w:spacing w:after="20"/>
          </w:pPr>
        </w:p>
      </w:tc>
      <w:bookmarkStart w:id="1" w:name="DOC_bkmClassification1"/>
      <w:tc>
        <w:tcPr>
          <w:tcW w:w="5702" w:type="dxa"/>
          <w:vMerge w:val="restart"/>
          <w:tcMar>
            <w:right w:w="193" w:type="dxa"/>
          </w:tcMar>
        </w:tcPr>
        <w:p w14:paraId="48D5842E" w14:textId="65BC9385" w:rsidR="009A1E79" w:rsidRDefault="009A1E79">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9A1E79" w:rsidRDefault="009A1E79">
          <w:pPr>
            <w:pStyle w:val="zyxConfid2Red"/>
          </w:pPr>
          <w:r>
            <w:fldChar w:fldCharType="begin"/>
          </w:r>
          <w:r>
            <w:instrText>DOCPROPERTY "IaeaClassification2"  \* MERGEFORMAT</w:instrText>
          </w:r>
          <w:r>
            <w:fldChar w:fldCharType="end"/>
          </w:r>
        </w:p>
      </w:tc>
    </w:tr>
    <w:tr w:rsidR="009A1E79" w14:paraId="7130D945" w14:textId="77777777">
      <w:trPr>
        <w:cantSplit/>
        <w:trHeight w:val="167"/>
      </w:trPr>
      <w:tc>
        <w:tcPr>
          <w:tcW w:w="979" w:type="dxa"/>
          <w:vMerge/>
        </w:tcPr>
        <w:p w14:paraId="7659FE2B" w14:textId="77777777" w:rsidR="009A1E79" w:rsidRDefault="009A1E79">
          <w:pPr>
            <w:spacing w:before="57"/>
          </w:pPr>
        </w:p>
      </w:tc>
      <w:tc>
        <w:tcPr>
          <w:tcW w:w="3638" w:type="dxa"/>
          <w:vAlign w:val="bottom"/>
        </w:tcPr>
        <w:p w14:paraId="7578AADC" w14:textId="77777777" w:rsidR="009A1E79" w:rsidRDefault="009A1E79">
          <w:pPr>
            <w:pStyle w:val="9"/>
            <w:spacing w:before="0" w:after="10"/>
          </w:pPr>
        </w:p>
      </w:tc>
      <w:tc>
        <w:tcPr>
          <w:tcW w:w="5702" w:type="dxa"/>
          <w:vMerge/>
          <w:vAlign w:val="bottom"/>
        </w:tcPr>
        <w:p w14:paraId="313FA1D9" w14:textId="77777777" w:rsidR="009A1E79" w:rsidRDefault="009A1E79">
          <w:pPr>
            <w:pStyle w:val="9"/>
            <w:spacing w:before="0" w:after="10"/>
          </w:pPr>
        </w:p>
      </w:tc>
    </w:tr>
  </w:tbl>
  <w:p w14:paraId="7A0C2B4B" w14:textId="77777777" w:rsidR="009A1E79" w:rsidRDefault="009A1E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nsid w:val="3D18048A"/>
    <w:multiLevelType w:val="hybridMultilevel"/>
    <w:tmpl w:val="4B54526C"/>
    <w:name w:val="HeadingTemplate222"/>
    <w:lvl w:ilvl="0" w:tplc="309A0324">
      <w:start w:val="1"/>
      <w:numFmt w:val="decimal"/>
      <w:pStyle w:val="Referencelist"/>
      <w:lvlText w:val="[%1]"/>
      <w:lvlJc w:val="left"/>
      <w:pPr>
        <w:ind w:left="720" w:hanging="360"/>
      </w:pPr>
    </w:lvl>
    <w:lvl w:ilvl="1" w:tplc="7E3674FC">
      <w:start w:val="1"/>
      <w:numFmt w:val="upperLetter"/>
      <w:lvlText w:val="%2."/>
      <w:lvlJc w:val="left"/>
      <w:pPr>
        <w:ind w:left="1946" w:hanging="86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2"/>
      <w:suff w:val="space"/>
      <w:lvlText w:val="%1%2."/>
      <w:lvlJc w:val="left"/>
      <w:pPr>
        <w:ind w:left="0" w:firstLine="0"/>
      </w:pPr>
      <w:rPr>
        <w:rFonts w:hint="default"/>
        <w:color w:val="auto"/>
      </w:rPr>
    </w:lvl>
    <w:lvl w:ilvl="2">
      <w:start w:val="1"/>
      <w:numFmt w:val="decimal"/>
      <w:lvlRestart w:val="0"/>
      <w:pStyle w:val="3"/>
      <w:lvlText w:val="%1%2.%3."/>
      <w:lvlJc w:val="left"/>
      <w:pPr>
        <w:ind w:left="0" w:firstLine="0"/>
      </w:pPr>
      <w:rPr>
        <w:rFonts w:hint="default"/>
      </w:rPr>
    </w:lvl>
    <w:lvl w:ilvl="3">
      <w:start w:val="1"/>
      <w:numFmt w:val="decimal"/>
      <w:lvlRestart w:val="0"/>
      <w:pStyle w:val="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nsid w:val="71BD3AEB"/>
    <w:multiLevelType w:val="hybridMultilevel"/>
    <w:tmpl w:val="4C4A279E"/>
    <w:lvl w:ilvl="0" w:tplc="0419000F">
      <w:start w:val="1"/>
      <w:numFmt w:val="decimal"/>
      <w:lvlText w:val="%1."/>
      <w:lvlJc w:val="left"/>
      <w:pPr>
        <w:ind w:left="720" w:hanging="360"/>
      </w:pPr>
    </w:lvl>
    <w:lvl w:ilvl="1" w:tplc="3B848D54">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4"/>
  </w:num>
  <w:num w:numId="3">
    <w:abstractNumId w:val="10"/>
  </w:num>
  <w:num w:numId="4">
    <w:abstractNumId w:val="10"/>
  </w:num>
  <w:num w:numId="5">
    <w:abstractNumId w:val="10"/>
  </w:num>
  <w:num w:numId="6">
    <w:abstractNumId w:val="5"/>
  </w:num>
  <w:num w:numId="7">
    <w:abstractNumId w:val="8"/>
  </w:num>
  <w:num w:numId="8">
    <w:abstractNumId w:val="12"/>
  </w:num>
  <w:num w:numId="9">
    <w:abstractNumId w:val="1"/>
  </w:num>
  <w:num w:numId="10">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lvlText w:val="%1%2."/>
        <w:lvlJc w:val="left"/>
        <w:pPr>
          <w:ind w:left="0" w:firstLine="0"/>
        </w:pPr>
        <w:rPr>
          <w:rFonts w:hint="default"/>
          <w:color w:val="auto"/>
        </w:rPr>
      </w:lvl>
    </w:lvlOverride>
    <w:lvlOverride w:ilvl="2">
      <w:lvl w:ilvl="2">
        <w:start w:val="1"/>
        <w:numFmt w:val="decimal"/>
        <w:lvlRestart w:val="0"/>
        <w:pStyle w:val="3"/>
        <w:lvlText w:val="%1%2.%3."/>
        <w:lvlJc w:val="left"/>
        <w:pPr>
          <w:ind w:left="0" w:firstLine="0"/>
        </w:pPr>
        <w:rPr>
          <w:rFonts w:hint="default"/>
        </w:rPr>
      </w:lvl>
    </w:lvlOverride>
    <w:lvlOverride w:ilvl="3">
      <w:lvl w:ilvl="3">
        <w:start w:val="1"/>
        <w:numFmt w:val="none"/>
        <w:lvlRestart w:val="0"/>
        <w:pStyle w:val="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0"/>
  </w:num>
  <w:num w:numId="12">
    <w:abstractNumId w:val="10"/>
  </w:num>
  <w:num w:numId="13">
    <w:abstractNumId w:val="10"/>
  </w:num>
  <w:num w:numId="14">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suff w:val="space"/>
        <w:lvlText w:val="%1%2."/>
        <w:lvlJc w:val="left"/>
        <w:pPr>
          <w:ind w:left="0" w:firstLine="0"/>
        </w:pPr>
        <w:rPr>
          <w:rFonts w:hint="default"/>
          <w:color w:val="auto"/>
        </w:rPr>
      </w:lvl>
    </w:lvlOverride>
    <w:lvlOverride w:ilvl="2">
      <w:lvl w:ilvl="2">
        <w:start w:val="1"/>
        <w:numFmt w:val="decimal"/>
        <w:lvlRestart w:val="0"/>
        <w:pStyle w:val="3"/>
        <w:suff w:val="space"/>
        <w:lvlText w:val="%1%2.%3."/>
        <w:lvlJc w:val="left"/>
        <w:pPr>
          <w:ind w:left="0" w:firstLine="0"/>
        </w:pPr>
        <w:rPr>
          <w:rFonts w:hint="default"/>
        </w:rPr>
      </w:lvl>
    </w:lvlOverride>
    <w:lvlOverride w:ilvl="3">
      <w:lvl w:ilvl="3">
        <w:start w:val="1"/>
        <w:numFmt w:val="decimal"/>
        <w:lvlRestart w:val="0"/>
        <w:pStyle w:val="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0"/>
  </w:num>
  <w:num w:numId="16">
    <w:abstractNumId w:val="10"/>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num>
  <w:num w:numId="21">
    <w:abstractNumId w:val="10"/>
  </w:num>
  <w:num w:numId="22">
    <w:abstractNumId w:val="3"/>
  </w:num>
  <w:num w:numId="23">
    <w:abstractNumId w:val="0"/>
  </w:num>
  <w:num w:numId="24">
    <w:abstractNumId w:val="9"/>
  </w:num>
  <w:num w:numId="25">
    <w:abstractNumId w:val="10"/>
  </w:num>
  <w:num w:numId="26">
    <w:abstractNumId w:val="10"/>
  </w:num>
  <w:num w:numId="27">
    <w:abstractNumId w:val="10"/>
  </w:num>
  <w:num w:numId="28">
    <w:abstractNumId w:val="10"/>
  </w:num>
  <w:num w:numId="29">
    <w:abstractNumId w:val="10"/>
  </w:num>
  <w:num w:numId="30">
    <w:abstractNumId w:val="6"/>
  </w:num>
  <w:num w:numId="31">
    <w:abstractNumId w:val="6"/>
  </w:num>
  <w:num w:numId="32">
    <w:abstractNumId w:val="10"/>
  </w:num>
  <w:num w:numId="33">
    <w:abstractNumId w:val="2"/>
  </w:num>
  <w:num w:numId="34">
    <w:abstractNumId w:val="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4B05"/>
    <w:rsid w:val="00010AA7"/>
    <w:rsid w:val="000229AB"/>
    <w:rsid w:val="0002569A"/>
    <w:rsid w:val="00037321"/>
    <w:rsid w:val="000646F0"/>
    <w:rsid w:val="000661B4"/>
    <w:rsid w:val="00071A7C"/>
    <w:rsid w:val="00072E03"/>
    <w:rsid w:val="000A0299"/>
    <w:rsid w:val="000C2C0B"/>
    <w:rsid w:val="000C6F25"/>
    <w:rsid w:val="000C76D6"/>
    <w:rsid w:val="000E09D0"/>
    <w:rsid w:val="000E732C"/>
    <w:rsid w:val="000E735F"/>
    <w:rsid w:val="000F2B4C"/>
    <w:rsid w:val="000F7E94"/>
    <w:rsid w:val="001119D6"/>
    <w:rsid w:val="001308F2"/>
    <w:rsid w:val="001313E8"/>
    <w:rsid w:val="001418B4"/>
    <w:rsid w:val="00155CA9"/>
    <w:rsid w:val="0016203A"/>
    <w:rsid w:val="00172971"/>
    <w:rsid w:val="00194CF9"/>
    <w:rsid w:val="001B146E"/>
    <w:rsid w:val="001C0A5D"/>
    <w:rsid w:val="001C58F5"/>
    <w:rsid w:val="001C74D0"/>
    <w:rsid w:val="001D5CEE"/>
    <w:rsid w:val="001D6955"/>
    <w:rsid w:val="002071D9"/>
    <w:rsid w:val="00216104"/>
    <w:rsid w:val="00216DAB"/>
    <w:rsid w:val="00226E77"/>
    <w:rsid w:val="0024508A"/>
    <w:rsid w:val="00253CA6"/>
    <w:rsid w:val="00256822"/>
    <w:rsid w:val="0026525A"/>
    <w:rsid w:val="00274790"/>
    <w:rsid w:val="00285755"/>
    <w:rsid w:val="0028631A"/>
    <w:rsid w:val="00287668"/>
    <w:rsid w:val="002978BA"/>
    <w:rsid w:val="002A1F9C"/>
    <w:rsid w:val="002B29C2"/>
    <w:rsid w:val="002C4208"/>
    <w:rsid w:val="002E1A57"/>
    <w:rsid w:val="002E3287"/>
    <w:rsid w:val="002F7E6A"/>
    <w:rsid w:val="00352DE1"/>
    <w:rsid w:val="003728E6"/>
    <w:rsid w:val="003742DD"/>
    <w:rsid w:val="00377DFF"/>
    <w:rsid w:val="00393D57"/>
    <w:rsid w:val="00396976"/>
    <w:rsid w:val="00397BD8"/>
    <w:rsid w:val="003B21CD"/>
    <w:rsid w:val="003B5E0E"/>
    <w:rsid w:val="003D255A"/>
    <w:rsid w:val="0040491A"/>
    <w:rsid w:val="00406D27"/>
    <w:rsid w:val="00416949"/>
    <w:rsid w:val="004370D8"/>
    <w:rsid w:val="0044076F"/>
    <w:rsid w:val="00445A36"/>
    <w:rsid w:val="00452774"/>
    <w:rsid w:val="00472C43"/>
    <w:rsid w:val="00475564"/>
    <w:rsid w:val="00476FE5"/>
    <w:rsid w:val="0048595D"/>
    <w:rsid w:val="004C2CE9"/>
    <w:rsid w:val="004E1E60"/>
    <w:rsid w:val="004E5A26"/>
    <w:rsid w:val="004F148C"/>
    <w:rsid w:val="00506C48"/>
    <w:rsid w:val="00524955"/>
    <w:rsid w:val="005264A0"/>
    <w:rsid w:val="00532EED"/>
    <w:rsid w:val="00537496"/>
    <w:rsid w:val="00544079"/>
    <w:rsid w:val="00544ED3"/>
    <w:rsid w:val="00547626"/>
    <w:rsid w:val="00553985"/>
    <w:rsid w:val="00554407"/>
    <w:rsid w:val="0058477B"/>
    <w:rsid w:val="0058654F"/>
    <w:rsid w:val="00596ACA"/>
    <w:rsid w:val="005D4E28"/>
    <w:rsid w:val="005E39BC"/>
    <w:rsid w:val="005F00A0"/>
    <w:rsid w:val="00600D0C"/>
    <w:rsid w:val="00604995"/>
    <w:rsid w:val="00615B07"/>
    <w:rsid w:val="006211CE"/>
    <w:rsid w:val="00634643"/>
    <w:rsid w:val="0064781F"/>
    <w:rsid w:val="00647F33"/>
    <w:rsid w:val="006535E1"/>
    <w:rsid w:val="00662532"/>
    <w:rsid w:val="00672D56"/>
    <w:rsid w:val="00673965"/>
    <w:rsid w:val="006A4BBA"/>
    <w:rsid w:val="006B2274"/>
    <w:rsid w:val="006C31C1"/>
    <w:rsid w:val="006F2998"/>
    <w:rsid w:val="006F2AA3"/>
    <w:rsid w:val="006F61BA"/>
    <w:rsid w:val="007119EC"/>
    <w:rsid w:val="00717C6F"/>
    <w:rsid w:val="007445DA"/>
    <w:rsid w:val="00754204"/>
    <w:rsid w:val="0075698D"/>
    <w:rsid w:val="007724E1"/>
    <w:rsid w:val="00782949"/>
    <w:rsid w:val="00782CA5"/>
    <w:rsid w:val="00790CAA"/>
    <w:rsid w:val="007A04A8"/>
    <w:rsid w:val="007A76CF"/>
    <w:rsid w:val="007B4FD1"/>
    <w:rsid w:val="007E3123"/>
    <w:rsid w:val="007F757F"/>
    <w:rsid w:val="00802381"/>
    <w:rsid w:val="00803EFE"/>
    <w:rsid w:val="0081257D"/>
    <w:rsid w:val="00813EFD"/>
    <w:rsid w:val="0082132A"/>
    <w:rsid w:val="00824ADA"/>
    <w:rsid w:val="00831CE8"/>
    <w:rsid w:val="00843368"/>
    <w:rsid w:val="008475EC"/>
    <w:rsid w:val="00882543"/>
    <w:rsid w:val="00883848"/>
    <w:rsid w:val="00883F48"/>
    <w:rsid w:val="00897CE0"/>
    <w:rsid w:val="00897ED5"/>
    <w:rsid w:val="008A2091"/>
    <w:rsid w:val="008A3104"/>
    <w:rsid w:val="008B2257"/>
    <w:rsid w:val="008B6BB9"/>
    <w:rsid w:val="008E3A35"/>
    <w:rsid w:val="009002E5"/>
    <w:rsid w:val="00911543"/>
    <w:rsid w:val="009339DC"/>
    <w:rsid w:val="00933B71"/>
    <w:rsid w:val="009519C9"/>
    <w:rsid w:val="009706D3"/>
    <w:rsid w:val="009709DF"/>
    <w:rsid w:val="00996DA2"/>
    <w:rsid w:val="009A1E79"/>
    <w:rsid w:val="009D0B86"/>
    <w:rsid w:val="009D1AE0"/>
    <w:rsid w:val="009E0D5B"/>
    <w:rsid w:val="009E1558"/>
    <w:rsid w:val="009E1B63"/>
    <w:rsid w:val="009E4B5E"/>
    <w:rsid w:val="00A25CB4"/>
    <w:rsid w:val="00A3170F"/>
    <w:rsid w:val="00A3647B"/>
    <w:rsid w:val="00A42898"/>
    <w:rsid w:val="00A600C3"/>
    <w:rsid w:val="00A714ED"/>
    <w:rsid w:val="00A93714"/>
    <w:rsid w:val="00AB6ACE"/>
    <w:rsid w:val="00AB751E"/>
    <w:rsid w:val="00AC4CA5"/>
    <w:rsid w:val="00AC5A3A"/>
    <w:rsid w:val="00AF7AD3"/>
    <w:rsid w:val="00B06FDE"/>
    <w:rsid w:val="00B14E08"/>
    <w:rsid w:val="00B16055"/>
    <w:rsid w:val="00B1688D"/>
    <w:rsid w:val="00B33034"/>
    <w:rsid w:val="00B34F5B"/>
    <w:rsid w:val="00B54D3B"/>
    <w:rsid w:val="00B602ED"/>
    <w:rsid w:val="00B60427"/>
    <w:rsid w:val="00B82FA5"/>
    <w:rsid w:val="00B858F4"/>
    <w:rsid w:val="00B92AAF"/>
    <w:rsid w:val="00BA2224"/>
    <w:rsid w:val="00BB101C"/>
    <w:rsid w:val="00BC097B"/>
    <w:rsid w:val="00BC3FFE"/>
    <w:rsid w:val="00BC421F"/>
    <w:rsid w:val="00BC4263"/>
    <w:rsid w:val="00BC759C"/>
    <w:rsid w:val="00BD1400"/>
    <w:rsid w:val="00BD605C"/>
    <w:rsid w:val="00BE2A76"/>
    <w:rsid w:val="00BE2E31"/>
    <w:rsid w:val="00C073BD"/>
    <w:rsid w:val="00C477C9"/>
    <w:rsid w:val="00C55C39"/>
    <w:rsid w:val="00C6465D"/>
    <w:rsid w:val="00C65E60"/>
    <w:rsid w:val="00C70309"/>
    <w:rsid w:val="00C72272"/>
    <w:rsid w:val="00C82B71"/>
    <w:rsid w:val="00C860BE"/>
    <w:rsid w:val="00C877BB"/>
    <w:rsid w:val="00C91BEA"/>
    <w:rsid w:val="00CA0F0B"/>
    <w:rsid w:val="00CD0120"/>
    <w:rsid w:val="00CD219E"/>
    <w:rsid w:val="00CE151F"/>
    <w:rsid w:val="00CE5A52"/>
    <w:rsid w:val="00CF5B6D"/>
    <w:rsid w:val="00CF5DE3"/>
    <w:rsid w:val="00CF7AF3"/>
    <w:rsid w:val="00D26ADA"/>
    <w:rsid w:val="00D35A78"/>
    <w:rsid w:val="00D555A1"/>
    <w:rsid w:val="00D64DC2"/>
    <w:rsid w:val="00D83C32"/>
    <w:rsid w:val="00D86C25"/>
    <w:rsid w:val="00D90D4C"/>
    <w:rsid w:val="00DA3B2F"/>
    <w:rsid w:val="00DA46CA"/>
    <w:rsid w:val="00DD402D"/>
    <w:rsid w:val="00DE53D3"/>
    <w:rsid w:val="00DE7B7C"/>
    <w:rsid w:val="00DF21EB"/>
    <w:rsid w:val="00DF2E51"/>
    <w:rsid w:val="00E20E70"/>
    <w:rsid w:val="00E25B68"/>
    <w:rsid w:val="00E336E8"/>
    <w:rsid w:val="00E42A6D"/>
    <w:rsid w:val="00E67F16"/>
    <w:rsid w:val="00E84003"/>
    <w:rsid w:val="00E97C42"/>
    <w:rsid w:val="00EC10FC"/>
    <w:rsid w:val="00EC65A9"/>
    <w:rsid w:val="00EC76D7"/>
    <w:rsid w:val="00ED0BF5"/>
    <w:rsid w:val="00ED24C0"/>
    <w:rsid w:val="00EE0041"/>
    <w:rsid w:val="00EE29B9"/>
    <w:rsid w:val="00EF56C8"/>
    <w:rsid w:val="00F004EE"/>
    <w:rsid w:val="00F15D93"/>
    <w:rsid w:val="00F27339"/>
    <w:rsid w:val="00F42E23"/>
    <w:rsid w:val="00F45EEE"/>
    <w:rsid w:val="00F47778"/>
    <w:rsid w:val="00F501BE"/>
    <w:rsid w:val="00F51740"/>
    <w:rsid w:val="00F51E9C"/>
    <w:rsid w:val="00F523CA"/>
    <w:rsid w:val="00F53798"/>
    <w:rsid w:val="00F74A9D"/>
    <w:rsid w:val="00F962F7"/>
    <w:rsid w:val="00F974DE"/>
    <w:rsid w:val="00FA4822"/>
    <w:rsid w:val="00FB5424"/>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267">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3">
    <w:name w:val="heading 3"/>
    <w:aliases w:val="2nd level paper heading"/>
    <w:next w:val="a1"/>
    <w:uiPriority w:val="4"/>
    <w:qFormat/>
    <w:rsid w:val="00897ED5"/>
    <w:pPr>
      <w:widowControl w:val="0"/>
      <w:numPr>
        <w:ilvl w:val="2"/>
        <w:numId w:val="12"/>
      </w:numPr>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a5"/>
    <w:qFormat/>
    <w:rsid w:val="00647F33"/>
    <w:pPr>
      <w:spacing w:line="260" w:lineRule="atLeast"/>
      <w:ind w:firstLine="567"/>
      <w:contextualSpacing/>
      <w:jc w:val="both"/>
    </w:pPr>
    <w:rPr>
      <w:lang w:eastAsia="en-US"/>
    </w:rPr>
  </w:style>
  <w:style w:type="paragraph" w:styleId="a6">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7">
    <w:name w:val="caption"/>
    <w:next w:val="a"/>
    <w:uiPriority w:val="49"/>
    <w:pPr>
      <w:spacing w:after="85"/>
    </w:pPr>
    <w:rPr>
      <w:bCs/>
      <w:sz w:val="18"/>
      <w:lang w:val="en-US" w:eastAsia="en-US"/>
    </w:rPr>
  </w:style>
  <w:style w:type="paragraph" w:styleId="a8">
    <w:name w:val="footer"/>
    <w:basedOn w:val="a"/>
    <w:link w:val="a9"/>
    <w:uiPriority w:val="99"/>
    <w:locked/>
    <w:pPr>
      <w:overflowPunct/>
      <w:autoSpaceDE/>
      <w:autoSpaceDN/>
      <w:adjustRightInd/>
      <w:textAlignment w:val="auto"/>
    </w:pPr>
    <w:rPr>
      <w:sz w:val="2"/>
      <w:lang w:val="en-US"/>
    </w:rPr>
  </w:style>
  <w:style w:type="paragraph" w:styleId="aa">
    <w:name w:val="footnote text"/>
    <w:semiHidden/>
    <w:locked/>
    <w:pPr>
      <w:tabs>
        <w:tab w:val="left" w:pos="459"/>
      </w:tabs>
      <w:spacing w:before="142"/>
      <w:ind w:left="459"/>
      <w:jc w:val="both"/>
    </w:pPr>
    <w:rPr>
      <w:sz w:val="18"/>
      <w:lang w:eastAsia="en-US"/>
    </w:rPr>
  </w:style>
  <w:style w:type="paragraph" w:styleId="ab">
    <w:name w:val="header"/>
    <w:next w:val="a1"/>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20"/>
      </w:numPr>
    </w:pPr>
  </w:style>
  <w:style w:type="paragraph" w:customStyle="1" w:styleId="ListNumbered">
    <w:name w:val="List Numbered"/>
    <w:basedOn w:val="a1"/>
    <w:uiPriority w:val="5"/>
    <w:qFormat/>
    <w:locked/>
    <w:rsid w:val="00717C6F"/>
    <w:pPr>
      <w:numPr>
        <w:numId w:val="22"/>
      </w:numPr>
    </w:pPr>
  </w:style>
  <w:style w:type="paragraph" w:styleId="ac">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d">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8"/>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a9">
    <w:name w:val="Нижний колонтитул Знак"/>
    <w:basedOn w:val="a2"/>
    <w:link w:val="a8"/>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a5">
    <w:name w:val="Основной текст Знак"/>
    <w:basedOn w:val="a2"/>
    <w:link w:val="a1"/>
    <w:rsid w:val="00647F33"/>
    <w:rPr>
      <w:lang w:eastAsia="en-US"/>
    </w:rPr>
  </w:style>
  <w:style w:type="character" w:customStyle="1" w:styleId="AuthornameandaffiliationChar">
    <w:name w:val="Author name and affiliation Char"/>
    <w:basedOn w:val="a5"/>
    <w:link w:val="Authornameandaffiliation"/>
    <w:uiPriority w:val="49"/>
    <w:rsid w:val="00647F33"/>
    <w:rPr>
      <w:lang w:val="en-US" w:eastAsia="en-US"/>
    </w:rPr>
  </w:style>
  <w:style w:type="table" w:styleId="ae">
    <w:name w:val="Table Grid"/>
    <w:basedOn w:val="a3"/>
    <w:locked/>
    <w:rsid w:val="00472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f">
    <w:name w:val="Balloon Text"/>
    <w:basedOn w:val="a"/>
    <w:link w:val="af0"/>
    <w:uiPriority w:val="49"/>
    <w:locked/>
    <w:rsid w:val="005F00A0"/>
    <w:rPr>
      <w:rFonts w:ascii="Tahoma" w:hAnsi="Tahoma" w:cs="Tahoma"/>
      <w:sz w:val="16"/>
      <w:szCs w:val="16"/>
    </w:rPr>
  </w:style>
  <w:style w:type="character" w:customStyle="1" w:styleId="af0">
    <w:name w:val="Текст выноски Знак"/>
    <w:basedOn w:val="a2"/>
    <w:link w:val="af"/>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a5"/>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a5"/>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a5"/>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a5"/>
    <w:link w:val="Tabletext"/>
    <w:uiPriority w:val="49"/>
    <w:rsid w:val="00883848"/>
    <w:rPr>
      <w:lang w:eastAsia="en-US"/>
    </w:rPr>
  </w:style>
  <w:style w:type="character" w:styleId="af1">
    <w:name w:val="annotation reference"/>
    <w:basedOn w:val="a2"/>
    <w:uiPriority w:val="49"/>
    <w:locked/>
    <w:rsid w:val="009002E5"/>
    <w:rPr>
      <w:sz w:val="16"/>
      <w:szCs w:val="16"/>
    </w:rPr>
  </w:style>
  <w:style w:type="paragraph" w:styleId="af2">
    <w:name w:val="annotation text"/>
    <w:basedOn w:val="a"/>
    <w:link w:val="af3"/>
    <w:uiPriority w:val="49"/>
    <w:locked/>
    <w:rsid w:val="009002E5"/>
    <w:rPr>
      <w:sz w:val="20"/>
    </w:rPr>
  </w:style>
  <w:style w:type="character" w:customStyle="1" w:styleId="af3">
    <w:name w:val="Текст примечания Знак"/>
    <w:basedOn w:val="a2"/>
    <w:link w:val="af2"/>
    <w:uiPriority w:val="49"/>
    <w:rsid w:val="009002E5"/>
    <w:rPr>
      <w:lang w:eastAsia="en-US"/>
    </w:rPr>
  </w:style>
  <w:style w:type="paragraph" w:styleId="af4">
    <w:name w:val="annotation subject"/>
    <w:basedOn w:val="af2"/>
    <w:next w:val="af2"/>
    <w:link w:val="af5"/>
    <w:uiPriority w:val="49"/>
    <w:locked/>
    <w:rsid w:val="009002E5"/>
    <w:rPr>
      <w:b/>
      <w:bCs/>
    </w:rPr>
  </w:style>
  <w:style w:type="character" w:customStyle="1" w:styleId="af5">
    <w:name w:val="Тема примечания Знак"/>
    <w:basedOn w:val="af3"/>
    <w:link w:val="af4"/>
    <w:uiPriority w:val="49"/>
    <w:rsid w:val="009002E5"/>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267">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3">
    <w:name w:val="heading 3"/>
    <w:aliases w:val="2nd level paper heading"/>
    <w:next w:val="a1"/>
    <w:uiPriority w:val="4"/>
    <w:qFormat/>
    <w:rsid w:val="00897ED5"/>
    <w:pPr>
      <w:widowControl w:val="0"/>
      <w:numPr>
        <w:ilvl w:val="2"/>
        <w:numId w:val="12"/>
      </w:numPr>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a5"/>
    <w:qFormat/>
    <w:rsid w:val="00647F33"/>
    <w:pPr>
      <w:spacing w:line="260" w:lineRule="atLeast"/>
      <w:ind w:firstLine="567"/>
      <w:contextualSpacing/>
      <w:jc w:val="both"/>
    </w:pPr>
    <w:rPr>
      <w:lang w:eastAsia="en-US"/>
    </w:rPr>
  </w:style>
  <w:style w:type="paragraph" w:styleId="a6">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7">
    <w:name w:val="caption"/>
    <w:next w:val="a"/>
    <w:uiPriority w:val="49"/>
    <w:pPr>
      <w:spacing w:after="85"/>
    </w:pPr>
    <w:rPr>
      <w:bCs/>
      <w:sz w:val="18"/>
      <w:lang w:val="en-US" w:eastAsia="en-US"/>
    </w:rPr>
  </w:style>
  <w:style w:type="paragraph" w:styleId="a8">
    <w:name w:val="footer"/>
    <w:basedOn w:val="a"/>
    <w:link w:val="a9"/>
    <w:uiPriority w:val="99"/>
    <w:locked/>
    <w:pPr>
      <w:overflowPunct/>
      <w:autoSpaceDE/>
      <w:autoSpaceDN/>
      <w:adjustRightInd/>
      <w:textAlignment w:val="auto"/>
    </w:pPr>
    <w:rPr>
      <w:sz w:val="2"/>
      <w:lang w:val="en-US"/>
    </w:rPr>
  </w:style>
  <w:style w:type="paragraph" w:styleId="aa">
    <w:name w:val="footnote text"/>
    <w:semiHidden/>
    <w:locked/>
    <w:pPr>
      <w:tabs>
        <w:tab w:val="left" w:pos="459"/>
      </w:tabs>
      <w:spacing w:before="142"/>
      <w:ind w:left="459"/>
      <w:jc w:val="both"/>
    </w:pPr>
    <w:rPr>
      <w:sz w:val="18"/>
      <w:lang w:eastAsia="en-US"/>
    </w:rPr>
  </w:style>
  <w:style w:type="paragraph" w:styleId="ab">
    <w:name w:val="header"/>
    <w:next w:val="a1"/>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20"/>
      </w:numPr>
    </w:pPr>
  </w:style>
  <w:style w:type="paragraph" w:customStyle="1" w:styleId="ListNumbered">
    <w:name w:val="List Numbered"/>
    <w:basedOn w:val="a1"/>
    <w:uiPriority w:val="5"/>
    <w:qFormat/>
    <w:locked/>
    <w:rsid w:val="00717C6F"/>
    <w:pPr>
      <w:numPr>
        <w:numId w:val="22"/>
      </w:numPr>
    </w:pPr>
  </w:style>
  <w:style w:type="paragraph" w:styleId="ac">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d">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8"/>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a9">
    <w:name w:val="Нижний колонтитул Знак"/>
    <w:basedOn w:val="a2"/>
    <w:link w:val="a8"/>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a5">
    <w:name w:val="Основной текст Знак"/>
    <w:basedOn w:val="a2"/>
    <w:link w:val="a1"/>
    <w:rsid w:val="00647F33"/>
    <w:rPr>
      <w:lang w:eastAsia="en-US"/>
    </w:rPr>
  </w:style>
  <w:style w:type="character" w:customStyle="1" w:styleId="AuthornameandaffiliationChar">
    <w:name w:val="Author name and affiliation Char"/>
    <w:basedOn w:val="a5"/>
    <w:link w:val="Authornameandaffiliation"/>
    <w:uiPriority w:val="49"/>
    <w:rsid w:val="00647F33"/>
    <w:rPr>
      <w:lang w:val="en-US" w:eastAsia="en-US"/>
    </w:rPr>
  </w:style>
  <w:style w:type="table" w:styleId="ae">
    <w:name w:val="Table Grid"/>
    <w:basedOn w:val="a3"/>
    <w:locked/>
    <w:rsid w:val="00472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f">
    <w:name w:val="Balloon Text"/>
    <w:basedOn w:val="a"/>
    <w:link w:val="af0"/>
    <w:uiPriority w:val="49"/>
    <w:locked/>
    <w:rsid w:val="005F00A0"/>
    <w:rPr>
      <w:rFonts w:ascii="Tahoma" w:hAnsi="Tahoma" w:cs="Tahoma"/>
      <w:sz w:val="16"/>
      <w:szCs w:val="16"/>
    </w:rPr>
  </w:style>
  <w:style w:type="character" w:customStyle="1" w:styleId="af0">
    <w:name w:val="Текст выноски Знак"/>
    <w:basedOn w:val="a2"/>
    <w:link w:val="af"/>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a5"/>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a5"/>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a5"/>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a5"/>
    <w:link w:val="Tabletext"/>
    <w:uiPriority w:val="49"/>
    <w:rsid w:val="00883848"/>
    <w:rPr>
      <w:lang w:eastAsia="en-US"/>
    </w:rPr>
  </w:style>
  <w:style w:type="character" w:styleId="af1">
    <w:name w:val="annotation reference"/>
    <w:basedOn w:val="a2"/>
    <w:uiPriority w:val="49"/>
    <w:locked/>
    <w:rsid w:val="009002E5"/>
    <w:rPr>
      <w:sz w:val="16"/>
      <w:szCs w:val="16"/>
    </w:rPr>
  </w:style>
  <w:style w:type="paragraph" w:styleId="af2">
    <w:name w:val="annotation text"/>
    <w:basedOn w:val="a"/>
    <w:link w:val="af3"/>
    <w:uiPriority w:val="49"/>
    <w:locked/>
    <w:rsid w:val="009002E5"/>
    <w:rPr>
      <w:sz w:val="20"/>
    </w:rPr>
  </w:style>
  <w:style w:type="character" w:customStyle="1" w:styleId="af3">
    <w:name w:val="Текст примечания Знак"/>
    <w:basedOn w:val="a2"/>
    <w:link w:val="af2"/>
    <w:uiPriority w:val="49"/>
    <w:rsid w:val="009002E5"/>
    <w:rPr>
      <w:lang w:eastAsia="en-US"/>
    </w:rPr>
  </w:style>
  <w:style w:type="paragraph" w:styleId="af4">
    <w:name w:val="annotation subject"/>
    <w:basedOn w:val="af2"/>
    <w:next w:val="af2"/>
    <w:link w:val="af5"/>
    <w:uiPriority w:val="49"/>
    <w:locked/>
    <w:rsid w:val="009002E5"/>
    <w:rPr>
      <w:b/>
      <w:bCs/>
    </w:rPr>
  </w:style>
  <w:style w:type="character" w:customStyle="1" w:styleId="af5">
    <w:name w:val="Тема примечания Знак"/>
    <w:basedOn w:val="af3"/>
    <w:link w:val="af4"/>
    <w:uiPriority w:val="49"/>
    <w:rsid w:val="009002E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939679727290839"/>
          <c:y val="3.9245662960943402E-2"/>
          <c:w val="0.65894816049017768"/>
          <c:h val="0.68466793568734319"/>
        </c:manualLayout>
      </c:layout>
      <c:barChart>
        <c:barDir val="bar"/>
        <c:grouping val="clustered"/>
        <c:varyColors val="0"/>
        <c:ser>
          <c:idx val="0"/>
          <c:order val="0"/>
          <c:tx>
            <c:strRef>
              <c:f>Лист1!$B$1</c:f>
              <c:strCache>
                <c:ptCount val="1"/>
                <c:pt idx="0">
                  <c:v>Substitution of Coal Plant, steam turbine</c:v>
                </c:pt>
              </c:strCache>
            </c:strRef>
          </c:tx>
          <c:spPr>
            <a:solidFill>
              <a:srgbClr val="FF6600"/>
            </a:solidFill>
          </c:spPr>
          <c:invertIfNegative val="0"/>
          <c:cat>
            <c:strRef>
              <c:f>Лист1!$A$2:$A$7</c:f>
              <c:strCache>
                <c:ptCount val="6"/>
                <c:pt idx="0">
                  <c:v>Coal+CCS</c:v>
                </c:pt>
                <c:pt idx="1">
                  <c:v>CCGT+CCS</c:v>
                </c:pt>
                <c:pt idx="2">
                  <c:v>CCGT</c:v>
                </c:pt>
                <c:pt idx="3">
                  <c:v>Nuclear</c:v>
                </c:pt>
                <c:pt idx="4">
                  <c:v>Onshore wind</c:v>
                </c:pt>
                <c:pt idx="5">
                  <c:v>Solar PV</c:v>
                </c:pt>
              </c:strCache>
            </c:strRef>
          </c:cat>
          <c:val>
            <c:numRef>
              <c:f>Лист1!$B$2:$B$7</c:f>
              <c:numCache>
                <c:formatCode>General</c:formatCode>
                <c:ptCount val="6"/>
                <c:pt idx="0">
                  <c:v>6.6</c:v>
                </c:pt>
                <c:pt idx="1">
                  <c:v>7</c:v>
                </c:pt>
                <c:pt idx="2">
                  <c:v>4.7</c:v>
                </c:pt>
                <c:pt idx="3">
                  <c:v>7.8</c:v>
                </c:pt>
                <c:pt idx="4">
                  <c:v>2.2999999999999998</c:v>
                </c:pt>
                <c:pt idx="5">
                  <c:v>1.4</c:v>
                </c:pt>
              </c:numCache>
            </c:numRef>
          </c:val>
        </c:ser>
        <c:ser>
          <c:idx val="1"/>
          <c:order val="1"/>
          <c:tx>
            <c:strRef>
              <c:f>Лист1!$C$1</c:f>
              <c:strCache>
                <c:ptCount val="1"/>
                <c:pt idx="0">
                  <c:v>Substitution of Gas Plant, steam turbine</c:v>
                </c:pt>
              </c:strCache>
            </c:strRef>
          </c:tx>
          <c:spPr>
            <a:solidFill>
              <a:srgbClr val="0070C0"/>
            </a:solidFill>
          </c:spPr>
          <c:invertIfNegative val="0"/>
          <c:cat>
            <c:strRef>
              <c:f>Лист1!$A$2:$A$7</c:f>
              <c:strCache>
                <c:ptCount val="6"/>
                <c:pt idx="0">
                  <c:v>Coal+CCS</c:v>
                </c:pt>
                <c:pt idx="1">
                  <c:v>CCGT+CCS</c:v>
                </c:pt>
                <c:pt idx="2">
                  <c:v>CCGT</c:v>
                </c:pt>
                <c:pt idx="3">
                  <c:v>Nuclear</c:v>
                </c:pt>
                <c:pt idx="4">
                  <c:v>Onshore wind</c:v>
                </c:pt>
                <c:pt idx="5">
                  <c:v>Solar PV</c:v>
                </c:pt>
              </c:strCache>
            </c:strRef>
          </c:cat>
          <c:val>
            <c:numRef>
              <c:f>Лист1!$C$2:$C$7</c:f>
              <c:numCache>
                <c:formatCode>General</c:formatCode>
                <c:ptCount val="6"/>
                <c:pt idx="0">
                  <c:v>3.1</c:v>
                </c:pt>
                <c:pt idx="1">
                  <c:v>3.5</c:v>
                </c:pt>
                <c:pt idx="2">
                  <c:v>1.2</c:v>
                </c:pt>
                <c:pt idx="3">
                  <c:v>4</c:v>
                </c:pt>
                <c:pt idx="4">
                  <c:v>1.2</c:v>
                </c:pt>
                <c:pt idx="5">
                  <c:v>0.75</c:v>
                </c:pt>
              </c:numCache>
            </c:numRef>
          </c:val>
        </c:ser>
        <c:ser>
          <c:idx val="2"/>
          <c:order val="2"/>
          <c:tx>
            <c:strRef>
              <c:f>Лист1!$D$1</c:f>
              <c:strCache>
                <c:ptCount val="1"/>
                <c:pt idx="0">
                  <c:v>Substitution of  CCGT</c:v>
                </c:pt>
              </c:strCache>
            </c:strRef>
          </c:tx>
          <c:spPr>
            <a:solidFill>
              <a:schemeClr val="tx2">
                <a:lumMod val="40000"/>
                <a:lumOff val="60000"/>
              </a:schemeClr>
            </a:solidFill>
          </c:spPr>
          <c:invertIfNegative val="0"/>
          <c:cat>
            <c:strRef>
              <c:f>Лист1!$A$2:$A$7</c:f>
              <c:strCache>
                <c:ptCount val="6"/>
                <c:pt idx="0">
                  <c:v>Coal+CCS</c:v>
                </c:pt>
                <c:pt idx="1">
                  <c:v>CCGT+CCS</c:v>
                </c:pt>
                <c:pt idx="2">
                  <c:v>CCGT</c:v>
                </c:pt>
                <c:pt idx="3">
                  <c:v>Nuclear</c:v>
                </c:pt>
                <c:pt idx="4">
                  <c:v>Onshore wind</c:v>
                </c:pt>
                <c:pt idx="5">
                  <c:v>Solar PV</c:v>
                </c:pt>
              </c:strCache>
            </c:strRef>
          </c:cat>
          <c:val>
            <c:numRef>
              <c:f>Лист1!$D$2:$D$7</c:f>
              <c:numCache>
                <c:formatCode>General</c:formatCode>
                <c:ptCount val="6"/>
                <c:pt idx="0">
                  <c:v>1.9</c:v>
                </c:pt>
                <c:pt idx="1">
                  <c:v>2.2999999999999998</c:v>
                </c:pt>
                <c:pt idx="3">
                  <c:v>2.8</c:v>
                </c:pt>
                <c:pt idx="4">
                  <c:v>0.8</c:v>
                </c:pt>
                <c:pt idx="5">
                  <c:v>0.55000000000000004</c:v>
                </c:pt>
              </c:numCache>
            </c:numRef>
          </c:val>
        </c:ser>
        <c:dLbls>
          <c:showLegendKey val="0"/>
          <c:showVal val="0"/>
          <c:showCatName val="0"/>
          <c:showSerName val="0"/>
          <c:showPercent val="0"/>
          <c:showBubbleSize val="0"/>
        </c:dLbls>
        <c:gapWidth val="150"/>
        <c:axId val="151261184"/>
        <c:axId val="220834624"/>
      </c:barChart>
      <c:catAx>
        <c:axId val="151261184"/>
        <c:scaling>
          <c:orientation val="minMax"/>
        </c:scaling>
        <c:delete val="0"/>
        <c:axPos val="l"/>
        <c:majorTickMark val="out"/>
        <c:minorTickMark val="none"/>
        <c:tickLblPos val="nextTo"/>
        <c:crossAx val="220834624"/>
        <c:crosses val="autoZero"/>
        <c:auto val="1"/>
        <c:lblAlgn val="ctr"/>
        <c:lblOffset val="100"/>
        <c:noMultiLvlLbl val="0"/>
      </c:catAx>
      <c:valAx>
        <c:axId val="220834624"/>
        <c:scaling>
          <c:orientation val="minMax"/>
          <c:max val="8"/>
          <c:min val="0"/>
        </c:scaling>
        <c:delete val="0"/>
        <c:axPos val="b"/>
        <c:majorGridlines/>
        <c:title>
          <c:tx>
            <c:rich>
              <a:bodyPr/>
              <a:lstStyle/>
              <a:p>
                <a:pPr>
                  <a:defRPr/>
                </a:pPr>
                <a:r>
                  <a:rPr lang="en-US" b="0"/>
                  <a:t>(a)</a:t>
                </a:r>
                <a:endParaRPr lang="ru-RU" b="0"/>
              </a:p>
            </c:rich>
          </c:tx>
          <c:layout>
            <c:manualLayout>
              <c:xMode val="edge"/>
              <c:yMode val="edge"/>
              <c:x val="0.45627823100289139"/>
              <c:y val="0.94698743388566153"/>
            </c:manualLayout>
          </c:layout>
          <c:overlay val="0"/>
        </c:title>
        <c:numFmt formatCode="General" sourceLinked="1"/>
        <c:majorTickMark val="out"/>
        <c:minorTickMark val="none"/>
        <c:tickLblPos val="nextTo"/>
        <c:crossAx val="151261184"/>
        <c:crosses val="autoZero"/>
        <c:crossBetween val="between"/>
        <c:majorUnit val="2"/>
      </c:valAx>
    </c:plotArea>
    <c:legend>
      <c:legendPos val="b"/>
      <c:layout>
        <c:manualLayout>
          <c:xMode val="edge"/>
          <c:yMode val="edge"/>
          <c:x val="5.6857651954649771E-2"/>
          <c:y val="0.79531183490556101"/>
          <c:w val="0.83608395366961386"/>
          <c:h val="0.13344761490593543"/>
        </c:manualLayout>
      </c:layout>
      <c:overlay val="0"/>
    </c:legend>
    <c:plotVisOnly val="1"/>
    <c:dispBlanksAs val="gap"/>
    <c:showDLblsOverMax val="0"/>
  </c:chart>
  <c:spPr>
    <a:ln>
      <a:noFill/>
    </a:ln>
  </c:spPr>
  <c:txPr>
    <a:bodyPr/>
    <a:lstStyle/>
    <a:p>
      <a:pPr>
        <a:defRPr sz="1000">
          <a:solidFill>
            <a:srgbClr val="000000"/>
          </a:solidFill>
          <a:latin typeface="Times New Roman" pitchFamily="18" charset="0"/>
          <a:cs typeface="Times New Roman" pitchFamily="18" charset="0"/>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5040642683151974"/>
          <c:y val="3.2035531233725684E-2"/>
          <c:w val="0.5881323350434996"/>
          <c:h val="0.66921335625725453"/>
        </c:manualLayout>
      </c:layout>
      <c:barChart>
        <c:barDir val="bar"/>
        <c:grouping val="clustered"/>
        <c:varyColors val="0"/>
        <c:ser>
          <c:idx val="0"/>
          <c:order val="0"/>
          <c:tx>
            <c:strRef>
              <c:f>Лист1!$B$1</c:f>
              <c:strCache>
                <c:ptCount val="1"/>
                <c:pt idx="0">
                  <c:v>2030 (8% discount)</c:v>
                </c:pt>
              </c:strCache>
            </c:strRef>
          </c:tx>
          <c:spPr>
            <a:solidFill>
              <a:srgbClr val="7030A0"/>
            </a:solidFill>
          </c:spPr>
          <c:invertIfNegative val="0"/>
          <c:cat>
            <c:strRef>
              <c:f>Лист1!$A$2:$A$8</c:f>
              <c:strCache>
                <c:ptCount val="7"/>
                <c:pt idx="0">
                  <c:v>Coal+CCS</c:v>
                </c:pt>
                <c:pt idx="1">
                  <c:v>CCGT+CCS</c:v>
                </c:pt>
                <c:pt idx="2">
                  <c:v>CCGT</c:v>
                </c:pt>
                <c:pt idx="3">
                  <c:v>Nuclear (SMR)</c:v>
                </c:pt>
                <c:pt idx="4">
                  <c:v>Nuclear (LR)</c:v>
                </c:pt>
                <c:pt idx="5">
                  <c:v>Onshore wind</c:v>
                </c:pt>
                <c:pt idx="6">
                  <c:v>Solar PV</c:v>
                </c:pt>
              </c:strCache>
            </c:strRef>
          </c:cat>
          <c:val>
            <c:numRef>
              <c:f>Лист1!$B$2:$B$8</c:f>
              <c:numCache>
                <c:formatCode>0</c:formatCode>
                <c:ptCount val="7"/>
                <c:pt idx="0">
                  <c:v>195.47994449410953</c:v>
                </c:pt>
                <c:pt idx="1">
                  <c:v>189.87304579897042</c:v>
                </c:pt>
                <c:pt idx="2">
                  <c:v>59.118579440986373</c:v>
                </c:pt>
                <c:pt idx="3">
                  <c:v>202.39583333333334</c:v>
                </c:pt>
                <c:pt idx="4">
                  <c:v>67.008836741685329</c:v>
                </c:pt>
                <c:pt idx="5">
                  <c:v>93.945484835309387</c:v>
                </c:pt>
                <c:pt idx="6">
                  <c:v>140.94132741043165</c:v>
                </c:pt>
              </c:numCache>
            </c:numRef>
          </c:val>
        </c:ser>
        <c:ser>
          <c:idx val="1"/>
          <c:order val="1"/>
          <c:tx>
            <c:strRef>
              <c:f>Лист1!$C$1</c:f>
              <c:strCache>
                <c:ptCount val="1"/>
                <c:pt idx="0">
                  <c:v>2050 (8% discount)</c:v>
                </c:pt>
              </c:strCache>
            </c:strRef>
          </c:tx>
          <c:spPr>
            <a:solidFill>
              <a:schemeClr val="accent3">
                <a:lumMod val="65000"/>
              </a:schemeClr>
            </a:solidFill>
          </c:spPr>
          <c:invertIfNegative val="0"/>
          <c:cat>
            <c:strRef>
              <c:f>Лист1!$A$2:$A$8</c:f>
              <c:strCache>
                <c:ptCount val="7"/>
                <c:pt idx="0">
                  <c:v>Coal+CCS</c:v>
                </c:pt>
                <c:pt idx="1">
                  <c:v>CCGT+CCS</c:v>
                </c:pt>
                <c:pt idx="2">
                  <c:v>CCGT</c:v>
                </c:pt>
                <c:pt idx="3">
                  <c:v>Nuclear (SMR)</c:v>
                </c:pt>
                <c:pt idx="4">
                  <c:v>Nuclear (LR)</c:v>
                </c:pt>
                <c:pt idx="5">
                  <c:v>Onshore wind</c:v>
                </c:pt>
                <c:pt idx="6">
                  <c:v>Solar PV</c:v>
                </c:pt>
              </c:strCache>
            </c:strRef>
          </c:cat>
          <c:val>
            <c:numRef>
              <c:f>Лист1!$C$2:$C$8</c:f>
              <c:numCache>
                <c:formatCode>0</c:formatCode>
                <c:ptCount val="7"/>
                <c:pt idx="0">
                  <c:v>159.90598416470368</c:v>
                </c:pt>
                <c:pt idx="1">
                  <c:v>117.2252926710337</c:v>
                </c:pt>
                <c:pt idx="2">
                  <c:v>48.148678719332885</c:v>
                </c:pt>
                <c:pt idx="3">
                  <c:v>148.92708333333334</c:v>
                </c:pt>
                <c:pt idx="4">
                  <c:v>57.720188157737752</c:v>
                </c:pt>
                <c:pt idx="5">
                  <c:v>73.41105088051097</c:v>
                </c:pt>
                <c:pt idx="6">
                  <c:v>73.228247663227648</c:v>
                </c:pt>
              </c:numCache>
            </c:numRef>
          </c:val>
        </c:ser>
        <c:ser>
          <c:idx val="2"/>
          <c:order val="2"/>
          <c:tx>
            <c:strRef>
              <c:f>Лист1!$D$1</c:f>
              <c:strCache>
                <c:ptCount val="1"/>
                <c:pt idx="0">
                  <c:v>2050 (5% discount)</c:v>
                </c:pt>
              </c:strCache>
            </c:strRef>
          </c:tx>
          <c:spPr>
            <a:solidFill>
              <a:schemeClr val="tx2">
                <a:lumMod val="40000"/>
                <a:lumOff val="60000"/>
              </a:schemeClr>
            </a:solidFill>
          </c:spPr>
          <c:invertIfNegative val="0"/>
          <c:cat>
            <c:strRef>
              <c:f>Лист1!$A$2:$A$8</c:f>
              <c:strCache>
                <c:ptCount val="7"/>
                <c:pt idx="0">
                  <c:v>Coal+CCS</c:v>
                </c:pt>
                <c:pt idx="1">
                  <c:v>CCGT+CCS</c:v>
                </c:pt>
                <c:pt idx="2">
                  <c:v>CCGT</c:v>
                </c:pt>
                <c:pt idx="3">
                  <c:v>Nuclear (SMR)</c:v>
                </c:pt>
                <c:pt idx="4">
                  <c:v>Nuclear (LR)</c:v>
                </c:pt>
                <c:pt idx="5">
                  <c:v>Onshore wind</c:v>
                </c:pt>
                <c:pt idx="6">
                  <c:v>Solar PV</c:v>
                </c:pt>
              </c:strCache>
            </c:strRef>
          </c:cat>
          <c:val>
            <c:numRef>
              <c:f>Лист1!$D$2:$D$8</c:f>
              <c:numCache>
                <c:formatCode>0</c:formatCode>
                <c:ptCount val="7"/>
                <c:pt idx="0">
                  <c:v>128.77970107465103</c:v>
                </c:pt>
                <c:pt idx="1">
                  <c:v>100.28431547881665</c:v>
                </c:pt>
                <c:pt idx="2">
                  <c:v>41.985922991077416</c:v>
                </c:pt>
                <c:pt idx="3">
                  <c:v>106.99784608644862</c:v>
                </c:pt>
                <c:pt idx="4">
                  <c:v>41.242878940281798</c:v>
                </c:pt>
                <c:pt idx="5">
                  <c:v>56.065270751679769</c:v>
                </c:pt>
                <c:pt idx="6">
                  <c:v>56.509733142132973</c:v>
                </c:pt>
              </c:numCache>
            </c:numRef>
          </c:val>
        </c:ser>
        <c:dLbls>
          <c:showLegendKey val="0"/>
          <c:showVal val="0"/>
          <c:showCatName val="0"/>
          <c:showSerName val="0"/>
          <c:showPercent val="0"/>
          <c:showBubbleSize val="0"/>
        </c:dLbls>
        <c:gapWidth val="150"/>
        <c:axId val="151264256"/>
        <c:axId val="220835776"/>
      </c:barChart>
      <c:catAx>
        <c:axId val="151264256"/>
        <c:scaling>
          <c:orientation val="minMax"/>
        </c:scaling>
        <c:delete val="0"/>
        <c:axPos val="l"/>
        <c:majorTickMark val="out"/>
        <c:minorTickMark val="none"/>
        <c:tickLblPos val="nextTo"/>
        <c:txPr>
          <a:bodyPr rot="0"/>
          <a:lstStyle/>
          <a:p>
            <a:pPr>
              <a:defRPr/>
            </a:pPr>
            <a:endParaRPr lang="ru-RU"/>
          </a:p>
        </c:txPr>
        <c:crossAx val="220835776"/>
        <c:crosses val="autoZero"/>
        <c:auto val="1"/>
        <c:lblAlgn val="ctr"/>
        <c:lblOffset val="100"/>
        <c:noMultiLvlLbl val="0"/>
      </c:catAx>
      <c:valAx>
        <c:axId val="220835776"/>
        <c:scaling>
          <c:orientation val="minMax"/>
          <c:max val="200"/>
        </c:scaling>
        <c:delete val="0"/>
        <c:axPos val="b"/>
        <c:majorGridlines/>
        <c:title>
          <c:tx>
            <c:rich>
              <a:bodyPr/>
              <a:lstStyle/>
              <a:p>
                <a:pPr>
                  <a:defRPr/>
                </a:pPr>
                <a:r>
                  <a:rPr lang="en-US" sz="1000" b="0"/>
                  <a:t>(b)</a:t>
                </a:r>
                <a:endParaRPr lang="ru-RU" sz="1000" b="0"/>
              </a:p>
            </c:rich>
          </c:tx>
          <c:layout>
            <c:manualLayout>
              <c:xMode val="edge"/>
              <c:yMode val="edge"/>
              <c:x val="0.56539005028363609"/>
              <c:y val="0.93793515940926842"/>
            </c:manualLayout>
          </c:layout>
          <c:overlay val="0"/>
        </c:title>
        <c:numFmt formatCode="0" sourceLinked="1"/>
        <c:majorTickMark val="out"/>
        <c:minorTickMark val="none"/>
        <c:tickLblPos val="nextTo"/>
        <c:crossAx val="151264256"/>
        <c:crosses val="autoZero"/>
        <c:crossBetween val="between"/>
        <c:majorUnit val="25"/>
      </c:valAx>
    </c:plotArea>
    <c:legend>
      <c:legendPos val="b"/>
      <c:layout>
        <c:manualLayout>
          <c:xMode val="edge"/>
          <c:yMode val="edge"/>
          <c:x val="9.1528218658531543E-2"/>
          <c:y val="0.79475629962891936"/>
          <c:w val="0.66208803913168945"/>
          <c:h val="0.13114500223691791"/>
        </c:manualLayout>
      </c:layout>
      <c:overlay val="0"/>
    </c:legend>
    <c:plotVisOnly val="1"/>
    <c:dispBlanksAs val="gap"/>
    <c:showDLblsOverMax val="0"/>
  </c:chart>
  <c:spPr>
    <a:ln>
      <a:noFill/>
    </a:ln>
  </c:spPr>
  <c:txPr>
    <a:bodyPr/>
    <a:lstStyle/>
    <a:p>
      <a:pPr>
        <a:defRPr sz="1000">
          <a:solidFill>
            <a:srgbClr val="000000"/>
          </a:solidFill>
          <a:latin typeface="Times New Roman" pitchFamily="18" charset="0"/>
          <a:cs typeface="Times New Roman" pitchFamily="18" charset="0"/>
        </a:defRPr>
      </a:pPr>
      <a:endParaRPr lang="ru-RU"/>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stacked"/>
        <c:varyColors val="0"/>
        <c:ser>
          <c:idx val="0"/>
          <c:order val="0"/>
          <c:tx>
            <c:strRef>
              <c:f>Sheet1!$B$1</c:f>
              <c:strCache>
                <c:ptCount val="1"/>
                <c:pt idx="0">
                  <c:v>scale effect</c:v>
                </c:pt>
              </c:strCache>
            </c:strRef>
          </c:tx>
          <c:spPr>
            <a:solidFill>
              <a:schemeClr val="bg1">
                <a:lumMod val="85000"/>
              </a:schemeClr>
            </a:solidFill>
          </c:spPr>
          <c:invertIfNegative val="0"/>
          <c:dPt>
            <c:idx val="3"/>
            <c:invertIfNegative val="0"/>
            <c:bubble3D val="0"/>
            <c:spPr>
              <a:noFill/>
            </c:spPr>
          </c:dPt>
          <c:dPt>
            <c:idx val="5"/>
            <c:invertIfNegative val="0"/>
            <c:bubble3D val="0"/>
            <c:spPr>
              <a:noFill/>
            </c:spPr>
          </c:dPt>
          <c:cat>
            <c:strRef>
              <c:f>Sheet1!$A$2:$A$7</c:f>
              <c:strCache>
                <c:ptCount val="6"/>
                <c:pt idx="0">
                  <c:v>2x1200 MW plant</c:v>
                </c:pt>
                <c:pt idx="1">
                  <c:v>2x600 MW plant</c:v>
                </c:pt>
                <c:pt idx="2">
                  <c:v>2х100MW SMR plant</c:v>
                </c:pt>
                <c:pt idx="3">
                  <c:v>6X100 MW SMR plant</c:v>
                </c:pt>
                <c:pt idx="4">
                  <c:v>2х50MW SMR plant</c:v>
                </c:pt>
                <c:pt idx="5">
                  <c:v>12X50 MW SMR plant</c:v>
                </c:pt>
              </c:strCache>
            </c:strRef>
          </c:cat>
          <c:val>
            <c:numRef>
              <c:f>Sheet1!$B$2:$B$7</c:f>
              <c:numCache>
                <c:formatCode>General</c:formatCode>
                <c:ptCount val="6"/>
                <c:pt idx="0">
                  <c:v>1</c:v>
                </c:pt>
                <c:pt idx="1">
                  <c:v>1.5</c:v>
                </c:pt>
                <c:pt idx="2">
                  <c:v>2.5</c:v>
                </c:pt>
                <c:pt idx="3">
                  <c:v>2.125</c:v>
                </c:pt>
                <c:pt idx="4">
                  <c:v>3.5</c:v>
                </c:pt>
                <c:pt idx="5">
                  <c:v>2.8000000000000003</c:v>
                </c:pt>
              </c:numCache>
            </c:numRef>
          </c:val>
          <c:extLst xmlns:c16r2="http://schemas.microsoft.com/office/drawing/2015/06/chart">
            <c:ext xmlns:c16="http://schemas.microsoft.com/office/drawing/2014/chart" uri="{C3380CC4-5D6E-409C-BE32-E72D297353CC}">
              <c16:uniqueId val="{00000000-12A9-4D54-836C-F491CD19EF18}"/>
            </c:ext>
          </c:extLst>
        </c:ser>
        <c:ser>
          <c:idx val="1"/>
          <c:order val="1"/>
          <c:tx>
            <c:strRef>
              <c:f>Sheet1!$C$1</c:f>
              <c:strCache>
                <c:ptCount val="1"/>
                <c:pt idx="0">
                  <c:v>uncertainity</c:v>
                </c:pt>
              </c:strCache>
            </c:strRef>
          </c:tx>
          <c:invertIfNegative val="0"/>
          <c:cat>
            <c:strRef>
              <c:f>Sheet1!$A$2:$A$7</c:f>
              <c:strCache>
                <c:ptCount val="6"/>
                <c:pt idx="0">
                  <c:v>2x1200 MW plant</c:v>
                </c:pt>
                <c:pt idx="1">
                  <c:v>2x600 MW plant</c:v>
                </c:pt>
                <c:pt idx="2">
                  <c:v>2х100MW SMR plant</c:v>
                </c:pt>
                <c:pt idx="3">
                  <c:v>6X100 MW SMR plant</c:v>
                </c:pt>
                <c:pt idx="4">
                  <c:v>2х50MW SMR plant</c:v>
                </c:pt>
                <c:pt idx="5">
                  <c:v>12X50 MW SMR plant</c:v>
                </c:pt>
              </c:strCache>
            </c:strRef>
          </c:cat>
          <c:val>
            <c:numRef>
              <c:f>Sheet1!$C$2:$C$7</c:f>
              <c:numCache>
                <c:formatCode>General</c:formatCode>
                <c:ptCount val="6"/>
                <c:pt idx="1">
                  <c:v>0.4</c:v>
                </c:pt>
                <c:pt idx="2">
                  <c:v>0.5</c:v>
                </c:pt>
                <c:pt idx="4">
                  <c:v>0.6</c:v>
                </c:pt>
              </c:numCache>
            </c:numRef>
          </c:val>
        </c:ser>
        <c:ser>
          <c:idx val="2"/>
          <c:order val="2"/>
          <c:tx>
            <c:strRef>
              <c:f>Sheet1!$D$1</c:f>
              <c:strCache>
                <c:ptCount val="1"/>
                <c:pt idx="0">
                  <c:v>connection cost</c:v>
                </c:pt>
              </c:strCache>
            </c:strRef>
          </c:tx>
          <c:spPr>
            <a:solidFill>
              <a:schemeClr val="accent6">
                <a:lumMod val="60000"/>
                <a:lumOff val="40000"/>
              </a:schemeClr>
            </a:solidFill>
          </c:spPr>
          <c:invertIfNegative val="0"/>
          <c:cat>
            <c:strRef>
              <c:f>Sheet1!$A$2:$A$7</c:f>
              <c:strCache>
                <c:ptCount val="6"/>
                <c:pt idx="0">
                  <c:v>2x1200 MW plant</c:v>
                </c:pt>
                <c:pt idx="1">
                  <c:v>2x600 MW plant</c:v>
                </c:pt>
                <c:pt idx="2">
                  <c:v>2х100MW SMR plant</c:v>
                </c:pt>
                <c:pt idx="3">
                  <c:v>6X100 MW SMR plant</c:v>
                </c:pt>
                <c:pt idx="4">
                  <c:v>2х50MW SMR plant</c:v>
                </c:pt>
                <c:pt idx="5">
                  <c:v>12X50 MW SMR plant</c:v>
                </c:pt>
              </c:strCache>
            </c:strRef>
          </c:cat>
          <c:val>
            <c:numRef>
              <c:f>Sheet1!$D$2:$D$7</c:f>
              <c:numCache>
                <c:formatCode>General</c:formatCode>
                <c:ptCount val="6"/>
                <c:pt idx="1">
                  <c:v>0.15</c:v>
                </c:pt>
                <c:pt idx="2">
                  <c:v>2.5000000000000001E-2</c:v>
                </c:pt>
                <c:pt idx="3">
                  <c:v>0.1</c:v>
                </c:pt>
                <c:pt idx="4">
                  <c:v>1.4999999999999999E-2</c:v>
                </c:pt>
                <c:pt idx="5">
                  <c:v>0.1</c:v>
                </c:pt>
              </c:numCache>
            </c:numRef>
          </c:val>
        </c:ser>
        <c:ser>
          <c:idx val="3"/>
          <c:order val="3"/>
          <c:tx>
            <c:strRef>
              <c:f>Sheet1!$E$1</c:f>
              <c:strCache>
                <c:ptCount val="1"/>
                <c:pt idx="0">
                  <c:v>multiunit effect</c:v>
                </c:pt>
              </c:strCache>
            </c:strRef>
          </c:tx>
          <c:invertIfNegative val="0"/>
          <c:cat>
            <c:strRef>
              <c:f>Sheet1!$A$2:$A$7</c:f>
              <c:strCache>
                <c:ptCount val="6"/>
                <c:pt idx="0">
                  <c:v>2x1200 MW plant</c:v>
                </c:pt>
                <c:pt idx="1">
                  <c:v>2x600 MW plant</c:v>
                </c:pt>
                <c:pt idx="2">
                  <c:v>2х100MW SMR plant</c:v>
                </c:pt>
                <c:pt idx="3">
                  <c:v>6X100 MW SMR plant</c:v>
                </c:pt>
                <c:pt idx="4">
                  <c:v>2х50MW SMR plant</c:v>
                </c:pt>
                <c:pt idx="5">
                  <c:v>12X50 MW SMR plant</c:v>
                </c:pt>
              </c:strCache>
            </c:strRef>
          </c:cat>
          <c:val>
            <c:numRef>
              <c:f>Sheet1!$E$2:$E$7</c:f>
              <c:numCache>
                <c:formatCode>General</c:formatCode>
                <c:ptCount val="6"/>
                <c:pt idx="3">
                  <c:v>0.6</c:v>
                </c:pt>
                <c:pt idx="5">
                  <c:v>0.7</c:v>
                </c:pt>
              </c:numCache>
            </c:numRef>
          </c:val>
        </c:ser>
        <c:dLbls>
          <c:showLegendKey val="0"/>
          <c:showVal val="0"/>
          <c:showCatName val="0"/>
          <c:showSerName val="0"/>
          <c:showPercent val="0"/>
          <c:showBubbleSize val="0"/>
        </c:dLbls>
        <c:gapWidth val="100"/>
        <c:overlap val="100"/>
        <c:axId val="151262720"/>
        <c:axId val="220837504"/>
      </c:barChart>
      <c:catAx>
        <c:axId val="151262720"/>
        <c:scaling>
          <c:orientation val="minMax"/>
        </c:scaling>
        <c:delete val="0"/>
        <c:axPos val="b"/>
        <c:majorTickMark val="out"/>
        <c:minorTickMark val="none"/>
        <c:tickLblPos val="nextTo"/>
        <c:crossAx val="220837504"/>
        <c:crosses val="autoZero"/>
        <c:auto val="1"/>
        <c:lblAlgn val="ctr"/>
        <c:lblOffset val="100"/>
        <c:noMultiLvlLbl val="0"/>
      </c:catAx>
      <c:valAx>
        <c:axId val="220837504"/>
        <c:scaling>
          <c:orientation val="minMax"/>
        </c:scaling>
        <c:delete val="0"/>
        <c:axPos val="l"/>
        <c:majorGridlines/>
        <c:numFmt formatCode="General" sourceLinked="1"/>
        <c:majorTickMark val="out"/>
        <c:minorTickMark val="none"/>
        <c:tickLblPos val="nextTo"/>
        <c:crossAx val="151262720"/>
        <c:crosses val="autoZero"/>
        <c:crossBetween val="between"/>
      </c:valAx>
    </c:plotArea>
    <c:legend>
      <c:legendPos val="r"/>
      <c:overlay val="0"/>
    </c:legend>
    <c:plotVisOnly val="1"/>
    <c:dispBlanksAs val="gap"/>
    <c:showDLblsOverMax val="0"/>
  </c:chart>
  <c:spPr>
    <a:ln>
      <a:noFill/>
    </a:ln>
  </c:spPr>
  <c:txPr>
    <a:bodyPr/>
    <a:lstStyle/>
    <a:p>
      <a:pPr>
        <a:defRPr sz="9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4132199625067772"/>
          <c:y val="3.2035531233725684E-2"/>
          <c:w val="0.59154107784774512"/>
          <c:h val="0.69236134161788554"/>
        </c:manualLayout>
      </c:layout>
      <c:barChart>
        <c:barDir val="bar"/>
        <c:grouping val="clustered"/>
        <c:varyColors val="0"/>
        <c:ser>
          <c:idx val="0"/>
          <c:order val="0"/>
          <c:tx>
            <c:strRef>
              <c:f>Лист1!$B$1</c:f>
              <c:strCache>
                <c:ptCount val="1"/>
                <c:pt idx="0">
                  <c:v>2030 (8% discount)</c:v>
                </c:pt>
              </c:strCache>
            </c:strRef>
          </c:tx>
          <c:spPr>
            <a:solidFill>
              <a:srgbClr val="7030A0"/>
            </a:solidFill>
          </c:spPr>
          <c:invertIfNegative val="0"/>
          <c:cat>
            <c:strRef>
              <c:f>Лист1!$A$2:$A$6</c:f>
              <c:strCache>
                <c:ptCount val="5"/>
                <c:pt idx="0">
                  <c:v>Hydro + electric boiler</c:v>
                </c:pt>
                <c:pt idx="1">
                  <c:v>Nuclear (SMR) CHP</c:v>
                </c:pt>
                <c:pt idx="2">
                  <c:v>Nuclear (LR) + electric boiler</c:v>
                </c:pt>
                <c:pt idx="3">
                  <c:v>CCGT CHP</c:v>
                </c:pt>
                <c:pt idx="4">
                  <c:v>Coal CHP</c:v>
                </c:pt>
              </c:strCache>
            </c:strRef>
          </c:cat>
          <c:val>
            <c:numRef>
              <c:f>Лист1!$B$2:$B$6</c:f>
              <c:numCache>
                <c:formatCode>0.0</c:formatCode>
                <c:ptCount val="5"/>
                <c:pt idx="0">
                  <c:v>33.231492475127929</c:v>
                </c:pt>
                <c:pt idx="1">
                  <c:v>28.189931694159295</c:v>
                </c:pt>
                <c:pt idx="2">
                  <c:v>26.497365014948034</c:v>
                </c:pt>
                <c:pt idx="3">
                  <c:v>13.315125812516854</c:v>
                </c:pt>
                <c:pt idx="4">
                  <c:v>11.367534017477503</c:v>
                </c:pt>
              </c:numCache>
            </c:numRef>
          </c:val>
        </c:ser>
        <c:ser>
          <c:idx val="1"/>
          <c:order val="1"/>
          <c:tx>
            <c:strRef>
              <c:f>Лист1!$C$1</c:f>
              <c:strCache>
                <c:ptCount val="1"/>
                <c:pt idx="0">
                  <c:v>2050 (8% discount)</c:v>
                </c:pt>
              </c:strCache>
            </c:strRef>
          </c:tx>
          <c:spPr>
            <a:solidFill>
              <a:schemeClr val="accent3">
                <a:lumMod val="65000"/>
              </a:schemeClr>
            </a:solidFill>
          </c:spPr>
          <c:invertIfNegative val="0"/>
          <c:cat>
            <c:strRef>
              <c:f>Лист1!$A$2:$A$6</c:f>
              <c:strCache>
                <c:ptCount val="5"/>
                <c:pt idx="0">
                  <c:v>Hydro + electric boiler</c:v>
                </c:pt>
                <c:pt idx="1">
                  <c:v>Nuclear (SMR) CHP</c:v>
                </c:pt>
                <c:pt idx="2">
                  <c:v>Nuclear (LR) + electric boiler</c:v>
                </c:pt>
                <c:pt idx="3">
                  <c:v>CCGT CHP</c:v>
                </c:pt>
                <c:pt idx="4">
                  <c:v>Coal CHP</c:v>
                </c:pt>
              </c:strCache>
            </c:strRef>
          </c:cat>
          <c:val>
            <c:numRef>
              <c:f>Лист1!$C$2:$C$6</c:f>
              <c:numCache>
                <c:formatCode>0.0</c:formatCode>
                <c:ptCount val="5"/>
                <c:pt idx="0">
                  <c:v>33.231492475127929</c:v>
                </c:pt>
                <c:pt idx="1">
                  <c:v>24.28908897122939</c:v>
                </c:pt>
                <c:pt idx="2">
                  <c:v>22.015742782342432</c:v>
                </c:pt>
                <c:pt idx="3">
                  <c:v>10.658547114937267</c:v>
                </c:pt>
                <c:pt idx="4">
                  <c:v>11.167370046889314</c:v>
                </c:pt>
              </c:numCache>
            </c:numRef>
          </c:val>
        </c:ser>
        <c:ser>
          <c:idx val="2"/>
          <c:order val="2"/>
          <c:tx>
            <c:strRef>
              <c:f>Лист1!$D$1</c:f>
              <c:strCache>
                <c:ptCount val="1"/>
                <c:pt idx="0">
                  <c:v>2050 (5% discount)</c:v>
                </c:pt>
              </c:strCache>
            </c:strRef>
          </c:tx>
          <c:spPr>
            <a:solidFill>
              <a:schemeClr val="tx2">
                <a:lumMod val="40000"/>
                <a:lumOff val="60000"/>
              </a:schemeClr>
            </a:solidFill>
          </c:spPr>
          <c:invertIfNegative val="0"/>
          <c:cat>
            <c:strRef>
              <c:f>Лист1!$A$2:$A$6</c:f>
              <c:strCache>
                <c:ptCount val="5"/>
                <c:pt idx="0">
                  <c:v>Hydro + electric boiler</c:v>
                </c:pt>
                <c:pt idx="1">
                  <c:v>Nuclear (SMR) CHP</c:v>
                </c:pt>
                <c:pt idx="2">
                  <c:v>Nuclear (LR) + electric boiler</c:v>
                </c:pt>
                <c:pt idx="3">
                  <c:v>CCGT CHP</c:v>
                </c:pt>
                <c:pt idx="4">
                  <c:v>Coal CHP</c:v>
                </c:pt>
              </c:strCache>
            </c:strRef>
          </c:cat>
          <c:val>
            <c:numRef>
              <c:f>Лист1!$D$2:$D$6</c:f>
              <c:numCache>
                <c:formatCode>0.0</c:formatCode>
                <c:ptCount val="5"/>
                <c:pt idx="0">
                  <c:v>20.825568239762426</c:v>
                </c:pt>
                <c:pt idx="1">
                  <c:v>17.674134964253465</c:v>
                </c:pt>
                <c:pt idx="2">
                  <c:v>15.776660859504444</c:v>
                </c:pt>
                <c:pt idx="3">
                  <c:v>9.1269637889120396</c:v>
                </c:pt>
                <c:pt idx="4">
                  <c:v>9.1963249537558447</c:v>
                </c:pt>
              </c:numCache>
            </c:numRef>
          </c:val>
        </c:ser>
        <c:dLbls>
          <c:showLegendKey val="0"/>
          <c:showVal val="0"/>
          <c:showCatName val="0"/>
          <c:showSerName val="0"/>
          <c:showPercent val="0"/>
          <c:showBubbleSize val="0"/>
        </c:dLbls>
        <c:gapWidth val="150"/>
        <c:axId val="151498240"/>
        <c:axId val="220838656"/>
      </c:barChart>
      <c:catAx>
        <c:axId val="151498240"/>
        <c:scaling>
          <c:orientation val="minMax"/>
        </c:scaling>
        <c:delete val="0"/>
        <c:axPos val="l"/>
        <c:majorTickMark val="out"/>
        <c:minorTickMark val="none"/>
        <c:tickLblPos val="nextTo"/>
        <c:crossAx val="220838656"/>
        <c:crosses val="autoZero"/>
        <c:auto val="1"/>
        <c:lblAlgn val="ctr"/>
        <c:lblOffset val="100"/>
        <c:noMultiLvlLbl val="0"/>
      </c:catAx>
      <c:valAx>
        <c:axId val="220838656"/>
        <c:scaling>
          <c:orientation val="minMax"/>
          <c:max val="35"/>
        </c:scaling>
        <c:delete val="0"/>
        <c:axPos val="b"/>
        <c:majorGridlines/>
        <c:numFmt formatCode="0.0" sourceLinked="1"/>
        <c:majorTickMark val="out"/>
        <c:minorTickMark val="none"/>
        <c:tickLblPos val="nextTo"/>
        <c:crossAx val="151498240"/>
        <c:crosses val="autoZero"/>
        <c:crossBetween val="between"/>
        <c:majorUnit val="5"/>
      </c:valAx>
    </c:plotArea>
    <c:legend>
      <c:legendPos val="b"/>
      <c:layout>
        <c:manualLayout>
          <c:xMode val="edge"/>
          <c:yMode val="edge"/>
          <c:x val="0.30183569374647284"/>
          <c:y val="0.81383115737142298"/>
          <c:w val="0.45178081750020155"/>
          <c:h val="0.17734528887090706"/>
        </c:manualLayout>
      </c:layout>
      <c:overlay val="0"/>
    </c:legend>
    <c:plotVisOnly val="1"/>
    <c:dispBlanksAs val="gap"/>
    <c:showDLblsOverMax val="0"/>
  </c:chart>
  <c:spPr>
    <a:ln>
      <a:noFill/>
    </a:ln>
  </c:spPr>
  <c:txPr>
    <a:bodyPr/>
    <a:lstStyle/>
    <a:p>
      <a:pPr>
        <a:defRPr sz="1000">
          <a:solidFill>
            <a:srgbClr val="000000"/>
          </a:solidFill>
          <a:latin typeface="Times New Roman" pitchFamily="18" charset="0"/>
          <a:cs typeface="Times New Roman" pitchFamily="18" charset="0"/>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0.7164</cdr:x>
      <cdr:y>0.78399</cdr:y>
    </cdr:from>
    <cdr:to>
      <cdr:x>0.96603</cdr:x>
      <cdr:y>0.84312</cdr:y>
    </cdr:to>
    <cdr:sp macro="" textlink="">
      <cdr:nvSpPr>
        <cdr:cNvPr id="2" name="Поле 1"/>
        <cdr:cNvSpPr txBox="1"/>
      </cdr:nvSpPr>
      <cdr:spPr>
        <a:xfrm xmlns:a="http://schemas.openxmlformats.org/drawingml/2006/main">
          <a:off x="1999343" y="2790371"/>
          <a:ext cx="696686" cy="210458"/>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en-US" sz="1000">
              <a:latin typeface="Times New Roman" pitchFamily="18" charset="0"/>
              <a:cs typeface="Times New Roman" pitchFamily="18" charset="0"/>
            </a:rPr>
            <a:t>Mt CO</a:t>
          </a:r>
          <a:r>
            <a:rPr lang="en-US" sz="1000" baseline="-25000">
              <a:latin typeface="Times New Roman" pitchFamily="18" charset="0"/>
              <a:cs typeface="Times New Roman" pitchFamily="18" charset="0"/>
            </a:rPr>
            <a:t>2</a:t>
          </a:r>
          <a:r>
            <a:rPr lang="en-US" sz="1000">
              <a:latin typeface="Times New Roman" pitchFamily="18" charset="0"/>
              <a:cs typeface="Times New Roman" pitchFamily="18" charset="0"/>
            </a:rPr>
            <a:t>/GW</a:t>
          </a:r>
          <a:endParaRPr lang="ru-RU" sz="1000">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0.66535</cdr:x>
      <cdr:y>0.77673</cdr:y>
    </cdr:from>
    <cdr:to>
      <cdr:x>0.97945</cdr:x>
      <cdr:y>0.83212</cdr:y>
    </cdr:to>
    <cdr:sp macro="" textlink="">
      <cdr:nvSpPr>
        <cdr:cNvPr id="2" name="Поле 1"/>
        <cdr:cNvSpPr txBox="1"/>
      </cdr:nvSpPr>
      <cdr:spPr>
        <a:xfrm xmlns:a="http://schemas.openxmlformats.org/drawingml/2006/main">
          <a:off x="1856037" y="2299910"/>
          <a:ext cx="876192" cy="164010"/>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en-US" sz="1000">
              <a:latin typeface="Times New Roman" pitchFamily="18" charset="0"/>
              <a:cs typeface="Times New Roman" pitchFamily="18" charset="0"/>
            </a:rPr>
            <a:t>LCOE, $/MWh</a:t>
          </a:r>
          <a:endParaRPr lang="ru-RU" sz="1000">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0.78133</cdr:x>
      <cdr:y>0.81036</cdr:y>
    </cdr:from>
    <cdr:to>
      <cdr:x>0.95953</cdr:x>
      <cdr:y>0.86575</cdr:y>
    </cdr:to>
    <cdr:sp macro="" textlink="">
      <cdr:nvSpPr>
        <cdr:cNvPr id="2" name="Поле 1"/>
        <cdr:cNvSpPr txBox="1"/>
      </cdr:nvSpPr>
      <cdr:spPr>
        <a:xfrm xmlns:a="http://schemas.openxmlformats.org/drawingml/2006/main">
          <a:off x="3634256" y="2158142"/>
          <a:ext cx="828888" cy="147514"/>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r"/>
          <a:r>
            <a:rPr lang="en-US" sz="1000">
              <a:latin typeface="Times New Roman" pitchFamily="18" charset="0"/>
              <a:cs typeface="Times New Roman" pitchFamily="18" charset="0"/>
            </a:rPr>
            <a:t>LCOQ, $/MJ</a:t>
          </a:r>
          <a:endParaRPr lang="ru-RU" sz="10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BC77FE568F44A8FD1717335E8757D" ma:contentTypeVersion="15" ma:contentTypeDescription="Create a new document." ma:contentTypeScope="" ma:versionID="532167ea1f98fc70e87f5347940e1f93">
  <xsd:schema xmlns:xsd="http://www.w3.org/2001/XMLSchema" xmlns:xs="http://www.w3.org/2001/XMLSchema" xmlns:p="http://schemas.microsoft.com/office/2006/metadata/properties" xmlns:ns2="2d1b3375-85a6-4ec3-9d45-85c3f7ff19cc" xmlns:ns3="28c46709-a72c-47b6-8a9d-476190a8ab3f" xmlns:ns4="a8853164-03d1-4052-89d1-ac895618168d" targetNamespace="http://schemas.microsoft.com/office/2006/metadata/properties" ma:root="true" ma:fieldsID="1952ae18bf6efba89040c0c77d3b5eee" ns2:_="" ns3:_="" ns4:_="">
    <xsd:import namespace="2d1b3375-85a6-4ec3-9d45-85c3f7ff19cc"/>
    <xsd:import namespace="28c46709-a72c-47b6-8a9d-476190a8ab3f"/>
    <xsd:import namespace="a8853164-03d1-4052-89d1-ac89561816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b3375-85a6-4ec3-9d45-85c3f7ff1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46709-a72c-47b6-8a9d-476190a8ab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0d1e42-4096-45a0-8616-2350a73c4901}" ma:internalName="TaxCatchAll" ma:showField="CatchAllData" ma:web="28c46709-a72c-47b6-8a9d-476190a8ab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853164-03d1-4052-89d1-ac89561816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FAAEB64-06A0-411E-9C17-5C469069E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b3375-85a6-4ec3-9d45-85c3f7ff19cc"/>
    <ds:schemaRef ds:uri="28c46709-a72c-47b6-8a9d-476190a8ab3f"/>
    <ds:schemaRef ds:uri="a8853164-03d1-4052-89d1-ac8956181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515BCC-D8F1-432C-BAEC-09D0C076A16A}">
  <ds:schemaRefs>
    <ds:schemaRef ds:uri="http://schemas.microsoft.com/sharepoint/v3/contenttype/forms"/>
  </ds:schemaRefs>
</ds:datastoreItem>
</file>

<file path=customXml/itemProps3.xml><?xml version="1.0" encoding="utf-8"?>
<ds:datastoreItem xmlns:ds="http://schemas.openxmlformats.org/officeDocument/2006/customXml" ds:itemID="{67ACACED-1312-4227-9811-EBF972277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24</TotalTime>
  <Pages>7</Pages>
  <Words>3931</Words>
  <Characters>22411</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FVeselov</cp:lastModifiedBy>
  <cp:revision>8</cp:revision>
  <cp:lastPrinted>2024-09-02T06:47:00Z</cp:lastPrinted>
  <dcterms:created xsi:type="dcterms:W3CDTF">2024-05-31T21:17:00Z</dcterms:created>
  <dcterms:modified xsi:type="dcterms:W3CDTF">2024-09-02T06:47:00Z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