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01F0" w14:textId="23C82CC3" w:rsidR="00E20E70" w:rsidRPr="00EE29B9" w:rsidRDefault="007B578F" w:rsidP="007B578F">
      <w:pPr>
        <w:pStyle w:val="Ttulo1"/>
      </w:pPr>
      <w:r>
        <w:t>RELATIONSHIP BETWEEN SMR AND PLANETARY BOUNDARIES</w:t>
      </w:r>
    </w:p>
    <w:p w14:paraId="7A489224" w14:textId="735012B7" w:rsidR="003B5E0E" w:rsidRPr="003B5E0E" w:rsidRDefault="007B578F" w:rsidP="007B578F">
      <w:pPr>
        <w:pStyle w:val="Subttulo"/>
      </w:pPr>
      <w:r>
        <w:t>A mitigation strategy for the global environmental crisis</w:t>
      </w:r>
    </w:p>
    <w:p w14:paraId="4D1B799F" w14:textId="77777777" w:rsidR="00802381" w:rsidRDefault="00802381" w:rsidP="00537496">
      <w:pPr>
        <w:pStyle w:val="Authornameandaffiliation"/>
      </w:pPr>
    </w:p>
    <w:p w14:paraId="32159D0F" w14:textId="0AAAEFEB" w:rsidR="003B5E0E" w:rsidRPr="000C672C" w:rsidRDefault="000C672C" w:rsidP="00537496">
      <w:pPr>
        <w:pStyle w:val="Authornameandaffiliation"/>
        <w:rPr>
          <w:lang w:val="es-CO"/>
        </w:rPr>
      </w:pPr>
      <w:r w:rsidRPr="000C672C">
        <w:rPr>
          <w:lang w:val="es-CO"/>
        </w:rPr>
        <w:t>PRIETO V. CAMILO</w:t>
      </w:r>
      <w:r w:rsidR="00FF386F" w:rsidRPr="000C672C">
        <w:rPr>
          <w:lang w:val="es-CO"/>
        </w:rPr>
        <w:t xml:space="preserve"> </w:t>
      </w:r>
      <w:r w:rsidR="007B578F">
        <w:rPr>
          <w:lang w:val="es-CO"/>
        </w:rPr>
        <w:t xml:space="preserve">- </w:t>
      </w:r>
      <w:r w:rsidR="00537496" w:rsidRPr="000C672C">
        <w:rPr>
          <w:lang w:val="es-CO"/>
        </w:rPr>
        <w:t>AUTHOR</w:t>
      </w:r>
    </w:p>
    <w:p w14:paraId="02370931" w14:textId="537D0DCC" w:rsidR="00FF386F" w:rsidRPr="000C672C" w:rsidRDefault="000C672C" w:rsidP="00537496">
      <w:pPr>
        <w:pStyle w:val="Authornameandaffiliation"/>
      </w:pPr>
      <w:proofErr w:type="spellStart"/>
      <w:r w:rsidRPr="000C672C">
        <w:t>Javeriana</w:t>
      </w:r>
      <w:proofErr w:type="spellEnd"/>
      <w:r w:rsidR="00664157">
        <w:t xml:space="preserve"> University</w:t>
      </w:r>
    </w:p>
    <w:p w14:paraId="14684DE2" w14:textId="30FC46A6" w:rsidR="00FF386F" w:rsidRPr="000C672C" w:rsidRDefault="000C672C" w:rsidP="00537496">
      <w:pPr>
        <w:pStyle w:val="Authornameandaffiliation"/>
        <w:rPr>
          <w:lang w:val="es-CO"/>
        </w:rPr>
      </w:pPr>
      <w:r w:rsidRPr="000C672C">
        <w:rPr>
          <w:lang w:val="es-CO"/>
        </w:rPr>
        <w:t>Bogotá</w:t>
      </w:r>
      <w:r w:rsidR="00FF386F" w:rsidRPr="000C672C">
        <w:rPr>
          <w:lang w:val="es-CO"/>
        </w:rPr>
        <w:t>, Co</w:t>
      </w:r>
      <w:r w:rsidRPr="000C672C">
        <w:rPr>
          <w:lang w:val="es-CO"/>
        </w:rPr>
        <w:t>lombia</w:t>
      </w:r>
    </w:p>
    <w:p w14:paraId="0080899C" w14:textId="0C527FBF" w:rsidR="00FF386F" w:rsidRPr="000C672C" w:rsidRDefault="000C672C" w:rsidP="00537496">
      <w:pPr>
        <w:pStyle w:val="Authornameandaffiliation"/>
        <w:rPr>
          <w:lang w:val="es-CO"/>
        </w:rPr>
      </w:pPr>
      <w:r>
        <w:rPr>
          <w:lang w:val="es-CO"/>
        </w:rPr>
        <w:t>c</w:t>
      </w:r>
      <w:r w:rsidRPr="000C672C">
        <w:rPr>
          <w:lang w:val="es-CO"/>
        </w:rPr>
        <w:t>amilo-prieto@javeriana</w:t>
      </w:r>
      <w:r>
        <w:rPr>
          <w:lang w:val="es-CO"/>
        </w:rPr>
        <w:t>.edu.co</w:t>
      </w:r>
    </w:p>
    <w:p w14:paraId="5E2BDA1F" w14:textId="77777777" w:rsidR="00FF386F" w:rsidRPr="000C672C" w:rsidRDefault="00FF386F" w:rsidP="00537496">
      <w:pPr>
        <w:pStyle w:val="Authornameandaffiliation"/>
        <w:rPr>
          <w:lang w:val="es-CO"/>
        </w:rPr>
      </w:pPr>
    </w:p>
    <w:p w14:paraId="535BB6CC" w14:textId="4FA4E5B9" w:rsidR="00FF386F" w:rsidRPr="007B578F" w:rsidRDefault="000C672C" w:rsidP="00537496">
      <w:pPr>
        <w:pStyle w:val="Authornameandaffiliation"/>
      </w:pPr>
      <w:r w:rsidRPr="007B578F">
        <w:t>PATIÑO G. DIEGO</w:t>
      </w:r>
      <w:r w:rsidR="007B578F" w:rsidRPr="007B578F">
        <w:t xml:space="preserve"> – OTHER AUTHOR</w:t>
      </w:r>
    </w:p>
    <w:p w14:paraId="008085C2" w14:textId="4F4E63CE" w:rsidR="00FF386F" w:rsidRPr="00664157" w:rsidRDefault="000C672C" w:rsidP="00537496">
      <w:pPr>
        <w:pStyle w:val="Authornameandaffiliation"/>
      </w:pPr>
      <w:proofErr w:type="spellStart"/>
      <w:r w:rsidRPr="00664157">
        <w:t>Javeriana</w:t>
      </w:r>
      <w:proofErr w:type="spellEnd"/>
      <w:r w:rsidR="00664157" w:rsidRPr="00664157">
        <w:t xml:space="preserve"> University</w:t>
      </w:r>
    </w:p>
    <w:p w14:paraId="2C7F19CB" w14:textId="1A393BCB" w:rsidR="00FF386F" w:rsidRDefault="000C672C" w:rsidP="00537496">
      <w:pPr>
        <w:pStyle w:val="Authornameandaffiliation"/>
        <w:rPr>
          <w:lang w:val="es-CO"/>
        </w:rPr>
      </w:pPr>
      <w:r w:rsidRPr="000C672C">
        <w:rPr>
          <w:lang w:val="es-CO"/>
        </w:rPr>
        <w:t>Bogot</w:t>
      </w:r>
      <w:r>
        <w:rPr>
          <w:lang w:val="es-CO"/>
        </w:rPr>
        <w:t>á, Colombia</w:t>
      </w:r>
    </w:p>
    <w:p w14:paraId="20B794F8" w14:textId="36FCDB37" w:rsidR="000C672C" w:rsidRDefault="000C672C" w:rsidP="00537496">
      <w:pPr>
        <w:pStyle w:val="Authornameandaffiliation"/>
        <w:rPr>
          <w:lang w:val="es-CO"/>
        </w:rPr>
      </w:pPr>
      <w:r>
        <w:rPr>
          <w:lang w:val="es-CO"/>
        </w:rPr>
        <w:t>patino-d@javeriana.edu.co</w:t>
      </w:r>
    </w:p>
    <w:p w14:paraId="083B86CB" w14:textId="77777777" w:rsidR="000C672C" w:rsidRPr="000C672C" w:rsidRDefault="000C672C" w:rsidP="00537496">
      <w:pPr>
        <w:pStyle w:val="Authornameandaffiliation"/>
        <w:rPr>
          <w:lang w:val="es-CO"/>
        </w:rPr>
      </w:pPr>
    </w:p>
    <w:p w14:paraId="230D4575" w14:textId="77777777" w:rsidR="00647F33" w:rsidRPr="00647F33" w:rsidRDefault="00647F33" w:rsidP="00537496">
      <w:pPr>
        <w:pStyle w:val="Authornameandaffiliation"/>
        <w:rPr>
          <w:b/>
        </w:rPr>
      </w:pPr>
      <w:r w:rsidRPr="00647F33">
        <w:rPr>
          <w:b/>
        </w:rPr>
        <w:t>Abstract</w:t>
      </w:r>
    </w:p>
    <w:p w14:paraId="4F2E62A2" w14:textId="040DD0DD" w:rsidR="00647F33" w:rsidRDefault="00647F33" w:rsidP="00537496">
      <w:pPr>
        <w:pStyle w:val="Authornameandaffiliation"/>
      </w:pPr>
    </w:p>
    <w:p w14:paraId="21125BEB" w14:textId="585D1199" w:rsidR="007B578F" w:rsidRDefault="007B578F" w:rsidP="00537496">
      <w:pPr>
        <w:pStyle w:val="Authornameandaffiliation"/>
      </w:pPr>
    </w:p>
    <w:p w14:paraId="05790283" w14:textId="0E620C99" w:rsidR="007B578F" w:rsidRDefault="007B578F" w:rsidP="00537496">
      <w:pPr>
        <w:pStyle w:val="Authornameandaffiliation"/>
      </w:pPr>
    </w:p>
    <w:p w14:paraId="5F1F3E35" w14:textId="210FD511" w:rsidR="007B578F" w:rsidRPr="007B578F" w:rsidRDefault="007B578F" w:rsidP="001500B9">
      <w:pPr>
        <w:overflowPunct/>
        <w:autoSpaceDE/>
        <w:autoSpaceDN/>
        <w:adjustRightInd/>
        <w:ind w:firstLine="567"/>
        <w:jc w:val="both"/>
        <w:textAlignment w:val="auto"/>
        <w:rPr>
          <w:sz w:val="18"/>
          <w:szCs w:val="18"/>
          <w:lang w:val="en-US" w:eastAsia="es-ES_tradnl"/>
        </w:rPr>
      </w:pPr>
      <w:r w:rsidRPr="007B578F">
        <w:rPr>
          <w:sz w:val="18"/>
          <w:szCs w:val="18"/>
          <w:lang w:val="en-US" w:eastAsia="es-ES_tradnl"/>
        </w:rPr>
        <w:t>Scientific evidence indicates that of the 9 planetary boundaries that have been defined, 6 have been exceeded. High CO</w:t>
      </w:r>
      <w:r w:rsidRPr="005B70FE">
        <w:rPr>
          <w:sz w:val="18"/>
          <w:szCs w:val="18"/>
          <w:vertAlign w:val="subscript"/>
          <w:lang w:val="en-US" w:eastAsia="es-ES_tradnl"/>
        </w:rPr>
        <w:t xml:space="preserve">2 </w:t>
      </w:r>
      <w:r w:rsidRPr="007B578F">
        <w:rPr>
          <w:sz w:val="18"/>
          <w:szCs w:val="18"/>
          <w:lang w:val="en-US" w:eastAsia="es-ES_tradnl"/>
        </w:rPr>
        <w:t>emissions, land use change, disturbance of nitrogen and phosphorus cycles, damage to the integrity of the biosphere, the effects on fresh water and the excessive emergence of new entities are the geophysical bases of the global environmental crisis. In this article, we analyze the future potential of SMRs modular reactors in mitigating the global environmental crisis and its beneficial relationship with planetary boundaries. This paper calculate the</w:t>
      </w:r>
      <w:r w:rsidR="00B260C8">
        <w:rPr>
          <w:sz w:val="18"/>
          <w:szCs w:val="18"/>
          <w:lang w:val="en-US" w:eastAsia="es-ES_tradnl"/>
        </w:rPr>
        <w:t xml:space="preserve"> </w:t>
      </w:r>
      <w:r w:rsidR="0066374D">
        <w:rPr>
          <w:sz w:val="18"/>
          <w:szCs w:val="18"/>
          <w:lang w:val="en-US" w:eastAsia="es-ES_tradnl"/>
        </w:rPr>
        <w:t xml:space="preserve">total land-use intensity of energy (LUIE) </w:t>
      </w:r>
      <w:r w:rsidRPr="007B578F">
        <w:rPr>
          <w:sz w:val="18"/>
          <w:szCs w:val="18"/>
          <w:lang w:val="en-US" w:eastAsia="es-ES_tradnl"/>
        </w:rPr>
        <w:t xml:space="preserve">and we find that SMRs can require between </w:t>
      </w:r>
      <w:r w:rsidR="0066374D">
        <w:rPr>
          <w:sz w:val="18"/>
          <w:szCs w:val="18"/>
          <w:lang w:val="en-US" w:eastAsia="es-ES_tradnl"/>
        </w:rPr>
        <w:t xml:space="preserve">6.092 </w:t>
      </w:r>
      <w:r w:rsidR="00B260C8">
        <w:rPr>
          <w:sz w:val="18"/>
          <w:szCs w:val="18"/>
          <w:lang w:val="en-US" w:eastAsia="es-ES_tradnl"/>
        </w:rPr>
        <w:t>ha</w:t>
      </w:r>
      <w:r w:rsidRPr="007B578F">
        <w:rPr>
          <w:sz w:val="18"/>
          <w:szCs w:val="18"/>
          <w:lang w:val="en-US" w:eastAsia="es-ES_tradnl"/>
        </w:rPr>
        <w:t>/</w:t>
      </w:r>
      <w:proofErr w:type="spellStart"/>
      <w:r w:rsidR="00B260C8">
        <w:rPr>
          <w:sz w:val="18"/>
          <w:szCs w:val="18"/>
          <w:lang w:val="en-US" w:eastAsia="es-ES_tradnl"/>
        </w:rPr>
        <w:t>T</w:t>
      </w:r>
      <w:r w:rsidRPr="007B578F">
        <w:rPr>
          <w:sz w:val="18"/>
          <w:szCs w:val="18"/>
          <w:lang w:val="en-US" w:eastAsia="es-ES_tradnl"/>
        </w:rPr>
        <w:t>Wh</w:t>
      </w:r>
      <w:proofErr w:type="spellEnd"/>
      <w:r w:rsidR="00B260C8">
        <w:rPr>
          <w:sz w:val="18"/>
          <w:szCs w:val="18"/>
          <w:lang w:val="en-US" w:eastAsia="es-ES_tradnl"/>
        </w:rPr>
        <w:t>/</w:t>
      </w:r>
      <w:r w:rsidRPr="007B578F">
        <w:rPr>
          <w:sz w:val="18"/>
          <w:szCs w:val="18"/>
          <w:lang w:val="en-US" w:eastAsia="es-ES_tradnl"/>
        </w:rPr>
        <w:t xml:space="preserve">y to </w:t>
      </w:r>
      <w:r w:rsidR="00B260C8">
        <w:rPr>
          <w:sz w:val="18"/>
          <w:szCs w:val="18"/>
          <w:lang w:val="en-US" w:eastAsia="es-ES_tradnl"/>
        </w:rPr>
        <w:t xml:space="preserve"> </w:t>
      </w:r>
      <w:r w:rsidR="0066374D">
        <w:rPr>
          <w:sz w:val="18"/>
          <w:szCs w:val="18"/>
          <w:lang w:val="en-US" w:eastAsia="es-ES_tradnl"/>
        </w:rPr>
        <w:t xml:space="preserve">9.98 </w:t>
      </w:r>
      <w:r w:rsidR="00B260C8">
        <w:rPr>
          <w:sz w:val="18"/>
          <w:szCs w:val="18"/>
          <w:lang w:val="en-US" w:eastAsia="es-ES_tradnl"/>
        </w:rPr>
        <w:t>ha</w:t>
      </w:r>
      <w:r w:rsidRPr="007B578F">
        <w:rPr>
          <w:sz w:val="18"/>
          <w:szCs w:val="18"/>
          <w:lang w:val="en-US" w:eastAsia="es-ES_tradnl"/>
        </w:rPr>
        <w:t>/</w:t>
      </w:r>
      <w:proofErr w:type="spellStart"/>
      <w:r w:rsidR="00B260C8">
        <w:rPr>
          <w:sz w:val="18"/>
          <w:szCs w:val="18"/>
          <w:lang w:val="en-US" w:eastAsia="es-ES_tradnl"/>
        </w:rPr>
        <w:t>T</w:t>
      </w:r>
      <w:r w:rsidRPr="007B578F">
        <w:rPr>
          <w:sz w:val="18"/>
          <w:szCs w:val="18"/>
          <w:lang w:val="en-US" w:eastAsia="es-ES_tradnl"/>
        </w:rPr>
        <w:t>Wh</w:t>
      </w:r>
      <w:proofErr w:type="spellEnd"/>
      <w:r w:rsidR="00B260C8">
        <w:rPr>
          <w:sz w:val="18"/>
          <w:szCs w:val="18"/>
          <w:lang w:val="en-US" w:eastAsia="es-ES_tradnl"/>
        </w:rPr>
        <w:t>/</w:t>
      </w:r>
      <w:r w:rsidRPr="007B578F">
        <w:rPr>
          <w:sz w:val="18"/>
          <w:szCs w:val="18"/>
          <w:lang w:val="en-US" w:eastAsia="es-ES_tradnl"/>
        </w:rPr>
        <w:t xml:space="preserve">y. Additionally, the life cycle (LCA) of the SMR is reviewed, comparing its variables with other types of generation sources. Annually, fossil fuel emissions are responsible for the deaths of </w:t>
      </w:r>
      <w:r w:rsidR="00B260C8">
        <w:rPr>
          <w:sz w:val="18"/>
          <w:szCs w:val="18"/>
          <w:lang w:val="en-US" w:eastAsia="es-ES_tradnl"/>
        </w:rPr>
        <w:t xml:space="preserve"> 5,1</w:t>
      </w:r>
      <w:r w:rsidRPr="007B578F">
        <w:rPr>
          <w:sz w:val="18"/>
          <w:szCs w:val="18"/>
          <w:lang w:val="en-US" w:eastAsia="es-ES_tradnl"/>
        </w:rPr>
        <w:t xml:space="preserve"> million people in the world. The nuclear energy industry is the only one in its field that is responsible for waste management and the emissions associated with its activity have a low impact on air quality. The implementation of SMRs in various non-interconnected populations in LATAM, where energy based on coal or liquid fuels is still generated, can be a very relevant. Additionally, the desalination with SMR can improve access to drinking water in communities vulnerable to climate change. In conclusion, SMRs are technologies that contribute to facing the global environmental crisis beyond reducing CO</w:t>
      </w:r>
      <w:r w:rsidRPr="00B260C8">
        <w:rPr>
          <w:sz w:val="18"/>
          <w:szCs w:val="18"/>
          <w:vertAlign w:val="subscript"/>
          <w:lang w:val="en-US" w:eastAsia="es-ES_tradnl"/>
        </w:rPr>
        <w:t>2</w:t>
      </w:r>
      <w:r w:rsidRPr="007B578F">
        <w:rPr>
          <w:sz w:val="18"/>
          <w:szCs w:val="18"/>
          <w:lang w:val="en-US" w:eastAsia="es-ES_tradnl"/>
        </w:rPr>
        <w:t xml:space="preserve"> emissions. They achieve more efficient use of the land, demand less natural resources than other generation sources and are a tool to improve air quality and the availability of drinking water.</w:t>
      </w:r>
    </w:p>
    <w:p w14:paraId="6289F51D" w14:textId="77777777" w:rsidR="007B578F" w:rsidRDefault="007B578F" w:rsidP="00537496">
      <w:pPr>
        <w:pStyle w:val="Authornameandaffiliation"/>
      </w:pPr>
    </w:p>
    <w:p w14:paraId="0874FDD4" w14:textId="3038638B" w:rsidR="001500B9" w:rsidRPr="001500B9" w:rsidRDefault="00F523CA" w:rsidP="001500B9">
      <w:pPr>
        <w:pStyle w:val="Ttulo2"/>
        <w:numPr>
          <w:ilvl w:val="1"/>
          <w:numId w:val="10"/>
        </w:numPr>
      </w:pPr>
      <w:r w:rsidRPr="001500B9">
        <w:t>INTRODUCTIO</w:t>
      </w:r>
      <w:r w:rsidR="001500B9" w:rsidRPr="001500B9">
        <w:t>n</w:t>
      </w:r>
    </w:p>
    <w:p w14:paraId="0B3A5B20" w14:textId="77777777" w:rsidR="001500B9" w:rsidRPr="001500B9" w:rsidRDefault="001500B9" w:rsidP="001500B9">
      <w:pPr>
        <w:pStyle w:val="Textoindependiente"/>
      </w:pPr>
      <w:r w:rsidRPr="001500B9">
        <w:t>In the study of the global environmental crisis, science has established nine fundamental processes since 2009 that define the safe conditions within which humanity can operate without causing irreversible and harmful changes to the Earth system. These processes are known as planetary boundaries and are defined as follows: climate change, biodiversity loss, disruption of nitrogen and phosphorus cycles, ocean acidification, freshwater use, land-use changes, atmospheric aerosol loading, introduction of new chemical entities, and integrity of the ozone layer [1]. Analogously, they can be understood as the planet's vital signs. The relevance of these boundaries lies in their ability to provide a scientific framework that guides human actions towards sustainability, by warning about the potentially catastrophic consequences of transgressing these thresholds. Respecting these boundaries is crucial for maintaining the stability and resilience of the Earth system, thus ensuring the well-being of future generations.</w:t>
      </w:r>
    </w:p>
    <w:p w14:paraId="58C69B70" w14:textId="77777777" w:rsidR="001500B9" w:rsidRPr="001500B9" w:rsidRDefault="001500B9" w:rsidP="001500B9">
      <w:pPr>
        <w:pStyle w:val="Textoindependiente"/>
      </w:pPr>
    </w:p>
    <w:p w14:paraId="5645F619" w14:textId="77777777" w:rsidR="001500B9" w:rsidRPr="001500B9" w:rsidRDefault="001500B9" w:rsidP="001500B9">
      <w:pPr>
        <w:pStyle w:val="Textoindependiente"/>
      </w:pPr>
      <w:r w:rsidRPr="001500B9">
        <w:t>Focusing solely on climate change, although critical, can be problematic because it ignores other equally fundamental dimensions of global sustainability. In fact, as of 2024, the only ones that have not been transgressed are: ocean acidification, atmospheric aerosol loading, and ozone layer integrity. Human actions have led to the other six being in risk values [2].</w:t>
      </w:r>
    </w:p>
    <w:p w14:paraId="54FEF1D3" w14:textId="77777777" w:rsidR="001500B9" w:rsidRPr="001500B9" w:rsidRDefault="001500B9" w:rsidP="001500B9">
      <w:pPr>
        <w:pStyle w:val="Textoindependiente"/>
      </w:pPr>
    </w:p>
    <w:p w14:paraId="53901633" w14:textId="1641E940" w:rsidR="001500B9" w:rsidRPr="001500B9" w:rsidRDefault="001500B9" w:rsidP="001500B9">
      <w:pPr>
        <w:pStyle w:val="Textoindependiente"/>
      </w:pPr>
      <w:r w:rsidRPr="001500B9">
        <w:t>Various energy sources, especially fossil fuels, have a significant impact on several of the planetary boundaries, exacerbating environmental problems and destabilizing the Earth system. The burning of coal, oil, and natural gas is the main source of CO</w:t>
      </w:r>
      <w:r w:rsidR="005B70FE" w:rsidRPr="005B70FE">
        <w:rPr>
          <w:vertAlign w:val="subscript"/>
        </w:rPr>
        <w:t>2</w:t>
      </w:r>
      <w:r w:rsidRPr="001500B9">
        <w:t xml:space="preserve">eq emissions, contributing to the disruption of the planet's energy balance. Besides climate change, the extraction and burning of fossil fuels, mining, and industrial processes disturb other planetary boundaries. For example, the processing of these resources releases a large amount of pollutants </w:t>
      </w:r>
      <w:r w:rsidRPr="001500B9">
        <w:lastRenderedPageBreak/>
        <w:t>and particles into the atmosphere, affecting the atmospheric aerosol load and degrading air quality. It is estimated that approximately 5.13 million annual deaths are attributable to emissions produced by the burning of fossil fuels [3]. This not only has direct consequences for human health but also impacts terrestrial and aquatic ecosystems. Indeed, the increase in CO</w:t>
      </w:r>
      <w:r w:rsidRPr="005B70FE">
        <w:rPr>
          <w:vertAlign w:val="subscript"/>
        </w:rPr>
        <w:t>2</w:t>
      </w:r>
      <w:r w:rsidRPr="001500B9">
        <w:t xml:space="preserve"> emissions affects ocean acidification, as the CO</w:t>
      </w:r>
      <w:r w:rsidRPr="005B70FE">
        <w:rPr>
          <w:vertAlign w:val="subscript"/>
        </w:rPr>
        <w:t>2</w:t>
      </w:r>
      <w:r w:rsidRPr="001500B9">
        <w:t xml:space="preserve"> absorbed by the oceans turns into carbonic acid, altering marine chemistry and adversely affecting calcareous organisms such as corals and </w:t>
      </w:r>
      <w:proofErr w:type="spellStart"/>
      <w:r w:rsidRPr="001500B9">
        <w:t>mollusks</w:t>
      </w:r>
      <w:proofErr w:type="spellEnd"/>
      <w:r w:rsidRPr="001500B9">
        <w:t>, essential for marine biodiversity [4].</w:t>
      </w:r>
    </w:p>
    <w:p w14:paraId="59B0879B" w14:textId="77777777" w:rsidR="001500B9" w:rsidRPr="001500B9" w:rsidRDefault="001500B9" w:rsidP="001500B9">
      <w:pPr>
        <w:pStyle w:val="Textoindependiente"/>
      </w:pPr>
    </w:p>
    <w:p w14:paraId="644F206B" w14:textId="53B73ED1" w:rsidR="001500B9" w:rsidRPr="001500B9" w:rsidRDefault="001500B9" w:rsidP="001500B9">
      <w:pPr>
        <w:pStyle w:val="Textoindependiente"/>
      </w:pPr>
      <w:r w:rsidRPr="001500B9">
        <w:t>Likewise, all energy sources can have relevant effects on the use of water and land. Collectively, the use of fossil fuels represents a critical challenge to maintaining within safe limits the stability of the systems that sustain life on Earth, highlighting the urgent need to transition to more sustainable and less invasive energy sources. Life Cycle Assessment (LCA) allows for the comparison of various environmental parameters, other than CO</w:t>
      </w:r>
      <w:r w:rsidRPr="005B70FE">
        <w:rPr>
          <w:vertAlign w:val="subscript"/>
        </w:rPr>
        <w:t>2</w:t>
      </w:r>
      <w:r w:rsidRPr="001500B9">
        <w:t>eq emissions. This methodology is used to evaluate the environmental impacts associated with all stages of a product's life, from the extraction of raw materials to its manufacturing, use, and final disposition. In the context of energy sources, LCA is fundamental for understanding the environmental implications. Some aspects that can be quantified in this type of analysis include: CO</w:t>
      </w:r>
      <w:r w:rsidRPr="005B70FE">
        <w:rPr>
          <w:vertAlign w:val="subscript"/>
        </w:rPr>
        <w:t>2</w:t>
      </w:r>
      <w:r w:rsidRPr="001500B9">
        <w:t xml:space="preserve">eq emissions and land-use intensity (LIU). It is also possible to establish the number of deaths per </w:t>
      </w:r>
      <w:proofErr w:type="spellStart"/>
      <w:r w:rsidRPr="001500B9">
        <w:t>TWh</w:t>
      </w:r>
      <w:proofErr w:type="spellEnd"/>
      <w:r w:rsidRPr="001500B9">
        <w:t xml:space="preserve"> per year, related to pollution and accidents. When reviewing aspects relative to nuclear reactors (LR), it is found that, compared to other energy sources, they have the lowest values of: GHG emissions (5.</w:t>
      </w:r>
      <w:r w:rsidR="005B70FE">
        <w:t>13</w:t>
      </w:r>
      <w:r w:rsidRPr="001500B9">
        <w:t xml:space="preserve"> gCO</w:t>
      </w:r>
      <w:r w:rsidRPr="005B70FE">
        <w:rPr>
          <w:vertAlign w:val="subscript"/>
        </w:rPr>
        <w:t>2</w:t>
      </w:r>
      <w:r w:rsidRPr="001500B9">
        <w:t>eq/kWh)</w:t>
      </w:r>
      <w:r w:rsidR="005B70FE">
        <w:t xml:space="preserve"> </w:t>
      </w:r>
      <w:r w:rsidRPr="001500B9">
        <w:t>[5] and an average of total land-use intensity 15 ha/</w:t>
      </w:r>
      <w:proofErr w:type="spellStart"/>
      <w:r w:rsidRPr="001500B9">
        <w:t>TWh</w:t>
      </w:r>
      <w:proofErr w:type="spellEnd"/>
      <w:r w:rsidRPr="001500B9">
        <w:t>/y [6]. Furthermore, it is relevant to highlight that, in terms of deaths associated with pollution and accidents, nuclear energy presents the safest values of all sources with a value of 0</w:t>
      </w:r>
      <w:r w:rsidR="005B70FE">
        <w:t>,</w:t>
      </w:r>
      <w:r w:rsidRPr="001500B9">
        <w:t xml:space="preserve">03 deaths per </w:t>
      </w:r>
      <w:proofErr w:type="spellStart"/>
      <w:r w:rsidRPr="001500B9">
        <w:t>TWh</w:t>
      </w:r>
      <w:proofErr w:type="spellEnd"/>
      <w:r w:rsidRPr="001500B9">
        <w:t xml:space="preserve"> per year (deaths/</w:t>
      </w:r>
      <w:proofErr w:type="spellStart"/>
      <w:r w:rsidRPr="001500B9">
        <w:t>TWh</w:t>
      </w:r>
      <w:proofErr w:type="spellEnd"/>
      <w:r w:rsidRPr="001500B9">
        <w:t xml:space="preserve">/y) [7], in contrast to fossil fuels which range from </w:t>
      </w:r>
      <w:r w:rsidR="005B70FE">
        <w:t>2.8</w:t>
      </w:r>
      <w:r w:rsidRPr="001500B9">
        <w:t xml:space="preserve"> deaths/</w:t>
      </w:r>
      <w:proofErr w:type="spellStart"/>
      <w:r w:rsidRPr="001500B9">
        <w:t>TWh</w:t>
      </w:r>
      <w:proofErr w:type="spellEnd"/>
      <w:r w:rsidRPr="001500B9">
        <w:t>/y</w:t>
      </w:r>
      <w:r w:rsidR="005B70FE">
        <w:t xml:space="preserve"> </w:t>
      </w:r>
      <w:r w:rsidRPr="001500B9">
        <w:t xml:space="preserve"> to 2</w:t>
      </w:r>
      <w:r w:rsidR="005B70FE">
        <w:t>4,6</w:t>
      </w:r>
      <w:r w:rsidRPr="001500B9">
        <w:t xml:space="preserve"> deaths/</w:t>
      </w:r>
      <w:proofErr w:type="spellStart"/>
      <w:r w:rsidRPr="001500B9">
        <w:t>TWh</w:t>
      </w:r>
      <w:proofErr w:type="spellEnd"/>
      <w:r w:rsidRPr="001500B9">
        <w:t>/y</w:t>
      </w:r>
      <w:r w:rsidR="005B70FE">
        <w:t xml:space="preserve"> for coal</w:t>
      </w:r>
      <w:r w:rsidRPr="001500B9">
        <w:t xml:space="preserve">. Using the estimate made in 2023, which mentions that 5.13 million deaths related to fossil fuels occur annually, this value rises to </w:t>
      </w:r>
      <w:r w:rsidR="005B70FE">
        <w:t>37,3</w:t>
      </w:r>
      <w:r w:rsidRPr="001500B9">
        <w:t xml:space="preserve"> deaths/</w:t>
      </w:r>
      <w:proofErr w:type="spellStart"/>
      <w:r w:rsidRPr="001500B9">
        <w:t>TWh</w:t>
      </w:r>
      <w:proofErr w:type="spellEnd"/>
      <w:r w:rsidRPr="001500B9">
        <w:t>/y. To date, no deaths related to any project under construction or in operation of the SMRs registered in the ARIS database of the IAEA have been reported.</w:t>
      </w:r>
    </w:p>
    <w:p w14:paraId="4A9BA447" w14:textId="77777777" w:rsidR="001500B9" w:rsidRPr="001500B9" w:rsidRDefault="001500B9" w:rsidP="001500B9">
      <w:pPr>
        <w:pStyle w:val="Textoindependiente"/>
      </w:pPr>
    </w:p>
    <w:p w14:paraId="4FFA17DA" w14:textId="77777777" w:rsidR="001500B9" w:rsidRPr="001500B9" w:rsidRDefault="001500B9" w:rsidP="001500B9">
      <w:pPr>
        <w:pStyle w:val="Textoindependiente"/>
      </w:pPr>
      <w:r w:rsidRPr="001500B9">
        <w:t>Considering that one of the planetary boundaries is the use of freshwater, it is important to highlight that through the use of cogeneration, SMRs can play a very relevant role in increasing the availability of fresh water thanks to the application of different desalination technologies, whether through the use of thermal energy, as in the case of evaporation, or with the use of electrical energy if reverse osmosis is considered.</w:t>
      </w:r>
    </w:p>
    <w:p w14:paraId="4871DACA" w14:textId="77777777" w:rsidR="001500B9" w:rsidRPr="001500B9" w:rsidRDefault="001500B9" w:rsidP="001500B9">
      <w:pPr>
        <w:pStyle w:val="Textoindependiente"/>
      </w:pPr>
    </w:p>
    <w:p w14:paraId="52E353FE" w14:textId="77777777" w:rsidR="001500B9" w:rsidRPr="001500B9" w:rsidRDefault="001500B9" w:rsidP="001500B9">
      <w:pPr>
        <w:pStyle w:val="Textoindependiente"/>
      </w:pPr>
      <w:r w:rsidRPr="001500B9">
        <w:t>This study proposes the calculation of the emission factor (EF), total land-use intensity (LIU) indicators, and a brief review of the advances in desalination projects related to SMRs.</w:t>
      </w:r>
    </w:p>
    <w:p w14:paraId="761A2497" w14:textId="77777777" w:rsidR="001500B9" w:rsidRPr="001500B9" w:rsidRDefault="001500B9" w:rsidP="001500B9">
      <w:pPr>
        <w:pStyle w:val="Textoindependiente"/>
      </w:pPr>
    </w:p>
    <w:p w14:paraId="512A997B" w14:textId="6A4EDD72" w:rsidR="00E34991" w:rsidRPr="001500B9" w:rsidRDefault="00E34991" w:rsidP="00E34991">
      <w:pPr>
        <w:pStyle w:val="Textoindependiente"/>
        <w:rPr>
          <w:lang w:val="es-CO"/>
        </w:rPr>
      </w:pPr>
    </w:p>
    <w:p w14:paraId="5708B549" w14:textId="0851855C" w:rsidR="00E34991" w:rsidRPr="001500B9" w:rsidRDefault="00E34991" w:rsidP="00E34991">
      <w:pPr>
        <w:rPr>
          <w:sz w:val="20"/>
          <w:lang w:val="en-US"/>
        </w:rPr>
      </w:pPr>
      <w:r w:rsidRPr="001500B9">
        <w:rPr>
          <w:sz w:val="20"/>
          <w:lang w:val="en-US"/>
        </w:rPr>
        <w:t>2. M</w:t>
      </w:r>
      <w:r w:rsidR="006F00CF" w:rsidRPr="001500B9">
        <w:rPr>
          <w:sz w:val="20"/>
          <w:lang w:val="en-US"/>
        </w:rPr>
        <w:t>ET</w:t>
      </w:r>
      <w:r w:rsidR="001500B9" w:rsidRPr="001500B9">
        <w:rPr>
          <w:sz w:val="20"/>
          <w:lang w:val="en-US"/>
        </w:rPr>
        <w:t>H</w:t>
      </w:r>
      <w:r w:rsidR="006F00CF" w:rsidRPr="001500B9">
        <w:rPr>
          <w:sz w:val="20"/>
          <w:lang w:val="en-US"/>
        </w:rPr>
        <w:t>ODOLOG</w:t>
      </w:r>
      <w:r w:rsidR="001500B9" w:rsidRPr="001500B9">
        <w:rPr>
          <w:sz w:val="20"/>
          <w:lang w:val="en-US"/>
        </w:rPr>
        <w:t>Y</w:t>
      </w:r>
    </w:p>
    <w:p w14:paraId="3A75D9BD" w14:textId="562EEDCB" w:rsidR="001500B9" w:rsidRPr="001500B9" w:rsidRDefault="001500B9" w:rsidP="00E34991">
      <w:pPr>
        <w:rPr>
          <w:sz w:val="20"/>
          <w:lang w:val="en-US"/>
        </w:rPr>
      </w:pPr>
    </w:p>
    <w:p w14:paraId="3A06ADB4" w14:textId="30AB97B9" w:rsidR="001500B9" w:rsidRDefault="001500B9" w:rsidP="005B70FE">
      <w:pPr>
        <w:ind w:firstLine="567"/>
        <w:jc w:val="both"/>
        <w:rPr>
          <w:sz w:val="20"/>
          <w:lang w:val="en-US"/>
        </w:rPr>
      </w:pPr>
      <w:r w:rsidRPr="001500B9">
        <w:rPr>
          <w:sz w:val="20"/>
          <w:lang w:val="en-US"/>
        </w:rPr>
        <w:t xml:space="preserve">We based our research on peer-reviewed scientific literature using the SCOPUS, </w:t>
      </w:r>
      <w:proofErr w:type="spellStart"/>
      <w:r w:rsidRPr="001500B9">
        <w:rPr>
          <w:sz w:val="20"/>
          <w:lang w:val="en-US"/>
        </w:rPr>
        <w:t>Sciencedirect</w:t>
      </w:r>
      <w:proofErr w:type="spellEnd"/>
      <w:r w:rsidRPr="001500B9">
        <w:rPr>
          <w:sz w:val="20"/>
          <w:lang w:val="en-US"/>
        </w:rPr>
        <w:t>, and ARIS databases from the IAEA. Using this data, we conducted an analysis for three specific aspects of SMRs: land use intensity, emission factor according to LCA, and the potential contributions of SMRs to the availability of fresh water in relation to desalination technologies. In the case of land use intensity, no specific values for SMRs were found, only for large reactors (LR), so a mathematical model was selected that allowed calculating the land use intensity taking into account the LCA and the data on operational area use described in the design datasheets included in the ARIS database from the IAEA.</w:t>
      </w:r>
    </w:p>
    <w:p w14:paraId="41E8565E" w14:textId="77777777" w:rsidR="001500B9" w:rsidRPr="001500B9" w:rsidRDefault="001500B9" w:rsidP="001500B9">
      <w:pPr>
        <w:ind w:firstLine="567"/>
        <w:rPr>
          <w:sz w:val="20"/>
          <w:lang w:val="en-US"/>
        </w:rPr>
      </w:pPr>
    </w:p>
    <w:p w14:paraId="00E95171" w14:textId="77777777" w:rsidR="001500B9" w:rsidRPr="001500B9" w:rsidRDefault="001500B9" w:rsidP="001500B9">
      <w:pPr>
        <w:rPr>
          <w:sz w:val="20"/>
          <w:lang w:val="en-US"/>
        </w:rPr>
      </w:pPr>
    </w:p>
    <w:p w14:paraId="2D4293A8" w14:textId="77777777" w:rsidR="001500B9" w:rsidRPr="001500B9" w:rsidRDefault="001500B9" w:rsidP="001500B9">
      <w:pPr>
        <w:rPr>
          <w:sz w:val="20"/>
          <w:lang w:val="en-US"/>
        </w:rPr>
      </w:pPr>
      <w:r w:rsidRPr="001500B9">
        <w:rPr>
          <w:b/>
          <w:bCs/>
          <w:sz w:val="20"/>
          <w:lang w:val="en-US"/>
        </w:rPr>
        <w:t>2.1 Calculation of Total Land Use Intensity</w:t>
      </w:r>
    </w:p>
    <w:p w14:paraId="6E274F86" w14:textId="30869E52" w:rsidR="001500B9" w:rsidRPr="001500B9" w:rsidRDefault="001500B9" w:rsidP="005B70FE">
      <w:pPr>
        <w:ind w:firstLine="567"/>
        <w:jc w:val="both"/>
        <w:rPr>
          <w:sz w:val="20"/>
          <w:lang w:val="en-US"/>
        </w:rPr>
      </w:pPr>
      <w:r w:rsidRPr="001500B9">
        <w:rPr>
          <w:sz w:val="20"/>
          <w:lang w:val="en-US"/>
        </w:rPr>
        <w:t>The formula to evaluate direct land</w:t>
      </w:r>
      <w:r w:rsidRPr="001500B9">
        <w:rPr>
          <w:sz w:val="20"/>
          <w:lang w:val="en-US"/>
        </w:rPr>
        <w:t>-</w:t>
      </w:r>
      <w:r w:rsidRPr="001500B9">
        <w:rPr>
          <w:sz w:val="20"/>
          <w:lang w:val="en-US"/>
        </w:rPr>
        <w:t>use intensity</w:t>
      </w:r>
      <w:r w:rsidRPr="001500B9">
        <w:rPr>
          <w:sz w:val="20"/>
          <w:lang w:val="en-US"/>
        </w:rPr>
        <w:t xml:space="preserve"> of energy</w:t>
      </w:r>
      <w:r w:rsidRPr="001500B9">
        <w:rPr>
          <w:sz w:val="20"/>
          <w:lang w:val="en-US"/>
        </w:rPr>
        <w:t xml:space="preserve"> (F. 1) requires dividing the area occupied by the SMR installation by the amount of energy generated over a year. It is important to note that the area dedicated to uranium mining, conversion, and enrichment, we call indirect land</w:t>
      </w:r>
      <w:r w:rsidRPr="001500B9">
        <w:rPr>
          <w:sz w:val="20"/>
          <w:lang w:val="en-US"/>
        </w:rPr>
        <w:t>-</w:t>
      </w:r>
      <w:r w:rsidRPr="001500B9">
        <w:rPr>
          <w:sz w:val="20"/>
          <w:lang w:val="en-US"/>
        </w:rPr>
        <w:t xml:space="preserve">use </w:t>
      </w:r>
      <w:r w:rsidRPr="001500B9">
        <w:rPr>
          <w:sz w:val="20"/>
          <w:lang w:val="en-US"/>
        </w:rPr>
        <w:t xml:space="preserve">of energy </w:t>
      </w:r>
      <w:r w:rsidRPr="001500B9">
        <w:rPr>
          <w:sz w:val="20"/>
          <w:lang w:val="en-US"/>
        </w:rPr>
        <w:t>(F. 2) [8-9]. Using this variable makes a difference between the exclusive use of the operation, which if analyzed in isolation, can create a bias in the interpretation of the data. Indeed, the total land</w:t>
      </w:r>
      <w:r w:rsidRPr="001500B9">
        <w:rPr>
          <w:sz w:val="20"/>
          <w:lang w:val="en-US"/>
        </w:rPr>
        <w:t>-</w:t>
      </w:r>
      <w:r w:rsidRPr="001500B9">
        <w:rPr>
          <w:sz w:val="20"/>
          <w:lang w:val="en-US"/>
        </w:rPr>
        <w:t xml:space="preserve">use intensity </w:t>
      </w:r>
      <w:r w:rsidRPr="001500B9">
        <w:rPr>
          <w:sz w:val="20"/>
          <w:lang w:val="en-US"/>
        </w:rPr>
        <w:t xml:space="preserve"> of energy </w:t>
      </w:r>
      <w:r w:rsidRPr="001500B9">
        <w:rPr>
          <w:sz w:val="20"/>
          <w:lang w:val="en-US"/>
        </w:rPr>
        <w:t>is the sum of direct and indirect LUIE (F. 3).</w:t>
      </w:r>
    </w:p>
    <w:p w14:paraId="4FEB9C1C" w14:textId="77777777" w:rsidR="001500B9" w:rsidRPr="001500B9" w:rsidRDefault="001500B9" w:rsidP="00E34991">
      <w:pPr>
        <w:rPr>
          <w:sz w:val="20"/>
          <w:lang w:val="en-US"/>
        </w:rPr>
      </w:pPr>
    </w:p>
    <w:p w14:paraId="10E993A4" w14:textId="534D372C" w:rsidR="00AE46B3" w:rsidRPr="001500B9" w:rsidRDefault="00AE46B3" w:rsidP="00E34991">
      <w:pPr>
        <w:rPr>
          <w:sz w:val="20"/>
          <w:lang w:val="en-US"/>
        </w:rPr>
      </w:pPr>
    </w:p>
    <w:p w14:paraId="51FCC967" w14:textId="69C745A3" w:rsidR="00BA1D2D" w:rsidRPr="001500B9" w:rsidRDefault="00BA1D2D" w:rsidP="00E34991">
      <w:pPr>
        <w:rPr>
          <w:sz w:val="20"/>
          <w:lang w:val="en-US"/>
        </w:rPr>
      </w:pPr>
    </w:p>
    <w:p w14:paraId="1CC77A86" w14:textId="00FC4C0B" w:rsidR="00BA1D2D" w:rsidRPr="001500B9" w:rsidRDefault="005B70FE" w:rsidP="001F10E2">
      <w:pPr>
        <w:jc w:val="center"/>
        <w:rPr>
          <w:sz w:val="20"/>
          <w:lang w:val="en-US"/>
        </w:rPr>
      </w:pPr>
      <m:oMath>
        <m:r>
          <m:rPr>
            <m:sty m:val="p"/>
          </m:rPr>
          <w:rPr>
            <w:rFonts w:ascii="Cambria Math" w:hAnsi="Cambria Math"/>
            <w:sz w:val="20"/>
            <w:lang w:val="en-US"/>
          </w:rPr>
          <w:lastRenderedPageBreak/>
          <m:t>LUIE</m:t>
        </m:r>
      </m:oMath>
      <w:r w:rsidR="001F10E2" w:rsidRPr="001500B9">
        <w:rPr>
          <w:sz w:val="20"/>
          <w:vertAlign w:val="subscript"/>
          <w:lang w:val="en-US"/>
        </w:rPr>
        <w:t>direct</w:t>
      </w:r>
      <m:oMath>
        <m:r>
          <w:rPr>
            <w:rFonts w:ascii="Cambria Math" w:hAnsi="Cambria Math"/>
            <w:sz w:val="20"/>
            <w:lang w:val="en-US"/>
          </w:rPr>
          <m:t>=</m:t>
        </m:r>
        <m:r>
          <w:rPr>
            <w:rFonts w:ascii="Cambria Math" w:hAnsi="Cambria Math"/>
            <w:sz w:val="20"/>
            <w:lang w:val="en-US"/>
          </w:rPr>
          <m:t xml:space="preserve"> </m:t>
        </m:r>
        <m:f>
          <m:fPr>
            <m:ctrlPr>
              <w:rPr>
                <w:rFonts w:ascii="Cambria Math" w:hAnsi="Cambria Math"/>
                <w:i/>
                <w:sz w:val="20"/>
                <w:lang w:val="es-CO"/>
              </w:rPr>
            </m:ctrlPr>
          </m:fPr>
          <m:num>
            <m:sSub>
              <m:sSubPr>
                <m:ctrlPr>
                  <w:rPr>
                    <w:rFonts w:ascii="Cambria Math" w:hAnsi="Cambria Math"/>
                    <w:i/>
                    <w:sz w:val="20"/>
                    <w:lang w:val="es-CO"/>
                  </w:rPr>
                </m:ctrlPr>
              </m:sSubPr>
              <m:e>
                <m:r>
                  <w:rPr>
                    <w:rFonts w:ascii="Cambria Math" w:hAnsi="Cambria Math"/>
                    <w:sz w:val="20"/>
                    <w:lang w:val="es-CO"/>
                  </w:rPr>
                  <m:t>A</m:t>
                </m:r>
              </m:e>
              <m:sub>
                <m:r>
                  <w:rPr>
                    <w:rFonts w:ascii="Cambria Math" w:hAnsi="Cambria Math"/>
                    <w:sz w:val="20"/>
                    <w:lang w:val="es-CO"/>
                  </w:rPr>
                  <m:t>direct</m:t>
                </m:r>
              </m:sub>
            </m:sSub>
          </m:num>
          <m:den>
            <m:r>
              <w:rPr>
                <w:rFonts w:ascii="Cambria Math" w:hAnsi="Cambria Math"/>
                <w:sz w:val="20"/>
                <w:lang w:val="es-CO"/>
              </w:rPr>
              <m:t>Energy</m:t>
            </m:r>
          </m:den>
        </m:f>
        <m:r>
          <w:rPr>
            <w:rFonts w:ascii="Cambria Math" w:hAnsi="Cambria Math"/>
            <w:sz w:val="20"/>
            <w:lang w:val="en-US"/>
          </w:rPr>
          <m:t xml:space="preserve"> </m:t>
        </m:r>
        <m:d>
          <m:dPr>
            <m:begChr m:val="["/>
            <m:endChr m:val="]"/>
            <m:ctrlPr>
              <w:rPr>
                <w:rFonts w:ascii="Cambria Math" w:hAnsi="Cambria Math"/>
                <w:i/>
                <w:sz w:val="20"/>
                <w:lang w:val="es-CO"/>
              </w:rPr>
            </m:ctrlPr>
          </m:dPr>
          <m:e>
            <m:f>
              <m:fPr>
                <m:ctrlPr>
                  <w:rPr>
                    <w:rFonts w:ascii="Cambria Math" w:hAnsi="Cambria Math"/>
                    <w:i/>
                    <w:sz w:val="20"/>
                    <w:lang w:val="es-CO"/>
                  </w:rPr>
                </m:ctrlPr>
              </m:fPr>
              <m:num>
                <m:r>
                  <w:rPr>
                    <w:rFonts w:ascii="Cambria Math" w:hAnsi="Cambria Math"/>
                    <w:sz w:val="20"/>
                    <w:lang w:val="en-US"/>
                  </w:rPr>
                  <m:t>h</m:t>
                </m:r>
                <m:r>
                  <w:rPr>
                    <w:rFonts w:ascii="Cambria Math" w:hAnsi="Cambria Math"/>
                    <w:sz w:val="20"/>
                    <w:lang w:val="es-CO"/>
                  </w:rPr>
                  <m:t>a</m:t>
                </m:r>
                <m:r>
                  <w:rPr>
                    <w:rFonts w:ascii="Cambria Math" w:hAnsi="Cambria Math"/>
                    <w:sz w:val="20"/>
                    <w:lang w:val="en-US"/>
                  </w:rPr>
                  <m:t>*</m:t>
                </m:r>
                <m:r>
                  <w:rPr>
                    <w:rFonts w:ascii="Cambria Math" w:hAnsi="Cambria Math"/>
                    <w:sz w:val="20"/>
                    <w:lang w:val="es-CO"/>
                  </w:rPr>
                  <m:t>y</m:t>
                </m:r>
              </m:num>
              <m:den>
                <m:r>
                  <w:rPr>
                    <w:rFonts w:ascii="Cambria Math" w:hAnsi="Cambria Math"/>
                    <w:sz w:val="20"/>
                    <w:lang w:val="es-CO"/>
                  </w:rPr>
                  <m:t>TW</m:t>
                </m:r>
                <m:r>
                  <w:rPr>
                    <w:rFonts w:ascii="Cambria Math" w:hAnsi="Cambria Math"/>
                    <w:sz w:val="20"/>
                    <w:lang w:val="en-US"/>
                  </w:rPr>
                  <m:t>h</m:t>
                </m:r>
              </m:den>
            </m:f>
          </m:e>
        </m:d>
      </m:oMath>
    </w:p>
    <w:p w14:paraId="4134B903" w14:textId="3E5E4DA9" w:rsidR="002B2E5C" w:rsidRPr="001500B9" w:rsidRDefault="002B2E5C" w:rsidP="002B2E5C">
      <w:pPr>
        <w:overflowPunct/>
        <w:autoSpaceDE/>
        <w:autoSpaceDN/>
        <w:adjustRightInd/>
        <w:jc w:val="center"/>
        <w:textAlignment w:val="auto"/>
        <w:rPr>
          <w:sz w:val="20"/>
          <w:lang w:val="en-US" w:eastAsia="es-ES_tradnl"/>
        </w:rPr>
      </w:pPr>
      <w:r w:rsidRPr="001500B9">
        <w:rPr>
          <w:bCs/>
          <w:color w:val="212121"/>
          <w:sz w:val="20"/>
          <w:shd w:val="clear" w:color="auto" w:fill="FFFFFF"/>
          <w:lang w:val="en-US" w:eastAsia="es-ES_tradnl"/>
        </w:rPr>
        <w:t>Formula 1:</w:t>
      </w:r>
      <w:r w:rsidRPr="001500B9">
        <w:rPr>
          <w:color w:val="212121"/>
          <w:sz w:val="20"/>
          <w:shd w:val="clear" w:color="auto" w:fill="FFFFFF"/>
          <w:lang w:val="en-US" w:eastAsia="es-ES_tradnl"/>
        </w:rPr>
        <w:t> Direct land</w:t>
      </w:r>
      <w:r w:rsidR="001500B9" w:rsidRPr="001500B9">
        <w:rPr>
          <w:color w:val="212121"/>
          <w:sz w:val="20"/>
          <w:shd w:val="clear" w:color="auto" w:fill="FFFFFF"/>
          <w:lang w:val="en-US" w:eastAsia="es-ES_tradnl"/>
        </w:rPr>
        <w:t>-</w:t>
      </w:r>
      <w:r w:rsidRPr="001500B9">
        <w:rPr>
          <w:color w:val="212121"/>
          <w:sz w:val="20"/>
          <w:shd w:val="clear" w:color="auto" w:fill="FFFFFF"/>
          <w:lang w:val="en-US" w:eastAsia="es-ES_tradnl"/>
        </w:rPr>
        <w:t>use intensity</w:t>
      </w:r>
      <w:r w:rsidR="001500B9" w:rsidRPr="001500B9">
        <w:rPr>
          <w:color w:val="212121"/>
          <w:sz w:val="20"/>
          <w:shd w:val="clear" w:color="auto" w:fill="FFFFFF"/>
          <w:lang w:val="en-US" w:eastAsia="es-ES_tradnl"/>
        </w:rPr>
        <w:t xml:space="preserve"> of energy</w:t>
      </w:r>
    </w:p>
    <w:p w14:paraId="782BE9DA" w14:textId="5AA34D21" w:rsidR="001F10E2" w:rsidRPr="001500B9" w:rsidRDefault="001F10E2" w:rsidP="00E34991">
      <w:pPr>
        <w:rPr>
          <w:sz w:val="20"/>
          <w:lang w:val="en-US"/>
        </w:rPr>
      </w:pPr>
    </w:p>
    <w:p w14:paraId="1B90C170" w14:textId="1B59ABBF" w:rsidR="00E97B71" w:rsidRPr="001500B9" w:rsidRDefault="00E97B71" w:rsidP="00E34991">
      <w:pPr>
        <w:rPr>
          <w:sz w:val="20"/>
          <w:lang w:val="en-US"/>
        </w:rPr>
      </w:pPr>
    </w:p>
    <w:p w14:paraId="76F369EA" w14:textId="334DC143" w:rsidR="00E97B71" w:rsidRPr="001500B9" w:rsidRDefault="005B70FE" w:rsidP="00E97B71">
      <w:pPr>
        <w:jc w:val="center"/>
        <w:rPr>
          <w:sz w:val="20"/>
          <w:lang w:val="en-US"/>
        </w:rPr>
      </w:pPr>
      <m:oMath>
        <m:r>
          <m:rPr>
            <m:sty m:val="p"/>
          </m:rPr>
          <w:rPr>
            <w:rFonts w:ascii="Cambria Math" w:hAnsi="Cambria Math"/>
            <w:sz w:val="20"/>
            <w:lang w:val="es-CO"/>
          </w:rPr>
          <m:t>LUIE</m:t>
        </m:r>
      </m:oMath>
      <w:r w:rsidR="00E97B71" w:rsidRPr="001500B9">
        <w:rPr>
          <w:sz w:val="20"/>
          <w:vertAlign w:val="subscript"/>
          <w:lang w:val="en-US"/>
        </w:rPr>
        <w:t>indirect</w:t>
      </w:r>
      <m:oMath>
        <m:r>
          <w:rPr>
            <w:rFonts w:ascii="Cambria Math" w:hAnsi="Cambria Math"/>
            <w:sz w:val="20"/>
            <w:lang w:val="en-US"/>
          </w:rPr>
          <m:t xml:space="preserve">= </m:t>
        </m:r>
        <m:f>
          <m:fPr>
            <m:ctrlPr>
              <w:rPr>
                <w:rFonts w:ascii="Cambria Math" w:hAnsi="Cambria Math"/>
                <w:i/>
                <w:sz w:val="20"/>
                <w:lang w:val="es-CO"/>
              </w:rPr>
            </m:ctrlPr>
          </m:fPr>
          <m:num>
            <m:sSub>
              <m:sSubPr>
                <m:ctrlPr>
                  <w:rPr>
                    <w:rFonts w:ascii="Cambria Math" w:hAnsi="Cambria Math"/>
                    <w:i/>
                    <w:sz w:val="20"/>
                    <w:lang w:val="es-CO"/>
                  </w:rPr>
                </m:ctrlPr>
              </m:sSubPr>
              <m:e>
                <m:r>
                  <w:rPr>
                    <w:rFonts w:ascii="Cambria Math" w:hAnsi="Cambria Math"/>
                    <w:sz w:val="20"/>
                    <w:lang w:val="es-CO"/>
                  </w:rPr>
                  <m:t>A</m:t>
                </m:r>
              </m:e>
              <m:sub>
                <m:r>
                  <w:rPr>
                    <w:rFonts w:ascii="Cambria Math" w:hAnsi="Cambria Math"/>
                    <w:sz w:val="20"/>
                    <w:lang w:val="es-CO"/>
                  </w:rPr>
                  <m:t>indirect</m:t>
                </m:r>
              </m:sub>
            </m:sSub>
          </m:num>
          <m:den>
            <m:r>
              <w:rPr>
                <w:rFonts w:ascii="Cambria Math" w:hAnsi="Cambria Math"/>
                <w:sz w:val="20"/>
                <w:lang w:val="es-CO"/>
              </w:rPr>
              <m:t>Energy</m:t>
            </m:r>
          </m:den>
        </m:f>
        <m:r>
          <w:rPr>
            <w:rFonts w:ascii="Cambria Math" w:hAnsi="Cambria Math"/>
            <w:sz w:val="20"/>
            <w:lang w:val="en-US"/>
          </w:rPr>
          <m:t xml:space="preserve"> </m:t>
        </m:r>
        <m:d>
          <m:dPr>
            <m:begChr m:val="["/>
            <m:endChr m:val="]"/>
            <m:ctrlPr>
              <w:rPr>
                <w:rFonts w:ascii="Cambria Math" w:hAnsi="Cambria Math"/>
                <w:i/>
                <w:sz w:val="20"/>
                <w:lang w:val="es-CO"/>
              </w:rPr>
            </m:ctrlPr>
          </m:dPr>
          <m:e>
            <m:f>
              <m:fPr>
                <m:ctrlPr>
                  <w:rPr>
                    <w:rFonts w:ascii="Cambria Math" w:hAnsi="Cambria Math"/>
                    <w:i/>
                    <w:sz w:val="20"/>
                    <w:lang w:val="es-CO"/>
                  </w:rPr>
                </m:ctrlPr>
              </m:fPr>
              <m:num>
                <m:r>
                  <w:rPr>
                    <w:rFonts w:ascii="Cambria Math" w:hAnsi="Cambria Math"/>
                    <w:sz w:val="20"/>
                    <w:lang w:val="en-US"/>
                  </w:rPr>
                  <m:t>h</m:t>
                </m:r>
                <m:r>
                  <w:rPr>
                    <w:rFonts w:ascii="Cambria Math" w:hAnsi="Cambria Math"/>
                    <w:sz w:val="20"/>
                    <w:lang w:val="es-CO"/>
                  </w:rPr>
                  <m:t>a</m:t>
                </m:r>
                <m:r>
                  <w:rPr>
                    <w:rFonts w:ascii="Cambria Math" w:hAnsi="Cambria Math"/>
                    <w:sz w:val="20"/>
                    <w:lang w:val="en-US"/>
                  </w:rPr>
                  <m:t>*</m:t>
                </m:r>
                <m:r>
                  <w:rPr>
                    <w:rFonts w:ascii="Cambria Math" w:hAnsi="Cambria Math"/>
                    <w:sz w:val="20"/>
                    <w:lang w:val="es-CO"/>
                  </w:rPr>
                  <m:t>y</m:t>
                </m:r>
              </m:num>
              <m:den>
                <m:r>
                  <w:rPr>
                    <w:rFonts w:ascii="Cambria Math" w:hAnsi="Cambria Math"/>
                    <w:sz w:val="20"/>
                    <w:lang w:val="es-CO"/>
                  </w:rPr>
                  <m:t>TW</m:t>
                </m:r>
                <m:r>
                  <w:rPr>
                    <w:rFonts w:ascii="Cambria Math" w:hAnsi="Cambria Math"/>
                    <w:sz w:val="20"/>
                    <w:lang w:val="en-US"/>
                  </w:rPr>
                  <m:t>h</m:t>
                </m:r>
              </m:den>
            </m:f>
          </m:e>
        </m:d>
      </m:oMath>
    </w:p>
    <w:p w14:paraId="4FAF0966" w14:textId="090874DC" w:rsidR="002B2E5C" w:rsidRPr="001500B9" w:rsidRDefault="002B2E5C" w:rsidP="00E97B71">
      <w:pPr>
        <w:jc w:val="center"/>
        <w:rPr>
          <w:sz w:val="20"/>
          <w:lang w:val="en-US"/>
        </w:rPr>
      </w:pPr>
    </w:p>
    <w:p w14:paraId="2477D77E" w14:textId="125FA6A8" w:rsidR="002B2E5C" w:rsidRPr="001500B9" w:rsidRDefault="002B2E5C" w:rsidP="00E97B71">
      <w:pPr>
        <w:jc w:val="center"/>
        <w:rPr>
          <w:sz w:val="20"/>
          <w:lang w:val="en-US"/>
        </w:rPr>
      </w:pPr>
      <w:r w:rsidRPr="001500B9">
        <w:rPr>
          <w:sz w:val="20"/>
          <w:lang w:val="en-US"/>
        </w:rPr>
        <w:t>Formula 2: Indirect land</w:t>
      </w:r>
      <w:r w:rsidR="001500B9" w:rsidRPr="001500B9">
        <w:rPr>
          <w:sz w:val="20"/>
          <w:lang w:val="en-US"/>
        </w:rPr>
        <w:t>-</w:t>
      </w:r>
      <w:r w:rsidRPr="001500B9">
        <w:rPr>
          <w:sz w:val="20"/>
          <w:lang w:val="en-US"/>
        </w:rPr>
        <w:t>use intensity</w:t>
      </w:r>
      <w:r w:rsidR="001500B9" w:rsidRPr="001500B9">
        <w:rPr>
          <w:sz w:val="20"/>
          <w:lang w:val="en-US"/>
        </w:rPr>
        <w:t xml:space="preserve"> of energy</w:t>
      </w:r>
    </w:p>
    <w:p w14:paraId="5A1E91DB" w14:textId="77777777" w:rsidR="00E97B71" w:rsidRPr="001500B9" w:rsidRDefault="00E97B71" w:rsidP="00E34991">
      <w:pPr>
        <w:rPr>
          <w:sz w:val="20"/>
          <w:lang w:val="en-US"/>
        </w:rPr>
      </w:pPr>
    </w:p>
    <w:p w14:paraId="39534B92" w14:textId="1C7A3E65" w:rsidR="00BA1D2D" w:rsidRPr="001500B9" w:rsidRDefault="00BA1D2D" w:rsidP="00E34991">
      <w:pPr>
        <w:rPr>
          <w:sz w:val="20"/>
          <w:lang w:val="en-US"/>
        </w:rPr>
      </w:pPr>
    </w:p>
    <w:p w14:paraId="0AE83EDE" w14:textId="792833AD" w:rsidR="00E97B71" w:rsidRPr="001500B9" w:rsidRDefault="005B70FE" w:rsidP="009B4458">
      <w:pPr>
        <w:jc w:val="center"/>
        <w:rPr>
          <w:sz w:val="20"/>
          <w:lang w:val="en-US"/>
        </w:rPr>
      </w:pPr>
      <m:oMath>
        <m:r>
          <m:rPr>
            <m:sty m:val="p"/>
          </m:rPr>
          <w:rPr>
            <w:rFonts w:ascii="Cambria Math" w:hAnsi="Cambria Math"/>
            <w:sz w:val="20"/>
            <w:lang w:val="es-CO"/>
          </w:rPr>
          <m:t>L</m:t>
        </m:r>
        <m:r>
          <m:rPr>
            <m:sty m:val="p"/>
          </m:rPr>
          <w:rPr>
            <w:rFonts w:ascii="Cambria Math" w:hAnsi="Cambria Math"/>
            <w:sz w:val="20"/>
            <w:lang w:val="es-CO"/>
          </w:rPr>
          <m:t>UIE</m:t>
        </m:r>
      </m:oMath>
      <w:r w:rsidR="00E97B71" w:rsidRPr="001500B9">
        <w:rPr>
          <w:sz w:val="20"/>
          <w:vertAlign w:val="subscript"/>
          <w:lang w:val="en-US"/>
        </w:rPr>
        <w:t>total</w:t>
      </w:r>
      <m:oMath>
        <m:r>
          <w:rPr>
            <w:rFonts w:ascii="Cambria Math" w:hAnsi="Cambria Math"/>
            <w:sz w:val="20"/>
            <w:lang w:val="en-US"/>
          </w:rPr>
          <m:t xml:space="preserve">= </m:t>
        </m:r>
        <m:f>
          <m:fPr>
            <m:ctrlPr>
              <w:rPr>
                <w:rFonts w:ascii="Cambria Math" w:hAnsi="Cambria Math"/>
                <w:i/>
                <w:sz w:val="20"/>
                <w:lang w:val="es-CO"/>
              </w:rPr>
            </m:ctrlPr>
          </m:fPr>
          <m:num>
            <m:sSub>
              <m:sSubPr>
                <m:ctrlPr>
                  <w:rPr>
                    <w:rFonts w:ascii="Cambria Math" w:hAnsi="Cambria Math"/>
                    <w:i/>
                    <w:sz w:val="20"/>
                    <w:lang w:val="es-CO"/>
                  </w:rPr>
                </m:ctrlPr>
              </m:sSubPr>
              <m:e>
                <m:r>
                  <w:rPr>
                    <w:rFonts w:ascii="Cambria Math" w:hAnsi="Cambria Math"/>
                    <w:sz w:val="20"/>
                    <w:lang w:val="es-CO"/>
                  </w:rPr>
                  <m:t>A</m:t>
                </m:r>
              </m:e>
              <m:sub>
                <m:r>
                  <w:rPr>
                    <w:rFonts w:ascii="Cambria Math" w:hAnsi="Cambria Math"/>
                    <w:sz w:val="20"/>
                    <w:lang w:val="es-CO"/>
                  </w:rPr>
                  <m:t>indirect</m:t>
                </m:r>
              </m:sub>
            </m:sSub>
            <m:r>
              <w:rPr>
                <w:rFonts w:ascii="Cambria Math" w:hAnsi="Cambria Math"/>
                <w:sz w:val="20"/>
                <w:lang w:val="es-CO"/>
              </w:rPr>
              <m:t>+</m:t>
            </m:r>
            <m:sSub>
              <m:sSubPr>
                <m:ctrlPr>
                  <w:rPr>
                    <w:rFonts w:ascii="Cambria Math" w:hAnsi="Cambria Math"/>
                    <w:i/>
                    <w:sz w:val="20"/>
                    <w:lang w:val="es-CO"/>
                  </w:rPr>
                </m:ctrlPr>
              </m:sSubPr>
              <m:e>
                <m:r>
                  <w:rPr>
                    <w:rFonts w:ascii="Cambria Math" w:hAnsi="Cambria Math"/>
                    <w:sz w:val="20"/>
                    <w:lang w:val="es-CO"/>
                  </w:rPr>
                  <m:t>A</m:t>
                </m:r>
              </m:e>
              <m:sub>
                <m:r>
                  <w:rPr>
                    <w:rFonts w:ascii="Cambria Math" w:hAnsi="Cambria Math"/>
                    <w:sz w:val="20"/>
                    <w:lang w:val="es-CO"/>
                  </w:rPr>
                  <m:t>direct</m:t>
                </m:r>
              </m:sub>
            </m:sSub>
          </m:num>
          <m:den>
            <m:r>
              <w:rPr>
                <w:rFonts w:ascii="Cambria Math" w:hAnsi="Cambria Math"/>
                <w:sz w:val="20"/>
                <w:lang w:val="es-CO"/>
              </w:rPr>
              <m:t>Energy</m:t>
            </m:r>
          </m:den>
        </m:f>
        <m:r>
          <w:rPr>
            <w:rFonts w:ascii="Cambria Math" w:hAnsi="Cambria Math"/>
            <w:sz w:val="20"/>
            <w:lang w:val="en-US"/>
          </w:rPr>
          <m:t xml:space="preserve"> </m:t>
        </m:r>
        <m:d>
          <m:dPr>
            <m:begChr m:val="["/>
            <m:endChr m:val="]"/>
            <m:ctrlPr>
              <w:rPr>
                <w:rFonts w:ascii="Cambria Math" w:hAnsi="Cambria Math"/>
                <w:i/>
                <w:sz w:val="20"/>
                <w:lang w:val="es-CO"/>
              </w:rPr>
            </m:ctrlPr>
          </m:dPr>
          <m:e>
            <m:f>
              <m:fPr>
                <m:ctrlPr>
                  <w:rPr>
                    <w:rFonts w:ascii="Cambria Math" w:hAnsi="Cambria Math"/>
                    <w:i/>
                    <w:sz w:val="20"/>
                    <w:lang w:val="es-CO"/>
                  </w:rPr>
                </m:ctrlPr>
              </m:fPr>
              <m:num>
                <m:r>
                  <w:rPr>
                    <w:rFonts w:ascii="Cambria Math" w:hAnsi="Cambria Math"/>
                    <w:sz w:val="20"/>
                    <w:lang w:val="en-US"/>
                  </w:rPr>
                  <m:t>h</m:t>
                </m:r>
                <m:r>
                  <w:rPr>
                    <w:rFonts w:ascii="Cambria Math" w:hAnsi="Cambria Math"/>
                    <w:sz w:val="20"/>
                    <w:lang w:val="es-CO"/>
                  </w:rPr>
                  <m:t>a</m:t>
                </m:r>
                <m:r>
                  <w:rPr>
                    <w:rFonts w:ascii="Cambria Math" w:hAnsi="Cambria Math"/>
                    <w:sz w:val="20"/>
                    <w:lang w:val="en-US"/>
                  </w:rPr>
                  <m:t>*</m:t>
                </m:r>
                <m:r>
                  <w:rPr>
                    <w:rFonts w:ascii="Cambria Math" w:hAnsi="Cambria Math"/>
                    <w:sz w:val="20"/>
                    <w:lang w:val="es-CO"/>
                  </w:rPr>
                  <m:t>y</m:t>
                </m:r>
              </m:num>
              <m:den>
                <m:r>
                  <w:rPr>
                    <w:rFonts w:ascii="Cambria Math" w:hAnsi="Cambria Math"/>
                    <w:sz w:val="20"/>
                    <w:lang w:val="es-CO"/>
                  </w:rPr>
                  <m:t>TW</m:t>
                </m:r>
                <m:r>
                  <w:rPr>
                    <w:rFonts w:ascii="Cambria Math" w:hAnsi="Cambria Math"/>
                    <w:sz w:val="20"/>
                    <w:lang w:val="en-US"/>
                  </w:rPr>
                  <m:t>h</m:t>
                </m:r>
              </m:den>
            </m:f>
          </m:e>
        </m:d>
      </m:oMath>
    </w:p>
    <w:p w14:paraId="18B871D3" w14:textId="585C5F6C" w:rsidR="00E97B71" w:rsidRPr="001500B9" w:rsidRDefault="00E97B71" w:rsidP="00E34991">
      <w:pPr>
        <w:rPr>
          <w:sz w:val="20"/>
          <w:lang w:val="en-US"/>
        </w:rPr>
      </w:pPr>
    </w:p>
    <w:p w14:paraId="6AC58D0C" w14:textId="1630404C" w:rsidR="002B2E5C" w:rsidRPr="001500B9" w:rsidRDefault="002B2E5C" w:rsidP="002B2E5C">
      <w:pPr>
        <w:jc w:val="center"/>
        <w:rPr>
          <w:sz w:val="20"/>
          <w:lang w:val="en-US"/>
        </w:rPr>
      </w:pPr>
      <w:r w:rsidRPr="001500B9">
        <w:rPr>
          <w:sz w:val="20"/>
          <w:lang w:val="en-US"/>
        </w:rPr>
        <w:t>Formula 3: Total land</w:t>
      </w:r>
      <w:r w:rsidR="001500B9" w:rsidRPr="001500B9">
        <w:rPr>
          <w:sz w:val="20"/>
          <w:lang w:val="en-US"/>
        </w:rPr>
        <w:t>-</w:t>
      </w:r>
      <w:r w:rsidRPr="001500B9">
        <w:rPr>
          <w:sz w:val="20"/>
          <w:lang w:val="en-US"/>
        </w:rPr>
        <w:t>use intensity</w:t>
      </w:r>
      <w:r w:rsidR="001500B9" w:rsidRPr="001500B9">
        <w:rPr>
          <w:sz w:val="20"/>
          <w:lang w:val="en-US"/>
        </w:rPr>
        <w:t xml:space="preserve"> of energy</w:t>
      </w:r>
    </w:p>
    <w:p w14:paraId="541F66E5" w14:textId="53BB3D60" w:rsidR="001500B9" w:rsidRPr="001500B9" w:rsidRDefault="001500B9" w:rsidP="002B2E5C">
      <w:pPr>
        <w:jc w:val="center"/>
        <w:rPr>
          <w:sz w:val="20"/>
          <w:lang w:val="en-US"/>
        </w:rPr>
      </w:pPr>
      <w:bookmarkStart w:id="0" w:name="_GoBack"/>
      <w:bookmarkEnd w:id="0"/>
    </w:p>
    <w:p w14:paraId="512E7214" w14:textId="7DDB39CF" w:rsidR="001500B9" w:rsidRPr="001500B9" w:rsidRDefault="001500B9" w:rsidP="002B2E5C">
      <w:pPr>
        <w:jc w:val="center"/>
        <w:rPr>
          <w:sz w:val="20"/>
          <w:lang w:val="en-US"/>
        </w:rPr>
      </w:pPr>
    </w:p>
    <w:p w14:paraId="5E45C484" w14:textId="3590E1C8" w:rsidR="001500B9" w:rsidRPr="001500B9" w:rsidRDefault="001500B9" w:rsidP="002B2E5C">
      <w:pPr>
        <w:jc w:val="center"/>
        <w:rPr>
          <w:sz w:val="20"/>
          <w:lang w:val="en-US"/>
        </w:rPr>
      </w:pPr>
    </w:p>
    <w:p w14:paraId="123289BB" w14:textId="37DA76C4" w:rsidR="001500B9" w:rsidRPr="001500B9" w:rsidRDefault="001500B9" w:rsidP="002B2E5C">
      <w:pPr>
        <w:jc w:val="center"/>
        <w:rPr>
          <w:sz w:val="20"/>
          <w:lang w:val="en-US"/>
        </w:rPr>
      </w:pPr>
    </w:p>
    <w:p w14:paraId="6F0A9F65" w14:textId="0D2BF3D2" w:rsidR="001500B9" w:rsidRDefault="001500B9" w:rsidP="005B70FE">
      <w:pPr>
        <w:ind w:firstLine="567"/>
        <w:jc w:val="both"/>
        <w:rPr>
          <w:sz w:val="20"/>
          <w:lang w:val="en-US"/>
        </w:rPr>
      </w:pPr>
      <w:r w:rsidRPr="001500B9">
        <w:rPr>
          <w:sz w:val="20"/>
          <w:lang w:val="en-US"/>
        </w:rPr>
        <w:t xml:space="preserve">We collected original data registered in the ARIS database of the IAEA for each of the SMR designs recorded up to December 2023. From there, we took the data on the area that each of the SMR models would occupy and their electrical power. To establish the plant factor, we assumed a maximum of 95% and a minimum of 80.2%. These values correspond to those reported by </w:t>
      </w:r>
      <w:proofErr w:type="spellStart"/>
      <w:r w:rsidRPr="001500B9">
        <w:rPr>
          <w:sz w:val="20"/>
          <w:lang w:val="en-US"/>
        </w:rPr>
        <w:t>NuScale</w:t>
      </w:r>
      <w:proofErr w:type="spellEnd"/>
      <w:r w:rsidRPr="001500B9">
        <w:rPr>
          <w:sz w:val="20"/>
          <w:lang w:val="en-US"/>
        </w:rPr>
        <w:t xml:space="preserve"> and the corresponding value of the average plant factor in 2022 for LRs worldwide. </w:t>
      </w:r>
    </w:p>
    <w:p w14:paraId="6A357ED3" w14:textId="77777777" w:rsidR="001500B9" w:rsidRPr="001500B9" w:rsidRDefault="001500B9" w:rsidP="001500B9">
      <w:pPr>
        <w:ind w:firstLine="567"/>
        <w:rPr>
          <w:sz w:val="20"/>
          <w:lang w:val="en-US"/>
        </w:rPr>
      </w:pPr>
    </w:p>
    <w:p w14:paraId="083A93A3" w14:textId="5781611E" w:rsidR="001500B9" w:rsidRPr="001500B9" w:rsidRDefault="001500B9" w:rsidP="005B70FE">
      <w:pPr>
        <w:ind w:firstLine="567"/>
        <w:jc w:val="both"/>
        <w:rPr>
          <w:sz w:val="20"/>
          <w:lang w:val="en-US"/>
        </w:rPr>
      </w:pPr>
      <w:r w:rsidRPr="001500B9">
        <w:rPr>
          <w:sz w:val="20"/>
          <w:lang w:val="en-US"/>
        </w:rPr>
        <w:t>To estimate the indirect area related to the extraction and processing of uranium, a value of 0.08 ha/</w:t>
      </w:r>
      <w:proofErr w:type="spellStart"/>
      <w:r w:rsidRPr="001500B9">
        <w:rPr>
          <w:sz w:val="20"/>
          <w:lang w:val="en-US"/>
        </w:rPr>
        <w:t>TWh</w:t>
      </w:r>
      <w:proofErr w:type="spellEnd"/>
      <w:r w:rsidRPr="001500B9">
        <w:rPr>
          <w:sz w:val="20"/>
          <w:lang w:val="en-US"/>
        </w:rPr>
        <w:t>/y was taken, and for the indirect area associated with waste disposal, a value of 0.012 to 2.9 ha/</w:t>
      </w:r>
      <w:proofErr w:type="spellStart"/>
      <w:r w:rsidRPr="001500B9">
        <w:rPr>
          <w:sz w:val="20"/>
          <w:lang w:val="en-US"/>
        </w:rPr>
        <w:t>TWh</w:t>
      </w:r>
      <w:proofErr w:type="spellEnd"/>
      <w:r w:rsidR="005B70FE">
        <w:rPr>
          <w:sz w:val="20"/>
          <w:lang w:val="en-US"/>
        </w:rPr>
        <w:t>/y</w:t>
      </w:r>
      <w:r w:rsidRPr="001500B9">
        <w:rPr>
          <w:sz w:val="20"/>
          <w:lang w:val="en-US"/>
        </w:rPr>
        <w:t>. This value is not taken into account for those SMR designs that use MOX because this fuel is obtained by reprocessing. In the case of LRs, several authors add the value related to the exclusion zones around the two main nuclear energy accidents at Chernobyl in Ukraine (260,000 ha) [10] and Fukushima in Japan (63,000 ha) [6]. For the case of SMRs, this was not included because it is a different nuclear technology. If included, they would add to the calculation 3.9 ha/</w:t>
      </w:r>
      <w:proofErr w:type="spellStart"/>
      <w:r w:rsidRPr="001500B9">
        <w:rPr>
          <w:sz w:val="20"/>
          <w:lang w:val="en-US"/>
        </w:rPr>
        <w:t>TWh</w:t>
      </w:r>
      <w:proofErr w:type="spellEnd"/>
      <w:r w:rsidRPr="001500B9">
        <w:rPr>
          <w:sz w:val="20"/>
          <w:lang w:val="en-US"/>
        </w:rPr>
        <w:t>/y.</w:t>
      </w:r>
    </w:p>
    <w:p w14:paraId="786A3E5B" w14:textId="77777777" w:rsidR="001500B9" w:rsidRPr="001500B9" w:rsidRDefault="001500B9" w:rsidP="001500B9">
      <w:pPr>
        <w:rPr>
          <w:sz w:val="20"/>
          <w:lang w:val="en-US"/>
        </w:rPr>
      </w:pPr>
    </w:p>
    <w:p w14:paraId="4A3E9B79" w14:textId="77777777" w:rsidR="001500B9" w:rsidRPr="001500B9" w:rsidRDefault="001500B9" w:rsidP="001500B9">
      <w:pPr>
        <w:rPr>
          <w:sz w:val="20"/>
          <w:lang w:val="en-US"/>
        </w:rPr>
      </w:pPr>
      <w:r w:rsidRPr="001500B9">
        <w:rPr>
          <w:b/>
          <w:bCs/>
          <w:sz w:val="20"/>
          <w:lang w:val="en-US"/>
        </w:rPr>
        <w:t>2.2 Calculation of GHG Emission Factor</w:t>
      </w:r>
    </w:p>
    <w:p w14:paraId="5EDF40D4" w14:textId="09463CE7" w:rsidR="001500B9" w:rsidRDefault="001500B9" w:rsidP="005B70FE">
      <w:pPr>
        <w:ind w:firstLine="567"/>
        <w:jc w:val="both"/>
        <w:rPr>
          <w:sz w:val="20"/>
          <w:lang w:val="en-US"/>
        </w:rPr>
      </w:pPr>
      <w:r w:rsidRPr="001500B9">
        <w:rPr>
          <w:sz w:val="20"/>
          <w:lang w:val="en-US"/>
        </w:rPr>
        <w:t xml:space="preserve">To determine the emission factor, values were taken from the LCA calculations obtained from the design of </w:t>
      </w:r>
      <w:proofErr w:type="spellStart"/>
      <w:r w:rsidRPr="001500B9">
        <w:rPr>
          <w:sz w:val="20"/>
          <w:lang w:val="en-US"/>
        </w:rPr>
        <w:t>NuScale</w:t>
      </w:r>
      <w:proofErr w:type="spellEnd"/>
      <w:r w:rsidRPr="001500B9">
        <w:rPr>
          <w:sz w:val="20"/>
          <w:lang w:val="en-US"/>
        </w:rPr>
        <w:t xml:space="preserve"> and Westinghouse AP300, measured in CO</w:t>
      </w:r>
      <w:r w:rsidRPr="001500B9">
        <w:rPr>
          <w:sz w:val="20"/>
          <w:vertAlign w:val="subscript"/>
          <w:lang w:val="en-US"/>
        </w:rPr>
        <w:t>2</w:t>
      </w:r>
      <w:r w:rsidRPr="001500B9">
        <w:rPr>
          <w:sz w:val="20"/>
          <w:lang w:val="en-US"/>
        </w:rPr>
        <w:t>eq/kWh. These emissions are related to the fuel cycle and the activities associated with the operation of the reactor. Additionally, emissions related to fuel production were compared.</w:t>
      </w:r>
    </w:p>
    <w:p w14:paraId="669B1AD8" w14:textId="77777777" w:rsidR="001500B9" w:rsidRPr="001500B9" w:rsidRDefault="001500B9" w:rsidP="001500B9">
      <w:pPr>
        <w:ind w:firstLine="567"/>
        <w:rPr>
          <w:sz w:val="20"/>
          <w:lang w:val="en-US"/>
        </w:rPr>
      </w:pPr>
    </w:p>
    <w:p w14:paraId="23FBCE8A" w14:textId="72C12A3C" w:rsidR="001500B9" w:rsidRDefault="001500B9" w:rsidP="001500B9">
      <w:pPr>
        <w:rPr>
          <w:sz w:val="20"/>
          <w:lang w:val="en-US"/>
        </w:rPr>
      </w:pPr>
    </w:p>
    <w:p w14:paraId="777E2985" w14:textId="77777777" w:rsidR="0066374D" w:rsidRPr="001500B9" w:rsidRDefault="0066374D" w:rsidP="001500B9">
      <w:pPr>
        <w:rPr>
          <w:sz w:val="20"/>
          <w:lang w:val="en-US"/>
        </w:rPr>
      </w:pPr>
    </w:p>
    <w:p w14:paraId="35C6F6FC" w14:textId="0E2F44B9" w:rsidR="001500B9" w:rsidRPr="001500B9" w:rsidRDefault="001500B9" w:rsidP="001500B9">
      <w:pPr>
        <w:rPr>
          <w:b/>
          <w:bCs/>
          <w:sz w:val="20"/>
          <w:lang w:val="en-US"/>
        </w:rPr>
      </w:pPr>
      <w:r w:rsidRPr="001500B9">
        <w:rPr>
          <w:b/>
          <w:bCs/>
          <w:sz w:val="20"/>
          <w:lang w:val="en-US"/>
        </w:rPr>
        <w:t>3. RESULTS</w:t>
      </w:r>
    </w:p>
    <w:p w14:paraId="466C36B6" w14:textId="77777777" w:rsidR="001500B9" w:rsidRPr="001500B9" w:rsidRDefault="001500B9" w:rsidP="001500B9">
      <w:pPr>
        <w:rPr>
          <w:sz w:val="20"/>
          <w:lang w:val="en-US"/>
        </w:rPr>
      </w:pPr>
    </w:p>
    <w:p w14:paraId="2CFDDF97" w14:textId="407BC539" w:rsidR="001500B9" w:rsidRPr="001500B9" w:rsidRDefault="001500B9" w:rsidP="001500B9">
      <w:pPr>
        <w:ind w:firstLine="567"/>
        <w:rPr>
          <w:sz w:val="20"/>
          <w:lang w:val="en-US"/>
        </w:rPr>
      </w:pPr>
      <w:r w:rsidRPr="001500B9">
        <w:rPr>
          <w:sz w:val="20"/>
          <w:lang w:val="en-US"/>
        </w:rPr>
        <w:t>Below are the results found to assess whether there is a favorable relationship between SMRs and the planetary boundaries of climate change and land use.</w:t>
      </w:r>
    </w:p>
    <w:p w14:paraId="674A0521" w14:textId="6761C1C2" w:rsidR="001500B9" w:rsidRDefault="001500B9" w:rsidP="001500B9">
      <w:pPr>
        <w:rPr>
          <w:sz w:val="20"/>
          <w:lang w:val="en-US"/>
        </w:rPr>
      </w:pPr>
    </w:p>
    <w:p w14:paraId="2C5321E5" w14:textId="77777777" w:rsidR="001500B9" w:rsidRPr="001500B9" w:rsidRDefault="001500B9" w:rsidP="001500B9">
      <w:pPr>
        <w:rPr>
          <w:sz w:val="20"/>
          <w:lang w:val="en-US"/>
        </w:rPr>
      </w:pPr>
    </w:p>
    <w:p w14:paraId="2277669E" w14:textId="77777777" w:rsidR="001500B9" w:rsidRPr="001500B9" w:rsidRDefault="001500B9" w:rsidP="001500B9">
      <w:pPr>
        <w:rPr>
          <w:sz w:val="20"/>
          <w:lang w:val="en-US"/>
        </w:rPr>
      </w:pPr>
      <w:r w:rsidRPr="001500B9">
        <w:rPr>
          <w:b/>
          <w:bCs/>
          <w:sz w:val="20"/>
          <w:lang w:val="en-US"/>
        </w:rPr>
        <w:t>3.1 Land Intensity Use</w:t>
      </w:r>
    </w:p>
    <w:p w14:paraId="77D9036D" w14:textId="26FD700F" w:rsidR="00641C5F" w:rsidRPr="001500B9" w:rsidRDefault="001500B9" w:rsidP="005B70FE">
      <w:pPr>
        <w:ind w:firstLine="567"/>
        <w:jc w:val="both"/>
        <w:rPr>
          <w:sz w:val="20"/>
          <w:lang w:val="en-US"/>
        </w:rPr>
      </w:pPr>
      <w:r w:rsidRPr="001500B9">
        <w:rPr>
          <w:sz w:val="20"/>
          <w:lang w:val="en-US"/>
        </w:rPr>
        <w:t>After reviewing the data on the direct occupied area of the designs included in the ARIS database of the IAEA, it was found that the average direct LIU is 6 – 7 ha/</w:t>
      </w:r>
      <w:proofErr w:type="spellStart"/>
      <w:r w:rsidRPr="001500B9">
        <w:rPr>
          <w:sz w:val="20"/>
          <w:lang w:val="en-US"/>
        </w:rPr>
        <w:t>TWh</w:t>
      </w:r>
      <w:proofErr w:type="spellEnd"/>
      <w:r w:rsidRPr="001500B9">
        <w:rPr>
          <w:sz w:val="20"/>
          <w:lang w:val="en-US"/>
        </w:rPr>
        <w:t xml:space="preserve">/y. See Table 1. It can be identified that SMRs of “Molten Salt” and “Fast Neutron Spectrum” have the lowest land requirements for generating 1 </w:t>
      </w:r>
      <w:proofErr w:type="spellStart"/>
      <w:r w:rsidRPr="001500B9">
        <w:rPr>
          <w:sz w:val="20"/>
          <w:lang w:val="en-US"/>
        </w:rPr>
        <w:t>TWh</w:t>
      </w:r>
      <w:proofErr w:type="spellEnd"/>
      <w:r w:rsidRPr="001500B9">
        <w:rPr>
          <w:sz w:val="20"/>
          <w:lang w:val="en-US"/>
        </w:rPr>
        <w:t>/y. Using the lower limit of the waste area and direct LIU, the result obtained is 6.092 ha/</w:t>
      </w:r>
      <w:proofErr w:type="spellStart"/>
      <w:r w:rsidRPr="001500B9">
        <w:rPr>
          <w:sz w:val="20"/>
          <w:lang w:val="en-US"/>
        </w:rPr>
        <w:t>TWh</w:t>
      </w:r>
      <w:proofErr w:type="spellEnd"/>
      <w:r w:rsidRPr="001500B9">
        <w:rPr>
          <w:sz w:val="20"/>
          <w:lang w:val="en-US"/>
        </w:rPr>
        <w:t>/y; using the upper limits of the indirect waste area and the direct area, the value reaches 9.98 ha/</w:t>
      </w:r>
      <w:proofErr w:type="spellStart"/>
      <w:r w:rsidRPr="001500B9">
        <w:rPr>
          <w:sz w:val="20"/>
          <w:lang w:val="en-US"/>
        </w:rPr>
        <w:t>TWh</w:t>
      </w:r>
      <w:proofErr w:type="spellEnd"/>
      <w:r w:rsidRPr="001500B9">
        <w:rPr>
          <w:sz w:val="20"/>
          <w:lang w:val="en-US"/>
        </w:rPr>
        <w:t xml:space="preserve">/y, hence an </w:t>
      </w:r>
      <w:r w:rsidR="0066374D">
        <w:rPr>
          <w:sz w:val="20"/>
          <w:lang w:val="en-US"/>
        </w:rPr>
        <w:t>mean</w:t>
      </w:r>
      <w:r w:rsidRPr="001500B9">
        <w:rPr>
          <w:sz w:val="20"/>
          <w:lang w:val="en-US"/>
        </w:rPr>
        <w:t xml:space="preserve"> for this range of 8.036 ha/</w:t>
      </w:r>
      <w:proofErr w:type="spellStart"/>
      <w:r w:rsidRPr="001500B9">
        <w:rPr>
          <w:sz w:val="20"/>
          <w:lang w:val="en-US"/>
        </w:rPr>
        <w:t>TWh</w:t>
      </w:r>
      <w:proofErr w:type="spellEnd"/>
      <w:r w:rsidRPr="001500B9">
        <w:rPr>
          <w:sz w:val="20"/>
          <w:lang w:val="en-US"/>
        </w:rPr>
        <w:t>/y.</w:t>
      </w:r>
      <w:r w:rsidR="005B70FE" w:rsidRPr="005B70FE">
        <w:rPr>
          <w:sz w:val="20"/>
          <w:lang w:val="en-US"/>
        </w:rPr>
        <w:t xml:space="preserve"> </w:t>
      </w:r>
      <w:r w:rsidR="005B70FE" w:rsidRPr="005B70FE">
        <w:rPr>
          <w:sz w:val="20"/>
          <w:lang w:val="en-US"/>
        </w:rPr>
        <w:t>By reviewing the total LUIE values ​​of other energy sources</w:t>
      </w:r>
      <w:r w:rsidR="0066374D">
        <w:rPr>
          <w:sz w:val="20"/>
          <w:lang w:val="en-US"/>
        </w:rPr>
        <w:t xml:space="preserve"> [6]</w:t>
      </w:r>
      <w:r w:rsidR="005B70FE" w:rsidRPr="005B70FE">
        <w:rPr>
          <w:sz w:val="20"/>
          <w:lang w:val="en-US"/>
        </w:rPr>
        <w:t xml:space="preserve">, it can be verified that SMRs make highly efficient use of the land. See Table </w:t>
      </w:r>
      <w:r w:rsidR="005B70FE">
        <w:rPr>
          <w:sz w:val="20"/>
          <w:lang w:val="en-US"/>
        </w:rPr>
        <w:t>2.</w:t>
      </w:r>
    </w:p>
    <w:p w14:paraId="75934E41" w14:textId="0C480FAF" w:rsidR="00641C5F" w:rsidRPr="005B70FE" w:rsidRDefault="00641C5F" w:rsidP="005B70FE">
      <w:pPr>
        <w:jc w:val="both"/>
        <w:rPr>
          <w:sz w:val="20"/>
          <w:lang w:val="en-US"/>
        </w:rPr>
      </w:pPr>
    </w:p>
    <w:p w14:paraId="438E569C" w14:textId="63C0C611" w:rsidR="001500B9" w:rsidRDefault="001500B9" w:rsidP="00E34991">
      <w:pPr>
        <w:rPr>
          <w:sz w:val="20"/>
          <w:lang w:val="en-US"/>
        </w:rPr>
      </w:pPr>
    </w:p>
    <w:p w14:paraId="757B531D" w14:textId="173070AE" w:rsidR="0066374D" w:rsidRDefault="0066374D" w:rsidP="00E34991">
      <w:pPr>
        <w:rPr>
          <w:sz w:val="20"/>
          <w:lang w:val="en-US"/>
        </w:rPr>
      </w:pPr>
    </w:p>
    <w:p w14:paraId="385F817A" w14:textId="42F6FCFD" w:rsidR="0066374D" w:rsidRDefault="0066374D" w:rsidP="00E34991">
      <w:pPr>
        <w:rPr>
          <w:sz w:val="20"/>
          <w:lang w:val="en-US"/>
        </w:rPr>
      </w:pPr>
    </w:p>
    <w:p w14:paraId="18543D52" w14:textId="77777777" w:rsidR="0066374D" w:rsidRPr="005B70FE" w:rsidRDefault="0066374D" w:rsidP="00E34991">
      <w:pPr>
        <w:rPr>
          <w:sz w:val="20"/>
          <w:lang w:val="en-US"/>
        </w:rPr>
      </w:pPr>
    </w:p>
    <w:p w14:paraId="11CFD7E3" w14:textId="4084D2A6" w:rsidR="00641C5F" w:rsidRPr="005B70FE" w:rsidRDefault="00641C5F" w:rsidP="00E34991">
      <w:pPr>
        <w:rPr>
          <w:sz w:val="20"/>
          <w:lang w:val="en-US"/>
        </w:rPr>
      </w:pPr>
    </w:p>
    <w:p w14:paraId="4291FDC6" w14:textId="19D360B1" w:rsidR="00641C5F" w:rsidRPr="001500B9" w:rsidRDefault="00664157" w:rsidP="00E34991">
      <w:pPr>
        <w:rPr>
          <w:sz w:val="20"/>
          <w:lang w:val="en-US"/>
        </w:rPr>
      </w:pPr>
      <w:r w:rsidRPr="001500B9">
        <w:rPr>
          <w:sz w:val="20"/>
          <w:lang w:val="en-US"/>
        </w:rPr>
        <w:lastRenderedPageBreak/>
        <w:t xml:space="preserve">TABLE 1 </w:t>
      </w:r>
      <w:r w:rsidR="00641C5F" w:rsidRPr="001500B9">
        <w:rPr>
          <w:sz w:val="20"/>
          <w:lang w:val="en-US"/>
        </w:rPr>
        <w:t xml:space="preserve"> </w:t>
      </w:r>
      <w:r w:rsidR="005B70FE">
        <w:rPr>
          <w:sz w:val="20"/>
          <w:lang w:val="en-US"/>
        </w:rPr>
        <w:t>DIRECT LUIE ACCORDING SMR TYPE</w:t>
      </w:r>
    </w:p>
    <w:p w14:paraId="405563B3" w14:textId="77777777" w:rsidR="00641C5F" w:rsidRPr="001500B9" w:rsidRDefault="00641C5F" w:rsidP="00E34991">
      <w:pPr>
        <w:rPr>
          <w:sz w:val="20"/>
          <w:lang w:val="en-US"/>
        </w:rPr>
      </w:pPr>
    </w:p>
    <w:tbl>
      <w:tblPr>
        <w:tblW w:w="8535" w:type="dxa"/>
        <w:tblBorders>
          <w:top w:val="single" w:sz="4" w:space="0" w:color="auto"/>
          <w:insideH w:val="single" w:sz="4" w:space="0" w:color="auto"/>
        </w:tblBorders>
        <w:tblCellMar>
          <w:left w:w="0" w:type="dxa"/>
          <w:right w:w="0" w:type="dxa"/>
        </w:tblCellMar>
        <w:tblLook w:val="04A0" w:firstRow="1" w:lastRow="0" w:firstColumn="1" w:lastColumn="0" w:noHBand="0" w:noVBand="1"/>
      </w:tblPr>
      <w:tblGrid>
        <w:gridCol w:w="5655"/>
        <w:gridCol w:w="1433"/>
        <w:gridCol w:w="1447"/>
      </w:tblGrid>
      <w:tr w:rsidR="00641C5F" w:rsidRPr="00641C5F" w14:paraId="1C53AED8" w14:textId="77777777" w:rsidTr="005B70FE">
        <w:trPr>
          <w:trHeight w:val="300"/>
        </w:trPr>
        <w:tc>
          <w:tcPr>
            <w:tcW w:w="5655" w:type="dxa"/>
            <w:shd w:val="clear" w:color="auto" w:fill="auto"/>
            <w:hideMark/>
          </w:tcPr>
          <w:p w14:paraId="2817C9D1" w14:textId="0B58BA25" w:rsidR="00641C5F" w:rsidRPr="00641C5F" w:rsidRDefault="00641C5F" w:rsidP="00641C5F">
            <w:pPr>
              <w:overflowPunct/>
              <w:autoSpaceDE/>
              <w:autoSpaceDN/>
              <w:adjustRightInd/>
              <w:jc w:val="center"/>
              <w:rPr>
                <w:sz w:val="20"/>
                <w:lang w:val="es-CO" w:eastAsia="es-ES_tradnl"/>
              </w:rPr>
            </w:pPr>
            <w:r w:rsidRPr="00641C5F">
              <w:rPr>
                <w:color w:val="111111"/>
                <w:sz w:val="20"/>
                <w:lang w:val="es-PE" w:eastAsia="es-ES_tradnl"/>
              </w:rPr>
              <w:t>SMR</w:t>
            </w:r>
            <w:r w:rsidR="001500B9" w:rsidRPr="001500B9">
              <w:rPr>
                <w:color w:val="111111"/>
                <w:sz w:val="20"/>
                <w:lang w:val="es-PE" w:eastAsia="es-ES_tradnl"/>
              </w:rPr>
              <w:t xml:space="preserve"> Type</w:t>
            </w:r>
            <w:r w:rsidRPr="00641C5F">
              <w:rPr>
                <w:color w:val="111111"/>
                <w:sz w:val="20"/>
                <w:lang w:val="es-CO" w:eastAsia="es-ES_tradnl"/>
              </w:rPr>
              <w:t> </w:t>
            </w:r>
          </w:p>
        </w:tc>
        <w:tc>
          <w:tcPr>
            <w:tcW w:w="1433" w:type="dxa"/>
            <w:shd w:val="clear" w:color="auto" w:fill="auto"/>
            <w:hideMark/>
          </w:tcPr>
          <w:p w14:paraId="33A62F58" w14:textId="611D243F" w:rsidR="00FD5B83" w:rsidRPr="00641C5F" w:rsidRDefault="00FD5B83" w:rsidP="00641C5F">
            <w:pPr>
              <w:overflowPunct/>
              <w:autoSpaceDE/>
              <w:autoSpaceDN/>
              <w:adjustRightInd/>
              <w:rPr>
                <w:i/>
                <w:color w:val="111111"/>
                <w:sz w:val="20"/>
                <w:vertAlign w:val="subscript"/>
                <w:lang w:val="es-PE" w:eastAsia="es-ES_tradnl"/>
              </w:rPr>
            </w:pPr>
            <w:r w:rsidRPr="001500B9">
              <w:rPr>
                <w:color w:val="111111"/>
                <w:sz w:val="20"/>
                <w:lang w:val="es-PE" w:eastAsia="es-ES_tradnl"/>
              </w:rPr>
              <w:t>ha</w:t>
            </w:r>
            <w:r w:rsidR="00DC57A0" w:rsidRPr="001500B9">
              <w:rPr>
                <w:color w:val="111111"/>
                <w:sz w:val="20"/>
                <w:lang w:val="es-PE" w:eastAsia="es-ES_tradnl"/>
              </w:rPr>
              <w:t>/</w:t>
            </w:r>
            <w:r w:rsidRPr="001500B9">
              <w:rPr>
                <w:color w:val="111111"/>
                <w:sz w:val="20"/>
                <w:lang w:val="es-PE" w:eastAsia="es-ES_tradnl"/>
              </w:rPr>
              <w:t>T</w:t>
            </w:r>
            <w:r w:rsidR="00641C5F" w:rsidRPr="00641C5F">
              <w:rPr>
                <w:color w:val="111111"/>
                <w:sz w:val="20"/>
                <w:lang w:val="es-PE" w:eastAsia="es-ES_tradnl"/>
              </w:rPr>
              <w:t>W</w:t>
            </w:r>
            <w:r w:rsidRPr="001500B9">
              <w:rPr>
                <w:color w:val="111111"/>
                <w:sz w:val="20"/>
                <w:lang w:val="es-PE" w:eastAsia="es-ES_tradnl"/>
              </w:rPr>
              <w:t>h</w:t>
            </w:r>
            <w:r w:rsidR="005B70FE">
              <w:rPr>
                <w:color w:val="111111"/>
                <w:sz w:val="20"/>
                <w:lang w:val="es-PE" w:eastAsia="es-ES_tradnl"/>
              </w:rPr>
              <w:t>/y</w:t>
            </w:r>
            <w:r w:rsidRPr="001500B9">
              <w:rPr>
                <w:color w:val="111111"/>
                <w:sz w:val="20"/>
                <w:vertAlign w:val="superscript"/>
                <w:lang w:val="es-PE" w:eastAsia="es-ES_tradnl"/>
              </w:rPr>
              <w:t xml:space="preserve">  </w:t>
            </w:r>
            <w:r w:rsidRPr="005B70FE">
              <w:rPr>
                <w:color w:val="111111"/>
                <w:sz w:val="20"/>
                <w:vertAlign w:val="subscript"/>
                <w:lang w:val="es-PE" w:eastAsia="es-ES_tradnl"/>
              </w:rPr>
              <w:t>CF 95%</w:t>
            </w:r>
          </w:p>
        </w:tc>
        <w:tc>
          <w:tcPr>
            <w:tcW w:w="1447" w:type="dxa"/>
            <w:shd w:val="clear" w:color="auto" w:fill="auto"/>
            <w:hideMark/>
          </w:tcPr>
          <w:p w14:paraId="09730356" w14:textId="71623CB2" w:rsidR="00641C5F" w:rsidRPr="00641C5F" w:rsidRDefault="00FD5B83" w:rsidP="00641C5F">
            <w:pPr>
              <w:overflowPunct/>
              <w:autoSpaceDE/>
              <w:autoSpaceDN/>
              <w:adjustRightInd/>
              <w:rPr>
                <w:sz w:val="20"/>
                <w:lang w:val="es-CO" w:eastAsia="es-ES_tradnl"/>
              </w:rPr>
            </w:pPr>
            <w:r w:rsidRPr="001500B9">
              <w:rPr>
                <w:color w:val="111111"/>
                <w:sz w:val="20"/>
                <w:lang w:val="es-PE" w:eastAsia="es-ES_tradnl"/>
              </w:rPr>
              <w:t>ha</w:t>
            </w:r>
            <w:r w:rsidR="00DC57A0" w:rsidRPr="001500B9">
              <w:rPr>
                <w:color w:val="111111"/>
                <w:sz w:val="20"/>
                <w:lang w:val="es-PE" w:eastAsia="es-ES_tradnl"/>
              </w:rPr>
              <w:t>/</w:t>
            </w:r>
            <w:r w:rsidRPr="001500B9">
              <w:rPr>
                <w:color w:val="111111"/>
                <w:sz w:val="20"/>
                <w:lang w:val="es-PE" w:eastAsia="es-ES_tradnl"/>
              </w:rPr>
              <w:t>T</w:t>
            </w:r>
            <w:r w:rsidR="00641C5F" w:rsidRPr="00641C5F">
              <w:rPr>
                <w:color w:val="111111"/>
                <w:sz w:val="20"/>
                <w:lang w:val="es-PE" w:eastAsia="es-ES_tradnl"/>
              </w:rPr>
              <w:t>W</w:t>
            </w:r>
            <w:r w:rsidRPr="001500B9">
              <w:rPr>
                <w:color w:val="111111"/>
                <w:sz w:val="20"/>
                <w:lang w:val="es-PE" w:eastAsia="es-ES_tradnl"/>
              </w:rPr>
              <w:t>h</w:t>
            </w:r>
            <w:r w:rsidR="005B70FE">
              <w:rPr>
                <w:color w:val="111111"/>
                <w:sz w:val="20"/>
                <w:lang w:val="es-PE" w:eastAsia="es-ES_tradnl"/>
              </w:rPr>
              <w:t xml:space="preserve">/y </w:t>
            </w:r>
            <w:r w:rsidR="005B70FE" w:rsidRPr="005B70FE">
              <w:rPr>
                <w:color w:val="111111"/>
                <w:sz w:val="13"/>
                <w:lang w:val="es-PE" w:eastAsia="es-ES_tradnl"/>
              </w:rPr>
              <w:t>CF80.2%</w:t>
            </w:r>
          </w:p>
        </w:tc>
      </w:tr>
      <w:tr w:rsidR="00641C5F" w:rsidRPr="00641C5F" w14:paraId="21F6C874" w14:textId="77777777" w:rsidTr="005B70FE">
        <w:trPr>
          <w:trHeight w:val="300"/>
        </w:trPr>
        <w:tc>
          <w:tcPr>
            <w:tcW w:w="5655" w:type="dxa"/>
            <w:shd w:val="clear" w:color="auto" w:fill="auto"/>
            <w:hideMark/>
          </w:tcPr>
          <w:p w14:paraId="51675B93" w14:textId="1DF8EE42" w:rsidR="00641C5F" w:rsidRPr="00641C5F" w:rsidRDefault="00641C5F" w:rsidP="00641C5F">
            <w:pPr>
              <w:overflowPunct/>
              <w:autoSpaceDE/>
              <w:autoSpaceDN/>
              <w:adjustRightInd/>
              <w:rPr>
                <w:sz w:val="20"/>
                <w:lang w:val="en-US" w:eastAsia="es-ES_tradnl"/>
              </w:rPr>
            </w:pPr>
            <w:r w:rsidRPr="00641C5F">
              <w:rPr>
                <w:color w:val="111111"/>
                <w:sz w:val="20"/>
                <w:lang w:val="en-US" w:eastAsia="es-ES_tradnl"/>
              </w:rPr>
              <w:t xml:space="preserve"> </w:t>
            </w:r>
            <w:r w:rsidR="001500B9" w:rsidRPr="001500B9">
              <w:rPr>
                <w:color w:val="111111"/>
                <w:sz w:val="20"/>
                <w:lang w:val="en-US" w:eastAsia="es-ES_tradnl"/>
              </w:rPr>
              <w:t>Land based Water Cooled Reactor SMR</w:t>
            </w:r>
          </w:p>
        </w:tc>
        <w:tc>
          <w:tcPr>
            <w:tcW w:w="1433" w:type="dxa"/>
            <w:shd w:val="clear" w:color="auto" w:fill="auto"/>
            <w:hideMark/>
          </w:tcPr>
          <w:p w14:paraId="0530FEB5" w14:textId="47731510" w:rsidR="00641C5F" w:rsidRPr="00641C5F" w:rsidRDefault="00FD5B83" w:rsidP="00B260C8">
            <w:pPr>
              <w:overflowPunct/>
              <w:autoSpaceDE/>
              <w:autoSpaceDN/>
              <w:adjustRightInd/>
              <w:jc w:val="center"/>
              <w:rPr>
                <w:sz w:val="20"/>
                <w:lang w:val="es-CO" w:eastAsia="es-ES_tradnl"/>
              </w:rPr>
            </w:pPr>
            <w:r w:rsidRPr="001500B9">
              <w:rPr>
                <w:sz w:val="20"/>
                <w:lang w:val="es-CO" w:eastAsia="es-ES_tradnl"/>
              </w:rPr>
              <w:t>5</w:t>
            </w:r>
          </w:p>
        </w:tc>
        <w:tc>
          <w:tcPr>
            <w:tcW w:w="1447" w:type="dxa"/>
            <w:shd w:val="clear" w:color="auto" w:fill="auto"/>
            <w:hideMark/>
          </w:tcPr>
          <w:p w14:paraId="43A8133C" w14:textId="36A848B5"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5</w:t>
            </w:r>
          </w:p>
        </w:tc>
      </w:tr>
      <w:tr w:rsidR="00641C5F" w:rsidRPr="00641C5F" w14:paraId="73A7BC1C" w14:textId="77777777" w:rsidTr="005B70FE">
        <w:trPr>
          <w:trHeight w:val="300"/>
        </w:trPr>
        <w:tc>
          <w:tcPr>
            <w:tcW w:w="5655" w:type="dxa"/>
            <w:shd w:val="clear" w:color="auto" w:fill="auto"/>
            <w:hideMark/>
          </w:tcPr>
          <w:p w14:paraId="1374D3F3" w14:textId="11C273C6" w:rsidR="00641C5F" w:rsidRPr="00641C5F" w:rsidRDefault="00641C5F" w:rsidP="00641C5F">
            <w:pPr>
              <w:overflowPunct/>
              <w:autoSpaceDE/>
              <w:autoSpaceDN/>
              <w:adjustRightInd/>
              <w:rPr>
                <w:sz w:val="20"/>
                <w:lang w:val="en-US" w:eastAsia="es-ES_tradnl"/>
              </w:rPr>
            </w:pPr>
            <w:r w:rsidRPr="00641C5F">
              <w:rPr>
                <w:color w:val="111111"/>
                <w:sz w:val="20"/>
                <w:lang w:val="en-US" w:eastAsia="es-ES_tradnl"/>
              </w:rPr>
              <w:t xml:space="preserve"> </w:t>
            </w:r>
            <w:r w:rsidR="001500B9" w:rsidRPr="001500B9">
              <w:rPr>
                <w:color w:val="111111"/>
                <w:sz w:val="20"/>
                <w:lang w:val="en-US" w:eastAsia="es-ES_tradnl"/>
              </w:rPr>
              <w:t>Marine based Water Cooled Reactor</w:t>
            </w:r>
            <w:r w:rsidRPr="00641C5F">
              <w:rPr>
                <w:color w:val="111111"/>
                <w:sz w:val="20"/>
                <w:lang w:val="en-US" w:eastAsia="es-ES_tradnl"/>
              </w:rPr>
              <w:t> </w:t>
            </w:r>
            <w:r w:rsidR="001500B9" w:rsidRPr="001500B9">
              <w:rPr>
                <w:color w:val="111111"/>
                <w:sz w:val="20"/>
                <w:lang w:val="en-US" w:eastAsia="es-ES_tradnl"/>
              </w:rPr>
              <w:t xml:space="preserve"> SMR</w:t>
            </w:r>
          </w:p>
        </w:tc>
        <w:tc>
          <w:tcPr>
            <w:tcW w:w="1433" w:type="dxa"/>
            <w:shd w:val="clear" w:color="auto" w:fill="auto"/>
            <w:hideMark/>
          </w:tcPr>
          <w:p w14:paraId="03F3C189" w14:textId="70FA29FB"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8</w:t>
            </w:r>
          </w:p>
        </w:tc>
        <w:tc>
          <w:tcPr>
            <w:tcW w:w="1447" w:type="dxa"/>
            <w:shd w:val="clear" w:color="auto" w:fill="auto"/>
            <w:hideMark/>
          </w:tcPr>
          <w:p w14:paraId="39545759" w14:textId="48298768"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10</w:t>
            </w:r>
          </w:p>
        </w:tc>
      </w:tr>
      <w:tr w:rsidR="00641C5F" w:rsidRPr="00641C5F" w14:paraId="648D3257" w14:textId="77777777" w:rsidTr="005B70FE">
        <w:trPr>
          <w:trHeight w:val="315"/>
        </w:trPr>
        <w:tc>
          <w:tcPr>
            <w:tcW w:w="5655" w:type="dxa"/>
            <w:shd w:val="clear" w:color="auto" w:fill="auto"/>
            <w:hideMark/>
          </w:tcPr>
          <w:p w14:paraId="04E862A8" w14:textId="63009131" w:rsidR="00641C5F" w:rsidRPr="00641C5F" w:rsidRDefault="001500B9" w:rsidP="00641C5F">
            <w:pPr>
              <w:overflowPunct/>
              <w:autoSpaceDE/>
              <w:autoSpaceDN/>
              <w:adjustRightInd/>
              <w:rPr>
                <w:sz w:val="20"/>
                <w:lang w:val="es-CO" w:eastAsia="es-ES_tradnl"/>
              </w:rPr>
            </w:pPr>
            <w:r w:rsidRPr="001500B9">
              <w:rPr>
                <w:color w:val="111111"/>
                <w:sz w:val="20"/>
                <w:lang w:val="es-PE" w:eastAsia="es-ES_tradnl"/>
              </w:rPr>
              <w:t>Fast Neutron Spectrum SMR</w:t>
            </w:r>
          </w:p>
        </w:tc>
        <w:tc>
          <w:tcPr>
            <w:tcW w:w="1433" w:type="dxa"/>
            <w:shd w:val="clear" w:color="auto" w:fill="auto"/>
            <w:hideMark/>
          </w:tcPr>
          <w:p w14:paraId="621D6A78" w14:textId="7C3C791E"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4</w:t>
            </w:r>
          </w:p>
        </w:tc>
        <w:tc>
          <w:tcPr>
            <w:tcW w:w="1447" w:type="dxa"/>
            <w:shd w:val="clear" w:color="auto" w:fill="auto"/>
            <w:hideMark/>
          </w:tcPr>
          <w:p w14:paraId="1D8A7A94" w14:textId="36FF7A05"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4</w:t>
            </w:r>
          </w:p>
        </w:tc>
      </w:tr>
      <w:tr w:rsidR="00641C5F" w:rsidRPr="00641C5F" w14:paraId="0E6EFDE4" w14:textId="77777777" w:rsidTr="005B70FE">
        <w:trPr>
          <w:trHeight w:val="300"/>
        </w:trPr>
        <w:tc>
          <w:tcPr>
            <w:tcW w:w="5655" w:type="dxa"/>
            <w:shd w:val="clear" w:color="auto" w:fill="auto"/>
            <w:hideMark/>
          </w:tcPr>
          <w:p w14:paraId="17D124C0" w14:textId="7F522572" w:rsidR="00641C5F" w:rsidRPr="00641C5F" w:rsidRDefault="001500B9" w:rsidP="00641C5F">
            <w:pPr>
              <w:overflowPunct/>
              <w:autoSpaceDE/>
              <w:autoSpaceDN/>
              <w:adjustRightInd/>
              <w:rPr>
                <w:sz w:val="20"/>
                <w:lang w:val="en-US" w:eastAsia="es-ES_tradnl"/>
              </w:rPr>
            </w:pPr>
            <w:r w:rsidRPr="001500B9">
              <w:rPr>
                <w:color w:val="111111"/>
                <w:sz w:val="20"/>
                <w:lang w:val="en-US" w:eastAsia="es-ES_tradnl"/>
              </w:rPr>
              <w:t>Hight Temperature</w:t>
            </w:r>
            <w:r w:rsidR="00641C5F" w:rsidRPr="00641C5F">
              <w:rPr>
                <w:color w:val="111111"/>
                <w:sz w:val="20"/>
                <w:lang w:val="en-US" w:eastAsia="es-ES_tradnl"/>
              </w:rPr>
              <w:t> </w:t>
            </w:r>
            <w:r w:rsidRPr="001500B9">
              <w:rPr>
                <w:color w:val="111111"/>
                <w:sz w:val="20"/>
                <w:lang w:val="en-US" w:eastAsia="es-ES_tradnl"/>
              </w:rPr>
              <w:t>Gas Cooled SMR</w:t>
            </w:r>
          </w:p>
        </w:tc>
        <w:tc>
          <w:tcPr>
            <w:tcW w:w="1433" w:type="dxa"/>
            <w:shd w:val="clear" w:color="auto" w:fill="auto"/>
            <w:hideMark/>
          </w:tcPr>
          <w:p w14:paraId="4D7B97DD" w14:textId="01F8F10E"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10</w:t>
            </w:r>
          </w:p>
        </w:tc>
        <w:tc>
          <w:tcPr>
            <w:tcW w:w="1447" w:type="dxa"/>
            <w:shd w:val="clear" w:color="auto" w:fill="auto"/>
            <w:hideMark/>
          </w:tcPr>
          <w:p w14:paraId="197DE961" w14:textId="46445464"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10</w:t>
            </w:r>
          </w:p>
        </w:tc>
      </w:tr>
      <w:tr w:rsidR="00641C5F" w:rsidRPr="00641C5F" w14:paraId="7C4788D7" w14:textId="77777777" w:rsidTr="005B70FE">
        <w:trPr>
          <w:trHeight w:val="300"/>
        </w:trPr>
        <w:tc>
          <w:tcPr>
            <w:tcW w:w="5655" w:type="dxa"/>
            <w:shd w:val="clear" w:color="auto" w:fill="auto"/>
            <w:hideMark/>
          </w:tcPr>
          <w:p w14:paraId="530ECA86" w14:textId="557628E4" w:rsidR="00641C5F" w:rsidRPr="00641C5F" w:rsidRDefault="001500B9" w:rsidP="00641C5F">
            <w:pPr>
              <w:overflowPunct/>
              <w:autoSpaceDE/>
              <w:autoSpaceDN/>
              <w:adjustRightInd/>
              <w:rPr>
                <w:sz w:val="20"/>
                <w:lang w:val="es-CO" w:eastAsia="es-ES_tradnl"/>
              </w:rPr>
            </w:pPr>
            <w:r w:rsidRPr="001500B9">
              <w:rPr>
                <w:color w:val="111111"/>
                <w:sz w:val="20"/>
                <w:lang w:val="es-PE" w:eastAsia="es-ES_tradnl"/>
              </w:rPr>
              <w:t>Molten Salt</w:t>
            </w:r>
            <w:r w:rsidR="00641C5F" w:rsidRPr="00641C5F">
              <w:rPr>
                <w:color w:val="111111"/>
                <w:sz w:val="20"/>
                <w:lang w:val="es-CO" w:eastAsia="es-ES_tradnl"/>
              </w:rPr>
              <w:t> </w:t>
            </w:r>
            <w:r w:rsidRPr="001500B9">
              <w:rPr>
                <w:color w:val="111111"/>
                <w:sz w:val="20"/>
                <w:lang w:val="es-CO" w:eastAsia="es-ES_tradnl"/>
              </w:rPr>
              <w:t>SMR</w:t>
            </w:r>
          </w:p>
        </w:tc>
        <w:tc>
          <w:tcPr>
            <w:tcW w:w="1433" w:type="dxa"/>
            <w:shd w:val="clear" w:color="auto" w:fill="auto"/>
            <w:hideMark/>
          </w:tcPr>
          <w:p w14:paraId="797C6772" w14:textId="41FCF824" w:rsidR="00641C5F" w:rsidRPr="00641C5F" w:rsidRDefault="00FD5B83" w:rsidP="00B260C8">
            <w:pPr>
              <w:overflowPunct/>
              <w:autoSpaceDE/>
              <w:autoSpaceDN/>
              <w:adjustRightInd/>
              <w:jc w:val="center"/>
              <w:rPr>
                <w:sz w:val="20"/>
                <w:lang w:val="es-CO" w:eastAsia="es-ES_tradnl"/>
              </w:rPr>
            </w:pPr>
            <w:r w:rsidRPr="001500B9">
              <w:rPr>
                <w:sz w:val="20"/>
                <w:lang w:val="es-CO" w:eastAsia="es-ES_tradnl"/>
              </w:rPr>
              <w:t>2</w:t>
            </w:r>
          </w:p>
        </w:tc>
        <w:tc>
          <w:tcPr>
            <w:tcW w:w="1447" w:type="dxa"/>
            <w:shd w:val="clear" w:color="auto" w:fill="auto"/>
            <w:hideMark/>
          </w:tcPr>
          <w:p w14:paraId="3499686A" w14:textId="466663E9"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3</w:t>
            </w:r>
          </w:p>
        </w:tc>
      </w:tr>
      <w:tr w:rsidR="00641C5F" w:rsidRPr="00641C5F" w14:paraId="56D67847" w14:textId="77777777" w:rsidTr="005B70FE">
        <w:trPr>
          <w:trHeight w:val="300"/>
        </w:trPr>
        <w:tc>
          <w:tcPr>
            <w:tcW w:w="5655" w:type="dxa"/>
            <w:tcBorders>
              <w:bottom w:val="single" w:sz="4" w:space="0" w:color="auto"/>
            </w:tcBorders>
            <w:shd w:val="clear" w:color="auto" w:fill="auto"/>
            <w:hideMark/>
          </w:tcPr>
          <w:p w14:paraId="5F59943E" w14:textId="77777777" w:rsidR="00641C5F" w:rsidRPr="00641C5F" w:rsidRDefault="00641C5F" w:rsidP="00641C5F">
            <w:pPr>
              <w:overflowPunct/>
              <w:autoSpaceDE/>
              <w:autoSpaceDN/>
              <w:adjustRightInd/>
              <w:rPr>
                <w:sz w:val="20"/>
                <w:lang w:val="es-CO" w:eastAsia="es-ES_tradnl"/>
              </w:rPr>
            </w:pPr>
            <w:r w:rsidRPr="00641C5F">
              <w:rPr>
                <w:color w:val="111111"/>
                <w:sz w:val="20"/>
                <w:lang w:val="es-PE" w:eastAsia="es-ES_tradnl"/>
              </w:rPr>
              <w:t>Microreactores</w:t>
            </w:r>
            <w:r w:rsidRPr="00641C5F">
              <w:rPr>
                <w:color w:val="111111"/>
                <w:sz w:val="20"/>
                <w:lang w:val="es-CO" w:eastAsia="es-ES_tradnl"/>
              </w:rPr>
              <w:t> </w:t>
            </w:r>
          </w:p>
        </w:tc>
        <w:tc>
          <w:tcPr>
            <w:tcW w:w="1433" w:type="dxa"/>
            <w:tcBorders>
              <w:bottom w:val="single" w:sz="4" w:space="0" w:color="auto"/>
            </w:tcBorders>
            <w:shd w:val="clear" w:color="auto" w:fill="auto"/>
            <w:hideMark/>
          </w:tcPr>
          <w:p w14:paraId="0A98FD59" w14:textId="6113BB7B"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7</w:t>
            </w:r>
          </w:p>
        </w:tc>
        <w:tc>
          <w:tcPr>
            <w:tcW w:w="1447" w:type="dxa"/>
            <w:tcBorders>
              <w:bottom w:val="single" w:sz="4" w:space="0" w:color="auto"/>
            </w:tcBorders>
            <w:shd w:val="clear" w:color="auto" w:fill="auto"/>
            <w:hideMark/>
          </w:tcPr>
          <w:p w14:paraId="2A3BE53F" w14:textId="4D0C55B8"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9</w:t>
            </w:r>
          </w:p>
        </w:tc>
      </w:tr>
      <w:tr w:rsidR="00641C5F" w:rsidRPr="00641C5F" w14:paraId="64935485" w14:textId="77777777" w:rsidTr="005B70FE">
        <w:trPr>
          <w:trHeight w:val="300"/>
        </w:trPr>
        <w:tc>
          <w:tcPr>
            <w:tcW w:w="5655" w:type="dxa"/>
            <w:tcBorders>
              <w:bottom w:val="single" w:sz="4" w:space="0" w:color="auto"/>
            </w:tcBorders>
            <w:shd w:val="clear" w:color="auto" w:fill="auto"/>
            <w:hideMark/>
          </w:tcPr>
          <w:p w14:paraId="7CD12630" w14:textId="380DE0DD" w:rsidR="00641C5F" w:rsidRPr="00641C5F" w:rsidRDefault="001500B9" w:rsidP="00641C5F">
            <w:pPr>
              <w:overflowPunct/>
              <w:autoSpaceDE/>
              <w:autoSpaceDN/>
              <w:adjustRightInd/>
              <w:jc w:val="center"/>
              <w:rPr>
                <w:sz w:val="20"/>
                <w:lang w:val="es-CO" w:eastAsia="es-ES_tradnl"/>
              </w:rPr>
            </w:pPr>
            <w:r w:rsidRPr="001500B9">
              <w:rPr>
                <w:color w:val="111111"/>
                <w:sz w:val="20"/>
                <w:lang w:val="es-CO" w:eastAsia="es-ES_tradnl"/>
              </w:rPr>
              <w:t>Mean Direct</w:t>
            </w:r>
            <w:r w:rsidR="003D59A9">
              <w:rPr>
                <w:color w:val="111111"/>
                <w:sz w:val="20"/>
                <w:lang w:val="es-CO" w:eastAsia="es-ES_tradnl"/>
              </w:rPr>
              <w:t xml:space="preserve"> LUIE</w:t>
            </w:r>
          </w:p>
        </w:tc>
        <w:tc>
          <w:tcPr>
            <w:tcW w:w="1433" w:type="dxa"/>
            <w:tcBorders>
              <w:bottom w:val="single" w:sz="4" w:space="0" w:color="auto"/>
            </w:tcBorders>
            <w:shd w:val="clear" w:color="auto" w:fill="auto"/>
            <w:hideMark/>
          </w:tcPr>
          <w:p w14:paraId="7EB2FCF0" w14:textId="6D414D3B"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6</w:t>
            </w:r>
          </w:p>
        </w:tc>
        <w:tc>
          <w:tcPr>
            <w:tcW w:w="1447" w:type="dxa"/>
            <w:tcBorders>
              <w:bottom w:val="single" w:sz="4" w:space="0" w:color="auto"/>
            </w:tcBorders>
            <w:shd w:val="clear" w:color="auto" w:fill="auto"/>
            <w:hideMark/>
          </w:tcPr>
          <w:p w14:paraId="339E8CFB" w14:textId="7D3CC505" w:rsidR="00641C5F" w:rsidRPr="00641C5F" w:rsidRDefault="00FD5B83" w:rsidP="00B260C8">
            <w:pPr>
              <w:overflowPunct/>
              <w:autoSpaceDE/>
              <w:autoSpaceDN/>
              <w:adjustRightInd/>
              <w:jc w:val="center"/>
              <w:rPr>
                <w:sz w:val="20"/>
                <w:lang w:val="es-CO" w:eastAsia="es-ES_tradnl"/>
              </w:rPr>
            </w:pPr>
            <w:r w:rsidRPr="001500B9">
              <w:rPr>
                <w:color w:val="111111"/>
                <w:sz w:val="20"/>
                <w:lang w:val="es-CO" w:eastAsia="es-ES_tradnl"/>
              </w:rPr>
              <w:t>7</w:t>
            </w:r>
          </w:p>
        </w:tc>
      </w:tr>
    </w:tbl>
    <w:p w14:paraId="1C8B70F5" w14:textId="66775587" w:rsidR="00641C5F" w:rsidRDefault="00641C5F" w:rsidP="00E34991">
      <w:pPr>
        <w:rPr>
          <w:sz w:val="20"/>
          <w:lang w:val="en-US"/>
        </w:rPr>
      </w:pPr>
    </w:p>
    <w:p w14:paraId="0B190E2A" w14:textId="77777777" w:rsidR="005B70FE" w:rsidRDefault="005B70FE" w:rsidP="00E34991">
      <w:pPr>
        <w:rPr>
          <w:sz w:val="20"/>
          <w:lang w:val="en-US"/>
        </w:rPr>
      </w:pPr>
    </w:p>
    <w:p w14:paraId="4F265366" w14:textId="19DBBCE6" w:rsidR="005B70FE" w:rsidRDefault="005B70FE" w:rsidP="00E34991">
      <w:pPr>
        <w:rPr>
          <w:sz w:val="20"/>
          <w:lang w:val="en-US"/>
        </w:rPr>
      </w:pPr>
    </w:p>
    <w:p w14:paraId="21B9C7F5" w14:textId="594FD3A5" w:rsidR="005B70FE" w:rsidRPr="001500B9" w:rsidRDefault="005B70FE" w:rsidP="005B70FE">
      <w:pPr>
        <w:rPr>
          <w:sz w:val="20"/>
          <w:lang w:val="en-US"/>
        </w:rPr>
      </w:pPr>
      <w:r w:rsidRPr="001500B9">
        <w:rPr>
          <w:sz w:val="20"/>
          <w:lang w:val="en-US"/>
        </w:rPr>
        <w:t xml:space="preserve">TABLE </w:t>
      </w:r>
      <w:r>
        <w:rPr>
          <w:sz w:val="20"/>
          <w:lang w:val="en-US"/>
        </w:rPr>
        <w:t>2</w:t>
      </w:r>
      <w:r w:rsidRPr="001500B9">
        <w:rPr>
          <w:sz w:val="20"/>
          <w:lang w:val="en-US"/>
        </w:rPr>
        <w:t xml:space="preserve">  </w:t>
      </w:r>
      <w:r>
        <w:rPr>
          <w:sz w:val="20"/>
          <w:lang w:val="en-US"/>
        </w:rPr>
        <w:t>TOTAL LUIE MEAN BY ENERGY SOURCE</w:t>
      </w:r>
    </w:p>
    <w:p w14:paraId="02553F12" w14:textId="1B613E3A" w:rsidR="005B70FE" w:rsidRDefault="005B70FE" w:rsidP="00E34991">
      <w:pPr>
        <w:rPr>
          <w:sz w:val="20"/>
          <w:lang w:val="en-US"/>
        </w:rPr>
      </w:pPr>
    </w:p>
    <w:p w14:paraId="7C9D02BF" w14:textId="77777777" w:rsidR="005B70FE" w:rsidRDefault="005B70FE" w:rsidP="00E34991">
      <w:pPr>
        <w:rPr>
          <w:sz w:val="20"/>
          <w:lang w:val="en-US"/>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20"/>
        <w:gridCol w:w="3240"/>
      </w:tblGrid>
      <w:tr w:rsidR="005B70FE" w:rsidRPr="005B70FE" w14:paraId="5EC15C71" w14:textId="77777777" w:rsidTr="005B70FE">
        <w:trPr>
          <w:trHeight w:val="320"/>
        </w:trPr>
        <w:tc>
          <w:tcPr>
            <w:tcW w:w="2920" w:type="dxa"/>
            <w:noWrap/>
            <w:hideMark/>
          </w:tcPr>
          <w:p w14:paraId="1D2C101E" w14:textId="77777777" w:rsidR="005B70FE" w:rsidRPr="005B70FE" w:rsidRDefault="005B70FE" w:rsidP="005B70FE">
            <w:pPr>
              <w:rPr>
                <w:sz w:val="20"/>
              </w:rPr>
            </w:pPr>
            <w:r w:rsidRPr="005B70FE">
              <w:rPr>
                <w:sz w:val="20"/>
              </w:rPr>
              <w:t>Source of energy</w:t>
            </w:r>
          </w:p>
        </w:tc>
        <w:tc>
          <w:tcPr>
            <w:tcW w:w="3240" w:type="dxa"/>
            <w:noWrap/>
            <w:hideMark/>
          </w:tcPr>
          <w:p w14:paraId="3E730CDD" w14:textId="02E2B6F7" w:rsidR="005B70FE" w:rsidRPr="005B70FE" w:rsidRDefault="005B70FE">
            <w:pPr>
              <w:rPr>
                <w:sz w:val="20"/>
                <w:lang w:val="es-CO"/>
              </w:rPr>
            </w:pPr>
            <w:r w:rsidRPr="005B70FE">
              <w:rPr>
                <w:sz w:val="20"/>
                <w:lang w:val="es-CO"/>
              </w:rPr>
              <w:t>LUIE</w:t>
            </w:r>
            <w:r>
              <w:rPr>
                <w:sz w:val="20"/>
                <w:lang w:val="es-CO"/>
              </w:rPr>
              <w:t xml:space="preserve"> </w:t>
            </w:r>
            <w:r w:rsidRPr="005B70FE">
              <w:rPr>
                <w:sz w:val="20"/>
                <w:lang w:val="es-CO"/>
              </w:rPr>
              <w:t>total (ha/TWh/y) Mean</w:t>
            </w:r>
          </w:p>
        </w:tc>
      </w:tr>
      <w:tr w:rsidR="005B70FE" w:rsidRPr="005B70FE" w14:paraId="7E23A6BB" w14:textId="77777777" w:rsidTr="005B70FE">
        <w:trPr>
          <w:trHeight w:val="320"/>
        </w:trPr>
        <w:tc>
          <w:tcPr>
            <w:tcW w:w="2920" w:type="dxa"/>
            <w:noWrap/>
            <w:hideMark/>
          </w:tcPr>
          <w:p w14:paraId="3B0432F1" w14:textId="77777777" w:rsidR="005B70FE" w:rsidRPr="005B70FE" w:rsidRDefault="005B70FE">
            <w:pPr>
              <w:rPr>
                <w:sz w:val="20"/>
              </w:rPr>
            </w:pPr>
            <w:r w:rsidRPr="005B70FE">
              <w:rPr>
                <w:sz w:val="20"/>
              </w:rPr>
              <w:t xml:space="preserve">Hydroelectric </w:t>
            </w:r>
          </w:p>
        </w:tc>
        <w:tc>
          <w:tcPr>
            <w:tcW w:w="3240" w:type="dxa"/>
            <w:noWrap/>
            <w:hideMark/>
          </w:tcPr>
          <w:p w14:paraId="2B2323DD" w14:textId="77777777" w:rsidR="005B70FE" w:rsidRPr="005B70FE" w:rsidRDefault="005B70FE" w:rsidP="005B70FE">
            <w:pPr>
              <w:rPr>
                <w:sz w:val="20"/>
              </w:rPr>
            </w:pPr>
            <w:r w:rsidRPr="005B70FE">
              <w:rPr>
                <w:sz w:val="20"/>
              </w:rPr>
              <w:t>15000</w:t>
            </w:r>
          </w:p>
        </w:tc>
      </w:tr>
      <w:tr w:rsidR="005B70FE" w:rsidRPr="005B70FE" w14:paraId="13B35042" w14:textId="77777777" w:rsidTr="005B70FE">
        <w:trPr>
          <w:trHeight w:val="320"/>
        </w:trPr>
        <w:tc>
          <w:tcPr>
            <w:tcW w:w="2920" w:type="dxa"/>
            <w:noWrap/>
            <w:hideMark/>
          </w:tcPr>
          <w:p w14:paraId="38C03EC8" w14:textId="77777777" w:rsidR="005B70FE" w:rsidRPr="005B70FE" w:rsidRDefault="005B70FE">
            <w:pPr>
              <w:rPr>
                <w:sz w:val="20"/>
              </w:rPr>
            </w:pPr>
            <w:r w:rsidRPr="005B70FE">
              <w:rPr>
                <w:sz w:val="20"/>
              </w:rPr>
              <w:t>Ground-mounted PV</w:t>
            </w:r>
          </w:p>
        </w:tc>
        <w:tc>
          <w:tcPr>
            <w:tcW w:w="3240" w:type="dxa"/>
            <w:noWrap/>
            <w:hideMark/>
          </w:tcPr>
          <w:p w14:paraId="42355965" w14:textId="77777777" w:rsidR="005B70FE" w:rsidRPr="005B70FE" w:rsidRDefault="005B70FE" w:rsidP="005B70FE">
            <w:pPr>
              <w:rPr>
                <w:sz w:val="20"/>
              </w:rPr>
            </w:pPr>
            <w:r w:rsidRPr="005B70FE">
              <w:rPr>
                <w:sz w:val="20"/>
              </w:rPr>
              <w:t>2100</w:t>
            </w:r>
          </w:p>
        </w:tc>
      </w:tr>
      <w:tr w:rsidR="005B70FE" w:rsidRPr="005B70FE" w14:paraId="2B66BFD0" w14:textId="77777777" w:rsidTr="005B70FE">
        <w:trPr>
          <w:trHeight w:val="320"/>
        </w:trPr>
        <w:tc>
          <w:tcPr>
            <w:tcW w:w="2920" w:type="dxa"/>
            <w:noWrap/>
            <w:hideMark/>
          </w:tcPr>
          <w:p w14:paraId="611AC246" w14:textId="77777777" w:rsidR="005B70FE" w:rsidRPr="005B70FE" w:rsidRDefault="005B70FE">
            <w:pPr>
              <w:rPr>
                <w:sz w:val="20"/>
              </w:rPr>
            </w:pPr>
            <w:r w:rsidRPr="005B70FE">
              <w:rPr>
                <w:sz w:val="20"/>
              </w:rPr>
              <w:t xml:space="preserve">Natural gas </w:t>
            </w:r>
          </w:p>
        </w:tc>
        <w:tc>
          <w:tcPr>
            <w:tcW w:w="3240" w:type="dxa"/>
            <w:noWrap/>
            <w:hideMark/>
          </w:tcPr>
          <w:p w14:paraId="5A9BF083" w14:textId="77777777" w:rsidR="005B70FE" w:rsidRPr="005B70FE" w:rsidRDefault="005B70FE" w:rsidP="005B70FE">
            <w:pPr>
              <w:rPr>
                <w:sz w:val="20"/>
              </w:rPr>
            </w:pPr>
            <w:r w:rsidRPr="005B70FE">
              <w:rPr>
                <w:sz w:val="20"/>
              </w:rPr>
              <w:t>410</w:t>
            </w:r>
          </w:p>
        </w:tc>
      </w:tr>
      <w:tr w:rsidR="005B70FE" w:rsidRPr="005B70FE" w14:paraId="59DBBBE6" w14:textId="77777777" w:rsidTr="005B70FE">
        <w:trPr>
          <w:trHeight w:val="320"/>
        </w:trPr>
        <w:tc>
          <w:tcPr>
            <w:tcW w:w="2920" w:type="dxa"/>
            <w:noWrap/>
            <w:hideMark/>
          </w:tcPr>
          <w:p w14:paraId="1FD94975" w14:textId="77777777" w:rsidR="005B70FE" w:rsidRPr="005B70FE" w:rsidRDefault="005B70FE">
            <w:pPr>
              <w:rPr>
                <w:sz w:val="20"/>
              </w:rPr>
            </w:pPr>
            <w:r w:rsidRPr="005B70FE">
              <w:rPr>
                <w:sz w:val="20"/>
              </w:rPr>
              <w:t>Wind</w:t>
            </w:r>
          </w:p>
        </w:tc>
        <w:tc>
          <w:tcPr>
            <w:tcW w:w="3240" w:type="dxa"/>
            <w:noWrap/>
            <w:hideMark/>
          </w:tcPr>
          <w:p w14:paraId="6DE3DE80" w14:textId="77777777" w:rsidR="005B70FE" w:rsidRPr="005B70FE" w:rsidRDefault="005B70FE" w:rsidP="005B70FE">
            <w:pPr>
              <w:rPr>
                <w:sz w:val="20"/>
              </w:rPr>
            </w:pPr>
            <w:r w:rsidRPr="005B70FE">
              <w:rPr>
                <w:sz w:val="20"/>
              </w:rPr>
              <w:t>170</w:t>
            </w:r>
          </w:p>
        </w:tc>
      </w:tr>
      <w:tr w:rsidR="005B70FE" w:rsidRPr="005B70FE" w14:paraId="52555000" w14:textId="77777777" w:rsidTr="005B70FE">
        <w:trPr>
          <w:trHeight w:val="320"/>
        </w:trPr>
        <w:tc>
          <w:tcPr>
            <w:tcW w:w="2920" w:type="dxa"/>
            <w:noWrap/>
            <w:hideMark/>
          </w:tcPr>
          <w:p w14:paraId="5DC459DE" w14:textId="77777777" w:rsidR="005B70FE" w:rsidRPr="005B70FE" w:rsidRDefault="005B70FE">
            <w:pPr>
              <w:rPr>
                <w:sz w:val="20"/>
              </w:rPr>
            </w:pPr>
            <w:r w:rsidRPr="005B70FE">
              <w:rPr>
                <w:sz w:val="20"/>
              </w:rPr>
              <w:t>Nuclear LR</w:t>
            </w:r>
          </w:p>
        </w:tc>
        <w:tc>
          <w:tcPr>
            <w:tcW w:w="3240" w:type="dxa"/>
            <w:noWrap/>
            <w:hideMark/>
          </w:tcPr>
          <w:p w14:paraId="50B88864" w14:textId="77777777" w:rsidR="005B70FE" w:rsidRPr="005B70FE" w:rsidRDefault="005B70FE" w:rsidP="005B70FE">
            <w:pPr>
              <w:rPr>
                <w:sz w:val="20"/>
              </w:rPr>
            </w:pPr>
            <w:r w:rsidRPr="005B70FE">
              <w:rPr>
                <w:sz w:val="20"/>
              </w:rPr>
              <w:t>15</w:t>
            </w:r>
          </w:p>
        </w:tc>
      </w:tr>
      <w:tr w:rsidR="005B70FE" w:rsidRPr="005B70FE" w14:paraId="5CCC9AB2" w14:textId="77777777" w:rsidTr="005B70FE">
        <w:trPr>
          <w:trHeight w:val="320"/>
        </w:trPr>
        <w:tc>
          <w:tcPr>
            <w:tcW w:w="2920" w:type="dxa"/>
            <w:noWrap/>
            <w:hideMark/>
          </w:tcPr>
          <w:p w14:paraId="2DEAEA84" w14:textId="77777777" w:rsidR="005B70FE" w:rsidRPr="005B70FE" w:rsidRDefault="005B70FE">
            <w:pPr>
              <w:rPr>
                <w:sz w:val="20"/>
              </w:rPr>
            </w:pPr>
            <w:r w:rsidRPr="005B70FE">
              <w:rPr>
                <w:sz w:val="20"/>
              </w:rPr>
              <w:t xml:space="preserve">SMR </w:t>
            </w:r>
          </w:p>
        </w:tc>
        <w:tc>
          <w:tcPr>
            <w:tcW w:w="3240" w:type="dxa"/>
            <w:noWrap/>
            <w:hideMark/>
          </w:tcPr>
          <w:p w14:paraId="28338D9D" w14:textId="77777777" w:rsidR="005B70FE" w:rsidRPr="005B70FE" w:rsidRDefault="005B70FE" w:rsidP="005B70FE">
            <w:pPr>
              <w:rPr>
                <w:sz w:val="20"/>
              </w:rPr>
            </w:pPr>
            <w:r w:rsidRPr="005B70FE">
              <w:rPr>
                <w:sz w:val="20"/>
              </w:rPr>
              <w:t>8</w:t>
            </w:r>
          </w:p>
        </w:tc>
      </w:tr>
    </w:tbl>
    <w:p w14:paraId="2DEC9AD2" w14:textId="7024D517" w:rsidR="005B70FE" w:rsidRDefault="005B70FE" w:rsidP="00E34991">
      <w:pPr>
        <w:rPr>
          <w:sz w:val="20"/>
          <w:lang w:val="en-US"/>
        </w:rPr>
      </w:pPr>
    </w:p>
    <w:p w14:paraId="500FBB5B" w14:textId="77777777" w:rsidR="0066374D" w:rsidRPr="001500B9" w:rsidRDefault="0066374D" w:rsidP="00E34991">
      <w:pPr>
        <w:rPr>
          <w:sz w:val="20"/>
          <w:lang w:val="en-US"/>
        </w:rPr>
      </w:pPr>
    </w:p>
    <w:p w14:paraId="23E11409" w14:textId="214F660E" w:rsidR="001500B9" w:rsidRPr="001500B9" w:rsidRDefault="001500B9" w:rsidP="001500B9">
      <w:pPr>
        <w:rPr>
          <w:sz w:val="20"/>
          <w:lang w:val="en-US"/>
        </w:rPr>
      </w:pPr>
      <w:r w:rsidRPr="001500B9">
        <w:rPr>
          <w:b/>
          <w:bCs/>
          <w:sz w:val="20"/>
          <w:lang w:val="en-US"/>
        </w:rPr>
        <w:t>3.2 GHG Emission Factor</w:t>
      </w:r>
    </w:p>
    <w:p w14:paraId="0CCA53BF" w14:textId="05E13E18" w:rsidR="001500B9" w:rsidRPr="001500B9" w:rsidRDefault="001500B9" w:rsidP="005B70FE">
      <w:pPr>
        <w:ind w:firstLine="567"/>
        <w:jc w:val="both"/>
        <w:rPr>
          <w:sz w:val="20"/>
          <w:lang w:val="en-US"/>
        </w:rPr>
      </w:pPr>
      <w:r w:rsidRPr="001500B9">
        <w:rPr>
          <w:sz w:val="20"/>
          <w:lang w:val="en-US"/>
        </w:rPr>
        <w:t xml:space="preserve">The analysis led by Godsey [11] carried out a life cycle assessment for the </w:t>
      </w:r>
      <w:proofErr w:type="spellStart"/>
      <w:r w:rsidRPr="001500B9">
        <w:rPr>
          <w:sz w:val="20"/>
          <w:lang w:val="en-US"/>
        </w:rPr>
        <w:t>NuScale</w:t>
      </w:r>
      <w:proofErr w:type="spellEnd"/>
      <w:r w:rsidRPr="001500B9">
        <w:rPr>
          <w:sz w:val="20"/>
          <w:lang w:val="en-US"/>
        </w:rPr>
        <w:t xml:space="preserve"> SMR design and calculated that the emission factor corresponds to 4.6 g CO</w:t>
      </w:r>
      <w:r w:rsidRPr="001500B9">
        <w:rPr>
          <w:sz w:val="20"/>
          <w:vertAlign w:val="subscript"/>
          <w:lang w:val="en-US"/>
        </w:rPr>
        <w:t>2</w:t>
      </w:r>
      <w:r w:rsidRPr="001500B9">
        <w:rPr>
          <w:sz w:val="20"/>
          <w:lang w:val="en-US"/>
        </w:rPr>
        <w:t>eq/kWh. Carless, Griffin [12] studying the Westinghouse SMR-PWR, calculated a range of 5.9 to 13.2 gCO</w:t>
      </w:r>
      <w:r w:rsidRPr="001500B9">
        <w:rPr>
          <w:sz w:val="20"/>
          <w:vertAlign w:val="subscript"/>
          <w:lang w:val="en-US"/>
        </w:rPr>
        <w:t>2</w:t>
      </w:r>
      <w:r w:rsidRPr="001500B9">
        <w:rPr>
          <w:sz w:val="20"/>
          <w:lang w:val="en-US"/>
        </w:rPr>
        <w:t xml:space="preserve">eq/kWh. See Table </w:t>
      </w:r>
      <w:r w:rsidR="005B70FE">
        <w:rPr>
          <w:sz w:val="20"/>
          <w:lang w:val="en-US"/>
        </w:rPr>
        <w:t>3</w:t>
      </w:r>
      <w:r w:rsidRPr="001500B9">
        <w:rPr>
          <w:sz w:val="20"/>
          <w:lang w:val="en-US"/>
        </w:rPr>
        <w:t>. In the composition of the emission factor, it can be concluded that 7% corresponds to construction, 17% to uranium mining, and more than 70% is related to conversion and enrichment of the fuel. If enrichment is carried out using centrifugation, the related emissions can be 0.4 gCO</w:t>
      </w:r>
      <w:r w:rsidRPr="001500B9">
        <w:rPr>
          <w:sz w:val="20"/>
          <w:vertAlign w:val="subscript"/>
          <w:lang w:val="en-US"/>
        </w:rPr>
        <w:t>2</w:t>
      </w:r>
      <w:r w:rsidRPr="001500B9">
        <w:rPr>
          <w:sz w:val="20"/>
          <w:lang w:val="en-US"/>
        </w:rPr>
        <w:t>eq/kWh, but if performed by diffusion, the value rises to 27.7 gCO</w:t>
      </w:r>
      <w:r w:rsidRPr="001500B9">
        <w:rPr>
          <w:sz w:val="20"/>
          <w:vertAlign w:val="subscript"/>
          <w:lang w:val="en-US"/>
        </w:rPr>
        <w:t>2</w:t>
      </w:r>
      <w:r w:rsidRPr="001500B9">
        <w:rPr>
          <w:sz w:val="20"/>
          <w:lang w:val="en-US"/>
        </w:rPr>
        <w:t>eq/kWh. This is because the gaseous diffusion method consumes about 9000 MJ</w:t>
      </w:r>
      <w:r w:rsidR="005B70FE">
        <w:rPr>
          <w:sz w:val="20"/>
          <w:lang w:val="en-US"/>
        </w:rPr>
        <w:t>/</w:t>
      </w:r>
      <w:r w:rsidRPr="001500B9">
        <w:rPr>
          <w:sz w:val="20"/>
          <w:lang w:val="en-US"/>
        </w:rPr>
        <w:t>SWU, while modern gas centrifuge plants require only about 180 MJ</w:t>
      </w:r>
      <w:r w:rsidR="005B70FE">
        <w:rPr>
          <w:sz w:val="20"/>
          <w:lang w:val="en-US"/>
        </w:rPr>
        <w:t>/</w:t>
      </w:r>
      <w:r w:rsidRPr="001500B9">
        <w:rPr>
          <w:sz w:val="20"/>
          <w:lang w:val="en-US"/>
        </w:rPr>
        <w:t>SWU [13].</w:t>
      </w:r>
    </w:p>
    <w:p w14:paraId="3DF6A6FA" w14:textId="4106005A" w:rsidR="00641C5F" w:rsidRPr="001500B9" w:rsidRDefault="00641C5F" w:rsidP="00E34991">
      <w:pPr>
        <w:rPr>
          <w:sz w:val="20"/>
          <w:lang w:val="en-US"/>
        </w:rPr>
      </w:pPr>
    </w:p>
    <w:p w14:paraId="0AD769D9" w14:textId="05047297" w:rsidR="00641C5F" w:rsidRPr="001500B9" w:rsidRDefault="00641C5F" w:rsidP="00E34991">
      <w:pPr>
        <w:rPr>
          <w:sz w:val="20"/>
          <w:lang w:val="en-US"/>
        </w:rPr>
      </w:pPr>
    </w:p>
    <w:p w14:paraId="719DB1BA" w14:textId="7111E419" w:rsidR="00B260C8" w:rsidRPr="001500B9" w:rsidRDefault="00B260C8" w:rsidP="004F380F">
      <w:pPr>
        <w:rPr>
          <w:sz w:val="20"/>
          <w:lang w:val="en-US"/>
        </w:rPr>
      </w:pPr>
      <w:r w:rsidRPr="001500B9">
        <w:rPr>
          <w:sz w:val="20"/>
          <w:lang w:val="en-US"/>
        </w:rPr>
        <w:t xml:space="preserve">TABLE </w:t>
      </w:r>
      <w:r w:rsidR="005B70FE">
        <w:rPr>
          <w:sz w:val="20"/>
          <w:lang w:val="en-US"/>
        </w:rPr>
        <w:t>3</w:t>
      </w:r>
      <w:r w:rsidRPr="001500B9">
        <w:rPr>
          <w:sz w:val="20"/>
          <w:lang w:val="en-US"/>
        </w:rPr>
        <w:t xml:space="preserve"> EMISSION FACTOR BY SOURCE</w:t>
      </w:r>
    </w:p>
    <w:p w14:paraId="6F57F68C" w14:textId="1C9A5C83" w:rsidR="00B260C8" w:rsidRPr="001500B9" w:rsidRDefault="00B260C8" w:rsidP="004F380F">
      <w:pPr>
        <w:rPr>
          <w:sz w:val="20"/>
          <w:lang w:val="en-US"/>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60"/>
        <w:gridCol w:w="3720"/>
      </w:tblGrid>
      <w:tr w:rsidR="00B260C8" w:rsidRPr="001500B9" w14:paraId="37495395" w14:textId="77777777" w:rsidTr="00B260C8">
        <w:trPr>
          <w:trHeight w:val="320"/>
        </w:trPr>
        <w:tc>
          <w:tcPr>
            <w:tcW w:w="2960" w:type="dxa"/>
            <w:noWrap/>
            <w:hideMark/>
          </w:tcPr>
          <w:p w14:paraId="66FC0C6E" w14:textId="77777777" w:rsidR="00B260C8" w:rsidRPr="001500B9" w:rsidRDefault="00B260C8" w:rsidP="00B260C8">
            <w:pPr>
              <w:rPr>
                <w:sz w:val="20"/>
              </w:rPr>
            </w:pPr>
            <w:r w:rsidRPr="001500B9">
              <w:rPr>
                <w:sz w:val="20"/>
              </w:rPr>
              <w:t>Source of energy</w:t>
            </w:r>
          </w:p>
        </w:tc>
        <w:tc>
          <w:tcPr>
            <w:tcW w:w="3720" w:type="dxa"/>
            <w:noWrap/>
            <w:hideMark/>
          </w:tcPr>
          <w:p w14:paraId="6E75C667" w14:textId="77777777" w:rsidR="00B260C8" w:rsidRPr="001500B9" w:rsidRDefault="00B260C8">
            <w:pPr>
              <w:rPr>
                <w:sz w:val="20"/>
              </w:rPr>
            </w:pPr>
            <w:r w:rsidRPr="001500B9">
              <w:rPr>
                <w:sz w:val="20"/>
              </w:rPr>
              <w:t>Emission factor (gCO</w:t>
            </w:r>
            <w:r w:rsidRPr="001500B9">
              <w:rPr>
                <w:sz w:val="20"/>
                <w:vertAlign w:val="subscript"/>
              </w:rPr>
              <w:t>2</w:t>
            </w:r>
            <w:r w:rsidRPr="001500B9">
              <w:rPr>
                <w:sz w:val="20"/>
              </w:rPr>
              <w:t>eq/kWh)</w:t>
            </w:r>
          </w:p>
        </w:tc>
      </w:tr>
      <w:tr w:rsidR="00B260C8" w:rsidRPr="001500B9" w14:paraId="0E21B66E" w14:textId="77777777" w:rsidTr="00B260C8">
        <w:trPr>
          <w:trHeight w:val="320"/>
        </w:trPr>
        <w:tc>
          <w:tcPr>
            <w:tcW w:w="2960" w:type="dxa"/>
            <w:noWrap/>
            <w:hideMark/>
          </w:tcPr>
          <w:p w14:paraId="13183FD7" w14:textId="77777777" w:rsidR="00B260C8" w:rsidRPr="001500B9" w:rsidRDefault="00B260C8">
            <w:pPr>
              <w:rPr>
                <w:sz w:val="20"/>
              </w:rPr>
            </w:pPr>
            <w:r w:rsidRPr="001500B9">
              <w:rPr>
                <w:sz w:val="20"/>
              </w:rPr>
              <w:t xml:space="preserve">SMR </w:t>
            </w:r>
            <w:proofErr w:type="spellStart"/>
            <w:r w:rsidRPr="001500B9">
              <w:rPr>
                <w:sz w:val="20"/>
              </w:rPr>
              <w:t>NuScale</w:t>
            </w:r>
            <w:proofErr w:type="spellEnd"/>
          </w:p>
        </w:tc>
        <w:tc>
          <w:tcPr>
            <w:tcW w:w="3720" w:type="dxa"/>
            <w:noWrap/>
            <w:hideMark/>
          </w:tcPr>
          <w:p w14:paraId="2455E43D" w14:textId="77777777" w:rsidR="00B260C8" w:rsidRPr="001500B9" w:rsidRDefault="00B260C8" w:rsidP="00B260C8">
            <w:pPr>
              <w:jc w:val="center"/>
              <w:rPr>
                <w:sz w:val="20"/>
              </w:rPr>
            </w:pPr>
            <w:r w:rsidRPr="001500B9">
              <w:rPr>
                <w:sz w:val="20"/>
              </w:rPr>
              <w:t>4,6</w:t>
            </w:r>
          </w:p>
        </w:tc>
      </w:tr>
      <w:tr w:rsidR="00B260C8" w:rsidRPr="001500B9" w14:paraId="61330AFB" w14:textId="77777777" w:rsidTr="00B260C8">
        <w:trPr>
          <w:trHeight w:val="320"/>
        </w:trPr>
        <w:tc>
          <w:tcPr>
            <w:tcW w:w="2960" w:type="dxa"/>
            <w:noWrap/>
            <w:hideMark/>
          </w:tcPr>
          <w:p w14:paraId="3E604B44" w14:textId="77777777" w:rsidR="00B260C8" w:rsidRPr="001500B9" w:rsidRDefault="00B260C8">
            <w:pPr>
              <w:rPr>
                <w:sz w:val="20"/>
              </w:rPr>
            </w:pPr>
            <w:r w:rsidRPr="001500B9">
              <w:rPr>
                <w:sz w:val="20"/>
              </w:rPr>
              <w:t xml:space="preserve">SMR Westinghouse </w:t>
            </w:r>
            <w:proofErr w:type="spellStart"/>
            <w:r w:rsidRPr="001500B9">
              <w:rPr>
                <w:sz w:val="20"/>
              </w:rPr>
              <w:t>iPWR</w:t>
            </w:r>
            <w:proofErr w:type="spellEnd"/>
          </w:p>
        </w:tc>
        <w:tc>
          <w:tcPr>
            <w:tcW w:w="3720" w:type="dxa"/>
            <w:noWrap/>
            <w:hideMark/>
          </w:tcPr>
          <w:p w14:paraId="0F34371D" w14:textId="77777777" w:rsidR="00B260C8" w:rsidRPr="001500B9" w:rsidRDefault="00B260C8" w:rsidP="00B260C8">
            <w:pPr>
              <w:jc w:val="center"/>
              <w:rPr>
                <w:sz w:val="20"/>
              </w:rPr>
            </w:pPr>
            <w:r w:rsidRPr="001500B9">
              <w:rPr>
                <w:sz w:val="20"/>
              </w:rPr>
              <w:t>5,9 - 13,2</w:t>
            </w:r>
          </w:p>
        </w:tc>
      </w:tr>
      <w:tr w:rsidR="00B260C8" w:rsidRPr="001500B9" w14:paraId="33EC518E" w14:textId="77777777" w:rsidTr="00B260C8">
        <w:trPr>
          <w:trHeight w:val="320"/>
        </w:trPr>
        <w:tc>
          <w:tcPr>
            <w:tcW w:w="2960" w:type="dxa"/>
            <w:noWrap/>
            <w:hideMark/>
          </w:tcPr>
          <w:p w14:paraId="7E3928E7" w14:textId="77777777" w:rsidR="00B260C8" w:rsidRPr="001500B9" w:rsidRDefault="00B260C8">
            <w:pPr>
              <w:rPr>
                <w:sz w:val="20"/>
              </w:rPr>
            </w:pPr>
            <w:r w:rsidRPr="001500B9">
              <w:rPr>
                <w:sz w:val="20"/>
              </w:rPr>
              <w:t>Large reactors</w:t>
            </w:r>
          </w:p>
        </w:tc>
        <w:tc>
          <w:tcPr>
            <w:tcW w:w="3720" w:type="dxa"/>
            <w:noWrap/>
            <w:hideMark/>
          </w:tcPr>
          <w:p w14:paraId="71E3316F" w14:textId="556E60CA" w:rsidR="00B260C8" w:rsidRPr="001500B9" w:rsidRDefault="00B260C8" w:rsidP="00B260C8">
            <w:pPr>
              <w:jc w:val="center"/>
              <w:rPr>
                <w:sz w:val="20"/>
              </w:rPr>
            </w:pPr>
            <w:r w:rsidRPr="001500B9">
              <w:rPr>
                <w:sz w:val="20"/>
              </w:rPr>
              <w:t>5,13</w:t>
            </w:r>
          </w:p>
        </w:tc>
      </w:tr>
    </w:tbl>
    <w:p w14:paraId="68DBC69C" w14:textId="77777777" w:rsidR="00B260C8" w:rsidRPr="001500B9" w:rsidRDefault="00B260C8" w:rsidP="004F380F">
      <w:pPr>
        <w:rPr>
          <w:sz w:val="20"/>
          <w:lang w:val="es-CO"/>
        </w:rPr>
      </w:pPr>
    </w:p>
    <w:p w14:paraId="249796E1" w14:textId="0666C314" w:rsidR="00B260C8" w:rsidRPr="001500B9" w:rsidRDefault="00B260C8" w:rsidP="004F380F">
      <w:pPr>
        <w:rPr>
          <w:sz w:val="20"/>
          <w:lang w:val="es-CO"/>
        </w:rPr>
      </w:pPr>
    </w:p>
    <w:p w14:paraId="13BB4802" w14:textId="77777777" w:rsidR="001500B9" w:rsidRPr="001500B9" w:rsidRDefault="001500B9" w:rsidP="001500B9">
      <w:pPr>
        <w:rPr>
          <w:sz w:val="20"/>
          <w:lang w:val="en-US"/>
        </w:rPr>
      </w:pPr>
      <w:r w:rsidRPr="001500B9">
        <w:rPr>
          <w:b/>
          <w:bCs/>
          <w:sz w:val="20"/>
          <w:lang w:val="en-US"/>
        </w:rPr>
        <w:t>3.3 Fresh Water Availability</w:t>
      </w:r>
    </w:p>
    <w:p w14:paraId="12C642F4" w14:textId="068DF8A1" w:rsidR="001500B9" w:rsidRPr="001500B9" w:rsidRDefault="001500B9" w:rsidP="005B70FE">
      <w:pPr>
        <w:ind w:firstLine="567"/>
        <w:jc w:val="both"/>
        <w:rPr>
          <w:sz w:val="20"/>
          <w:lang w:val="en-US"/>
        </w:rPr>
      </w:pPr>
      <w:r w:rsidRPr="001500B9">
        <w:rPr>
          <w:sz w:val="20"/>
          <w:lang w:val="en-US"/>
        </w:rPr>
        <w:t xml:space="preserve">Among the cogeneration possibilities of this type of reactor are urban heating and desalination [13]. This is a technology in which the nuclear industry has experience, as is the case in Japan, where in ten sites that have limited access to fresh water, nuclear power plants are equipped with cogeneration and water desalination plants. Desalination associated with SMRs can be carried out by technologies using heat, such as in the case of condensation, and also by reverse osmosis which requires electrical energy [14]. South Korea has developed a design of a small nuclear reactor for cogeneration of electricity and potable water. The 330 </w:t>
      </w:r>
      <w:proofErr w:type="spellStart"/>
      <w:r w:rsidRPr="001500B9">
        <w:rPr>
          <w:sz w:val="20"/>
          <w:lang w:val="en-US"/>
        </w:rPr>
        <w:t>MWt</w:t>
      </w:r>
      <w:proofErr w:type="spellEnd"/>
      <w:r w:rsidRPr="001500B9">
        <w:rPr>
          <w:sz w:val="20"/>
          <w:lang w:val="en-US"/>
        </w:rPr>
        <w:t xml:space="preserve"> SMART reactor (an integral PWR) has a long life span and only needs refueling every three years. The main concept has the </w:t>
      </w:r>
      <w:r w:rsidRPr="001500B9">
        <w:rPr>
          <w:sz w:val="20"/>
          <w:lang w:val="en-US"/>
        </w:rPr>
        <w:lastRenderedPageBreak/>
        <w:t xml:space="preserve">SMART reactor coupled to four multi-effect desalination (MED) units, each with a thermal vapor compressor and producing a total of 40,000 m3/d, using 90 </w:t>
      </w:r>
      <w:proofErr w:type="spellStart"/>
      <w:r w:rsidRPr="001500B9">
        <w:rPr>
          <w:sz w:val="20"/>
          <w:lang w:val="en-US"/>
        </w:rPr>
        <w:t>MWe</w:t>
      </w:r>
      <w:proofErr w:type="spellEnd"/>
      <w:r w:rsidRPr="001500B9">
        <w:rPr>
          <w:sz w:val="20"/>
          <w:lang w:val="en-US"/>
        </w:rPr>
        <w:t xml:space="preserve"> [15]. Parametric studies have been conducted on designs of a </w:t>
      </w:r>
      <w:proofErr w:type="spellStart"/>
      <w:r w:rsidRPr="001500B9">
        <w:rPr>
          <w:sz w:val="20"/>
          <w:lang w:val="en-US"/>
        </w:rPr>
        <w:t>NuScale</w:t>
      </w:r>
      <w:proofErr w:type="spellEnd"/>
      <w:r w:rsidRPr="001500B9">
        <w:rPr>
          <w:sz w:val="20"/>
          <w:lang w:val="en-US"/>
        </w:rPr>
        <w:t xml:space="preserve"> SMR of 160 </w:t>
      </w:r>
      <w:proofErr w:type="spellStart"/>
      <w:r w:rsidRPr="001500B9">
        <w:rPr>
          <w:sz w:val="20"/>
          <w:lang w:val="en-US"/>
        </w:rPr>
        <w:t>MWt</w:t>
      </w:r>
      <w:proofErr w:type="spellEnd"/>
      <w:r w:rsidRPr="001500B9">
        <w:rPr>
          <w:sz w:val="20"/>
          <w:lang w:val="en-US"/>
        </w:rPr>
        <w:t>, to simultaneously supply electricity and heat for desalination. This eight-module prototype could produce 190,000 m3/d and contribute to the power grid between 227 MW and 348 MW [16]</w:t>
      </w:r>
      <w:r w:rsidRPr="001500B9">
        <w:rPr>
          <w:sz w:val="20"/>
          <w:lang w:val="en-US"/>
        </w:rPr>
        <w:t>.</w:t>
      </w:r>
    </w:p>
    <w:p w14:paraId="1A075798" w14:textId="77777777" w:rsidR="00B260C8" w:rsidRPr="001500B9" w:rsidRDefault="00B260C8" w:rsidP="005B70FE">
      <w:pPr>
        <w:jc w:val="both"/>
        <w:rPr>
          <w:sz w:val="20"/>
          <w:lang w:val="en-US"/>
        </w:rPr>
      </w:pPr>
    </w:p>
    <w:p w14:paraId="7E1B1304" w14:textId="6FB58AFE" w:rsidR="001500B9" w:rsidRPr="005B70FE" w:rsidRDefault="001500B9" w:rsidP="000777CD">
      <w:pPr>
        <w:rPr>
          <w:sz w:val="20"/>
          <w:lang w:val="en-US"/>
        </w:rPr>
      </w:pPr>
    </w:p>
    <w:p w14:paraId="301DEF0F" w14:textId="77777777" w:rsidR="001500B9" w:rsidRPr="001500B9" w:rsidRDefault="001500B9" w:rsidP="001500B9">
      <w:pPr>
        <w:rPr>
          <w:sz w:val="20"/>
          <w:lang w:val="en-US"/>
        </w:rPr>
      </w:pPr>
    </w:p>
    <w:p w14:paraId="0768D9EF" w14:textId="12B82880" w:rsidR="001500B9" w:rsidRPr="001500B9" w:rsidRDefault="001500B9" w:rsidP="001500B9">
      <w:pPr>
        <w:rPr>
          <w:sz w:val="20"/>
          <w:lang w:val="en-US"/>
        </w:rPr>
      </w:pPr>
      <w:r w:rsidRPr="001500B9">
        <w:rPr>
          <w:sz w:val="20"/>
          <w:lang w:val="en-US"/>
        </w:rPr>
        <w:t>4. CONCLUSIONS</w:t>
      </w:r>
    </w:p>
    <w:p w14:paraId="5C7D643D" w14:textId="77777777" w:rsidR="001500B9" w:rsidRPr="001500B9" w:rsidRDefault="001500B9" w:rsidP="001500B9">
      <w:pPr>
        <w:rPr>
          <w:sz w:val="20"/>
          <w:lang w:val="en-US"/>
        </w:rPr>
      </w:pPr>
    </w:p>
    <w:p w14:paraId="517B5DC3" w14:textId="77777777" w:rsidR="001500B9" w:rsidRPr="001500B9" w:rsidRDefault="001500B9" w:rsidP="005B70FE">
      <w:pPr>
        <w:ind w:firstLine="567"/>
        <w:jc w:val="both"/>
        <w:rPr>
          <w:sz w:val="20"/>
          <w:lang w:val="en-US"/>
        </w:rPr>
      </w:pPr>
      <w:r w:rsidRPr="001500B9">
        <w:rPr>
          <w:sz w:val="20"/>
          <w:lang w:val="en-US"/>
        </w:rPr>
        <w:t>The review of the literature and the data obtained allow us to conclude that SMRs can be a very relevant contribution to the global environmental crisis. The fact that they have a low land use intensity makes them highly efficient in this respect. Additionally, they are a source of low-emission generation and after reviewing the obtained values, we can affirm that their performance in this regard is very similar to that of power reactors. The cogeneration associated with SMRs enables efficient desalination of water, and the implementation of such projects will favor the availability of fresh water.</w:t>
      </w:r>
    </w:p>
    <w:p w14:paraId="04C8E75F" w14:textId="77777777" w:rsidR="001500B9" w:rsidRPr="001500B9" w:rsidRDefault="001500B9" w:rsidP="005B70FE">
      <w:pPr>
        <w:jc w:val="both"/>
        <w:rPr>
          <w:sz w:val="20"/>
          <w:lang w:val="en-US"/>
        </w:rPr>
      </w:pPr>
    </w:p>
    <w:p w14:paraId="2A60DFB6" w14:textId="77777777" w:rsidR="001500B9" w:rsidRPr="001500B9" w:rsidRDefault="001500B9" w:rsidP="001500B9">
      <w:pPr>
        <w:rPr>
          <w:sz w:val="20"/>
          <w:lang w:val="en-US"/>
        </w:rPr>
      </w:pPr>
      <w:r w:rsidRPr="001500B9">
        <w:rPr>
          <w:sz w:val="20"/>
          <w:lang w:val="en-US"/>
        </w:rPr>
        <w:t>Thus, with the use of SMRs, variables related to the planetary boundaries of land use, climate change, and availability of fresh water will be positively impacted.</w:t>
      </w:r>
    </w:p>
    <w:p w14:paraId="6173056F" w14:textId="77777777" w:rsidR="001500B9" w:rsidRPr="001500B9" w:rsidRDefault="001500B9" w:rsidP="001500B9">
      <w:pPr>
        <w:rPr>
          <w:sz w:val="20"/>
          <w:lang w:val="en-US"/>
        </w:rPr>
      </w:pPr>
    </w:p>
    <w:p w14:paraId="14A455A2" w14:textId="585CF02C" w:rsidR="001500B9" w:rsidRPr="001500B9" w:rsidRDefault="001500B9" w:rsidP="001500B9">
      <w:pPr>
        <w:rPr>
          <w:sz w:val="20"/>
          <w:lang w:val="en-US"/>
        </w:rPr>
      </w:pPr>
      <w:r w:rsidRPr="001500B9">
        <w:rPr>
          <w:sz w:val="20"/>
          <w:lang w:val="en-US"/>
        </w:rPr>
        <w:t>5. DISCUSSION AND FUTURE RESEARCH</w:t>
      </w:r>
    </w:p>
    <w:p w14:paraId="7F75E750" w14:textId="77777777" w:rsidR="001500B9" w:rsidRPr="001500B9" w:rsidRDefault="001500B9" w:rsidP="001500B9">
      <w:pPr>
        <w:rPr>
          <w:sz w:val="20"/>
          <w:lang w:val="en-US"/>
        </w:rPr>
      </w:pPr>
    </w:p>
    <w:p w14:paraId="6937E27E" w14:textId="77777777" w:rsidR="001500B9" w:rsidRPr="001500B9" w:rsidRDefault="001500B9" w:rsidP="005B70FE">
      <w:pPr>
        <w:ind w:firstLine="567"/>
        <w:jc w:val="both"/>
        <w:rPr>
          <w:sz w:val="20"/>
          <w:lang w:val="en-US"/>
        </w:rPr>
      </w:pPr>
      <w:r w:rsidRPr="001500B9">
        <w:rPr>
          <w:sz w:val="20"/>
          <w:lang w:val="en-US"/>
        </w:rPr>
        <w:t>It is necessary to develop more research studies that evaluate the LCA of different SMR designs. In the present work, only two designs were reviewed, which are PWRs, and it is necessary to verify if other technologies have different environmental impacts. For example, those designs planned to use MOX, theoretically will have a lower LIUE because this technology, by reprocessing fuel, does not require intensive mining and therefore can also have a lower emission factor than presented in this paper. Over the last 50 years, nuclear energy has saved the world the emission of 70 GT of CO</w:t>
      </w:r>
      <w:r w:rsidRPr="005B70FE">
        <w:rPr>
          <w:sz w:val="20"/>
          <w:vertAlign w:val="subscript"/>
          <w:lang w:val="en-US"/>
        </w:rPr>
        <w:t>2</w:t>
      </w:r>
      <w:r w:rsidRPr="001500B9">
        <w:rPr>
          <w:sz w:val="20"/>
          <w:lang w:val="en-US"/>
        </w:rPr>
        <w:t>eq and it is clear that the implementation of SMRs will contribute to increasing this saving.</w:t>
      </w:r>
    </w:p>
    <w:p w14:paraId="1FF8F47C" w14:textId="77777777" w:rsidR="001500B9" w:rsidRPr="001500B9" w:rsidRDefault="001500B9" w:rsidP="001500B9">
      <w:pPr>
        <w:rPr>
          <w:sz w:val="20"/>
          <w:lang w:val="en-US"/>
        </w:rPr>
      </w:pPr>
    </w:p>
    <w:p w14:paraId="2CC8046D" w14:textId="4E29EF27" w:rsidR="001500B9" w:rsidRPr="001500B9" w:rsidRDefault="001500B9" w:rsidP="001500B9">
      <w:pPr>
        <w:rPr>
          <w:sz w:val="20"/>
          <w:lang w:val="en-US"/>
        </w:rPr>
      </w:pPr>
      <w:r w:rsidRPr="001500B9">
        <w:rPr>
          <w:sz w:val="20"/>
          <w:lang w:val="en-US"/>
        </w:rPr>
        <w:t>6. CONFLICTS OF INTEREST</w:t>
      </w:r>
    </w:p>
    <w:p w14:paraId="105E991A" w14:textId="77777777" w:rsidR="001500B9" w:rsidRPr="001500B9" w:rsidRDefault="001500B9" w:rsidP="001500B9">
      <w:pPr>
        <w:rPr>
          <w:sz w:val="20"/>
          <w:lang w:val="en-US"/>
        </w:rPr>
      </w:pPr>
    </w:p>
    <w:p w14:paraId="18242336" w14:textId="278238D7" w:rsidR="001500B9" w:rsidRPr="001500B9" w:rsidRDefault="001500B9" w:rsidP="005B70FE">
      <w:pPr>
        <w:ind w:firstLine="567"/>
        <w:rPr>
          <w:sz w:val="20"/>
          <w:lang w:val="en-US"/>
        </w:rPr>
      </w:pPr>
      <w:r w:rsidRPr="001500B9">
        <w:rPr>
          <w:sz w:val="20"/>
          <w:lang w:val="en-US"/>
        </w:rPr>
        <w:t>No author associated with this article has disclosed any potential or relevant conflict that could be perceived as an imminent conflict with this research work.</w:t>
      </w:r>
    </w:p>
    <w:p w14:paraId="49CB6560" w14:textId="1AFCE27A" w:rsidR="001500B9" w:rsidRPr="001500B9" w:rsidRDefault="001500B9" w:rsidP="001500B9">
      <w:pPr>
        <w:rPr>
          <w:sz w:val="20"/>
          <w:lang w:val="en-US"/>
        </w:rPr>
      </w:pPr>
    </w:p>
    <w:p w14:paraId="72892A8C" w14:textId="133240F6" w:rsidR="001500B9" w:rsidRPr="001500B9" w:rsidRDefault="001500B9" w:rsidP="001500B9">
      <w:pPr>
        <w:rPr>
          <w:sz w:val="20"/>
          <w:lang w:val="en-US"/>
        </w:rPr>
      </w:pPr>
    </w:p>
    <w:p w14:paraId="449BB09F" w14:textId="77777777" w:rsidR="001500B9" w:rsidRPr="001500B9" w:rsidRDefault="001500B9" w:rsidP="001500B9">
      <w:pPr>
        <w:pStyle w:val="Otherunnumberedheadings"/>
        <w:rPr>
          <w:rFonts w:ascii="Times New Roman" w:hAnsi="Times New Roman"/>
        </w:rPr>
      </w:pPr>
      <w:r w:rsidRPr="001500B9">
        <w:rPr>
          <w:rFonts w:ascii="Times New Roman" w:hAnsi="Times New Roman"/>
        </w:rPr>
        <w:t>ACKNOWLEDGEMENTS</w:t>
      </w:r>
    </w:p>
    <w:p w14:paraId="23D3A159" w14:textId="77777777" w:rsidR="001500B9" w:rsidRPr="001500B9" w:rsidRDefault="001500B9" w:rsidP="001500B9">
      <w:pPr>
        <w:pStyle w:val="Textoindependiente"/>
        <w:rPr>
          <w:lang w:val="en-US"/>
        </w:rPr>
      </w:pPr>
      <w:r w:rsidRPr="001500B9">
        <w:rPr>
          <w:lang w:val="en-US"/>
        </w:rPr>
        <w:t>We appreciate the support provided for this publication by the academic team at the World Institute for Nuclear Security (WINS).</w:t>
      </w:r>
    </w:p>
    <w:p w14:paraId="08E1A828" w14:textId="77777777" w:rsidR="001500B9" w:rsidRPr="001500B9" w:rsidRDefault="001500B9" w:rsidP="001500B9">
      <w:pPr>
        <w:pStyle w:val="Textoindependiente"/>
        <w:rPr>
          <w:lang w:val="en-US"/>
        </w:rPr>
      </w:pPr>
    </w:p>
    <w:p w14:paraId="09F2D9D7" w14:textId="77777777" w:rsidR="001500B9" w:rsidRPr="001500B9" w:rsidRDefault="001500B9" w:rsidP="001500B9">
      <w:pPr>
        <w:rPr>
          <w:sz w:val="20"/>
          <w:lang w:val="en-US"/>
        </w:rPr>
      </w:pPr>
    </w:p>
    <w:p w14:paraId="3D677AE6" w14:textId="77777777" w:rsidR="001500B9" w:rsidRPr="001500B9" w:rsidRDefault="001500B9" w:rsidP="001500B9">
      <w:pPr>
        <w:rPr>
          <w:sz w:val="20"/>
          <w:lang w:val="en-US"/>
        </w:rPr>
      </w:pPr>
    </w:p>
    <w:p w14:paraId="29A35743" w14:textId="77777777" w:rsidR="000777CD" w:rsidRPr="001500B9" w:rsidRDefault="000777CD" w:rsidP="004F380F">
      <w:pPr>
        <w:rPr>
          <w:sz w:val="20"/>
          <w:lang w:val="en-US"/>
        </w:rPr>
      </w:pPr>
    </w:p>
    <w:p w14:paraId="29CAE266" w14:textId="675C27E9" w:rsidR="006F00CF" w:rsidRPr="001500B9" w:rsidRDefault="006F00CF" w:rsidP="00324146">
      <w:pPr>
        <w:overflowPunct/>
        <w:autoSpaceDE/>
        <w:autoSpaceDN/>
        <w:adjustRightInd/>
        <w:textAlignment w:val="auto"/>
        <w:rPr>
          <w:color w:val="000000"/>
          <w:sz w:val="20"/>
          <w:shd w:val="clear" w:color="auto" w:fill="FFFFFF"/>
          <w:lang w:val="en-US" w:eastAsia="es-ES_tradnl"/>
        </w:rPr>
      </w:pPr>
    </w:p>
    <w:p w14:paraId="55741313" w14:textId="20123535" w:rsidR="006F00CF" w:rsidRDefault="006F00CF" w:rsidP="001500B9">
      <w:pPr>
        <w:overflowPunct/>
        <w:autoSpaceDE/>
        <w:autoSpaceDN/>
        <w:adjustRightInd/>
        <w:jc w:val="center"/>
        <w:textAlignment w:val="auto"/>
        <w:rPr>
          <w:b/>
          <w:color w:val="000000"/>
          <w:sz w:val="20"/>
          <w:shd w:val="clear" w:color="auto" w:fill="FFFFFF"/>
          <w:lang w:val="en-US" w:eastAsia="es-ES_tradnl"/>
        </w:rPr>
      </w:pPr>
      <w:r w:rsidRPr="001500B9">
        <w:rPr>
          <w:b/>
          <w:color w:val="000000"/>
          <w:sz w:val="20"/>
          <w:shd w:val="clear" w:color="auto" w:fill="FFFFFF"/>
          <w:lang w:val="en-US" w:eastAsia="es-ES_tradnl"/>
        </w:rPr>
        <w:t>REFERENCES</w:t>
      </w:r>
    </w:p>
    <w:p w14:paraId="7590020D" w14:textId="77777777" w:rsidR="001500B9" w:rsidRPr="001500B9" w:rsidRDefault="001500B9" w:rsidP="001500B9">
      <w:pPr>
        <w:overflowPunct/>
        <w:autoSpaceDE/>
        <w:autoSpaceDN/>
        <w:adjustRightInd/>
        <w:jc w:val="center"/>
        <w:textAlignment w:val="auto"/>
        <w:rPr>
          <w:b/>
          <w:color w:val="000000"/>
          <w:sz w:val="20"/>
          <w:shd w:val="clear" w:color="auto" w:fill="FFFFFF"/>
          <w:lang w:val="en-US" w:eastAsia="es-ES_tradnl"/>
        </w:rPr>
      </w:pPr>
    </w:p>
    <w:p w14:paraId="31CBA762" w14:textId="6CE12BF9" w:rsidR="00B260C8" w:rsidRPr="001500B9" w:rsidRDefault="00B260C8" w:rsidP="00324146">
      <w:pPr>
        <w:overflowPunct/>
        <w:autoSpaceDE/>
        <w:autoSpaceDN/>
        <w:adjustRightInd/>
        <w:textAlignment w:val="auto"/>
        <w:rPr>
          <w:color w:val="000000"/>
          <w:sz w:val="20"/>
          <w:shd w:val="clear" w:color="auto" w:fill="FFFFFF"/>
          <w:lang w:val="en-US" w:eastAsia="es-ES_tradnl"/>
        </w:rPr>
      </w:pPr>
    </w:p>
    <w:p w14:paraId="0F16D458" w14:textId="4A9AA05D" w:rsidR="00B260C8" w:rsidRPr="001500B9" w:rsidRDefault="00B260C8" w:rsidP="00B260C8">
      <w:pPr>
        <w:overflowPunct/>
        <w:autoSpaceDE/>
        <w:autoSpaceDN/>
        <w:adjustRightInd/>
        <w:textAlignment w:val="auto"/>
        <w:rPr>
          <w:color w:val="000000"/>
          <w:sz w:val="18"/>
          <w:szCs w:val="18"/>
          <w:shd w:val="clear" w:color="auto" w:fill="FFFFFF"/>
          <w:lang w:val="es-CO" w:eastAsia="es-ES_tradnl"/>
        </w:rPr>
      </w:pPr>
      <w:r w:rsidRPr="001500B9">
        <w:rPr>
          <w:color w:val="000000"/>
          <w:sz w:val="18"/>
          <w:szCs w:val="18"/>
          <w:shd w:val="clear" w:color="auto" w:fill="FFFFFF"/>
          <w:lang w:val="en-US" w:eastAsia="es-ES_tradnl"/>
        </w:rPr>
        <w:t xml:space="preserve">[1] </w:t>
      </w:r>
      <w:r w:rsidR="001500B9" w:rsidRPr="001500B9">
        <w:rPr>
          <w:color w:val="000000"/>
          <w:sz w:val="18"/>
          <w:szCs w:val="18"/>
          <w:shd w:val="clear" w:color="auto" w:fill="FFFFFF"/>
          <w:lang w:val="en-US" w:eastAsia="es-ES_tradnl"/>
        </w:rPr>
        <w:t>ROCKSTRÓM</w:t>
      </w:r>
      <w:r w:rsidRPr="001500B9">
        <w:rPr>
          <w:i/>
          <w:iCs/>
          <w:color w:val="000000"/>
          <w:sz w:val="18"/>
          <w:szCs w:val="18"/>
          <w:shd w:val="clear" w:color="auto" w:fill="FFFFFF"/>
          <w:lang w:val="en-US" w:eastAsia="es-ES_tradnl"/>
        </w:rPr>
        <w:t>.</w:t>
      </w:r>
      <w:r w:rsidRPr="001500B9">
        <w:rPr>
          <w:color w:val="000000"/>
          <w:sz w:val="18"/>
          <w:szCs w:val="18"/>
          <w:shd w:val="clear" w:color="auto" w:fill="FFFFFF"/>
          <w:lang w:val="en-US" w:eastAsia="es-ES_tradnl"/>
        </w:rPr>
        <w:t> A safe operating space for humanity. </w:t>
      </w:r>
      <w:r w:rsidRPr="001500B9">
        <w:rPr>
          <w:iCs/>
          <w:color w:val="000000"/>
          <w:sz w:val="18"/>
          <w:szCs w:val="18"/>
          <w:shd w:val="clear" w:color="auto" w:fill="FFFFFF"/>
          <w:lang w:val="es-CO" w:eastAsia="es-ES_tradnl"/>
        </w:rPr>
        <w:t>Nature</w:t>
      </w:r>
      <w:r w:rsidRPr="001500B9">
        <w:rPr>
          <w:color w:val="000000"/>
          <w:sz w:val="18"/>
          <w:szCs w:val="18"/>
          <w:shd w:val="clear" w:color="auto" w:fill="FFFFFF"/>
          <w:lang w:val="es-CO" w:eastAsia="es-ES_tradnl"/>
        </w:rPr>
        <w:t> </w:t>
      </w:r>
      <w:r w:rsidRPr="001500B9">
        <w:rPr>
          <w:bCs/>
          <w:color w:val="000000"/>
          <w:sz w:val="18"/>
          <w:szCs w:val="18"/>
          <w:shd w:val="clear" w:color="auto" w:fill="FFFFFF"/>
          <w:lang w:val="es-CO" w:eastAsia="es-ES_tradnl"/>
        </w:rPr>
        <w:t>461</w:t>
      </w:r>
      <w:r w:rsidRPr="001500B9">
        <w:rPr>
          <w:color w:val="000000"/>
          <w:sz w:val="18"/>
          <w:szCs w:val="18"/>
          <w:shd w:val="clear" w:color="auto" w:fill="FFFFFF"/>
          <w:lang w:val="es-CO" w:eastAsia="es-ES_tradnl"/>
        </w:rPr>
        <w:t xml:space="preserve">, 472–475 (2009). </w:t>
      </w:r>
      <w:r w:rsidRPr="001500B9">
        <w:rPr>
          <w:color w:val="000000"/>
          <w:sz w:val="18"/>
          <w:szCs w:val="18"/>
          <w:shd w:val="clear" w:color="auto" w:fill="FFFFFF"/>
          <w:lang w:val="es-CO" w:eastAsia="es-ES_tradnl"/>
        </w:rPr>
        <w:fldChar w:fldCharType="begin"/>
      </w:r>
      <w:r w:rsidRPr="001500B9">
        <w:rPr>
          <w:color w:val="000000"/>
          <w:sz w:val="18"/>
          <w:szCs w:val="18"/>
          <w:shd w:val="clear" w:color="auto" w:fill="FFFFFF"/>
          <w:lang w:val="es-CO" w:eastAsia="es-ES_tradnl"/>
        </w:rPr>
        <w:instrText xml:space="preserve"> HYPERLINK "</w:instrText>
      </w:r>
      <w:r w:rsidRPr="001500B9">
        <w:rPr>
          <w:color w:val="000000"/>
          <w:sz w:val="18"/>
          <w:szCs w:val="18"/>
          <w:shd w:val="clear" w:color="auto" w:fill="FFFFFF"/>
          <w:lang w:val="es-CO" w:eastAsia="es-ES_tradnl"/>
        </w:rPr>
        <w:instrText>https://doi.org/10.1038/461472a</w:instrText>
      </w:r>
      <w:r w:rsidRPr="001500B9">
        <w:rPr>
          <w:color w:val="000000"/>
          <w:sz w:val="18"/>
          <w:szCs w:val="18"/>
          <w:shd w:val="clear" w:color="auto" w:fill="FFFFFF"/>
          <w:lang w:val="es-CO" w:eastAsia="es-ES_tradnl"/>
        </w:rPr>
        <w:instrText xml:space="preserve">" </w:instrText>
      </w:r>
      <w:r w:rsidRPr="001500B9">
        <w:rPr>
          <w:color w:val="000000"/>
          <w:sz w:val="18"/>
          <w:szCs w:val="18"/>
          <w:shd w:val="clear" w:color="auto" w:fill="FFFFFF"/>
          <w:lang w:val="es-CO" w:eastAsia="es-ES_tradnl"/>
        </w:rPr>
        <w:fldChar w:fldCharType="separate"/>
      </w:r>
      <w:r w:rsidRPr="001500B9">
        <w:rPr>
          <w:rStyle w:val="Hipervnculo"/>
          <w:sz w:val="18"/>
          <w:szCs w:val="18"/>
          <w:shd w:val="clear" w:color="auto" w:fill="FFFFFF"/>
          <w:lang w:val="es-CO" w:eastAsia="es-ES_tradnl"/>
        </w:rPr>
        <w:t>https://doi.org/10.1038/461472a</w:t>
      </w:r>
      <w:r w:rsidRPr="001500B9">
        <w:rPr>
          <w:color w:val="000000"/>
          <w:sz w:val="18"/>
          <w:szCs w:val="18"/>
          <w:shd w:val="clear" w:color="auto" w:fill="FFFFFF"/>
          <w:lang w:val="es-CO" w:eastAsia="es-ES_tradnl"/>
        </w:rPr>
        <w:fldChar w:fldCharType="end"/>
      </w:r>
    </w:p>
    <w:p w14:paraId="2D3F43B0" w14:textId="176C1AB2" w:rsidR="00B260C8" w:rsidRPr="001500B9" w:rsidRDefault="00B260C8" w:rsidP="00B260C8">
      <w:pPr>
        <w:overflowPunct/>
        <w:autoSpaceDE/>
        <w:autoSpaceDN/>
        <w:adjustRightInd/>
        <w:textAlignment w:val="auto"/>
        <w:rPr>
          <w:color w:val="000000"/>
          <w:sz w:val="18"/>
          <w:szCs w:val="18"/>
          <w:shd w:val="clear" w:color="auto" w:fill="FFFFFF"/>
          <w:lang w:val="es-CO" w:eastAsia="es-ES_tradnl"/>
        </w:rPr>
      </w:pPr>
    </w:p>
    <w:p w14:paraId="44EBEDE1" w14:textId="7BF50FF9" w:rsidR="00B260C8" w:rsidRPr="001500B9" w:rsidRDefault="00B260C8" w:rsidP="00B260C8">
      <w:pPr>
        <w:overflowPunct/>
        <w:autoSpaceDE/>
        <w:autoSpaceDN/>
        <w:adjustRightInd/>
        <w:textAlignment w:val="auto"/>
        <w:rPr>
          <w:color w:val="000000"/>
          <w:sz w:val="18"/>
          <w:szCs w:val="18"/>
          <w:shd w:val="clear" w:color="auto" w:fill="FFFFFF"/>
          <w:lang w:val="es-CO" w:eastAsia="es-ES_tradnl"/>
        </w:rPr>
      </w:pPr>
      <w:r w:rsidRPr="001500B9">
        <w:rPr>
          <w:color w:val="000000"/>
          <w:sz w:val="18"/>
          <w:szCs w:val="18"/>
          <w:shd w:val="clear" w:color="auto" w:fill="FFFFFF"/>
          <w:lang w:val="en-US" w:eastAsia="es-ES_tradnl"/>
        </w:rPr>
        <w:t xml:space="preserve">[2] </w:t>
      </w:r>
      <w:r w:rsidR="001500B9" w:rsidRPr="001500B9">
        <w:rPr>
          <w:color w:val="000000"/>
          <w:sz w:val="18"/>
          <w:szCs w:val="18"/>
          <w:shd w:val="clear" w:color="auto" w:fill="FFFFFF"/>
          <w:lang w:val="en-US" w:eastAsia="es-ES_tradnl"/>
        </w:rPr>
        <w:t>RICHARDSON, STEFFEN, LUCHT</w:t>
      </w:r>
      <w:r w:rsidRPr="001500B9">
        <w:rPr>
          <w:color w:val="000000"/>
          <w:sz w:val="18"/>
          <w:szCs w:val="18"/>
          <w:shd w:val="clear" w:color="auto" w:fill="FFFFFF"/>
          <w:lang w:val="en-US" w:eastAsia="es-ES_tradnl"/>
        </w:rPr>
        <w:t xml:space="preserve">. Earth beyond six of nine planetary boundaries. </w:t>
      </w:r>
      <w:r w:rsidRPr="001500B9">
        <w:rPr>
          <w:color w:val="000000"/>
          <w:sz w:val="18"/>
          <w:szCs w:val="18"/>
          <w:shd w:val="clear" w:color="auto" w:fill="FFFFFF"/>
          <w:lang w:val="es-CO" w:eastAsia="es-ES_tradnl"/>
        </w:rPr>
        <w:t>Sci Adv. 2023 Sep 15;9(37):eadh2458. doi: 10.1126/sciadv.adh2458. Epub 2023 Sep 13. PMID: 37703365; PMCID: PMC10499318.</w:t>
      </w:r>
    </w:p>
    <w:p w14:paraId="7FACB816" w14:textId="201F1BE1" w:rsidR="00B260C8" w:rsidRPr="001500B9" w:rsidRDefault="00B260C8" w:rsidP="00B260C8">
      <w:pPr>
        <w:overflowPunct/>
        <w:autoSpaceDE/>
        <w:autoSpaceDN/>
        <w:adjustRightInd/>
        <w:textAlignment w:val="auto"/>
        <w:rPr>
          <w:color w:val="000000"/>
          <w:sz w:val="18"/>
          <w:szCs w:val="18"/>
          <w:shd w:val="clear" w:color="auto" w:fill="FFFFFF"/>
          <w:lang w:val="es-CO" w:eastAsia="es-ES_tradnl"/>
        </w:rPr>
      </w:pPr>
    </w:p>
    <w:p w14:paraId="0EC39523" w14:textId="6D9B4958" w:rsidR="00B260C8" w:rsidRPr="001500B9" w:rsidRDefault="00B260C8" w:rsidP="00B260C8">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t xml:space="preserve">[3] </w:t>
      </w:r>
      <w:r w:rsidR="001500B9" w:rsidRPr="001500B9">
        <w:rPr>
          <w:color w:val="000000"/>
          <w:sz w:val="18"/>
          <w:szCs w:val="18"/>
          <w:shd w:val="clear" w:color="auto" w:fill="FFFFFF"/>
          <w:lang w:val="en-US" w:eastAsia="es-ES_tradnl"/>
        </w:rPr>
        <w:t>LELIEVED, HAINES, BURNETT</w:t>
      </w:r>
      <w:r w:rsidRPr="001500B9">
        <w:rPr>
          <w:color w:val="000000"/>
          <w:sz w:val="18"/>
          <w:szCs w:val="18"/>
          <w:shd w:val="clear" w:color="auto" w:fill="FFFFFF"/>
          <w:lang w:val="en-US" w:eastAsia="es-ES_tradnl"/>
        </w:rPr>
        <w:t> et al. Air pollution deaths attributable to fossil fuels: observational and modelling study </w:t>
      </w:r>
      <w:r w:rsidRPr="001500B9">
        <w:rPr>
          <w:i/>
          <w:iCs/>
          <w:color w:val="000000"/>
          <w:sz w:val="18"/>
          <w:szCs w:val="18"/>
          <w:shd w:val="clear" w:color="auto" w:fill="FFFFFF"/>
          <w:lang w:val="en-US" w:eastAsia="es-ES_tradnl"/>
        </w:rPr>
        <w:t>BMJ </w:t>
      </w:r>
      <w:r w:rsidRPr="001500B9">
        <w:rPr>
          <w:color w:val="000000"/>
          <w:sz w:val="18"/>
          <w:szCs w:val="18"/>
          <w:shd w:val="clear" w:color="auto" w:fill="FFFFFF"/>
          <w:lang w:val="en-US" w:eastAsia="es-ES_tradnl"/>
        </w:rPr>
        <w:t>2023; 383 :e077784 doi:10.1136/bmj-2023-077784</w:t>
      </w:r>
    </w:p>
    <w:p w14:paraId="3E620BEA" w14:textId="526FEC2B" w:rsidR="006003C6" w:rsidRPr="001500B9" w:rsidRDefault="006003C6" w:rsidP="00B260C8">
      <w:pPr>
        <w:overflowPunct/>
        <w:autoSpaceDE/>
        <w:autoSpaceDN/>
        <w:adjustRightInd/>
        <w:textAlignment w:val="auto"/>
        <w:rPr>
          <w:color w:val="000000"/>
          <w:sz w:val="18"/>
          <w:szCs w:val="18"/>
          <w:shd w:val="clear" w:color="auto" w:fill="FFFFFF"/>
          <w:lang w:val="en-US" w:eastAsia="es-ES_tradnl"/>
        </w:rPr>
      </w:pPr>
    </w:p>
    <w:p w14:paraId="6EFF7D32" w14:textId="3A9F3C2A" w:rsidR="006003C6" w:rsidRPr="001500B9" w:rsidRDefault="006003C6" w:rsidP="006003C6">
      <w:pPr>
        <w:overflowPunct/>
        <w:autoSpaceDE/>
        <w:autoSpaceDN/>
        <w:adjustRightInd/>
        <w:textAlignment w:val="auto"/>
        <w:rPr>
          <w:color w:val="000000"/>
          <w:sz w:val="18"/>
          <w:szCs w:val="18"/>
          <w:shd w:val="clear" w:color="auto" w:fill="FFFFFF"/>
          <w:lang w:val="es-CO" w:eastAsia="es-ES_tradnl"/>
        </w:rPr>
      </w:pPr>
      <w:r w:rsidRPr="001500B9">
        <w:rPr>
          <w:color w:val="000000"/>
          <w:sz w:val="18"/>
          <w:szCs w:val="18"/>
          <w:shd w:val="clear" w:color="auto" w:fill="FFFFFF"/>
          <w:lang w:val="en-US" w:eastAsia="es-ES_tradnl"/>
        </w:rPr>
        <w:t xml:space="preserve">[4] </w:t>
      </w:r>
      <w:r w:rsidR="001500B9" w:rsidRPr="001500B9">
        <w:rPr>
          <w:color w:val="000000"/>
          <w:sz w:val="18"/>
          <w:szCs w:val="18"/>
          <w:shd w:val="clear" w:color="auto" w:fill="FFFFFF"/>
          <w:lang w:val="en-US" w:eastAsia="es-ES_tradnl"/>
        </w:rPr>
        <w:t>GODBOLD, CALOSI</w:t>
      </w:r>
      <w:r w:rsidRPr="001500B9">
        <w:rPr>
          <w:color w:val="000000"/>
          <w:sz w:val="18"/>
          <w:szCs w:val="18"/>
          <w:shd w:val="clear" w:color="auto" w:fill="FFFFFF"/>
          <w:lang w:val="en-US" w:eastAsia="es-ES_tradnl"/>
        </w:rPr>
        <w:t xml:space="preserve">. Ocean acidification and climate change: advances in ecology and evolution. </w:t>
      </w:r>
      <w:proofErr w:type="spellStart"/>
      <w:r w:rsidRPr="001500B9">
        <w:rPr>
          <w:color w:val="000000"/>
          <w:sz w:val="18"/>
          <w:szCs w:val="18"/>
          <w:shd w:val="clear" w:color="auto" w:fill="FFFFFF"/>
          <w:lang w:val="en-US" w:eastAsia="es-ES_tradnl"/>
        </w:rPr>
        <w:t>Philos</w:t>
      </w:r>
      <w:proofErr w:type="spellEnd"/>
      <w:r w:rsidRPr="001500B9">
        <w:rPr>
          <w:color w:val="000000"/>
          <w:sz w:val="18"/>
          <w:szCs w:val="18"/>
          <w:shd w:val="clear" w:color="auto" w:fill="FFFFFF"/>
          <w:lang w:val="en-US" w:eastAsia="es-ES_tradnl"/>
        </w:rPr>
        <w:t xml:space="preserve"> Trans R </w:t>
      </w:r>
      <w:proofErr w:type="spellStart"/>
      <w:r w:rsidRPr="001500B9">
        <w:rPr>
          <w:color w:val="000000"/>
          <w:sz w:val="18"/>
          <w:szCs w:val="18"/>
          <w:shd w:val="clear" w:color="auto" w:fill="FFFFFF"/>
          <w:lang w:val="en-US" w:eastAsia="es-ES_tradnl"/>
        </w:rPr>
        <w:t>Soc</w:t>
      </w:r>
      <w:proofErr w:type="spellEnd"/>
      <w:r w:rsidRPr="001500B9">
        <w:rPr>
          <w:color w:val="000000"/>
          <w:sz w:val="18"/>
          <w:szCs w:val="18"/>
          <w:shd w:val="clear" w:color="auto" w:fill="FFFFFF"/>
          <w:lang w:val="en-US" w:eastAsia="es-ES_tradnl"/>
        </w:rPr>
        <w:t xml:space="preserve"> </w:t>
      </w:r>
      <w:proofErr w:type="spellStart"/>
      <w:r w:rsidRPr="001500B9">
        <w:rPr>
          <w:color w:val="000000"/>
          <w:sz w:val="18"/>
          <w:szCs w:val="18"/>
          <w:shd w:val="clear" w:color="auto" w:fill="FFFFFF"/>
          <w:lang w:val="en-US" w:eastAsia="es-ES_tradnl"/>
        </w:rPr>
        <w:t>Lond</w:t>
      </w:r>
      <w:proofErr w:type="spellEnd"/>
      <w:r w:rsidRPr="001500B9">
        <w:rPr>
          <w:color w:val="000000"/>
          <w:sz w:val="18"/>
          <w:szCs w:val="18"/>
          <w:shd w:val="clear" w:color="auto" w:fill="FFFFFF"/>
          <w:lang w:val="en-US" w:eastAsia="es-ES_tradnl"/>
        </w:rPr>
        <w:t xml:space="preserve"> B </w:t>
      </w:r>
      <w:proofErr w:type="spellStart"/>
      <w:r w:rsidRPr="001500B9">
        <w:rPr>
          <w:color w:val="000000"/>
          <w:sz w:val="18"/>
          <w:szCs w:val="18"/>
          <w:shd w:val="clear" w:color="auto" w:fill="FFFFFF"/>
          <w:lang w:val="en-US" w:eastAsia="es-ES_tradnl"/>
        </w:rPr>
        <w:t>Biol</w:t>
      </w:r>
      <w:proofErr w:type="spellEnd"/>
      <w:r w:rsidRPr="001500B9">
        <w:rPr>
          <w:color w:val="000000"/>
          <w:sz w:val="18"/>
          <w:szCs w:val="18"/>
          <w:shd w:val="clear" w:color="auto" w:fill="FFFFFF"/>
          <w:lang w:val="en-US" w:eastAsia="es-ES_tradnl"/>
        </w:rPr>
        <w:t xml:space="preserve"> Sci. 2013 Aug 26;368(1627):20120448. </w:t>
      </w:r>
      <w:proofErr w:type="spellStart"/>
      <w:r w:rsidRPr="001500B9">
        <w:rPr>
          <w:color w:val="000000"/>
          <w:sz w:val="18"/>
          <w:szCs w:val="18"/>
          <w:shd w:val="clear" w:color="auto" w:fill="FFFFFF"/>
          <w:lang w:val="en-US" w:eastAsia="es-ES_tradnl"/>
        </w:rPr>
        <w:t>doi</w:t>
      </w:r>
      <w:proofErr w:type="spellEnd"/>
      <w:r w:rsidRPr="001500B9">
        <w:rPr>
          <w:color w:val="000000"/>
          <w:sz w:val="18"/>
          <w:szCs w:val="18"/>
          <w:shd w:val="clear" w:color="auto" w:fill="FFFFFF"/>
          <w:lang w:val="en-US" w:eastAsia="es-ES_tradnl"/>
        </w:rPr>
        <w:t xml:space="preserve">: 10.1098/rstb.2012.0448. </w:t>
      </w:r>
      <w:r w:rsidRPr="001500B9">
        <w:rPr>
          <w:color w:val="000000"/>
          <w:sz w:val="18"/>
          <w:szCs w:val="18"/>
          <w:shd w:val="clear" w:color="auto" w:fill="FFFFFF"/>
          <w:lang w:val="es-CO" w:eastAsia="es-ES_tradnl"/>
        </w:rPr>
        <w:t>PMID: 23980247; PMCID: PMC3758178.</w:t>
      </w:r>
    </w:p>
    <w:p w14:paraId="61136576" w14:textId="402839B5" w:rsidR="006003C6" w:rsidRPr="001500B9" w:rsidRDefault="006003C6" w:rsidP="006003C6">
      <w:pPr>
        <w:overflowPunct/>
        <w:autoSpaceDE/>
        <w:autoSpaceDN/>
        <w:adjustRightInd/>
        <w:textAlignment w:val="auto"/>
        <w:rPr>
          <w:color w:val="000000"/>
          <w:sz w:val="18"/>
          <w:szCs w:val="18"/>
          <w:shd w:val="clear" w:color="auto" w:fill="FFFFFF"/>
          <w:lang w:val="es-CO" w:eastAsia="es-ES_tradnl"/>
        </w:rPr>
      </w:pPr>
    </w:p>
    <w:p w14:paraId="3DEF6EDC" w14:textId="563BEC2D" w:rsidR="006003C6" w:rsidRPr="001500B9" w:rsidRDefault="006003C6" w:rsidP="006003C6">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lastRenderedPageBreak/>
        <w:t xml:space="preserve">[5] </w:t>
      </w:r>
      <w:r w:rsidR="001500B9" w:rsidRPr="001500B9">
        <w:rPr>
          <w:color w:val="000000"/>
          <w:sz w:val="18"/>
          <w:szCs w:val="18"/>
          <w:shd w:val="clear" w:color="auto" w:fill="FFFFFF"/>
          <w:lang w:val="en-US" w:eastAsia="es-ES_tradnl"/>
        </w:rPr>
        <w:t>UNITED NATIONS</w:t>
      </w:r>
      <w:r w:rsidRPr="001500B9">
        <w:rPr>
          <w:color w:val="000000"/>
          <w:sz w:val="18"/>
          <w:szCs w:val="18"/>
          <w:shd w:val="clear" w:color="auto" w:fill="FFFFFF"/>
          <w:lang w:val="en-US" w:eastAsia="es-ES_tradnl"/>
        </w:rPr>
        <w:t xml:space="preserve">, 20222. </w:t>
      </w:r>
      <w:r w:rsidRPr="006003C6">
        <w:rPr>
          <w:color w:val="000000"/>
          <w:sz w:val="18"/>
          <w:szCs w:val="18"/>
          <w:shd w:val="clear" w:color="auto" w:fill="FFFFFF"/>
          <w:lang w:val="en-US" w:eastAsia="es-ES_tradnl"/>
        </w:rPr>
        <w:t>Carbon Neutrality in the UNECE Region: Integrated Life-cycle Assessment of Electricity Sources</w:t>
      </w:r>
    </w:p>
    <w:p w14:paraId="3D864B72" w14:textId="64091E4B" w:rsidR="006003C6" w:rsidRPr="001500B9" w:rsidRDefault="006003C6" w:rsidP="006003C6">
      <w:pPr>
        <w:overflowPunct/>
        <w:autoSpaceDE/>
        <w:autoSpaceDN/>
        <w:adjustRightInd/>
        <w:textAlignment w:val="auto"/>
        <w:rPr>
          <w:color w:val="000000"/>
          <w:sz w:val="18"/>
          <w:szCs w:val="18"/>
          <w:shd w:val="clear" w:color="auto" w:fill="FFFFFF"/>
          <w:lang w:val="en-US" w:eastAsia="es-ES_tradnl"/>
        </w:rPr>
      </w:pPr>
    </w:p>
    <w:p w14:paraId="0E679057" w14:textId="1C73C61B" w:rsidR="006003C6" w:rsidRPr="006003C6" w:rsidRDefault="006003C6" w:rsidP="006003C6">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t xml:space="preserve">[6] </w:t>
      </w:r>
      <w:r w:rsidR="001500B9" w:rsidRPr="001500B9">
        <w:rPr>
          <w:color w:val="000000"/>
          <w:sz w:val="18"/>
          <w:szCs w:val="18"/>
          <w:shd w:val="clear" w:color="auto" w:fill="FFFFFF"/>
          <w:lang w:val="en-US" w:eastAsia="es-ES_tradnl"/>
        </w:rPr>
        <w:t>LOVERLING, SWAIM, BLOMQVIST, HERNANDEZ.</w:t>
      </w:r>
      <w:r w:rsidRPr="006003C6">
        <w:rPr>
          <w:color w:val="000000"/>
          <w:sz w:val="18"/>
          <w:szCs w:val="18"/>
          <w:shd w:val="clear" w:color="auto" w:fill="FFFFFF"/>
          <w:lang w:val="en-US" w:eastAsia="es-ES_tradnl"/>
        </w:rPr>
        <w:t xml:space="preserve"> Land-use intensity of electricity production and tomorrow's energy landscape. </w:t>
      </w:r>
      <w:proofErr w:type="spellStart"/>
      <w:r w:rsidRPr="006003C6">
        <w:rPr>
          <w:color w:val="000000"/>
          <w:sz w:val="18"/>
          <w:szCs w:val="18"/>
          <w:shd w:val="clear" w:color="auto" w:fill="FFFFFF"/>
          <w:lang w:val="en-US" w:eastAsia="es-ES_tradnl"/>
        </w:rPr>
        <w:t>PLoS</w:t>
      </w:r>
      <w:proofErr w:type="spellEnd"/>
      <w:r w:rsidRPr="006003C6">
        <w:rPr>
          <w:color w:val="000000"/>
          <w:sz w:val="18"/>
          <w:szCs w:val="18"/>
          <w:shd w:val="clear" w:color="auto" w:fill="FFFFFF"/>
          <w:lang w:val="en-US" w:eastAsia="es-ES_tradnl"/>
        </w:rPr>
        <w:t xml:space="preserve"> One. 2022 Jul 6;17(7):e0270155. </w:t>
      </w:r>
      <w:proofErr w:type="spellStart"/>
      <w:r w:rsidRPr="006003C6">
        <w:rPr>
          <w:color w:val="000000"/>
          <w:sz w:val="18"/>
          <w:szCs w:val="18"/>
          <w:shd w:val="clear" w:color="auto" w:fill="FFFFFF"/>
          <w:lang w:val="en-US" w:eastAsia="es-ES_tradnl"/>
        </w:rPr>
        <w:t>doi</w:t>
      </w:r>
      <w:proofErr w:type="spellEnd"/>
      <w:r w:rsidRPr="006003C6">
        <w:rPr>
          <w:color w:val="000000"/>
          <w:sz w:val="18"/>
          <w:szCs w:val="18"/>
          <w:shd w:val="clear" w:color="auto" w:fill="FFFFFF"/>
          <w:lang w:val="en-US" w:eastAsia="es-ES_tradnl"/>
        </w:rPr>
        <w:t>: 10.1371/journal.pone.0270155. PMID: 35793381; PMCID: PMC9258890.</w:t>
      </w:r>
    </w:p>
    <w:p w14:paraId="4CDC00D5" w14:textId="25AA86FD" w:rsidR="006003C6" w:rsidRPr="001500B9" w:rsidRDefault="006003C6" w:rsidP="006003C6">
      <w:pPr>
        <w:overflowPunct/>
        <w:autoSpaceDE/>
        <w:autoSpaceDN/>
        <w:adjustRightInd/>
        <w:textAlignment w:val="auto"/>
        <w:rPr>
          <w:color w:val="000000"/>
          <w:sz w:val="18"/>
          <w:szCs w:val="18"/>
          <w:shd w:val="clear" w:color="auto" w:fill="FFFFFF"/>
          <w:lang w:val="en-US" w:eastAsia="es-ES_tradnl"/>
        </w:rPr>
      </w:pPr>
    </w:p>
    <w:p w14:paraId="1A0952BB" w14:textId="72B799F6" w:rsidR="006003C6" w:rsidRPr="001500B9" w:rsidRDefault="006003C6" w:rsidP="006003C6">
      <w:pPr>
        <w:overflowPunct/>
        <w:autoSpaceDE/>
        <w:autoSpaceDN/>
        <w:adjustRightInd/>
        <w:textAlignment w:val="auto"/>
        <w:rPr>
          <w:color w:val="000000"/>
          <w:sz w:val="18"/>
          <w:szCs w:val="18"/>
          <w:shd w:val="clear" w:color="auto" w:fill="FFFFFF"/>
          <w:lang w:val="en-US" w:eastAsia="es-ES_tradnl"/>
        </w:rPr>
      </w:pPr>
    </w:p>
    <w:p w14:paraId="6A255E91" w14:textId="3518CC37" w:rsidR="006003C6" w:rsidRPr="001500B9" w:rsidRDefault="006003C6" w:rsidP="006003C6">
      <w:pPr>
        <w:overflowPunct/>
        <w:autoSpaceDE/>
        <w:autoSpaceDN/>
        <w:adjustRightInd/>
        <w:textAlignment w:val="auto"/>
        <w:rPr>
          <w:color w:val="212121"/>
          <w:sz w:val="18"/>
          <w:szCs w:val="18"/>
          <w:shd w:val="clear" w:color="auto" w:fill="FFFFFF"/>
        </w:rPr>
      </w:pPr>
      <w:r w:rsidRPr="001500B9">
        <w:rPr>
          <w:color w:val="212121"/>
          <w:sz w:val="18"/>
          <w:szCs w:val="18"/>
          <w:shd w:val="clear" w:color="auto" w:fill="FFFFFF"/>
        </w:rPr>
        <w:t xml:space="preserve">[7] </w:t>
      </w:r>
      <w:r w:rsidR="001500B9" w:rsidRPr="001500B9">
        <w:rPr>
          <w:color w:val="212121"/>
          <w:sz w:val="18"/>
          <w:szCs w:val="18"/>
          <w:shd w:val="clear" w:color="auto" w:fill="FFFFFF"/>
        </w:rPr>
        <w:t>ANIL MARKANDYA, PAUL WILKINSON.</w:t>
      </w:r>
      <w:r w:rsidRPr="001500B9">
        <w:rPr>
          <w:color w:val="212121"/>
          <w:sz w:val="18"/>
          <w:szCs w:val="18"/>
          <w:shd w:val="clear" w:color="auto" w:fill="FFFFFF"/>
        </w:rPr>
        <w:t xml:space="preserve"> </w:t>
      </w:r>
      <w:r w:rsidRPr="001500B9">
        <w:rPr>
          <w:color w:val="212121"/>
          <w:sz w:val="18"/>
          <w:szCs w:val="18"/>
          <w:shd w:val="clear" w:color="auto" w:fill="FFFFFF"/>
        </w:rPr>
        <w:t>Electricity generation and health,</w:t>
      </w:r>
      <w:r w:rsidRPr="001500B9">
        <w:rPr>
          <w:color w:val="212121"/>
          <w:sz w:val="18"/>
          <w:szCs w:val="18"/>
          <w:shd w:val="clear" w:color="auto" w:fill="FFFFFF"/>
        </w:rPr>
        <w:t xml:space="preserve"> </w:t>
      </w:r>
      <w:r w:rsidRPr="001500B9">
        <w:rPr>
          <w:color w:val="212121"/>
          <w:sz w:val="18"/>
          <w:szCs w:val="18"/>
          <w:shd w:val="clear" w:color="auto" w:fill="FFFFFF"/>
        </w:rPr>
        <w:t>The Lancet,</w:t>
      </w:r>
      <w:r w:rsidRPr="001500B9">
        <w:rPr>
          <w:color w:val="212121"/>
          <w:sz w:val="18"/>
          <w:szCs w:val="18"/>
          <w:shd w:val="clear" w:color="auto" w:fill="FFFFFF"/>
        </w:rPr>
        <w:t xml:space="preserve"> </w:t>
      </w:r>
      <w:r w:rsidRPr="001500B9">
        <w:rPr>
          <w:color w:val="212121"/>
          <w:sz w:val="18"/>
          <w:szCs w:val="18"/>
          <w:shd w:val="clear" w:color="auto" w:fill="FFFFFF"/>
        </w:rPr>
        <w:t>Volume 370, Issue 9591,</w:t>
      </w:r>
    </w:p>
    <w:p w14:paraId="63866552" w14:textId="6E0AE0FB" w:rsidR="006003C6" w:rsidRPr="001500B9" w:rsidRDefault="006003C6" w:rsidP="006003C6">
      <w:pPr>
        <w:overflowPunct/>
        <w:autoSpaceDE/>
        <w:autoSpaceDN/>
        <w:adjustRightInd/>
        <w:textAlignment w:val="auto"/>
        <w:rPr>
          <w:color w:val="212121"/>
          <w:sz w:val="18"/>
          <w:szCs w:val="18"/>
          <w:shd w:val="clear" w:color="auto" w:fill="FFFFFF"/>
        </w:rPr>
      </w:pPr>
      <w:r w:rsidRPr="001500B9">
        <w:rPr>
          <w:color w:val="212121"/>
          <w:sz w:val="18"/>
          <w:szCs w:val="18"/>
          <w:shd w:val="clear" w:color="auto" w:fill="FFFFFF"/>
        </w:rPr>
        <w:t>2007,</w:t>
      </w:r>
      <w:r w:rsidRPr="001500B9">
        <w:rPr>
          <w:color w:val="212121"/>
          <w:sz w:val="18"/>
          <w:szCs w:val="18"/>
          <w:shd w:val="clear" w:color="auto" w:fill="FFFFFF"/>
        </w:rPr>
        <w:t xml:space="preserve"> </w:t>
      </w:r>
      <w:r w:rsidRPr="001500B9">
        <w:rPr>
          <w:color w:val="212121"/>
          <w:sz w:val="18"/>
          <w:szCs w:val="18"/>
          <w:shd w:val="clear" w:color="auto" w:fill="FFFFFF"/>
        </w:rPr>
        <w:t>Pages 979-990,</w:t>
      </w:r>
      <w:r w:rsidRPr="001500B9">
        <w:rPr>
          <w:color w:val="212121"/>
          <w:sz w:val="18"/>
          <w:szCs w:val="18"/>
          <w:shd w:val="clear" w:color="auto" w:fill="FFFFFF"/>
        </w:rPr>
        <w:t xml:space="preserve"> </w:t>
      </w:r>
      <w:r w:rsidRPr="001500B9">
        <w:rPr>
          <w:color w:val="212121"/>
          <w:sz w:val="18"/>
          <w:szCs w:val="18"/>
          <w:shd w:val="clear" w:color="auto" w:fill="FFFFFF"/>
        </w:rPr>
        <w:t>ISSN 0140-6736,</w:t>
      </w:r>
      <w:r w:rsidRPr="001500B9">
        <w:rPr>
          <w:color w:val="212121"/>
          <w:sz w:val="18"/>
          <w:szCs w:val="18"/>
          <w:shd w:val="clear" w:color="auto" w:fill="FFFFFF"/>
        </w:rPr>
        <w:t xml:space="preserve"> </w:t>
      </w:r>
      <w:r w:rsidRPr="001500B9">
        <w:rPr>
          <w:color w:val="212121"/>
          <w:sz w:val="18"/>
          <w:szCs w:val="18"/>
          <w:shd w:val="clear" w:color="auto" w:fill="FFFFFF"/>
        </w:rPr>
        <w:t>https://doi.org/10.1016/S0140-6736(07)61253-7.</w:t>
      </w:r>
    </w:p>
    <w:p w14:paraId="684F61FC" w14:textId="77777777" w:rsidR="006003C6" w:rsidRPr="001500B9" w:rsidRDefault="006003C6" w:rsidP="006003C6">
      <w:pPr>
        <w:overflowPunct/>
        <w:autoSpaceDE/>
        <w:autoSpaceDN/>
        <w:adjustRightInd/>
        <w:textAlignment w:val="auto"/>
        <w:rPr>
          <w:color w:val="212121"/>
          <w:sz w:val="18"/>
          <w:szCs w:val="18"/>
          <w:shd w:val="clear" w:color="auto" w:fill="FFFFFF"/>
        </w:rPr>
      </w:pPr>
    </w:p>
    <w:p w14:paraId="3A41FB90" w14:textId="027FF1F1" w:rsidR="006003C6" w:rsidRPr="001500B9" w:rsidRDefault="006003C6" w:rsidP="006003C6">
      <w:pPr>
        <w:overflowPunct/>
        <w:autoSpaceDE/>
        <w:autoSpaceDN/>
        <w:adjustRightInd/>
        <w:textAlignment w:val="auto"/>
        <w:rPr>
          <w:sz w:val="18"/>
          <w:szCs w:val="18"/>
          <w:lang w:eastAsia="es-ES_tradnl"/>
        </w:rPr>
      </w:pPr>
      <w:r w:rsidRPr="001500B9">
        <w:rPr>
          <w:color w:val="212121"/>
          <w:sz w:val="18"/>
          <w:szCs w:val="18"/>
          <w:shd w:val="clear" w:color="auto" w:fill="FFFFFF"/>
          <w:lang w:val="es-CO"/>
        </w:rPr>
        <w:t xml:space="preserve">[8] </w:t>
      </w:r>
      <w:r w:rsidR="001500B9" w:rsidRPr="001500B9">
        <w:rPr>
          <w:color w:val="212121"/>
          <w:sz w:val="18"/>
          <w:szCs w:val="18"/>
          <w:shd w:val="clear" w:color="auto" w:fill="FFFFFF"/>
          <w:lang w:val="es-CO"/>
        </w:rPr>
        <w:t>SCHNEIDER E, CARLSEN B</w:t>
      </w:r>
      <w:r w:rsidRPr="001500B9">
        <w:rPr>
          <w:color w:val="212121"/>
          <w:sz w:val="18"/>
          <w:szCs w:val="18"/>
          <w:shd w:val="clear" w:color="auto" w:fill="FFFFFF"/>
          <w:lang w:val="es-CO"/>
        </w:rPr>
        <w:t>, et al. </w:t>
      </w:r>
      <w:r w:rsidRPr="001500B9">
        <w:rPr>
          <w:rStyle w:val="ref-title"/>
          <w:color w:val="212121"/>
          <w:sz w:val="18"/>
          <w:szCs w:val="18"/>
          <w:shd w:val="clear" w:color="auto" w:fill="FFFFFF"/>
        </w:rPr>
        <w:t>A Top Down Assessment of Energy, Water and Land use in Uranium Mining, Milling, and Refining.</w:t>
      </w:r>
      <w:r w:rsidRPr="001500B9">
        <w:rPr>
          <w:color w:val="212121"/>
          <w:sz w:val="18"/>
          <w:szCs w:val="18"/>
          <w:shd w:val="clear" w:color="auto" w:fill="FFFFFF"/>
        </w:rPr>
        <w:t> </w:t>
      </w:r>
      <w:r w:rsidRPr="001500B9">
        <w:rPr>
          <w:rStyle w:val="nfasis"/>
          <w:color w:val="212121"/>
          <w:sz w:val="18"/>
          <w:szCs w:val="18"/>
          <w:shd w:val="clear" w:color="auto" w:fill="FFFFFF"/>
        </w:rPr>
        <w:t>Energy Econ</w:t>
      </w:r>
      <w:r w:rsidRPr="001500B9">
        <w:rPr>
          <w:color w:val="212121"/>
          <w:sz w:val="18"/>
          <w:szCs w:val="18"/>
          <w:shd w:val="clear" w:color="auto" w:fill="FFFFFF"/>
        </w:rPr>
        <w:t> 2013; </w:t>
      </w:r>
      <w:r w:rsidRPr="001500B9">
        <w:rPr>
          <w:rStyle w:val="ref-vol"/>
          <w:color w:val="212121"/>
          <w:sz w:val="18"/>
          <w:szCs w:val="18"/>
          <w:shd w:val="clear" w:color="auto" w:fill="FFFFFF"/>
        </w:rPr>
        <w:t>40</w:t>
      </w:r>
      <w:r w:rsidRPr="001500B9">
        <w:rPr>
          <w:color w:val="212121"/>
          <w:sz w:val="18"/>
          <w:szCs w:val="18"/>
          <w:shd w:val="clear" w:color="auto" w:fill="FFFFFF"/>
        </w:rPr>
        <w:t>: 911–926. </w:t>
      </w:r>
      <w:r w:rsidRPr="001500B9">
        <w:rPr>
          <w:rStyle w:val="nowrap"/>
          <w:color w:val="212121"/>
          <w:sz w:val="18"/>
          <w:szCs w:val="18"/>
          <w:shd w:val="clear" w:color="auto" w:fill="FFFFFF"/>
        </w:rPr>
        <w:t>[</w:t>
      </w:r>
      <w:hyperlink r:id="rId8" w:tgtFrame="_blank" w:history="1">
        <w:r w:rsidRPr="001500B9">
          <w:rPr>
            <w:rStyle w:val="Hipervnculo"/>
            <w:color w:val="376FAA"/>
            <w:sz w:val="18"/>
            <w:szCs w:val="18"/>
          </w:rPr>
          <w:t>Google Scholar</w:t>
        </w:r>
      </w:hyperlink>
      <w:r w:rsidRPr="001500B9">
        <w:rPr>
          <w:rStyle w:val="nowrap"/>
          <w:color w:val="212121"/>
          <w:sz w:val="18"/>
          <w:szCs w:val="18"/>
          <w:shd w:val="clear" w:color="auto" w:fill="FFFFFF"/>
        </w:rPr>
        <w:t>]</w:t>
      </w:r>
    </w:p>
    <w:p w14:paraId="03BACF77" w14:textId="77777777" w:rsidR="006003C6" w:rsidRPr="001500B9" w:rsidRDefault="006003C6" w:rsidP="006003C6">
      <w:pPr>
        <w:overflowPunct/>
        <w:autoSpaceDE/>
        <w:autoSpaceDN/>
        <w:adjustRightInd/>
        <w:textAlignment w:val="auto"/>
        <w:rPr>
          <w:color w:val="212121"/>
          <w:sz w:val="18"/>
          <w:szCs w:val="18"/>
          <w:shd w:val="clear" w:color="auto" w:fill="FFFFFF"/>
        </w:rPr>
      </w:pPr>
    </w:p>
    <w:p w14:paraId="73DFF0DA" w14:textId="3CBF63C7" w:rsidR="006003C6" w:rsidRPr="001500B9" w:rsidRDefault="006003C6" w:rsidP="006003C6">
      <w:pPr>
        <w:overflowPunct/>
        <w:autoSpaceDE/>
        <w:autoSpaceDN/>
        <w:adjustRightInd/>
        <w:textAlignment w:val="auto"/>
        <w:rPr>
          <w:rStyle w:val="nowrap"/>
          <w:color w:val="212121"/>
          <w:sz w:val="18"/>
          <w:szCs w:val="18"/>
          <w:shd w:val="clear" w:color="auto" w:fill="FFFFFF"/>
        </w:rPr>
      </w:pPr>
      <w:r w:rsidRPr="001500B9">
        <w:rPr>
          <w:color w:val="212121"/>
          <w:sz w:val="18"/>
          <w:szCs w:val="18"/>
          <w:shd w:val="clear" w:color="auto" w:fill="FFFFFF"/>
        </w:rPr>
        <w:t xml:space="preserve">[9] </w:t>
      </w:r>
      <w:r w:rsidR="001500B9" w:rsidRPr="001500B9">
        <w:rPr>
          <w:color w:val="212121"/>
          <w:sz w:val="18"/>
          <w:szCs w:val="18"/>
          <w:shd w:val="clear" w:color="auto" w:fill="FFFFFF"/>
        </w:rPr>
        <w:t>FTHENAKIS, KIM HC.</w:t>
      </w:r>
      <w:r w:rsidRPr="001500B9">
        <w:rPr>
          <w:color w:val="212121"/>
          <w:sz w:val="18"/>
          <w:szCs w:val="18"/>
          <w:shd w:val="clear" w:color="auto" w:fill="FFFFFF"/>
        </w:rPr>
        <w:t> </w:t>
      </w:r>
      <w:r w:rsidRPr="001500B9">
        <w:rPr>
          <w:rStyle w:val="ref-title"/>
          <w:color w:val="212121"/>
          <w:sz w:val="18"/>
          <w:szCs w:val="18"/>
          <w:shd w:val="clear" w:color="auto" w:fill="FFFFFF"/>
        </w:rPr>
        <w:t>Land use and electricity generation: A life-cycle analysis.</w:t>
      </w:r>
      <w:r w:rsidRPr="001500B9">
        <w:rPr>
          <w:color w:val="212121"/>
          <w:sz w:val="18"/>
          <w:szCs w:val="18"/>
          <w:shd w:val="clear" w:color="auto" w:fill="FFFFFF"/>
        </w:rPr>
        <w:t> </w:t>
      </w:r>
      <w:r w:rsidRPr="001500B9">
        <w:rPr>
          <w:rStyle w:val="nfasis"/>
          <w:color w:val="212121"/>
          <w:sz w:val="18"/>
          <w:szCs w:val="18"/>
          <w:shd w:val="clear" w:color="auto" w:fill="FFFFFF"/>
        </w:rPr>
        <w:t>Renew Sustain Energy Rev</w:t>
      </w:r>
      <w:r w:rsidRPr="001500B9">
        <w:rPr>
          <w:color w:val="212121"/>
          <w:sz w:val="18"/>
          <w:szCs w:val="18"/>
          <w:shd w:val="clear" w:color="auto" w:fill="FFFFFF"/>
        </w:rPr>
        <w:t> 2009; </w:t>
      </w:r>
      <w:r w:rsidRPr="001500B9">
        <w:rPr>
          <w:rStyle w:val="ref-vol"/>
          <w:color w:val="212121"/>
          <w:sz w:val="18"/>
          <w:szCs w:val="18"/>
          <w:shd w:val="clear" w:color="auto" w:fill="FFFFFF"/>
        </w:rPr>
        <w:t>13</w:t>
      </w:r>
      <w:r w:rsidRPr="001500B9">
        <w:rPr>
          <w:color w:val="212121"/>
          <w:sz w:val="18"/>
          <w:szCs w:val="18"/>
          <w:shd w:val="clear" w:color="auto" w:fill="FFFFFF"/>
        </w:rPr>
        <w:t>: 1465–1474. </w:t>
      </w:r>
      <w:r w:rsidRPr="001500B9">
        <w:rPr>
          <w:rStyle w:val="nowrap"/>
          <w:color w:val="212121"/>
          <w:sz w:val="18"/>
          <w:szCs w:val="18"/>
          <w:shd w:val="clear" w:color="auto" w:fill="FFFFFF"/>
        </w:rPr>
        <w:t>[</w:t>
      </w:r>
      <w:hyperlink r:id="rId9" w:tgtFrame="_blank" w:history="1">
        <w:r w:rsidRPr="001500B9">
          <w:rPr>
            <w:rStyle w:val="Hipervnculo"/>
            <w:color w:val="205493"/>
            <w:sz w:val="18"/>
            <w:szCs w:val="18"/>
          </w:rPr>
          <w:t>Google Scholar</w:t>
        </w:r>
      </w:hyperlink>
      <w:r w:rsidRPr="001500B9">
        <w:rPr>
          <w:rStyle w:val="nowrap"/>
          <w:color w:val="212121"/>
          <w:sz w:val="18"/>
          <w:szCs w:val="18"/>
          <w:shd w:val="clear" w:color="auto" w:fill="FFFFFF"/>
        </w:rPr>
        <w:t>]</w:t>
      </w:r>
    </w:p>
    <w:p w14:paraId="628C687F" w14:textId="7416603D" w:rsidR="00477CD6" w:rsidRPr="001500B9" w:rsidRDefault="00477CD6" w:rsidP="006003C6">
      <w:pPr>
        <w:overflowPunct/>
        <w:autoSpaceDE/>
        <w:autoSpaceDN/>
        <w:adjustRightInd/>
        <w:textAlignment w:val="auto"/>
        <w:rPr>
          <w:sz w:val="18"/>
          <w:szCs w:val="18"/>
          <w:lang w:eastAsia="es-ES_tradnl"/>
        </w:rPr>
      </w:pPr>
      <w:r w:rsidRPr="001500B9">
        <w:rPr>
          <w:sz w:val="18"/>
          <w:szCs w:val="18"/>
          <w:lang w:eastAsia="es-ES_tradnl"/>
        </w:rPr>
        <w:t xml:space="preserve"> </w:t>
      </w:r>
    </w:p>
    <w:p w14:paraId="20084D1C" w14:textId="6D60DF15" w:rsidR="00477CD6" w:rsidRPr="001500B9" w:rsidRDefault="00477CD6" w:rsidP="00477CD6">
      <w:pPr>
        <w:overflowPunct/>
        <w:autoSpaceDE/>
        <w:autoSpaceDN/>
        <w:adjustRightInd/>
        <w:textAlignment w:val="auto"/>
        <w:rPr>
          <w:sz w:val="18"/>
          <w:szCs w:val="18"/>
          <w:lang w:val="en-US" w:eastAsia="es-ES_tradnl"/>
        </w:rPr>
      </w:pPr>
      <w:r w:rsidRPr="001500B9">
        <w:rPr>
          <w:sz w:val="18"/>
          <w:szCs w:val="18"/>
          <w:lang w:eastAsia="es-ES_tradnl"/>
        </w:rPr>
        <w:t xml:space="preserve">[10] </w:t>
      </w:r>
      <w:r w:rsidR="001500B9" w:rsidRPr="001500B9">
        <w:rPr>
          <w:sz w:val="18"/>
          <w:szCs w:val="18"/>
          <w:lang w:eastAsia="es-ES_tradnl"/>
        </w:rPr>
        <w:t>BONDARKOV, OSKOLOV, GASCHAK</w:t>
      </w:r>
      <w:r w:rsidRPr="001500B9">
        <w:rPr>
          <w:sz w:val="18"/>
          <w:szCs w:val="18"/>
          <w:lang w:val="en-US" w:eastAsia="es-ES_tradnl"/>
        </w:rPr>
        <w:t>, et al. Environmental Radiation Monitoring in the Chernobyl Exclusion Zone—History and Results 25 Years After. </w:t>
      </w:r>
      <w:r w:rsidRPr="001500B9">
        <w:rPr>
          <w:i/>
          <w:iCs/>
          <w:sz w:val="18"/>
          <w:szCs w:val="18"/>
          <w:lang w:val="en-US" w:eastAsia="es-ES_tradnl"/>
        </w:rPr>
        <w:t>Health Phys</w:t>
      </w:r>
      <w:r w:rsidRPr="001500B9">
        <w:rPr>
          <w:sz w:val="18"/>
          <w:szCs w:val="18"/>
          <w:lang w:val="en-US" w:eastAsia="es-ES_tradnl"/>
        </w:rPr>
        <w:t xml:space="preserve"> 2011; 101: 442–485. </w:t>
      </w:r>
      <w:proofErr w:type="spellStart"/>
      <w:r w:rsidRPr="001500B9">
        <w:rPr>
          <w:sz w:val="18"/>
          <w:szCs w:val="18"/>
          <w:lang w:val="en-US" w:eastAsia="es-ES_tradnl"/>
        </w:rPr>
        <w:t>doi</w:t>
      </w:r>
      <w:proofErr w:type="spellEnd"/>
      <w:r w:rsidRPr="001500B9">
        <w:rPr>
          <w:sz w:val="18"/>
          <w:szCs w:val="18"/>
          <w:lang w:val="en-US" w:eastAsia="es-ES_tradnl"/>
        </w:rPr>
        <w:t>: 10.1097/HP.0b013e318229df28 </w:t>
      </w:r>
    </w:p>
    <w:p w14:paraId="546BD3E2" w14:textId="197703B1" w:rsidR="00477CD6" w:rsidRPr="001500B9" w:rsidRDefault="00477CD6" w:rsidP="006003C6">
      <w:pPr>
        <w:overflowPunct/>
        <w:autoSpaceDE/>
        <w:autoSpaceDN/>
        <w:adjustRightInd/>
        <w:textAlignment w:val="auto"/>
        <w:rPr>
          <w:sz w:val="18"/>
          <w:szCs w:val="18"/>
          <w:lang w:eastAsia="es-ES_tradnl"/>
        </w:rPr>
      </w:pPr>
    </w:p>
    <w:p w14:paraId="7D2CE7D0" w14:textId="493F9981" w:rsidR="00477CD6" w:rsidRPr="001500B9" w:rsidRDefault="00477CD6" w:rsidP="00477CD6">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t xml:space="preserve">[11] </w:t>
      </w:r>
      <w:r w:rsidR="001500B9" w:rsidRPr="001500B9">
        <w:rPr>
          <w:color w:val="000000"/>
          <w:sz w:val="18"/>
          <w:szCs w:val="18"/>
          <w:shd w:val="clear" w:color="auto" w:fill="FFFFFF"/>
          <w:lang w:val="en-US" w:eastAsia="es-ES_tradnl"/>
        </w:rPr>
        <w:t>GODSEY.</w:t>
      </w:r>
      <w:r w:rsidRPr="006003C6">
        <w:rPr>
          <w:color w:val="000000"/>
          <w:sz w:val="18"/>
          <w:szCs w:val="18"/>
          <w:shd w:val="clear" w:color="auto" w:fill="FFFFFF"/>
          <w:lang w:val="en-US" w:eastAsia="es-ES_tradnl"/>
        </w:rPr>
        <w:t xml:space="preserve"> Life Cycle Assessment of Small Modular Reactors Using US Nuclear Fuel Cycle. 2019, Clemson University </w:t>
      </w:r>
    </w:p>
    <w:p w14:paraId="5E0133E0" w14:textId="6F3013A1" w:rsidR="00477CD6" w:rsidRPr="001500B9" w:rsidRDefault="00477CD6" w:rsidP="00477CD6">
      <w:pPr>
        <w:overflowPunct/>
        <w:autoSpaceDE/>
        <w:autoSpaceDN/>
        <w:adjustRightInd/>
        <w:textAlignment w:val="auto"/>
        <w:rPr>
          <w:color w:val="000000"/>
          <w:sz w:val="18"/>
          <w:szCs w:val="18"/>
          <w:shd w:val="clear" w:color="auto" w:fill="FFFFFF"/>
          <w:lang w:val="en-US" w:eastAsia="es-ES_tradnl"/>
        </w:rPr>
      </w:pPr>
    </w:p>
    <w:p w14:paraId="46645988" w14:textId="18B4CC67" w:rsidR="006003C6" w:rsidRPr="001500B9" w:rsidRDefault="00477CD6" w:rsidP="006003C6">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t xml:space="preserve">[12] </w:t>
      </w:r>
      <w:r w:rsidR="001500B9" w:rsidRPr="001500B9">
        <w:rPr>
          <w:color w:val="000000"/>
          <w:sz w:val="18"/>
          <w:szCs w:val="18"/>
          <w:shd w:val="clear" w:color="auto" w:fill="FFFFFF"/>
          <w:lang w:val="en-US" w:eastAsia="es-ES_tradnl"/>
        </w:rPr>
        <w:t>CARLESS, GRIFFIN</w:t>
      </w:r>
      <w:r w:rsidR="006003C6" w:rsidRPr="006003C6">
        <w:rPr>
          <w:color w:val="000000"/>
          <w:sz w:val="18"/>
          <w:szCs w:val="18"/>
          <w:shd w:val="clear" w:color="auto" w:fill="FFFFFF"/>
          <w:lang w:val="en-US" w:eastAsia="es-ES_tradnl"/>
        </w:rPr>
        <w:t xml:space="preserve">. (2016). The Environmental Competitiveness of Small Modular Reactors: A Life Cycle Study. </w:t>
      </w:r>
      <w:r w:rsidR="006003C6" w:rsidRPr="006003C6">
        <w:rPr>
          <w:i/>
          <w:iCs/>
          <w:color w:val="000000"/>
          <w:sz w:val="18"/>
          <w:szCs w:val="18"/>
          <w:shd w:val="clear" w:color="auto" w:fill="FFFFFF"/>
          <w:lang w:val="en-US" w:eastAsia="es-ES_tradnl"/>
        </w:rPr>
        <w:t>Energy, 114</w:t>
      </w:r>
      <w:r w:rsidR="006003C6" w:rsidRPr="006003C6">
        <w:rPr>
          <w:color w:val="000000"/>
          <w:sz w:val="18"/>
          <w:szCs w:val="18"/>
          <w:shd w:val="clear" w:color="auto" w:fill="FFFFFF"/>
          <w:lang w:val="en-US" w:eastAsia="es-ES_tradnl"/>
        </w:rPr>
        <w:t>, 84-99. Retrieved from https://cedmcenter.org/wp-content/uploads/2017/10/The-environmental-competitiveness-of-small-modular-reactors.pdf </w:t>
      </w:r>
    </w:p>
    <w:p w14:paraId="0AAB784D" w14:textId="6F32E149" w:rsidR="001500B9" w:rsidRPr="001500B9" w:rsidRDefault="001500B9" w:rsidP="006003C6">
      <w:pPr>
        <w:overflowPunct/>
        <w:autoSpaceDE/>
        <w:autoSpaceDN/>
        <w:adjustRightInd/>
        <w:textAlignment w:val="auto"/>
        <w:rPr>
          <w:color w:val="000000"/>
          <w:sz w:val="18"/>
          <w:szCs w:val="18"/>
          <w:shd w:val="clear" w:color="auto" w:fill="FFFFFF"/>
          <w:lang w:val="en-US" w:eastAsia="es-ES_tradnl"/>
        </w:rPr>
      </w:pPr>
    </w:p>
    <w:p w14:paraId="0BB9EB07" w14:textId="34F1E377" w:rsidR="001500B9" w:rsidRPr="001500B9" w:rsidRDefault="001500B9" w:rsidP="001500B9">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t xml:space="preserve">[13] </w:t>
      </w:r>
      <w:r w:rsidRPr="001500B9">
        <w:rPr>
          <w:color w:val="000000"/>
          <w:sz w:val="18"/>
          <w:szCs w:val="18"/>
          <w:shd w:val="clear" w:color="auto" w:fill="FFFFFF"/>
          <w:lang w:val="en-US" w:eastAsia="es-ES_tradnl"/>
        </w:rPr>
        <w:t>S</w:t>
      </w:r>
      <w:r w:rsidRPr="001500B9">
        <w:rPr>
          <w:color w:val="000000"/>
          <w:sz w:val="18"/>
          <w:szCs w:val="18"/>
          <w:shd w:val="clear" w:color="auto" w:fill="FFFFFF"/>
          <w:lang w:val="en-US" w:eastAsia="es-ES_tradnl"/>
        </w:rPr>
        <w:t>MIL</w:t>
      </w:r>
      <w:r w:rsidRPr="001500B9">
        <w:rPr>
          <w:color w:val="000000"/>
          <w:sz w:val="18"/>
          <w:szCs w:val="18"/>
          <w:shd w:val="clear" w:color="auto" w:fill="FFFFFF"/>
          <w:lang w:val="en-US" w:eastAsia="es-ES_tradnl"/>
        </w:rPr>
        <w:t>, V. (2017). </w:t>
      </w:r>
      <w:r w:rsidRPr="001500B9">
        <w:rPr>
          <w:i/>
          <w:iCs/>
          <w:color w:val="000000"/>
          <w:sz w:val="18"/>
          <w:szCs w:val="18"/>
          <w:shd w:val="clear" w:color="auto" w:fill="FFFFFF"/>
          <w:lang w:val="en-US" w:eastAsia="es-ES_tradnl"/>
        </w:rPr>
        <w:t>Energy and civilization: a history.</w:t>
      </w:r>
      <w:r w:rsidRPr="001500B9">
        <w:rPr>
          <w:color w:val="000000"/>
          <w:sz w:val="18"/>
          <w:szCs w:val="18"/>
          <w:shd w:val="clear" w:color="auto" w:fill="FFFFFF"/>
          <w:lang w:val="en-US" w:eastAsia="es-ES_tradnl"/>
        </w:rPr>
        <w:t> Cambridge, Massachusetts, The MIT Press.</w:t>
      </w:r>
    </w:p>
    <w:p w14:paraId="0DF99A05" w14:textId="54C4E8E1" w:rsidR="001500B9" w:rsidRPr="001500B9" w:rsidRDefault="001500B9" w:rsidP="006003C6">
      <w:pPr>
        <w:overflowPunct/>
        <w:autoSpaceDE/>
        <w:autoSpaceDN/>
        <w:adjustRightInd/>
        <w:textAlignment w:val="auto"/>
        <w:rPr>
          <w:color w:val="000000"/>
          <w:sz w:val="18"/>
          <w:szCs w:val="18"/>
          <w:shd w:val="clear" w:color="auto" w:fill="FFFFFF"/>
          <w:lang w:val="en-US" w:eastAsia="es-ES_tradnl"/>
        </w:rPr>
      </w:pPr>
    </w:p>
    <w:p w14:paraId="07C5F9A3" w14:textId="51069F81" w:rsidR="00477CD6" w:rsidRPr="001500B9" w:rsidRDefault="00477CD6" w:rsidP="006003C6">
      <w:pPr>
        <w:overflowPunct/>
        <w:autoSpaceDE/>
        <w:autoSpaceDN/>
        <w:adjustRightInd/>
        <w:textAlignment w:val="auto"/>
        <w:rPr>
          <w:color w:val="000000"/>
          <w:sz w:val="18"/>
          <w:szCs w:val="18"/>
          <w:shd w:val="clear" w:color="auto" w:fill="FFFFFF"/>
          <w:lang w:val="en-US" w:eastAsia="es-ES_tradnl"/>
        </w:rPr>
      </w:pPr>
    </w:p>
    <w:p w14:paraId="3852C8A1" w14:textId="0C5CFCA7" w:rsidR="00477CD6" w:rsidRPr="00477CD6" w:rsidRDefault="00477CD6" w:rsidP="00477CD6">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t>[1</w:t>
      </w:r>
      <w:r w:rsidR="001500B9" w:rsidRPr="001500B9">
        <w:rPr>
          <w:color w:val="000000"/>
          <w:sz w:val="18"/>
          <w:szCs w:val="18"/>
          <w:shd w:val="clear" w:color="auto" w:fill="FFFFFF"/>
          <w:lang w:val="en-US" w:eastAsia="es-ES_tradnl"/>
        </w:rPr>
        <w:t>4</w:t>
      </w:r>
      <w:r w:rsidRPr="001500B9">
        <w:rPr>
          <w:color w:val="000000"/>
          <w:sz w:val="18"/>
          <w:szCs w:val="18"/>
          <w:shd w:val="clear" w:color="auto" w:fill="FFFFFF"/>
          <w:lang w:val="en-US" w:eastAsia="es-ES_tradnl"/>
        </w:rPr>
        <w:t xml:space="preserve">] </w:t>
      </w:r>
      <w:r w:rsidR="001500B9" w:rsidRPr="001500B9">
        <w:rPr>
          <w:color w:val="000000"/>
          <w:sz w:val="18"/>
          <w:szCs w:val="18"/>
          <w:shd w:val="clear" w:color="auto" w:fill="FFFFFF"/>
          <w:lang w:val="en-US" w:eastAsia="es-ES_tradnl"/>
        </w:rPr>
        <w:t>KHAN et al</w:t>
      </w:r>
      <w:r w:rsidRPr="00477CD6">
        <w:rPr>
          <w:color w:val="000000"/>
          <w:sz w:val="18"/>
          <w:szCs w:val="18"/>
          <w:shd w:val="clear" w:color="auto" w:fill="FFFFFF"/>
          <w:lang w:val="en-US" w:eastAsia="es-ES_tradnl"/>
        </w:rPr>
        <w:t>. Socio-Economic and Environmental Impact of Nuclear Desalination. </w:t>
      </w:r>
      <w:r w:rsidRPr="00477CD6">
        <w:rPr>
          <w:i/>
          <w:iCs/>
          <w:color w:val="000000"/>
          <w:sz w:val="18"/>
          <w:szCs w:val="18"/>
          <w:shd w:val="clear" w:color="auto" w:fill="FFFFFF"/>
          <w:lang w:val="en-US" w:eastAsia="es-ES_tradnl"/>
        </w:rPr>
        <w:t>Water</w:t>
      </w:r>
      <w:r w:rsidRPr="00477CD6">
        <w:rPr>
          <w:color w:val="000000"/>
          <w:sz w:val="18"/>
          <w:szCs w:val="18"/>
          <w:shd w:val="clear" w:color="auto" w:fill="FFFFFF"/>
          <w:lang w:val="en-US" w:eastAsia="es-ES_tradnl"/>
        </w:rPr>
        <w:t> </w:t>
      </w:r>
      <w:r w:rsidRPr="00477CD6">
        <w:rPr>
          <w:b/>
          <w:bCs/>
          <w:color w:val="000000"/>
          <w:sz w:val="18"/>
          <w:szCs w:val="18"/>
          <w:shd w:val="clear" w:color="auto" w:fill="FFFFFF"/>
          <w:lang w:val="en-US" w:eastAsia="es-ES_tradnl"/>
        </w:rPr>
        <w:t>2021</w:t>
      </w:r>
      <w:r w:rsidRPr="00477CD6">
        <w:rPr>
          <w:color w:val="000000"/>
          <w:sz w:val="18"/>
          <w:szCs w:val="18"/>
          <w:shd w:val="clear" w:color="auto" w:fill="FFFFFF"/>
          <w:lang w:val="en-US" w:eastAsia="es-ES_tradnl"/>
        </w:rPr>
        <w:t>, </w:t>
      </w:r>
      <w:r w:rsidRPr="00477CD6">
        <w:rPr>
          <w:i/>
          <w:iCs/>
          <w:color w:val="000000"/>
          <w:sz w:val="18"/>
          <w:szCs w:val="18"/>
          <w:shd w:val="clear" w:color="auto" w:fill="FFFFFF"/>
          <w:lang w:val="en-US" w:eastAsia="es-ES_tradnl"/>
        </w:rPr>
        <w:t>13</w:t>
      </w:r>
      <w:r w:rsidRPr="00477CD6">
        <w:rPr>
          <w:color w:val="000000"/>
          <w:sz w:val="18"/>
          <w:szCs w:val="18"/>
          <w:shd w:val="clear" w:color="auto" w:fill="FFFFFF"/>
          <w:lang w:val="en-US" w:eastAsia="es-ES_tradnl"/>
        </w:rPr>
        <w:t>, 1637. https://doi.org/10.3390/w13121637</w:t>
      </w:r>
    </w:p>
    <w:p w14:paraId="06220809" w14:textId="77777777" w:rsidR="00477CD6" w:rsidRPr="001500B9" w:rsidRDefault="00477CD6" w:rsidP="006003C6">
      <w:pPr>
        <w:overflowPunct/>
        <w:autoSpaceDE/>
        <w:autoSpaceDN/>
        <w:adjustRightInd/>
        <w:textAlignment w:val="auto"/>
        <w:rPr>
          <w:color w:val="000000"/>
          <w:sz w:val="18"/>
          <w:szCs w:val="18"/>
          <w:shd w:val="clear" w:color="auto" w:fill="FFFFFF"/>
          <w:lang w:val="en-US" w:eastAsia="es-ES_tradnl"/>
        </w:rPr>
      </w:pPr>
    </w:p>
    <w:p w14:paraId="63A9CDBD" w14:textId="0446AA39" w:rsidR="00477CD6" w:rsidRPr="001500B9" w:rsidRDefault="00477CD6" w:rsidP="006003C6">
      <w:pPr>
        <w:overflowPunct/>
        <w:autoSpaceDE/>
        <w:autoSpaceDN/>
        <w:adjustRightInd/>
        <w:textAlignment w:val="auto"/>
        <w:rPr>
          <w:color w:val="000000"/>
          <w:sz w:val="18"/>
          <w:szCs w:val="18"/>
          <w:shd w:val="clear" w:color="auto" w:fill="FFFFFF"/>
          <w:lang w:val="en-US" w:eastAsia="es-ES_tradnl"/>
        </w:rPr>
      </w:pPr>
    </w:p>
    <w:p w14:paraId="25FD0907" w14:textId="415C69EC" w:rsidR="00477CD6" w:rsidRPr="006003C6" w:rsidRDefault="00477CD6" w:rsidP="00477CD6">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t>[1</w:t>
      </w:r>
      <w:r w:rsidR="001500B9" w:rsidRPr="001500B9">
        <w:rPr>
          <w:color w:val="000000"/>
          <w:sz w:val="18"/>
          <w:szCs w:val="18"/>
          <w:shd w:val="clear" w:color="auto" w:fill="FFFFFF"/>
          <w:lang w:val="en-US" w:eastAsia="es-ES_tradnl"/>
        </w:rPr>
        <w:t>5</w:t>
      </w:r>
      <w:r w:rsidRPr="001500B9">
        <w:rPr>
          <w:color w:val="000000"/>
          <w:sz w:val="18"/>
          <w:szCs w:val="18"/>
          <w:shd w:val="clear" w:color="auto" w:fill="FFFFFF"/>
          <w:lang w:val="en-US" w:eastAsia="es-ES_tradnl"/>
        </w:rPr>
        <w:t xml:space="preserve">] </w:t>
      </w:r>
      <w:r w:rsidR="001500B9" w:rsidRPr="001500B9">
        <w:rPr>
          <w:color w:val="000000"/>
          <w:sz w:val="18"/>
          <w:szCs w:val="18"/>
          <w:shd w:val="clear" w:color="auto" w:fill="FFFFFF"/>
          <w:lang w:val="en-US" w:eastAsia="es-ES_tradnl"/>
        </w:rPr>
        <w:t>RENATO BUZZETTI et al.</w:t>
      </w:r>
      <w:r w:rsidRPr="001500B9">
        <w:rPr>
          <w:color w:val="000000"/>
          <w:sz w:val="18"/>
          <w:szCs w:val="18"/>
          <w:shd w:val="clear" w:color="auto" w:fill="FFFFFF"/>
          <w:lang w:val="en-US" w:eastAsia="es-ES_tradnl"/>
        </w:rPr>
        <w:t xml:space="preserve"> </w:t>
      </w:r>
      <w:r w:rsidRPr="001500B9">
        <w:rPr>
          <w:color w:val="000000"/>
          <w:sz w:val="18"/>
          <w:szCs w:val="18"/>
          <w:shd w:val="clear" w:color="auto" w:fill="FFFFFF"/>
          <w:lang w:val="en-US" w:eastAsia="es-ES_tradnl"/>
        </w:rPr>
        <w:t>Feasibility study of desalination plant powered by SMR,</w:t>
      </w:r>
      <w:r w:rsidRPr="001500B9">
        <w:rPr>
          <w:color w:val="000000"/>
          <w:sz w:val="18"/>
          <w:szCs w:val="18"/>
          <w:shd w:val="clear" w:color="auto" w:fill="FFFFFF"/>
          <w:lang w:val="en-US" w:eastAsia="es-ES_tradnl"/>
        </w:rPr>
        <w:t xml:space="preserve"> </w:t>
      </w:r>
      <w:r w:rsidRPr="001500B9">
        <w:rPr>
          <w:color w:val="000000"/>
          <w:sz w:val="18"/>
          <w:szCs w:val="18"/>
          <w:shd w:val="clear" w:color="auto" w:fill="FFFFFF"/>
          <w:lang w:val="en-US" w:eastAsia="es-ES_tradnl"/>
        </w:rPr>
        <w:t>Nuclear Engineering and Design,</w:t>
      </w:r>
      <w:r w:rsidRPr="001500B9">
        <w:rPr>
          <w:color w:val="000000"/>
          <w:sz w:val="18"/>
          <w:szCs w:val="18"/>
          <w:shd w:val="clear" w:color="auto" w:fill="FFFFFF"/>
          <w:lang w:val="en-US" w:eastAsia="es-ES_tradnl"/>
        </w:rPr>
        <w:t xml:space="preserve"> </w:t>
      </w:r>
      <w:r w:rsidRPr="001500B9">
        <w:rPr>
          <w:color w:val="000000"/>
          <w:sz w:val="18"/>
          <w:szCs w:val="18"/>
          <w:shd w:val="clear" w:color="auto" w:fill="FFFFFF"/>
          <w:lang w:val="en-US" w:eastAsia="es-ES_tradnl"/>
        </w:rPr>
        <w:t>Volume 418,</w:t>
      </w:r>
      <w:r w:rsidRPr="001500B9">
        <w:rPr>
          <w:color w:val="000000"/>
          <w:sz w:val="18"/>
          <w:szCs w:val="18"/>
          <w:shd w:val="clear" w:color="auto" w:fill="FFFFFF"/>
          <w:lang w:val="en-US" w:eastAsia="es-ES_tradnl"/>
        </w:rPr>
        <w:t xml:space="preserve"> </w:t>
      </w:r>
      <w:r w:rsidRPr="001500B9">
        <w:rPr>
          <w:color w:val="000000"/>
          <w:sz w:val="18"/>
          <w:szCs w:val="18"/>
          <w:shd w:val="clear" w:color="auto" w:fill="FFFFFF"/>
          <w:lang w:val="en-US" w:eastAsia="es-ES_tradnl"/>
        </w:rPr>
        <w:t>2024,</w:t>
      </w:r>
      <w:r w:rsidRPr="001500B9">
        <w:rPr>
          <w:color w:val="000000"/>
          <w:sz w:val="18"/>
          <w:szCs w:val="18"/>
          <w:shd w:val="clear" w:color="auto" w:fill="FFFFFF"/>
          <w:lang w:val="en-US" w:eastAsia="es-ES_tradnl"/>
        </w:rPr>
        <w:t xml:space="preserve"> </w:t>
      </w:r>
      <w:r w:rsidRPr="001500B9">
        <w:rPr>
          <w:color w:val="000000"/>
          <w:sz w:val="18"/>
          <w:szCs w:val="18"/>
          <w:shd w:val="clear" w:color="auto" w:fill="FFFFFF"/>
          <w:lang w:val="en-US" w:eastAsia="es-ES_tradnl"/>
        </w:rPr>
        <w:t>112897,</w:t>
      </w:r>
      <w:r w:rsidRPr="001500B9">
        <w:rPr>
          <w:color w:val="000000"/>
          <w:sz w:val="18"/>
          <w:szCs w:val="18"/>
          <w:shd w:val="clear" w:color="auto" w:fill="FFFFFF"/>
          <w:lang w:val="en-US" w:eastAsia="es-ES_tradnl"/>
        </w:rPr>
        <w:t xml:space="preserve"> </w:t>
      </w:r>
      <w:r w:rsidRPr="001500B9">
        <w:rPr>
          <w:color w:val="000000"/>
          <w:sz w:val="18"/>
          <w:szCs w:val="18"/>
          <w:shd w:val="clear" w:color="auto" w:fill="FFFFFF"/>
          <w:lang w:val="en-US" w:eastAsia="es-ES_tradnl"/>
        </w:rPr>
        <w:t>ISSN 0029-5493,</w:t>
      </w:r>
      <w:r w:rsidRPr="001500B9">
        <w:rPr>
          <w:color w:val="000000"/>
          <w:sz w:val="18"/>
          <w:szCs w:val="18"/>
          <w:shd w:val="clear" w:color="auto" w:fill="FFFFFF"/>
          <w:lang w:val="en-US" w:eastAsia="es-ES_tradnl"/>
        </w:rPr>
        <w:t xml:space="preserve"> </w:t>
      </w:r>
      <w:r w:rsidRPr="001500B9">
        <w:rPr>
          <w:color w:val="000000"/>
          <w:sz w:val="18"/>
          <w:szCs w:val="18"/>
          <w:shd w:val="clear" w:color="auto" w:fill="FFFFFF"/>
          <w:lang w:val="en-US" w:eastAsia="es-ES_tradnl"/>
        </w:rPr>
        <w:t>https://doi.org/10.1016/j.nucengdes.2023.112897.</w:t>
      </w:r>
    </w:p>
    <w:p w14:paraId="588CFDF2" w14:textId="32AA8838" w:rsidR="006003C6" w:rsidRPr="001500B9" w:rsidRDefault="006003C6" w:rsidP="00B260C8">
      <w:pPr>
        <w:overflowPunct/>
        <w:autoSpaceDE/>
        <w:autoSpaceDN/>
        <w:adjustRightInd/>
        <w:textAlignment w:val="auto"/>
        <w:rPr>
          <w:color w:val="000000"/>
          <w:sz w:val="18"/>
          <w:szCs w:val="18"/>
          <w:shd w:val="clear" w:color="auto" w:fill="FFFFFF"/>
          <w:lang w:val="en-US" w:eastAsia="es-ES_tradnl"/>
        </w:rPr>
      </w:pPr>
    </w:p>
    <w:p w14:paraId="7B2AC2FD" w14:textId="364B132F" w:rsidR="00477CD6" w:rsidRPr="001500B9" w:rsidRDefault="00477CD6" w:rsidP="00477CD6">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s-CO" w:eastAsia="es-ES_tradnl"/>
        </w:rPr>
        <w:t>[1</w:t>
      </w:r>
      <w:r w:rsidR="001500B9" w:rsidRPr="001500B9">
        <w:rPr>
          <w:color w:val="000000"/>
          <w:sz w:val="18"/>
          <w:szCs w:val="18"/>
          <w:shd w:val="clear" w:color="auto" w:fill="FFFFFF"/>
          <w:lang w:val="es-CO" w:eastAsia="es-ES_tradnl"/>
        </w:rPr>
        <w:t>6</w:t>
      </w:r>
      <w:r w:rsidRPr="001500B9">
        <w:rPr>
          <w:color w:val="000000"/>
          <w:sz w:val="18"/>
          <w:szCs w:val="18"/>
          <w:shd w:val="clear" w:color="auto" w:fill="FFFFFF"/>
          <w:lang w:val="es-CO" w:eastAsia="es-ES_tradnl"/>
        </w:rPr>
        <w:t xml:space="preserve">] </w:t>
      </w:r>
      <w:r w:rsidR="001500B9" w:rsidRPr="001500B9">
        <w:rPr>
          <w:color w:val="000000"/>
          <w:sz w:val="18"/>
          <w:szCs w:val="18"/>
          <w:shd w:val="clear" w:color="auto" w:fill="FFFFFF"/>
          <w:lang w:val="es-CO" w:eastAsia="es-ES_tradnl"/>
        </w:rPr>
        <w:t xml:space="preserve">M. RIZKI OKTAVIAN, FEBRITA, MATURIDI. </w:t>
      </w:r>
      <w:r w:rsidRPr="001500B9">
        <w:rPr>
          <w:color w:val="000000"/>
          <w:sz w:val="18"/>
          <w:szCs w:val="18"/>
          <w:shd w:val="clear" w:color="auto" w:fill="FFFFFF"/>
          <w:lang w:val="en-US" w:eastAsia="es-ES_tradnl"/>
        </w:rPr>
        <w:t>"Cogeneration Power-Desalination in Small Modular Reactors (SMRs) for Load Following in Indonesia," </w:t>
      </w:r>
      <w:r w:rsidRPr="001500B9">
        <w:rPr>
          <w:i/>
          <w:iCs/>
          <w:color w:val="000000"/>
          <w:sz w:val="18"/>
          <w:szCs w:val="18"/>
          <w:shd w:val="clear" w:color="auto" w:fill="FFFFFF"/>
          <w:lang w:val="en-US" w:eastAsia="es-ES_tradnl"/>
        </w:rPr>
        <w:t>2018 4th International Conference on Science and Technology (ICST)</w:t>
      </w:r>
      <w:r w:rsidRPr="001500B9">
        <w:rPr>
          <w:color w:val="000000"/>
          <w:sz w:val="18"/>
          <w:szCs w:val="18"/>
          <w:shd w:val="clear" w:color="auto" w:fill="FFFFFF"/>
          <w:lang w:val="en-US" w:eastAsia="es-ES_tradnl"/>
        </w:rPr>
        <w:t xml:space="preserve">, Yogyakarta, Indonesia, 2018, pp. 1-6, </w:t>
      </w:r>
      <w:proofErr w:type="spellStart"/>
      <w:r w:rsidRPr="001500B9">
        <w:rPr>
          <w:color w:val="000000"/>
          <w:sz w:val="18"/>
          <w:szCs w:val="18"/>
          <w:shd w:val="clear" w:color="auto" w:fill="FFFFFF"/>
          <w:lang w:val="en-US" w:eastAsia="es-ES_tradnl"/>
        </w:rPr>
        <w:t>doi</w:t>
      </w:r>
      <w:proofErr w:type="spellEnd"/>
      <w:r w:rsidRPr="001500B9">
        <w:rPr>
          <w:color w:val="000000"/>
          <w:sz w:val="18"/>
          <w:szCs w:val="18"/>
          <w:shd w:val="clear" w:color="auto" w:fill="FFFFFF"/>
          <w:lang w:val="en-US" w:eastAsia="es-ES_tradnl"/>
        </w:rPr>
        <w:t>: 10.1109/ICSTC.2018.8528706.</w:t>
      </w:r>
      <w:r w:rsidRPr="001500B9">
        <w:rPr>
          <w:color w:val="000000"/>
          <w:sz w:val="18"/>
          <w:szCs w:val="18"/>
          <w:shd w:val="clear" w:color="auto" w:fill="FFFFFF"/>
          <w:lang w:val="en-US" w:eastAsia="es-ES_tradnl"/>
        </w:rPr>
        <w:br/>
      </w:r>
    </w:p>
    <w:p w14:paraId="70499D07" w14:textId="46860FA0" w:rsidR="006003C6" w:rsidRPr="006003C6" w:rsidRDefault="00477CD6" w:rsidP="006003C6">
      <w:pPr>
        <w:overflowPunct/>
        <w:autoSpaceDE/>
        <w:autoSpaceDN/>
        <w:adjustRightInd/>
        <w:textAlignment w:val="auto"/>
        <w:rPr>
          <w:color w:val="000000"/>
          <w:sz w:val="18"/>
          <w:szCs w:val="18"/>
          <w:shd w:val="clear" w:color="auto" w:fill="FFFFFF"/>
          <w:lang w:val="en-US" w:eastAsia="es-ES_tradnl"/>
        </w:rPr>
      </w:pPr>
      <w:r w:rsidRPr="001500B9">
        <w:rPr>
          <w:color w:val="000000"/>
          <w:sz w:val="18"/>
          <w:szCs w:val="18"/>
          <w:shd w:val="clear" w:color="auto" w:fill="FFFFFF"/>
          <w:lang w:val="en-US" w:eastAsia="es-ES_tradnl"/>
        </w:rPr>
        <w:t>[1</w:t>
      </w:r>
      <w:r w:rsidR="001500B9" w:rsidRPr="001500B9">
        <w:rPr>
          <w:color w:val="000000"/>
          <w:sz w:val="18"/>
          <w:szCs w:val="18"/>
          <w:shd w:val="clear" w:color="auto" w:fill="FFFFFF"/>
          <w:lang w:val="en-US" w:eastAsia="es-ES_tradnl"/>
        </w:rPr>
        <w:t>7</w:t>
      </w:r>
      <w:r w:rsidRPr="001500B9">
        <w:rPr>
          <w:color w:val="000000"/>
          <w:sz w:val="18"/>
          <w:szCs w:val="18"/>
          <w:shd w:val="clear" w:color="auto" w:fill="FFFFFF"/>
          <w:lang w:val="en-US" w:eastAsia="es-ES_tradnl"/>
        </w:rPr>
        <w:t xml:space="preserve">] </w:t>
      </w:r>
      <w:r w:rsidR="001500B9" w:rsidRPr="001500B9">
        <w:rPr>
          <w:color w:val="000000"/>
          <w:sz w:val="18"/>
          <w:szCs w:val="18"/>
          <w:shd w:val="clear" w:color="auto" w:fill="FFFFFF"/>
          <w:lang w:val="en-US" w:eastAsia="es-ES_tradnl"/>
        </w:rPr>
        <w:t>INGERSOLL, HOUGHTON, BROMM</w:t>
      </w:r>
      <w:r w:rsidR="006003C6" w:rsidRPr="006003C6">
        <w:rPr>
          <w:color w:val="000000"/>
          <w:sz w:val="18"/>
          <w:szCs w:val="18"/>
          <w:shd w:val="clear" w:color="auto" w:fill="FFFFFF"/>
          <w:lang w:val="en-US" w:eastAsia="es-ES_tradnl"/>
        </w:rPr>
        <w:t xml:space="preserve">. </w:t>
      </w:r>
      <w:proofErr w:type="spellStart"/>
      <w:r w:rsidR="006003C6" w:rsidRPr="006003C6">
        <w:rPr>
          <w:color w:val="000000"/>
          <w:sz w:val="18"/>
          <w:szCs w:val="18"/>
          <w:shd w:val="clear" w:color="auto" w:fill="FFFFFF"/>
          <w:lang w:val="en-US" w:eastAsia="es-ES_tradnl"/>
        </w:rPr>
        <w:t>NuScale</w:t>
      </w:r>
      <w:proofErr w:type="spellEnd"/>
      <w:r w:rsidR="006003C6" w:rsidRPr="006003C6">
        <w:rPr>
          <w:color w:val="000000"/>
          <w:sz w:val="18"/>
          <w:szCs w:val="18"/>
          <w:shd w:val="clear" w:color="auto" w:fill="FFFFFF"/>
          <w:lang w:val="en-US" w:eastAsia="es-ES_tradnl"/>
        </w:rPr>
        <w:t xml:space="preserve"> Small Modular Reactor for Co-Generation of Electricity and Water. </w:t>
      </w:r>
      <w:r w:rsidR="006003C6" w:rsidRPr="006003C6">
        <w:rPr>
          <w:i/>
          <w:iCs/>
          <w:color w:val="000000"/>
          <w:sz w:val="18"/>
          <w:szCs w:val="18"/>
          <w:shd w:val="clear" w:color="auto" w:fill="FFFFFF"/>
          <w:lang w:val="en-US" w:eastAsia="es-ES_tradnl"/>
        </w:rPr>
        <w:t>Desalination, 340</w:t>
      </w:r>
      <w:r w:rsidR="006003C6" w:rsidRPr="006003C6">
        <w:rPr>
          <w:color w:val="000000"/>
          <w:sz w:val="18"/>
          <w:szCs w:val="18"/>
          <w:shd w:val="clear" w:color="auto" w:fill="FFFFFF"/>
          <w:lang w:val="en-US" w:eastAsia="es-ES_tradnl"/>
        </w:rPr>
        <w:t>, 84-93. Retrieved from https://doi.org/10.1016/j.desal.2014.02.023. </w:t>
      </w:r>
    </w:p>
    <w:p w14:paraId="647D5230" w14:textId="606A2CAD" w:rsidR="00B260C8" w:rsidRPr="001500B9" w:rsidRDefault="00B260C8" w:rsidP="00B260C8">
      <w:pPr>
        <w:overflowPunct/>
        <w:autoSpaceDE/>
        <w:autoSpaceDN/>
        <w:adjustRightInd/>
        <w:textAlignment w:val="auto"/>
        <w:rPr>
          <w:color w:val="000000"/>
          <w:sz w:val="18"/>
          <w:szCs w:val="18"/>
          <w:shd w:val="clear" w:color="auto" w:fill="FFFFFF"/>
          <w:lang w:val="en-US" w:eastAsia="es-ES_tradnl"/>
        </w:rPr>
      </w:pPr>
    </w:p>
    <w:p w14:paraId="2948DFB4" w14:textId="07925FB2" w:rsidR="00B260C8" w:rsidRPr="001500B9" w:rsidRDefault="00B260C8" w:rsidP="00B260C8">
      <w:pPr>
        <w:overflowPunct/>
        <w:autoSpaceDE/>
        <w:autoSpaceDN/>
        <w:adjustRightInd/>
        <w:textAlignment w:val="auto"/>
        <w:rPr>
          <w:color w:val="000000"/>
          <w:sz w:val="18"/>
          <w:szCs w:val="18"/>
          <w:shd w:val="clear" w:color="auto" w:fill="FFFFFF"/>
          <w:lang w:val="en-US" w:eastAsia="es-ES_tradnl"/>
        </w:rPr>
      </w:pPr>
    </w:p>
    <w:p w14:paraId="1560D357" w14:textId="2DBFBE75" w:rsidR="00B260C8" w:rsidRPr="001500B9" w:rsidRDefault="00B260C8" w:rsidP="00324146">
      <w:pPr>
        <w:overflowPunct/>
        <w:autoSpaceDE/>
        <w:autoSpaceDN/>
        <w:adjustRightInd/>
        <w:textAlignment w:val="auto"/>
        <w:rPr>
          <w:color w:val="000000"/>
          <w:sz w:val="18"/>
          <w:szCs w:val="18"/>
          <w:shd w:val="clear" w:color="auto" w:fill="FFFFFF"/>
          <w:lang w:val="en-US" w:eastAsia="es-ES_tradnl"/>
        </w:rPr>
      </w:pPr>
    </w:p>
    <w:p w14:paraId="2FFA644C" w14:textId="77777777" w:rsidR="00B260C8" w:rsidRPr="00B260C8" w:rsidRDefault="00B260C8" w:rsidP="00324146">
      <w:pPr>
        <w:overflowPunct/>
        <w:autoSpaceDE/>
        <w:autoSpaceDN/>
        <w:adjustRightInd/>
        <w:textAlignment w:val="auto"/>
        <w:rPr>
          <w:color w:val="000000"/>
          <w:sz w:val="20"/>
          <w:shd w:val="clear" w:color="auto" w:fill="FFFFFF"/>
          <w:lang w:val="en-US" w:eastAsia="es-ES_tradnl"/>
        </w:rPr>
      </w:pPr>
    </w:p>
    <w:p w14:paraId="734065E3" w14:textId="08919BBF" w:rsidR="006F00CF" w:rsidRPr="00B260C8" w:rsidRDefault="006F00CF" w:rsidP="00324146">
      <w:pPr>
        <w:overflowPunct/>
        <w:autoSpaceDE/>
        <w:autoSpaceDN/>
        <w:adjustRightInd/>
        <w:textAlignment w:val="auto"/>
        <w:rPr>
          <w:sz w:val="20"/>
          <w:lang w:val="en-US" w:eastAsia="es-ES_tradnl"/>
        </w:rPr>
      </w:pPr>
    </w:p>
    <w:p w14:paraId="55109F9D" w14:textId="79C830D5" w:rsidR="006F00CF" w:rsidRPr="00B260C8" w:rsidRDefault="006F00CF" w:rsidP="00324146">
      <w:pPr>
        <w:overflowPunct/>
        <w:autoSpaceDE/>
        <w:autoSpaceDN/>
        <w:adjustRightInd/>
        <w:textAlignment w:val="auto"/>
        <w:rPr>
          <w:sz w:val="20"/>
          <w:lang w:val="en-US" w:eastAsia="es-ES_tradnl"/>
        </w:rPr>
      </w:pPr>
    </w:p>
    <w:p w14:paraId="100663AD" w14:textId="602AA6E8" w:rsidR="006F00CF" w:rsidRPr="00B260C8" w:rsidRDefault="006F00CF" w:rsidP="00324146">
      <w:pPr>
        <w:overflowPunct/>
        <w:autoSpaceDE/>
        <w:autoSpaceDN/>
        <w:adjustRightInd/>
        <w:textAlignment w:val="auto"/>
        <w:rPr>
          <w:sz w:val="20"/>
          <w:lang w:val="en-US" w:eastAsia="es-ES_tradnl"/>
        </w:rPr>
      </w:pPr>
    </w:p>
    <w:p w14:paraId="5F5201EC" w14:textId="7CDBB267" w:rsidR="006F00CF" w:rsidRPr="00B260C8" w:rsidRDefault="006F00CF" w:rsidP="00324146">
      <w:pPr>
        <w:overflowPunct/>
        <w:autoSpaceDE/>
        <w:autoSpaceDN/>
        <w:adjustRightInd/>
        <w:textAlignment w:val="auto"/>
        <w:rPr>
          <w:sz w:val="20"/>
          <w:lang w:val="en-US" w:eastAsia="es-ES_tradnl"/>
        </w:rPr>
      </w:pPr>
    </w:p>
    <w:p w14:paraId="13580B9D" w14:textId="33C2329E" w:rsidR="00B260C8" w:rsidRPr="00B260C8" w:rsidRDefault="00B260C8" w:rsidP="00324146">
      <w:pPr>
        <w:overflowPunct/>
        <w:autoSpaceDE/>
        <w:autoSpaceDN/>
        <w:adjustRightInd/>
        <w:textAlignment w:val="auto"/>
        <w:rPr>
          <w:sz w:val="20"/>
          <w:lang w:val="en-US" w:eastAsia="es-ES_tradnl"/>
        </w:rPr>
      </w:pPr>
    </w:p>
    <w:p w14:paraId="3C1CB429" w14:textId="34385DCA" w:rsidR="00B260C8" w:rsidRPr="00B260C8" w:rsidRDefault="00B260C8" w:rsidP="00324146">
      <w:pPr>
        <w:overflowPunct/>
        <w:autoSpaceDE/>
        <w:autoSpaceDN/>
        <w:adjustRightInd/>
        <w:textAlignment w:val="auto"/>
        <w:rPr>
          <w:sz w:val="20"/>
          <w:lang w:val="en-US" w:eastAsia="es-ES_tradnl"/>
        </w:rPr>
      </w:pPr>
    </w:p>
    <w:p w14:paraId="7172E080" w14:textId="5F1B91B3" w:rsidR="00B260C8" w:rsidRPr="00B260C8" w:rsidRDefault="00B260C8" w:rsidP="00324146">
      <w:pPr>
        <w:overflowPunct/>
        <w:autoSpaceDE/>
        <w:autoSpaceDN/>
        <w:adjustRightInd/>
        <w:textAlignment w:val="auto"/>
        <w:rPr>
          <w:sz w:val="20"/>
          <w:lang w:val="en-US" w:eastAsia="es-ES_tradnl"/>
        </w:rPr>
      </w:pPr>
    </w:p>
    <w:p w14:paraId="3FB15BF7" w14:textId="1221E7B4" w:rsidR="00B260C8" w:rsidRPr="00B260C8" w:rsidRDefault="00B260C8" w:rsidP="00324146">
      <w:pPr>
        <w:overflowPunct/>
        <w:autoSpaceDE/>
        <w:autoSpaceDN/>
        <w:adjustRightInd/>
        <w:textAlignment w:val="auto"/>
        <w:rPr>
          <w:sz w:val="20"/>
          <w:lang w:val="en-US" w:eastAsia="es-ES_tradnl"/>
        </w:rPr>
      </w:pPr>
    </w:p>
    <w:p w14:paraId="39C2971E" w14:textId="792C329C" w:rsidR="00B260C8" w:rsidRPr="00B260C8" w:rsidRDefault="00B260C8" w:rsidP="00324146">
      <w:pPr>
        <w:overflowPunct/>
        <w:autoSpaceDE/>
        <w:autoSpaceDN/>
        <w:adjustRightInd/>
        <w:textAlignment w:val="auto"/>
        <w:rPr>
          <w:sz w:val="20"/>
          <w:lang w:val="en-US" w:eastAsia="es-ES_tradnl"/>
        </w:rPr>
      </w:pPr>
    </w:p>
    <w:p w14:paraId="2F9E8D46" w14:textId="77777777" w:rsidR="00B260C8" w:rsidRPr="00324146" w:rsidRDefault="00B260C8" w:rsidP="00324146">
      <w:pPr>
        <w:overflowPunct/>
        <w:autoSpaceDE/>
        <w:autoSpaceDN/>
        <w:adjustRightInd/>
        <w:textAlignment w:val="auto"/>
        <w:rPr>
          <w:sz w:val="20"/>
          <w:lang w:val="en-US" w:eastAsia="es-ES_tradnl"/>
        </w:rPr>
      </w:pPr>
    </w:p>
    <w:sectPr w:rsidR="00B260C8" w:rsidRPr="00324146"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01D0" w14:textId="77777777" w:rsidR="00454290" w:rsidRDefault="00454290">
      <w:r>
        <w:separator/>
      </w:r>
    </w:p>
  </w:endnote>
  <w:endnote w:type="continuationSeparator" w:id="0">
    <w:p w14:paraId="16A25338" w14:textId="77777777" w:rsidR="00454290" w:rsidRDefault="0045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F961" w14:textId="71EB65A1" w:rsidR="00653209" w:rsidRDefault="00653209">
    <w:pPr>
      <w:pStyle w:val="zyxClassification1"/>
    </w:pPr>
    <w:r>
      <w:fldChar w:fldCharType="begin"/>
    </w:r>
    <w:r>
      <w:instrText xml:space="preserve"> DOCPROPERTY "IaeaClassification"  \* MERGEFORMAT </w:instrText>
    </w:r>
    <w:r>
      <w:fldChar w:fldCharType="end"/>
    </w:r>
  </w:p>
  <w:p w14:paraId="1FDEB1B7" w14:textId="0ED3327B" w:rsidR="00653209" w:rsidRDefault="0065320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308E" w14:textId="74B9F514" w:rsidR="00653209" w:rsidRDefault="00653209">
    <w:pPr>
      <w:pStyle w:val="zyxClassification1"/>
    </w:pPr>
    <w:r>
      <w:fldChar w:fldCharType="begin"/>
    </w:r>
    <w:r>
      <w:instrText xml:space="preserve"> DOCPROPERTY "IaeaClassification"  \* MERGEFORMAT </w:instrText>
    </w:r>
    <w:r>
      <w:fldChar w:fldCharType="end"/>
    </w:r>
  </w:p>
  <w:p w14:paraId="7E32AC2C" w14:textId="07C52EB6" w:rsidR="00653209" w:rsidRPr="00037321" w:rsidRDefault="00653209">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653209" w14:paraId="2AC0DA17" w14:textId="77777777">
      <w:trPr>
        <w:cantSplit/>
      </w:trPr>
      <w:tc>
        <w:tcPr>
          <w:tcW w:w="4644" w:type="dxa"/>
        </w:tcPr>
        <w:p w14:paraId="6CFF9F49" w14:textId="0172A26A" w:rsidR="00653209" w:rsidRDefault="00653209">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653209" w:rsidRDefault="00653209">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653209" w:rsidRDefault="0065320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653209" w:rsidRDefault="00653209">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653209" w:rsidRDefault="00653209">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D7ADA" w14:textId="77777777" w:rsidR="00454290" w:rsidRDefault="00454290">
      <w:r>
        <w:t>___________________________________________________________________________</w:t>
      </w:r>
    </w:p>
  </w:footnote>
  <w:footnote w:type="continuationSeparator" w:id="0">
    <w:p w14:paraId="1EAE5891" w14:textId="77777777" w:rsidR="00454290" w:rsidRDefault="00454290">
      <w:r>
        <w:t>___________________________________________________________________________</w:t>
      </w:r>
    </w:p>
  </w:footnote>
  <w:footnote w:type="continuationNotice" w:id="1">
    <w:p w14:paraId="0B645995" w14:textId="77777777" w:rsidR="00454290" w:rsidRDefault="00454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522D" w14:textId="20BE9E6B" w:rsidR="00653209" w:rsidRDefault="00653209" w:rsidP="00CF7AF3">
    <w:pPr>
      <w:pStyle w:val="Runninghead"/>
    </w:pPr>
    <w:r>
      <w:tab/>
      <w:t>IAEA-CN-</w:t>
    </w:r>
    <w:r w:rsidR="001500B9">
      <w:t>8</w:t>
    </w:r>
  </w:p>
  <w:p w14:paraId="4D70767E" w14:textId="77777777" w:rsidR="00653209" w:rsidRPr="009E1558" w:rsidRDefault="00653209"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653209" w:rsidRDefault="00653209"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653209" w:rsidRDefault="00653209">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C4E1" w14:textId="02C50D43" w:rsidR="00653209" w:rsidRPr="00266042" w:rsidRDefault="00653209" w:rsidP="00B82FA5">
    <w:pPr>
      <w:pStyle w:val="Runninghead"/>
      <w:rPr>
        <w:lang w:val="es-CO"/>
      </w:rPr>
    </w:pPr>
    <w:r w:rsidRPr="00266042">
      <w:rPr>
        <w:lang w:val="es-CO"/>
      </w:rPr>
      <w:t>PRIETO V. CAMILO and PATIÑO G. DIEGO</w:t>
    </w:r>
  </w:p>
  <w:p w14:paraId="2762EF17" w14:textId="77777777" w:rsidR="00653209" w:rsidRPr="009E1558" w:rsidRDefault="00653209" w:rsidP="00037321">
    <w:pPr>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t bold capitals, centred</w:t>
    </w:r>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653209" w14:paraId="2C69EA9B" w14:textId="77777777">
      <w:trPr>
        <w:cantSplit/>
        <w:trHeight w:val="716"/>
      </w:trPr>
      <w:tc>
        <w:tcPr>
          <w:tcW w:w="979" w:type="dxa"/>
          <w:vMerge w:val="restart"/>
        </w:tcPr>
        <w:p w14:paraId="2A6ADF80" w14:textId="77777777" w:rsidR="00653209" w:rsidRDefault="00653209">
          <w:pPr>
            <w:spacing w:before="180"/>
            <w:ind w:left="17"/>
          </w:pPr>
        </w:p>
      </w:tc>
      <w:tc>
        <w:tcPr>
          <w:tcW w:w="3638" w:type="dxa"/>
          <w:vAlign w:val="bottom"/>
        </w:tcPr>
        <w:p w14:paraId="610CF310" w14:textId="77777777" w:rsidR="00653209" w:rsidRDefault="00653209">
          <w:pPr>
            <w:spacing w:after="20"/>
          </w:pPr>
        </w:p>
      </w:tc>
      <w:bookmarkStart w:id="1" w:name="DOC_bkmClassification1"/>
      <w:tc>
        <w:tcPr>
          <w:tcW w:w="5702" w:type="dxa"/>
          <w:vMerge w:val="restart"/>
          <w:tcMar>
            <w:right w:w="193" w:type="dxa"/>
          </w:tcMar>
        </w:tcPr>
        <w:p w14:paraId="48D5842E" w14:textId="65BC9385" w:rsidR="00653209" w:rsidRDefault="0065320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653209" w:rsidRDefault="00653209">
          <w:pPr>
            <w:pStyle w:val="zyxConfid2Red"/>
          </w:pPr>
          <w:r>
            <w:fldChar w:fldCharType="begin"/>
          </w:r>
          <w:r>
            <w:instrText>DOCPROPERTY "IaeaClassification2"  \* MERGEFORMAT</w:instrText>
          </w:r>
          <w:r>
            <w:fldChar w:fldCharType="end"/>
          </w:r>
        </w:p>
      </w:tc>
    </w:tr>
    <w:tr w:rsidR="00653209" w14:paraId="7130D945" w14:textId="77777777">
      <w:trPr>
        <w:cantSplit/>
        <w:trHeight w:val="167"/>
      </w:trPr>
      <w:tc>
        <w:tcPr>
          <w:tcW w:w="979" w:type="dxa"/>
          <w:vMerge/>
        </w:tcPr>
        <w:p w14:paraId="7659FE2B" w14:textId="77777777" w:rsidR="00653209" w:rsidRDefault="00653209">
          <w:pPr>
            <w:spacing w:before="57"/>
          </w:pPr>
        </w:p>
      </w:tc>
      <w:tc>
        <w:tcPr>
          <w:tcW w:w="3638" w:type="dxa"/>
          <w:vAlign w:val="bottom"/>
        </w:tcPr>
        <w:p w14:paraId="7578AADC" w14:textId="77777777" w:rsidR="00653209" w:rsidRDefault="00653209">
          <w:pPr>
            <w:pStyle w:val="Ttulo9"/>
            <w:spacing w:before="0" w:after="10"/>
          </w:pPr>
        </w:p>
      </w:tc>
      <w:tc>
        <w:tcPr>
          <w:tcW w:w="5702" w:type="dxa"/>
          <w:vMerge/>
          <w:vAlign w:val="bottom"/>
        </w:tcPr>
        <w:p w14:paraId="313FA1D9" w14:textId="77777777" w:rsidR="00653209" w:rsidRDefault="00653209">
          <w:pPr>
            <w:pStyle w:val="Ttulo9"/>
            <w:spacing w:before="0" w:after="10"/>
          </w:pPr>
        </w:p>
      </w:tc>
    </w:tr>
  </w:tbl>
  <w:p w14:paraId="7A0C2B4B" w14:textId="77777777" w:rsidR="00653209" w:rsidRDefault="0065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0"/>
  </w:num>
  <w:num w:numId="5">
    <w:abstractNumId w:val="10"/>
  </w:num>
  <w:num w:numId="6">
    <w:abstractNumId w:val="5"/>
  </w:num>
  <w:num w:numId="7">
    <w:abstractNumId w:val="8"/>
  </w:num>
  <w:num w:numId="8">
    <w:abstractNumId w:val="11"/>
  </w:num>
  <w:num w:numId="9">
    <w:abstractNumId w:val="1"/>
  </w:num>
  <w:num w:numId="10">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0"/>
  </w:num>
  <w:num w:numId="12">
    <w:abstractNumId w:val="10"/>
  </w:num>
  <w:num w:numId="13">
    <w:abstractNumId w:val="10"/>
  </w:num>
  <w:num w:numId="1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0"/>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0"/>
  </w:num>
  <w:num w:numId="22">
    <w:abstractNumId w:val="3"/>
  </w:num>
  <w:num w:numId="23">
    <w:abstractNumId w:val="0"/>
  </w:num>
  <w:num w:numId="24">
    <w:abstractNumId w:val="9"/>
  </w:num>
  <w:num w:numId="25">
    <w:abstractNumId w:val="10"/>
  </w:num>
  <w:num w:numId="26">
    <w:abstractNumId w:val="10"/>
  </w:num>
  <w:num w:numId="27">
    <w:abstractNumId w:val="10"/>
  </w:num>
  <w:num w:numId="28">
    <w:abstractNumId w:val="10"/>
  </w:num>
  <w:num w:numId="29">
    <w:abstractNumId w:val="10"/>
  </w:num>
  <w:num w:numId="30">
    <w:abstractNumId w:val="6"/>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777CD"/>
    <w:rsid w:val="000A0299"/>
    <w:rsid w:val="000C630E"/>
    <w:rsid w:val="000C672C"/>
    <w:rsid w:val="000C6F25"/>
    <w:rsid w:val="000F7E94"/>
    <w:rsid w:val="001119D6"/>
    <w:rsid w:val="001308F2"/>
    <w:rsid w:val="001313E8"/>
    <w:rsid w:val="00133808"/>
    <w:rsid w:val="001500B9"/>
    <w:rsid w:val="00160238"/>
    <w:rsid w:val="00180464"/>
    <w:rsid w:val="001C58F5"/>
    <w:rsid w:val="001D5CEE"/>
    <w:rsid w:val="001F10E2"/>
    <w:rsid w:val="002071D9"/>
    <w:rsid w:val="00256822"/>
    <w:rsid w:val="0026525A"/>
    <w:rsid w:val="00266042"/>
    <w:rsid w:val="002731D5"/>
    <w:rsid w:val="00274790"/>
    <w:rsid w:val="00285755"/>
    <w:rsid w:val="00291D87"/>
    <w:rsid w:val="002A1F9C"/>
    <w:rsid w:val="002B29C2"/>
    <w:rsid w:val="002B2E5C"/>
    <w:rsid w:val="002C4208"/>
    <w:rsid w:val="00324146"/>
    <w:rsid w:val="00352DE1"/>
    <w:rsid w:val="003728E6"/>
    <w:rsid w:val="0037439D"/>
    <w:rsid w:val="003B5E0E"/>
    <w:rsid w:val="003D255A"/>
    <w:rsid w:val="003D59A9"/>
    <w:rsid w:val="004107E5"/>
    <w:rsid w:val="00412F4D"/>
    <w:rsid w:val="00416949"/>
    <w:rsid w:val="004370D8"/>
    <w:rsid w:val="00454290"/>
    <w:rsid w:val="00472C43"/>
    <w:rsid w:val="00477CD6"/>
    <w:rsid w:val="0049596C"/>
    <w:rsid w:val="004A39CD"/>
    <w:rsid w:val="004F380F"/>
    <w:rsid w:val="00537496"/>
    <w:rsid w:val="00544ED3"/>
    <w:rsid w:val="0058477B"/>
    <w:rsid w:val="0058654F"/>
    <w:rsid w:val="00596ACA"/>
    <w:rsid w:val="005B70FE"/>
    <w:rsid w:val="005E39BC"/>
    <w:rsid w:val="005F00A0"/>
    <w:rsid w:val="006003C6"/>
    <w:rsid w:val="00641C5F"/>
    <w:rsid w:val="00647F33"/>
    <w:rsid w:val="00653209"/>
    <w:rsid w:val="00662532"/>
    <w:rsid w:val="0066374D"/>
    <w:rsid w:val="00664157"/>
    <w:rsid w:val="006B2274"/>
    <w:rsid w:val="006F00CF"/>
    <w:rsid w:val="00717C6F"/>
    <w:rsid w:val="007445DA"/>
    <w:rsid w:val="00754204"/>
    <w:rsid w:val="007B4FD1"/>
    <w:rsid w:val="007B578F"/>
    <w:rsid w:val="007D66A0"/>
    <w:rsid w:val="00802381"/>
    <w:rsid w:val="00844DFC"/>
    <w:rsid w:val="00856A4F"/>
    <w:rsid w:val="00883848"/>
    <w:rsid w:val="00897ED5"/>
    <w:rsid w:val="008B6BB9"/>
    <w:rsid w:val="00911543"/>
    <w:rsid w:val="009519C9"/>
    <w:rsid w:val="00995670"/>
    <w:rsid w:val="009B4458"/>
    <w:rsid w:val="009D0B86"/>
    <w:rsid w:val="009E0D5B"/>
    <w:rsid w:val="009E1558"/>
    <w:rsid w:val="00A42898"/>
    <w:rsid w:val="00AB6ACE"/>
    <w:rsid w:val="00AC5A3A"/>
    <w:rsid w:val="00AE46B3"/>
    <w:rsid w:val="00B260C8"/>
    <w:rsid w:val="00B82233"/>
    <w:rsid w:val="00B82FA5"/>
    <w:rsid w:val="00BA1D2D"/>
    <w:rsid w:val="00BB21BE"/>
    <w:rsid w:val="00BD1400"/>
    <w:rsid w:val="00BD605C"/>
    <w:rsid w:val="00BE2A76"/>
    <w:rsid w:val="00BF4171"/>
    <w:rsid w:val="00C47862"/>
    <w:rsid w:val="00C65E60"/>
    <w:rsid w:val="00C67D42"/>
    <w:rsid w:val="00CE5A52"/>
    <w:rsid w:val="00CF7AF3"/>
    <w:rsid w:val="00D026AE"/>
    <w:rsid w:val="00D26ADA"/>
    <w:rsid w:val="00D35A78"/>
    <w:rsid w:val="00D542EB"/>
    <w:rsid w:val="00D555A1"/>
    <w:rsid w:val="00D64DC2"/>
    <w:rsid w:val="00DA46CA"/>
    <w:rsid w:val="00DC57A0"/>
    <w:rsid w:val="00DD0490"/>
    <w:rsid w:val="00DF21EB"/>
    <w:rsid w:val="00E20E70"/>
    <w:rsid w:val="00E25B68"/>
    <w:rsid w:val="00E34991"/>
    <w:rsid w:val="00E84003"/>
    <w:rsid w:val="00E97B71"/>
    <w:rsid w:val="00EC10FC"/>
    <w:rsid w:val="00EE0041"/>
    <w:rsid w:val="00EE29B9"/>
    <w:rsid w:val="00F004EE"/>
    <w:rsid w:val="00F42E23"/>
    <w:rsid w:val="00F45EEE"/>
    <w:rsid w:val="00F51E9C"/>
    <w:rsid w:val="00F523CA"/>
    <w:rsid w:val="00F61D3C"/>
    <w:rsid w:val="00F74A9D"/>
    <w:rsid w:val="00F8455D"/>
    <w:rsid w:val="00FD5B83"/>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Strong" w:uiPriority="22"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ind w:left="709"/>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character" w:styleId="Textodelmarcadordeposicin">
    <w:name w:val="Placeholder Text"/>
    <w:basedOn w:val="Fuentedeprrafopredeter"/>
    <w:uiPriority w:val="99"/>
    <w:semiHidden/>
    <w:locked/>
    <w:rsid w:val="00DD0490"/>
    <w:rPr>
      <w:color w:val="808080"/>
    </w:rPr>
  </w:style>
  <w:style w:type="character" w:styleId="Textoennegrita">
    <w:name w:val="Strong"/>
    <w:basedOn w:val="Fuentedeprrafopredeter"/>
    <w:uiPriority w:val="22"/>
    <w:qFormat/>
    <w:locked/>
    <w:rsid w:val="002B2E5C"/>
    <w:rPr>
      <w:b/>
      <w:bCs/>
    </w:rPr>
  </w:style>
  <w:style w:type="character" w:customStyle="1" w:styleId="normaltextrun">
    <w:name w:val="normaltextrun"/>
    <w:basedOn w:val="Fuentedeprrafopredeter"/>
    <w:rsid w:val="00324146"/>
  </w:style>
  <w:style w:type="paragraph" w:customStyle="1" w:styleId="paragraph">
    <w:name w:val="paragraph"/>
    <w:basedOn w:val="Normal"/>
    <w:rsid w:val="00641C5F"/>
    <w:pPr>
      <w:overflowPunct/>
      <w:autoSpaceDE/>
      <w:autoSpaceDN/>
      <w:adjustRightInd/>
      <w:spacing w:before="100" w:beforeAutospacing="1" w:after="100" w:afterAutospacing="1"/>
      <w:textAlignment w:val="auto"/>
    </w:pPr>
    <w:rPr>
      <w:sz w:val="24"/>
      <w:szCs w:val="24"/>
      <w:lang w:val="es-CO" w:eastAsia="es-ES_tradnl"/>
    </w:rPr>
  </w:style>
  <w:style w:type="character" w:customStyle="1" w:styleId="eop">
    <w:name w:val="eop"/>
    <w:basedOn w:val="Fuentedeprrafopredeter"/>
    <w:rsid w:val="00641C5F"/>
  </w:style>
  <w:style w:type="character" w:styleId="Hipervnculo">
    <w:name w:val="Hyperlink"/>
    <w:basedOn w:val="Fuentedeprrafopredeter"/>
    <w:uiPriority w:val="49"/>
    <w:locked/>
    <w:rsid w:val="00B260C8"/>
    <w:rPr>
      <w:color w:val="0000FF" w:themeColor="hyperlink"/>
      <w:u w:val="single"/>
    </w:rPr>
  </w:style>
  <w:style w:type="character" w:styleId="Mencinsinresolver">
    <w:name w:val="Unresolved Mention"/>
    <w:basedOn w:val="Fuentedeprrafopredeter"/>
    <w:uiPriority w:val="99"/>
    <w:semiHidden/>
    <w:unhideWhenUsed/>
    <w:rsid w:val="00B260C8"/>
    <w:rPr>
      <w:color w:val="605E5C"/>
      <w:shd w:val="clear" w:color="auto" w:fill="E1DFDD"/>
    </w:rPr>
  </w:style>
  <w:style w:type="character" w:customStyle="1" w:styleId="ref-title">
    <w:name w:val="ref-title"/>
    <w:basedOn w:val="Fuentedeprrafopredeter"/>
    <w:rsid w:val="006003C6"/>
  </w:style>
  <w:style w:type="character" w:styleId="nfasis">
    <w:name w:val="Emphasis"/>
    <w:basedOn w:val="Fuentedeprrafopredeter"/>
    <w:uiPriority w:val="20"/>
    <w:qFormat/>
    <w:locked/>
    <w:rsid w:val="006003C6"/>
    <w:rPr>
      <w:i/>
      <w:iCs/>
    </w:rPr>
  </w:style>
  <w:style w:type="character" w:customStyle="1" w:styleId="ref-vol">
    <w:name w:val="ref-vol"/>
    <w:basedOn w:val="Fuentedeprrafopredeter"/>
    <w:rsid w:val="006003C6"/>
  </w:style>
  <w:style w:type="character" w:customStyle="1" w:styleId="nowrap">
    <w:name w:val="nowrap"/>
    <w:basedOn w:val="Fuentedeprrafopredeter"/>
    <w:rsid w:val="0060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127">
      <w:bodyDiv w:val="1"/>
      <w:marLeft w:val="0"/>
      <w:marRight w:val="0"/>
      <w:marTop w:val="0"/>
      <w:marBottom w:val="0"/>
      <w:divBdr>
        <w:top w:val="none" w:sz="0" w:space="0" w:color="auto"/>
        <w:left w:val="none" w:sz="0" w:space="0" w:color="auto"/>
        <w:bottom w:val="none" w:sz="0" w:space="0" w:color="auto"/>
        <w:right w:val="none" w:sz="0" w:space="0" w:color="auto"/>
      </w:divBdr>
    </w:div>
    <w:div w:id="74254930">
      <w:bodyDiv w:val="1"/>
      <w:marLeft w:val="0"/>
      <w:marRight w:val="0"/>
      <w:marTop w:val="0"/>
      <w:marBottom w:val="0"/>
      <w:divBdr>
        <w:top w:val="none" w:sz="0" w:space="0" w:color="auto"/>
        <w:left w:val="none" w:sz="0" w:space="0" w:color="auto"/>
        <w:bottom w:val="none" w:sz="0" w:space="0" w:color="auto"/>
        <w:right w:val="none" w:sz="0" w:space="0" w:color="auto"/>
      </w:divBdr>
    </w:div>
    <w:div w:id="114520078">
      <w:bodyDiv w:val="1"/>
      <w:marLeft w:val="0"/>
      <w:marRight w:val="0"/>
      <w:marTop w:val="0"/>
      <w:marBottom w:val="0"/>
      <w:divBdr>
        <w:top w:val="none" w:sz="0" w:space="0" w:color="auto"/>
        <w:left w:val="none" w:sz="0" w:space="0" w:color="auto"/>
        <w:bottom w:val="none" w:sz="0" w:space="0" w:color="auto"/>
        <w:right w:val="none" w:sz="0" w:space="0" w:color="auto"/>
      </w:divBdr>
    </w:div>
    <w:div w:id="124854320">
      <w:bodyDiv w:val="1"/>
      <w:marLeft w:val="0"/>
      <w:marRight w:val="0"/>
      <w:marTop w:val="0"/>
      <w:marBottom w:val="0"/>
      <w:divBdr>
        <w:top w:val="none" w:sz="0" w:space="0" w:color="auto"/>
        <w:left w:val="none" w:sz="0" w:space="0" w:color="auto"/>
        <w:bottom w:val="none" w:sz="0" w:space="0" w:color="auto"/>
        <w:right w:val="none" w:sz="0" w:space="0" w:color="auto"/>
      </w:divBdr>
    </w:div>
    <w:div w:id="125319897">
      <w:bodyDiv w:val="1"/>
      <w:marLeft w:val="0"/>
      <w:marRight w:val="0"/>
      <w:marTop w:val="0"/>
      <w:marBottom w:val="0"/>
      <w:divBdr>
        <w:top w:val="none" w:sz="0" w:space="0" w:color="auto"/>
        <w:left w:val="none" w:sz="0" w:space="0" w:color="auto"/>
        <w:bottom w:val="none" w:sz="0" w:space="0" w:color="auto"/>
        <w:right w:val="none" w:sz="0" w:space="0" w:color="auto"/>
      </w:divBdr>
    </w:div>
    <w:div w:id="165025159">
      <w:bodyDiv w:val="1"/>
      <w:marLeft w:val="0"/>
      <w:marRight w:val="0"/>
      <w:marTop w:val="0"/>
      <w:marBottom w:val="0"/>
      <w:divBdr>
        <w:top w:val="none" w:sz="0" w:space="0" w:color="auto"/>
        <w:left w:val="none" w:sz="0" w:space="0" w:color="auto"/>
        <w:bottom w:val="none" w:sz="0" w:space="0" w:color="auto"/>
        <w:right w:val="none" w:sz="0" w:space="0" w:color="auto"/>
      </w:divBdr>
    </w:div>
    <w:div w:id="199510779">
      <w:bodyDiv w:val="1"/>
      <w:marLeft w:val="0"/>
      <w:marRight w:val="0"/>
      <w:marTop w:val="0"/>
      <w:marBottom w:val="0"/>
      <w:divBdr>
        <w:top w:val="none" w:sz="0" w:space="0" w:color="auto"/>
        <w:left w:val="none" w:sz="0" w:space="0" w:color="auto"/>
        <w:bottom w:val="none" w:sz="0" w:space="0" w:color="auto"/>
        <w:right w:val="none" w:sz="0" w:space="0" w:color="auto"/>
      </w:divBdr>
    </w:div>
    <w:div w:id="226116194">
      <w:bodyDiv w:val="1"/>
      <w:marLeft w:val="0"/>
      <w:marRight w:val="0"/>
      <w:marTop w:val="0"/>
      <w:marBottom w:val="0"/>
      <w:divBdr>
        <w:top w:val="none" w:sz="0" w:space="0" w:color="auto"/>
        <w:left w:val="none" w:sz="0" w:space="0" w:color="auto"/>
        <w:bottom w:val="none" w:sz="0" w:space="0" w:color="auto"/>
        <w:right w:val="none" w:sz="0" w:space="0" w:color="auto"/>
      </w:divBdr>
    </w:div>
    <w:div w:id="332268565">
      <w:bodyDiv w:val="1"/>
      <w:marLeft w:val="0"/>
      <w:marRight w:val="0"/>
      <w:marTop w:val="0"/>
      <w:marBottom w:val="0"/>
      <w:divBdr>
        <w:top w:val="none" w:sz="0" w:space="0" w:color="auto"/>
        <w:left w:val="none" w:sz="0" w:space="0" w:color="auto"/>
        <w:bottom w:val="none" w:sz="0" w:space="0" w:color="auto"/>
        <w:right w:val="none" w:sz="0" w:space="0" w:color="auto"/>
      </w:divBdr>
    </w:div>
    <w:div w:id="361630753">
      <w:bodyDiv w:val="1"/>
      <w:marLeft w:val="0"/>
      <w:marRight w:val="0"/>
      <w:marTop w:val="0"/>
      <w:marBottom w:val="0"/>
      <w:divBdr>
        <w:top w:val="none" w:sz="0" w:space="0" w:color="auto"/>
        <w:left w:val="none" w:sz="0" w:space="0" w:color="auto"/>
        <w:bottom w:val="none" w:sz="0" w:space="0" w:color="auto"/>
        <w:right w:val="none" w:sz="0" w:space="0" w:color="auto"/>
      </w:divBdr>
    </w:div>
    <w:div w:id="407001906">
      <w:bodyDiv w:val="1"/>
      <w:marLeft w:val="0"/>
      <w:marRight w:val="0"/>
      <w:marTop w:val="0"/>
      <w:marBottom w:val="0"/>
      <w:divBdr>
        <w:top w:val="none" w:sz="0" w:space="0" w:color="auto"/>
        <w:left w:val="none" w:sz="0" w:space="0" w:color="auto"/>
        <w:bottom w:val="none" w:sz="0" w:space="0" w:color="auto"/>
        <w:right w:val="none" w:sz="0" w:space="0" w:color="auto"/>
      </w:divBdr>
    </w:div>
    <w:div w:id="469320899">
      <w:bodyDiv w:val="1"/>
      <w:marLeft w:val="0"/>
      <w:marRight w:val="0"/>
      <w:marTop w:val="0"/>
      <w:marBottom w:val="0"/>
      <w:divBdr>
        <w:top w:val="none" w:sz="0" w:space="0" w:color="auto"/>
        <w:left w:val="none" w:sz="0" w:space="0" w:color="auto"/>
        <w:bottom w:val="none" w:sz="0" w:space="0" w:color="auto"/>
        <w:right w:val="none" w:sz="0" w:space="0" w:color="auto"/>
      </w:divBdr>
    </w:div>
    <w:div w:id="502477987">
      <w:bodyDiv w:val="1"/>
      <w:marLeft w:val="0"/>
      <w:marRight w:val="0"/>
      <w:marTop w:val="0"/>
      <w:marBottom w:val="0"/>
      <w:divBdr>
        <w:top w:val="none" w:sz="0" w:space="0" w:color="auto"/>
        <w:left w:val="none" w:sz="0" w:space="0" w:color="auto"/>
        <w:bottom w:val="none" w:sz="0" w:space="0" w:color="auto"/>
        <w:right w:val="none" w:sz="0" w:space="0" w:color="auto"/>
      </w:divBdr>
    </w:div>
    <w:div w:id="525336817">
      <w:bodyDiv w:val="1"/>
      <w:marLeft w:val="0"/>
      <w:marRight w:val="0"/>
      <w:marTop w:val="0"/>
      <w:marBottom w:val="0"/>
      <w:divBdr>
        <w:top w:val="none" w:sz="0" w:space="0" w:color="auto"/>
        <w:left w:val="none" w:sz="0" w:space="0" w:color="auto"/>
        <w:bottom w:val="none" w:sz="0" w:space="0" w:color="auto"/>
        <w:right w:val="none" w:sz="0" w:space="0" w:color="auto"/>
      </w:divBdr>
    </w:div>
    <w:div w:id="533083967">
      <w:bodyDiv w:val="1"/>
      <w:marLeft w:val="0"/>
      <w:marRight w:val="0"/>
      <w:marTop w:val="0"/>
      <w:marBottom w:val="0"/>
      <w:divBdr>
        <w:top w:val="none" w:sz="0" w:space="0" w:color="auto"/>
        <w:left w:val="none" w:sz="0" w:space="0" w:color="auto"/>
        <w:bottom w:val="none" w:sz="0" w:space="0" w:color="auto"/>
        <w:right w:val="none" w:sz="0" w:space="0" w:color="auto"/>
      </w:divBdr>
    </w:div>
    <w:div w:id="557981356">
      <w:bodyDiv w:val="1"/>
      <w:marLeft w:val="0"/>
      <w:marRight w:val="0"/>
      <w:marTop w:val="0"/>
      <w:marBottom w:val="0"/>
      <w:divBdr>
        <w:top w:val="none" w:sz="0" w:space="0" w:color="auto"/>
        <w:left w:val="none" w:sz="0" w:space="0" w:color="auto"/>
        <w:bottom w:val="none" w:sz="0" w:space="0" w:color="auto"/>
        <w:right w:val="none" w:sz="0" w:space="0" w:color="auto"/>
      </w:divBdr>
    </w:div>
    <w:div w:id="603224552">
      <w:bodyDiv w:val="1"/>
      <w:marLeft w:val="0"/>
      <w:marRight w:val="0"/>
      <w:marTop w:val="0"/>
      <w:marBottom w:val="0"/>
      <w:divBdr>
        <w:top w:val="none" w:sz="0" w:space="0" w:color="auto"/>
        <w:left w:val="none" w:sz="0" w:space="0" w:color="auto"/>
        <w:bottom w:val="none" w:sz="0" w:space="0" w:color="auto"/>
        <w:right w:val="none" w:sz="0" w:space="0" w:color="auto"/>
      </w:divBdr>
    </w:div>
    <w:div w:id="651757366">
      <w:bodyDiv w:val="1"/>
      <w:marLeft w:val="0"/>
      <w:marRight w:val="0"/>
      <w:marTop w:val="0"/>
      <w:marBottom w:val="0"/>
      <w:divBdr>
        <w:top w:val="none" w:sz="0" w:space="0" w:color="auto"/>
        <w:left w:val="none" w:sz="0" w:space="0" w:color="auto"/>
        <w:bottom w:val="none" w:sz="0" w:space="0" w:color="auto"/>
        <w:right w:val="none" w:sz="0" w:space="0" w:color="auto"/>
      </w:divBdr>
    </w:div>
    <w:div w:id="663051282">
      <w:bodyDiv w:val="1"/>
      <w:marLeft w:val="0"/>
      <w:marRight w:val="0"/>
      <w:marTop w:val="0"/>
      <w:marBottom w:val="0"/>
      <w:divBdr>
        <w:top w:val="none" w:sz="0" w:space="0" w:color="auto"/>
        <w:left w:val="none" w:sz="0" w:space="0" w:color="auto"/>
        <w:bottom w:val="none" w:sz="0" w:space="0" w:color="auto"/>
        <w:right w:val="none" w:sz="0" w:space="0" w:color="auto"/>
      </w:divBdr>
    </w:div>
    <w:div w:id="729157478">
      <w:bodyDiv w:val="1"/>
      <w:marLeft w:val="0"/>
      <w:marRight w:val="0"/>
      <w:marTop w:val="0"/>
      <w:marBottom w:val="0"/>
      <w:divBdr>
        <w:top w:val="none" w:sz="0" w:space="0" w:color="auto"/>
        <w:left w:val="none" w:sz="0" w:space="0" w:color="auto"/>
        <w:bottom w:val="none" w:sz="0" w:space="0" w:color="auto"/>
        <w:right w:val="none" w:sz="0" w:space="0" w:color="auto"/>
      </w:divBdr>
    </w:div>
    <w:div w:id="777717124">
      <w:bodyDiv w:val="1"/>
      <w:marLeft w:val="0"/>
      <w:marRight w:val="0"/>
      <w:marTop w:val="0"/>
      <w:marBottom w:val="0"/>
      <w:divBdr>
        <w:top w:val="none" w:sz="0" w:space="0" w:color="auto"/>
        <w:left w:val="none" w:sz="0" w:space="0" w:color="auto"/>
        <w:bottom w:val="none" w:sz="0" w:space="0" w:color="auto"/>
        <w:right w:val="none" w:sz="0" w:space="0" w:color="auto"/>
      </w:divBdr>
    </w:div>
    <w:div w:id="778375622">
      <w:bodyDiv w:val="1"/>
      <w:marLeft w:val="0"/>
      <w:marRight w:val="0"/>
      <w:marTop w:val="0"/>
      <w:marBottom w:val="0"/>
      <w:divBdr>
        <w:top w:val="none" w:sz="0" w:space="0" w:color="auto"/>
        <w:left w:val="none" w:sz="0" w:space="0" w:color="auto"/>
        <w:bottom w:val="none" w:sz="0" w:space="0" w:color="auto"/>
        <w:right w:val="none" w:sz="0" w:space="0" w:color="auto"/>
      </w:divBdr>
    </w:div>
    <w:div w:id="882717660">
      <w:bodyDiv w:val="1"/>
      <w:marLeft w:val="0"/>
      <w:marRight w:val="0"/>
      <w:marTop w:val="0"/>
      <w:marBottom w:val="0"/>
      <w:divBdr>
        <w:top w:val="none" w:sz="0" w:space="0" w:color="auto"/>
        <w:left w:val="none" w:sz="0" w:space="0" w:color="auto"/>
        <w:bottom w:val="none" w:sz="0" w:space="0" w:color="auto"/>
        <w:right w:val="none" w:sz="0" w:space="0" w:color="auto"/>
      </w:divBdr>
    </w:div>
    <w:div w:id="964852480">
      <w:bodyDiv w:val="1"/>
      <w:marLeft w:val="0"/>
      <w:marRight w:val="0"/>
      <w:marTop w:val="0"/>
      <w:marBottom w:val="0"/>
      <w:divBdr>
        <w:top w:val="none" w:sz="0" w:space="0" w:color="auto"/>
        <w:left w:val="none" w:sz="0" w:space="0" w:color="auto"/>
        <w:bottom w:val="none" w:sz="0" w:space="0" w:color="auto"/>
        <w:right w:val="none" w:sz="0" w:space="0" w:color="auto"/>
      </w:divBdr>
    </w:div>
    <w:div w:id="980187472">
      <w:bodyDiv w:val="1"/>
      <w:marLeft w:val="0"/>
      <w:marRight w:val="0"/>
      <w:marTop w:val="0"/>
      <w:marBottom w:val="0"/>
      <w:divBdr>
        <w:top w:val="none" w:sz="0" w:space="0" w:color="auto"/>
        <w:left w:val="none" w:sz="0" w:space="0" w:color="auto"/>
        <w:bottom w:val="none" w:sz="0" w:space="0" w:color="auto"/>
        <w:right w:val="none" w:sz="0" w:space="0" w:color="auto"/>
      </w:divBdr>
    </w:div>
    <w:div w:id="1017122993">
      <w:bodyDiv w:val="1"/>
      <w:marLeft w:val="0"/>
      <w:marRight w:val="0"/>
      <w:marTop w:val="0"/>
      <w:marBottom w:val="0"/>
      <w:divBdr>
        <w:top w:val="none" w:sz="0" w:space="0" w:color="auto"/>
        <w:left w:val="none" w:sz="0" w:space="0" w:color="auto"/>
        <w:bottom w:val="none" w:sz="0" w:space="0" w:color="auto"/>
        <w:right w:val="none" w:sz="0" w:space="0" w:color="auto"/>
      </w:divBdr>
    </w:div>
    <w:div w:id="1024013327">
      <w:bodyDiv w:val="1"/>
      <w:marLeft w:val="0"/>
      <w:marRight w:val="0"/>
      <w:marTop w:val="0"/>
      <w:marBottom w:val="0"/>
      <w:divBdr>
        <w:top w:val="none" w:sz="0" w:space="0" w:color="auto"/>
        <w:left w:val="none" w:sz="0" w:space="0" w:color="auto"/>
        <w:bottom w:val="none" w:sz="0" w:space="0" w:color="auto"/>
        <w:right w:val="none" w:sz="0" w:space="0" w:color="auto"/>
      </w:divBdr>
    </w:div>
    <w:div w:id="1080253806">
      <w:bodyDiv w:val="1"/>
      <w:marLeft w:val="0"/>
      <w:marRight w:val="0"/>
      <w:marTop w:val="0"/>
      <w:marBottom w:val="0"/>
      <w:divBdr>
        <w:top w:val="none" w:sz="0" w:space="0" w:color="auto"/>
        <w:left w:val="none" w:sz="0" w:space="0" w:color="auto"/>
        <w:bottom w:val="none" w:sz="0" w:space="0" w:color="auto"/>
        <w:right w:val="none" w:sz="0" w:space="0" w:color="auto"/>
      </w:divBdr>
    </w:div>
    <w:div w:id="1186017422">
      <w:bodyDiv w:val="1"/>
      <w:marLeft w:val="0"/>
      <w:marRight w:val="0"/>
      <w:marTop w:val="0"/>
      <w:marBottom w:val="0"/>
      <w:divBdr>
        <w:top w:val="none" w:sz="0" w:space="0" w:color="auto"/>
        <w:left w:val="none" w:sz="0" w:space="0" w:color="auto"/>
        <w:bottom w:val="none" w:sz="0" w:space="0" w:color="auto"/>
        <w:right w:val="none" w:sz="0" w:space="0" w:color="auto"/>
      </w:divBdr>
    </w:div>
    <w:div w:id="1223558567">
      <w:bodyDiv w:val="1"/>
      <w:marLeft w:val="0"/>
      <w:marRight w:val="0"/>
      <w:marTop w:val="0"/>
      <w:marBottom w:val="0"/>
      <w:divBdr>
        <w:top w:val="none" w:sz="0" w:space="0" w:color="auto"/>
        <w:left w:val="none" w:sz="0" w:space="0" w:color="auto"/>
        <w:bottom w:val="none" w:sz="0" w:space="0" w:color="auto"/>
        <w:right w:val="none" w:sz="0" w:space="0" w:color="auto"/>
      </w:divBdr>
    </w:div>
    <w:div w:id="1242326357">
      <w:bodyDiv w:val="1"/>
      <w:marLeft w:val="0"/>
      <w:marRight w:val="0"/>
      <w:marTop w:val="0"/>
      <w:marBottom w:val="0"/>
      <w:divBdr>
        <w:top w:val="none" w:sz="0" w:space="0" w:color="auto"/>
        <w:left w:val="none" w:sz="0" w:space="0" w:color="auto"/>
        <w:bottom w:val="none" w:sz="0" w:space="0" w:color="auto"/>
        <w:right w:val="none" w:sz="0" w:space="0" w:color="auto"/>
      </w:divBdr>
    </w:div>
    <w:div w:id="1289313542">
      <w:bodyDiv w:val="1"/>
      <w:marLeft w:val="0"/>
      <w:marRight w:val="0"/>
      <w:marTop w:val="0"/>
      <w:marBottom w:val="0"/>
      <w:divBdr>
        <w:top w:val="none" w:sz="0" w:space="0" w:color="auto"/>
        <w:left w:val="none" w:sz="0" w:space="0" w:color="auto"/>
        <w:bottom w:val="none" w:sz="0" w:space="0" w:color="auto"/>
        <w:right w:val="none" w:sz="0" w:space="0" w:color="auto"/>
      </w:divBdr>
    </w:div>
    <w:div w:id="1296180702">
      <w:bodyDiv w:val="1"/>
      <w:marLeft w:val="0"/>
      <w:marRight w:val="0"/>
      <w:marTop w:val="0"/>
      <w:marBottom w:val="0"/>
      <w:divBdr>
        <w:top w:val="none" w:sz="0" w:space="0" w:color="auto"/>
        <w:left w:val="none" w:sz="0" w:space="0" w:color="auto"/>
        <w:bottom w:val="none" w:sz="0" w:space="0" w:color="auto"/>
        <w:right w:val="none" w:sz="0" w:space="0" w:color="auto"/>
      </w:divBdr>
    </w:div>
    <w:div w:id="1312908207">
      <w:bodyDiv w:val="1"/>
      <w:marLeft w:val="0"/>
      <w:marRight w:val="0"/>
      <w:marTop w:val="0"/>
      <w:marBottom w:val="0"/>
      <w:divBdr>
        <w:top w:val="none" w:sz="0" w:space="0" w:color="auto"/>
        <w:left w:val="none" w:sz="0" w:space="0" w:color="auto"/>
        <w:bottom w:val="none" w:sz="0" w:space="0" w:color="auto"/>
        <w:right w:val="none" w:sz="0" w:space="0" w:color="auto"/>
      </w:divBdr>
    </w:div>
    <w:div w:id="1344477421">
      <w:bodyDiv w:val="1"/>
      <w:marLeft w:val="0"/>
      <w:marRight w:val="0"/>
      <w:marTop w:val="0"/>
      <w:marBottom w:val="0"/>
      <w:divBdr>
        <w:top w:val="none" w:sz="0" w:space="0" w:color="auto"/>
        <w:left w:val="none" w:sz="0" w:space="0" w:color="auto"/>
        <w:bottom w:val="none" w:sz="0" w:space="0" w:color="auto"/>
        <w:right w:val="none" w:sz="0" w:space="0" w:color="auto"/>
      </w:divBdr>
    </w:div>
    <w:div w:id="1359508392">
      <w:bodyDiv w:val="1"/>
      <w:marLeft w:val="0"/>
      <w:marRight w:val="0"/>
      <w:marTop w:val="0"/>
      <w:marBottom w:val="0"/>
      <w:divBdr>
        <w:top w:val="none" w:sz="0" w:space="0" w:color="auto"/>
        <w:left w:val="none" w:sz="0" w:space="0" w:color="auto"/>
        <w:bottom w:val="none" w:sz="0" w:space="0" w:color="auto"/>
        <w:right w:val="none" w:sz="0" w:space="0" w:color="auto"/>
      </w:divBdr>
    </w:div>
    <w:div w:id="1376389322">
      <w:bodyDiv w:val="1"/>
      <w:marLeft w:val="0"/>
      <w:marRight w:val="0"/>
      <w:marTop w:val="0"/>
      <w:marBottom w:val="0"/>
      <w:divBdr>
        <w:top w:val="none" w:sz="0" w:space="0" w:color="auto"/>
        <w:left w:val="none" w:sz="0" w:space="0" w:color="auto"/>
        <w:bottom w:val="none" w:sz="0" w:space="0" w:color="auto"/>
        <w:right w:val="none" w:sz="0" w:space="0" w:color="auto"/>
      </w:divBdr>
    </w:div>
    <w:div w:id="1385372138">
      <w:bodyDiv w:val="1"/>
      <w:marLeft w:val="0"/>
      <w:marRight w:val="0"/>
      <w:marTop w:val="0"/>
      <w:marBottom w:val="0"/>
      <w:divBdr>
        <w:top w:val="none" w:sz="0" w:space="0" w:color="auto"/>
        <w:left w:val="none" w:sz="0" w:space="0" w:color="auto"/>
        <w:bottom w:val="none" w:sz="0" w:space="0" w:color="auto"/>
        <w:right w:val="none" w:sz="0" w:space="0" w:color="auto"/>
      </w:divBdr>
    </w:div>
    <w:div w:id="1478181661">
      <w:bodyDiv w:val="1"/>
      <w:marLeft w:val="0"/>
      <w:marRight w:val="0"/>
      <w:marTop w:val="0"/>
      <w:marBottom w:val="0"/>
      <w:divBdr>
        <w:top w:val="none" w:sz="0" w:space="0" w:color="auto"/>
        <w:left w:val="none" w:sz="0" w:space="0" w:color="auto"/>
        <w:bottom w:val="none" w:sz="0" w:space="0" w:color="auto"/>
        <w:right w:val="none" w:sz="0" w:space="0" w:color="auto"/>
      </w:divBdr>
    </w:div>
    <w:div w:id="1535074146">
      <w:bodyDiv w:val="1"/>
      <w:marLeft w:val="0"/>
      <w:marRight w:val="0"/>
      <w:marTop w:val="0"/>
      <w:marBottom w:val="0"/>
      <w:divBdr>
        <w:top w:val="none" w:sz="0" w:space="0" w:color="auto"/>
        <w:left w:val="none" w:sz="0" w:space="0" w:color="auto"/>
        <w:bottom w:val="none" w:sz="0" w:space="0" w:color="auto"/>
        <w:right w:val="none" w:sz="0" w:space="0" w:color="auto"/>
      </w:divBdr>
    </w:div>
    <w:div w:id="1604415957">
      <w:bodyDiv w:val="1"/>
      <w:marLeft w:val="0"/>
      <w:marRight w:val="0"/>
      <w:marTop w:val="0"/>
      <w:marBottom w:val="0"/>
      <w:divBdr>
        <w:top w:val="none" w:sz="0" w:space="0" w:color="auto"/>
        <w:left w:val="none" w:sz="0" w:space="0" w:color="auto"/>
        <w:bottom w:val="none" w:sz="0" w:space="0" w:color="auto"/>
        <w:right w:val="none" w:sz="0" w:space="0" w:color="auto"/>
      </w:divBdr>
    </w:div>
    <w:div w:id="1626035260">
      <w:bodyDiv w:val="1"/>
      <w:marLeft w:val="0"/>
      <w:marRight w:val="0"/>
      <w:marTop w:val="0"/>
      <w:marBottom w:val="0"/>
      <w:divBdr>
        <w:top w:val="none" w:sz="0" w:space="0" w:color="auto"/>
        <w:left w:val="none" w:sz="0" w:space="0" w:color="auto"/>
        <w:bottom w:val="none" w:sz="0" w:space="0" w:color="auto"/>
        <w:right w:val="none" w:sz="0" w:space="0" w:color="auto"/>
      </w:divBdr>
    </w:div>
    <w:div w:id="1679042462">
      <w:bodyDiv w:val="1"/>
      <w:marLeft w:val="0"/>
      <w:marRight w:val="0"/>
      <w:marTop w:val="0"/>
      <w:marBottom w:val="0"/>
      <w:divBdr>
        <w:top w:val="none" w:sz="0" w:space="0" w:color="auto"/>
        <w:left w:val="none" w:sz="0" w:space="0" w:color="auto"/>
        <w:bottom w:val="none" w:sz="0" w:space="0" w:color="auto"/>
        <w:right w:val="none" w:sz="0" w:space="0" w:color="auto"/>
      </w:divBdr>
    </w:div>
    <w:div w:id="1715234715">
      <w:bodyDiv w:val="1"/>
      <w:marLeft w:val="0"/>
      <w:marRight w:val="0"/>
      <w:marTop w:val="0"/>
      <w:marBottom w:val="0"/>
      <w:divBdr>
        <w:top w:val="none" w:sz="0" w:space="0" w:color="auto"/>
        <w:left w:val="none" w:sz="0" w:space="0" w:color="auto"/>
        <w:bottom w:val="none" w:sz="0" w:space="0" w:color="auto"/>
        <w:right w:val="none" w:sz="0" w:space="0" w:color="auto"/>
      </w:divBdr>
    </w:div>
    <w:div w:id="1745378093">
      <w:bodyDiv w:val="1"/>
      <w:marLeft w:val="0"/>
      <w:marRight w:val="0"/>
      <w:marTop w:val="0"/>
      <w:marBottom w:val="0"/>
      <w:divBdr>
        <w:top w:val="none" w:sz="0" w:space="0" w:color="auto"/>
        <w:left w:val="none" w:sz="0" w:space="0" w:color="auto"/>
        <w:bottom w:val="none" w:sz="0" w:space="0" w:color="auto"/>
        <w:right w:val="none" w:sz="0" w:space="0" w:color="auto"/>
      </w:divBdr>
    </w:div>
    <w:div w:id="1845317416">
      <w:bodyDiv w:val="1"/>
      <w:marLeft w:val="0"/>
      <w:marRight w:val="0"/>
      <w:marTop w:val="0"/>
      <w:marBottom w:val="0"/>
      <w:divBdr>
        <w:top w:val="none" w:sz="0" w:space="0" w:color="auto"/>
        <w:left w:val="none" w:sz="0" w:space="0" w:color="auto"/>
        <w:bottom w:val="none" w:sz="0" w:space="0" w:color="auto"/>
        <w:right w:val="none" w:sz="0" w:space="0" w:color="auto"/>
      </w:divBdr>
      <w:divsChild>
        <w:div w:id="1292441749">
          <w:marLeft w:val="0"/>
          <w:marRight w:val="0"/>
          <w:marTop w:val="0"/>
          <w:marBottom w:val="0"/>
          <w:divBdr>
            <w:top w:val="none" w:sz="0" w:space="0" w:color="auto"/>
            <w:left w:val="none" w:sz="0" w:space="0" w:color="auto"/>
            <w:bottom w:val="none" w:sz="0" w:space="0" w:color="auto"/>
            <w:right w:val="none" w:sz="0" w:space="0" w:color="auto"/>
          </w:divBdr>
          <w:divsChild>
            <w:div w:id="773861371">
              <w:marLeft w:val="0"/>
              <w:marRight w:val="0"/>
              <w:marTop w:val="0"/>
              <w:marBottom w:val="0"/>
              <w:divBdr>
                <w:top w:val="none" w:sz="0" w:space="0" w:color="auto"/>
                <w:left w:val="none" w:sz="0" w:space="0" w:color="auto"/>
                <w:bottom w:val="none" w:sz="0" w:space="0" w:color="auto"/>
                <w:right w:val="none" w:sz="0" w:space="0" w:color="auto"/>
              </w:divBdr>
            </w:div>
          </w:divsChild>
        </w:div>
        <w:div w:id="1039668604">
          <w:marLeft w:val="0"/>
          <w:marRight w:val="0"/>
          <w:marTop w:val="0"/>
          <w:marBottom w:val="0"/>
          <w:divBdr>
            <w:top w:val="none" w:sz="0" w:space="0" w:color="auto"/>
            <w:left w:val="none" w:sz="0" w:space="0" w:color="auto"/>
            <w:bottom w:val="none" w:sz="0" w:space="0" w:color="auto"/>
            <w:right w:val="none" w:sz="0" w:space="0" w:color="auto"/>
          </w:divBdr>
          <w:divsChild>
            <w:div w:id="726539124">
              <w:marLeft w:val="0"/>
              <w:marRight w:val="0"/>
              <w:marTop w:val="0"/>
              <w:marBottom w:val="0"/>
              <w:divBdr>
                <w:top w:val="none" w:sz="0" w:space="0" w:color="auto"/>
                <w:left w:val="none" w:sz="0" w:space="0" w:color="auto"/>
                <w:bottom w:val="none" w:sz="0" w:space="0" w:color="auto"/>
                <w:right w:val="none" w:sz="0" w:space="0" w:color="auto"/>
              </w:divBdr>
            </w:div>
          </w:divsChild>
        </w:div>
        <w:div w:id="2140952883">
          <w:marLeft w:val="0"/>
          <w:marRight w:val="0"/>
          <w:marTop w:val="0"/>
          <w:marBottom w:val="0"/>
          <w:divBdr>
            <w:top w:val="none" w:sz="0" w:space="0" w:color="auto"/>
            <w:left w:val="none" w:sz="0" w:space="0" w:color="auto"/>
            <w:bottom w:val="none" w:sz="0" w:space="0" w:color="auto"/>
            <w:right w:val="none" w:sz="0" w:space="0" w:color="auto"/>
          </w:divBdr>
          <w:divsChild>
            <w:div w:id="1242717404">
              <w:marLeft w:val="0"/>
              <w:marRight w:val="0"/>
              <w:marTop w:val="0"/>
              <w:marBottom w:val="0"/>
              <w:divBdr>
                <w:top w:val="none" w:sz="0" w:space="0" w:color="auto"/>
                <w:left w:val="none" w:sz="0" w:space="0" w:color="auto"/>
                <w:bottom w:val="none" w:sz="0" w:space="0" w:color="auto"/>
                <w:right w:val="none" w:sz="0" w:space="0" w:color="auto"/>
              </w:divBdr>
            </w:div>
          </w:divsChild>
        </w:div>
        <w:div w:id="1880585379">
          <w:marLeft w:val="0"/>
          <w:marRight w:val="0"/>
          <w:marTop w:val="0"/>
          <w:marBottom w:val="0"/>
          <w:divBdr>
            <w:top w:val="none" w:sz="0" w:space="0" w:color="auto"/>
            <w:left w:val="none" w:sz="0" w:space="0" w:color="auto"/>
            <w:bottom w:val="none" w:sz="0" w:space="0" w:color="auto"/>
            <w:right w:val="none" w:sz="0" w:space="0" w:color="auto"/>
          </w:divBdr>
          <w:divsChild>
            <w:div w:id="197082543">
              <w:marLeft w:val="0"/>
              <w:marRight w:val="0"/>
              <w:marTop w:val="0"/>
              <w:marBottom w:val="0"/>
              <w:divBdr>
                <w:top w:val="none" w:sz="0" w:space="0" w:color="auto"/>
                <w:left w:val="none" w:sz="0" w:space="0" w:color="auto"/>
                <w:bottom w:val="none" w:sz="0" w:space="0" w:color="auto"/>
                <w:right w:val="none" w:sz="0" w:space="0" w:color="auto"/>
              </w:divBdr>
            </w:div>
          </w:divsChild>
        </w:div>
        <w:div w:id="1244487218">
          <w:marLeft w:val="0"/>
          <w:marRight w:val="0"/>
          <w:marTop w:val="0"/>
          <w:marBottom w:val="0"/>
          <w:divBdr>
            <w:top w:val="none" w:sz="0" w:space="0" w:color="auto"/>
            <w:left w:val="none" w:sz="0" w:space="0" w:color="auto"/>
            <w:bottom w:val="none" w:sz="0" w:space="0" w:color="auto"/>
            <w:right w:val="none" w:sz="0" w:space="0" w:color="auto"/>
          </w:divBdr>
          <w:divsChild>
            <w:div w:id="872495674">
              <w:marLeft w:val="0"/>
              <w:marRight w:val="0"/>
              <w:marTop w:val="0"/>
              <w:marBottom w:val="0"/>
              <w:divBdr>
                <w:top w:val="none" w:sz="0" w:space="0" w:color="auto"/>
                <w:left w:val="none" w:sz="0" w:space="0" w:color="auto"/>
                <w:bottom w:val="none" w:sz="0" w:space="0" w:color="auto"/>
                <w:right w:val="none" w:sz="0" w:space="0" w:color="auto"/>
              </w:divBdr>
            </w:div>
          </w:divsChild>
        </w:div>
        <w:div w:id="2034335738">
          <w:marLeft w:val="0"/>
          <w:marRight w:val="0"/>
          <w:marTop w:val="0"/>
          <w:marBottom w:val="0"/>
          <w:divBdr>
            <w:top w:val="none" w:sz="0" w:space="0" w:color="auto"/>
            <w:left w:val="none" w:sz="0" w:space="0" w:color="auto"/>
            <w:bottom w:val="none" w:sz="0" w:space="0" w:color="auto"/>
            <w:right w:val="none" w:sz="0" w:space="0" w:color="auto"/>
          </w:divBdr>
          <w:divsChild>
            <w:div w:id="1127705140">
              <w:marLeft w:val="0"/>
              <w:marRight w:val="0"/>
              <w:marTop w:val="0"/>
              <w:marBottom w:val="0"/>
              <w:divBdr>
                <w:top w:val="none" w:sz="0" w:space="0" w:color="auto"/>
                <w:left w:val="none" w:sz="0" w:space="0" w:color="auto"/>
                <w:bottom w:val="none" w:sz="0" w:space="0" w:color="auto"/>
                <w:right w:val="none" w:sz="0" w:space="0" w:color="auto"/>
              </w:divBdr>
            </w:div>
          </w:divsChild>
        </w:div>
        <w:div w:id="1115102612">
          <w:marLeft w:val="0"/>
          <w:marRight w:val="0"/>
          <w:marTop w:val="0"/>
          <w:marBottom w:val="0"/>
          <w:divBdr>
            <w:top w:val="none" w:sz="0" w:space="0" w:color="auto"/>
            <w:left w:val="none" w:sz="0" w:space="0" w:color="auto"/>
            <w:bottom w:val="none" w:sz="0" w:space="0" w:color="auto"/>
            <w:right w:val="none" w:sz="0" w:space="0" w:color="auto"/>
          </w:divBdr>
          <w:divsChild>
            <w:div w:id="1120609274">
              <w:marLeft w:val="0"/>
              <w:marRight w:val="0"/>
              <w:marTop w:val="0"/>
              <w:marBottom w:val="0"/>
              <w:divBdr>
                <w:top w:val="none" w:sz="0" w:space="0" w:color="auto"/>
                <w:left w:val="none" w:sz="0" w:space="0" w:color="auto"/>
                <w:bottom w:val="none" w:sz="0" w:space="0" w:color="auto"/>
                <w:right w:val="none" w:sz="0" w:space="0" w:color="auto"/>
              </w:divBdr>
            </w:div>
          </w:divsChild>
        </w:div>
        <w:div w:id="1298335712">
          <w:marLeft w:val="0"/>
          <w:marRight w:val="0"/>
          <w:marTop w:val="0"/>
          <w:marBottom w:val="0"/>
          <w:divBdr>
            <w:top w:val="none" w:sz="0" w:space="0" w:color="auto"/>
            <w:left w:val="none" w:sz="0" w:space="0" w:color="auto"/>
            <w:bottom w:val="none" w:sz="0" w:space="0" w:color="auto"/>
            <w:right w:val="none" w:sz="0" w:space="0" w:color="auto"/>
          </w:divBdr>
          <w:divsChild>
            <w:div w:id="930116361">
              <w:marLeft w:val="0"/>
              <w:marRight w:val="0"/>
              <w:marTop w:val="0"/>
              <w:marBottom w:val="0"/>
              <w:divBdr>
                <w:top w:val="none" w:sz="0" w:space="0" w:color="auto"/>
                <w:left w:val="none" w:sz="0" w:space="0" w:color="auto"/>
                <w:bottom w:val="none" w:sz="0" w:space="0" w:color="auto"/>
                <w:right w:val="none" w:sz="0" w:space="0" w:color="auto"/>
              </w:divBdr>
            </w:div>
          </w:divsChild>
        </w:div>
        <w:div w:id="1595743607">
          <w:marLeft w:val="0"/>
          <w:marRight w:val="0"/>
          <w:marTop w:val="0"/>
          <w:marBottom w:val="0"/>
          <w:divBdr>
            <w:top w:val="none" w:sz="0" w:space="0" w:color="auto"/>
            <w:left w:val="none" w:sz="0" w:space="0" w:color="auto"/>
            <w:bottom w:val="none" w:sz="0" w:space="0" w:color="auto"/>
            <w:right w:val="none" w:sz="0" w:space="0" w:color="auto"/>
          </w:divBdr>
          <w:divsChild>
            <w:div w:id="554127171">
              <w:marLeft w:val="0"/>
              <w:marRight w:val="0"/>
              <w:marTop w:val="0"/>
              <w:marBottom w:val="0"/>
              <w:divBdr>
                <w:top w:val="none" w:sz="0" w:space="0" w:color="auto"/>
                <w:left w:val="none" w:sz="0" w:space="0" w:color="auto"/>
                <w:bottom w:val="none" w:sz="0" w:space="0" w:color="auto"/>
                <w:right w:val="none" w:sz="0" w:space="0" w:color="auto"/>
              </w:divBdr>
            </w:div>
          </w:divsChild>
        </w:div>
        <w:div w:id="1110854309">
          <w:marLeft w:val="0"/>
          <w:marRight w:val="0"/>
          <w:marTop w:val="0"/>
          <w:marBottom w:val="0"/>
          <w:divBdr>
            <w:top w:val="none" w:sz="0" w:space="0" w:color="auto"/>
            <w:left w:val="none" w:sz="0" w:space="0" w:color="auto"/>
            <w:bottom w:val="none" w:sz="0" w:space="0" w:color="auto"/>
            <w:right w:val="none" w:sz="0" w:space="0" w:color="auto"/>
          </w:divBdr>
          <w:divsChild>
            <w:div w:id="1906453826">
              <w:marLeft w:val="0"/>
              <w:marRight w:val="0"/>
              <w:marTop w:val="0"/>
              <w:marBottom w:val="0"/>
              <w:divBdr>
                <w:top w:val="none" w:sz="0" w:space="0" w:color="auto"/>
                <w:left w:val="none" w:sz="0" w:space="0" w:color="auto"/>
                <w:bottom w:val="none" w:sz="0" w:space="0" w:color="auto"/>
                <w:right w:val="none" w:sz="0" w:space="0" w:color="auto"/>
              </w:divBdr>
            </w:div>
          </w:divsChild>
        </w:div>
        <w:div w:id="217711086">
          <w:marLeft w:val="0"/>
          <w:marRight w:val="0"/>
          <w:marTop w:val="0"/>
          <w:marBottom w:val="0"/>
          <w:divBdr>
            <w:top w:val="none" w:sz="0" w:space="0" w:color="auto"/>
            <w:left w:val="none" w:sz="0" w:space="0" w:color="auto"/>
            <w:bottom w:val="none" w:sz="0" w:space="0" w:color="auto"/>
            <w:right w:val="none" w:sz="0" w:space="0" w:color="auto"/>
          </w:divBdr>
          <w:divsChild>
            <w:div w:id="728268459">
              <w:marLeft w:val="0"/>
              <w:marRight w:val="0"/>
              <w:marTop w:val="0"/>
              <w:marBottom w:val="0"/>
              <w:divBdr>
                <w:top w:val="none" w:sz="0" w:space="0" w:color="auto"/>
                <w:left w:val="none" w:sz="0" w:space="0" w:color="auto"/>
                <w:bottom w:val="none" w:sz="0" w:space="0" w:color="auto"/>
                <w:right w:val="none" w:sz="0" w:space="0" w:color="auto"/>
              </w:divBdr>
            </w:div>
          </w:divsChild>
        </w:div>
        <w:div w:id="1549682640">
          <w:marLeft w:val="0"/>
          <w:marRight w:val="0"/>
          <w:marTop w:val="0"/>
          <w:marBottom w:val="0"/>
          <w:divBdr>
            <w:top w:val="none" w:sz="0" w:space="0" w:color="auto"/>
            <w:left w:val="none" w:sz="0" w:space="0" w:color="auto"/>
            <w:bottom w:val="none" w:sz="0" w:space="0" w:color="auto"/>
            <w:right w:val="none" w:sz="0" w:space="0" w:color="auto"/>
          </w:divBdr>
          <w:divsChild>
            <w:div w:id="580867861">
              <w:marLeft w:val="0"/>
              <w:marRight w:val="0"/>
              <w:marTop w:val="0"/>
              <w:marBottom w:val="0"/>
              <w:divBdr>
                <w:top w:val="none" w:sz="0" w:space="0" w:color="auto"/>
                <w:left w:val="none" w:sz="0" w:space="0" w:color="auto"/>
                <w:bottom w:val="none" w:sz="0" w:space="0" w:color="auto"/>
                <w:right w:val="none" w:sz="0" w:space="0" w:color="auto"/>
              </w:divBdr>
            </w:div>
          </w:divsChild>
        </w:div>
        <w:div w:id="1892115153">
          <w:marLeft w:val="0"/>
          <w:marRight w:val="0"/>
          <w:marTop w:val="0"/>
          <w:marBottom w:val="0"/>
          <w:divBdr>
            <w:top w:val="none" w:sz="0" w:space="0" w:color="auto"/>
            <w:left w:val="none" w:sz="0" w:space="0" w:color="auto"/>
            <w:bottom w:val="none" w:sz="0" w:space="0" w:color="auto"/>
            <w:right w:val="none" w:sz="0" w:space="0" w:color="auto"/>
          </w:divBdr>
          <w:divsChild>
            <w:div w:id="83458393">
              <w:marLeft w:val="0"/>
              <w:marRight w:val="0"/>
              <w:marTop w:val="0"/>
              <w:marBottom w:val="0"/>
              <w:divBdr>
                <w:top w:val="none" w:sz="0" w:space="0" w:color="auto"/>
                <w:left w:val="none" w:sz="0" w:space="0" w:color="auto"/>
                <w:bottom w:val="none" w:sz="0" w:space="0" w:color="auto"/>
                <w:right w:val="none" w:sz="0" w:space="0" w:color="auto"/>
              </w:divBdr>
            </w:div>
          </w:divsChild>
        </w:div>
        <w:div w:id="1726836598">
          <w:marLeft w:val="0"/>
          <w:marRight w:val="0"/>
          <w:marTop w:val="0"/>
          <w:marBottom w:val="0"/>
          <w:divBdr>
            <w:top w:val="none" w:sz="0" w:space="0" w:color="auto"/>
            <w:left w:val="none" w:sz="0" w:space="0" w:color="auto"/>
            <w:bottom w:val="none" w:sz="0" w:space="0" w:color="auto"/>
            <w:right w:val="none" w:sz="0" w:space="0" w:color="auto"/>
          </w:divBdr>
          <w:divsChild>
            <w:div w:id="29501469">
              <w:marLeft w:val="0"/>
              <w:marRight w:val="0"/>
              <w:marTop w:val="0"/>
              <w:marBottom w:val="0"/>
              <w:divBdr>
                <w:top w:val="none" w:sz="0" w:space="0" w:color="auto"/>
                <w:left w:val="none" w:sz="0" w:space="0" w:color="auto"/>
                <w:bottom w:val="none" w:sz="0" w:space="0" w:color="auto"/>
                <w:right w:val="none" w:sz="0" w:space="0" w:color="auto"/>
              </w:divBdr>
            </w:div>
          </w:divsChild>
        </w:div>
        <w:div w:id="169028283">
          <w:marLeft w:val="0"/>
          <w:marRight w:val="0"/>
          <w:marTop w:val="0"/>
          <w:marBottom w:val="0"/>
          <w:divBdr>
            <w:top w:val="none" w:sz="0" w:space="0" w:color="auto"/>
            <w:left w:val="none" w:sz="0" w:space="0" w:color="auto"/>
            <w:bottom w:val="none" w:sz="0" w:space="0" w:color="auto"/>
            <w:right w:val="none" w:sz="0" w:space="0" w:color="auto"/>
          </w:divBdr>
          <w:divsChild>
            <w:div w:id="812403978">
              <w:marLeft w:val="0"/>
              <w:marRight w:val="0"/>
              <w:marTop w:val="0"/>
              <w:marBottom w:val="0"/>
              <w:divBdr>
                <w:top w:val="none" w:sz="0" w:space="0" w:color="auto"/>
                <w:left w:val="none" w:sz="0" w:space="0" w:color="auto"/>
                <w:bottom w:val="none" w:sz="0" w:space="0" w:color="auto"/>
                <w:right w:val="none" w:sz="0" w:space="0" w:color="auto"/>
              </w:divBdr>
            </w:div>
          </w:divsChild>
        </w:div>
        <w:div w:id="321545533">
          <w:marLeft w:val="0"/>
          <w:marRight w:val="0"/>
          <w:marTop w:val="0"/>
          <w:marBottom w:val="0"/>
          <w:divBdr>
            <w:top w:val="none" w:sz="0" w:space="0" w:color="auto"/>
            <w:left w:val="none" w:sz="0" w:space="0" w:color="auto"/>
            <w:bottom w:val="none" w:sz="0" w:space="0" w:color="auto"/>
            <w:right w:val="none" w:sz="0" w:space="0" w:color="auto"/>
          </w:divBdr>
          <w:divsChild>
            <w:div w:id="1822501811">
              <w:marLeft w:val="0"/>
              <w:marRight w:val="0"/>
              <w:marTop w:val="0"/>
              <w:marBottom w:val="0"/>
              <w:divBdr>
                <w:top w:val="none" w:sz="0" w:space="0" w:color="auto"/>
                <w:left w:val="none" w:sz="0" w:space="0" w:color="auto"/>
                <w:bottom w:val="none" w:sz="0" w:space="0" w:color="auto"/>
                <w:right w:val="none" w:sz="0" w:space="0" w:color="auto"/>
              </w:divBdr>
            </w:div>
          </w:divsChild>
        </w:div>
        <w:div w:id="1530992923">
          <w:marLeft w:val="0"/>
          <w:marRight w:val="0"/>
          <w:marTop w:val="0"/>
          <w:marBottom w:val="0"/>
          <w:divBdr>
            <w:top w:val="none" w:sz="0" w:space="0" w:color="auto"/>
            <w:left w:val="none" w:sz="0" w:space="0" w:color="auto"/>
            <w:bottom w:val="none" w:sz="0" w:space="0" w:color="auto"/>
            <w:right w:val="none" w:sz="0" w:space="0" w:color="auto"/>
          </w:divBdr>
          <w:divsChild>
            <w:div w:id="15422442">
              <w:marLeft w:val="0"/>
              <w:marRight w:val="0"/>
              <w:marTop w:val="0"/>
              <w:marBottom w:val="0"/>
              <w:divBdr>
                <w:top w:val="none" w:sz="0" w:space="0" w:color="auto"/>
                <w:left w:val="none" w:sz="0" w:space="0" w:color="auto"/>
                <w:bottom w:val="none" w:sz="0" w:space="0" w:color="auto"/>
                <w:right w:val="none" w:sz="0" w:space="0" w:color="auto"/>
              </w:divBdr>
            </w:div>
          </w:divsChild>
        </w:div>
        <w:div w:id="466432656">
          <w:marLeft w:val="0"/>
          <w:marRight w:val="0"/>
          <w:marTop w:val="0"/>
          <w:marBottom w:val="0"/>
          <w:divBdr>
            <w:top w:val="none" w:sz="0" w:space="0" w:color="auto"/>
            <w:left w:val="none" w:sz="0" w:space="0" w:color="auto"/>
            <w:bottom w:val="none" w:sz="0" w:space="0" w:color="auto"/>
            <w:right w:val="none" w:sz="0" w:space="0" w:color="auto"/>
          </w:divBdr>
          <w:divsChild>
            <w:div w:id="872349883">
              <w:marLeft w:val="0"/>
              <w:marRight w:val="0"/>
              <w:marTop w:val="0"/>
              <w:marBottom w:val="0"/>
              <w:divBdr>
                <w:top w:val="none" w:sz="0" w:space="0" w:color="auto"/>
                <w:left w:val="none" w:sz="0" w:space="0" w:color="auto"/>
                <w:bottom w:val="none" w:sz="0" w:space="0" w:color="auto"/>
                <w:right w:val="none" w:sz="0" w:space="0" w:color="auto"/>
              </w:divBdr>
            </w:div>
          </w:divsChild>
        </w:div>
        <w:div w:id="1095394793">
          <w:marLeft w:val="0"/>
          <w:marRight w:val="0"/>
          <w:marTop w:val="0"/>
          <w:marBottom w:val="0"/>
          <w:divBdr>
            <w:top w:val="none" w:sz="0" w:space="0" w:color="auto"/>
            <w:left w:val="none" w:sz="0" w:space="0" w:color="auto"/>
            <w:bottom w:val="none" w:sz="0" w:space="0" w:color="auto"/>
            <w:right w:val="none" w:sz="0" w:space="0" w:color="auto"/>
          </w:divBdr>
          <w:divsChild>
            <w:div w:id="1281761013">
              <w:marLeft w:val="0"/>
              <w:marRight w:val="0"/>
              <w:marTop w:val="0"/>
              <w:marBottom w:val="0"/>
              <w:divBdr>
                <w:top w:val="none" w:sz="0" w:space="0" w:color="auto"/>
                <w:left w:val="none" w:sz="0" w:space="0" w:color="auto"/>
                <w:bottom w:val="none" w:sz="0" w:space="0" w:color="auto"/>
                <w:right w:val="none" w:sz="0" w:space="0" w:color="auto"/>
              </w:divBdr>
            </w:div>
          </w:divsChild>
        </w:div>
        <w:div w:id="2115831086">
          <w:marLeft w:val="0"/>
          <w:marRight w:val="0"/>
          <w:marTop w:val="0"/>
          <w:marBottom w:val="0"/>
          <w:divBdr>
            <w:top w:val="none" w:sz="0" w:space="0" w:color="auto"/>
            <w:left w:val="none" w:sz="0" w:space="0" w:color="auto"/>
            <w:bottom w:val="none" w:sz="0" w:space="0" w:color="auto"/>
            <w:right w:val="none" w:sz="0" w:space="0" w:color="auto"/>
          </w:divBdr>
          <w:divsChild>
            <w:div w:id="1207984375">
              <w:marLeft w:val="0"/>
              <w:marRight w:val="0"/>
              <w:marTop w:val="0"/>
              <w:marBottom w:val="0"/>
              <w:divBdr>
                <w:top w:val="none" w:sz="0" w:space="0" w:color="auto"/>
                <w:left w:val="none" w:sz="0" w:space="0" w:color="auto"/>
                <w:bottom w:val="none" w:sz="0" w:space="0" w:color="auto"/>
                <w:right w:val="none" w:sz="0" w:space="0" w:color="auto"/>
              </w:divBdr>
            </w:div>
          </w:divsChild>
        </w:div>
        <w:div w:id="1367174266">
          <w:marLeft w:val="0"/>
          <w:marRight w:val="0"/>
          <w:marTop w:val="0"/>
          <w:marBottom w:val="0"/>
          <w:divBdr>
            <w:top w:val="none" w:sz="0" w:space="0" w:color="auto"/>
            <w:left w:val="none" w:sz="0" w:space="0" w:color="auto"/>
            <w:bottom w:val="none" w:sz="0" w:space="0" w:color="auto"/>
            <w:right w:val="none" w:sz="0" w:space="0" w:color="auto"/>
          </w:divBdr>
          <w:divsChild>
            <w:div w:id="1343357280">
              <w:marLeft w:val="0"/>
              <w:marRight w:val="0"/>
              <w:marTop w:val="0"/>
              <w:marBottom w:val="0"/>
              <w:divBdr>
                <w:top w:val="none" w:sz="0" w:space="0" w:color="auto"/>
                <w:left w:val="none" w:sz="0" w:space="0" w:color="auto"/>
                <w:bottom w:val="none" w:sz="0" w:space="0" w:color="auto"/>
                <w:right w:val="none" w:sz="0" w:space="0" w:color="auto"/>
              </w:divBdr>
            </w:div>
          </w:divsChild>
        </w:div>
        <w:div w:id="334889368">
          <w:marLeft w:val="0"/>
          <w:marRight w:val="0"/>
          <w:marTop w:val="0"/>
          <w:marBottom w:val="0"/>
          <w:divBdr>
            <w:top w:val="none" w:sz="0" w:space="0" w:color="auto"/>
            <w:left w:val="none" w:sz="0" w:space="0" w:color="auto"/>
            <w:bottom w:val="none" w:sz="0" w:space="0" w:color="auto"/>
            <w:right w:val="none" w:sz="0" w:space="0" w:color="auto"/>
          </w:divBdr>
          <w:divsChild>
            <w:div w:id="1023244107">
              <w:marLeft w:val="0"/>
              <w:marRight w:val="0"/>
              <w:marTop w:val="0"/>
              <w:marBottom w:val="0"/>
              <w:divBdr>
                <w:top w:val="none" w:sz="0" w:space="0" w:color="auto"/>
                <w:left w:val="none" w:sz="0" w:space="0" w:color="auto"/>
                <w:bottom w:val="none" w:sz="0" w:space="0" w:color="auto"/>
                <w:right w:val="none" w:sz="0" w:space="0" w:color="auto"/>
              </w:divBdr>
            </w:div>
          </w:divsChild>
        </w:div>
        <w:div w:id="933787180">
          <w:marLeft w:val="0"/>
          <w:marRight w:val="0"/>
          <w:marTop w:val="0"/>
          <w:marBottom w:val="0"/>
          <w:divBdr>
            <w:top w:val="none" w:sz="0" w:space="0" w:color="auto"/>
            <w:left w:val="none" w:sz="0" w:space="0" w:color="auto"/>
            <w:bottom w:val="none" w:sz="0" w:space="0" w:color="auto"/>
            <w:right w:val="none" w:sz="0" w:space="0" w:color="auto"/>
          </w:divBdr>
          <w:divsChild>
            <w:div w:id="920917015">
              <w:marLeft w:val="0"/>
              <w:marRight w:val="0"/>
              <w:marTop w:val="0"/>
              <w:marBottom w:val="0"/>
              <w:divBdr>
                <w:top w:val="none" w:sz="0" w:space="0" w:color="auto"/>
                <w:left w:val="none" w:sz="0" w:space="0" w:color="auto"/>
                <w:bottom w:val="none" w:sz="0" w:space="0" w:color="auto"/>
                <w:right w:val="none" w:sz="0" w:space="0" w:color="auto"/>
              </w:divBdr>
            </w:div>
          </w:divsChild>
        </w:div>
        <w:div w:id="1684280047">
          <w:marLeft w:val="0"/>
          <w:marRight w:val="0"/>
          <w:marTop w:val="0"/>
          <w:marBottom w:val="0"/>
          <w:divBdr>
            <w:top w:val="none" w:sz="0" w:space="0" w:color="auto"/>
            <w:left w:val="none" w:sz="0" w:space="0" w:color="auto"/>
            <w:bottom w:val="none" w:sz="0" w:space="0" w:color="auto"/>
            <w:right w:val="none" w:sz="0" w:space="0" w:color="auto"/>
          </w:divBdr>
          <w:divsChild>
            <w:div w:id="4951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3978">
      <w:bodyDiv w:val="1"/>
      <w:marLeft w:val="0"/>
      <w:marRight w:val="0"/>
      <w:marTop w:val="0"/>
      <w:marBottom w:val="0"/>
      <w:divBdr>
        <w:top w:val="none" w:sz="0" w:space="0" w:color="auto"/>
        <w:left w:val="none" w:sz="0" w:space="0" w:color="auto"/>
        <w:bottom w:val="none" w:sz="0" w:space="0" w:color="auto"/>
        <w:right w:val="none" w:sz="0" w:space="0" w:color="auto"/>
      </w:divBdr>
    </w:div>
    <w:div w:id="1896547181">
      <w:bodyDiv w:val="1"/>
      <w:marLeft w:val="0"/>
      <w:marRight w:val="0"/>
      <w:marTop w:val="0"/>
      <w:marBottom w:val="0"/>
      <w:divBdr>
        <w:top w:val="none" w:sz="0" w:space="0" w:color="auto"/>
        <w:left w:val="none" w:sz="0" w:space="0" w:color="auto"/>
        <w:bottom w:val="none" w:sz="0" w:space="0" w:color="auto"/>
        <w:right w:val="none" w:sz="0" w:space="0" w:color="auto"/>
      </w:divBdr>
    </w:div>
    <w:div w:id="1904372113">
      <w:bodyDiv w:val="1"/>
      <w:marLeft w:val="0"/>
      <w:marRight w:val="0"/>
      <w:marTop w:val="0"/>
      <w:marBottom w:val="0"/>
      <w:divBdr>
        <w:top w:val="none" w:sz="0" w:space="0" w:color="auto"/>
        <w:left w:val="none" w:sz="0" w:space="0" w:color="auto"/>
        <w:bottom w:val="none" w:sz="0" w:space="0" w:color="auto"/>
        <w:right w:val="none" w:sz="0" w:space="0" w:color="auto"/>
      </w:divBdr>
    </w:div>
    <w:div w:id="2010935812">
      <w:bodyDiv w:val="1"/>
      <w:marLeft w:val="0"/>
      <w:marRight w:val="0"/>
      <w:marTop w:val="0"/>
      <w:marBottom w:val="0"/>
      <w:divBdr>
        <w:top w:val="none" w:sz="0" w:space="0" w:color="auto"/>
        <w:left w:val="none" w:sz="0" w:space="0" w:color="auto"/>
        <w:bottom w:val="none" w:sz="0" w:space="0" w:color="auto"/>
        <w:right w:val="none" w:sz="0" w:space="0" w:color="auto"/>
      </w:divBdr>
    </w:div>
    <w:div w:id="2047215828">
      <w:bodyDiv w:val="1"/>
      <w:marLeft w:val="0"/>
      <w:marRight w:val="0"/>
      <w:marTop w:val="0"/>
      <w:marBottom w:val="0"/>
      <w:divBdr>
        <w:top w:val="none" w:sz="0" w:space="0" w:color="auto"/>
        <w:left w:val="none" w:sz="0" w:space="0" w:color="auto"/>
        <w:bottom w:val="none" w:sz="0" w:space="0" w:color="auto"/>
        <w:right w:val="none" w:sz="0" w:space="0" w:color="auto"/>
      </w:divBdr>
    </w:div>
    <w:div w:id="2050714604">
      <w:bodyDiv w:val="1"/>
      <w:marLeft w:val="0"/>
      <w:marRight w:val="0"/>
      <w:marTop w:val="0"/>
      <w:marBottom w:val="0"/>
      <w:divBdr>
        <w:top w:val="none" w:sz="0" w:space="0" w:color="auto"/>
        <w:left w:val="none" w:sz="0" w:space="0" w:color="auto"/>
        <w:bottom w:val="none" w:sz="0" w:space="0" w:color="auto"/>
        <w:right w:val="none" w:sz="0" w:space="0" w:color="auto"/>
      </w:divBdr>
    </w:div>
    <w:div w:id="2052418195">
      <w:bodyDiv w:val="1"/>
      <w:marLeft w:val="0"/>
      <w:marRight w:val="0"/>
      <w:marTop w:val="0"/>
      <w:marBottom w:val="0"/>
      <w:divBdr>
        <w:top w:val="none" w:sz="0" w:space="0" w:color="auto"/>
        <w:left w:val="none" w:sz="0" w:space="0" w:color="auto"/>
        <w:bottom w:val="none" w:sz="0" w:space="0" w:color="auto"/>
        <w:right w:val="none" w:sz="0" w:space="0" w:color="auto"/>
      </w:divBdr>
    </w:div>
    <w:div w:id="2053721690">
      <w:bodyDiv w:val="1"/>
      <w:marLeft w:val="0"/>
      <w:marRight w:val="0"/>
      <w:marTop w:val="0"/>
      <w:marBottom w:val="0"/>
      <w:divBdr>
        <w:top w:val="none" w:sz="0" w:space="0" w:color="auto"/>
        <w:left w:val="none" w:sz="0" w:space="0" w:color="auto"/>
        <w:bottom w:val="none" w:sz="0" w:space="0" w:color="auto"/>
        <w:right w:val="none" w:sz="0" w:space="0" w:color="auto"/>
      </w:divBdr>
    </w:div>
    <w:div w:id="2068063273">
      <w:bodyDiv w:val="1"/>
      <w:marLeft w:val="0"/>
      <w:marRight w:val="0"/>
      <w:marTop w:val="0"/>
      <w:marBottom w:val="0"/>
      <w:divBdr>
        <w:top w:val="none" w:sz="0" w:space="0" w:color="auto"/>
        <w:left w:val="none" w:sz="0" w:space="0" w:color="auto"/>
        <w:bottom w:val="none" w:sz="0" w:space="0" w:color="auto"/>
        <w:right w:val="none" w:sz="0" w:space="0" w:color="auto"/>
      </w:divBdr>
    </w:div>
    <w:div w:id="21253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Energy+Econ&amp;title=A+Top+Down+Assessment+of+Energy,+Water+and+Land+use+in+Uranium+Mining,+Milling,+and+Refining.&amp;author=E+Schneider&amp;author=B+Carlsen&amp;author=E+Tavrides&amp;volume=40&amp;publication_year=2013&amp;pages=911-926&am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lar.google.com/scholar_lookup?journal=Renew+Sustain+Energy+Rev&amp;title=Land+use+and+electricity+generation:+A+life-cycle+analysis.&amp;author=V+Fthenakis&amp;author=HC+Kim&amp;volume=13&amp;publication_year=2009&amp;pages=1465-1474&amp;"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1101078-6FCC-7245-8562-75DFB27A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2</TotalTime>
  <Pages>6</Pages>
  <Words>3209</Words>
  <Characters>16272</Characters>
  <Application>Microsoft Office Word</Application>
  <DocSecurity>0</DocSecurity>
  <Lines>312</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Camilo Andres Prieto Valderrama</cp:lastModifiedBy>
  <cp:revision>2</cp:revision>
  <cp:lastPrinted>2024-03-19T13:52:00Z</cp:lastPrinted>
  <dcterms:created xsi:type="dcterms:W3CDTF">2024-05-28T13:42:00Z</dcterms:created>
  <dcterms:modified xsi:type="dcterms:W3CDTF">2024-05-28T13:42:00Z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