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01F0" w14:textId="46872922" w:rsidR="00E20E70" w:rsidRPr="00EE29B9" w:rsidRDefault="009C30DA" w:rsidP="00537496">
      <w:pPr>
        <w:pStyle w:val="Heading1"/>
      </w:pPr>
      <w:r>
        <w:t>Jordan’s SMR RTA experience</w:t>
      </w:r>
    </w:p>
    <w:p w14:paraId="4D1B799F" w14:textId="77777777" w:rsidR="00802381" w:rsidRDefault="00802381" w:rsidP="00537496">
      <w:pPr>
        <w:pStyle w:val="Authornameandaffiliation"/>
      </w:pPr>
    </w:p>
    <w:p w14:paraId="32159D0F" w14:textId="447F5E32" w:rsidR="003B5E0E" w:rsidRDefault="009C30DA" w:rsidP="00537496">
      <w:pPr>
        <w:pStyle w:val="Authornameandaffiliation"/>
      </w:pPr>
      <w:r>
        <w:t>Khaleel S. Ham</w:t>
      </w:r>
      <w:r w:rsidR="006B45FB">
        <w:t>dan</w:t>
      </w:r>
    </w:p>
    <w:p w14:paraId="02370931" w14:textId="78744406" w:rsidR="00FF386F" w:rsidRDefault="009C30DA" w:rsidP="00537496">
      <w:pPr>
        <w:pStyle w:val="Authornameandaffiliation"/>
      </w:pPr>
      <w:r>
        <w:t>Jordan Atomic Energy Commission</w:t>
      </w:r>
    </w:p>
    <w:p w14:paraId="14684DE2" w14:textId="47736BBD" w:rsidR="00FF386F" w:rsidRDefault="009C30DA" w:rsidP="009C30DA">
      <w:pPr>
        <w:pStyle w:val="Authornameandaffiliation"/>
      </w:pPr>
      <w:r>
        <w:t>Amman</w:t>
      </w:r>
      <w:r w:rsidR="00FF386F">
        <w:t xml:space="preserve">, </w:t>
      </w:r>
      <w:r>
        <w:t>Jordan</w:t>
      </w:r>
    </w:p>
    <w:p w14:paraId="0080899C" w14:textId="5A58C8F1" w:rsidR="00FF386F" w:rsidRDefault="00FF386F" w:rsidP="009C30DA">
      <w:pPr>
        <w:pStyle w:val="Authornameandaffiliation"/>
      </w:pPr>
      <w:r>
        <w:t xml:space="preserve">Email: </w:t>
      </w:r>
      <w:r w:rsidR="009C30DA">
        <w:t>khaleel.hamdan@jaec.gov.jo</w:t>
      </w:r>
    </w:p>
    <w:p w14:paraId="2C7F19CB" w14:textId="5A323CDA" w:rsidR="00FF386F" w:rsidRDefault="00FF386F" w:rsidP="009C30DA">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BB5F015" w:rsidR="00647F33" w:rsidRPr="00BD605C" w:rsidRDefault="00245B42" w:rsidP="007D3002">
      <w:pPr>
        <w:pStyle w:val="Abstracttext"/>
        <w:jc w:val="both"/>
      </w:pPr>
      <w:r w:rsidRPr="00245B42">
        <w:t xml:space="preserve">The Jordan Atomic Energy Commission (JAEC), based on the updated electricity demand forecast study conducted on the Electricity Market in Jordan, initiated studies on the feasibility of deployment of Small Modular Reactors (SMRs) in Jordan. </w:t>
      </w:r>
      <w:r>
        <w:t>This paper</w:t>
      </w:r>
      <w:r w:rsidR="00603316">
        <w:t xml:space="preserve"> discusses selecting and evaluating reactor vendors to align with Jordan’s nuclear power project requirements</w:t>
      </w:r>
      <w:r w:rsidR="00825EF3" w:rsidRPr="00825EF3">
        <w:t xml:space="preserve"> emphasizing</w:t>
      </w:r>
      <w:r w:rsidR="00603316">
        <w:t xml:space="preserve"> the critical Energy and water state in Jordan, and justifying the need </w:t>
      </w:r>
      <w:r w:rsidR="0085018F">
        <w:t>for</w:t>
      </w:r>
      <w:r w:rsidR="00603316">
        <w:t xml:space="preserve"> such a program</w:t>
      </w:r>
      <w:r w:rsidR="0085018F">
        <w:t>.</w:t>
      </w:r>
      <w:r w:rsidR="000110E7">
        <w:t xml:space="preserve"> </w:t>
      </w:r>
      <w:r w:rsidR="0085018F">
        <w:t xml:space="preserve">It </w:t>
      </w:r>
      <w:r w:rsidR="0085018F" w:rsidRPr="0085018F">
        <w:t>explains</w:t>
      </w:r>
      <w:r w:rsidR="0085018F">
        <w:t xml:space="preserve"> the rationale behind the requirements</w:t>
      </w:r>
      <w:r w:rsidR="00DB4CEE" w:rsidRPr="0085018F">
        <w:t>.</w:t>
      </w:r>
      <w:r w:rsidR="00DB4CEE">
        <w:t xml:space="preserve"> The IAEA RTA methodology was used as a reference to build the process with some modifications to accommodate the special nature of the SMR technology. </w:t>
      </w:r>
      <w:r w:rsidR="0085018F">
        <w:t>Throughout this</w:t>
      </w:r>
      <w:r w:rsidR="00E07C1A">
        <w:t xml:space="preserve"> framework, the paper navigates the process, it presents the results of the RTA offering insight into the SMR RTA experience and its implications for the country’s energy/water future</w:t>
      </w:r>
      <w:r w:rsidR="000110E7">
        <w:t>.</w:t>
      </w:r>
    </w:p>
    <w:p w14:paraId="03C6D75B" w14:textId="77777777" w:rsidR="00647F33" w:rsidRDefault="00F523CA" w:rsidP="00503763">
      <w:pPr>
        <w:pStyle w:val="Heading2"/>
        <w:numPr>
          <w:ilvl w:val="1"/>
          <w:numId w:val="5"/>
        </w:numPr>
      </w:pPr>
      <w:r>
        <w:t>INTRODUCTION</w:t>
      </w:r>
    </w:p>
    <w:p w14:paraId="6840C601" w14:textId="3D51C786" w:rsidR="00B547C6" w:rsidRPr="00C90FB3" w:rsidRDefault="00527BF7" w:rsidP="00B547C6">
      <w:pPr>
        <w:pStyle w:val="BodyText"/>
      </w:pPr>
      <w:r w:rsidRPr="00C90FB3">
        <w:t>Jordan is an 89,342 km</w:t>
      </w:r>
      <w:r w:rsidRPr="00C90FB3">
        <w:rPr>
          <w:vertAlign w:val="superscript"/>
        </w:rPr>
        <w:t xml:space="preserve">2 </w:t>
      </w:r>
      <w:r w:rsidRPr="00C90FB3">
        <w:t>country with an estimated population of 11.5 million</w:t>
      </w:r>
      <w:r w:rsidR="00235B71">
        <w:t xml:space="preserve"> with an electrification rate of 99.9%</w:t>
      </w:r>
      <w:r w:rsidRPr="00C90FB3">
        <w:t xml:space="preserve">. Consisting mostly of an arid climate, and lacking large land water bodies, Jordan depends mostly on inconsistent seasonal rain as the primary water source. Jordan has a </w:t>
      </w:r>
      <w:r w:rsidR="009D5C4F" w:rsidRPr="00C90FB3">
        <w:t>small shoreline in the Gulf of Aqaba, representing the only seaport for the country.</w:t>
      </w:r>
    </w:p>
    <w:p w14:paraId="5330F1A1" w14:textId="0AC29496" w:rsidR="005409ED" w:rsidRPr="00235B71" w:rsidRDefault="004E7B2F" w:rsidP="004E7B2F">
      <w:pPr>
        <w:pStyle w:val="BodyText"/>
      </w:pPr>
      <w:r>
        <w:t>Currently</w:t>
      </w:r>
      <w:r w:rsidR="00E479AC">
        <w:t xml:space="preserve">, the only locally independent power source is the Attarat Power Company </w:t>
      </w:r>
      <w:r w:rsidR="00E479AC">
        <w:fldChar w:fldCharType="begin"/>
      </w:r>
      <w:r w:rsidR="00E479AC">
        <w:instrText xml:space="preserve"> REF _Ref165461335 \r \h </w:instrText>
      </w:r>
      <w:r w:rsidR="00E479AC">
        <w:fldChar w:fldCharType="separate"/>
      </w:r>
      <w:r w:rsidR="00E479AC">
        <w:rPr>
          <w:cs/>
        </w:rPr>
        <w:t>‎</w:t>
      </w:r>
      <w:r w:rsidR="00E479AC">
        <w:t>[1]</w:t>
      </w:r>
      <w:r w:rsidR="00E479AC">
        <w:fldChar w:fldCharType="end"/>
      </w:r>
      <w:r w:rsidR="00E479AC">
        <w:t xml:space="preserve"> which </w:t>
      </w:r>
      <w:r w:rsidR="00BA4122">
        <w:t>consists of two 235 MW units. The plant is expected to meet up to 15% of the annual electricity demand.</w:t>
      </w:r>
      <w:r w:rsidR="00235B71">
        <w:t xml:space="preserve"> Jordan</w:t>
      </w:r>
      <w:r w:rsidR="00BA4122">
        <w:t xml:space="preserve"> also has the Risha Gas field </w:t>
      </w:r>
      <w:r w:rsidR="00BB585C" w:rsidRPr="00BB585C">
        <w:t>which</w:t>
      </w:r>
      <w:r w:rsidR="00BA4122">
        <w:t xml:space="preserve"> produces 1.8% of the daily need </w:t>
      </w:r>
      <w:r w:rsidR="00F27FAD" w:rsidRPr="00F27FAD">
        <w:t>for</w:t>
      </w:r>
      <w:r w:rsidR="00BA4122">
        <w:t xml:space="preserve"> gas in Jordan. Jordan acquires its </w:t>
      </w:r>
      <w:r w:rsidR="00470A61">
        <w:t>natural gas needs</w:t>
      </w:r>
      <w:r w:rsidR="00BA4122">
        <w:t xml:space="preserve"> through an agreement that will end in 2031. </w:t>
      </w:r>
      <w:r w:rsidR="006E5132">
        <w:t xml:space="preserve">This puts Jordan in a tight position and in a race against time to find alternative energy sources </w:t>
      </w:r>
      <w:r w:rsidR="00A323FC">
        <w:t xml:space="preserve">after 2030 to </w:t>
      </w:r>
      <w:r w:rsidR="00A323FC" w:rsidRPr="00A323FC">
        <w:t xml:space="preserve">reconcile </w:t>
      </w:r>
      <w:r w:rsidR="006E5132">
        <w:t>the expired natural gas supply agreement and the planned decommissioned conventional and renewable power stations.</w:t>
      </w:r>
    </w:p>
    <w:p w14:paraId="1D8E3307" w14:textId="0813C472" w:rsidR="005409ED" w:rsidRDefault="005409ED" w:rsidP="005409ED">
      <w:pPr>
        <w:pStyle w:val="BodyText"/>
        <w:rPr>
          <w:lang w:val="en-US"/>
        </w:rPr>
      </w:pPr>
      <w:r>
        <w:rPr>
          <w:lang w:val="en-US"/>
        </w:rPr>
        <w:t>The current annual freshwater share per capita in Jordan is 61m</w:t>
      </w:r>
      <w:r>
        <w:rPr>
          <w:vertAlign w:val="superscript"/>
          <w:lang w:val="en-US"/>
        </w:rPr>
        <w:t>3</w:t>
      </w:r>
      <w:r>
        <w:rPr>
          <w:lang w:val="en-US"/>
        </w:rPr>
        <w:t>, and the absolute water scarcity is 500 m</w:t>
      </w:r>
      <w:r>
        <w:rPr>
          <w:vertAlign w:val="superscript"/>
          <w:lang w:val="en-US"/>
        </w:rPr>
        <w:t>3</w:t>
      </w:r>
      <w:r>
        <w:rPr>
          <w:lang w:val="en-US"/>
        </w:rPr>
        <w:t>/capita/year, bearing in mind</w:t>
      </w:r>
      <w:r w:rsidR="002A01B2">
        <w:rPr>
          <w:lang w:val="en-US"/>
        </w:rPr>
        <w:t xml:space="preserve"> that</w:t>
      </w:r>
      <w:r>
        <w:rPr>
          <w:lang w:val="en-US"/>
        </w:rPr>
        <w:t xml:space="preserve"> the global median is 8,915 m</w:t>
      </w:r>
      <w:r>
        <w:rPr>
          <w:vertAlign w:val="superscript"/>
          <w:lang w:val="en-US"/>
        </w:rPr>
        <w:t>3</w:t>
      </w:r>
      <w:r>
        <w:rPr>
          <w:lang w:val="en-US"/>
        </w:rPr>
        <w:t>/capita/year</w:t>
      </w:r>
      <w:r>
        <w:rPr>
          <w:lang w:val="en-US"/>
        </w:rPr>
        <w:fldChar w:fldCharType="begin"/>
      </w:r>
      <w:r>
        <w:rPr>
          <w:lang w:val="en-US"/>
        </w:rPr>
        <w:instrText xml:space="preserve"> REF _Ref165463418 \r \h </w:instrText>
      </w:r>
      <w:r>
        <w:rPr>
          <w:lang w:val="en-US"/>
        </w:rPr>
      </w:r>
      <w:r>
        <w:rPr>
          <w:lang w:val="en-US"/>
        </w:rPr>
        <w:fldChar w:fldCharType="separate"/>
      </w:r>
      <w:r>
        <w:rPr>
          <w:cs/>
          <w:lang w:val="en-US"/>
        </w:rPr>
        <w:t>‎</w:t>
      </w:r>
      <w:r>
        <w:rPr>
          <w:lang w:val="en-US"/>
        </w:rPr>
        <w:t>[2]</w:t>
      </w:r>
      <w:r>
        <w:rPr>
          <w:lang w:val="en-US"/>
        </w:rPr>
        <w:fldChar w:fldCharType="end"/>
      </w:r>
      <w:r>
        <w:rPr>
          <w:lang w:val="en-US"/>
        </w:rPr>
        <w:t>. The water</w:t>
      </w:r>
      <w:r w:rsidRPr="005409ED">
        <w:rPr>
          <w:lang w:val="en-US"/>
        </w:rPr>
        <w:t xml:space="preserve"> sector consumed 16% of the total electricity produced in 2020</w:t>
      </w:r>
      <w:r>
        <w:rPr>
          <w:lang w:val="en-US"/>
        </w:rPr>
        <w:fldChar w:fldCharType="begin"/>
      </w:r>
      <w:r>
        <w:rPr>
          <w:lang w:val="en-US"/>
        </w:rPr>
        <w:instrText xml:space="preserve"> REF _Ref165463303 \r \h </w:instrText>
      </w:r>
      <w:r>
        <w:rPr>
          <w:lang w:val="en-US"/>
        </w:rPr>
      </w:r>
      <w:r>
        <w:rPr>
          <w:lang w:val="en-US"/>
        </w:rPr>
        <w:fldChar w:fldCharType="separate"/>
      </w:r>
      <w:r>
        <w:rPr>
          <w:cs/>
          <w:lang w:val="en-US"/>
        </w:rPr>
        <w:t>‎</w:t>
      </w:r>
      <w:r>
        <w:rPr>
          <w:lang w:val="en-US"/>
        </w:rPr>
        <w:t>[3]</w:t>
      </w:r>
      <w:r>
        <w:rPr>
          <w:lang w:val="en-US"/>
        </w:rPr>
        <w:fldChar w:fldCharType="end"/>
      </w:r>
      <w:r>
        <w:rPr>
          <w:lang w:val="en-US"/>
        </w:rPr>
        <w:t xml:space="preserve">, the challenges faced in the </w:t>
      </w:r>
      <w:r w:rsidR="009F4516">
        <w:rPr>
          <w:lang w:val="en-US"/>
        </w:rPr>
        <w:t xml:space="preserve">natural </w:t>
      </w:r>
      <w:r>
        <w:rPr>
          <w:lang w:val="en-US"/>
        </w:rPr>
        <w:t>water sector</w:t>
      </w:r>
      <w:r w:rsidR="009F4516">
        <w:rPr>
          <w:lang w:val="en-US"/>
        </w:rPr>
        <w:t xml:space="preserve"> consist of:</w:t>
      </w:r>
    </w:p>
    <w:p w14:paraId="27E458A7" w14:textId="77777777" w:rsidR="00470A61" w:rsidRDefault="00470A61" w:rsidP="005409ED">
      <w:pPr>
        <w:pStyle w:val="BodyText"/>
        <w:rPr>
          <w:lang w:val="en-US"/>
        </w:rPr>
      </w:pPr>
    </w:p>
    <w:p w14:paraId="44CB09CA" w14:textId="0031F418" w:rsidR="009F4516" w:rsidRDefault="009F4516" w:rsidP="00503763">
      <w:pPr>
        <w:pStyle w:val="ListEmdash"/>
        <w:numPr>
          <w:ilvl w:val="0"/>
          <w:numId w:val="7"/>
        </w:numPr>
        <w:ind w:left="709"/>
        <w:rPr>
          <w:lang w:val="en-US"/>
        </w:rPr>
      </w:pPr>
      <w:r w:rsidRPr="009F4516">
        <w:rPr>
          <w:lang w:val="en-US"/>
        </w:rPr>
        <w:t xml:space="preserve">High </w:t>
      </w:r>
      <w:r w:rsidRPr="009F4516">
        <w:t>depth</w:t>
      </w:r>
      <w:r w:rsidRPr="009F4516">
        <w:rPr>
          <w:lang w:val="en-US"/>
        </w:rPr>
        <w:t xml:space="preserve"> </w:t>
      </w:r>
      <w:r>
        <w:rPr>
          <w:lang w:val="en-US"/>
        </w:rPr>
        <w:t>of groundwater;</w:t>
      </w:r>
    </w:p>
    <w:p w14:paraId="2D432677" w14:textId="77777777" w:rsidR="009F4516" w:rsidRDefault="009F4516" w:rsidP="00503763">
      <w:pPr>
        <w:pStyle w:val="ListEmdash"/>
        <w:numPr>
          <w:ilvl w:val="0"/>
          <w:numId w:val="7"/>
        </w:numPr>
        <w:ind w:left="709"/>
        <w:rPr>
          <w:lang w:val="en-US"/>
        </w:rPr>
      </w:pPr>
      <w:r w:rsidRPr="009F4516">
        <w:rPr>
          <w:lang w:val="en-US"/>
        </w:rPr>
        <w:t>long dis</w:t>
      </w:r>
      <w:r>
        <w:rPr>
          <w:lang w:val="en-US"/>
        </w:rPr>
        <w:t>tances from population centers;</w:t>
      </w:r>
    </w:p>
    <w:p w14:paraId="487A5B19" w14:textId="29E0F777" w:rsidR="00F1142E" w:rsidRDefault="009F4516" w:rsidP="00503763">
      <w:pPr>
        <w:pStyle w:val="ListEmdash"/>
        <w:numPr>
          <w:ilvl w:val="0"/>
          <w:numId w:val="7"/>
        </w:numPr>
        <w:ind w:left="709"/>
        <w:rPr>
          <w:lang w:val="en-US"/>
        </w:rPr>
      </w:pPr>
      <w:r>
        <w:rPr>
          <w:lang w:val="en-US"/>
        </w:rPr>
        <w:t>and low</w:t>
      </w:r>
      <w:r w:rsidRPr="009F4516">
        <w:rPr>
          <w:lang w:val="en-US"/>
        </w:rPr>
        <w:t xml:space="preserve"> quantity of surface water</w:t>
      </w:r>
      <w:r>
        <w:rPr>
          <w:lang w:val="en-US"/>
        </w:rPr>
        <w:t>.</w:t>
      </w:r>
    </w:p>
    <w:p w14:paraId="36826413" w14:textId="77777777" w:rsidR="00470A61" w:rsidRDefault="00470A61" w:rsidP="00470A61">
      <w:pPr>
        <w:pStyle w:val="ListEmdash"/>
        <w:rPr>
          <w:lang w:val="en-US"/>
        </w:rPr>
      </w:pPr>
    </w:p>
    <w:p w14:paraId="1E65E880" w14:textId="7CC3D0F1" w:rsidR="00470A61" w:rsidRPr="00235B71" w:rsidRDefault="009F4516" w:rsidP="00235B71">
      <w:pPr>
        <w:pStyle w:val="BodyText"/>
        <w:rPr>
          <w:lang w:val="en-US"/>
        </w:rPr>
      </w:pPr>
      <w:r>
        <w:rPr>
          <w:lang w:val="en-US"/>
        </w:rPr>
        <w:t>The energy</w:t>
      </w:r>
      <w:r w:rsidRPr="009F4516">
        <w:rPr>
          <w:lang w:val="en-US"/>
        </w:rPr>
        <w:t xml:space="preserve"> intensity of to</w:t>
      </w:r>
      <w:r>
        <w:rPr>
          <w:lang w:val="en-US"/>
        </w:rPr>
        <w:t>tal supplied water is 3.4 kWh/m</w:t>
      </w:r>
      <w:r>
        <w:rPr>
          <w:vertAlign w:val="superscript"/>
          <w:lang w:val="en-US"/>
        </w:rPr>
        <w:t>3</w:t>
      </w:r>
      <w:r>
        <w:rPr>
          <w:lang w:val="en-US"/>
        </w:rPr>
        <w:t xml:space="preserve">, </w:t>
      </w:r>
      <w:r w:rsidRPr="009F4516">
        <w:rPr>
          <w:lang w:val="en-US"/>
        </w:rPr>
        <w:t>Energy demand is expected to increase due to the predicted increase in water desalination and the longer pumping distances by t</w:t>
      </w:r>
      <w:r>
        <w:rPr>
          <w:lang w:val="en-US"/>
        </w:rPr>
        <w:t xml:space="preserve">he National Conveyance Project to </w:t>
      </w:r>
      <w:r w:rsidRPr="009F4516">
        <w:rPr>
          <w:lang w:val="en-US"/>
        </w:rPr>
        <w:t>9 kWh/m</w:t>
      </w:r>
      <w:r>
        <w:rPr>
          <w:vertAlign w:val="superscript"/>
          <w:lang w:val="en-US"/>
        </w:rPr>
        <w:t>3</w:t>
      </w:r>
      <w:r w:rsidRPr="009F4516">
        <w:rPr>
          <w:lang w:val="en-US"/>
        </w:rPr>
        <w:t xml:space="preserve"> for freshwater delivered to Amman</w:t>
      </w:r>
      <w:r>
        <w:rPr>
          <w:lang w:val="en-US"/>
        </w:rPr>
        <w:fldChar w:fldCharType="begin"/>
      </w:r>
      <w:r>
        <w:rPr>
          <w:lang w:val="en-US"/>
        </w:rPr>
        <w:instrText xml:space="preserve"> REF _Ref165463716 \r \h </w:instrText>
      </w:r>
      <w:r>
        <w:rPr>
          <w:lang w:val="en-US"/>
        </w:rPr>
      </w:r>
      <w:r>
        <w:rPr>
          <w:lang w:val="en-US"/>
        </w:rPr>
        <w:fldChar w:fldCharType="separate"/>
      </w:r>
      <w:r>
        <w:rPr>
          <w:cs/>
          <w:lang w:val="en-US"/>
        </w:rPr>
        <w:t>‎</w:t>
      </w:r>
      <w:r>
        <w:rPr>
          <w:lang w:val="en-US"/>
        </w:rPr>
        <w:t>[4]</w:t>
      </w:r>
      <w:r>
        <w:rPr>
          <w:lang w:val="en-US"/>
        </w:rPr>
        <w:fldChar w:fldCharType="end"/>
      </w:r>
      <w:r>
        <w:rPr>
          <w:lang w:val="en-US"/>
        </w:rPr>
        <w:t xml:space="preserve">, which is </w:t>
      </w:r>
      <w:r w:rsidRPr="009F4516">
        <w:rPr>
          <w:lang w:val="en-US"/>
        </w:rPr>
        <w:t>2.6 times higher than the current energy intensity</w:t>
      </w:r>
      <w:r>
        <w:rPr>
          <w:lang w:val="en-US"/>
        </w:rPr>
        <w:t>.</w:t>
      </w:r>
    </w:p>
    <w:p w14:paraId="7F74F80B" w14:textId="5F45BB39" w:rsidR="009F4516" w:rsidRPr="00470A61" w:rsidRDefault="00235B71" w:rsidP="004E7B2F">
      <w:pPr>
        <w:pStyle w:val="BodyText"/>
      </w:pPr>
      <w:r w:rsidRPr="00C90FB3">
        <w:t>Jordan, lacking local energy sources, depends highly on imported energy sources to cover its electricity</w:t>
      </w:r>
      <w:r w:rsidR="008066BA">
        <w:t xml:space="preserve"> and water</w:t>
      </w:r>
      <w:r w:rsidRPr="00C90FB3">
        <w:t xml:space="preserve"> generation needs.</w:t>
      </w:r>
      <w:r>
        <w:t xml:space="preserve"> Having to decommission traditional fossil power </w:t>
      </w:r>
      <w:r w:rsidRPr="007D3002">
        <w:t>plants</w:t>
      </w:r>
      <w:r>
        <w:t xml:space="preserve"> around 2030 put Jordan in a race against time to come up with viably </w:t>
      </w:r>
      <w:r w:rsidR="004E7B2F">
        <w:t>economically</w:t>
      </w:r>
      <w:r>
        <w:t xml:space="preserve"> feasible replacements.</w:t>
      </w:r>
    </w:p>
    <w:p w14:paraId="0F930712" w14:textId="3EE0D6C1" w:rsidR="007115CB" w:rsidRPr="00825EF3" w:rsidRDefault="009F4516" w:rsidP="00503763">
      <w:pPr>
        <w:pStyle w:val="Heading2"/>
        <w:numPr>
          <w:ilvl w:val="1"/>
          <w:numId w:val="5"/>
        </w:numPr>
        <w:rPr>
          <w:lang w:val="en-US"/>
        </w:rPr>
      </w:pPr>
      <w:r w:rsidRPr="009F4516">
        <w:t>Jordan</w:t>
      </w:r>
      <w:r>
        <w:rPr>
          <w:lang w:val="en-US"/>
        </w:rPr>
        <w:t xml:space="preserve"> nuclear power project</w:t>
      </w:r>
      <w:r w:rsidR="007115CB" w:rsidRPr="00825EF3">
        <w:rPr>
          <w:lang w:val="en-US"/>
        </w:rPr>
        <w:t xml:space="preserve"> </w:t>
      </w:r>
    </w:p>
    <w:p w14:paraId="78101541" w14:textId="2D3D4A5E" w:rsidR="007115CB" w:rsidRDefault="007115CB" w:rsidP="007115CB">
      <w:pPr>
        <w:pStyle w:val="Heading3"/>
        <w:rPr>
          <w:lang w:val="en-US"/>
        </w:rPr>
      </w:pPr>
      <w:r>
        <w:rPr>
          <w:lang w:val="en-US"/>
        </w:rPr>
        <w:t>Large Reactors</w:t>
      </w:r>
    </w:p>
    <w:p w14:paraId="5ED26E0D" w14:textId="67399F6A" w:rsidR="007115CB" w:rsidRDefault="007115CB" w:rsidP="007115CB">
      <w:pPr>
        <w:pStyle w:val="BodyText"/>
      </w:pPr>
      <w:r>
        <w:t>Sparking the need for a local independent power source, the Jordanian nuclear power project started in 2009 to build a large power reactor (LR) with a power of around 1000 MWe, during the process Jordan performed various technical studies:</w:t>
      </w:r>
    </w:p>
    <w:p w14:paraId="49D4C7CE" w14:textId="77777777" w:rsidR="007115CB" w:rsidRDefault="007115CB" w:rsidP="00503763">
      <w:pPr>
        <w:pStyle w:val="ListEmdash"/>
        <w:numPr>
          <w:ilvl w:val="0"/>
          <w:numId w:val="7"/>
        </w:numPr>
        <w:ind w:left="709"/>
      </w:pPr>
      <w:r>
        <w:t>Water cooling studies;</w:t>
      </w:r>
    </w:p>
    <w:p w14:paraId="030216F0" w14:textId="77777777" w:rsidR="007115CB" w:rsidRDefault="007115CB" w:rsidP="00503763">
      <w:pPr>
        <w:pStyle w:val="BodyText"/>
        <w:numPr>
          <w:ilvl w:val="0"/>
          <w:numId w:val="7"/>
        </w:numPr>
        <w:ind w:left="709"/>
      </w:pPr>
      <w:r>
        <w:t>Electric/grid studies;</w:t>
      </w:r>
    </w:p>
    <w:p w14:paraId="02369449" w14:textId="77777777" w:rsidR="007115CB" w:rsidRDefault="007115CB" w:rsidP="00503763">
      <w:pPr>
        <w:pStyle w:val="BodyText"/>
        <w:numPr>
          <w:ilvl w:val="0"/>
          <w:numId w:val="7"/>
        </w:numPr>
        <w:ind w:left="709"/>
      </w:pPr>
      <w:r>
        <w:lastRenderedPageBreak/>
        <w:t>Stakeholder involvement strategies;</w:t>
      </w:r>
    </w:p>
    <w:p w14:paraId="02E3769D" w14:textId="77777777" w:rsidR="007115CB" w:rsidRDefault="007115CB" w:rsidP="00503763">
      <w:pPr>
        <w:pStyle w:val="BodyText"/>
        <w:numPr>
          <w:ilvl w:val="0"/>
          <w:numId w:val="7"/>
        </w:numPr>
        <w:ind w:left="709"/>
      </w:pPr>
      <w:r>
        <w:t>National infrastructure surveys and studies;</w:t>
      </w:r>
    </w:p>
    <w:p w14:paraId="6B4A1116" w14:textId="77777777" w:rsidR="007115CB" w:rsidRDefault="007115CB" w:rsidP="00503763">
      <w:pPr>
        <w:pStyle w:val="BodyText"/>
        <w:numPr>
          <w:ilvl w:val="3"/>
          <w:numId w:val="7"/>
        </w:numPr>
        <w:ind w:left="709" w:firstLine="0"/>
      </w:pPr>
      <w:r>
        <w:t>Localization/national industry;</w:t>
      </w:r>
    </w:p>
    <w:p w14:paraId="137E6A14" w14:textId="77777777" w:rsidR="007115CB" w:rsidRDefault="007115CB" w:rsidP="00503763">
      <w:pPr>
        <w:pStyle w:val="BodyText"/>
        <w:numPr>
          <w:ilvl w:val="3"/>
          <w:numId w:val="7"/>
        </w:numPr>
        <w:ind w:left="709" w:firstLine="0"/>
      </w:pPr>
      <w:r>
        <w:t>Transportation.</w:t>
      </w:r>
    </w:p>
    <w:p w14:paraId="73B83FFA" w14:textId="77777777" w:rsidR="007115CB" w:rsidRDefault="007115CB" w:rsidP="00503763">
      <w:pPr>
        <w:pStyle w:val="BodyText"/>
        <w:numPr>
          <w:ilvl w:val="0"/>
          <w:numId w:val="7"/>
        </w:numPr>
        <w:ind w:left="709"/>
      </w:pPr>
      <w:r>
        <w:t>Siting studies.</w:t>
      </w:r>
    </w:p>
    <w:p w14:paraId="7E7B5B4B" w14:textId="37589023" w:rsidR="007115CB" w:rsidRPr="00767C83" w:rsidRDefault="007115CB" w:rsidP="00503763">
      <w:pPr>
        <w:pStyle w:val="BodyText"/>
        <w:numPr>
          <w:ilvl w:val="3"/>
          <w:numId w:val="7"/>
        </w:numPr>
        <w:ind w:left="709" w:firstLine="0"/>
      </w:pPr>
      <w:r w:rsidRPr="00767C83">
        <w:t>Country Wide Survey (CWS) and site selection studies</w:t>
      </w:r>
      <w:r w:rsidR="005D0936">
        <w:t>;</w:t>
      </w:r>
    </w:p>
    <w:p w14:paraId="5D6A47A7" w14:textId="10519D74" w:rsidR="007115CB" w:rsidRDefault="007115CB" w:rsidP="00503763">
      <w:pPr>
        <w:pStyle w:val="BodyText"/>
        <w:numPr>
          <w:ilvl w:val="3"/>
          <w:numId w:val="7"/>
        </w:numPr>
        <w:ind w:left="709" w:firstLine="0"/>
      </w:pPr>
      <w:r w:rsidRPr="00767C83">
        <w:t xml:space="preserve">Full site </w:t>
      </w:r>
      <w:r>
        <w:t>characterization</w:t>
      </w:r>
      <w:r w:rsidRPr="00767C83">
        <w:t xml:space="preserve"> </w:t>
      </w:r>
      <w:r w:rsidR="005D0936">
        <w:t>studies are still not performed;</w:t>
      </w:r>
      <w:r w:rsidRPr="00767C83">
        <w:t xml:space="preserve"> </w:t>
      </w:r>
    </w:p>
    <w:p w14:paraId="514BB1CD" w14:textId="6B1943D0" w:rsidR="007115CB" w:rsidRDefault="007115CB" w:rsidP="00503763">
      <w:pPr>
        <w:pStyle w:val="BodyText"/>
        <w:numPr>
          <w:ilvl w:val="3"/>
          <w:numId w:val="7"/>
        </w:numPr>
        <w:ind w:left="709" w:firstLine="0"/>
      </w:pPr>
      <w:r w:rsidRPr="00767C83">
        <w:t>Meteorological data collection at the selected site was started in 2017</w:t>
      </w:r>
      <w:r w:rsidR="005D0936">
        <w:t>.</w:t>
      </w:r>
    </w:p>
    <w:p w14:paraId="31ABA2F3" w14:textId="77777777" w:rsidR="00235B71" w:rsidRDefault="00235B71" w:rsidP="00235B71">
      <w:pPr>
        <w:pStyle w:val="BodyText"/>
      </w:pPr>
    </w:p>
    <w:p w14:paraId="19433726" w14:textId="1131B347" w:rsidR="005D0936" w:rsidRDefault="00235B71" w:rsidP="00581B58">
      <w:pPr>
        <w:pStyle w:val="BodyText"/>
      </w:pPr>
      <w:r w:rsidRPr="00235B71">
        <w:t>JAEC received expressions of interest from four vendors interested in providing Jordan with its first nuclear power plant. These four vendors offered JAEC seven different plant technologies for consideration</w:t>
      </w:r>
      <w:r w:rsidR="00581B58">
        <w:t>, all</w:t>
      </w:r>
      <w:r w:rsidRPr="00235B71">
        <w:t xml:space="preserve"> Water-Cooled Reactors (Pressurized Light Water Reactor, and Pressurized Heavy Water Reactor).</w:t>
      </w:r>
      <w:r>
        <w:t xml:space="preserve"> Except for one design, </w:t>
      </w:r>
      <w:r w:rsidRPr="00235B71">
        <w:t>none of the technologies were constructed and placed into actual commercial operation by the time of JAEC’s evaluation in 2010</w:t>
      </w:r>
      <w:r w:rsidR="00581B58">
        <w:t xml:space="preserve">. </w:t>
      </w:r>
      <w:r w:rsidR="00581B58" w:rsidRPr="00581B58">
        <w:t xml:space="preserve">JAEC has elected to implement a competitive dialogue process with </w:t>
      </w:r>
      <w:r w:rsidR="00581B58">
        <w:t>several</w:t>
      </w:r>
      <w:r w:rsidR="00581B58" w:rsidRPr="00581B58">
        <w:t xml:space="preserve"> technology provider</w:t>
      </w:r>
      <w:r w:rsidR="00581B58">
        <w:t>s and</w:t>
      </w:r>
      <w:r w:rsidR="00581B58" w:rsidRPr="00581B58">
        <w:t xml:space="preserve"> did not follow a typical procurement selection process</w:t>
      </w:r>
      <w:r w:rsidR="00581B58">
        <w:t>.</w:t>
      </w:r>
    </w:p>
    <w:p w14:paraId="02148EEE" w14:textId="018C3400" w:rsidR="00581B58" w:rsidRDefault="00581B58" w:rsidP="00581B58">
      <w:pPr>
        <w:pStyle w:val="BodyText"/>
      </w:pPr>
      <w:r w:rsidRPr="00581B58">
        <w:t>A preliminary evaluation of the seven technologies was conducted</w:t>
      </w:r>
      <w:r>
        <w:t xml:space="preserve"> </w:t>
      </w:r>
      <w:r w:rsidRPr="00581B58">
        <w:t>to select two or three to carry forward into the competitive dialogue process.</w:t>
      </w:r>
      <w:r>
        <w:t xml:space="preserve"> </w:t>
      </w:r>
      <w:r w:rsidRPr="00581B58">
        <w:t xml:space="preserve">The </w:t>
      </w:r>
      <w:r w:rsidR="002A01B2" w:rsidRPr="00581B58">
        <w:t>assessment</w:t>
      </w:r>
      <w:r w:rsidRPr="00581B58">
        <w:t xml:space="preserve"> was based on a questionnaire on technical and preliminary financial information.</w:t>
      </w:r>
      <w:r>
        <w:t xml:space="preserve"> </w:t>
      </w:r>
      <w:r w:rsidRPr="00581B58">
        <w:t>The questions contained the essential details needed to evaluate various technologies for meeting JAEC’s expectations.</w:t>
      </w:r>
      <w:r>
        <w:t xml:space="preserve"> </w:t>
      </w:r>
      <w:r w:rsidRPr="00581B58">
        <w:t xml:space="preserve">The evaluation procedure was developed using an internationally recognized and accepted evaluation methodology based </w:t>
      </w:r>
      <w:r>
        <w:t>on</w:t>
      </w:r>
      <w:r w:rsidRPr="00581B58">
        <w:t xml:space="preserve"> the quantitative numerical evaluation method provided by the IAEA</w:t>
      </w:r>
      <w:r>
        <w:fldChar w:fldCharType="begin"/>
      </w:r>
      <w:r>
        <w:instrText xml:space="preserve"> REF _Ref167876864 \r \h </w:instrText>
      </w:r>
      <w:r>
        <w:fldChar w:fldCharType="separate"/>
      </w:r>
      <w:r>
        <w:rPr>
          <w:cs/>
        </w:rPr>
        <w:t>‎</w:t>
      </w:r>
      <w:r>
        <w:t>[5]</w:t>
      </w:r>
      <w:r>
        <w:fldChar w:fldCharType="end"/>
      </w:r>
      <w:r>
        <w:t>.</w:t>
      </w:r>
    </w:p>
    <w:p w14:paraId="49DB49AC" w14:textId="3F6D5A1F" w:rsidR="00581B58" w:rsidRDefault="00DE36C2" w:rsidP="00DE36C2">
      <w:pPr>
        <w:pStyle w:val="Heading4"/>
        <w:ind w:left="0"/>
      </w:pPr>
      <w:r>
        <w:t>Large Reactors evaluation process</w:t>
      </w:r>
    </w:p>
    <w:p w14:paraId="4312C98A" w14:textId="00164113" w:rsidR="00581B58" w:rsidRDefault="00DE36C2" w:rsidP="00DE36C2">
      <w:pPr>
        <w:pStyle w:val="BodyText"/>
        <w:rPr>
          <w:lang w:val="en-US"/>
        </w:rPr>
      </w:pPr>
      <w:r w:rsidRPr="00DE36C2">
        <w:rPr>
          <w:lang w:val="en-US"/>
        </w:rPr>
        <w:t>The evaluation procedure, matri</w:t>
      </w:r>
      <w:r>
        <w:rPr>
          <w:lang w:val="en-US"/>
        </w:rPr>
        <w:t>x, and criteria (9</w:t>
      </w:r>
      <w:r w:rsidRPr="00DE36C2">
        <w:rPr>
          <w:lang w:val="en-US"/>
        </w:rPr>
        <w:t xml:space="preserve"> items</w:t>
      </w:r>
      <w:r>
        <w:rPr>
          <w:lang w:val="en-US"/>
        </w:rPr>
        <w:t xml:space="preserve"> + Economics</w:t>
      </w:r>
      <w:r w:rsidRPr="00DE36C2">
        <w:rPr>
          <w:lang w:val="en-US"/>
        </w:rPr>
        <w:t xml:space="preserve">) were developed </w:t>
      </w:r>
      <w:r>
        <w:rPr>
          <w:lang w:val="en-US"/>
        </w:rPr>
        <w:t>before</w:t>
      </w:r>
      <w:r w:rsidRPr="00DE36C2">
        <w:rPr>
          <w:lang w:val="en-US"/>
        </w:rPr>
        <w:t xml:space="preserve"> receipt of the </w:t>
      </w:r>
      <w:r>
        <w:rPr>
          <w:lang w:val="en-US"/>
        </w:rPr>
        <w:t>vendors' responses to the questionnaire:</w:t>
      </w:r>
    </w:p>
    <w:p w14:paraId="24933A43" w14:textId="77777777" w:rsidR="00DE36C2" w:rsidRDefault="00DE36C2" w:rsidP="00DE36C2">
      <w:pPr>
        <w:pStyle w:val="BodyText"/>
        <w:rPr>
          <w:lang w:val="en-US"/>
        </w:rPr>
      </w:pPr>
    </w:p>
    <w:p w14:paraId="75C8A6BE" w14:textId="23FA673F" w:rsidR="00DE36C2" w:rsidRDefault="00DE36C2" w:rsidP="00503763">
      <w:pPr>
        <w:pStyle w:val="BodyText"/>
        <w:numPr>
          <w:ilvl w:val="0"/>
          <w:numId w:val="7"/>
        </w:numPr>
        <w:ind w:left="709"/>
        <w:rPr>
          <w:lang w:val="en-US"/>
        </w:rPr>
      </w:pPr>
      <w:r w:rsidRPr="00DE36C2">
        <w:t>General</w:t>
      </w:r>
      <w:r>
        <w:rPr>
          <w:lang w:val="en-US"/>
        </w:rPr>
        <w:t xml:space="preserve"> Design;</w:t>
      </w:r>
      <w:r w:rsidR="002F2091" w:rsidRPr="00DE36C2">
        <w:rPr>
          <w:lang w:val="en-US"/>
        </w:rPr>
        <w:t xml:space="preserve"> </w:t>
      </w:r>
      <w:r w:rsidRPr="00DE36C2">
        <w:rPr>
          <w:lang w:val="en-US"/>
        </w:rPr>
        <w:t>Meeting international licensing requirements, areas of risk, ven</w:t>
      </w:r>
      <w:r w:rsidR="002F2091">
        <w:rPr>
          <w:lang w:val="en-US"/>
        </w:rPr>
        <w:t>dor and owner responsibilities;</w:t>
      </w:r>
    </w:p>
    <w:p w14:paraId="0DFF4A8E" w14:textId="1CC2E6D3" w:rsidR="00DE36C2" w:rsidRPr="002F2091" w:rsidRDefault="00DE36C2" w:rsidP="00503763">
      <w:pPr>
        <w:pStyle w:val="BodyText"/>
        <w:numPr>
          <w:ilvl w:val="0"/>
          <w:numId w:val="7"/>
        </w:numPr>
        <w:ind w:left="709"/>
        <w:rPr>
          <w:lang w:val="en-US"/>
        </w:rPr>
      </w:pPr>
      <w:r>
        <w:rPr>
          <w:lang w:val="en-US"/>
        </w:rPr>
        <w:t>Design;</w:t>
      </w:r>
      <w:r w:rsidR="002F2091">
        <w:rPr>
          <w:lang w:val="en-US"/>
        </w:rPr>
        <w:t xml:space="preserve"> </w:t>
      </w:r>
      <w:r w:rsidR="00503763" w:rsidRPr="002F2091">
        <w:rPr>
          <w:lang w:val="en-US"/>
        </w:rPr>
        <w:t xml:space="preserve">Design </w:t>
      </w:r>
      <w:r w:rsidR="002F2091">
        <w:rPr>
          <w:lang w:val="en-US"/>
        </w:rPr>
        <w:t>lifetime</w:t>
      </w:r>
      <w:r w:rsidR="002F2091">
        <w:t>, efficiency;</w:t>
      </w:r>
    </w:p>
    <w:p w14:paraId="383DEBAC" w14:textId="16C38AEB" w:rsidR="00DE36C2" w:rsidRPr="002F2091" w:rsidRDefault="00DE36C2" w:rsidP="00503763">
      <w:pPr>
        <w:pStyle w:val="BodyText"/>
        <w:numPr>
          <w:ilvl w:val="0"/>
          <w:numId w:val="7"/>
        </w:numPr>
        <w:ind w:left="709"/>
        <w:rPr>
          <w:lang w:val="en-US"/>
        </w:rPr>
      </w:pPr>
      <w:r>
        <w:rPr>
          <w:lang w:val="en-US"/>
        </w:rPr>
        <w:t>Operation and maintenance;</w:t>
      </w:r>
      <w:r w:rsidR="002F2091" w:rsidRPr="002F2091">
        <w:rPr>
          <w:rFonts w:ascii="Crimson Pro" w:eastAsiaTheme="minorEastAsia" w:hAnsi="Crimson Pro" w:cstheme="minorBidi"/>
          <w:color w:val="000000" w:themeColor="dark1"/>
          <w:sz w:val="44"/>
          <w:szCs w:val="44"/>
          <w14:textFill>
            <w14:solidFill>
              <w14:schemeClr w14:val="dk1">
                <w14:satOff w14:val="0"/>
                <w14:lumOff w14:val="0"/>
              </w14:schemeClr>
            </w14:solidFill>
          </w14:textFill>
        </w:rPr>
        <w:t xml:space="preserve"> </w:t>
      </w:r>
      <w:r w:rsidR="00503763" w:rsidRPr="002F2091">
        <w:t>Refueling outages, regular maintenance, staffing for operation and maintenance, etc.)</w:t>
      </w:r>
      <w:r w:rsidR="002F2091">
        <w:rPr>
          <w:lang w:val="en-US"/>
        </w:rPr>
        <w:t>;</w:t>
      </w:r>
    </w:p>
    <w:p w14:paraId="0B21AD1E" w14:textId="611E249E" w:rsidR="00DE36C2" w:rsidRPr="00DE36C2" w:rsidRDefault="00DE36C2" w:rsidP="00503763">
      <w:pPr>
        <w:pStyle w:val="BodyText"/>
        <w:numPr>
          <w:ilvl w:val="0"/>
          <w:numId w:val="7"/>
        </w:numPr>
        <w:ind w:left="709"/>
        <w:rPr>
          <w:lang w:val="en-US"/>
        </w:rPr>
      </w:pPr>
      <w:r w:rsidRPr="00DE36C2">
        <w:rPr>
          <w:lang w:val="en-US"/>
        </w:rPr>
        <w:t>Construction</w:t>
      </w:r>
      <w:r w:rsidR="002F2091">
        <w:rPr>
          <w:lang w:val="en-US"/>
        </w:rPr>
        <w:t xml:space="preserve">; </w:t>
      </w:r>
      <w:r w:rsidRPr="00DE36C2">
        <w:rPr>
          <w:lang w:val="en-US"/>
        </w:rPr>
        <w:t>design adaptation to Jordan’s environment and site characteristics, cooling, footprint</w:t>
      </w:r>
      <w:r w:rsidR="002F2091">
        <w:rPr>
          <w:lang w:val="en-US"/>
        </w:rPr>
        <w:t>,</w:t>
      </w:r>
      <w:r w:rsidRPr="00DE36C2">
        <w:rPr>
          <w:lang w:val="en-US"/>
        </w:rPr>
        <w:t xml:space="preserve"> and plant layout;</w:t>
      </w:r>
    </w:p>
    <w:p w14:paraId="399FD178" w14:textId="3AB3872E" w:rsidR="00DE36C2" w:rsidRPr="00DE36C2" w:rsidRDefault="00DE36C2" w:rsidP="00503763">
      <w:pPr>
        <w:pStyle w:val="BodyText"/>
        <w:numPr>
          <w:ilvl w:val="0"/>
          <w:numId w:val="7"/>
        </w:numPr>
        <w:ind w:left="709"/>
        <w:rPr>
          <w:lang w:val="en-US"/>
        </w:rPr>
      </w:pPr>
      <w:r w:rsidRPr="00DE36C2">
        <w:rPr>
          <w:lang w:val="en-US"/>
        </w:rPr>
        <w:t xml:space="preserve">Reactor Performance: </w:t>
      </w:r>
      <w:r w:rsidR="00503763" w:rsidRPr="00DE36C2">
        <w:rPr>
          <w:lang w:val="en-US"/>
        </w:rPr>
        <w:t xml:space="preserve">Availability, </w:t>
      </w:r>
      <w:r w:rsidR="002F2091" w:rsidRPr="00DE36C2">
        <w:rPr>
          <w:lang w:val="en-US"/>
        </w:rPr>
        <w:t>efficiency, load</w:t>
      </w:r>
      <w:r w:rsidR="00503763" w:rsidRPr="00DE36C2">
        <w:rPr>
          <w:lang w:val="en-US"/>
        </w:rPr>
        <w:t xml:space="preserve"> follow capability</w:t>
      </w:r>
      <w:r w:rsidRPr="00DE36C2">
        <w:rPr>
          <w:lang w:val="en-US"/>
        </w:rPr>
        <w:t>;</w:t>
      </w:r>
    </w:p>
    <w:p w14:paraId="3DA52EB0" w14:textId="04ABB66E" w:rsidR="00DE36C2" w:rsidRPr="00DE36C2" w:rsidRDefault="00DE36C2" w:rsidP="00503763">
      <w:pPr>
        <w:pStyle w:val="BodyText"/>
        <w:numPr>
          <w:ilvl w:val="0"/>
          <w:numId w:val="7"/>
        </w:numPr>
        <w:ind w:left="709"/>
        <w:rPr>
          <w:lang w:val="en-US"/>
        </w:rPr>
      </w:pPr>
      <w:r w:rsidRPr="00DE36C2">
        <w:rPr>
          <w:lang w:val="en-US"/>
        </w:rPr>
        <w:t xml:space="preserve">Safety of the reactor design; </w:t>
      </w:r>
      <w:r w:rsidR="002F2091" w:rsidRPr="00DE36C2">
        <w:t>Defence</w:t>
      </w:r>
      <w:r w:rsidR="00503763" w:rsidRPr="00DE36C2">
        <w:t xml:space="preserve"> in depth, operational safety, internal and external hazards, passive safety features, grace period, CDF, LERF</w:t>
      </w:r>
      <w:r>
        <w:rPr>
          <w:lang w:val="en-US"/>
        </w:rPr>
        <w:t>;</w:t>
      </w:r>
    </w:p>
    <w:p w14:paraId="3B8FA109" w14:textId="0C475BC4" w:rsidR="00DE36C2" w:rsidRPr="00DE36C2" w:rsidRDefault="00DE36C2" w:rsidP="00503763">
      <w:pPr>
        <w:pStyle w:val="BodyText"/>
        <w:numPr>
          <w:ilvl w:val="0"/>
          <w:numId w:val="7"/>
        </w:numPr>
        <w:ind w:left="709"/>
        <w:rPr>
          <w:lang w:val="en-US"/>
        </w:rPr>
      </w:pPr>
      <w:r>
        <w:rPr>
          <w:lang w:val="en-US"/>
        </w:rPr>
        <w:t>Fuel Cycle and non-proliferation;</w:t>
      </w:r>
      <w:r w:rsidRPr="00DE36C2">
        <w:rPr>
          <w:rFonts w:ascii="Crimson Pro" w:eastAsiaTheme="minorEastAsia" w:hAnsi="Crimson Pro" w:cstheme="minorBidi"/>
          <w:color w:val="000000" w:themeColor="dark1"/>
          <w:sz w:val="44"/>
          <w:szCs w:val="44"/>
          <w14:textFill>
            <w14:solidFill>
              <w14:schemeClr w14:val="dk1">
                <w14:satOff w14:val="0"/>
                <w14:lumOff w14:val="0"/>
              </w14:schemeClr>
            </w14:solidFill>
          </w14:textFill>
        </w:rPr>
        <w:t xml:space="preserve"> </w:t>
      </w:r>
      <w:r w:rsidR="00503763" w:rsidRPr="00DE36C2">
        <w:t>Nuclear Fuel design and safety, SNF pool design and capacity, fuel handling system, Fuel supply and waste management and reduction</w:t>
      </w:r>
      <w:r>
        <w:rPr>
          <w:lang w:val="en-US"/>
        </w:rPr>
        <w:t>;</w:t>
      </w:r>
    </w:p>
    <w:p w14:paraId="4659FDB6" w14:textId="2BA4FB8E" w:rsidR="00DE36C2" w:rsidRPr="00DE36C2" w:rsidRDefault="00DE36C2" w:rsidP="00503763">
      <w:pPr>
        <w:pStyle w:val="BodyText"/>
        <w:numPr>
          <w:ilvl w:val="0"/>
          <w:numId w:val="7"/>
        </w:numPr>
        <w:ind w:left="709"/>
        <w:rPr>
          <w:lang w:val="en-US"/>
        </w:rPr>
      </w:pPr>
      <w:r>
        <w:rPr>
          <w:lang w:val="en-US"/>
        </w:rPr>
        <w:t>Licensing and operating experience;</w:t>
      </w:r>
      <w:r w:rsidRPr="00DE36C2">
        <w:rPr>
          <w:rFonts w:ascii="Crimson Pro" w:eastAsiaTheme="minorEastAsia" w:hAnsi="Crimson Pro" w:cstheme="minorBidi"/>
          <w:color w:val="000000" w:themeColor="dark1"/>
          <w:sz w:val="44"/>
          <w:szCs w:val="44"/>
          <w14:textFill>
            <w14:solidFill>
              <w14:schemeClr w14:val="dk1">
                <w14:satOff w14:val="0"/>
                <w14:lumOff w14:val="0"/>
              </w14:schemeClr>
            </w14:solidFill>
          </w14:textFill>
        </w:rPr>
        <w:t xml:space="preserve"> </w:t>
      </w:r>
      <w:r w:rsidR="00503763" w:rsidRPr="00DE36C2">
        <w:t>Proven design, compliance with IAEA safety standards, reference design</w:t>
      </w:r>
      <w:r>
        <w:rPr>
          <w:lang w:val="en-US"/>
        </w:rPr>
        <w:t>;</w:t>
      </w:r>
    </w:p>
    <w:p w14:paraId="177DA063" w14:textId="70F95B56" w:rsidR="002F2091" w:rsidRDefault="00DE36C2" w:rsidP="00503763">
      <w:pPr>
        <w:pStyle w:val="BodyText"/>
        <w:numPr>
          <w:ilvl w:val="0"/>
          <w:numId w:val="7"/>
        </w:numPr>
        <w:ind w:left="709"/>
        <w:rPr>
          <w:lang w:val="en-US"/>
        </w:rPr>
      </w:pPr>
      <w:r>
        <w:rPr>
          <w:lang w:val="en-US"/>
        </w:rPr>
        <w:t>Vendor long-term commitment;</w:t>
      </w:r>
      <w:r w:rsidRPr="00DE36C2">
        <w:rPr>
          <w:rFonts w:ascii="Crimson Pro" w:eastAsiaTheme="minorEastAsia" w:hAnsi="Crimson Pro" w:cstheme="minorBidi"/>
          <w:color w:val="000000" w:themeColor="dark1"/>
          <w:sz w:val="44"/>
          <w:szCs w:val="44"/>
          <w:lang w:val="en-US"/>
          <w14:textFill>
            <w14:solidFill>
              <w14:schemeClr w14:val="dk1">
                <w14:satOff w14:val="0"/>
                <w14:lumOff w14:val="0"/>
              </w14:schemeClr>
            </w14:solidFill>
          </w14:textFill>
        </w:rPr>
        <w:t xml:space="preserve"> </w:t>
      </w:r>
      <w:r w:rsidR="00503763" w:rsidRPr="00DE36C2">
        <w:rPr>
          <w:lang w:val="en-US"/>
        </w:rPr>
        <w:t>vendor readiness, localization</w:t>
      </w:r>
      <w:r w:rsidR="002A01B2">
        <w:rPr>
          <w:lang w:val="en-US"/>
        </w:rPr>
        <w:t>;</w:t>
      </w:r>
    </w:p>
    <w:p w14:paraId="2931D5E6" w14:textId="7B0FE723" w:rsidR="002A01B2" w:rsidRDefault="002A01B2" w:rsidP="002A01B2">
      <w:pPr>
        <w:pStyle w:val="BodyText"/>
        <w:numPr>
          <w:ilvl w:val="0"/>
          <w:numId w:val="7"/>
        </w:numPr>
        <w:ind w:left="709"/>
        <w:rPr>
          <w:lang w:val="en-US"/>
        </w:rPr>
      </w:pPr>
      <w:r>
        <w:rPr>
          <w:lang w:val="en-US"/>
        </w:rPr>
        <w:t>Economics; Capex, O&amp;M, LCOE.</w:t>
      </w:r>
    </w:p>
    <w:p w14:paraId="66EE6BAC" w14:textId="08B6CAC4" w:rsidR="002F2091" w:rsidRDefault="002F2091" w:rsidP="002F2091">
      <w:pPr>
        <w:pStyle w:val="BodyText"/>
        <w:rPr>
          <w:lang w:val="en-US"/>
        </w:rPr>
      </w:pPr>
    </w:p>
    <w:p w14:paraId="7F59DDDD" w14:textId="77777777" w:rsidR="008066BA" w:rsidRDefault="002A01B2" w:rsidP="002A01B2">
      <w:pPr>
        <w:pStyle w:val="BodyText"/>
        <w:rPr>
          <w:lang w:val="en-US"/>
        </w:rPr>
      </w:pPr>
      <w:r>
        <w:rPr>
          <w:lang w:val="en-US"/>
        </w:rPr>
        <w:t xml:space="preserve">Due to its sensitivity, the economic part of the evaluation will not be discussed in this paper. </w:t>
      </w:r>
      <w:r w:rsidR="002F2091" w:rsidRPr="002F2091">
        <w:rPr>
          <w:lang w:val="en-US"/>
        </w:rPr>
        <w:t>The evaluation was conducted using qualitative engineering judgment by technical personnel with extensive nuclear design, construction</w:t>
      </w:r>
      <w:r w:rsidR="004E7B2F">
        <w:rPr>
          <w:lang w:val="en-US"/>
        </w:rPr>
        <w:t>,</w:t>
      </w:r>
      <w:r w:rsidR="002F2091" w:rsidRPr="002F2091">
        <w:rPr>
          <w:lang w:val="en-US"/>
        </w:rPr>
        <w:t xml:space="preserve"> and operations support experience</w:t>
      </w:r>
      <w:r w:rsidR="002F2091">
        <w:rPr>
          <w:lang w:val="en-US"/>
        </w:rPr>
        <w:t xml:space="preserve">. </w:t>
      </w:r>
    </w:p>
    <w:p w14:paraId="678D64DE" w14:textId="17FA7B53" w:rsidR="002F2091" w:rsidRDefault="002F2091" w:rsidP="002A01B2">
      <w:pPr>
        <w:pStyle w:val="BodyText"/>
        <w:rPr>
          <w:lang w:val="en-US"/>
        </w:rPr>
      </w:pPr>
      <w:r w:rsidRPr="002F2091">
        <w:rPr>
          <w:lang w:val="en-US"/>
        </w:rPr>
        <w:t>The evaluation resulted in selecting the top three technologies for the competitive dialogue phase from the seven evaluated</w:t>
      </w:r>
      <w:r>
        <w:rPr>
          <w:lang w:val="en-US"/>
        </w:rPr>
        <w:t>. The t</w:t>
      </w:r>
      <w:r w:rsidRPr="002F2091">
        <w:rPr>
          <w:lang w:val="en-US"/>
        </w:rPr>
        <w:t xml:space="preserve">hree technologies were evaluated </w:t>
      </w:r>
      <w:r w:rsidR="002A01B2">
        <w:rPr>
          <w:lang w:val="en-US"/>
        </w:rPr>
        <w:t>concerning</w:t>
      </w:r>
      <w:r w:rsidRPr="002F2091">
        <w:rPr>
          <w:lang w:val="en-US"/>
        </w:rPr>
        <w:t xml:space="preserve"> 15 key factors (KF)</w:t>
      </w:r>
      <w:r>
        <w:rPr>
          <w:lang w:val="en-US"/>
        </w:rPr>
        <w:t>:</w:t>
      </w:r>
    </w:p>
    <w:p w14:paraId="315B19AA" w14:textId="22EC71B8" w:rsidR="002F2091" w:rsidRDefault="002F2091" w:rsidP="00B547C6">
      <w:pPr>
        <w:pStyle w:val="BodyText"/>
        <w:ind w:firstLine="0"/>
        <w:rPr>
          <w:lang w:val="en-US"/>
        </w:rPr>
      </w:pPr>
    </w:p>
    <w:p w14:paraId="40FDC6B8" w14:textId="35289D9E" w:rsidR="002F2091" w:rsidRPr="002F2091" w:rsidRDefault="002F2091" w:rsidP="00503763">
      <w:pPr>
        <w:pStyle w:val="BodyText"/>
        <w:numPr>
          <w:ilvl w:val="0"/>
          <w:numId w:val="7"/>
        </w:numPr>
        <w:ind w:left="709"/>
        <w:rPr>
          <w:lang w:val="en-US"/>
        </w:rPr>
      </w:pPr>
      <w:r w:rsidRPr="002F2091">
        <w:t>Overall Safety</w:t>
      </w:r>
      <w:r>
        <w:rPr>
          <w:b/>
          <w:bCs/>
          <w:lang w:val="en-US"/>
        </w:rPr>
        <w:t>;</w:t>
      </w:r>
    </w:p>
    <w:p w14:paraId="62BD5FC7" w14:textId="2DBD00DB" w:rsidR="002F2091" w:rsidRPr="002F2091" w:rsidRDefault="002F2091" w:rsidP="00503763">
      <w:pPr>
        <w:pStyle w:val="BodyText"/>
        <w:numPr>
          <w:ilvl w:val="3"/>
          <w:numId w:val="7"/>
        </w:numPr>
        <w:ind w:left="709" w:firstLine="0"/>
      </w:pPr>
      <w:r w:rsidRPr="002F2091">
        <w:rPr>
          <w:lang w:val="en-US"/>
        </w:rPr>
        <w:t xml:space="preserve"> </w:t>
      </w:r>
      <w:r w:rsidRPr="002F2091">
        <w:t>KF-1 General safety design criteria</w:t>
      </w:r>
      <w:r>
        <w:t>;</w:t>
      </w:r>
    </w:p>
    <w:p w14:paraId="16103474" w14:textId="38134129" w:rsidR="002F2091" w:rsidRPr="002F2091" w:rsidRDefault="002F2091" w:rsidP="00503763">
      <w:pPr>
        <w:pStyle w:val="BodyText"/>
        <w:numPr>
          <w:ilvl w:val="3"/>
          <w:numId w:val="7"/>
        </w:numPr>
        <w:ind w:left="709" w:firstLine="0"/>
      </w:pPr>
      <w:r w:rsidRPr="002F2091">
        <w:t xml:space="preserve"> KF-2 Exclusion zone</w:t>
      </w:r>
      <w:r>
        <w:t>;</w:t>
      </w:r>
    </w:p>
    <w:p w14:paraId="06B913D8" w14:textId="13B3B2C2" w:rsidR="002F2091" w:rsidRPr="002F2091" w:rsidRDefault="002F2091" w:rsidP="00503763">
      <w:pPr>
        <w:pStyle w:val="BodyText"/>
        <w:numPr>
          <w:ilvl w:val="3"/>
          <w:numId w:val="7"/>
        </w:numPr>
        <w:ind w:left="709" w:firstLine="0"/>
      </w:pPr>
      <w:r w:rsidRPr="002F2091">
        <w:lastRenderedPageBreak/>
        <w:t xml:space="preserve"> KF-3 Seismic</w:t>
      </w:r>
      <w:r>
        <w:t>;</w:t>
      </w:r>
    </w:p>
    <w:p w14:paraId="053B06CF" w14:textId="21340982" w:rsidR="002F2091" w:rsidRPr="002F2091" w:rsidRDefault="002F2091" w:rsidP="00503763">
      <w:pPr>
        <w:pStyle w:val="BodyText"/>
        <w:numPr>
          <w:ilvl w:val="3"/>
          <w:numId w:val="7"/>
        </w:numPr>
        <w:ind w:left="709" w:firstLine="0"/>
      </w:pPr>
      <w:r w:rsidRPr="002F2091">
        <w:t xml:space="preserve"> KF-4 Airplane crash</w:t>
      </w:r>
      <w:r>
        <w:t>;</w:t>
      </w:r>
    </w:p>
    <w:p w14:paraId="4480F5A9" w14:textId="5C4CE866" w:rsidR="002F2091" w:rsidRPr="002F2091" w:rsidRDefault="002F2091" w:rsidP="00503763">
      <w:pPr>
        <w:pStyle w:val="BodyText"/>
        <w:numPr>
          <w:ilvl w:val="3"/>
          <w:numId w:val="7"/>
        </w:numPr>
        <w:ind w:left="709" w:firstLine="0"/>
      </w:pPr>
      <w:r w:rsidRPr="002F2091">
        <w:t xml:space="preserve"> KF-5 Fukushima Daiichi</w:t>
      </w:r>
      <w:r>
        <w:t>;</w:t>
      </w:r>
    </w:p>
    <w:p w14:paraId="225D32A8" w14:textId="183DD66C" w:rsidR="002F2091" w:rsidRPr="002F2091" w:rsidRDefault="002F2091" w:rsidP="00503763">
      <w:pPr>
        <w:pStyle w:val="BodyText"/>
        <w:numPr>
          <w:ilvl w:val="3"/>
          <w:numId w:val="7"/>
        </w:numPr>
        <w:ind w:left="709" w:firstLine="0"/>
      </w:pPr>
      <w:r w:rsidRPr="002F2091">
        <w:t xml:space="preserve"> KF-6 Digital I&amp;C systems</w:t>
      </w:r>
      <w:r>
        <w:t>;</w:t>
      </w:r>
    </w:p>
    <w:p w14:paraId="6C6D1DD6" w14:textId="4872415A" w:rsidR="002F2091" w:rsidRPr="002F2091" w:rsidRDefault="002F2091" w:rsidP="00503763">
      <w:pPr>
        <w:pStyle w:val="BodyText"/>
        <w:numPr>
          <w:ilvl w:val="3"/>
          <w:numId w:val="7"/>
        </w:numPr>
        <w:ind w:left="709" w:firstLine="0"/>
      </w:pPr>
      <w:r w:rsidRPr="002F2091">
        <w:t xml:space="preserve"> KF-7 Licensing &amp; Design Certification</w:t>
      </w:r>
      <w:r>
        <w:t>.</w:t>
      </w:r>
    </w:p>
    <w:p w14:paraId="311E8D89" w14:textId="0298B904" w:rsidR="002F2091" w:rsidRPr="002F2091" w:rsidRDefault="002F2091" w:rsidP="00503763">
      <w:pPr>
        <w:pStyle w:val="BodyText"/>
        <w:numPr>
          <w:ilvl w:val="0"/>
          <w:numId w:val="7"/>
        </w:numPr>
        <w:ind w:left="709"/>
      </w:pPr>
      <w:r w:rsidRPr="002F2091">
        <w:t>Fuel Supply and RWM</w:t>
      </w:r>
      <w:r>
        <w:t>;</w:t>
      </w:r>
    </w:p>
    <w:p w14:paraId="7C287EBB" w14:textId="5B69B72E" w:rsidR="002F2091" w:rsidRPr="002F2091" w:rsidRDefault="002F2091" w:rsidP="00503763">
      <w:pPr>
        <w:pStyle w:val="BodyText"/>
        <w:numPr>
          <w:ilvl w:val="3"/>
          <w:numId w:val="7"/>
        </w:numPr>
        <w:ind w:left="709" w:firstLine="0"/>
      </w:pPr>
      <w:r w:rsidRPr="002F2091">
        <w:t xml:space="preserve"> KF-8 Fuel supply</w:t>
      </w:r>
      <w:r>
        <w:t>;</w:t>
      </w:r>
    </w:p>
    <w:p w14:paraId="3892D474" w14:textId="6F6BC6A7" w:rsidR="002F2091" w:rsidRPr="002F2091" w:rsidRDefault="002F2091" w:rsidP="00503763">
      <w:pPr>
        <w:pStyle w:val="BodyText"/>
        <w:numPr>
          <w:ilvl w:val="3"/>
          <w:numId w:val="7"/>
        </w:numPr>
        <w:ind w:left="709" w:firstLine="0"/>
      </w:pPr>
      <w:r w:rsidRPr="002F2091">
        <w:t xml:space="preserve"> KF-9 Back end of the fuel cycle</w:t>
      </w:r>
      <w:r>
        <w:t>;</w:t>
      </w:r>
    </w:p>
    <w:p w14:paraId="73ED3E2E" w14:textId="11299A8D" w:rsidR="002F2091" w:rsidRPr="002F2091" w:rsidRDefault="002F2091" w:rsidP="00503763">
      <w:pPr>
        <w:pStyle w:val="BodyText"/>
        <w:numPr>
          <w:ilvl w:val="3"/>
          <w:numId w:val="7"/>
        </w:numPr>
        <w:ind w:left="709" w:firstLine="0"/>
      </w:pPr>
      <w:r w:rsidRPr="002F2091">
        <w:t xml:space="preserve"> KF-11 Non-proliferation</w:t>
      </w:r>
      <w:r>
        <w:t>.</w:t>
      </w:r>
    </w:p>
    <w:p w14:paraId="6F7754F5" w14:textId="5CC82F47" w:rsidR="002F2091" w:rsidRPr="002F2091" w:rsidRDefault="002F2091" w:rsidP="00503763">
      <w:pPr>
        <w:pStyle w:val="BodyText"/>
        <w:numPr>
          <w:ilvl w:val="0"/>
          <w:numId w:val="7"/>
        </w:numPr>
        <w:ind w:left="709"/>
      </w:pPr>
      <w:r w:rsidRPr="002F2091">
        <w:t>Operation and Efficiency</w:t>
      </w:r>
      <w:r>
        <w:t>;</w:t>
      </w:r>
    </w:p>
    <w:p w14:paraId="50032AB9" w14:textId="3B1AB650" w:rsidR="002F2091" w:rsidRPr="002F2091" w:rsidRDefault="002F2091" w:rsidP="00503763">
      <w:pPr>
        <w:pStyle w:val="BodyText"/>
        <w:numPr>
          <w:ilvl w:val="3"/>
          <w:numId w:val="7"/>
        </w:numPr>
        <w:ind w:left="709" w:firstLine="0"/>
      </w:pPr>
      <w:r w:rsidRPr="002F2091">
        <w:rPr>
          <w:lang w:val="en-US"/>
        </w:rPr>
        <w:t xml:space="preserve"> </w:t>
      </w:r>
      <w:r w:rsidRPr="002F2091">
        <w:t>KF-12 Performance Guarantees</w:t>
      </w:r>
      <w:r>
        <w:t>;</w:t>
      </w:r>
    </w:p>
    <w:p w14:paraId="248ACE74" w14:textId="723D8A20" w:rsidR="002F2091" w:rsidRPr="002F2091" w:rsidRDefault="002F2091" w:rsidP="00503763">
      <w:pPr>
        <w:pStyle w:val="BodyText"/>
        <w:numPr>
          <w:ilvl w:val="3"/>
          <w:numId w:val="7"/>
        </w:numPr>
        <w:ind w:left="709" w:firstLine="0"/>
      </w:pPr>
      <w:r w:rsidRPr="002F2091">
        <w:t xml:space="preserve"> KF -13 Efficiency and Availability</w:t>
      </w:r>
      <w:r>
        <w:t>;</w:t>
      </w:r>
    </w:p>
    <w:p w14:paraId="7C1F0A69" w14:textId="3A2FE923" w:rsidR="002F2091" w:rsidRPr="002F2091" w:rsidRDefault="002F2091" w:rsidP="00503763">
      <w:pPr>
        <w:pStyle w:val="BodyText"/>
        <w:numPr>
          <w:ilvl w:val="3"/>
          <w:numId w:val="7"/>
        </w:numPr>
        <w:ind w:left="709" w:firstLine="0"/>
      </w:pPr>
      <w:r w:rsidRPr="002F2091">
        <w:t xml:space="preserve"> KF-14 Cooling water design</w:t>
      </w:r>
      <w:r>
        <w:t>;</w:t>
      </w:r>
    </w:p>
    <w:p w14:paraId="6040DD77" w14:textId="12DBAB52" w:rsidR="002F2091" w:rsidRDefault="002F2091" w:rsidP="00503763">
      <w:pPr>
        <w:pStyle w:val="BodyText"/>
        <w:numPr>
          <w:ilvl w:val="3"/>
          <w:numId w:val="7"/>
        </w:numPr>
        <w:ind w:left="709" w:firstLine="0"/>
      </w:pPr>
      <w:r w:rsidRPr="002F2091">
        <w:t xml:space="preserve"> KF-15 Vendor Long-term Sustainability</w:t>
      </w:r>
      <w:r>
        <w:t>.</w:t>
      </w:r>
    </w:p>
    <w:p w14:paraId="104823D6" w14:textId="4A8B92E7" w:rsidR="002F2091" w:rsidRDefault="002F2091" w:rsidP="002F2091">
      <w:pPr>
        <w:pStyle w:val="BodyText"/>
        <w:ind w:left="709" w:firstLine="0"/>
      </w:pPr>
    </w:p>
    <w:p w14:paraId="678F72B2" w14:textId="55492818" w:rsidR="002F2091" w:rsidRDefault="00CA3154" w:rsidP="00CA3154">
      <w:pPr>
        <w:pStyle w:val="BodyText"/>
        <w:ind w:left="709" w:firstLine="0"/>
      </w:pPr>
      <w:r>
        <w:fldChar w:fldCharType="begin"/>
      </w:r>
      <w:r>
        <w:instrText xml:space="preserve"> REF _Ref167878802 \h </w:instrText>
      </w:r>
      <w:r>
        <w:fldChar w:fldCharType="separate"/>
      </w:r>
      <w:r>
        <w:t xml:space="preserve">TABLE </w:t>
      </w:r>
      <w:r>
        <w:rPr>
          <w:noProof/>
        </w:rPr>
        <w:t>1</w:t>
      </w:r>
      <w:r>
        <w:fldChar w:fldCharType="end"/>
      </w:r>
      <w:r>
        <w:t xml:space="preserve"> presents the </w:t>
      </w:r>
      <w:r w:rsidR="002F2091" w:rsidRPr="002F2091">
        <w:t>terms used to evaluate b</w:t>
      </w:r>
      <w:r w:rsidR="002F2091">
        <w:t xml:space="preserve">idder response for each of the </w:t>
      </w:r>
      <w:r w:rsidR="002F2091" w:rsidRPr="002F2091">
        <w:t>15 Key Factors</w:t>
      </w:r>
      <w:r>
        <w:t>:</w:t>
      </w:r>
    </w:p>
    <w:p w14:paraId="737EBB1E" w14:textId="65B14B40" w:rsidR="002F2091" w:rsidRDefault="002F2091" w:rsidP="002F2091">
      <w:pPr>
        <w:pStyle w:val="BodyText"/>
        <w:ind w:left="709" w:firstLine="0"/>
      </w:pPr>
    </w:p>
    <w:p w14:paraId="3987C19B" w14:textId="1329BF21" w:rsidR="00CA3154" w:rsidRDefault="00CA3154" w:rsidP="00CA3154">
      <w:pPr>
        <w:pStyle w:val="Caption"/>
        <w:keepNext/>
      </w:pPr>
      <w:bookmarkStart w:id="0" w:name="_Ref167878802"/>
      <w:r>
        <w:t xml:space="preserve">TABLE </w:t>
      </w:r>
      <w:r>
        <w:fldChar w:fldCharType="begin"/>
      </w:r>
      <w:r>
        <w:instrText xml:space="preserve"> SEQ TABLE \* ARABIC </w:instrText>
      </w:r>
      <w:r>
        <w:fldChar w:fldCharType="separate"/>
      </w:r>
      <w:r>
        <w:rPr>
          <w:noProof/>
        </w:rPr>
        <w:t>1</w:t>
      </w:r>
      <w:r>
        <w:fldChar w:fldCharType="end"/>
      </w:r>
      <w:bookmarkEnd w:id="0"/>
      <w:r>
        <w:t xml:space="preserve"> TERMS USED TO EVALUATE KEY FACTORS</w:t>
      </w:r>
    </w:p>
    <w:tbl>
      <w:tblPr>
        <w:tblW w:w="8910" w:type="dxa"/>
        <w:jc w:val="center"/>
        <w:tblCellMar>
          <w:left w:w="0" w:type="dxa"/>
          <w:right w:w="0" w:type="dxa"/>
        </w:tblCellMar>
        <w:tblLook w:val="0420" w:firstRow="1" w:lastRow="0" w:firstColumn="0" w:lastColumn="0" w:noHBand="0" w:noVBand="1"/>
      </w:tblPr>
      <w:tblGrid>
        <w:gridCol w:w="1620"/>
        <w:gridCol w:w="7290"/>
      </w:tblGrid>
      <w:tr w:rsidR="00CA3154" w:rsidRPr="00CA3154" w14:paraId="6808F1BC" w14:textId="77777777" w:rsidTr="00995D0C">
        <w:trPr>
          <w:trHeight w:val="20"/>
          <w:jc w:val="center"/>
        </w:trPr>
        <w:tc>
          <w:tcPr>
            <w:tcW w:w="1620" w:type="dxa"/>
            <w:tcBorders>
              <w:top w:val="single" w:sz="4" w:space="0" w:color="auto"/>
              <w:bottom w:val="single" w:sz="4" w:space="0" w:color="auto"/>
            </w:tcBorders>
            <w:shd w:val="clear" w:color="auto" w:fill="auto"/>
            <w:tcMar>
              <w:top w:w="72" w:type="dxa"/>
              <w:left w:w="144" w:type="dxa"/>
              <w:bottom w:w="72" w:type="dxa"/>
              <w:right w:w="144" w:type="dxa"/>
            </w:tcMar>
            <w:hideMark/>
          </w:tcPr>
          <w:p w14:paraId="51956369" w14:textId="77777777" w:rsidR="00CA3154" w:rsidRPr="00CA3154" w:rsidRDefault="00CA3154" w:rsidP="00995D0C">
            <w:pPr>
              <w:pStyle w:val="BodyText"/>
              <w:ind w:firstLine="0"/>
              <w:jc w:val="left"/>
              <w:rPr>
                <w:sz w:val="18"/>
                <w:szCs w:val="18"/>
                <w:lang w:val="en-US"/>
              </w:rPr>
            </w:pPr>
            <w:r w:rsidRPr="00CA3154">
              <w:rPr>
                <w:sz w:val="18"/>
                <w:szCs w:val="18"/>
                <w:lang w:val="en-US"/>
              </w:rPr>
              <w:t>Term</w:t>
            </w:r>
          </w:p>
        </w:tc>
        <w:tc>
          <w:tcPr>
            <w:tcW w:w="7290" w:type="dxa"/>
            <w:tcBorders>
              <w:top w:val="single" w:sz="4" w:space="0" w:color="auto"/>
              <w:bottom w:val="single" w:sz="4" w:space="0" w:color="auto"/>
            </w:tcBorders>
            <w:shd w:val="clear" w:color="auto" w:fill="auto"/>
            <w:tcMar>
              <w:top w:w="72" w:type="dxa"/>
              <w:left w:w="144" w:type="dxa"/>
              <w:bottom w:w="72" w:type="dxa"/>
              <w:right w:w="144" w:type="dxa"/>
            </w:tcMar>
            <w:hideMark/>
          </w:tcPr>
          <w:p w14:paraId="6B138CAE" w14:textId="77777777" w:rsidR="00CA3154" w:rsidRPr="00CA3154" w:rsidRDefault="00CA3154" w:rsidP="00CA3154">
            <w:pPr>
              <w:pStyle w:val="BodyText"/>
              <w:ind w:firstLine="0"/>
              <w:jc w:val="center"/>
              <w:rPr>
                <w:sz w:val="18"/>
                <w:szCs w:val="18"/>
                <w:lang w:val="en-US"/>
              </w:rPr>
            </w:pPr>
            <w:r w:rsidRPr="00CA3154">
              <w:rPr>
                <w:sz w:val="18"/>
                <w:szCs w:val="18"/>
                <w:lang w:val="en-US"/>
              </w:rPr>
              <w:t>Description</w:t>
            </w:r>
          </w:p>
        </w:tc>
      </w:tr>
      <w:tr w:rsidR="00CA3154" w:rsidRPr="00CA3154" w14:paraId="688D42BC" w14:textId="77777777" w:rsidTr="00995D0C">
        <w:trPr>
          <w:trHeight w:val="188"/>
          <w:jc w:val="center"/>
        </w:trPr>
        <w:tc>
          <w:tcPr>
            <w:tcW w:w="1620" w:type="dxa"/>
            <w:tcBorders>
              <w:top w:val="single" w:sz="4" w:space="0" w:color="auto"/>
            </w:tcBorders>
            <w:shd w:val="clear" w:color="auto" w:fill="auto"/>
            <w:tcMar>
              <w:top w:w="72" w:type="dxa"/>
              <w:left w:w="144" w:type="dxa"/>
              <w:bottom w:w="72" w:type="dxa"/>
              <w:right w:w="144" w:type="dxa"/>
            </w:tcMar>
            <w:hideMark/>
          </w:tcPr>
          <w:p w14:paraId="3A2EA352" w14:textId="77777777" w:rsidR="00CA3154" w:rsidRPr="00CA3154" w:rsidRDefault="00CA3154" w:rsidP="00995D0C">
            <w:pPr>
              <w:pStyle w:val="BodyText"/>
              <w:ind w:firstLine="0"/>
              <w:jc w:val="left"/>
              <w:rPr>
                <w:sz w:val="18"/>
                <w:szCs w:val="18"/>
                <w:lang w:val="en-US"/>
              </w:rPr>
            </w:pPr>
            <w:r w:rsidRPr="00CA3154">
              <w:rPr>
                <w:sz w:val="18"/>
                <w:szCs w:val="18"/>
                <w:lang w:val="en-US"/>
              </w:rPr>
              <w:t>Compliant</w:t>
            </w:r>
          </w:p>
        </w:tc>
        <w:tc>
          <w:tcPr>
            <w:tcW w:w="7290" w:type="dxa"/>
            <w:tcBorders>
              <w:top w:val="single" w:sz="4" w:space="0" w:color="auto"/>
            </w:tcBorders>
            <w:shd w:val="clear" w:color="auto" w:fill="auto"/>
            <w:tcMar>
              <w:top w:w="72" w:type="dxa"/>
              <w:left w:w="144" w:type="dxa"/>
              <w:bottom w:w="72" w:type="dxa"/>
              <w:right w:w="144" w:type="dxa"/>
            </w:tcMar>
            <w:hideMark/>
          </w:tcPr>
          <w:p w14:paraId="2A3C5B74" w14:textId="77777777" w:rsidR="00CA3154" w:rsidRPr="00CA3154" w:rsidRDefault="00CA3154" w:rsidP="00CA3154">
            <w:pPr>
              <w:pStyle w:val="BodyText"/>
              <w:ind w:firstLine="0"/>
              <w:jc w:val="center"/>
              <w:rPr>
                <w:sz w:val="18"/>
                <w:szCs w:val="18"/>
                <w:lang w:val="en-US"/>
              </w:rPr>
            </w:pPr>
            <w:r w:rsidRPr="00CA3154">
              <w:rPr>
                <w:sz w:val="18"/>
                <w:szCs w:val="18"/>
                <w:lang w:val="en-US"/>
              </w:rPr>
              <w:t xml:space="preserve">The bidder has demonstrated that the BIS requirements for providing the requested information </w:t>
            </w:r>
            <w:bookmarkStart w:id="1" w:name="_GoBack"/>
            <w:bookmarkEnd w:id="1"/>
            <w:r w:rsidRPr="00CA3154">
              <w:rPr>
                <w:sz w:val="18"/>
                <w:szCs w:val="18"/>
                <w:lang w:val="en-US"/>
              </w:rPr>
              <w:t>in the bid have been completely satisfied</w:t>
            </w:r>
          </w:p>
        </w:tc>
      </w:tr>
      <w:tr w:rsidR="00CA3154" w:rsidRPr="00CA3154" w14:paraId="699A5432" w14:textId="77777777" w:rsidTr="00995D0C">
        <w:trPr>
          <w:trHeight w:val="63"/>
          <w:jc w:val="center"/>
        </w:trPr>
        <w:tc>
          <w:tcPr>
            <w:tcW w:w="1620" w:type="dxa"/>
            <w:shd w:val="clear" w:color="auto" w:fill="auto"/>
            <w:tcMar>
              <w:top w:w="72" w:type="dxa"/>
              <w:left w:w="144" w:type="dxa"/>
              <w:bottom w:w="72" w:type="dxa"/>
              <w:right w:w="144" w:type="dxa"/>
            </w:tcMar>
            <w:hideMark/>
          </w:tcPr>
          <w:p w14:paraId="0E461F16" w14:textId="77777777" w:rsidR="00CA3154" w:rsidRPr="00CA3154" w:rsidRDefault="00CA3154" w:rsidP="00995D0C">
            <w:pPr>
              <w:pStyle w:val="BodyText"/>
              <w:ind w:firstLine="0"/>
              <w:jc w:val="left"/>
              <w:rPr>
                <w:sz w:val="18"/>
                <w:szCs w:val="18"/>
                <w:lang w:val="en-US"/>
              </w:rPr>
            </w:pPr>
            <w:r w:rsidRPr="00CA3154">
              <w:rPr>
                <w:sz w:val="18"/>
                <w:szCs w:val="18"/>
                <w:lang w:val="en-US"/>
              </w:rPr>
              <w:t>Mostly Compliant</w:t>
            </w:r>
          </w:p>
        </w:tc>
        <w:tc>
          <w:tcPr>
            <w:tcW w:w="7290" w:type="dxa"/>
            <w:shd w:val="clear" w:color="auto" w:fill="auto"/>
            <w:tcMar>
              <w:top w:w="72" w:type="dxa"/>
              <w:left w:w="144" w:type="dxa"/>
              <w:bottom w:w="72" w:type="dxa"/>
              <w:right w:w="144" w:type="dxa"/>
            </w:tcMar>
            <w:hideMark/>
          </w:tcPr>
          <w:p w14:paraId="33233AFA" w14:textId="77777777" w:rsidR="00CA3154" w:rsidRPr="00CA3154" w:rsidRDefault="00CA3154" w:rsidP="00CA3154">
            <w:pPr>
              <w:pStyle w:val="BodyText"/>
              <w:ind w:firstLine="0"/>
              <w:jc w:val="center"/>
              <w:rPr>
                <w:sz w:val="18"/>
                <w:szCs w:val="18"/>
                <w:lang w:val="en-US"/>
              </w:rPr>
            </w:pPr>
            <w:r w:rsidRPr="00CA3154">
              <w:rPr>
                <w:sz w:val="18"/>
                <w:szCs w:val="18"/>
                <w:lang w:val="en-US"/>
              </w:rPr>
              <w:t>The bidder has demonstrated that the BIS requirements for providing the requested information in the bid have, for the most part, been submitted</w:t>
            </w:r>
          </w:p>
        </w:tc>
      </w:tr>
      <w:tr w:rsidR="00CA3154" w:rsidRPr="00CA3154" w14:paraId="4407B9C4" w14:textId="77777777" w:rsidTr="00995D0C">
        <w:trPr>
          <w:trHeight w:val="20"/>
          <w:jc w:val="center"/>
        </w:trPr>
        <w:tc>
          <w:tcPr>
            <w:tcW w:w="1620" w:type="dxa"/>
            <w:shd w:val="clear" w:color="auto" w:fill="auto"/>
            <w:tcMar>
              <w:top w:w="72" w:type="dxa"/>
              <w:left w:w="144" w:type="dxa"/>
              <w:bottom w:w="72" w:type="dxa"/>
              <w:right w:w="144" w:type="dxa"/>
            </w:tcMar>
            <w:hideMark/>
          </w:tcPr>
          <w:p w14:paraId="609CF806" w14:textId="77777777" w:rsidR="00CA3154" w:rsidRPr="00CA3154" w:rsidRDefault="00CA3154" w:rsidP="00995D0C">
            <w:pPr>
              <w:pStyle w:val="BodyText"/>
              <w:ind w:firstLine="0"/>
              <w:jc w:val="left"/>
              <w:rPr>
                <w:sz w:val="18"/>
                <w:szCs w:val="18"/>
                <w:lang w:val="en-US"/>
              </w:rPr>
            </w:pPr>
            <w:r w:rsidRPr="00CA3154">
              <w:rPr>
                <w:sz w:val="18"/>
                <w:szCs w:val="18"/>
                <w:lang w:val="en-US"/>
              </w:rPr>
              <w:t>Partly Compliant</w:t>
            </w:r>
          </w:p>
        </w:tc>
        <w:tc>
          <w:tcPr>
            <w:tcW w:w="7290" w:type="dxa"/>
            <w:shd w:val="clear" w:color="auto" w:fill="auto"/>
            <w:tcMar>
              <w:top w:w="72" w:type="dxa"/>
              <w:left w:w="144" w:type="dxa"/>
              <w:bottom w:w="72" w:type="dxa"/>
              <w:right w:w="144" w:type="dxa"/>
            </w:tcMar>
            <w:hideMark/>
          </w:tcPr>
          <w:p w14:paraId="00E3F3AC" w14:textId="0CCF67F6" w:rsidR="00CA3154" w:rsidRPr="00CA3154" w:rsidRDefault="00CA3154" w:rsidP="00CA3154">
            <w:pPr>
              <w:pStyle w:val="BodyText"/>
              <w:ind w:firstLine="0"/>
              <w:jc w:val="center"/>
              <w:rPr>
                <w:sz w:val="18"/>
                <w:szCs w:val="18"/>
                <w:lang w:val="en-US"/>
              </w:rPr>
            </w:pPr>
            <w:r w:rsidRPr="00CA3154">
              <w:rPr>
                <w:sz w:val="18"/>
                <w:szCs w:val="18"/>
                <w:lang w:val="en-US"/>
              </w:rPr>
              <w:t xml:space="preserve">The bidder has demonstrated that the BIS requirements for providing the requested information in the bid have not been submitted or </w:t>
            </w:r>
            <w:r>
              <w:rPr>
                <w:sz w:val="18"/>
                <w:szCs w:val="18"/>
                <w:lang w:val="en-US"/>
              </w:rPr>
              <w:t>are</w:t>
            </w:r>
            <w:r w:rsidRPr="00CA3154">
              <w:rPr>
                <w:sz w:val="18"/>
                <w:szCs w:val="18"/>
                <w:lang w:val="en-US"/>
              </w:rPr>
              <w:t xml:space="preserve"> only partially satisfied</w:t>
            </w:r>
          </w:p>
        </w:tc>
      </w:tr>
      <w:tr w:rsidR="00CA3154" w:rsidRPr="00CA3154" w14:paraId="10EFE94E" w14:textId="77777777" w:rsidTr="00995D0C">
        <w:trPr>
          <w:trHeight w:val="20"/>
          <w:jc w:val="center"/>
        </w:trPr>
        <w:tc>
          <w:tcPr>
            <w:tcW w:w="1620" w:type="dxa"/>
            <w:shd w:val="clear" w:color="auto" w:fill="auto"/>
            <w:tcMar>
              <w:top w:w="72" w:type="dxa"/>
              <w:left w:w="144" w:type="dxa"/>
              <w:bottom w:w="72" w:type="dxa"/>
              <w:right w:w="144" w:type="dxa"/>
            </w:tcMar>
            <w:hideMark/>
          </w:tcPr>
          <w:p w14:paraId="776E7B74" w14:textId="77777777" w:rsidR="00CA3154" w:rsidRPr="00CA3154" w:rsidRDefault="00CA3154" w:rsidP="00995D0C">
            <w:pPr>
              <w:pStyle w:val="BodyText"/>
              <w:ind w:firstLine="0"/>
              <w:jc w:val="left"/>
              <w:rPr>
                <w:sz w:val="18"/>
                <w:szCs w:val="18"/>
                <w:lang w:val="en-US"/>
              </w:rPr>
            </w:pPr>
            <w:r w:rsidRPr="00CA3154">
              <w:rPr>
                <w:sz w:val="18"/>
                <w:szCs w:val="18"/>
                <w:lang w:val="en-US"/>
              </w:rPr>
              <w:t>Not Compliant</w:t>
            </w:r>
          </w:p>
        </w:tc>
        <w:tc>
          <w:tcPr>
            <w:tcW w:w="7290" w:type="dxa"/>
            <w:shd w:val="clear" w:color="auto" w:fill="auto"/>
            <w:tcMar>
              <w:top w:w="72" w:type="dxa"/>
              <w:left w:w="144" w:type="dxa"/>
              <w:bottom w:w="72" w:type="dxa"/>
              <w:right w:w="144" w:type="dxa"/>
            </w:tcMar>
            <w:hideMark/>
          </w:tcPr>
          <w:p w14:paraId="648301FB" w14:textId="77777777" w:rsidR="00CA3154" w:rsidRPr="00CA3154" w:rsidRDefault="00CA3154" w:rsidP="00CA3154">
            <w:pPr>
              <w:pStyle w:val="BodyText"/>
              <w:ind w:firstLine="0"/>
              <w:jc w:val="center"/>
              <w:rPr>
                <w:sz w:val="18"/>
                <w:szCs w:val="18"/>
                <w:lang w:val="en-US"/>
              </w:rPr>
            </w:pPr>
            <w:r w:rsidRPr="00CA3154">
              <w:rPr>
                <w:sz w:val="18"/>
                <w:szCs w:val="18"/>
                <w:lang w:val="en-US"/>
              </w:rPr>
              <w:t>The bidder has not demonstrated that the BIS requirements for providing the requested information</w:t>
            </w:r>
          </w:p>
        </w:tc>
      </w:tr>
      <w:tr w:rsidR="00CA3154" w:rsidRPr="00CA3154" w14:paraId="3A1C094E" w14:textId="77777777" w:rsidTr="00995D0C">
        <w:trPr>
          <w:trHeight w:val="20"/>
          <w:jc w:val="center"/>
        </w:trPr>
        <w:tc>
          <w:tcPr>
            <w:tcW w:w="1620" w:type="dxa"/>
            <w:tcBorders>
              <w:bottom w:val="single" w:sz="4" w:space="0" w:color="auto"/>
            </w:tcBorders>
            <w:shd w:val="clear" w:color="auto" w:fill="auto"/>
            <w:tcMar>
              <w:top w:w="72" w:type="dxa"/>
              <w:left w:w="144" w:type="dxa"/>
              <w:bottom w:w="72" w:type="dxa"/>
              <w:right w:w="144" w:type="dxa"/>
            </w:tcMar>
            <w:hideMark/>
          </w:tcPr>
          <w:p w14:paraId="5ED6171F" w14:textId="77777777" w:rsidR="00CA3154" w:rsidRPr="00CA3154" w:rsidRDefault="00CA3154" w:rsidP="00995D0C">
            <w:pPr>
              <w:pStyle w:val="BodyText"/>
              <w:ind w:firstLine="0"/>
              <w:jc w:val="left"/>
              <w:rPr>
                <w:sz w:val="18"/>
                <w:szCs w:val="18"/>
                <w:lang w:val="en-US"/>
              </w:rPr>
            </w:pPr>
            <w:r w:rsidRPr="00CA3154">
              <w:rPr>
                <w:sz w:val="18"/>
                <w:szCs w:val="18"/>
                <w:lang w:val="en-US"/>
              </w:rPr>
              <w:t>Open Items for Negotiation</w:t>
            </w:r>
          </w:p>
        </w:tc>
        <w:tc>
          <w:tcPr>
            <w:tcW w:w="7290" w:type="dxa"/>
            <w:tcBorders>
              <w:bottom w:val="single" w:sz="4" w:space="0" w:color="auto"/>
            </w:tcBorders>
            <w:shd w:val="clear" w:color="auto" w:fill="auto"/>
            <w:tcMar>
              <w:top w:w="72" w:type="dxa"/>
              <w:left w:w="144" w:type="dxa"/>
              <w:bottom w:w="72" w:type="dxa"/>
              <w:right w:w="144" w:type="dxa"/>
            </w:tcMar>
            <w:hideMark/>
          </w:tcPr>
          <w:p w14:paraId="5641EC88" w14:textId="323C6470" w:rsidR="00CA3154" w:rsidRPr="00CA3154" w:rsidRDefault="00CA3154" w:rsidP="00CA3154">
            <w:pPr>
              <w:pStyle w:val="BodyText"/>
              <w:ind w:firstLine="0"/>
              <w:jc w:val="center"/>
              <w:rPr>
                <w:sz w:val="18"/>
                <w:szCs w:val="18"/>
                <w:lang w:val="en-US"/>
              </w:rPr>
            </w:pPr>
            <w:r w:rsidRPr="00CA3154">
              <w:rPr>
                <w:sz w:val="18"/>
                <w:szCs w:val="18"/>
                <w:lang w:val="en-US"/>
              </w:rPr>
              <w:t xml:space="preserve">Items that need to be resolved between the Owner and Bidder </w:t>
            </w:r>
            <w:r>
              <w:rPr>
                <w:sz w:val="18"/>
                <w:szCs w:val="18"/>
                <w:lang w:val="en-US"/>
              </w:rPr>
              <w:t>before</w:t>
            </w:r>
            <w:r w:rsidRPr="00CA3154">
              <w:rPr>
                <w:sz w:val="18"/>
                <w:szCs w:val="18"/>
                <w:lang w:val="en-US"/>
              </w:rPr>
              <w:t xml:space="preserve"> contract signing</w:t>
            </w:r>
          </w:p>
        </w:tc>
      </w:tr>
    </w:tbl>
    <w:p w14:paraId="7B7C9922" w14:textId="02700C9E" w:rsidR="00CA3154" w:rsidRDefault="00CA3154" w:rsidP="00F27FAD">
      <w:pPr>
        <w:pStyle w:val="BodyText"/>
      </w:pPr>
    </w:p>
    <w:p w14:paraId="1FA0B981" w14:textId="29D6B804" w:rsidR="00CA3154" w:rsidRDefault="00B547C6" w:rsidP="00F27FAD">
      <w:pPr>
        <w:pStyle w:val="BodyText"/>
      </w:pPr>
      <w:r>
        <w:t>Several issues were raised during the evaluation process:</w:t>
      </w:r>
    </w:p>
    <w:p w14:paraId="2D5E3B7C" w14:textId="77777777" w:rsidR="008066BA" w:rsidRDefault="008066BA" w:rsidP="00F27FAD">
      <w:pPr>
        <w:pStyle w:val="BodyText"/>
      </w:pPr>
    </w:p>
    <w:p w14:paraId="5E040A95" w14:textId="3C71718A" w:rsidR="00096A9D" w:rsidRPr="00B547C6" w:rsidRDefault="00503763" w:rsidP="00503763">
      <w:pPr>
        <w:pStyle w:val="BodyText"/>
        <w:numPr>
          <w:ilvl w:val="0"/>
          <w:numId w:val="7"/>
        </w:numPr>
        <w:ind w:left="709"/>
      </w:pPr>
      <w:r w:rsidRPr="00B547C6">
        <w:t xml:space="preserve">Technology </w:t>
      </w:r>
      <w:proofErr w:type="spellStart"/>
      <w:r w:rsidRPr="00B547C6">
        <w:t>licenseability</w:t>
      </w:r>
      <w:proofErr w:type="spellEnd"/>
      <w:r w:rsidR="00B547C6">
        <w:t>;</w:t>
      </w:r>
    </w:p>
    <w:p w14:paraId="5C16D2D0" w14:textId="1A877049" w:rsidR="00096A9D" w:rsidRPr="00B547C6" w:rsidRDefault="00503763" w:rsidP="00503763">
      <w:pPr>
        <w:pStyle w:val="BodyText"/>
        <w:numPr>
          <w:ilvl w:val="3"/>
          <w:numId w:val="7"/>
        </w:numPr>
        <w:ind w:left="709" w:firstLine="0"/>
      </w:pPr>
      <w:r w:rsidRPr="00B547C6">
        <w:t xml:space="preserve">Technology </w:t>
      </w:r>
      <w:proofErr w:type="spellStart"/>
      <w:r w:rsidRPr="00B547C6">
        <w:t>licenseability</w:t>
      </w:r>
      <w:proofErr w:type="spellEnd"/>
      <w:r w:rsidRPr="00B547C6">
        <w:t xml:space="preserve"> posed a significant risk for designs without approval from their home country regulators, </w:t>
      </w:r>
      <w:r w:rsidR="002A01B2">
        <w:t xml:space="preserve">which is </w:t>
      </w:r>
      <w:r w:rsidRPr="00B547C6">
        <w:t>crucial for any final selections. Some designs were primarily created for foreign markets, lacking review by their home country's nuclear regulatory authority for construction licensing</w:t>
      </w:r>
      <w:r w:rsidR="00B547C6">
        <w:t>;</w:t>
      </w:r>
    </w:p>
    <w:p w14:paraId="72A269D9" w14:textId="27845250" w:rsidR="00096A9D" w:rsidRDefault="00503763" w:rsidP="00503763">
      <w:pPr>
        <w:pStyle w:val="BodyText"/>
        <w:numPr>
          <w:ilvl w:val="3"/>
          <w:numId w:val="7"/>
        </w:numPr>
        <w:ind w:left="709" w:firstLine="0"/>
      </w:pPr>
      <w:r w:rsidRPr="00B547C6">
        <w:t>The evaluation was based on vendor statements, assuming a review level equivalent to that for home country construction, with the expectation of timely certification by home country regulators to avoid project schedule impacts</w:t>
      </w:r>
      <w:r w:rsidR="00B547C6">
        <w:t>.</w:t>
      </w:r>
    </w:p>
    <w:p w14:paraId="6D935C10" w14:textId="12417CED" w:rsidR="00B547C6" w:rsidRPr="00B547C6" w:rsidRDefault="00B547C6" w:rsidP="00503763">
      <w:pPr>
        <w:pStyle w:val="BodyText"/>
        <w:numPr>
          <w:ilvl w:val="0"/>
          <w:numId w:val="7"/>
        </w:numPr>
        <w:ind w:left="720"/>
        <w:rPr>
          <w:lang w:val="en-US"/>
        </w:rPr>
      </w:pPr>
      <w:r w:rsidRPr="00B547C6">
        <w:t>In some specific questions, some vendors did not respond, or their response was less detailed or informative compared to others, resulting in lower scores. Examples of such observations include:</w:t>
      </w:r>
    </w:p>
    <w:p w14:paraId="493FB923" w14:textId="1F689DDD" w:rsidR="00B547C6" w:rsidRPr="00B547C6" w:rsidRDefault="00B547C6" w:rsidP="00503763">
      <w:pPr>
        <w:pStyle w:val="BodyText"/>
        <w:numPr>
          <w:ilvl w:val="3"/>
          <w:numId w:val="7"/>
        </w:numPr>
        <w:ind w:left="709" w:firstLine="0"/>
      </w:pPr>
      <w:r w:rsidRPr="00B547C6">
        <w:t>Not adequately addressing Jordan’s geotechnical or environmental requirements</w:t>
      </w:r>
      <w:r>
        <w:t>;</w:t>
      </w:r>
    </w:p>
    <w:p w14:paraId="2CAE6023" w14:textId="24C85534" w:rsidR="00B547C6" w:rsidRPr="00B547C6" w:rsidRDefault="00B547C6" w:rsidP="00503763">
      <w:pPr>
        <w:pStyle w:val="BodyText"/>
        <w:numPr>
          <w:ilvl w:val="3"/>
          <w:numId w:val="7"/>
        </w:numPr>
        <w:ind w:left="709" w:firstLine="0"/>
      </w:pPr>
      <w:r w:rsidRPr="00B547C6">
        <w:t>Insufficient information to confirm the 60-year plant design lifetime</w:t>
      </w:r>
      <w:r>
        <w:t>;</w:t>
      </w:r>
    </w:p>
    <w:p w14:paraId="38AAF230" w14:textId="3DAE6D4E" w:rsidR="00B547C6" w:rsidRPr="00B547C6" w:rsidRDefault="00B547C6" w:rsidP="00503763">
      <w:pPr>
        <w:pStyle w:val="BodyText"/>
        <w:numPr>
          <w:ilvl w:val="3"/>
          <w:numId w:val="7"/>
        </w:numPr>
        <w:ind w:left="720" w:firstLine="0"/>
      </w:pPr>
      <w:r w:rsidRPr="00B547C6">
        <w:t>Lack of information for important SSCs lifetimes, such as the steam generator and steam turbine</w:t>
      </w:r>
      <w:r>
        <w:t>;</w:t>
      </w:r>
    </w:p>
    <w:p w14:paraId="1119DC41" w14:textId="3FE700E7" w:rsidR="00B547C6" w:rsidRPr="00B547C6" w:rsidRDefault="00B547C6" w:rsidP="00503763">
      <w:pPr>
        <w:pStyle w:val="BodyText"/>
        <w:numPr>
          <w:ilvl w:val="3"/>
          <w:numId w:val="7"/>
        </w:numPr>
        <w:ind w:left="709" w:firstLine="0"/>
      </w:pPr>
      <w:r w:rsidRPr="00B547C6">
        <w:t>Lack of details in the whole waste management program</w:t>
      </w:r>
      <w:r>
        <w:t>;</w:t>
      </w:r>
    </w:p>
    <w:p w14:paraId="282361A9" w14:textId="1C0C7FED" w:rsidR="00B547C6" w:rsidRPr="00B547C6" w:rsidRDefault="00B547C6" w:rsidP="00503763">
      <w:pPr>
        <w:pStyle w:val="BodyText"/>
        <w:numPr>
          <w:ilvl w:val="3"/>
          <w:numId w:val="7"/>
        </w:numPr>
        <w:ind w:left="709" w:firstLine="0"/>
      </w:pPr>
      <w:r w:rsidRPr="00B547C6">
        <w:t>Absence of a significant plan for optimizing in-country resources</w:t>
      </w:r>
      <w:r>
        <w:t>;</w:t>
      </w:r>
    </w:p>
    <w:p w14:paraId="70666523" w14:textId="3F795C2E" w:rsidR="00B547C6" w:rsidRPr="00B547C6" w:rsidRDefault="00B547C6" w:rsidP="00503763">
      <w:pPr>
        <w:pStyle w:val="BodyText"/>
        <w:numPr>
          <w:ilvl w:val="3"/>
          <w:numId w:val="7"/>
        </w:numPr>
        <w:ind w:left="709" w:firstLine="0"/>
      </w:pPr>
      <w:r w:rsidRPr="00B547C6">
        <w:t>Lack of an identified worldwide supply chain</w:t>
      </w:r>
      <w:r>
        <w:t>;</w:t>
      </w:r>
    </w:p>
    <w:p w14:paraId="2342DA44" w14:textId="6373EBA0" w:rsidR="00B547C6" w:rsidRPr="00B547C6" w:rsidRDefault="00B547C6" w:rsidP="00503763">
      <w:pPr>
        <w:pStyle w:val="BodyText"/>
        <w:numPr>
          <w:ilvl w:val="3"/>
          <w:numId w:val="7"/>
        </w:numPr>
        <w:ind w:left="709" w:firstLine="0"/>
      </w:pPr>
      <w:r w:rsidRPr="00B547C6">
        <w:t>Lack of any experience with back-end fuel</w:t>
      </w:r>
      <w:r>
        <w:t>;</w:t>
      </w:r>
    </w:p>
    <w:p w14:paraId="291AF8F2" w14:textId="3359EDEF" w:rsidR="00B547C6" w:rsidRPr="00B547C6" w:rsidRDefault="00B547C6" w:rsidP="00503763">
      <w:pPr>
        <w:pStyle w:val="BodyText"/>
        <w:numPr>
          <w:ilvl w:val="3"/>
          <w:numId w:val="7"/>
        </w:numPr>
        <w:ind w:left="1170" w:hanging="450"/>
      </w:pPr>
      <w:r w:rsidRPr="00B547C6">
        <w:lastRenderedPageBreak/>
        <w:t>Lack of details and information concerning fuel transport to a dry storage or casks system within Jordan</w:t>
      </w:r>
      <w:r>
        <w:t>.</w:t>
      </w:r>
    </w:p>
    <w:p w14:paraId="5FF0E109" w14:textId="51815BAD" w:rsidR="007115CB" w:rsidRDefault="007115CB" w:rsidP="00B547C6">
      <w:pPr>
        <w:pStyle w:val="BodyText"/>
      </w:pPr>
      <w:r>
        <w:t xml:space="preserve">As a result of these studies, it was concluded that Jordan </w:t>
      </w:r>
      <w:r w:rsidR="00F27FAD" w:rsidRPr="00F27FAD">
        <w:t>would</w:t>
      </w:r>
      <w:r>
        <w:t xml:space="preserve"> not pursue LRs</w:t>
      </w:r>
      <w:r w:rsidR="00050B7C">
        <w:t>, and the project was put on hold,</w:t>
      </w:r>
      <w:r>
        <w:t xml:space="preserve"> due to:</w:t>
      </w:r>
    </w:p>
    <w:p w14:paraId="3EE1CC16" w14:textId="77777777" w:rsidR="005D0936" w:rsidRDefault="005D0936" w:rsidP="00050B7C">
      <w:pPr>
        <w:pStyle w:val="BodyText"/>
      </w:pPr>
    </w:p>
    <w:p w14:paraId="36F5EEC3" w14:textId="77777777" w:rsidR="007115CB" w:rsidRPr="00767C83" w:rsidRDefault="007115CB" w:rsidP="00503763">
      <w:pPr>
        <w:pStyle w:val="BodyText"/>
        <w:numPr>
          <w:ilvl w:val="0"/>
          <w:numId w:val="7"/>
        </w:numPr>
        <w:ind w:left="709"/>
      </w:pPr>
      <w:r w:rsidRPr="00767C83">
        <w:t>Financial burden and capital investment</w:t>
      </w:r>
      <w:r>
        <w:t>;</w:t>
      </w:r>
      <w:r w:rsidRPr="00767C83">
        <w:t xml:space="preserve"> </w:t>
      </w:r>
    </w:p>
    <w:p w14:paraId="13D5762D" w14:textId="77777777" w:rsidR="007115CB" w:rsidRPr="00767C83" w:rsidRDefault="007115CB" w:rsidP="00503763">
      <w:pPr>
        <w:pStyle w:val="BodyText"/>
        <w:numPr>
          <w:ilvl w:val="0"/>
          <w:numId w:val="7"/>
        </w:numPr>
        <w:ind w:left="709"/>
      </w:pPr>
      <w:r>
        <w:t>Water cooling requirements;</w:t>
      </w:r>
    </w:p>
    <w:p w14:paraId="7F234CD3" w14:textId="513A18D7" w:rsidR="007115CB" w:rsidRDefault="007115CB" w:rsidP="00503763">
      <w:pPr>
        <w:pStyle w:val="BodyText"/>
        <w:numPr>
          <w:ilvl w:val="0"/>
          <w:numId w:val="7"/>
        </w:numPr>
        <w:ind w:left="709"/>
      </w:pPr>
      <w:r w:rsidRPr="00767C83">
        <w:t>Grid compatibility</w:t>
      </w:r>
      <w:r>
        <w:t>.</w:t>
      </w:r>
    </w:p>
    <w:p w14:paraId="3CD7D21D" w14:textId="77777777" w:rsidR="005D0936" w:rsidRDefault="005D0936" w:rsidP="005D0936">
      <w:pPr>
        <w:pStyle w:val="BodyText"/>
        <w:ind w:firstLine="0"/>
      </w:pPr>
    </w:p>
    <w:p w14:paraId="16159F24" w14:textId="3CCC1E69" w:rsidR="009F4516" w:rsidRDefault="00B547C6" w:rsidP="008B163E">
      <w:pPr>
        <w:pStyle w:val="BodyText"/>
      </w:pPr>
      <w:r>
        <w:t>I</w:t>
      </w:r>
      <w:r w:rsidR="007115CB">
        <w:t xml:space="preserve">n 2018 Jordan shifted its eyes to SMRs as a replacement for LRs as the technology of choice </w:t>
      </w:r>
      <w:r w:rsidR="008B163E">
        <w:t>used in</w:t>
      </w:r>
      <w:r w:rsidR="007115CB">
        <w:t xml:space="preserve"> the Jordanian nuclear power program.</w:t>
      </w:r>
    </w:p>
    <w:p w14:paraId="75339E14" w14:textId="17380F65" w:rsidR="007115CB" w:rsidRDefault="007115CB" w:rsidP="007115CB">
      <w:pPr>
        <w:pStyle w:val="Heading3"/>
        <w:rPr>
          <w:lang w:val="en-US"/>
        </w:rPr>
      </w:pPr>
      <w:r>
        <w:rPr>
          <w:lang w:val="en-US"/>
        </w:rPr>
        <w:t>Small Modular Reactors</w:t>
      </w:r>
    </w:p>
    <w:p w14:paraId="5CB364E4" w14:textId="2DDC5A81" w:rsidR="007115CB" w:rsidRDefault="00050B7C" w:rsidP="00050B7C">
      <w:pPr>
        <w:pStyle w:val="BodyText"/>
        <w:rPr>
          <w:lang w:val="en-US"/>
        </w:rPr>
      </w:pPr>
      <w:r>
        <w:rPr>
          <w:lang w:val="en-US"/>
        </w:rPr>
        <w:t xml:space="preserve">Looking into SMRs, Jordan found that they </w:t>
      </w:r>
      <w:r w:rsidRPr="00050B7C">
        <w:rPr>
          <w:lang w:val="en-US"/>
        </w:rPr>
        <w:t>agreed</w:t>
      </w:r>
      <w:r>
        <w:rPr>
          <w:lang w:val="en-US"/>
        </w:rPr>
        <w:t xml:space="preserve"> with the project requirement:</w:t>
      </w:r>
    </w:p>
    <w:p w14:paraId="7988E439" w14:textId="77777777" w:rsidR="005D0936" w:rsidRDefault="005D0936" w:rsidP="00050B7C">
      <w:pPr>
        <w:pStyle w:val="BodyText"/>
        <w:rPr>
          <w:lang w:val="en-US"/>
        </w:rPr>
      </w:pPr>
    </w:p>
    <w:p w14:paraId="2D5FE2F6" w14:textId="78D9715B" w:rsidR="00050B7C" w:rsidRDefault="00050B7C" w:rsidP="00503763">
      <w:pPr>
        <w:pStyle w:val="BodyText"/>
        <w:numPr>
          <w:ilvl w:val="0"/>
          <w:numId w:val="7"/>
        </w:numPr>
        <w:ind w:left="709"/>
      </w:pPr>
      <w:r w:rsidRPr="00050B7C">
        <w:t>Low capital costs and initial investment;</w:t>
      </w:r>
    </w:p>
    <w:p w14:paraId="5292BD59" w14:textId="23D23E6D" w:rsidR="00050B7C" w:rsidRDefault="00050B7C" w:rsidP="00503763">
      <w:pPr>
        <w:pStyle w:val="BodyText"/>
        <w:numPr>
          <w:ilvl w:val="0"/>
          <w:numId w:val="7"/>
        </w:numPr>
        <w:ind w:left="709"/>
      </w:pPr>
      <w:r>
        <w:t>Low cooling water requirements;</w:t>
      </w:r>
    </w:p>
    <w:p w14:paraId="6276F232" w14:textId="6FE0C410" w:rsidR="00050B7C" w:rsidRDefault="00050B7C" w:rsidP="00503763">
      <w:pPr>
        <w:pStyle w:val="BodyText"/>
        <w:numPr>
          <w:ilvl w:val="0"/>
          <w:numId w:val="7"/>
        </w:numPr>
        <w:ind w:left="709"/>
      </w:pPr>
      <w:r>
        <w:t>Compatible with the small electricity grid;</w:t>
      </w:r>
    </w:p>
    <w:p w14:paraId="1CCE8F27" w14:textId="28D05531" w:rsidR="00050B7C" w:rsidRDefault="00050B7C" w:rsidP="00503763">
      <w:pPr>
        <w:pStyle w:val="BodyText"/>
        <w:numPr>
          <w:ilvl w:val="0"/>
          <w:numId w:val="7"/>
        </w:numPr>
        <w:ind w:left="709"/>
      </w:pPr>
      <w:r>
        <w:t>Scalable to match the gradual increase in electricity;</w:t>
      </w:r>
    </w:p>
    <w:p w14:paraId="5B61126A" w14:textId="69B66983" w:rsidR="00050B7C" w:rsidRDefault="00050B7C" w:rsidP="00503763">
      <w:pPr>
        <w:pStyle w:val="BodyText"/>
        <w:numPr>
          <w:ilvl w:val="0"/>
          <w:numId w:val="7"/>
        </w:numPr>
        <w:ind w:left="709"/>
      </w:pPr>
      <w:r>
        <w:t xml:space="preserve">Deployable </w:t>
      </w:r>
      <w:r w:rsidR="005D0936" w:rsidRPr="005D0936">
        <w:t>post-2030</w:t>
      </w:r>
      <w:r>
        <w:t>.</w:t>
      </w:r>
    </w:p>
    <w:p w14:paraId="79E68DCA" w14:textId="77777777" w:rsidR="005D0936" w:rsidRDefault="005D0936" w:rsidP="005D0936">
      <w:pPr>
        <w:pStyle w:val="BodyText"/>
        <w:ind w:firstLine="0"/>
      </w:pPr>
    </w:p>
    <w:p w14:paraId="6C9BAD6C" w14:textId="5EB9B73B" w:rsidR="00050B7C" w:rsidRDefault="005D0936" w:rsidP="008B163E">
      <w:pPr>
        <w:pStyle w:val="BodyText"/>
      </w:pPr>
      <w:r>
        <w:t xml:space="preserve">Due to the nature and number of SMR designs emerging into the market, JAEC set some general exclusion </w:t>
      </w:r>
      <w:r w:rsidR="008B163E">
        <w:t>topics</w:t>
      </w:r>
      <w:r>
        <w:t xml:space="preserve"> to initially </w:t>
      </w:r>
      <w:r w:rsidRPr="005D0936">
        <w:t>down</w:t>
      </w:r>
      <w:r>
        <w:t>-</w:t>
      </w:r>
      <w:r w:rsidRPr="005D0936">
        <w:t>select</w:t>
      </w:r>
      <w:r>
        <w:t xml:space="preserve"> the number of studied </w:t>
      </w:r>
      <w:r w:rsidRPr="005D0936">
        <w:t>reactors</w:t>
      </w:r>
      <w:r>
        <w:t>:</w:t>
      </w:r>
    </w:p>
    <w:p w14:paraId="604D6840" w14:textId="77777777" w:rsidR="005D0936" w:rsidRDefault="005D0936" w:rsidP="005D0936">
      <w:pPr>
        <w:pStyle w:val="BodyText"/>
      </w:pPr>
    </w:p>
    <w:p w14:paraId="113A1C4B" w14:textId="72D5E377" w:rsidR="008653A5" w:rsidRPr="005D0936" w:rsidRDefault="008653A5" w:rsidP="00503763">
      <w:pPr>
        <w:pStyle w:val="BodyText"/>
        <w:numPr>
          <w:ilvl w:val="0"/>
          <w:numId w:val="7"/>
        </w:numPr>
        <w:ind w:left="709"/>
      </w:pPr>
      <w:r w:rsidRPr="005D0936">
        <w:t>Deployment time: by 2030-2032 operational in Jordan (Nth of a kind)</w:t>
      </w:r>
      <w:r w:rsidR="005D0936">
        <w:t>;</w:t>
      </w:r>
    </w:p>
    <w:p w14:paraId="7D5C123A" w14:textId="429D1DE6" w:rsidR="008653A5" w:rsidRPr="005D0936" w:rsidRDefault="008653A5" w:rsidP="00503763">
      <w:pPr>
        <w:pStyle w:val="BodyText"/>
        <w:numPr>
          <w:ilvl w:val="0"/>
          <w:numId w:val="7"/>
        </w:numPr>
        <w:ind w:left="709"/>
      </w:pPr>
      <w:r w:rsidRPr="005D0936">
        <w:t>Mature technology and vendor: only LWRs and HTGRs</w:t>
      </w:r>
      <w:r w:rsidR="005D0936">
        <w:t>;</w:t>
      </w:r>
    </w:p>
    <w:p w14:paraId="503448FC" w14:textId="0B4D4F8E" w:rsidR="008653A5" w:rsidRPr="005D0936" w:rsidRDefault="008653A5" w:rsidP="00503763">
      <w:pPr>
        <w:pStyle w:val="BodyText"/>
        <w:numPr>
          <w:ilvl w:val="0"/>
          <w:numId w:val="7"/>
        </w:numPr>
        <w:ind w:left="709"/>
      </w:pPr>
      <w:r w:rsidRPr="005D0936">
        <w:t>Size: micro-reactors</w:t>
      </w:r>
      <w:r w:rsidR="005D0936">
        <w:t xml:space="preserve"> are excluded, less than 50 MWe;</w:t>
      </w:r>
    </w:p>
    <w:p w14:paraId="00E0C697" w14:textId="395E3EB3" w:rsidR="008653A5" w:rsidRDefault="008653A5" w:rsidP="00503763">
      <w:pPr>
        <w:pStyle w:val="BodyText"/>
        <w:numPr>
          <w:ilvl w:val="0"/>
          <w:numId w:val="7"/>
        </w:numPr>
        <w:ind w:left="709"/>
        <w:rPr>
          <w:lang w:val="en-US"/>
        </w:rPr>
      </w:pPr>
      <w:r w:rsidRPr="005D0936">
        <w:t>Only land-based reactors: FNPP and submerged are excluded</w:t>
      </w:r>
      <w:r w:rsidRPr="005D0936">
        <w:rPr>
          <w:lang w:val="en-US"/>
        </w:rPr>
        <w:t>.</w:t>
      </w:r>
    </w:p>
    <w:p w14:paraId="0830E17C" w14:textId="6BE3C7B0" w:rsidR="00D52B33" w:rsidRDefault="008B163E" w:rsidP="008B163E">
      <w:pPr>
        <w:pStyle w:val="Heading3"/>
      </w:pPr>
      <w:r>
        <w:t>Evaluation Process</w:t>
      </w:r>
    </w:p>
    <w:p w14:paraId="5E9B0850" w14:textId="2B3E75BB" w:rsidR="008B163E" w:rsidRDefault="008B163E" w:rsidP="00E92ACC">
      <w:pPr>
        <w:pStyle w:val="BodyText"/>
        <w:rPr>
          <w:lang w:val="en-US"/>
        </w:rPr>
      </w:pPr>
      <w:r w:rsidRPr="008B163E">
        <w:rPr>
          <w:lang w:val="en-US"/>
        </w:rPr>
        <w:t>This evaluation process is designed to be fully transparent, and self-explanatory, allowing quantification and integration of all essential Jordanian requirements</w:t>
      </w:r>
      <w:r>
        <w:rPr>
          <w:lang w:val="en-US"/>
        </w:rPr>
        <w:t>.</w:t>
      </w:r>
    </w:p>
    <w:p w14:paraId="25AD7EB5" w14:textId="3A7D5E47" w:rsidR="008B163E" w:rsidRDefault="008B163E" w:rsidP="00E92ACC">
      <w:pPr>
        <w:pStyle w:val="BodyText"/>
        <w:rPr>
          <w:lang w:val="en-US"/>
        </w:rPr>
      </w:pPr>
      <w:r w:rsidRPr="008B163E">
        <w:rPr>
          <w:lang w:val="en-US"/>
        </w:rPr>
        <w:t>The evaluation process was performed by a technical and economic team from JAEC (with review and input from IAEA experts). The evaluation process is designed to capture the differences between the available SMR technologies. The evaluation methodology utilizes the following criteria:</w:t>
      </w:r>
    </w:p>
    <w:p w14:paraId="76969937" w14:textId="77777777" w:rsidR="008B163E" w:rsidRDefault="008B163E" w:rsidP="00E92ACC">
      <w:pPr>
        <w:pStyle w:val="BodyText"/>
        <w:rPr>
          <w:lang w:val="en-US"/>
        </w:rPr>
      </w:pPr>
    </w:p>
    <w:p w14:paraId="2830BADF" w14:textId="1F97E308" w:rsidR="008B163E" w:rsidRDefault="008B163E" w:rsidP="00503763">
      <w:pPr>
        <w:pStyle w:val="BodyText"/>
        <w:numPr>
          <w:ilvl w:val="0"/>
          <w:numId w:val="7"/>
        </w:numPr>
        <w:ind w:left="709"/>
        <w:rPr>
          <w:lang w:val="en-US"/>
        </w:rPr>
      </w:pPr>
      <w:r w:rsidRPr="008B163E">
        <w:t>Technical</w:t>
      </w:r>
      <w:r>
        <w:t>;</w:t>
      </w:r>
    </w:p>
    <w:p w14:paraId="0DEBC814" w14:textId="04D71279" w:rsidR="008B163E" w:rsidRPr="008B163E" w:rsidRDefault="008B163E" w:rsidP="00503763">
      <w:pPr>
        <w:pStyle w:val="BodyText"/>
        <w:numPr>
          <w:ilvl w:val="3"/>
          <w:numId w:val="7"/>
        </w:numPr>
        <w:ind w:left="709" w:firstLine="0"/>
      </w:pPr>
      <w:r w:rsidRPr="008B163E">
        <w:t>Exclusionary Topics</w:t>
      </w:r>
      <w:r>
        <w:t xml:space="preserve"> (mentioned earlier)</w:t>
      </w:r>
      <w:r w:rsidRPr="008B163E">
        <w:t>;</w:t>
      </w:r>
    </w:p>
    <w:p w14:paraId="56A3299C" w14:textId="6107A645" w:rsidR="008B163E" w:rsidRPr="008B163E" w:rsidRDefault="008B163E" w:rsidP="00503763">
      <w:pPr>
        <w:pStyle w:val="BodyText"/>
        <w:numPr>
          <w:ilvl w:val="3"/>
          <w:numId w:val="7"/>
        </w:numPr>
        <w:ind w:left="709" w:firstLine="0"/>
      </w:pPr>
      <w:r w:rsidRPr="008B163E">
        <w:t>Evaluation Matrix</w:t>
      </w:r>
      <w:r w:rsidR="00856965">
        <w:t xml:space="preserve"> (EM)</w:t>
      </w:r>
      <w:r w:rsidRPr="008B163E">
        <w:t>;</w:t>
      </w:r>
    </w:p>
    <w:p w14:paraId="77D89A24" w14:textId="7439D8FC" w:rsidR="008B163E" w:rsidRPr="008B163E" w:rsidRDefault="008B163E" w:rsidP="00503763">
      <w:pPr>
        <w:pStyle w:val="BodyText"/>
        <w:numPr>
          <w:ilvl w:val="3"/>
          <w:numId w:val="7"/>
        </w:numPr>
        <w:ind w:left="709" w:firstLine="0"/>
      </w:pPr>
      <w:r w:rsidRPr="008B163E">
        <w:t>Key Factors</w:t>
      </w:r>
      <w:r w:rsidR="00856965">
        <w:t xml:space="preserve"> (KF)</w:t>
      </w:r>
      <w:r w:rsidRPr="008B163E">
        <w:t>;</w:t>
      </w:r>
    </w:p>
    <w:p w14:paraId="6A84F25C" w14:textId="1054AFE2" w:rsidR="008B163E" w:rsidRDefault="008B163E" w:rsidP="00503763">
      <w:pPr>
        <w:pStyle w:val="BodyText"/>
        <w:numPr>
          <w:ilvl w:val="3"/>
          <w:numId w:val="7"/>
        </w:numPr>
        <w:ind w:left="709" w:firstLine="0"/>
        <w:rPr>
          <w:lang w:val="en-US"/>
        </w:rPr>
      </w:pPr>
      <w:r w:rsidRPr="008B163E">
        <w:t>Best-In-Class</w:t>
      </w:r>
      <w:r w:rsidR="00856965">
        <w:t xml:space="preserve"> (BIC)</w:t>
      </w:r>
      <w:r>
        <w:rPr>
          <w:lang w:val="en-US"/>
        </w:rPr>
        <w:t>.</w:t>
      </w:r>
    </w:p>
    <w:p w14:paraId="55C2ACAA" w14:textId="18D981C2" w:rsidR="008B163E" w:rsidRDefault="008B163E" w:rsidP="00503763">
      <w:pPr>
        <w:pStyle w:val="BodyText"/>
        <w:numPr>
          <w:ilvl w:val="0"/>
          <w:numId w:val="7"/>
        </w:numPr>
        <w:ind w:left="709"/>
        <w:rPr>
          <w:lang w:val="en-US"/>
        </w:rPr>
      </w:pPr>
      <w:r w:rsidRPr="008B163E">
        <w:t>Economic</w:t>
      </w:r>
      <w:r>
        <w:rPr>
          <w:lang w:val="en-US"/>
        </w:rPr>
        <w:t>.</w:t>
      </w:r>
    </w:p>
    <w:p w14:paraId="6B539B75" w14:textId="5BD27858" w:rsidR="008B163E" w:rsidRDefault="008B163E" w:rsidP="008B163E">
      <w:pPr>
        <w:pStyle w:val="BodyText"/>
        <w:ind w:firstLine="0"/>
        <w:rPr>
          <w:lang w:val="en-US"/>
        </w:rPr>
      </w:pPr>
    </w:p>
    <w:p w14:paraId="38E2CDDD" w14:textId="4DE26660" w:rsidR="008B163E" w:rsidRDefault="008B163E" w:rsidP="002A01B2">
      <w:pPr>
        <w:pStyle w:val="BodyText"/>
        <w:rPr>
          <w:lang w:val="en-US"/>
        </w:rPr>
      </w:pPr>
      <w:r w:rsidRPr="008B163E">
        <w:rPr>
          <w:lang w:val="en-US"/>
        </w:rPr>
        <w:t>Based on the SMRs exclusionary, JAEC has selected 6 SMR techn</w:t>
      </w:r>
      <w:r>
        <w:rPr>
          <w:lang w:val="en-US"/>
        </w:rPr>
        <w:t xml:space="preserve">ologies for detailed </w:t>
      </w:r>
      <w:r w:rsidR="002A01B2">
        <w:rPr>
          <w:lang w:val="en-US"/>
        </w:rPr>
        <w:t>assessment</w:t>
      </w:r>
      <w:r>
        <w:rPr>
          <w:lang w:val="en-US"/>
        </w:rPr>
        <w:t>. Due to confidentiality, the reactor technologies will not be named in this paper.</w:t>
      </w:r>
    </w:p>
    <w:p w14:paraId="00EC1E7E" w14:textId="48525781" w:rsidR="00856965" w:rsidRDefault="00856965" w:rsidP="00856965">
      <w:pPr>
        <w:pStyle w:val="Heading4"/>
        <w:ind w:left="0"/>
      </w:pPr>
      <w:r>
        <w:t>Evaluation Matrix</w:t>
      </w:r>
      <w:r w:rsidR="00BB585C">
        <w:t xml:space="preserve"> (EM)</w:t>
      </w:r>
    </w:p>
    <w:p w14:paraId="7FD63ABE" w14:textId="4F74911D" w:rsidR="008066BA" w:rsidRDefault="00856965" w:rsidP="00995D0C">
      <w:pPr>
        <w:pStyle w:val="BodyText"/>
        <w:rPr>
          <w:lang w:val="en-US"/>
        </w:rPr>
      </w:pPr>
      <w:r w:rsidRPr="00856965">
        <w:rPr>
          <w:lang w:val="en-US"/>
        </w:rPr>
        <w:t>The six selec</w:t>
      </w:r>
      <w:r>
        <w:rPr>
          <w:lang w:val="en-US"/>
        </w:rPr>
        <w:t>ted SMRs were assessed using the EM</w:t>
      </w:r>
      <w:r w:rsidRPr="00856965">
        <w:rPr>
          <w:lang w:val="en-US"/>
        </w:rPr>
        <w:t xml:space="preserve"> to </w:t>
      </w:r>
      <w:r w:rsidR="0064771C" w:rsidRPr="0064771C">
        <w:rPr>
          <w:lang w:val="en-US"/>
        </w:rPr>
        <w:t>down-select</w:t>
      </w:r>
      <w:r w:rsidRPr="00856965">
        <w:rPr>
          <w:lang w:val="en-US"/>
        </w:rPr>
        <w:t xml:space="preserve"> to the top design. </w:t>
      </w:r>
      <w:r w:rsidR="002A01B2">
        <w:rPr>
          <w:lang w:val="en-US"/>
        </w:rPr>
        <w:t>JAEC consultants developed the original EM</w:t>
      </w:r>
      <w:r>
        <w:rPr>
          <w:lang w:val="en-US"/>
        </w:rPr>
        <w:t xml:space="preserve"> during the LR phase</w:t>
      </w:r>
      <w:r w:rsidRPr="00856965">
        <w:rPr>
          <w:lang w:val="en-US"/>
        </w:rPr>
        <w:t xml:space="preserve">. However, the original EM was revised by </w:t>
      </w:r>
      <w:r w:rsidR="0064771C" w:rsidRPr="0064771C">
        <w:rPr>
          <w:lang w:val="en-US"/>
        </w:rPr>
        <w:t xml:space="preserve">the </w:t>
      </w:r>
      <w:r w:rsidRPr="00856965">
        <w:rPr>
          <w:lang w:val="en-US"/>
        </w:rPr>
        <w:t>JAEC team for application to SMR technologies</w:t>
      </w:r>
      <w:r w:rsidR="00A323FC">
        <w:rPr>
          <w:lang w:val="en-US"/>
        </w:rPr>
        <w:t xml:space="preserve"> </w:t>
      </w:r>
      <w:r w:rsidR="00A323FC" w:rsidRPr="00A323FC">
        <w:rPr>
          <w:lang w:val="en-US"/>
        </w:rPr>
        <w:t>with Nuclear Reactor Technology Assessment for Near Term Deployment- NP-T-1.10 as a reference</w:t>
      </w:r>
      <w:r w:rsidRPr="00856965">
        <w:rPr>
          <w:lang w:val="en-US"/>
        </w:rPr>
        <w:t xml:space="preserve">. This resulted in </w:t>
      </w:r>
      <w:r>
        <w:rPr>
          <w:lang w:val="en-US"/>
        </w:rPr>
        <w:t>109</w:t>
      </w:r>
      <w:r w:rsidRPr="00856965">
        <w:rPr>
          <w:lang w:val="en-US"/>
        </w:rPr>
        <w:t xml:space="preserve"> i</w:t>
      </w:r>
      <w:r w:rsidR="00254372">
        <w:rPr>
          <w:lang w:val="en-US"/>
        </w:rPr>
        <w:t>tems divid</w:t>
      </w:r>
      <w:r w:rsidR="00995D0C">
        <w:rPr>
          <w:lang w:val="en-US"/>
        </w:rPr>
        <w:t>ed into 10 categories as follows:</w:t>
      </w:r>
    </w:p>
    <w:p w14:paraId="69CED7A4" w14:textId="29F6B021" w:rsidR="00CB384A" w:rsidRPr="00254372" w:rsidRDefault="00CB384A" w:rsidP="00503763">
      <w:pPr>
        <w:pStyle w:val="BodyText"/>
        <w:numPr>
          <w:ilvl w:val="0"/>
          <w:numId w:val="7"/>
        </w:numPr>
        <w:ind w:left="709"/>
        <w:rPr>
          <w:lang w:val="en-US"/>
        </w:rPr>
      </w:pPr>
      <w:r w:rsidRPr="00254372">
        <w:lastRenderedPageBreak/>
        <w:t>General</w:t>
      </w:r>
      <w:r w:rsidR="0064771C">
        <w:rPr>
          <w:lang w:val="en-US"/>
        </w:rPr>
        <w:t>.</w:t>
      </w:r>
    </w:p>
    <w:p w14:paraId="3F33B141" w14:textId="4B22334D" w:rsidR="00CB384A" w:rsidRPr="00254372" w:rsidRDefault="00CB384A" w:rsidP="00503763">
      <w:pPr>
        <w:pStyle w:val="BodyText"/>
        <w:numPr>
          <w:ilvl w:val="3"/>
          <w:numId w:val="7"/>
        </w:numPr>
        <w:ind w:left="1170" w:hanging="461"/>
        <w:rPr>
          <w:lang w:val="en-US"/>
        </w:rPr>
      </w:pPr>
      <w:r w:rsidRPr="00254372">
        <w:t>meeting</w:t>
      </w:r>
      <w:r w:rsidRPr="00254372">
        <w:rPr>
          <w:lang w:val="en-US"/>
        </w:rPr>
        <w:t xml:space="preserve"> current international license-ability </w:t>
      </w:r>
      <w:r w:rsidR="00254372" w:rsidRPr="00254372">
        <w:rPr>
          <w:lang w:val="en-US"/>
        </w:rPr>
        <w:t>requirements, areas</w:t>
      </w:r>
      <w:r w:rsidRPr="00254372">
        <w:rPr>
          <w:lang w:val="en-US"/>
        </w:rPr>
        <w:t xml:space="preserve"> of risks, vendor and owner responsibilities, etc.</w:t>
      </w:r>
    </w:p>
    <w:p w14:paraId="3D23DC10" w14:textId="40330ED8" w:rsidR="00CB384A" w:rsidRPr="00254372" w:rsidRDefault="00CB384A" w:rsidP="00503763">
      <w:pPr>
        <w:pStyle w:val="BodyText"/>
        <w:numPr>
          <w:ilvl w:val="0"/>
          <w:numId w:val="7"/>
        </w:numPr>
        <w:ind w:left="709"/>
        <w:rPr>
          <w:lang w:val="en-US"/>
        </w:rPr>
      </w:pPr>
      <w:r w:rsidRPr="00254372">
        <w:t>Design</w:t>
      </w:r>
      <w:r w:rsidR="0064771C">
        <w:rPr>
          <w:lang w:val="en-US"/>
        </w:rPr>
        <w:t>.</w:t>
      </w:r>
    </w:p>
    <w:p w14:paraId="23BE164D" w14:textId="79446191" w:rsidR="00CB384A" w:rsidRPr="00254372" w:rsidRDefault="00CB384A" w:rsidP="00503763">
      <w:pPr>
        <w:pStyle w:val="BodyText"/>
        <w:numPr>
          <w:ilvl w:val="3"/>
          <w:numId w:val="7"/>
        </w:numPr>
        <w:ind w:left="1170" w:hanging="461"/>
        <w:rPr>
          <w:lang w:val="en-US"/>
        </w:rPr>
      </w:pPr>
      <w:r w:rsidRPr="00254372">
        <w:rPr>
          <w:lang w:val="en-US"/>
        </w:rPr>
        <w:t>lifetime, efficiency, design adaptation to Jordan’s environment and site characteristics, coolin</w:t>
      </w:r>
      <w:r w:rsidR="00254372">
        <w:rPr>
          <w:lang w:val="en-US"/>
        </w:rPr>
        <w:t>g, footprint, plant layout, etc.</w:t>
      </w:r>
    </w:p>
    <w:p w14:paraId="4E6A3C32" w14:textId="5D78FC06" w:rsidR="00CB384A" w:rsidRPr="00254372" w:rsidRDefault="00CB384A" w:rsidP="00503763">
      <w:pPr>
        <w:pStyle w:val="BodyText"/>
        <w:numPr>
          <w:ilvl w:val="0"/>
          <w:numId w:val="7"/>
        </w:numPr>
        <w:ind w:left="709"/>
      </w:pPr>
      <w:r w:rsidRPr="00254372">
        <w:t>Operation and maintenance</w:t>
      </w:r>
      <w:r w:rsidR="0064771C">
        <w:t>.</w:t>
      </w:r>
    </w:p>
    <w:p w14:paraId="5C943B28" w14:textId="3C14CBDA" w:rsidR="00CB384A" w:rsidRPr="00254372" w:rsidRDefault="00F27FAD" w:rsidP="00503763">
      <w:pPr>
        <w:pStyle w:val="BodyText"/>
        <w:numPr>
          <w:ilvl w:val="3"/>
          <w:numId w:val="7"/>
        </w:numPr>
        <w:ind w:left="1170" w:hanging="461"/>
      </w:pPr>
      <w:r w:rsidRPr="00F27FAD">
        <w:t>refueling</w:t>
      </w:r>
      <w:r w:rsidR="00CB384A" w:rsidRPr="00254372">
        <w:t xml:space="preserve"> outages, regular maintenance, staffing for</w:t>
      </w:r>
      <w:r w:rsidR="00254372">
        <w:t xml:space="preserve"> operation and maintenance, etc.;</w:t>
      </w:r>
    </w:p>
    <w:p w14:paraId="3DAE4413" w14:textId="555855C3" w:rsidR="00CB384A" w:rsidRPr="00254372" w:rsidRDefault="00CB384A" w:rsidP="00503763">
      <w:pPr>
        <w:pStyle w:val="BodyText"/>
        <w:numPr>
          <w:ilvl w:val="3"/>
          <w:numId w:val="7"/>
        </w:numPr>
        <w:ind w:left="1170" w:hanging="461"/>
        <w:rPr>
          <w:lang w:val="en-US"/>
        </w:rPr>
      </w:pPr>
      <w:r w:rsidRPr="00254372">
        <w:t>No experience</w:t>
      </w:r>
      <w:r w:rsidRPr="00F27FAD">
        <w:t xml:space="preserve">; maintenance and staffing </w:t>
      </w:r>
      <w:r w:rsidR="00F27FAD" w:rsidRPr="00F27FAD">
        <w:t xml:space="preserve">are </w:t>
      </w:r>
      <w:r w:rsidRPr="00F27FAD">
        <w:t>still under development</w:t>
      </w:r>
      <w:r w:rsidR="0064771C" w:rsidRPr="00F27FAD">
        <w:t xml:space="preserve"> (Set</w:t>
      </w:r>
      <w:r w:rsidR="00254372" w:rsidRPr="00F27FAD">
        <w:t>back</w:t>
      </w:r>
      <w:r w:rsidR="00254372">
        <w:rPr>
          <w:lang w:val="en-US"/>
        </w:rPr>
        <w:t>).</w:t>
      </w:r>
    </w:p>
    <w:p w14:paraId="61765EDF" w14:textId="1656D59B" w:rsidR="00CB384A" w:rsidRPr="00254372" w:rsidRDefault="00254372" w:rsidP="00503763">
      <w:pPr>
        <w:pStyle w:val="BodyText"/>
        <w:numPr>
          <w:ilvl w:val="0"/>
          <w:numId w:val="7"/>
        </w:numPr>
        <w:ind w:left="709"/>
        <w:rPr>
          <w:lang w:val="en-US"/>
        </w:rPr>
      </w:pPr>
      <w:r w:rsidRPr="00254372">
        <w:t>Construction</w:t>
      </w:r>
      <w:r w:rsidR="0064771C">
        <w:rPr>
          <w:lang w:val="en-US"/>
        </w:rPr>
        <w:t>.</w:t>
      </w:r>
    </w:p>
    <w:p w14:paraId="15228647" w14:textId="12E12804" w:rsidR="00CB384A" w:rsidRPr="00254372" w:rsidRDefault="00CB384A" w:rsidP="00503763">
      <w:pPr>
        <w:pStyle w:val="BodyText"/>
        <w:numPr>
          <w:ilvl w:val="3"/>
          <w:numId w:val="7"/>
        </w:numPr>
        <w:ind w:left="1170" w:hanging="461"/>
      </w:pPr>
      <w:r w:rsidRPr="00254372">
        <w:t xml:space="preserve">Construction period, the approach of modular construction and assembly, </w:t>
      </w:r>
      <w:r w:rsidR="00254372" w:rsidRPr="00254372">
        <w:t xml:space="preserve">manufacturing </w:t>
      </w:r>
      <w:r w:rsidR="00254372">
        <w:t>capabilities</w:t>
      </w:r>
      <w:r w:rsidRPr="00254372">
        <w:t>, transportation of heavy equipment, etc…</w:t>
      </w:r>
      <w:r w:rsidR="00254372">
        <w:t>;</w:t>
      </w:r>
    </w:p>
    <w:p w14:paraId="68860F88" w14:textId="00FAFFF9" w:rsidR="00CB384A" w:rsidRPr="00254372" w:rsidRDefault="00CB384A" w:rsidP="00503763">
      <w:pPr>
        <w:pStyle w:val="BodyText"/>
        <w:numPr>
          <w:ilvl w:val="3"/>
          <w:numId w:val="7"/>
        </w:numPr>
        <w:ind w:left="709" w:firstLine="0"/>
        <w:rPr>
          <w:lang w:val="en-US"/>
        </w:rPr>
      </w:pPr>
      <w:r w:rsidRPr="00254372">
        <w:t>No experience</w:t>
      </w:r>
      <w:r w:rsidRPr="00254372">
        <w:rPr>
          <w:lang w:val="en-US"/>
        </w:rPr>
        <w:t xml:space="preserve"> or reference plant (at the time)</w:t>
      </w:r>
      <w:r w:rsidR="00254372">
        <w:rPr>
          <w:lang w:val="en-US"/>
        </w:rPr>
        <w:t>.</w:t>
      </w:r>
    </w:p>
    <w:p w14:paraId="7A0EC804" w14:textId="5DF83F94" w:rsidR="00CB384A" w:rsidRPr="00254372" w:rsidRDefault="00CB384A" w:rsidP="00503763">
      <w:pPr>
        <w:pStyle w:val="BodyText"/>
        <w:numPr>
          <w:ilvl w:val="0"/>
          <w:numId w:val="7"/>
        </w:numPr>
        <w:ind w:left="709"/>
        <w:rPr>
          <w:lang w:val="en-US"/>
        </w:rPr>
      </w:pPr>
      <w:r w:rsidRPr="00254372">
        <w:t>Reactor</w:t>
      </w:r>
      <w:r w:rsidRPr="00254372">
        <w:rPr>
          <w:lang w:val="en-US"/>
        </w:rPr>
        <w:t xml:space="preserve"> performance</w:t>
      </w:r>
      <w:r w:rsidR="0064771C">
        <w:rPr>
          <w:lang w:val="en-US"/>
        </w:rPr>
        <w:t>.</w:t>
      </w:r>
    </w:p>
    <w:p w14:paraId="0F7DBA43" w14:textId="1D9299E9" w:rsidR="00254372" w:rsidRPr="00254372" w:rsidRDefault="00CB384A" w:rsidP="00503763">
      <w:pPr>
        <w:pStyle w:val="BodyText"/>
        <w:numPr>
          <w:ilvl w:val="3"/>
          <w:numId w:val="7"/>
        </w:numPr>
        <w:ind w:left="709" w:firstLine="0"/>
        <w:rPr>
          <w:lang w:val="en-US"/>
        </w:rPr>
      </w:pPr>
      <w:r w:rsidRPr="00254372">
        <w:rPr>
          <w:lang w:val="en-US"/>
        </w:rPr>
        <w:t xml:space="preserve">Availability, </w:t>
      </w:r>
      <w:r w:rsidR="00254372" w:rsidRPr="00254372">
        <w:t>efficiency</w:t>
      </w:r>
      <w:r w:rsidR="00254372" w:rsidRPr="00254372">
        <w:rPr>
          <w:lang w:val="en-US"/>
        </w:rPr>
        <w:t>, load</w:t>
      </w:r>
      <w:r w:rsidR="00254372">
        <w:rPr>
          <w:lang w:val="en-US"/>
        </w:rPr>
        <w:t xml:space="preserve"> following capability, etc.</w:t>
      </w:r>
    </w:p>
    <w:p w14:paraId="1978D520" w14:textId="0A4666B0" w:rsidR="00254372" w:rsidRPr="00254372" w:rsidRDefault="00254372" w:rsidP="00503763">
      <w:pPr>
        <w:pStyle w:val="BodyText"/>
        <w:numPr>
          <w:ilvl w:val="0"/>
          <w:numId w:val="7"/>
        </w:numPr>
        <w:ind w:left="709"/>
        <w:rPr>
          <w:lang w:val="en-US"/>
        </w:rPr>
      </w:pPr>
      <w:r w:rsidRPr="00254372">
        <w:t>Nuclear</w:t>
      </w:r>
      <w:r>
        <w:rPr>
          <w:lang w:val="en-US"/>
        </w:rPr>
        <w:t xml:space="preserve"> Safety</w:t>
      </w:r>
      <w:r w:rsidR="0064771C">
        <w:rPr>
          <w:lang w:val="en-US"/>
        </w:rPr>
        <w:t>.</w:t>
      </w:r>
    </w:p>
    <w:p w14:paraId="4B94F501" w14:textId="3884AFBE" w:rsidR="00254372" w:rsidRPr="00254372" w:rsidRDefault="00254372" w:rsidP="00503763">
      <w:pPr>
        <w:pStyle w:val="BodyText"/>
        <w:numPr>
          <w:ilvl w:val="3"/>
          <w:numId w:val="7"/>
        </w:numPr>
        <w:ind w:left="1170" w:hanging="461"/>
      </w:pPr>
      <w:proofErr w:type="spellStart"/>
      <w:r w:rsidRPr="00254372">
        <w:t>Defense</w:t>
      </w:r>
      <w:proofErr w:type="spellEnd"/>
      <w:r w:rsidRPr="00254372">
        <w:t xml:space="preserve"> in depth, operational safety, internal and external hazards, passive safety features, grace period, CDF, LERF, etc…</w:t>
      </w:r>
      <w:r>
        <w:t>;</w:t>
      </w:r>
    </w:p>
    <w:p w14:paraId="2C881309" w14:textId="3BACDBBA" w:rsidR="00254372" w:rsidRPr="00254372" w:rsidRDefault="00254372" w:rsidP="00503763">
      <w:pPr>
        <w:pStyle w:val="BodyText"/>
        <w:numPr>
          <w:ilvl w:val="3"/>
          <w:numId w:val="7"/>
        </w:numPr>
        <w:ind w:left="709" w:firstLine="0"/>
      </w:pPr>
      <w:r w:rsidRPr="00254372">
        <w:t>Experience with Non-water-cooled reactors</w:t>
      </w:r>
      <w:r>
        <w:t xml:space="preserve"> </w:t>
      </w:r>
      <w:r w:rsidR="0064771C">
        <w:rPr>
          <w:lang w:val="en-US"/>
        </w:rPr>
        <w:t>(Set</w:t>
      </w:r>
      <w:r>
        <w:rPr>
          <w:lang w:val="en-US"/>
        </w:rPr>
        <w:t>back);</w:t>
      </w:r>
    </w:p>
    <w:p w14:paraId="7B4F1AC8" w14:textId="4D21AF0B" w:rsidR="00254372" w:rsidRPr="00254372" w:rsidRDefault="00254372" w:rsidP="00503763">
      <w:pPr>
        <w:pStyle w:val="BodyText"/>
        <w:numPr>
          <w:ilvl w:val="3"/>
          <w:numId w:val="7"/>
        </w:numPr>
        <w:ind w:left="709" w:firstLine="0"/>
      </w:pPr>
      <w:r w:rsidRPr="00254372">
        <w:t>Safety Classifications</w:t>
      </w:r>
      <w:r>
        <w:t xml:space="preserve"> </w:t>
      </w:r>
      <w:r w:rsidR="0064771C">
        <w:rPr>
          <w:lang w:val="en-US"/>
        </w:rPr>
        <w:t>(Set</w:t>
      </w:r>
      <w:r>
        <w:rPr>
          <w:lang w:val="en-US"/>
        </w:rPr>
        <w:t>back).</w:t>
      </w:r>
    </w:p>
    <w:p w14:paraId="24C354AF" w14:textId="7A770191" w:rsidR="00254372" w:rsidRPr="00254372" w:rsidRDefault="00254372" w:rsidP="00503763">
      <w:pPr>
        <w:pStyle w:val="BodyText"/>
        <w:numPr>
          <w:ilvl w:val="0"/>
          <w:numId w:val="7"/>
        </w:numPr>
        <w:ind w:left="709"/>
        <w:rPr>
          <w:lang w:val="en-US"/>
        </w:rPr>
      </w:pPr>
      <w:r w:rsidRPr="00254372">
        <w:rPr>
          <w:lang w:val="en-US"/>
        </w:rPr>
        <w:t xml:space="preserve">Fuel </w:t>
      </w:r>
      <w:r w:rsidRPr="00254372">
        <w:t>cycle</w:t>
      </w:r>
      <w:r w:rsidRPr="00254372">
        <w:rPr>
          <w:lang w:val="en-US"/>
        </w:rPr>
        <w:t>, waste ma</w:t>
      </w:r>
      <w:r w:rsidR="0064771C">
        <w:rPr>
          <w:lang w:val="en-US"/>
        </w:rPr>
        <w:t>nagement, and non-proliferation.</w:t>
      </w:r>
    </w:p>
    <w:p w14:paraId="749471F2" w14:textId="07510D07" w:rsidR="00254372" w:rsidRPr="00254372" w:rsidRDefault="00254372" w:rsidP="00503763">
      <w:pPr>
        <w:pStyle w:val="BodyText"/>
        <w:numPr>
          <w:ilvl w:val="3"/>
          <w:numId w:val="7"/>
        </w:numPr>
        <w:ind w:left="1170" w:hanging="461"/>
      </w:pPr>
      <w:r w:rsidRPr="00254372">
        <w:t>Nuclear Fuel design and safety, SNF pool design and capacity, fuel handling system to deal with failed fuel elements, experience in fuel supply, experience in waste management and reduction of waste, etc…</w:t>
      </w:r>
      <w:r>
        <w:t>;</w:t>
      </w:r>
    </w:p>
    <w:p w14:paraId="7DE44FD7" w14:textId="5127846F" w:rsidR="00254372" w:rsidRPr="00254372" w:rsidRDefault="00254372" w:rsidP="00503763">
      <w:pPr>
        <w:pStyle w:val="BodyText"/>
        <w:numPr>
          <w:ilvl w:val="3"/>
          <w:numId w:val="7"/>
        </w:numPr>
        <w:ind w:left="709" w:firstLine="0"/>
      </w:pPr>
      <w:r w:rsidRPr="00254372">
        <w:t>Sustainable Fuel Supply</w:t>
      </w:r>
      <w:r>
        <w:t xml:space="preserve"> </w:t>
      </w:r>
      <w:r w:rsidR="0064771C">
        <w:rPr>
          <w:lang w:val="en-US"/>
        </w:rPr>
        <w:t>(Set</w:t>
      </w:r>
      <w:r>
        <w:rPr>
          <w:lang w:val="en-US"/>
        </w:rPr>
        <w:t>back)</w:t>
      </w:r>
      <w:r>
        <w:t>;</w:t>
      </w:r>
    </w:p>
    <w:p w14:paraId="3AD7DFEB" w14:textId="2C3E88EE" w:rsidR="00254372" w:rsidRPr="00254372" w:rsidRDefault="00254372" w:rsidP="00503763">
      <w:pPr>
        <w:pStyle w:val="BodyText"/>
        <w:numPr>
          <w:ilvl w:val="3"/>
          <w:numId w:val="7"/>
        </w:numPr>
        <w:ind w:left="709" w:firstLine="0"/>
        <w:rPr>
          <w:lang w:val="en-US"/>
        </w:rPr>
      </w:pPr>
      <w:r w:rsidRPr="00254372">
        <w:t>Manufacturing experience</w:t>
      </w:r>
      <w:r>
        <w:t xml:space="preserve"> </w:t>
      </w:r>
      <w:r w:rsidR="0064771C">
        <w:rPr>
          <w:lang w:val="en-US"/>
        </w:rPr>
        <w:t>(Set</w:t>
      </w:r>
      <w:r>
        <w:rPr>
          <w:lang w:val="en-US"/>
        </w:rPr>
        <w:t>back)</w:t>
      </w:r>
      <w:r>
        <w:t>.</w:t>
      </w:r>
    </w:p>
    <w:p w14:paraId="06B61B1B" w14:textId="19A1E9B0" w:rsidR="00254372" w:rsidRPr="00254372" w:rsidRDefault="00254372" w:rsidP="00503763">
      <w:pPr>
        <w:pStyle w:val="BodyText"/>
        <w:numPr>
          <w:ilvl w:val="0"/>
          <w:numId w:val="7"/>
        </w:numPr>
        <w:ind w:left="709"/>
        <w:rPr>
          <w:lang w:val="en-US"/>
        </w:rPr>
      </w:pPr>
      <w:r w:rsidRPr="00254372">
        <w:rPr>
          <w:lang w:val="en-US"/>
        </w:rPr>
        <w:t>Licensing and operating experience</w:t>
      </w:r>
      <w:r w:rsidR="0064771C">
        <w:rPr>
          <w:lang w:val="en-US"/>
        </w:rPr>
        <w:t>.</w:t>
      </w:r>
    </w:p>
    <w:p w14:paraId="133AA165" w14:textId="0FA6145C" w:rsidR="00254372" w:rsidRPr="00254372" w:rsidRDefault="00254372" w:rsidP="00503763">
      <w:pPr>
        <w:pStyle w:val="BodyText"/>
        <w:numPr>
          <w:ilvl w:val="3"/>
          <w:numId w:val="7"/>
        </w:numPr>
        <w:ind w:left="1170" w:hanging="461"/>
        <w:rPr>
          <w:lang w:val="en-US"/>
        </w:rPr>
      </w:pPr>
      <w:r w:rsidRPr="00254372">
        <w:t>proven</w:t>
      </w:r>
      <w:r w:rsidRPr="00254372">
        <w:rPr>
          <w:lang w:val="en-US"/>
        </w:rPr>
        <w:t xml:space="preserve"> design, compliance with IAEA safety standards, reference design, etc…</w:t>
      </w:r>
      <w:r>
        <w:rPr>
          <w:lang w:val="en-US"/>
        </w:rPr>
        <w:t>.</w:t>
      </w:r>
    </w:p>
    <w:p w14:paraId="4B4E5737" w14:textId="191F75E7" w:rsidR="00254372" w:rsidRPr="00254372" w:rsidRDefault="00254372" w:rsidP="00503763">
      <w:pPr>
        <w:pStyle w:val="BodyText"/>
        <w:numPr>
          <w:ilvl w:val="0"/>
          <w:numId w:val="7"/>
        </w:numPr>
        <w:ind w:left="709"/>
        <w:rPr>
          <w:lang w:val="en-US"/>
        </w:rPr>
      </w:pPr>
      <w:r w:rsidRPr="00254372">
        <w:rPr>
          <w:lang w:val="en-US"/>
        </w:rPr>
        <w:t>Vendor long-term commitment</w:t>
      </w:r>
      <w:r w:rsidR="0064771C">
        <w:rPr>
          <w:lang w:val="en-US"/>
        </w:rPr>
        <w:t>.</w:t>
      </w:r>
    </w:p>
    <w:p w14:paraId="22C640D1" w14:textId="78AAF02C" w:rsidR="00254372" w:rsidRDefault="00254372" w:rsidP="00503763">
      <w:pPr>
        <w:pStyle w:val="BodyText"/>
        <w:numPr>
          <w:ilvl w:val="3"/>
          <w:numId w:val="7"/>
        </w:numPr>
        <w:ind w:left="1170" w:hanging="461"/>
        <w:rPr>
          <w:lang w:val="en-US"/>
        </w:rPr>
      </w:pPr>
      <w:r w:rsidRPr="00254372">
        <w:rPr>
          <w:lang w:val="en-US"/>
        </w:rPr>
        <w:t xml:space="preserve">Some </w:t>
      </w:r>
      <w:r w:rsidRPr="00254372">
        <w:t>vendors</w:t>
      </w:r>
      <w:r w:rsidRPr="00254372">
        <w:rPr>
          <w:lang w:val="en-US"/>
        </w:rPr>
        <w:t xml:space="preserve"> were small newcomer companies that couldn’t prove long-term commitment</w:t>
      </w:r>
      <w:r>
        <w:rPr>
          <w:lang w:val="en-US"/>
        </w:rPr>
        <w:t xml:space="preserve"> (</w:t>
      </w:r>
      <w:r w:rsidR="0064771C">
        <w:rPr>
          <w:lang w:val="en-US"/>
        </w:rPr>
        <w:t>Set</w:t>
      </w:r>
      <w:r>
        <w:rPr>
          <w:lang w:val="en-US"/>
        </w:rPr>
        <w:t>back).</w:t>
      </w:r>
    </w:p>
    <w:p w14:paraId="53A56425" w14:textId="0FEDC4CB" w:rsidR="00254372" w:rsidRDefault="00254372" w:rsidP="0064771C">
      <w:pPr>
        <w:pStyle w:val="BodyText"/>
        <w:ind w:firstLine="0"/>
        <w:rPr>
          <w:lang w:val="en-US"/>
        </w:rPr>
      </w:pPr>
    </w:p>
    <w:p w14:paraId="15D3E6C1" w14:textId="237D9531" w:rsidR="0064771C" w:rsidRDefault="00254372" w:rsidP="0064771C">
      <w:pPr>
        <w:pStyle w:val="BodyText"/>
        <w:rPr>
          <w:lang w:val="en-US"/>
        </w:rPr>
      </w:pPr>
      <w:r w:rsidRPr="00254372">
        <w:rPr>
          <w:lang w:val="en-US"/>
        </w:rPr>
        <w:t>Some reactors either did not have the information ready (design phase), or the information requested did not apply to the technology such as:</w:t>
      </w:r>
    </w:p>
    <w:p w14:paraId="23D134F8" w14:textId="77777777" w:rsidR="0064771C" w:rsidRPr="00254372" w:rsidRDefault="0064771C" w:rsidP="0064771C">
      <w:pPr>
        <w:pStyle w:val="BodyText"/>
        <w:rPr>
          <w:lang w:val="en-US"/>
        </w:rPr>
      </w:pPr>
    </w:p>
    <w:p w14:paraId="6F4D0551" w14:textId="137BE755" w:rsidR="00254372" w:rsidRPr="00254372" w:rsidRDefault="00254372" w:rsidP="00503763">
      <w:pPr>
        <w:pStyle w:val="BodyText"/>
        <w:numPr>
          <w:ilvl w:val="0"/>
          <w:numId w:val="7"/>
        </w:numPr>
        <w:ind w:left="709"/>
        <w:rPr>
          <w:lang w:val="en-US"/>
        </w:rPr>
      </w:pPr>
      <w:r w:rsidRPr="00254372">
        <w:rPr>
          <w:lang w:val="en-US"/>
        </w:rPr>
        <w:t>Safety Systems: a vendor claimed that there was no need for safety systems and that a system was just classif</w:t>
      </w:r>
      <w:r w:rsidR="0064771C">
        <w:rPr>
          <w:lang w:val="en-US"/>
        </w:rPr>
        <w:t>ied as such for licensing needs;</w:t>
      </w:r>
    </w:p>
    <w:p w14:paraId="78D1E258" w14:textId="3DB5A274" w:rsidR="00254372" w:rsidRPr="00254372" w:rsidRDefault="00254372" w:rsidP="00503763">
      <w:pPr>
        <w:pStyle w:val="BodyText"/>
        <w:numPr>
          <w:ilvl w:val="0"/>
          <w:numId w:val="7"/>
        </w:numPr>
        <w:ind w:left="709"/>
        <w:rPr>
          <w:lang w:val="en-US"/>
        </w:rPr>
      </w:pPr>
      <w:r w:rsidRPr="00254372">
        <w:rPr>
          <w:lang w:val="en-US"/>
        </w:rPr>
        <w:t>Licensing: almost all reactors were not licensed (at the time); didn’t apply for safety reviews by any regulatory bodies, or</w:t>
      </w:r>
      <w:r w:rsidR="0064771C">
        <w:rPr>
          <w:lang w:val="en-US"/>
        </w:rPr>
        <w:t xml:space="preserve"> were still in the design phase;</w:t>
      </w:r>
    </w:p>
    <w:p w14:paraId="4FAB3FF5" w14:textId="061A159B" w:rsidR="00856965" w:rsidRDefault="00254372" w:rsidP="00503763">
      <w:pPr>
        <w:pStyle w:val="BodyText"/>
        <w:numPr>
          <w:ilvl w:val="0"/>
          <w:numId w:val="7"/>
        </w:numPr>
        <w:ind w:left="709"/>
        <w:rPr>
          <w:lang w:val="en-US"/>
        </w:rPr>
      </w:pPr>
      <w:r w:rsidRPr="00254372">
        <w:rPr>
          <w:lang w:val="en-US"/>
        </w:rPr>
        <w:t>Confidentiality</w:t>
      </w:r>
      <w:r w:rsidR="0064771C">
        <w:rPr>
          <w:lang w:val="en-US"/>
        </w:rPr>
        <w:t>.</w:t>
      </w:r>
    </w:p>
    <w:p w14:paraId="0B831EB3" w14:textId="34127ECA" w:rsidR="0064771C" w:rsidRDefault="0064771C" w:rsidP="0064771C">
      <w:pPr>
        <w:pStyle w:val="BodyText"/>
        <w:ind w:firstLine="0"/>
        <w:rPr>
          <w:lang w:val="en-US"/>
        </w:rPr>
      </w:pPr>
    </w:p>
    <w:p w14:paraId="1EC872EF" w14:textId="55C81357" w:rsidR="00F27FAD" w:rsidRDefault="0064771C" w:rsidP="00B547C6">
      <w:pPr>
        <w:pStyle w:val="BodyText"/>
      </w:pPr>
      <w:r w:rsidRPr="0064771C">
        <w:t xml:space="preserve">This </w:t>
      </w:r>
      <w:r w:rsidRPr="0064771C">
        <w:rPr>
          <w:lang w:val="en-US"/>
        </w:rPr>
        <w:t>subsequently</w:t>
      </w:r>
      <w:r w:rsidRPr="0064771C">
        <w:t xml:space="preserve"> affected both the assessment of the technology and the progress of the assessment process overall for the decision-making</w:t>
      </w:r>
      <w:r>
        <w:t xml:space="preserve">, this was fixed by </w:t>
      </w:r>
      <w:r w:rsidR="00F27FAD">
        <w:t>periodically</w:t>
      </w:r>
      <w:r>
        <w:t xml:space="preserve"> asking the vendors </w:t>
      </w:r>
      <w:r w:rsidR="00F27FAD" w:rsidRPr="00F27FAD">
        <w:t>for</w:t>
      </w:r>
      <w:r>
        <w:t xml:space="preserve"> progress and design updates </w:t>
      </w:r>
      <w:r w:rsidR="00F27FAD" w:rsidRPr="00F27FAD">
        <w:t>to</w:t>
      </w:r>
      <w:r>
        <w:t xml:space="preserve"> rectify the assessment.</w:t>
      </w:r>
      <w:r w:rsidR="00F27FAD">
        <w:t xml:space="preserve"> In addition</w:t>
      </w:r>
      <w:r w:rsidR="00F27FAD" w:rsidRPr="00F27FAD">
        <w:t>,</w:t>
      </w:r>
      <w:r w:rsidR="00F27FAD">
        <w:t xml:space="preserve"> there were challenges related to the nature of SMRs as shown in </w:t>
      </w:r>
      <w:r w:rsidR="00B547C6">
        <w:fldChar w:fldCharType="begin"/>
      </w:r>
      <w:r w:rsidR="00B547C6">
        <w:instrText xml:space="preserve"> REF _Ref166498558 \h </w:instrText>
      </w:r>
      <w:r w:rsidR="00B547C6">
        <w:fldChar w:fldCharType="separate"/>
      </w:r>
      <w:r w:rsidR="00B547C6" w:rsidRPr="00D1409D">
        <w:rPr>
          <w:szCs w:val="22"/>
        </w:rPr>
        <w:t xml:space="preserve">TABLE </w:t>
      </w:r>
      <w:r w:rsidR="00B547C6">
        <w:rPr>
          <w:noProof/>
          <w:szCs w:val="22"/>
        </w:rPr>
        <w:t>2</w:t>
      </w:r>
      <w:r w:rsidR="00B547C6">
        <w:fldChar w:fldCharType="end"/>
      </w:r>
      <w:r w:rsidR="00F27FAD">
        <w:t>:</w:t>
      </w:r>
    </w:p>
    <w:p w14:paraId="712810B7" w14:textId="464F8F23" w:rsidR="00D1409D" w:rsidRDefault="00D1409D" w:rsidP="00995D0C">
      <w:pPr>
        <w:pStyle w:val="BodyText"/>
        <w:ind w:firstLine="0"/>
      </w:pPr>
    </w:p>
    <w:p w14:paraId="52FEA4F8" w14:textId="0F4C0C3D" w:rsidR="00D1409D" w:rsidRPr="00D1409D" w:rsidRDefault="00D1409D" w:rsidP="00BB585C">
      <w:pPr>
        <w:pStyle w:val="Caption"/>
        <w:keepNext/>
        <w:rPr>
          <w:sz w:val="20"/>
          <w:szCs w:val="22"/>
        </w:rPr>
      </w:pPr>
      <w:bookmarkStart w:id="2" w:name="_Ref166498558"/>
      <w:r w:rsidRPr="00D1409D">
        <w:rPr>
          <w:sz w:val="20"/>
          <w:szCs w:val="22"/>
        </w:rPr>
        <w:t xml:space="preserve">TABLE </w:t>
      </w:r>
      <w:r w:rsidRPr="00D1409D">
        <w:rPr>
          <w:sz w:val="20"/>
          <w:szCs w:val="22"/>
        </w:rPr>
        <w:fldChar w:fldCharType="begin"/>
      </w:r>
      <w:r w:rsidRPr="00D1409D">
        <w:rPr>
          <w:sz w:val="20"/>
          <w:szCs w:val="22"/>
        </w:rPr>
        <w:instrText xml:space="preserve"> SEQ TABLE \* ARABIC </w:instrText>
      </w:r>
      <w:r w:rsidRPr="00D1409D">
        <w:rPr>
          <w:sz w:val="20"/>
          <w:szCs w:val="22"/>
        </w:rPr>
        <w:fldChar w:fldCharType="separate"/>
      </w:r>
      <w:r w:rsidR="00CA3154">
        <w:rPr>
          <w:noProof/>
          <w:sz w:val="20"/>
          <w:szCs w:val="22"/>
        </w:rPr>
        <w:t>2</w:t>
      </w:r>
      <w:r w:rsidRPr="00D1409D">
        <w:rPr>
          <w:sz w:val="20"/>
          <w:szCs w:val="22"/>
        </w:rPr>
        <w:fldChar w:fldCharType="end"/>
      </w:r>
      <w:bookmarkEnd w:id="2"/>
      <w:r w:rsidRPr="00D1409D">
        <w:rPr>
          <w:sz w:val="20"/>
          <w:szCs w:val="22"/>
        </w:rPr>
        <w:t xml:space="preserve">. SMR TECHNOLOGY </w:t>
      </w:r>
      <w:r w:rsidR="00BB585C" w:rsidRPr="00BB585C">
        <w:rPr>
          <w:sz w:val="20"/>
          <w:szCs w:val="22"/>
        </w:rPr>
        <w:t>RELATED</w:t>
      </w:r>
      <w:r w:rsidRPr="00D1409D">
        <w:rPr>
          <w:sz w:val="20"/>
          <w:szCs w:val="22"/>
        </w:rPr>
        <w:t xml:space="preserve"> CHALLENGES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20" w:firstRow="1" w:lastRow="0" w:firstColumn="0" w:lastColumn="0" w:noHBand="0" w:noVBand="1"/>
      </w:tblPr>
      <w:tblGrid>
        <w:gridCol w:w="1530"/>
        <w:gridCol w:w="7200"/>
      </w:tblGrid>
      <w:tr w:rsidR="00A730AF" w:rsidRPr="006E0ED7" w14:paraId="0B44709B" w14:textId="77777777" w:rsidTr="00995D0C">
        <w:trPr>
          <w:trHeight w:val="432"/>
          <w:jc w:val="center"/>
        </w:trPr>
        <w:tc>
          <w:tcPr>
            <w:tcW w:w="1530" w:type="dxa"/>
            <w:tcBorders>
              <w:top w:val="single" w:sz="4" w:space="0" w:color="auto"/>
              <w:bottom w:val="single" w:sz="4" w:space="0" w:color="auto"/>
            </w:tcBorders>
            <w:hideMark/>
          </w:tcPr>
          <w:p w14:paraId="4E261B32" w14:textId="77777777" w:rsidR="00A730AF" w:rsidRPr="006E0ED7" w:rsidRDefault="00A730AF" w:rsidP="00D1409D">
            <w:pPr>
              <w:pStyle w:val="BodyText"/>
              <w:ind w:firstLine="0"/>
              <w:jc w:val="left"/>
              <w:rPr>
                <w:sz w:val="18"/>
                <w:szCs w:val="18"/>
                <w:lang w:val="en-US"/>
              </w:rPr>
            </w:pPr>
            <w:r w:rsidRPr="006E0ED7">
              <w:rPr>
                <w:sz w:val="18"/>
                <w:szCs w:val="18"/>
                <w:lang w:val="en-US"/>
              </w:rPr>
              <w:t>Topic</w:t>
            </w:r>
          </w:p>
        </w:tc>
        <w:tc>
          <w:tcPr>
            <w:tcW w:w="7200" w:type="dxa"/>
            <w:tcBorders>
              <w:top w:val="single" w:sz="4" w:space="0" w:color="auto"/>
              <w:bottom w:val="single" w:sz="4" w:space="0" w:color="auto"/>
            </w:tcBorders>
            <w:hideMark/>
          </w:tcPr>
          <w:p w14:paraId="26EE32B2" w14:textId="77777777" w:rsidR="00A730AF" w:rsidRPr="006E0ED7" w:rsidRDefault="00A730AF" w:rsidP="00A730AF">
            <w:pPr>
              <w:pStyle w:val="BodyText"/>
              <w:jc w:val="center"/>
              <w:rPr>
                <w:sz w:val="18"/>
                <w:szCs w:val="18"/>
                <w:lang w:val="en-US"/>
              </w:rPr>
            </w:pPr>
            <w:r w:rsidRPr="006E0ED7">
              <w:rPr>
                <w:sz w:val="18"/>
                <w:szCs w:val="18"/>
                <w:lang w:val="en-US"/>
              </w:rPr>
              <w:t>Challenge</w:t>
            </w:r>
          </w:p>
        </w:tc>
      </w:tr>
      <w:tr w:rsidR="00A730AF" w:rsidRPr="006E0ED7" w14:paraId="70900F7D" w14:textId="77777777" w:rsidTr="00995D0C">
        <w:trPr>
          <w:trHeight w:val="432"/>
          <w:jc w:val="center"/>
        </w:trPr>
        <w:tc>
          <w:tcPr>
            <w:tcW w:w="1530" w:type="dxa"/>
            <w:tcBorders>
              <w:top w:val="single" w:sz="4" w:space="0" w:color="auto"/>
              <w:bottom w:val="nil"/>
            </w:tcBorders>
            <w:hideMark/>
          </w:tcPr>
          <w:p w14:paraId="5BA0A640" w14:textId="77777777" w:rsidR="00A730AF" w:rsidRPr="006E0ED7" w:rsidRDefault="00A730AF" w:rsidP="00995D0C">
            <w:pPr>
              <w:pStyle w:val="BodyText"/>
              <w:ind w:firstLine="0"/>
              <w:jc w:val="left"/>
              <w:rPr>
                <w:sz w:val="18"/>
                <w:szCs w:val="18"/>
              </w:rPr>
            </w:pPr>
            <w:r w:rsidRPr="006E0ED7">
              <w:rPr>
                <w:sz w:val="18"/>
                <w:szCs w:val="18"/>
              </w:rPr>
              <w:t>core damage (CDF)</w:t>
            </w:r>
          </w:p>
        </w:tc>
        <w:tc>
          <w:tcPr>
            <w:tcW w:w="7200" w:type="dxa"/>
            <w:tcBorders>
              <w:top w:val="single" w:sz="4" w:space="0" w:color="auto"/>
              <w:bottom w:val="nil"/>
            </w:tcBorders>
            <w:hideMark/>
          </w:tcPr>
          <w:p w14:paraId="595861AB" w14:textId="461D6AFD" w:rsidR="00A730AF" w:rsidRPr="006E0ED7" w:rsidRDefault="00A730AF" w:rsidP="00BA0A8D">
            <w:pPr>
              <w:pStyle w:val="BodyText"/>
              <w:ind w:firstLine="0"/>
              <w:jc w:val="center"/>
              <w:rPr>
                <w:sz w:val="18"/>
                <w:szCs w:val="18"/>
              </w:rPr>
            </w:pPr>
            <w:r w:rsidRPr="006E0ED7">
              <w:rPr>
                <w:sz w:val="18"/>
                <w:szCs w:val="18"/>
              </w:rPr>
              <w:t xml:space="preserve">This issue is inapplicable </w:t>
            </w:r>
            <w:r w:rsidR="00825EF3" w:rsidRPr="00825EF3">
              <w:rPr>
                <w:sz w:val="18"/>
                <w:szCs w:val="18"/>
              </w:rPr>
              <w:t>to</w:t>
            </w:r>
            <w:r w:rsidRPr="006E0ED7">
              <w:rPr>
                <w:sz w:val="18"/>
                <w:szCs w:val="18"/>
              </w:rPr>
              <w:t xml:space="preserve"> some designs</w:t>
            </w:r>
            <w:r w:rsidR="00BA0A8D" w:rsidRPr="006E0ED7">
              <w:rPr>
                <w:sz w:val="18"/>
                <w:szCs w:val="18"/>
              </w:rPr>
              <w:t>.</w:t>
            </w:r>
          </w:p>
          <w:p w14:paraId="2E799256" w14:textId="237BA43C" w:rsidR="00BA0A8D" w:rsidRPr="006E0ED7" w:rsidRDefault="00BA0A8D" w:rsidP="00BA0A8D">
            <w:pPr>
              <w:pStyle w:val="BodyText"/>
              <w:ind w:firstLine="0"/>
              <w:jc w:val="center"/>
              <w:rPr>
                <w:sz w:val="18"/>
                <w:szCs w:val="18"/>
              </w:rPr>
            </w:pPr>
          </w:p>
        </w:tc>
      </w:tr>
      <w:tr w:rsidR="00A730AF" w:rsidRPr="006E0ED7" w14:paraId="745870E0" w14:textId="77777777" w:rsidTr="00995D0C">
        <w:trPr>
          <w:trHeight w:val="432"/>
          <w:jc w:val="center"/>
        </w:trPr>
        <w:tc>
          <w:tcPr>
            <w:tcW w:w="1530" w:type="dxa"/>
            <w:tcBorders>
              <w:top w:val="nil"/>
              <w:bottom w:val="nil"/>
            </w:tcBorders>
            <w:hideMark/>
          </w:tcPr>
          <w:p w14:paraId="61AF2C83" w14:textId="5FA44FD6" w:rsidR="00A730AF" w:rsidRPr="006E0ED7" w:rsidRDefault="00A730AF" w:rsidP="00995D0C">
            <w:pPr>
              <w:pStyle w:val="BodyText"/>
              <w:ind w:firstLine="0"/>
              <w:jc w:val="left"/>
              <w:rPr>
                <w:sz w:val="18"/>
                <w:szCs w:val="18"/>
              </w:rPr>
            </w:pPr>
            <w:r w:rsidRPr="006E0ED7">
              <w:rPr>
                <w:sz w:val="18"/>
                <w:szCs w:val="18"/>
              </w:rPr>
              <w:t>Large Release Frequency (LRF)</w:t>
            </w:r>
          </w:p>
        </w:tc>
        <w:tc>
          <w:tcPr>
            <w:tcW w:w="7200" w:type="dxa"/>
            <w:tcBorders>
              <w:top w:val="nil"/>
              <w:bottom w:val="nil"/>
            </w:tcBorders>
            <w:hideMark/>
          </w:tcPr>
          <w:p w14:paraId="7F5008FB" w14:textId="77777777" w:rsidR="00A730AF" w:rsidRPr="006E0ED7" w:rsidRDefault="00A730AF" w:rsidP="00BA0A8D">
            <w:pPr>
              <w:pStyle w:val="BodyText"/>
              <w:ind w:firstLine="0"/>
              <w:jc w:val="center"/>
              <w:rPr>
                <w:sz w:val="18"/>
                <w:szCs w:val="18"/>
              </w:rPr>
            </w:pPr>
            <w:r w:rsidRPr="006E0ED7">
              <w:rPr>
                <w:sz w:val="18"/>
                <w:szCs w:val="18"/>
              </w:rPr>
              <w:t>This issue is inapplicable for some pebble fuel due to the claim that core melt is impossible</w:t>
            </w:r>
            <w:r w:rsidR="00BA0A8D" w:rsidRPr="006E0ED7">
              <w:rPr>
                <w:sz w:val="18"/>
                <w:szCs w:val="18"/>
              </w:rPr>
              <w:t>.</w:t>
            </w:r>
          </w:p>
          <w:p w14:paraId="184B9268" w14:textId="60E2FEA6" w:rsidR="00BA0A8D" w:rsidRPr="006E0ED7" w:rsidRDefault="00BA0A8D" w:rsidP="00BA0A8D">
            <w:pPr>
              <w:pStyle w:val="BodyText"/>
              <w:ind w:firstLine="0"/>
              <w:jc w:val="center"/>
              <w:rPr>
                <w:sz w:val="18"/>
                <w:szCs w:val="18"/>
              </w:rPr>
            </w:pPr>
          </w:p>
        </w:tc>
      </w:tr>
      <w:tr w:rsidR="00A730AF" w:rsidRPr="006E0ED7" w14:paraId="25922977" w14:textId="77777777" w:rsidTr="00995D0C">
        <w:trPr>
          <w:trHeight w:val="432"/>
          <w:jc w:val="center"/>
        </w:trPr>
        <w:tc>
          <w:tcPr>
            <w:tcW w:w="1530" w:type="dxa"/>
            <w:tcBorders>
              <w:top w:val="nil"/>
              <w:bottom w:val="nil"/>
            </w:tcBorders>
            <w:hideMark/>
          </w:tcPr>
          <w:p w14:paraId="7FEF49BE" w14:textId="77777777" w:rsidR="00A730AF" w:rsidRPr="006E0ED7" w:rsidRDefault="00A730AF" w:rsidP="00995D0C">
            <w:pPr>
              <w:pStyle w:val="BodyText"/>
              <w:ind w:firstLine="0"/>
              <w:jc w:val="left"/>
              <w:rPr>
                <w:sz w:val="18"/>
                <w:szCs w:val="18"/>
              </w:rPr>
            </w:pPr>
            <w:r w:rsidRPr="006E0ED7">
              <w:rPr>
                <w:sz w:val="18"/>
                <w:szCs w:val="18"/>
              </w:rPr>
              <w:lastRenderedPageBreak/>
              <w:t>SNF Storage Methods</w:t>
            </w:r>
          </w:p>
        </w:tc>
        <w:tc>
          <w:tcPr>
            <w:tcW w:w="7200" w:type="dxa"/>
            <w:tcBorders>
              <w:top w:val="nil"/>
              <w:bottom w:val="nil"/>
            </w:tcBorders>
            <w:hideMark/>
          </w:tcPr>
          <w:p w14:paraId="425722E0" w14:textId="4E1CC811" w:rsidR="00A730AF" w:rsidRPr="006E0ED7" w:rsidRDefault="00A730AF" w:rsidP="00BA0A8D">
            <w:pPr>
              <w:pStyle w:val="BodyText"/>
              <w:ind w:firstLine="0"/>
              <w:jc w:val="center"/>
              <w:rPr>
                <w:sz w:val="18"/>
                <w:szCs w:val="18"/>
              </w:rPr>
            </w:pPr>
            <w:r w:rsidRPr="006E0ED7">
              <w:rPr>
                <w:sz w:val="18"/>
                <w:szCs w:val="18"/>
              </w:rPr>
              <w:t xml:space="preserve">Different Designs </w:t>
            </w:r>
            <w:r w:rsidR="00825EF3" w:rsidRPr="00825EF3">
              <w:rPr>
                <w:sz w:val="18"/>
                <w:szCs w:val="18"/>
              </w:rPr>
              <w:t>for</w:t>
            </w:r>
            <w:r w:rsidRPr="006E0ED7">
              <w:rPr>
                <w:sz w:val="18"/>
                <w:szCs w:val="18"/>
              </w:rPr>
              <w:t xml:space="preserve"> spent fuel storage (Wet, Dry)</w:t>
            </w:r>
            <w:r w:rsidR="00BA0A8D" w:rsidRPr="006E0ED7">
              <w:rPr>
                <w:sz w:val="18"/>
                <w:szCs w:val="18"/>
              </w:rPr>
              <w:t>.</w:t>
            </w:r>
          </w:p>
          <w:p w14:paraId="19ECEE58" w14:textId="179821D8" w:rsidR="00BA0A8D" w:rsidRPr="006E0ED7" w:rsidRDefault="00BA0A8D" w:rsidP="00BA0A8D">
            <w:pPr>
              <w:pStyle w:val="BodyText"/>
              <w:ind w:firstLine="0"/>
              <w:jc w:val="center"/>
              <w:rPr>
                <w:sz w:val="18"/>
                <w:szCs w:val="18"/>
              </w:rPr>
            </w:pPr>
          </w:p>
        </w:tc>
      </w:tr>
      <w:tr w:rsidR="00A730AF" w:rsidRPr="006E0ED7" w14:paraId="532B5F41" w14:textId="77777777" w:rsidTr="00995D0C">
        <w:trPr>
          <w:trHeight w:val="432"/>
          <w:jc w:val="center"/>
        </w:trPr>
        <w:tc>
          <w:tcPr>
            <w:tcW w:w="1530" w:type="dxa"/>
            <w:tcBorders>
              <w:top w:val="nil"/>
              <w:bottom w:val="nil"/>
            </w:tcBorders>
          </w:tcPr>
          <w:p w14:paraId="09F01A71" w14:textId="38524DA9" w:rsidR="00A730AF" w:rsidRPr="006E0ED7" w:rsidRDefault="00A730AF" w:rsidP="00995D0C">
            <w:pPr>
              <w:pStyle w:val="BodyText"/>
              <w:ind w:firstLine="0"/>
              <w:jc w:val="left"/>
              <w:rPr>
                <w:sz w:val="18"/>
                <w:szCs w:val="18"/>
              </w:rPr>
            </w:pPr>
            <w:r w:rsidRPr="006E0ED7">
              <w:rPr>
                <w:sz w:val="18"/>
                <w:szCs w:val="18"/>
              </w:rPr>
              <w:t>Plant Lifetime</w:t>
            </w:r>
          </w:p>
        </w:tc>
        <w:tc>
          <w:tcPr>
            <w:tcW w:w="7200" w:type="dxa"/>
            <w:tcBorders>
              <w:top w:val="nil"/>
              <w:bottom w:val="nil"/>
            </w:tcBorders>
          </w:tcPr>
          <w:p w14:paraId="556019DA" w14:textId="0FED31D5" w:rsidR="00BA0A8D" w:rsidRPr="006E0ED7" w:rsidRDefault="00A730AF" w:rsidP="00BB585C">
            <w:pPr>
              <w:pStyle w:val="NormalWeb"/>
              <w:spacing w:before="0" w:beforeAutospacing="0" w:after="0" w:afterAutospacing="0"/>
              <w:jc w:val="center"/>
              <w:rPr>
                <w:sz w:val="18"/>
                <w:szCs w:val="18"/>
              </w:rPr>
            </w:pPr>
            <w:r w:rsidRPr="006E0ED7">
              <w:rPr>
                <w:sz w:val="18"/>
                <w:szCs w:val="18"/>
                <w:lang w:val="en-GB"/>
              </w:rPr>
              <w:t xml:space="preserve">The graphite lifetime is a major issue to discuss between these two different lines of technologies (HTGR/PWR), verification that graphite could last for the whole </w:t>
            </w:r>
            <w:r w:rsidR="00BB585C" w:rsidRPr="006E0ED7">
              <w:rPr>
                <w:sz w:val="18"/>
                <w:szCs w:val="18"/>
                <w:lang w:val="en-GB"/>
              </w:rPr>
              <w:t>plant lifetime</w:t>
            </w:r>
            <w:r w:rsidRPr="006E0ED7">
              <w:rPr>
                <w:sz w:val="18"/>
                <w:szCs w:val="18"/>
                <w:lang w:val="en-GB"/>
              </w:rPr>
              <w:t xml:space="preserve"> isn’t backed with abundant data and enough practical experience. </w:t>
            </w:r>
            <w:r w:rsidRPr="006E0ED7">
              <w:rPr>
                <w:sz w:val="18"/>
                <w:szCs w:val="18"/>
              </w:rPr>
              <w:t>Handling the replacement of this graphite (if found needed) is a major challenge.</w:t>
            </w:r>
          </w:p>
          <w:p w14:paraId="5B331EA4" w14:textId="1F748D5E" w:rsidR="00BA0A8D" w:rsidRPr="006E0ED7" w:rsidRDefault="00BA0A8D" w:rsidP="00BA0A8D">
            <w:pPr>
              <w:pStyle w:val="NormalWeb"/>
              <w:spacing w:before="0" w:beforeAutospacing="0" w:after="0" w:afterAutospacing="0"/>
              <w:jc w:val="center"/>
              <w:rPr>
                <w:sz w:val="18"/>
                <w:szCs w:val="18"/>
              </w:rPr>
            </w:pPr>
          </w:p>
        </w:tc>
      </w:tr>
      <w:tr w:rsidR="00BA0A8D" w:rsidRPr="006E0ED7" w14:paraId="7416DA3F" w14:textId="77777777" w:rsidTr="00995D0C">
        <w:trPr>
          <w:trHeight w:val="90"/>
          <w:jc w:val="center"/>
        </w:trPr>
        <w:tc>
          <w:tcPr>
            <w:tcW w:w="1530" w:type="dxa"/>
            <w:tcBorders>
              <w:top w:val="nil"/>
              <w:bottom w:val="nil"/>
            </w:tcBorders>
          </w:tcPr>
          <w:p w14:paraId="05DD3C56" w14:textId="55D0A0DE" w:rsidR="00BA0A8D" w:rsidRPr="006E0ED7" w:rsidRDefault="00BA0A8D" w:rsidP="00995D0C">
            <w:pPr>
              <w:pStyle w:val="BodyText"/>
              <w:ind w:firstLine="0"/>
              <w:jc w:val="left"/>
              <w:rPr>
                <w:sz w:val="18"/>
                <w:szCs w:val="18"/>
              </w:rPr>
            </w:pPr>
            <w:r w:rsidRPr="006E0ED7">
              <w:rPr>
                <w:sz w:val="18"/>
                <w:szCs w:val="18"/>
              </w:rPr>
              <w:t>Plant Outages</w:t>
            </w:r>
          </w:p>
        </w:tc>
        <w:tc>
          <w:tcPr>
            <w:tcW w:w="7200" w:type="dxa"/>
            <w:tcBorders>
              <w:top w:val="nil"/>
              <w:bottom w:val="nil"/>
            </w:tcBorders>
          </w:tcPr>
          <w:p w14:paraId="1BAA0921" w14:textId="605EF9D0" w:rsidR="00BA0A8D" w:rsidRPr="006E0ED7" w:rsidRDefault="00BA0A8D" w:rsidP="00BB585C">
            <w:pPr>
              <w:pStyle w:val="NormalWeb"/>
              <w:spacing w:before="0" w:beforeAutospacing="0" w:after="0" w:afterAutospacing="0"/>
              <w:jc w:val="center"/>
              <w:rPr>
                <w:sz w:val="18"/>
                <w:szCs w:val="18"/>
              </w:rPr>
            </w:pPr>
            <w:r w:rsidRPr="006E0ED7">
              <w:rPr>
                <w:sz w:val="18"/>
                <w:szCs w:val="18"/>
              </w:rPr>
              <w:t>Some reactors focus on the feature of online refueling, which might be misleading since planned outages</w:t>
            </w:r>
            <w:r w:rsidR="00BB585C" w:rsidRPr="006E0ED7">
              <w:rPr>
                <w:sz w:val="18"/>
                <w:szCs w:val="18"/>
              </w:rPr>
              <w:t xml:space="preserve"> can be aligned with refueling</w:t>
            </w:r>
          </w:p>
          <w:p w14:paraId="13606532" w14:textId="17330741" w:rsidR="00BA0A8D" w:rsidRPr="006E0ED7" w:rsidRDefault="00BA0A8D" w:rsidP="00BA0A8D">
            <w:pPr>
              <w:pStyle w:val="NormalWeb"/>
              <w:spacing w:before="0" w:beforeAutospacing="0" w:after="0" w:afterAutospacing="0"/>
              <w:jc w:val="center"/>
              <w:rPr>
                <w:sz w:val="18"/>
                <w:szCs w:val="18"/>
              </w:rPr>
            </w:pPr>
          </w:p>
        </w:tc>
      </w:tr>
      <w:tr w:rsidR="00BA0A8D" w:rsidRPr="006E0ED7" w14:paraId="51E7970B" w14:textId="77777777" w:rsidTr="00995D0C">
        <w:trPr>
          <w:trHeight w:val="53"/>
          <w:jc w:val="center"/>
        </w:trPr>
        <w:tc>
          <w:tcPr>
            <w:tcW w:w="1530" w:type="dxa"/>
            <w:tcBorders>
              <w:top w:val="nil"/>
              <w:bottom w:val="nil"/>
            </w:tcBorders>
          </w:tcPr>
          <w:p w14:paraId="0B758343" w14:textId="05F8765D" w:rsidR="00BA0A8D" w:rsidRPr="006E0ED7" w:rsidRDefault="00BA0A8D" w:rsidP="00995D0C">
            <w:pPr>
              <w:pStyle w:val="BodyText"/>
              <w:ind w:firstLine="0"/>
              <w:jc w:val="left"/>
              <w:rPr>
                <w:sz w:val="18"/>
                <w:szCs w:val="18"/>
              </w:rPr>
            </w:pPr>
            <w:r w:rsidRPr="006E0ED7">
              <w:rPr>
                <w:sz w:val="18"/>
                <w:szCs w:val="18"/>
              </w:rPr>
              <w:t>Fuel Supply</w:t>
            </w:r>
          </w:p>
        </w:tc>
        <w:tc>
          <w:tcPr>
            <w:tcW w:w="7200" w:type="dxa"/>
            <w:tcBorders>
              <w:top w:val="nil"/>
              <w:bottom w:val="nil"/>
            </w:tcBorders>
          </w:tcPr>
          <w:p w14:paraId="585BFEEF" w14:textId="4878E25C" w:rsidR="00BA0A8D" w:rsidRPr="006E0ED7" w:rsidRDefault="00BA0A8D" w:rsidP="00BA0A8D">
            <w:pPr>
              <w:pStyle w:val="NormalWeb"/>
              <w:spacing w:before="0" w:beforeAutospacing="0" w:after="0" w:afterAutospacing="0"/>
              <w:jc w:val="center"/>
              <w:rPr>
                <w:sz w:val="18"/>
                <w:szCs w:val="18"/>
                <w:lang w:val="en-GB"/>
              </w:rPr>
            </w:pPr>
            <w:r w:rsidRPr="006E0ED7">
              <w:rPr>
                <w:sz w:val="18"/>
                <w:szCs w:val="18"/>
                <w:lang w:val="en-GB"/>
              </w:rPr>
              <w:t xml:space="preserve">The lack of fuel supply chains is a major concern. Fuel design and proof for commercial-scale production </w:t>
            </w:r>
            <w:r w:rsidR="00CB384A" w:rsidRPr="006E0ED7">
              <w:rPr>
                <w:sz w:val="18"/>
                <w:szCs w:val="18"/>
                <w:lang w:val="en-GB"/>
              </w:rPr>
              <w:t>are</w:t>
            </w:r>
            <w:r w:rsidRPr="006E0ED7">
              <w:rPr>
                <w:sz w:val="18"/>
                <w:szCs w:val="18"/>
                <w:lang w:val="en-GB"/>
              </w:rPr>
              <w:t xml:space="preserve"> a setback for some designs.</w:t>
            </w:r>
          </w:p>
          <w:p w14:paraId="36395E68" w14:textId="4E6D7630" w:rsidR="00BA0A8D" w:rsidRPr="006E0ED7" w:rsidRDefault="00BA0A8D" w:rsidP="00BA0A8D">
            <w:pPr>
              <w:pStyle w:val="NormalWeb"/>
              <w:spacing w:before="0" w:beforeAutospacing="0" w:after="0" w:afterAutospacing="0"/>
              <w:jc w:val="center"/>
              <w:rPr>
                <w:sz w:val="18"/>
                <w:szCs w:val="18"/>
                <w:lang w:val="en-GB"/>
              </w:rPr>
            </w:pPr>
          </w:p>
        </w:tc>
      </w:tr>
      <w:tr w:rsidR="00BA0A8D" w:rsidRPr="006E0ED7" w14:paraId="614E538E" w14:textId="77777777" w:rsidTr="00995D0C">
        <w:trPr>
          <w:trHeight w:val="432"/>
          <w:jc w:val="center"/>
        </w:trPr>
        <w:tc>
          <w:tcPr>
            <w:tcW w:w="1530" w:type="dxa"/>
            <w:tcBorders>
              <w:top w:val="nil"/>
              <w:bottom w:val="single" w:sz="4" w:space="0" w:color="auto"/>
            </w:tcBorders>
          </w:tcPr>
          <w:p w14:paraId="3C9A63FA" w14:textId="7B522A2C" w:rsidR="00BA0A8D" w:rsidRPr="006E0ED7" w:rsidRDefault="00BA0A8D" w:rsidP="00995D0C">
            <w:pPr>
              <w:pStyle w:val="BodyText"/>
              <w:ind w:firstLine="0"/>
              <w:jc w:val="left"/>
              <w:rPr>
                <w:sz w:val="18"/>
                <w:szCs w:val="18"/>
              </w:rPr>
            </w:pPr>
            <w:r w:rsidRPr="006E0ED7">
              <w:rPr>
                <w:sz w:val="18"/>
                <w:szCs w:val="18"/>
              </w:rPr>
              <w:t>Safety Systems</w:t>
            </w:r>
          </w:p>
        </w:tc>
        <w:tc>
          <w:tcPr>
            <w:tcW w:w="7200" w:type="dxa"/>
            <w:tcBorders>
              <w:top w:val="nil"/>
              <w:bottom w:val="single" w:sz="4" w:space="0" w:color="auto"/>
            </w:tcBorders>
          </w:tcPr>
          <w:p w14:paraId="09FA45A4" w14:textId="1FC80544" w:rsidR="00BA0A8D" w:rsidRPr="006E0ED7" w:rsidRDefault="00BA0A8D" w:rsidP="00BA0A8D">
            <w:pPr>
              <w:pStyle w:val="NormalWeb"/>
              <w:rPr>
                <w:sz w:val="18"/>
                <w:szCs w:val="18"/>
                <w:lang w:val="en-GB"/>
              </w:rPr>
            </w:pPr>
            <w:r w:rsidRPr="006E0ED7">
              <w:rPr>
                <w:sz w:val="18"/>
                <w:szCs w:val="18"/>
                <w:lang w:val="en-GB"/>
              </w:rPr>
              <w:t>The difference in the safety systems design (function/ number) is rather big. Due to Design philosophy, inherent safety features</w:t>
            </w:r>
          </w:p>
        </w:tc>
      </w:tr>
    </w:tbl>
    <w:p w14:paraId="288432B6" w14:textId="6A0AF67E" w:rsidR="00A730AF" w:rsidRDefault="00A730AF" w:rsidP="00A730AF">
      <w:pPr>
        <w:pStyle w:val="BodyText"/>
        <w:ind w:firstLine="0"/>
      </w:pPr>
    </w:p>
    <w:p w14:paraId="4AD7EA4E" w14:textId="2F7C0EEC" w:rsidR="00CB384A" w:rsidRDefault="00BA0A8D" w:rsidP="006E0ED7">
      <w:pPr>
        <w:pStyle w:val="BodyText"/>
        <w:rPr>
          <w:lang w:val="en-US"/>
        </w:rPr>
      </w:pPr>
      <w:r>
        <w:rPr>
          <w:lang w:val="en-US"/>
        </w:rPr>
        <w:t>The assessment result</w:t>
      </w:r>
      <w:r w:rsidR="00CB384A">
        <w:rPr>
          <w:lang w:val="en-US"/>
        </w:rPr>
        <w:t xml:space="preserve"> is shown in </w:t>
      </w:r>
      <w:r w:rsidR="00CB384A">
        <w:rPr>
          <w:lang w:val="en-US"/>
        </w:rPr>
        <w:fldChar w:fldCharType="begin"/>
      </w:r>
      <w:r w:rsidR="00CB384A">
        <w:rPr>
          <w:lang w:val="en-US"/>
        </w:rPr>
        <w:instrText xml:space="preserve"> REF _Ref166499659 \h </w:instrText>
      </w:r>
      <w:r w:rsidR="00CB384A">
        <w:rPr>
          <w:lang w:val="en-US"/>
        </w:rPr>
      </w:r>
      <w:r w:rsidR="00CB384A">
        <w:rPr>
          <w:lang w:val="en-US"/>
        </w:rPr>
        <w:fldChar w:fldCharType="separate"/>
      </w:r>
      <w:r w:rsidR="00B547C6" w:rsidRPr="00CB384A">
        <w:rPr>
          <w:szCs w:val="22"/>
        </w:rPr>
        <w:t xml:space="preserve">TABLE </w:t>
      </w:r>
      <w:r w:rsidR="00B547C6">
        <w:rPr>
          <w:noProof/>
          <w:szCs w:val="22"/>
        </w:rPr>
        <w:t>3</w:t>
      </w:r>
      <w:r w:rsidR="00CB384A">
        <w:rPr>
          <w:lang w:val="en-US"/>
        </w:rPr>
        <w:fldChar w:fldCharType="end"/>
      </w:r>
      <w:r w:rsidR="00CB384A">
        <w:rPr>
          <w:lang w:val="en-US"/>
        </w:rPr>
        <w:t xml:space="preserve">. </w:t>
      </w:r>
      <w:r w:rsidR="00BB585C">
        <w:rPr>
          <w:lang w:val="en-US"/>
        </w:rPr>
        <w:t xml:space="preserve">Top management decided the weights of the </w:t>
      </w:r>
      <w:r w:rsidR="00BB585C" w:rsidRPr="00BB585C">
        <w:rPr>
          <w:lang w:val="en-US"/>
        </w:rPr>
        <w:t>categories</w:t>
      </w:r>
      <w:r w:rsidR="00BB585C">
        <w:rPr>
          <w:lang w:val="en-US"/>
        </w:rPr>
        <w:t xml:space="preserve"> reflecting </w:t>
      </w:r>
      <w:r w:rsidR="006E0ED7" w:rsidRPr="006E0ED7">
        <w:rPr>
          <w:lang w:val="en-US"/>
        </w:rPr>
        <w:t xml:space="preserve">prime importance </w:t>
      </w:r>
      <w:r w:rsidR="00BB585C">
        <w:rPr>
          <w:lang w:val="en-US"/>
        </w:rPr>
        <w:t>for the nuclear power project. R</w:t>
      </w:r>
      <w:r w:rsidR="00CB384A">
        <w:rPr>
          <w:lang w:val="en-US"/>
        </w:rPr>
        <w:t xml:space="preserve">eactors A, B, C, D, and E scored the highest and were moved into the KF step </w:t>
      </w:r>
      <w:r w:rsidR="00BB585C" w:rsidRPr="00BB585C">
        <w:rPr>
          <w:lang w:val="en-US"/>
        </w:rPr>
        <w:t xml:space="preserve">for </w:t>
      </w:r>
      <w:r w:rsidR="00CB384A">
        <w:rPr>
          <w:lang w:val="en-US"/>
        </w:rPr>
        <w:t xml:space="preserve">further </w:t>
      </w:r>
      <w:r w:rsidR="00BB585C">
        <w:rPr>
          <w:lang w:val="en-US"/>
        </w:rPr>
        <w:t>assessmen</w:t>
      </w:r>
      <w:r w:rsidR="00CB384A">
        <w:rPr>
          <w:lang w:val="en-US"/>
        </w:rPr>
        <w:t>t</w:t>
      </w:r>
      <w:r w:rsidR="00BB585C">
        <w:rPr>
          <w:lang w:val="en-US"/>
        </w:rPr>
        <w:t>.</w:t>
      </w:r>
    </w:p>
    <w:p w14:paraId="4CD36080" w14:textId="77777777" w:rsidR="00CB384A" w:rsidRDefault="00CB384A" w:rsidP="0064771C">
      <w:pPr>
        <w:pStyle w:val="BodyText"/>
        <w:rPr>
          <w:lang w:val="en-US"/>
        </w:rPr>
      </w:pPr>
    </w:p>
    <w:p w14:paraId="722425A6" w14:textId="50590502" w:rsidR="00CB384A" w:rsidRPr="00CB384A" w:rsidRDefault="00CB384A" w:rsidP="00CB384A">
      <w:pPr>
        <w:pStyle w:val="Caption"/>
        <w:keepNext/>
        <w:rPr>
          <w:sz w:val="20"/>
          <w:szCs w:val="22"/>
        </w:rPr>
      </w:pPr>
      <w:bookmarkStart w:id="3" w:name="_Ref166499659"/>
      <w:r w:rsidRPr="00CB384A">
        <w:rPr>
          <w:sz w:val="20"/>
          <w:szCs w:val="22"/>
        </w:rPr>
        <w:t xml:space="preserve">TABLE </w:t>
      </w:r>
      <w:r w:rsidRPr="00CB384A">
        <w:rPr>
          <w:sz w:val="20"/>
          <w:szCs w:val="22"/>
        </w:rPr>
        <w:fldChar w:fldCharType="begin"/>
      </w:r>
      <w:r w:rsidRPr="00CB384A">
        <w:rPr>
          <w:sz w:val="20"/>
          <w:szCs w:val="22"/>
        </w:rPr>
        <w:instrText xml:space="preserve"> SEQ TABLE \* ARABIC </w:instrText>
      </w:r>
      <w:r w:rsidRPr="00CB384A">
        <w:rPr>
          <w:sz w:val="20"/>
          <w:szCs w:val="22"/>
        </w:rPr>
        <w:fldChar w:fldCharType="separate"/>
      </w:r>
      <w:r w:rsidR="00CA3154">
        <w:rPr>
          <w:noProof/>
          <w:sz w:val="20"/>
          <w:szCs w:val="22"/>
        </w:rPr>
        <w:t>3</w:t>
      </w:r>
      <w:r w:rsidRPr="00CB384A">
        <w:rPr>
          <w:sz w:val="20"/>
          <w:szCs w:val="22"/>
        </w:rPr>
        <w:fldChar w:fldCharType="end"/>
      </w:r>
      <w:bookmarkEnd w:id="3"/>
      <w:r w:rsidRPr="00CB384A">
        <w:rPr>
          <w:sz w:val="20"/>
          <w:szCs w:val="22"/>
        </w:rPr>
        <w:t>. EM RESULTS</w:t>
      </w:r>
    </w:p>
    <w:tbl>
      <w:tblPr>
        <w:tblStyle w:val="TableGrid"/>
        <w:tblW w:w="0" w:type="auto"/>
        <w:jc w:val="center"/>
        <w:tblLook w:val="04A0" w:firstRow="1" w:lastRow="0" w:firstColumn="1" w:lastColumn="0" w:noHBand="0" w:noVBand="1"/>
      </w:tblPr>
      <w:tblGrid>
        <w:gridCol w:w="2850"/>
        <w:gridCol w:w="746"/>
        <w:gridCol w:w="531"/>
        <w:gridCol w:w="531"/>
        <w:gridCol w:w="531"/>
        <w:gridCol w:w="531"/>
        <w:gridCol w:w="531"/>
        <w:gridCol w:w="531"/>
      </w:tblGrid>
      <w:tr w:rsidR="00CB384A" w:rsidRPr="006E0ED7" w14:paraId="524609B1" w14:textId="77777777" w:rsidTr="00CB384A">
        <w:trPr>
          <w:jc w:val="center"/>
        </w:trPr>
        <w:tc>
          <w:tcPr>
            <w:tcW w:w="0" w:type="auto"/>
            <w:tcBorders>
              <w:left w:val="nil"/>
              <w:bottom w:val="single" w:sz="4" w:space="0" w:color="auto"/>
              <w:right w:val="nil"/>
            </w:tcBorders>
          </w:tcPr>
          <w:p w14:paraId="61A910D1" w14:textId="2C002EAB"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lang w:val="en-US"/>
              </w:rPr>
              <w:t>Category</w:t>
            </w:r>
          </w:p>
        </w:tc>
        <w:tc>
          <w:tcPr>
            <w:tcW w:w="0" w:type="auto"/>
            <w:tcBorders>
              <w:left w:val="nil"/>
              <w:bottom w:val="single" w:sz="4" w:space="0" w:color="auto"/>
              <w:right w:val="nil"/>
            </w:tcBorders>
          </w:tcPr>
          <w:p w14:paraId="2DF7159E" w14:textId="791EE64D"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lang w:val="en-US"/>
              </w:rPr>
              <w:t>Weight</w:t>
            </w:r>
          </w:p>
        </w:tc>
        <w:tc>
          <w:tcPr>
            <w:tcW w:w="0" w:type="auto"/>
            <w:tcBorders>
              <w:left w:val="nil"/>
              <w:bottom w:val="single" w:sz="4" w:space="0" w:color="auto"/>
              <w:right w:val="nil"/>
            </w:tcBorders>
          </w:tcPr>
          <w:p w14:paraId="7B051341" w14:textId="2F91ACF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A</w:t>
            </w:r>
          </w:p>
        </w:tc>
        <w:tc>
          <w:tcPr>
            <w:tcW w:w="0" w:type="auto"/>
            <w:tcBorders>
              <w:left w:val="nil"/>
              <w:bottom w:val="single" w:sz="4" w:space="0" w:color="auto"/>
              <w:right w:val="nil"/>
            </w:tcBorders>
          </w:tcPr>
          <w:p w14:paraId="0CC0A20C" w14:textId="59BA7EEE"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B</w:t>
            </w:r>
          </w:p>
        </w:tc>
        <w:tc>
          <w:tcPr>
            <w:tcW w:w="0" w:type="auto"/>
            <w:tcBorders>
              <w:left w:val="nil"/>
              <w:bottom w:val="single" w:sz="4" w:space="0" w:color="auto"/>
              <w:right w:val="nil"/>
            </w:tcBorders>
          </w:tcPr>
          <w:p w14:paraId="55155C88" w14:textId="722B19E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C</w:t>
            </w:r>
          </w:p>
        </w:tc>
        <w:tc>
          <w:tcPr>
            <w:tcW w:w="0" w:type="auto"/>
            <w:tcBorders>
              <w:left w:val="nil"/>
              <w:bottom w:val="single" w:sz="4" w:space="0" w:color="auto"/>
              <w:right w:val="nil"/>
            </w:tcBorders>
          </w:tcPr>
          <w:p w14:paraId="2F8BB3C2" w14:textId="4334F6D1"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D</w:t>
            </w:r>
          </w:p>
        </w:tc>
        <w:tc>
          <w:tcPr>
            <w:tcW w:w="0" w:type="auto"/>
            <w:tcBorders>
              <w:left w:val="nil"/>
              <w:bottom w:val="single" w:sz="4" w:space="0" w:color="auto"/>
              <w:right w:val="nil"/>
            </w:tcBorders>
          </w:tcPr>
          <w:p w14:paraId="1D7BF7F7" w14:textId="0E5E616F"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E</w:t>
            </w:r>
          </w:p>
        </w:tc>
        <w:tc>
          <w:tcPr>
            <w:tcW w:w="0" w:type="auto"/>
            <w:tcBorders>
              <w:left w:val="nil"/>
              <w:bottom w:val="single" w:sz="4" w:space="0" w:color="auto"/>
              <w:right w:val="nil"/>
            </w:tcBorders>
          </w:tcPr>
          <w:p w14:paraId="37E47415" w14:textId="53D2738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lang w:val="en-US"/>
              </w:rPr>
              <w:t>F</w:t>
            </w:r>
          </w:p>
        </w:tc>
      </w:tr>
      <w:tr w:rsidR="00CB384A" w:rsidRPr="006E0ED7" w14:paraId="283A22BB" w14:textId="77777777" w:rsidTr="00CB384A">
        <w:trPr>
          <w:jc w:val="center"/>
        </w:trPr>
        <w:tc>
          <w:tcPr>
            <w:tcW w:w="0" w:type="auto"/>
            <w:tcBorders>
              <w:top w:val="single" w:sz="4" w:space="0" w:color="auto"/>
              <w:left w:val="nil"/>
              <w:bottom w:val="nil"/>
              <w:right w:val="nil"/>
            </w:tcBorders>
          </w:tcPr>
          <w:p w14:paraId="63EEB0C0" w14:textId="56713A99"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General </w:t>
            </w:r>
          </w:p>
        </w:tc>
        <w:tc>
          <w:tcPr>
            <w:tcW w:w="0" w:type="auto"/>
            <w:tcBorders>
              <w:top w:val="single" w:sz="4" w:space="0" w:color="auto"/>
              <w:left w:val="nil"/>
              <w:bottom w:val="nil"/>
              <w:right w:val="nil"/>
            </w:tcBorders>
          </w:tcPr>
          <w:p w14:paraId="56FFB3B4" w14:textId="50E1D6F3"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5 </w:t>
            </w:r>
          </w:p>
        </w:tc>
        <w:tc>
          <w:tcPr>
            <w:tcW w:w="0" w:type="auto"/>
            <w:tcBorders>
              <w:top w:val="single" w:sz="4" w:space="0" w:color="auto"/>
              <w:left w:val="nil"/>
              <w:bottom w:val="nil"/>
              <w:right w:val="nil"/>
            </w:tcBorders>
          </w:tcPr>
          <w:p w14:paraId="2A9DE732" w14:textId="556F68B2"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4.0</w:t>
            </w:r>
          </w:p>
        </w:tc>
        <w:tc>
          <w:tcPr>
            <w:tcW w:w="0" w:type="auto"/>
            <w:tcBorders>
              <w:top w:val="single" w:sz="4" w:space="0" w:color="auto"/>
              <w:left w:val="nil"/>
              <w:bottom w:val="nil"/>
              <w:right w:val="nil"/>
            </w:tcBorders>
          </w:tcPr>
          <w:p w14:paraId="06BB24BC" w14:textId="2E105E64"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2.7</w:t>
            </w:r>
          </w:p>
        </w:tc>
        <w:tc>
          <w:tcPr>
            <w:tcW w:w="0" w:type="auto"/>
            <w:tcBorders>
              <w:top w:val="single" w:sz="4" w:space="0" w:color="auto"/>
              <w:left w:val="nil"/>
              <w:bottom w:val="nil"/>
              <w:right w:val="nil"/>
            </w:tcBorders>
          </w:tcPr>
          <w:p w14:paraId="547D0348" w14:textId="4501E11E"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4.2</w:t>
            </w:r>
          </w:p>
        </w:tc>
        <w:tc>
          <w:tcPr>
            <w:tcW w:w="0" w:type="auto"/>
            <w:tcBorders>
              <w:top w:val="single" w:sz="4" w:space="0" w:color="auto"/>
              <w:left w:val="nil"/>
              <w:bottom w:val="nil"/>
              <w:right w:val="nil"/>
            </w:tcBorders>
          </w:tcPr>
          <w:p w14:paraId="5AF3C9D4" w14:textId="74261DF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4.1</w:t>
            </w:r>
          </w:p>
        </w:tc>
        <w:tc>
          <w:tcPr>
            <w:tcW w:w="0" w:type="auto"/>
            <w:tcBorders>
              <w:top w:val="single" w:sz="4" w:space="0" w:color="auto"/>
              <w:left w:val="nil"/>
              <w:bottom w:val="nil"/>
              <w:right w:val="nil"/>
            </w:tcBorders>
          </w:tcPr>
          <w:p w14:paraId="5592C0B3" w14:textId="7558F71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3.2</w:t>
            </w:r>
          </w:p>
        </w:tc>
        <w:tc>
          <w:tcPr>
            <w:tcW w:w="0" w:type="auto"/>
            <w:tcBorders>
              <w:top w:val="single" w:sz="4" w:space="0" w:color="auto"/>
              <w:left w:val="nil"/>
              <w:bottom w:val="nil"/>
              <w:right w:val="nil"/>
            </w:tcBorders>
          </w:tcPr>
          <w:p w14:paraId="79F78870" w14:textId="710CA73D"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4.4</w:t>
            </w:r>
          </w:p>
        </w:tc>
      </w:tr>
      <w:tr w:rsidR="00CB384A" w:rsidRPr="006E0ED7" w14:paraId="231BB9F4" w14:textId="77777777" w:rsidTr="00CB384A">
        <w:trPr>
          <w:jc w:val="center"/>
        </w:trPr>
        <w:tc>
          <w:tcPr>
            <w:tcW w:w="0" w:type="auto"/>
            <w:tcBorders>
              <w:top w:val="nil"/>
              <w:left w:val="nil"/>
              <w:bottom w:val="nil"/>
              <w:right w:val="nil"/>
            </w:tcBorders>
          </w:tcPr>
          <w:p w14:paraId="59532517" w14:textId="780E3B20"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Design </w:t>
            </w:r>
          </w:p>
        </w:tc>
        <w:tc>
          <w:tcPr>
            <w:tcW w:w="0" w:type="auto"/>
            <w:tcBorders>
              <w:top w:val="nil"/>
              <w:left w:val="nil"/>
              <w:bottom w:val="nil"/>
              <w:right w:val="nil"/>
            </w:tcBorders>
          </w:tcPr>
          <w:p w14:paraId="65C2D64B" w14:textId="54FF283F"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7 </w:t>
            </w:r>
          </w:p>
        </w:tc>
        <w:tc>
          <w:tcPr>
            <w:tcW w:w="0" w:type="auto"/>
            <w:tcBorders>
              <w:top w:val="nil"/>
              <w:left w:val="nil"/>
              <w:bottom w:val="nil"/>
              <w:right w:val="nil"/>
            </w:tcBorders>
          </w:tcPr>
          <w:p w14:paraId="7EA3ED82" w14:textId="0D78C6AD"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5.4</w:t>
            </w:r>
          </w:p>
        </w:tc>
        <w:tc>
          <w:tcPr>
            <w:tcW w:w="0" w:type="auto"/>
            <w:tcBorders>
              <w:top w:val="nil"/>
              <w:left w:val="nil"/>
              <w:bottom w:val="nil"/>
              <w:right w:val="nil"/>
            </w:tcBorders>
          </w:tcPr>
          <w:p w14:paraId="71DB9480" w14:textId="6D6A8388"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5.2</w:t>
            </w:r>
          </w:p>
        </w:tc>
        <w:tc>
          <w:tcPr>
            <w:tcW w:w="0" w:type="auto"/>
            <w:tcBorders>
              <w:top w:val="nil"/>
              <w:left w:val="nil"/>
              <w:bottom w:val="nil"/>
              <w:right w:val="nil"/>
            </w:tcBorders>
          </w:tcPr>
          <w:p w14:paraId="0FDCF182" w14:textId="2A44EA73"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4.2</w:t>
            </w:r>
          </w:p>
        </w:tc>
        <w:tc>
          <w:tcPr>
            <w:tcW w:w="0" w:type="auto"/>
            <w:tcBorders>
              <w:top w:val="nil"/>
              <w:left w:val="nil"/>
              <w:bottom w:val="nil"/>
              <w:right w:val="nil"/>
            </w:tcBorders>
          </w:tcPr>
          <w:p w14:paraId="2A29B735" w14:textId="30E302F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4.4</w:t>
            </w:r>
          </w:p>
        </w:tc>
        <w:tc>
          <w:tcPr>
            <w:tcW w:w="0" w:type="auto"/>
            <w:tcBorders>
              <w:top w:val="nil"/>
              <w:left w:val="nil"/>
              <w:bottom w:val="nil"/>
              <w:right w:val="nil"/>
            </w:tcBorders>
          </w:tcPr>
          <w:p w14:paraId="1D6641D3" w14:textId="0FF47DC4"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4.8</w:t>
            </w:r>
          </w:p>
        </w:tc>
        <w:tc>
          <w:tcPr>
            <w:tcW w:w="0" w:type="auto"/>
            <w:tcBorders>
              <w:top w:val="nil"/>
              <w:left w:val="nil"/>
              <w:bottom w:val="nil"/>
              <w:right w:val="nil"/>
            </w:tcBorders>
          </w:tcPr>
          <w:p w14:paraId="76F7FFC2" w14:textId="3189941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4.4</w:t>
            </w:r>
          </w:p>
        </w:tc>
      </w:tr>
      <w:tr w:rsidR="00CB384A" w:rsidRPr="006E0ED7" w14:paraId="0799620C" w14:textId="77777777" w:rsidTr="00CB384A">
        <w:trPr>
          <w:jc w:val="center"/>
        </w:trPr>
        <w:tc>
          <w:tcPr>
            <w:tcW w:w="0" w:type="auto"/>
            <w:tcBorders>
              <w:top w:val="nil"/>
              <w:left w:val="nil"/>
              <w:bottom w:val="nil"/>
              <w:right w:val="nil"/>
            </w:tcBorders>
          </w:tcPr>
          <w:p w14:paraId="79B97E82" w14:textId="37EF87E5"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Operation and Maintenance </w:t>
            </w:r>
          </w:p>
        </w:tc>
        <w:tc>
          <w:tcPr>
            <w:tcW w:w="0" w:type="auto"/>
            <w:tcBorders>
              <w:top w:val="nil"/>
              <w:left w:val="nil"/>
              <w:bottom w:val="nil"/>
              <w:right w:val="nil"/>
            </w:tcBorders>
          </w:tcPr>
          <w:p w14:paraId="5C373C42" w14:textId="7B3D1CB4"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11.5 </w:t>
            </w:r>
          </w:p>
        </w:tc>
        <w:tc>
          <w:tcPr>
            <w:tcW w:w="0" w:type="auto"/>
            <w:tcBorders>
              <w:top w:val="nil"/>
              <w:left w:val="nil"/>
              <w:bottom w:val="nil"/>
              <w:right w:val="nil"/>
            </w:tcBorders>
          </w:tcPr>
          <w:p w14:paraId="4E0F93B5" w14:textId="0603A9B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9.5</w:t>
            </w:r>
          </w:p>
        </w:tc>
        <w:tc>
          <w:tcPr>
            <w:tcW w:w="0" w:type="auto"/>
            <w:tcBorders>
              <w:top w:val="nil"/>
              <w:left w:val="nil"/>
              <w:bottom w:val="nil"/>
              <w:right w:val="nil"/>
            </w:tcBorders>
          </w:tcPr>
          <w:p w14:paraId="46A25787" w14:textId="5592F6D9"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10.1</w:t>
            </w:r>
          </w:p>
        </w:tc>
        <w:tc>
          <w:tcPr>
            <w:tcW w:w="0" w:type="auto"/>
            <w:tcBorders>
              <w:top w:val="nil"/>
              <w:left w:val="nil"/>
              <w:bottom w:val="nil"/>
              <w:right w:val="nil"/>
            </w:tcBorders>
          </w:tcPr>
          <w:p w14:paraId="5D04A88A" w14:textId="0214B81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5.6</w:t>
            </w:r>
          </w:p>
        </w:tc>
        <w:tc>
          <w:tcPr>
            <w:tcW w:w="0" w:type="auto"/>
            <w:tcBorders>
              <w:top w:val="nil"/>
              <w:left w:val="nil"/>
              <w:bottom w:val="nil"/>
              <w:right w:val="nil"/>
            </w:tcBorders>
          </w:tcPr>
          <w:p w14:paraId="16C28F73" w14:textId="6FE78C0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8.9</w:t>
            </w:r>
          </w:p>
        </w:tc>
        <w:tc>
          <w:tcPr>
            <w:tcW w:w="0" w:type="auto"/>
            <w:tcBorders>
              <w:top w:val="nil"/>
              <w:left w:val="nil"/>
              <w:bottom w:val="nil"/>
              <w:right w:val="nil"/>
            </w:tcBorders>
          </w:tcPr>
          <w:p w14:paraId="4105F609" w14:textId="20F47098"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10.5</w:t>
            </w:r>
          </w:p>
        </w:tc>
        <w:tc>
          <w:tcPr>
            <w:tcW w:w="0" w:type="auto"/>
            <w:tcBorders>
              <w:top w:val="nil"/>
              <w:left w:val="nil"/>
              <w:bottom w:val="nil"/>
              <w:right w:val="nil"/>
            </w:tcBorders>
          </w:tcPr>
          <w:p w14:paraId="1CBC8725" w14:textId="5C9045A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8.7</w:t>
            </w:r>
          </w:p>
        </w:tc>
      </w:tr>
      <w:tr w:rsidR="00CB384A" w:rsidRPr="006E0ED7" w14:paraId="60F46F44" w14:textId="77777777" w:rsidTr="00CB384A">
        <w:trPr>
          <w:jc w:val="center"/>
        </w:trPr>
        <w:tc>
          <w:tcPr>
            <w:tcW w:w="0" w:type="auto"/>
            <w:tcBorders>
              <w:top w:val="nil"/>
              <w:left w:val="nil"/>
              <w:bottom w:val="nil"/>
              <w:right w:val="nil"/>
            </w:tcBorders>
          </w:tcPr>
          <w:p w14:paraId="22532467" w14:textId="11909B6D"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Construction </w:t>
            </w:r>
          </w:p>
        </w:tc>
        <w:tc>
          <w:tcPr>
            <w:tcW w:w="0" w:type="auto"/>
            <w:tcBorders>
              <w:top w:val="nil"/>
              <w:left w:val="nil"/>
              <w:bottom w:val="nil"/>
              <w:right w:val="nil"/>
            </w:tcBorders>
          </w:tcPr>
          <w:p w14:paraId="6AA8462D" w14:textId="73A76628"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9 </w:t>
            </w:r>
          </w:p>
        </w:tc>
        <w:tc>
          <w:tcPr>
            <w:tcW w:w="0" w:type="auto"/>
            <w:tcBorders>
              <w:top w:val="nil"/>
              <w:left w:val="nil"/>
              <w:bottom w:val="nil"/>
              <w:right w:val="nil"/>
            </w:tcBorders>
          </w:tcPr>
          <w:p w14:paraId="5499267B" w14:textId="25CD91C8"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6.5</w:t>
            </w:r>
          </w:p>
        </w:tc>
        <w:tc>
          <w:tcPr>
            <w:tcW w:w="0" w:type="auto"/>
            <w:tcBorders>
              <w:top w:val="nil"/>
              <w:left w:val="nil"/>
              <w:bottom w:val="nil"/>
              <w:right w:val="nil"/>
            </w:tcBorders>
          </w:tcPr>
          <w:p w14:paraId="1266195F" w14:textId="5A5E6545"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6.0</w:t>
            </w:r>
          </w:p>
        </w:tc>
        <w:tc>
          <w:tcPr>
            <w:tcW w:w="0" w:type="auto"/>
            <w:tcBorders>
              <w:top w:val="nil"/>
              <w:left w:val="nil"/>
              <w:bottom w:val="nil"/>
              <w:right w:val="nil"/>
            </w:tcBorders>
          </w:tcPr>
          <w:p w14:paraId="71E81F6F" w14:textId="725FEA12"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3.0</w:t>
            </w:r>
          </w:p>
        </w:tc>
        <w:tc>
          <w:tcPr>
            <w:tcW w:w="0" w:type="auto"/>
            <w:tcBorders>
              <w:top w:val="nil"/>
              <w:left w:val="nil"/>
              <w:bottom w:val="nil"/>
              <w:right w:val="nil"/>
            </w:tcBorders>
          </w:tcPr>
          <w:p w14:paraId="710AE1ED" w14:textId="64A3A4D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5.9</w:t>
            </w:r>
          </w:p>
        </w:tc>
        <w:tc>
          <w:tcPr>
            <w:tcW w:w="0" w:type="auto"/>
            <w:tcBorders>
              <w:top w:val="nil"/>
              <w:left w:val="nil"/>
              <w:bottom w:val="nil"/>
              <w:right w:val="nil"/>
            </w:tcBorders>
          </w:tcPr>
          <w:p w14:paraId="498A43FF" w14:textId="74F84A2F"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6.5</w:t>
            </w:r>
          </w:p>
        </w:tc>
        <w:tc>
          <w:tcPr>
            <w:tcW w:w="0" w:type="auto"/>
            <w:tcBorders>
              <w:top w:val="nil"/>
              <w:left w:val="nil"/>
              <w:bottom w:val="nil"/>
              <w:right w:val="nil"/>
            </w:tcBorders>
          </w:tcPr>
          <w:p w14:paraId="585F7410" w14:textId="7442EB1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6.2</w:t>
            </w:r>
          </w:p>
        </w:tc>
      </w:tr>
      <w:tr w:rsidR="00CB384A" w:rsidRPr="006E0ED7" w14:paraId="0B1FF2E9" w14:textId="77777777" w:rsidTr="00CB384A">
        <w:trPr>
          <w:jc w:val="center"/>
        </w:trPr>
        <w:tc>
          <w:tcPr>
            <w:tcW w:w="0" w:type="auto"/>
            <w:tcBorders>
              <w:top w:val="nil"/>
              <w:left w:val="nil"/>
              <w:bottom w:val="nil"/>
              <w:right w:val="nil"/>
            </w:tcBorders>
          </w:tcPr>
          <w:p w14:paraId="1C5D5B4C" w14:textId="464B7E8F"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Reactor Performance </w:t>
            </w:r>
          </w:p>
        </w:tc>
        <w:tc>
          <w:tcPr>
            <w:tcW w:w="0" w:type="auto"/>
            <w:tcBorders>
              <w:top w:val="nil"/>
              <w:left w:val="nil"/>
              <w:bottom w:val="nil"/>
              <w:right w:val="nil"/>
            </w:tcBorders>
          </w:tcPr>
          <w:p w14:paraId="4484330C" w14:textId="59431F78"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7 </w:t>
            </w:r>
          </w:p>
        </w:tc>
        <w:tc>
          <w:tcPr>
            <w:tcW w:w="0" w:type="auto"/>
            <w:tcBorders>
              <w:top w:val="nil"/>
              <w:left w:val="nil"/>
              <w:bottom w:val="nil"/>
              <w:right w:val="nil"/>
            </w:tcBorders>
          </w:tcPr>
          <w:p w14:paraId="1EA7354B" w14:textId="4642325D"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6.1</w:t>
            </w:r>
          </w:p>
        </w:tc>
        <w:tc>
          <w:tcPr>
            <w:tcW w:w="0" w:type="auto"/>
            <w:tcBorders>
              <w:top w:val="nil"/>
              <w:left w:val="nil"/>
              <w:bottom w:val="nil"/>
              <w:right w:val="nil"/>
            </w:tcBorders>
          </w:tcPr>
          <w:p w14:paraId="0FB4413C" w14:textId="7493059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6.0</w:t>
            </w:r>
          </w:p>
        </w:tc>
        <w:tc>
          <w:tcPr>
            <w:tcW w:w="0" w:type="auto"/>
            <w:tcBorders>
              <w:top w:val="nil"/>
              <w:left w:val="nil"/>
              <w:bottom w:val="nil"/>
              <w:right w:val="nil"/>
            </w:tcBorders>
          </w:tcPr>
          <w:p w14:paraId="11375D1D" w14:textId="474AF3C2"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3.8</w:t>
            </w:r>
          </w:p>
        </w:tc>
        <w:tc>
          <w:tcPr>
            <w:tcW w:w="0" w:type="auto"/>
            <w:tcBorders>
              <w:top w:val="nil"/>
              <w:left w:val="nil"/>
              <w:bottom w:val="nil"/>
              <w:right w:val="nil"/>
            </w:tcBorders>
          </w:tcPr>
          <w:p w14:paraId="13FBCB7F" w14:textId="21763B69"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5.2</w:t>
            </w:r>
          </w:p>
        </w:tc>
        <w:tc>
          <w:tcPr>
            <w:tcW w:w="0" w:type="auto"/>
            <w:tcBorders>
              <w:top w:val="nil"/>
              <w:left w:val="nil"/>
              <w:bottom w:val="nil"/>
              <w:right w:val="nil"/>
            </w:tcBorders>
          </w:tcPr>
          <w:p w14:paraId="3DBA9630" w14:textId="4FD1EE21"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5.9</w:t>
            </w:r>
          </w:p>
        </w:tc>
        <w:tc>
          <w:tcPr>
            <w:tcW w:w="0" w:type="auto"/>
            <w:tcBorders>
              <w:top w:val="nil"/>
              <w:left w:val="nil"/>
              <w:bottom w:val="nil"/>
              <w:right w:val="nil"/>
            </w:tcBorders>
          </w:tcPr>
          <w:p w14:paraId="3A207B1E" w14:textId="43A950A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4.1</w:t>
            </w:r>
          </w:p>
        </w:tc>
      </w:tr>
      <w:tr w:rsidR="00CB384A" w:rsidRPr="006E0ED7" w14:paraId="7FEE6E03" w14:textId="77777777" w:rsidTr="00CB384A">
        <w:trPr>
          <w:jc w:val="center"/>
        </w:trPr>
        <w:tc>
          <w:tcPr>
            <w:tcW w:w="0" w:type="auto"/>
            <w:tcBorders>
              <w:top w:val="nil"/>
              <w:left w:val="nil"/>
              <w:bottom w:val="nil"/>
              <w:right w:val="nil"/>
            </w:tcBorders>
          </w:tcPr>
          <w:p w14:paraId="63B69348" w14:textId="55C5E632"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Safety of the Reactor Design </w:t>
            </w:r>
          </w:p>
        </w:tc>
        <w:tc>
          <w:tcPr>
            <w:tcW w:w="0" w:type="auto"/>
            <w:tcBorders>
              <w:top w:val="nil"/>
              <w:left w:val="nil"/>
              <w:bottom w:val="nil"/>
              <w:right w:val="nil"/>
            </w:tcBorders>
          </w:tcPr>
          <w:p w14:paraId="6E3D2BA9" w14:textId="241CFBBC"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16.5 </w:t>
            </w:r>
          </w:p>
        </w:tc>
        <w:tc>
          <w:tcPr>
            <w:tcW w:w="0" w:type="auto"/>
            <w:tcBorders>
              <w:top w:val="nil"/>
              <w:left w:val="nil"/>
              <w:bottom w:val="nil"/>
              <w:right w:val="nil"/>
            </w:tcBorders>
          </w:tcPr>
          <w:p w14:paraId="3BC0F1EC" w14:textId="51885A15"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16.2</w:t>
            </w:r>
          </w:p>
        </w:tc>
        <w:tc>
          <w:tcPr>
            <w:tcW w:w="0" w:type="auto"/>
            <w:tcBorders>
              <w:top w:val="nil"/>
              <w:left w:val="nil"/>
              <w:bottom w:val="nil"/>
              <w:right w:val="nil"/>
            </w:tcBorders>
          </w:tcPr>
          <w:p w14:paraId="740DCA91" w14:textId="76F4A6AD"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16.0</w:t>
            </w:r>
          </w:p>
        </w:tc>
        <w:tc>
          <w:tcPr>
            <w:tcW w:w="0" w:type="auto"/>
            <w:tcBorders>
              <w:top w:val="nil"/>
              <w:left w:val="nil"/>
              <w:bottom w:val="nil"/>
              <w:right w:val="nil"/>
            </w:tcBorders>
          </w:tcPr>
          <w:p w14:paraId="502102BA" w14:textId="22AB2CE4"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13.0</w:t>
            </w:r>
          </w:p>
        </w:tc>
        <w:tc>
          <w:tcPr>
            <w:tcW w:w="0" w:type="auto"/>
            <w:tcBorders>
              <w:top w:val="nil"/>
              <w:left w:val="nil"/>
              <w:bottom w:val="nil"/>
              <w:right w:val="nil"/>
            </w:tcBorders>
          </w:tcPr>
          <w:p w14:paraId="1D7282B2" w14:textId="1BE5EBFD"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12.2</w:t>
            </w:r>
          </w:p>
        </w:tc>
        <w:tc>
          <w:tcPr>
            <w:tcW w:w="0" w:type="auto"/>
            <w:tcBorders>
              <w:top w:val="nil"/>
              <w:left w:val="nil"/>
              <w:bottom w:val="nil"/>
              <w:right w:val="nil"/>
            </w:tcBorders>
          </w:tcPr>
          <w:p w14:paraId="4D0CBA6F" w14:textId="5E9B157C"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14.8</w:t>
            </w:r>
          </w:p>
        </w:tc>
        <w:tc>
          <w:tcPr>
            <w:tcW w:w="0" w:type="auto"/>
            <w:tcBorders>
              <w:top w:val="nil"/>
              <w:left w:val="nil"/>
              <w:bottom w:val="nil"/>
              <w:right w:val="nil"/>
            </w:tcBorders>
          </w:tcPr>
          <w:p w14:paraId="7C591102" w14:textId="7E94284F"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12.5</w:t>
            </w:r>
          </w:p>
        </w:tc>
      </w:tr>
      <w:tr w:rsidR="00CB384A" w:rsidRPr="006E0ED7" w14:paraId="34B5DE48" w14:textId="77777777" w:rsidTr="00CB384A">
        <w:trPr>
          <w:jc w:val="center"/>
        </w:trPr>
        <w:tc>
          <w:tcPr>
            <w:tcW w:w="0" w:type="auto"/>
            <w:tcBorders>
              <w:top w:val="nil"/>
              <w:left w:val="nil"/>
              <w:bottom w:val="nil"/>
              <w:right w:val="nil"/>
            </w:tcBorders>
          </w:tcPr>
          <w:p w14:paraId="78FF65B1" w14:textId="5AD1A814"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Fuel Cycle, WM, Non-Proliferation </w:t>
            </w:r>
          </w:p>
        </w:tc>
        <w:tc>
          <w:tcPr>
            <w:tcW w:w="0" w:type="auto"/>
            <w:tcBorders>
              <w:top w:val="nil"/>
              <w:left w:val="nil"/>
              <w:bottom w:val="nil"/>
              <w:right w:val="nil"/>
            </w:tcBorders>
          </w:tcPr>
          <w:p w14:paraId="78ED3A33" w14:textId="3829E4A1"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10.5 </w:t>
            </w:r>
          </w:p>
        </w:tc>
        <w:tc>
          <w:tcPr>
            <w:tcW w:w="0" w:type="auto"/>
            <w:tcBorders>
              <w:top w:val="nil"/>
              <w:left w:val="nil"/>
              <w:bottom w:val="nil"/>
              <w:right w:val="nil"/>
            </w:tcBorders>
          </w:tcPr>
          <w:p w14:paraId="3FDE9CF4" w14:textId="14DB5EFB"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7.7</w:t>
            </w:r>
          </w:p>
        </w:tc>
        <w:tc>
          <w:tcPr>
            <w:tcW w:w="0" w:type="auto"/>
            <w:tcBorders>
              <w:top w:val="nil"/>
              <w:left w:val="nil"/>
              <w:bottom w:val="nil"/>
              <w:right w:val="nil"/>
            </w:tcBorders>
          </w:tcPr>
          <w:p w14:paraId="5A38222B" w14:textId="3ED77576"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6.7</w:t>
            </w:r>
          </w:p>
        </w:tc>
        <w:tc>
          <w:tcPr>
            <w:tcW w:w="0" w:type="auto"/>
            <w:tcBorders>
              <w:top w:val="nil"/>
              <w:left w:val="nil"/>
              <w:bottom w:val="nil"/>
              <w:right w:val="nil"/>
            </w:tcBorders>
          </w:tcPr>
          <w:p w14:paraId="3683AA2E" w14:textId="6AC20522"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7.8</w:t>
            </w:r>
          </w:p>
        </w:tc>
        <w:tc>
          <w:tcPr>
            <w:tcW w:w="0" w:type="auto"/>
            <w:tcBorders>
              <w:top w:val="nil"/>
              <w:left w:val="nil"/>
              <w:bottom w:val="nil"/>
              <w:right w:val="nil"/>
            </w:tcBorders>
          </w:tcPr>
          <w:p w14:paraId="74248963" w14:textId="304BDE51"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7.3</w:t>
            </w:r>
          </w:p>
        </w:tc>
        <w:tc>
          <w:tcPr>
            <w:tcW w:w="0" w:type="auto"/>
            <w:tcBorders>
              <w:top w:val="nil"/>
              <w:left w:val="nil"/>
              <w:bottom w:val="nil"/>
              <w:right w:val="nil"/>
            </w:tcBorders>
          </w:tcPr>
          <w:p w14:paraId="38B7A3A3" w14:textId="699C91A8"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7.9</w:t>
            </w:r>
          </w:p>
        </w:tc>
        <w:tc>
          <w:tcPr>
            <w:tcW w:w="0" w:type="auto"/>
            <w:tcBorders>
              <w:top w:val="nil"/>
              <w:left w:val="nil"/>
              <w:bottom w:val="nil"/>
              <w:right w:val="nil"/>
            </w:tcBorders>
          </w:tcPr>
          <w:p w14:paraId="780D63AD" w14:textId="368CB7C4"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6.6</w:t>
            </w:r>
          </w:p>
        </w:tc>
      </w:tr>
      <w:tr w:rsidR="00CB384A" w:rsidRPr="006E0ED7" w14:paraId="11BC5AC4" w14:textId="77777777" w:rsidTr="00CB384A">
        <w:trPr>
          <w:jc w:val="center"/>
        </w:trPr>
        <w:tc>
          <w:tcPr>
            <w:tcW w:w="0" w:type="auto"/>
            <w:tcBorders>
              <w:top w:val="nil"/>
              <w:left w:val="nil"/>
              <w:bottom w:val="nil"/>
              <w:right w:val="nil"/>
            </w:tcBorders>
          </w:tcPr>
          <w:p w14:paraId="1CF18AF0" w14:textId="0A37B903"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Licensing and Operating Experience </w:t>
            </w:r>
          </w:p>
        </w:tc>
        <w:tc>
          <w:tcPr>
            <w:tcW w:w="0" w:type="auto"/>
            <w:tcBorders>
              <w:top w:val="nil"/>
              <w:left w:val="nil"/>
              <w:bottom w:val="nil"/>
              <w:right w:val="nil"/>
            </w:tcBorders>
          </w:tcPr>
          <w:p w14:paraId="796BC923" w14:textId="16C14EE8"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14 </w:t>
            </w:r>
          </w:p>
        </w:tc>
        <w:tc>
          <w:tcPr>
            <w:tcW w:w="0" w:type="auto"/>
            <w:tcBorders>
              <w:top w:val="nil"/>
              <w:left w:val="nil"/>
              <w:bottom w:val="nil"/>
              <w:right w:val="nil"/>
            </w:tcBorders>
          </w:tcPr>
          <w:p w14:paraId="37104D82" w14:textId="4F72BCF5"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10.7</w:t>
            </w:r>
          </w:p>
        </w:tc>
        <w:tc>
          <w:tcPr>
            <w:tcW w:w="0" w:type="auto"/>
            <w:tcBorders>
              <w:top w:val="nil"/>
              <w:left w:val="nil"/>
              <w:bottom w:val="nil"/>
              <w:right w:val="nil"/>
            </w:tcBorders>
          </w:tcPr>
          <w:p w14:paraId="077A4F91" w14:textId="7FC7EC46"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7.4</w:t>
            </w:r>
          </w:p>
        </w:tc>
        <w:tc>
          <w:tcPr>
            <w:tcW w:w="0" w:type="auto"/>
            <w:tcBorders>
              <w:top w:val="nil"/>
              <w:left w:val="nil"/>
              <w:bottom w:val="nil"/>
              <w:right w:val="nil"/>
            </w:tcBorders>
          </w:tcPr>
          <w:p w14:paraId="7A4B3142" w14:textId="33C0418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10.6</w:t>
            </w:r>
          </w:p>
        </w:tc>
        <w:tc>
          <w:tcPr>
            <w:tcW w:w="0" w:type="auto"/>
            <w:tcBorders>
              <w:top w:val="nil"/>
              <w:left w:val="nil"/>
              <w:bottom w:val="nil"/>
              <w:right w:val="nil"/>
            </w:tcBorders>
          </w:tcPr>
          <w:p w14:paraId="31ADAB09" w14:textId="719D9FF1"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7.5</w:t>
            </w:r>
          </w:p>
        </w:tc>
        <w:tc>
          <w:tcPr>
            <w:tcW w:w="0" w:type="auto"/>
            <w:tcBorders>
              <w:top w:val="nil"/>
              <w:left w:val="nil"/>
              <w:bottom w:val="nil"/>
              <w:right w:val="nil"/>
            </w:tcBorders>
          </w:tcPr>
          <w:p w14:paraId="6E874E0F" w14:textId="470DD597"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9.9</w:t>
            </w:r>
          </w:p>
        </w:tc>
        <w:tc>
          <w:tcPr>
            <w:tcW w:w="0" w:type="auto"/>
            <w:tcBorders>
              <w:top w:val="nil"/>
              <w:left w:val="nil"/>
              <w:bottom w:val="nil"/>
              <w:right w:val="nil"/>
            </w:tcBorders>
          </w:tcPr>
          <w:p w14:paraId="57CA94D4" w14:textId="78C7D134"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6.9</w:t>
            </w:r>
          </w:p>
        </w:tc>
      </w:tr>
      <w:tr w:rsidR="00CB384A" w:rsidRPr="006E0ED7" w14:paraId="0DA9EAC0" w14:textId="77777777" w:rsidTr="00CB384A">
        <w:trPr>
          <w:jc w:val="center"/>
        </w:trPr>
        <w:tc>
          <w:tcPr>
            <w:tcW w:w="0" w:type="auto"/>
            <w:tcBorders>
              <w:top w:val="nil"/>
              <w:left w:val="nil"/>
              <w:bottom w:val="nil"/>
              <w:right w:val="nil"/>
            </w:tcBorders>
          </w:tcPr>
          <w:p w14:paraId="01F2CB34" w14:textId="3B5E5DD6"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Vendor Long-Term Commitment </w:t>
            </w:r>
          </w:p>
        </w:tc>
        <w:tc>
          <w:tcPr>
            <w:tcW w:w="0" w:type="auto"/>
            <w:tcBorders>
              <w:top w:val="nil"/>
              <w:left w:val="nil"/>
              <w:bottom w:val="nil"/>
              <w:right w:val="nil"/>
            </w:tcBorders>
          </w:tcPr>
          <w:p w14:paraId="5A6A2DA1" w14:textId="26DC0915"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11 </w:t>
            </w:r>
          </w:p>
        </w:tc>
        <w:tc>
          <w:tcPr>
            <w:tcW w:w="0" w:type="auto"/>
            <w:tcBorders>
              <w:top w:val="nil"/>
              <w:left w:val="nil"/>
              <w:bottom w:val="nil"/>
              <w:right w:val="nil"/>
            </w:tcBorders>
          </w:tcPr>
          <w:p w14:paraId="36656BFB" w14:textId="24B19F72"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9.1</w:t>
            </w:r>
          </w:p>
        </w:tc>
        <w:tc>
          <w:tcPr>
            <w:tcW w:w="0" w:type="auto"/>
            <w:tcBorders>
              <w:top w:val="nil"/>
              <w:left w:val="nil"/>
              <w:bottom w:val="nil"/>
              <w:right w:val="nil"/>
            </w:tcBorders>
          </w:tcPr>
          <w:p w14:paraId="6BEC5BA4" w14:textId="4D3E8D17"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8.2</w:t>
            </w:r>
          </w:p>
        </w:tc>
        <w:tc>
          <w:tcPr>
            <w:tcW w:w="0" w:type="auto"/>
            <w:tcBorders>
              <w:top w:val="nil"/>
              <w:left w:val="nil"/>
              <w:bottom w:val="nil"/>
              <w:right w:val="nil"/>
            </w:tcBorders>
          </w:tcPr>
          <w:p w14:paraId="65848C26" w14:textId="73B7796E"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9.5</w:t>
            </w:r>
          </w:p>
        </w:tc>
        <w:tc>
          <w:tcPr>
            <w:tcW w:w="0" w:type="auto"/>
            <w:tcBorders>
              <w:top w:val="nil"/>
              <w:left w:val="nil"/>
              <w:bottom w:val="nil"/>
              <w:right w:val="nil"/>
            </w:tcBorders>
          </w:tcPr>
          <w:p w14:paraId="29018B76" w14:textId="60BA5523"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9.0</w:t>
            </w:r>
          </w:p>
        </w:tc>
        <w:tc>
          <w:tcPr>
            <w:tcW w:w="0" w:type="auto"/>
            <w:tcBorders>
              <w:top w:val="nil"/>
              <w:left w:val="nil"/>
              <w:bottom w:val="nil"/>
              <w:right w:val="nil"/>
            </w:tcBorders>
          </w:tcPr>
          <w:p w14:paraId="3B4FF8CC" w14:textId="67611A5F"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8.2</w:t>
            </w:r>
          </w:p>
        </w:tc>
        <w:tc>
          <w:tcPr>
            <w:tcW w:w="0" w:type="auto"/>
            <w:tcBorders>
              <w:top w:val="nil"/>
              <w:left w:val="nil"/>
              <w:bottom w:val="nil"/>
              <w:right w:val="nil"/>
            </w:tcBorders>
          </w:tcPr>
          <w:p w14:paraId="0608762A" w14:textId="133D959E"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4.9</w:t>
            </w:r>
          </w:p>
        </w:tc>
      </w:tr>
      <w:tr w:rsidR="00CB384A" w:rsidRPr="006E0ED7" w14:paraId="5902C81C" w14:textId="77777777" w:rsidTr="00CB384A">
        <w:trPr>
          <w:jc w:val="center"/>
        </w:trPr>
        <w:tc>
          <w:tcPr>
            <w:tcW w:w="0" w:type="auto"/>
            <w:tcBorders>
              <w:top w:val="nil"/>
              <w:left w:val="nil"/>
              <w:bottom w:val="single" w:sz="4" w:space="0" w:color="auto"/>
              <w:right w:val="nil"/>
            </w:tcBorders>
          </w:tcPr>
          <w:p w14:paraId="4A9F71C9" w14:textId="4208C18B"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Site and Infrastructure </w:t>
            </w:r>
          </w:p>
        </w:tc>
        <w:tc>
          <w:tcPr>
            <w:tcW w:w="0" w:type="auto"/>
            <w:tcBorders>
              <w:top w:val="nil"/>
              <w:left w:val="nil"/>
              <w:bottom w:val="single" w:sz="4" w:space="0" w:color="auto"/>
              <w:right w:val="nil"/>
            </w:tcBorders>
          </w:tcPr>
          <w:p w14:paraId="61DD0209" w14:textId="64F5CB68"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sz w:val="18"/>
                <w:szCs w:val="18"/>
              </w:rPr>
              <w:t xml:space="preserve">8.5 </w:t>
            </w:r>
          </w:p>
        </w:tc>
        <w:tc>
          <w:tcPr>
            <w:tcW w:w="0" w:type="auto"/>
            <w:tcBorders>
              <w:top w:val="nil"/>
              <w:left w:val="nil"/>
              <w:bottom w:val="single" w:sz="4" w:space="0" w:color="auto"/>
              <w:right w:val="nil"/>
            </w:tcBorders>
          </w:tcPr>
          <w:p w14:paraId="76A40130" w14:textId="3CA17F7A"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5.8</w:t>
            </w:r>
          </w:p>
        </w:tc>
        <w:tc>
          <w:tcPr>
            <w:tcW w:w="0" w:type="auto"/>
            <w:tcBorders>
              <w:top w:val="nil"/>
              <w:left w:val="nil"/>
              <w:bottom w:val="single" w:sz="4" w:space="0" w:color="auto"/>
              <w:right w:val="nil"/>
            </w:tcBorders>
          </w:tcPr>
          <w:p w14:paraId="0CCE7A30" w14:textId="1AA4443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6.4</w:t>
            </w:r>
          </w:p>
        </w:tc>
        <w:tc>
          <w:tcPr>
            <w:tcW w:w="0" w:type="auto"/>
            <w:tcBorders>
              <w:top w:val="nil"/>
              <w:left w:val="nil"/>
              <w:bottom w:val="single" w:sz="4" w:space="0" w:color="auto"/>
              <w:right w:val="nil"/>
            </w:tcBorders>
          </w:tcPr>
          <w:p w14:paraId="68323EB4" w14:textId="2AD8A94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5.6</w:t>
            </w:r>
          </w:p>
        </w:tc>
        <w:tc>
          <w:tcPr>
            <w:tcW w:w="0" w:type="auto"/>
            <w:tcBorders>
              <w:top w:val="nil"/>
              <w:left w:val="nil"/>
              <w:bottom w:val="single" w:sz="4" w:space="0" w:color="auto"/>
              <w:right w:val="nil"/>
            </w:tcBorders>
          </w:tcPr>
          <w:p w14:paraId="6A9C733A" w14:textId="54E1BE7C"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6.1</w:t>
            </w:r>
          </w:p>
        </w:tc>
        <w:tc>
          <w:tcPr>
            <w:tcW w:w="0" w:type="auto"/>
            <w:tcBorders>
              <w:top w:val="nil"/>
              <w:left w:val="nil"/>
              <w:bottom w:val="single" w:sz="4" w:space="0" w:color="auto"/>
              <w:right w:val="nil"/>
            </w:tcBorders>
          </w:tcPr>
          <w:p w14:paraId="0EFD713C" w14:textId="73558AC3"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6.2</w:t>
            </w:r>
          </w:p>
        </w:tc>
        <w:tc>
          <w:tcPr>
            <w:tcW w:w="0" w:type="auto"/>
            <w:tcBorders>
              <w:top w:val="nil"/>
              <w:left w:val="nil"/>
              <w:bottom w:val="single" w:sz="4" w:space="0" w:color="auto"/>
              <w:right w:val="nil"/>
            </w:tcBorders>
          </w:tcPr>
          <w:p w14:paraId="2BEDB342" w14:textId="33B9546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sz w:val="18"/>
                <w:szCs w:val="18"/>
              </w:rPr>
              <w:t>5.3</w:t>
            </w:r>
          </w:p>
        </w:tc>
      </w:tr>
      <w:tr w:rsidR="00CB384A" w:rsidRPr="006E0ED7" w14:paraId="0DD6ABA6" w14:textId="77777777" w:rsidTr="00CB384A">
        <w:trPr>
          <w:jc w:val="center"/>
        </w:trPr>
        <w:tc>
          <w:tcPr>
            <w:tcW w:w="0" w:type="auto"/>
            <w:tcBorders>
              <w:top w:val="single" w:sz="4" w:space="0" w:color="auto"/>
              <w:left w:val="nil"/>
              <w:right w:val="nil"/>
            </w:tcBorders>
          </w:tcPr>
          <w:p w14:paraId="5AC3D1E8" w14:textId="37E91262"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b/>
                <w:bCs/>
                <w:sz w:val="18"/>
                <w:szCs w:val="18"/>
              </w:rPr>
              <w:t xml:space="preserve">Total </w:t>
            </w:r>
          </w:p>
        </w:tc>
        <w:tc>
          <w:tcPr>
            <w:tcW w:w="0" w:type="auto"/>
            <w:tcBorders>
              <w:top w:val="single" w:sz="4" w:space="0" w:color="auto"/>
              <w:left w:val="nil"/>
              <w:right w:val="nil"/>
            </w:tcBorders>
          </w:tcPr>
          <w:p w14:paraId="2558952A" w14:textId="03731B50" w:rsidR="00CB384A" w:rsidRPr="006E0ED7" w:rsidRDefault="00CB384A" w:rsidP="00CB384A">
            <w:pPr>
              <w:pStyle w:val="BodyText"/>
              <w:ind w:firstLine="0"/>
              <w:jc w:val="left"/>
              <w:rPr>
                <w:rFonts w:asciiTheme="majorBidi" w:hAnsiTheme="majorBidi" w:cstheme="majorBidi"/>
                <w:sz w:val="18"/>
                <w:szCs w:val="18"/>
                <w:lang w:val="en-US"/>
              </w:rPr>
            </w:pPr>
            <w:r w:rsidRPr="006E0ED7">
              <w:rPr>
                <w:rFonts w:asciiTheme="majorBidi" w:hAnsiTheme="majorBidi" w:cstheme="majorBidi"/>
                <w:b/>
                <w:bCs/>
                <w:sz w:val="18"/>
                <w:szCs w:val="18"/>
              </w:rPr>
              <w:t xml:space="preserve">100 </w:t>
            </w:r>
          </w:p>
        </w:tc>
        <w:tc>
          <w:tcPr>
            <w:tcW w:w="0" w:type="auto"/>
            <w:tcBorders>
              <w:top w:val="single" w:sz="4" w:space="0" w:color="auto"/>
              <w:left w:val="nil"/>
              <w:right w:val="nil"/>
            </w:tcBorders>
          </w:tcPr>
          <w:p w14:paraId="525F249A" w14:textId="67E6B253"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81.0</w:t>
            </w:r>
          </w:p>
        </w:tc>
        <w:tc>
          <w:tcPr>
            <w:tcW w:w="0" w:type="auto"/>
            <w:tcBorders>
              <w:top w:val="single" w:sz="4" w:space="0" w:color="auto"/>
              <w:left w:val="nil"/>
              <w:right w:val="nil"/>
            </w:tcBorders>
          </w:tcPr>
          <w:p w14:paraId="270C1890" w14:textId="185416FC"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74.8</w:t>
            </w:r>
          </w:p>
        </w:tc>
        <w:tc>
          <w:tcPr>
            <w:tcW w:w="0" w:type="auto"/>
            <w:tcBorders>
              <w:top w:val="single" w:sz="4" w:space="0" w:color="auto"/>
              <w:left w:val="nil"/>
              <w:right w:val="nil"/>
            </w:tcBorders>
          </w:tcPr>
          <w:p w14:paraId="16172661" w14:textId="6D028C8C"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67.2</w:t>
            </w:r>
          </w:p>
        </w:tc>
        <w:tc>
          <w:tcPr>
            <w:tcW w:w="0" w:type="auto"/>
            <w:tcBorders>
              <w:top w:val="single" w:sz="4" w:space="0" w:color="auto"/>
              <w:left w:val="nil"/>
              <w:right w:val="nil"/>
            </w:tcBorders>
          </w:tcPr>
          <w:p w14:paraId="11281774" w14:textId="15D6D03F"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70.6</w:t>
            </w:r>
          </w:p>
        </w:tc>
        <w:tc>
          <w:tcPr>
            <w:tcW w:w="0" w:type="auto"/>
            <w:tcBorders>
              <w:top w:val="single" w:sz="4" w:space="0" w:color="auto"/>
              <w:left w:val="nil"/>
              <w:right w:val="nil"/>
            </w:tcBorders>
          </w:tcPr>
          <w:p w14:paraId="4A188A2B" w14:textId="6CFFBE40"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77.9</w:t>
            </w:r>
          </w:p>
        </w:tc>
        <w:tc>
          <w:tcPr>
            <w:tcW w:w="0" w:type="auto"/>
            <w:tcBorders>
              <w:top w:val="single" w:sz="4" w:space="0" w:color="auto"/>
              <w:left w:val="nil"/>
              <w:right w:val="nil"/>
            </w:tcBorders>
          </w:tcPr>
          <w:p w14:paraId="2A7962F9" w14:textId="2A329463" w:rsidR="00CB384A" w:rsidRPr="006E0ED7" w:rsidRDefault="00CB384A" w:rsidP="00CB384A">
            <w:pPr>
              <w:pStyle w:val="BodyText"/>
              <w:ind w:firstLine="0"/>
              <w:jc w:val="center"/>
              <w:rPr>
                <w:rFonts w:asciiTheme="majorBidi" w:hAnsiTheme="majorBidi" w:cstheme="majorBidi"/>
                <w:sz w:val="18"/>
                <w:szCs w:val="18"/>
                <w:lang w:val="en-US"/>
              </w:rPr>
            </w:pPr>
            <w:r w:rsidRPr="006E0ED7">
              <w:rPr>
                <w:rFonts w:asciiTheme="majorBidi" w:hAnsiTheme="majorBidi" w:cstheme="majorBidi"/>
                <w:b/>
                <w:bCs/>
                <w:sz w:val="18"/>
                <w:szCs w:val="18"/>
              </w:rPr>
              <w:t>63.9</w:t>
            </w:r>
          </w:p>
        </w:tc>
      </w:tr>
    </w:tbl>
    <w:p w14:paraId="35BFCDD9" w14:textId="4F3F221B" w:rsidR="00BB585C" w:rsidRDefault="00BB585C" w:rsidP="00BB585C">
      <w:pPr>
        <w:pStyle w:val="Heading4"/>
        <w:ind w:left="0"/>
      </w:pPr>
      <w:r w:rsidRPr="008B163E">
        <w:t>Key Factors</w:t>
      </w:r>
      <w:r>
        <w:t xml:space="preserve"> (KF)</w:t>
      </w:r>
    </w:p>
    <w:p w14:paraId="6B3FAB6A" w14:textId="2AFDB5E9" w:rsidR="005D0936" w:rsidRDefault="006E0ED7" w:rsidP="002A01B2">
      <w:pPr>
        <w:pStyle w:val="BodyText"/>
        <w:rPr>
          <w:lang w:val="en-US"/>
        </w:rPr>
      </w:pPr>
      <w:r w:rsidRPr="006E0ED7">
        <w:rPr>
          <w:lang w:val="en-US"/>
        </w:rPr>
        <w:t>To</w:t>
      </w:r>
      <w:r w:rsidR="00BB585C" w:rsidRPr="00BB585C">
        <w:rPr>
          <w:lang w:val="en-US"/>
        </w:rPr>
        <w:t xml:space="preserve"> confirm the EM rankings of the 4 down-selected SMRs, Key Factors (KFs) evaluation and Best-In-Class (BIC) approaches were followed to compare with rankings in the EM. For KF evaluation, JAEC identified 14 factors </w:t>
      </w:r>
      <w:r w:rsidR="002A01B2">
        <w:rPr>
          <w:lang w:val="en-US"/>
        </w:rPr>
        <w:t xml:space="preserve">of </w:t>
      </w:r>
      <w:r w:rsidR="00BB585C" w:rsidRPr="00BB585C">
        <w:rPr>
          <w:lang w:val="en-US"/>
        </w:rPr>
        <w:t xml:space="preserve">prime importance based on established guidelines extracted from the EM approach. KFs were equally weighted and graded out of 3 each (42 for </w:t>
      </w:r>
      <w:r w:rsidR="00825EF3">
        <w:rPr>
          <w:lang w:val="en-US"/>
        </w:rPr>
        <w:t>14 KFs). The results for</w:t>
      </w:r>
      <w:r w:rsidR="00BB585C" w:rsidRPr="00BB585C">
        <w:rPr>
          <w:lang w:val="en-US"/>
        </w:rPr>
        <w:t xml:space="preserve"> the final KF evaluations are presented in</w:t>
      </w:r>
      <w:r w:rsidR="00B547C6">
        <w:rPr>
          <w:lang w:val="en-US"/>
        </w:rPr>
        <w:t xml:space="preserve"> </w:t>
      </w:r>
      <w:r w:rsidR="00B547C6">
        <w:rPr>
          <w:lang w:val="en-US"/>
        </w:rPr>
        <w:fldChar w:fldCharType="begin"/>
      </w:r>
      <w:r w:rsidR="00B547C6">
        <w:rPr>
          <w:lang w:val="en-US"/>
        </w:rPr>
        <w:instrText xml:space="preserve"> REF _Ref167879695 \h </w:instrText>
      </w:r>
      <w:r w:rsidR="00B547C6">
        <w:rPr>
          <w:lang w:val="en-US"/>
        </w:rPr>
      </w:r>
      <w:r w:rsidR="00B547C6">
        <w:rPr>
          <w:lang w:val="en-US"/>
        </w:rPr>
        <w:fldChar w:fldCharType="separate"/>
      </w:r>
      <w:r w:rsidR="00B547C6" w:rsidRPr="00A730AF">
        <w:rPr>
          <w:szCs w:val="22"/>
        </w:rPr>
        <w:t xml:space="preserve">TABLE </w:t>
      </w:r>
      <w:r w:rsidR="00B547C6">
        <w:rPr>
          <w:noProof/>
          <w:szCs w:val="22"/>
        </w:rPr>
        <w:t>4</w:t>
      </w:r>
      <w:r w:rsidR="00B547C6">
        <w:rPr>
          <w:lang w:val="en-US"/>
        </w:rPr>
        <w:fldChar w:fldCharType="end"/>
      </w:r>
    </w:p>
    <w:p w14:paraId="5CD8366D" w14:textId="77777777" w:rsidR="00BB585C" w:rsidRPr="005D0936" w:rsidRDefault="00BB585C" w:rsidP="005D0936">
      <w:pPr>
        <w:pStyle w:val="BodyText"/>
        <w:rPr>
          <w:lang w:val="en-US"/>
        </w:rPr>
      </w:pPr>
    </w:p>
    <w:p w14:paraId="1D3AB4F2" w14:textId="45445011" w:rsidR="00A730AF" w:rsidRPr="00A730AF" w:rsidRDefault="00A730AF" w:rsidP="00A730AF">
      <w:pPr>
        <w:pStyle w:val="Caption"/>
        <w:keepNext/>
        <w:rPr>
          <w:sz w:val="20"/>
          <w:szCs w:val="22"/>
        </w:rPr>
      </w:pPr>
      <w:bookmarkStart w:id="4" w:name="_Ref167879695"/>
      <w:r w:rsidRPr="00A730AF">
        <w:rPr>
          <w:sz w:val="20"/>
          <w:szCs w:val="22"/>
        </w:rPr>
        <w:t xml:space="preserve">TABLE </w:t>
      </w:r>
      <w:r w:rsidRPr="00A730AF">
        <w:rPr>
          <w:sz w:val="20"/>
          <w:szCs w:val="22"/>
        </w:rPr>
        <w:fldChar w:fldCharType="begin"/>
      </w:r>
      <w:r w:rsidRPr="00A730AF">
        <w:rPr>
          <w:sz w:val="20"/>
          <w:szCs w:val="22"/>
        </w:rPr>
        <w:instrText xml:space="preserve"> SEQ TABLE \* ARABIC </w:instrText>
      </w:r>
      <w:r w:rsidRPr="00A730AF">
        <w:rPr>
          <w:sz w:val="20"/>
          <w:szCs w:val="22"/>
        </w:rPr>
        <w:fldChar w:fldCharType="separate"/>
      </w:r>
      <w:r w:rsidR="00CA3154">
        <w:rPr>
          <w:noProof/>
          <w:sz w:val="20"/>
          <w:szCs w:val="22"/>
        </w:rPr>
        <w:t>4</w:t>
      </w:r>
      <w:r w:rsidRPr="00A730AF">
        <w:rPr>
          <w:sz w:val="20"/>
          <w:szCs w:val="22"/>
        </w:rPr>
        <w:fldChar w:fldCharType="end"/>
      </w:r>
      <w:bookmarkEnd w:id="4"/>
      <w:r w:rsidRPr="00A730AF">
        <w:rPr>
          <w:sz w:val="20"/>
          <w:szCs w:val="22"/>
        </w:rPr>
        <w:t>. GENERAL KEY FACTORS</w:t>
      </w:r>
      <w:r w:rsidR="006E0ED7">
        <w:rPr>
          <w:sz w:val="20"/>
          <w:szCs w:val="22"/>
        </w:rPr>
        <w:t xml:space="preserve"> EVALUATION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41"/>
        <w:gridCol w:w="531"/>
        <w:gridCol w:w="531"/>
        <w:gridCol w:w="531"/>
        <w:gridCol w:w="531"/>
      </w:tblGrid>
      <w:tr w:rsidR="006E0ED7" w:rsidRPr="006E0ED7" w14:paraId="73F57953" w14:textId="4D7D2BDE" w:rsidTr="006E0ED7">
        <w:trPr>
          <w:jc w:val="center"/>
        </w:trPr>
        <w:tc>
          <w:tcPr>
            <w:tcW w:w="0" w:type="auto"/>
            <w:tcBorders>
              <w:bottom w:val="single" w:sz="4" w:space="0" w:color="auto"/>
            </w:tcBorders>
            <w:vAlign w:val="center"/>
          </w:tcPr>
          <w:p w14:paraId="401A3B3E" w14:textId="23CDB5FA" w:rsidR="006E0ED7" w:rsidRPr="006E0ED7" w:rsidRDefault="006E0ED7" w:rsidP="00D1409D">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Key Factor</w:t>
            </w:r>
          </w:p>
        </w:tc>
        <w:tc>
          <w:tcPr>
            <w:tcW w:w="0" w:type="auto"/>
            <w:tcBorders>
              <w:bottom w:val="single" w:sz="4" w:space="0" w:color="auto"/>
            </w:tcBorders>
          </w:tcPr>
          <w:p w14:paraId="495F9C21" w14:textId="186754F4"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A</w:t>
            </w:r>
          </w:p>
        </w:tc>
        <w:tc>
          <w:tcPr>
            <w:tcW w:w="0" w:type="auto"/>
            <w:tcBorders>
              <w:bottom w:val="single" w:sz="4" w:space="0" w:color="auto"/>
            </w:tcBorders>
          </w:tcPr>
          <w:p w14:paraId="489B8F61" w14:textId="3261276B"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E</w:t>
            </w:r>
          </w:p>
        </w:tc>
        <w:tc>
          <w:tcPr>
            <w:tcW w:w="0" w:type="auto"/>
            <w:tcBorders>
              <w:bottom w:val="single" w:sz="4" w:space="0" w:color="auto"/>
            </w:tcBorders>
          </w:tcPr>
          <w:p w14:paraId="12D86584" w14:textId="7BD9E5E2"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B</w:t>
            </w:r>
          </w:p>
        </w:tc>
        <w:tc>
          <w:tcPr>
            <w:tcW w:w="0" w:type="auto"/>
            <w:tcBorders>
              <w:bottom w:val="single" w:sz="4" w:space="0" w:color="auto"/>
            </w:tcBorders>
          </w:tcPr>
          <w:p w14:paraId="5608C654" w14:textId="27E4398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D</w:t>
            </w:r>
          </w:p>
        </w:tc>
      </w:tr>
      <w:tr w:rsidR="006E0ED7" w:rsidRPr="006E0ED7" w14:paraId="554E3689" w14:textId="67968EF7" w:rsidTr="006E0ED7">
        <w:trPr>
          <w:jc w:val="center"/>
        </w:trPr>
        <w:tc>
          <w:tcPr>
            <w:tcW w:w="0" w:type="auto"/>
            <w:tcBorders>
              <w:top w:val="single" w:sz="4" w:space="0" w:color="auto"/>
              <w:bottom w:val="nil"/>
            </w:tcBorders>
          </w:tcPr>
          <w:p w14:paraId="2B3C4F1A" w14:textId="56FC7B48"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General Safety Design Criteria </w:t>
            </w:r>
          </w:p>
        </w:tc>
        <w:tc>
          <w:tcPr>
            <w:tcW w:w="0" w:type="auto"/>
            <w:tcBorders>
              <w:top w:val="single" w:sz="4" w:space="0" w:color="auto"/>
              <w:bottom w:val="nil"/>
            </w:tcBorders>
          </w:tcPr>
          <w:p w14:paraId="43B36C4A" w14:textId="1B725DC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2.8</w:t>
            </w:r>
          </w:p>
        </w:tc>
        <w:tc>
          <w:tcPr>
            <w:tcW w:w="0" w:type="auto"/>
            <w:tcBorders>
              <w:top w:val="single" w:sz="4" w:space="0" w:color="auto"/>
              <w:bottom w:val="nil"/>
            </w:tcBorders>
          </w:tcPr>
          <w:p w14:paraId="32D21C0E" w14:textId="0D857384"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c>
          <w:tcPr>
            <w:tcW w:w="0" w:type="auto"/>
            <w:tcBorders>
              <w:top w:val="single" w:sz="4" w:space="0" w:color="auto"/>
              <w:bottom w:val="nil"/>
            </w:tcBorders>
          </w:tcPr>
          <w:p w14:paraId="418B13C3" w14:textId="53AD53F6"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2.8</w:t>
            </w:r>
          </w:p>
        </w:tc>
        <w:tc>
          <w:tcPr>
            <w:tcW w:w="0" w:type="auto"/>
            <w:tcBorders>
              <w:top w:val="single" w:sz="4" w:space="0" w:color="auto"/>
              <w:bottom w:val="nil"/>
            </w:tcBorders>
          </w:tcPr>
          <w:p w14:paraId="15F79271" w14:textId="3B7AE95F"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2.1</w:t>
            </w:r>
          </w:p>
        </w:tc>
      </w:tr>
      <w:tr w:rsidR="006E0ED7" w:rsidRPr="006E0ED7" w14:paraId="4C2CADC7" w14:textId="7E73A0FD" w:rsidTr="006E0ED7">
        <w:trPr>
          <w:jc w:val="center"/>
        </w:trPr>
        <w:tc>
          <w:tcPr>
            <w:tcW w:w="0" w:type="auto"/>
            <w:tcBorders>
              <w:top w:val="nil"/>
              <w:bottom w:val="nil"/>
            </w:tcBorders>
          </w:tcPr>
          <w:p w14:paraId="348F15F0" w14:textId="55B6EA47"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Exclusion Zone </w:t>
            </w:r>
          </w:p>
        </w:tc>
        <w:tc>
          <w:tcPr>
            <w:tcW w:w="0" w:type="auto"/>
            <w:tcBorders>
              <w:top w:val="nil"/>
              <w:bottom w:val="nil"/>
            </w:tcBorders>
          </w:tcPr>
          <w:p w14:paraId="70496ECD" w14:textId="7557B5A7"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c>
          <w:tcPr>
            <w:tcW w:w="0" w:type="auto"/>
            <w:tcBorders>
              <w:top w:val="nil"/>
              <w:bottom w:val="nil"/>
            </w:tcBorders>
          </w:tcPr>
          <w:p w14:paraId="06BC2C40" w14:textId="40E0C732"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7BFA5003" w14:textId="0A46A90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2.6</w:t>
            </w:r>
          </w:p>
        </w:tc>
        <w:tc>
          <w:tcPr>
            <w:tcW w:w="0" w:type="auto"/>
            <w:tcBorders>
              <w:top w:val="nil"/>
              <w:bottom w:val="nil"/>
            </w:tcBorders>
          </w:tcPr>
          <w:p w14:paraId="34F402EC" w14:textId="53CE24B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2.6</w:t>
            </w:r>
          </w:p>
        </w:tc>
      </w:tr>
      <w:tr w:rsidR="006E0ED7" w:rsidRPr="006E0ED7" w14:paraId="3FC2A1D7" w14:textId="77777777" w:rsidTr="006E0ED7">
        <w:trPr>
          <w:jc w:val="center"/>
        </w:trPr>
        <w:tc>
          <w:tcPr>
            <w:tcW w:w="0" w:type="auto"/>
            <w:tcBorders>
              <w:top w:val="nil"/>
              <w:bottom w:val="nil"/>
            </w:tcBorders>
          </w:tcPr>
          <w:p w14:paraId="1EF768FF" w14:textId="168FA7EE"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Seismicity </w:t>
            </w:r>
          </w:p>
        </w:tc>
        <w:tc>
          <w:tcPr>
            <w:tcW w:w="0" w:type="auto"/>
            <w:tcBorders>
              <w:top w:val="nil"/>
              <w:bottom w:val="nil"/>
            </w:tcBorders>
          </w:tcPr>
          <w:p w14:paraId="1483C3F3" w14:textId="26625CEA"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c>
          <w:tcPr>
            <w:tcW w:w="0" w:type="auto"/>
            <w:tcBorders>
              <w:top w:val="nil"/>
              <w:bottom w:val="nil"/>
            </w:tcBorders>
          </w:tcPr>
          <w:p w14:paraId="1E00F56E" w14:textId="269342D8"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25D440A0" w14:textId="7A781708"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c>
          <w:tcPr>
            <w:tcW w:w="0" w:type="auto"/>
            <w:tcBorders>
              <w:top w:val="nil"/>
              <w:bottom w:val="nil"/>
            </w:tcBorders>
          </w:tcPr>
          <w:p w14:paraId="5ABFEE6C" w14:textId="6C188171"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r>
      <w:tr w:rsidR="006E0ED7" w:rsidRPr="006E0ED7" w14:paraId="68230850" w14:textId="77777777" w:rsidTr="006E0ED7">
        <w:trPr>
          <w:jc w:val="center"/>
        </w:trPr>
        <w:tc>
          <w:tcPr>
            <w:tcW w:w="0" w:type="auto"/>
            <w:tcBorders>
              <w:top w:val="nil"/>
              <w:bottom w:val="nil"/>
            </w:tcBorders>
          </w:tcPr>
          <w:p w14:paraId="1CE17303" w14:textId="120338F7"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Aircraft Crash </w:t>
            </w:r>
          </w:p>
        </w:tc>
        <w:tc>
          <w:tcPr>
            <w:tcW w:w="0" w:type="auto"/>
            <w:tcBorders>
              <w:top w:val="nil"/>
              <w:bottom w:val="nil"/>
            </w:tcBorders>
          </w:tcPr>
          <w:p w14:paraId="1005EC12" w14:textId="032ACFDB"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c>
          <w:tcPr>
            <w:tcW w:w="0" w:type="auto"/>
            <w:tcBorders>
              <w:top w:val="nil"/>
              <w:bottom w:val="nil"/>
            </w:tcBorders>
          </w:tcPr>
          <w:p w14:paraId="4E3E27EF" w14:textId="1C74A528"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418EDAE9" w14:textId="41F0A389"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2.9</w:t>
            </w:r>
          </w:p>
        </w:tc>
        <w:tc>
          <w:tcPr>
            <w:tcW w:w="0" w:type="auto"/>
            <w:tcBorders>
              <w:top w:val="nil"/>
              <w:bottom w:val="nil"/>
            </w:tcBorders>
          </w:tcPr>
          <w:p w14:paraId="2070E361" w14:textId="47BE8B7F"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2.9</w:t>
            </w:r>
          </w:p>
        </w:tc>
      </w:tr>
      <w:tr w:rsidR="006E0ED7" w:rsidRPr="006E0ED7" w14:paraId="772F7880" w14:textId="77777777" w:rsidTr="006E0ED7">
        <w:trPr>
          <w:jc w:val="center"/>
        </w:trPr>
        <w:tc>
          <w:tcPr>
            <w:tcW w:w="0" w:type="auto"/>
            <w:tcBorders>
              <w:top w:val="nil"/>
              <w:bottom w:val="nil"/>
            </w:tcBorders>
          </w:tcPr>
          <w:p w14:paraId="5496EDAF" w14:textId="0D403E6D"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Construction and Transportation </w:t>
            </w:r>
          </w:p>
        </w:tc>
        <w:tc>
          <w:tcPr>
            <w:tcW w:w="0" w:type="auto"/>
            <w:tcBorders>
              <w:top w:val="nil"/>
              <w:bottom w:val="nil"/>
            </w:tcBorders>
          </w:tcPr>
          <w:p w14:paraId="3D2940A5" w14:textId="73FA60F9"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1.6</w:t>
            </w:r>
          </w:p>
        </w:tc>
        <w:tc>
          <w:tcPr>
            <w:tcW w:w="0" w:type="auto"/>
            <w:tcBorders>
              <w:top w:val="nil"/>
              <w:bottom w:val="nil"/>
            </w:tcBorders>
          </w:tcPr>
          <w:p w14:paraId="72A1CD42" w14:textId="6767287D"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2.3</w:t>
            </w:r>
          </w:p>
        </w:tc>
        <w:tc>
          <w:tcPr>
            <w:tcW w:w="0" w:type="auto"/>
            <w:tcBorders>
              <w:top w:val="nil"/>
              <w:bottom w:val="nil"/>
            </w:tcBorders>
          </w:tcPr>
          <w:p w14:paraId="444C5C94" w14:textId="7B89434F"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nil"/>
            </w:tcBorders>
          </w:tcPr>
          <w:p w14:paraId="4088807E" w14:textId="5BE83039"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r>
      <w:tr w:rsidR="006E0ED7" w:rsidRPr="006E0ED7" w14:paraId="516F7607" w14:textId="77777777" w:rsidTr="006E0ED7">
        <w:trPr>
          <w:jc w:val="center"/>
        </w:trPr>
        <w:tc>
          <w:tcPr>
            <w:tcW w:w="0" w:type="auto"/>
            <w:tcBorders>
              <w:top w:val="nil"/>
              <w:bottom w:val="nil"/>
            </w:tcBorders>
          </w:tcPr>
          <w:p w14:paraId="5FCE3907" w14:textId="090F1997"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Licensing and Design Certification </w:t>
            </w:r>
          </w:p>
        </w:tc>
        <w:tc>
          <w:tcPr>
            <w:tcW w:w="0" w:type="auto"/>
            <w:tcBorders>
              <w:top w:val="nil"/>
              <w:bottom w:val="nil"/>
            </w:tcBorders>
          </w:tcPr>
          <w:p w14:paraId="056EA700" w14:textId="758EE4BA"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nil"/>
            </w:tcBorders>
          </w:tcPr>
          <w:p w14:paraId="01095C3B" w14:textId="05E9B49A"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c>
          <w:tcPr>
            <w:tcW w:w="0" w:type="auto"/>
            <w:tcBorders>
              <w:top w:val="nil"/>
              <w:bottom w:val="nil"/>
            </w:tcBorders>
          </w:tcPr>
          <w:p w14:paraId="5F2403DF" w14:textId="71C22353"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1.2</w:t>
            </w:r>
          </w:p>
        </w:tc>
        <w:tc>
          <w:tcPr>
            <w:tcW w:w="0" w:type="auto"/>
            <w:tcBorders>
              <w:top w:val="nil"/>
              <w:bottom w:val="nil"/>
            </w:tcBorders>
          </w:tcPr>
          <w:p w14:paraId="03B563F3" w14:textId="3FD22DE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2.0</w:t>
            </w:r>
          </w:p>
        </w:tc>
      </w:tr>
      <w:tr w:rsidR="006E0ED7" w:rsidRPr="006E0ED7" w14:paraId="6BD0AF22" w14:textId="77777777" w:rsidTr="006E0ED7">
        <w:trPr>
          <w:jc w:val="center"/>
        </w:trPr>
        <w:tc>
          <w:tcPr>
            <w:tcW w:w="0" w:type="auto"/>
            <w:tcBorders>
              <w:top w:val="nil"/>
              <w:bottom w:val="nil"/>
            </w:tcBorders>
          </w:tcPr>
          <w:p w14:paraId="2AE6628F" w14:textId="3595A628"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Fuel Supply </w:t>
            </w:r>
          </w:p>
        </w:tc>
        <w:tc>
          <w:tcPr>
            <w:tcW w:w="0" w:type="auto"/>
            <w:tcBorders>
              <w:top w:val="nil"/>
              <w:bottom w:val="nil"/>
            </w:tcBorders>
          </w:tcPr>
          <w:p w14:paraId="635FCAA2" w14:textId="7D36B4A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2.3</w:t>
            </w:r>
          </w:p>
        </w:tc>
        <w:tc>
          <w:tcPr>
            <w:tcW w:w="0" w:type="auto"/>
            <w:tcBorders>
              <w:top w:val="nil"/>
              <w:bottom w:val="nil"/>
            </w:tcBorders>
          </w:tcPr>
          <w:p w14:paraId="6CED9C04" w14:textId="36BC5E8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c>
          <w:tcPr>
            <w:tcW w:w="0" w:type="auto"/>
            <w:tcBorders>
              <w:top w:val="nil"/>
              <w:bottom w:val="nil"/>
            </w:tcBorders>
          </w:tcPr>
          <w:p w14:paraId="72872642" w14:textId="73842DF2"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c>
          <w:tcPr>
            <w:tcW w:w="0" w:type="auto"/>
            <w:tcBorders>
              <w:top w:val="nil"/>
              <w:bottom w:val="nil"/>
            </w:tcBorders>
          </w:tcPr>
          <w:p w14:paraId="45D3A5E4" w14:textId="30E39E3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2.6</w:t>
            </w:r>
          </w:p>
        </w:tc>
      </w:tr>
      <w:tr w:rsidR="006E0ED7" w:rsidRPr="006E0ED7" w14:paraId="47C81A97" w14:textId="77777777" w:rsidTr="006E0ED7">
        <w:trPr>
          <w:jc w:val="center"/>
        </w:trPr>
        <w:tc>
          <w:tcPr>
            <w:tcW w:w="0" w:type="auto"/>
            <w:tcBorders>
              <w:top w:val="nil"/>
              <w:bottom w:val="nil"/>
            </w:tcBorders>
          </w:tcPr>
          <w:p w14:paraId="06105612" w14:textId="0592E528"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Back End of the Fuel Cycle </w:t>
            </w:r>
          </w:p>
        </w:tc>
        <w:tc>
          <w:tcPr>
            <w:tcW w:w="0" w:type="auto"/>
            <w:tcBorders>
              <w:top w:val="nil"/>
              <w:bottom w:val="nil"/>
            </w:tcBorders>
          </w:tcPr>
          <w:p w14:paraId="3BC29B53" w14:textId="273A77C8"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2.1</w:t>
            </w:r>
          </w:p>
        </w:tc>
        <w:tc>
          <w:tcPr>
            <w:tcW w:w="0" w:type="auto"/>
            <w:tcBorders>
              <w:top w:val="nil"/>
              <w:bottom w:val="nil"/>
            </w:tcBorders>
          </w:tcPr>
          <w:p w14:paraId="33CD8E21" w14:textId="09120389"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2.3</w:t>
            </w:r>
          </w:p>
        </w:tc>
        <w:tc>
          <w:tcPr>
            <w:tcW w:w="0" w:type="auto"/>
            <w:tcBorders>
              <w:top w:val="nil"/>
              <w:bottom w:val="nil"/>
            </w:tcBorders>
          </w:tcPr>
          <w:p w14:paraId="6FD24CB2" w14:textId="131E4403"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c>
          <w:tcPr>
            <w:tcW w:w="0" w:type="auto"/>
            <w:tcBorders>
              <w:top w:val="nil"/>
              <w:bottom w:val="nil"/>
            </w:tcBorders>
          </w:tcPr>
          <w:p w14:paraId="71D53828" w14:textId="0B23E522"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r>
      <w:tr w:rsidR="006E0ED7" w:rsidRPr="006E0ED7" w14:paraId="5EEB1DE4" w14:textId="77777777" w:rsidTr="006E0ED7">
        <w:trPr>
          <w:jc w:val="center"/>
        </w:trPr>
        <w:tc>
          <w:tcPr>
            <w:tcW w:w="0" w:type="auto"/>
            <w:tcBorders>
              <w:top w:val="nil"/>
              <w:bottom w:val="nil"/>
            </w:tcBorders>
          </w:tcPr>
          <w:p w14:paraId="6E2E04C5" w14:textId="38302244"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Radioactive Waste Management </w:t>
            </w:r>
          </w:p>
        </w:tc>
        <w:tc>
          <w:tcPr>
            <w:tcW w:w="0" w:type="auto"/>
            <w:tcBorders>
              <w:top w:val="nil"/>
              <w:bottom w:val="nil"/>
            </w:tcBorders>
          </w:tcPr>
          <w:p w14:paraId="7679FEA3" w14:textId="7B1A0C1C"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c>
          <w:tcPr>
            <w:tcW w:w="0" w:type="auto"/>
            <w:tcBorders>
              <w:top w:val="nil"/>
              <w:bottom w:val="nil"/>
            </w:tcBorders>
          </w:tcPr>
          <w:p w14:paraId="412AA3D5" w14:textId="314F884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2.6</w:t>
            </w:r>
          </w:p>
        </w:tc>
        <w:tc>
          <w:tcPr>
            <w:tcW w:w="0" w:type="auto"/>
            <w:tcBorders>
              <w:top w:val="nil"/>
              <w:bottom w:val="nil"/>
            </w:tcBorders>
          </w:tcPr>
          <w:p w14:paraId="1BDBFC85" w14:textId="532CF52C"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c>
          <w:tcPr>
            <w:tcW w:w="0" w:type="auto"/>
            <w:tcBorders>
              <w:top w:val="nil"/>
              <w:bottom w:val="nil"/>
            </w:tcBorders>
          </w:tcPr>
          <w:p w14:paraId="6173417F" w14:textId="7EC674D8"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2.3</w:t>
            </w:r>
          </w:p>
        </w:tc>
      </w:tr>
      <w:tr w:rsidR="006E0ED7" w:rsidRPr="006E0ED7" w14:paraId="328603CD" w14:textId="77777777" w:rsidTr="006E0ED7">
        <w:trPr>
          <w:jc w:val="center"/>
        </w:trPr>
        <w:tc>
          <w:tcPr>
            <w:tcW w:w="0" w:type="auto"/>
            <w:tcBorders>
              <w:top w:val="nil"/>
              <w:bottom w:val="nil"/>
            </w:tcBorders>
          </w:tcPr>
          <w:p w14:paraId="562F3460" w14:textId="65066DAF"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Non-proliferation </w:t>
            </w:r>
          </w:p>
        </w:tc>
        <w:tc>
          <w:tcPr>
            <w:tcW w:w="0" w:type="auto"/>
            <w:tcBorders>
              <w:top w:val="nil"/>
              <w:bottom w:val="nil"/>
            </w:tcBorders>
          </w:tcPr>
          <w:p w14:paraId="6BF9316C" w14:textId="1E7D76D6"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2.8</w:t>
            </w:r>
          </w:p>
        </w:tc>
        <w:tc>
          <w:tcPr>
            <w:tcW w:w="0" w:type="auto"/>
            <w:tcBorders>
              <w:top w:val="nil"/>
              <w:bottom w:val="nil"/>
            </w:tcBorders>
          </w:tcPr>
          <w:p w14:paraId="51E9E150" w14:textId="4E44A6AA"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c>
          <w:tcPr>
            <w:tcW w:w="0" w:type="auto"/>
            <w:tcBorders>
              <w:top w:val="nil"/>
              <w:bottom w:val="nil"/>
            </w:tcBorders>
          </w:tcPr>
          <w:p w14:paraId="14759541" w14:textId="3ABAA711"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2.6</w:t>
            </w:r>
          </w:p>
        </w:tc>
        <w:tc>
          <w:tcPr>
            <w:tcW w:w="0" w:type="auto"/>
            <w:tcBorders>
              <w:top w:val="nil"/>
              <w:bottom w:val="nil"/>
            </w:tcBorders>
          </w:tcPr>
          <w:p w14:paraId="7DEB9442" w14:textId="25A812D1"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2.4</w:t>
            </w:r>
          </w:p>
        </w:tc>
      </w:tr>
      <w:tr w:rsidR="006E0ED7" w:rsidRPr="006E0ED7" w14:paraId="533D2469" w14:textId="77777777" w:rsidTr="006E0ED7">
        <w:trPr>
          <w:jc w:val="center"/>
        </w:trPr>
        <w:tc>
          <w:tcPr>
            <w:tcW w:w="0" w:type="auto"/>
            <w:tcBorders>
              <w:top w:val="nil"/>
              <w:bottom w:val="nil"/>
            </w:tcBorders>
          </w:tcPr>
          <w:p w14:paraId="4A85E9E3" w14:textId="4FB5470C"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Thermal Efficiency </w:t>
            </w:r>
          </w:p>
        </w:tc>
        <w:tc>
          <w:tcPr>
            <w:tcW w:w="0" w:type="auto"/>
            <w:tcBorders>
              <w:top w:val="nil"/>
              <w:bottom w:val="nil"/>
            </w:tcBorders>
          </w:tcPr>
          <w:p w14:paraId="0E6A9777" w14:textId="3BE69506"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2A415639" w14:textId="17EFCA65"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2.1</w:t>
            </w:r>
          </w:p>
        </w:tc>
        <w:tc>
          <w:tcPr>
            <w:tcW w:w="0" w:type="auto"/>
            <w:tcBorders>
              <w:top w:val="nil"/>
              <w:bottom w:val="nil"/>
            </w:tcBorders>
          </w:tcPr>
          <w:p w14:paraId="27957FB5" w14:textId="6534358B"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nil"/>
            </w:tcBorders>
          </w:tcPr>
          <w:p w14:paraId="2D5102AB" w14:textId="1EF6FFD2"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r>
      <w:tr w:rsidR="006E0ED7" w:rsidRPr="006E0ED7" w14:paraId="24675660" w14:textId="77777777" w:rsidTr="006E0ED7">
        <w:trPr>
          <w:jc w:val="center"/>
        </w:trPr>
        <w:tc>
          <w:tcPr>
            <w:tcW w:w="0" w:type="auto"/>
            <w:tcBorders>
              <w:top w:val="nil"/>
              <w:bottom w:val="nil"/>
            </w:tcBorders>
          </w:tcPr>
          <w:p w14:paraId="79B59F11" w14:textId="518669CE"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lastRenderedPageBreak/>
              <w:t xml:space="preserve">Operability &amp; Maintainability </w:t>
            </w:r>
          </w:p>
        </w:tc>
        <w:tc>
          <w:tcPr>
            <w:tcW w:w="0" w:type="auto"/>
            <w:tcBorders>
              <w:top w:val="nil"/>
              <w:bottom w:val="nil"/>
            </w:tcBorders>
          </w:tcPr>
          <w:p w14:paraId="47A44CD5" w14:textId="04C0EB77"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c>
          <w:tcPr>
            <w:tcW w:w="0" w:type="auto"/>
            <w:tcBorders>
              <w:top w:val="nil"/>
              <w:bottom w:val="nil"/>
            </w:tcBorders>
          </w:tcPr>
          <w:p w14:paraId="05245263" w14:textId="7815F557"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nil"/>
            </w:tcBorders>
          </w:tcPr>
          <w:p w14:paraId="5D794C9F" w14:textId="7D7204E3"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nil"/>
            </w:tcBorders>
          </w:tcPr>
          <w:p w14:paraId="117D537F" w14:textId="1A326317"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r>
      <w:tr w:rsidR="006E0ED7" w:rsidRPr="006E0ED7" w14:paraId="1F57E3E3" w14:textId="77777777" w:rsidTr="006E0ED7">
        <w:trPr>
          <w:jc w:val="center"/>
        </w:trPr>
        <w:tc>
          <w:tcPr>
            <w:tcW w:w="0" w:type="auto"/>
            <w:tcBorders>
              <w:top w:val="nil"/>
              <w:bottom w:val="nil"/>
            </w:tcBorders>
          </w:tcPr>
          <w:p w14:paraId="50188F95" w14:textId="4C6C7EDD"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Cooling Water Design </w:t>
            </w:r>
          </w:p>
        </w:tc>
        <w:tc>
          <w:tcPr>
            <w:tcW w:w="0" w:type="auto"/>
            <w:tcBorders>
              <w:top w:val="nil"/>
              <w:bottom w:val="nil"/>
            </w:tcBorders>
          </w:tcPr>
          <w:p w14:paraId="59493246" w14:textId="1A102F1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681A9DE4" w14:textId="79EC497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2.8</w:t>
            </w:r>
          </w:p>
        </w:tc>
        <w:tc>
          <w:tcPr>
            <w:tcW w:w="0" w:type="auto"/>
            <w:tcBorders>
              <w:top w:val="nil"/>
              <w:bottom w:val="nil"/>
            </w:tcBorders>
          </w:tcPr>
          <w:p w14:paraId="60281456" w14:textId="78CC5E6E"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3.0</w:t>
            </w:r>
          </w:p>
        </w:tc>
        <w:tc>
          <w:tcPr>
            <w:tcW w:w="0" w:type="auto"/>
            <w:tcBorders>
              <w:top w:val="nil"/>
              <w:bottom w:val="nil"/>
            </w:tcBorders>
          </w:tcPr>
          <w:p w14:paraId="7CA0FF48" w14:textId="534FA54F"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r>
      <w:tr w:rsidR="006E0ED7" w:rsidRPr="006E0ED7" w14:paraId="4FB0ABA7" w14:textId="77777777" w:rsidTr="006E0ED7">
        <w:trPr>
          <w:jc w:val="center"/>
        </w:trPr>
        <w:tc>
          <w:tcPr>
            <w:tcW w:w="0" w:type="auto"/>
            <w:tcBorders>
              <w:top w:val="nil"/>
              <w:bottom w:val="single" w:sz="4" w:space="0" w:color="auto"/>
            </w:tcBorders>
          </w:tcPr>
          <w:p w14:paraId="053CC13F" w14:textId="709359D0"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Vendor </w:t>
            </w:r>
            <w:r w:rsidR="00223E63" w:rsidRPr="00223E63">
              <w:rPr>
                <w:rFonts w:asciiTheme="majorBidi" w:hAnsiTheme="majorBidi" w:cstheme="majorBidi"/>
                <w:sz w:val="18"/>
                <w:szCs w:val="18"/>
              </w:rPr>
              <w:t>Long-Term</w:t>
            </w:r>
            <w:r w:rsidRPr="006E0ED7">
              <w:rPr>
                <w:rFonts w:asciiTheme="majorBidi" w:hAnsiTheme="majorBidi" w:cstheme="majorBidi"/>
                <w:sz w:val="18"/>
                <w:szCs w:val="18"/>
              </w:rPr>
              <w:t xml:space="preserve"> Sustainability </w:t>
            </w:r>
          </w:p>
        </w:tc>
        <w:tc>
          <w:tcPr>
            <w:tcW w:w="0" w:type="auto"/>
            <w:tcBorders>
              <w:top w:val="nil"/>
              <w:bottom w:val="single" w:sz="4" w:space="0" w:color="auto"/>
            </w:tcBorders>
          </w:tcPr>
          <w:p w14:paraId="06CE3A40" w14:textId="3185B193"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2.7</w:t>
            </w:r>
          </w:p>
        </w:tc>
        <w:tc>
          <w:tcPr>
            <w:tcW w:w="0" w:type="auto"/>
            <w:tcBorders>
              <w:top w:val="nil"/>
              <w:bottom w:val="single" w:sz="4" w:space="0" w:color="auto"/>
            </w:tcBorders>
          </w:tcPr>
          <w:p w14:paraId="309D4ABF" w14:textId="70FA2120"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2.1</w:t>
            </w:r>
          </w:p>
        </w:tc>
        <w:tc>
          <w:tcPr>
            <w:tcW w:w="0" w:type="auto"/>
            <w:tcBorders>
              <w:top w:val="nil"/>
              <w:bottom w:val="single" w:sz="4" w:space="0" w:color="auto"/>
            </w:tcBorders>
          </w:tcPr>
          <w:p w14:paraId="1D493C48" w14:textId="46D5C8D4"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2.2</w:t>
            </w:r>
          </w:p>
        </w:tc>
        <w:tc>
          <w:tcPr>
            <w:tcW w:w="0" w:type="auto"/>
            <w:tcBorders>
              <w:top w:val="nil"/>
              <w:bottom w:val="single" w:sz="4" w:space="0" w:color="auto"/>
            </w:tcBorders>
          </w:tcPr>
          <w:p w14:paraId="1D9A6728" w14:textId="12863EC4" w:rsidR="006E0ED7" w:rsidRPr="006E0ED7" w:rsidRDefault="006E0ED7" w:rsidP="006E0ED7">
            <w:pPr>
              <w:pStyle w:val="BodyText"/>
              <w:ind w:firstLine="0"/>
              <w:jc w:val="center"/>
              <w:rPr>
                <w:rFonts w:asciiTheme="majorBidi" w:hAnsiTheme="majorBidi" w:cstheme="majorBidi"/>
                <w:sz w:val="18"/>
                <w:szCs w:val="18"/>
              </w:rPr>
            </w:pPr>
            <w:r w:rsidRPr="006E0ED7">
              <w:rPr>
                <w:rFonts w:asciiTheme="majorBidi" w:hAnsiTheme="majorBidi" w:cstheme="majorBidi"/>
                <w:sz w:val="18"/>
                <w:szCs w:val="18"/>
              </w:rPr>
              <w:t>2.5</w:t>
            </w:r>
          </w:p>
        </w:tc>
      </w:tr>
      <w:tr w:rsidR="006E0ED7" w:rsidRPr="006E0ED7" w14:paraId="7454659F" w14:textId="77777777" w:rsidTr="006E0ED7">
        <w:trPr>
          <w:jc w:val="center"/>
        </w:trPr>
        <w:tc>
          <w:tcPr>
            <w:tcW w:w="0" w:type="auto"/>
            <w:tcBorders>
              <w:top w:val="single" w:sz="4" w:space="0" w:color="auto"/>
              <w:bottom w:val="single" w:sz="4" w:space="0" w:color="auto"/>
            </w:tcBorders>
          </w:tcPr>
          <w:p w14:paraId="4FA5C911" w14:textId="06BEE052" w:rsidR="006E0ED7" w:rsidRPr="006E0ED7" w:rsidRDefault="006E0ED7" w:rsidP="006E0ED7">
            <w:pPr>
              <w:pStyle w:val="BodyText"/>
              <w:ind w:firstLine="0"/>
              <w:jc w:val="left"/>
              <w:rPr>
                <w:rFonts w:asciiTheme="majorBidi" w:hAnsiTheme="majorBidi" w:cstheme="majorBidi"/>
                <w:sz w:val="18"/>
                <w:szCs w:val="18"/>
              </w:rPr>
            </w:pPr>
            <w:r w:rsidRPr="006E0ED7">
              <w:rPr>
                <w:rFonts w:asciiTheme="majorBidi" w:hAnsiTheme="majorBidi" w:cstheme="majorBidi"/>
                <w:sz w:val="18"/>
                <w:szCs w:val="18"/>
              </w:rPr>
              <w:t xml:space="preserve">Total (%) </w:t>
            </w:r>
          </w:p>
        </w:tc>
        <w:tc>
          <w:tcPr>
            <w:tcW w:w="0" w:type="auto"/>
            <w:tcBorders>
              <w:top w:val="single" w:sz="4" w:space="0" w:color="auto"/>
              <w:bottom w:val="single" w:sz="4" w:space="0" w:color="auto"/>
            </w:tcBorders>
          </w:tcPr>
          <w:p w14:paraId="261F604D" w14:textId="43229F33" w:rsidR="006E0ED7" w:rsidRPr="006E0ED7" w:rsidRDefault="006E0ED7" w:rsidP="006E0ED7">
            <w:pPr>
              <w:pStyle w:val="BodyText"/>
              <w:ind w:firstLine="0"/>
              <w:jc w:val="center"/>
              <w:rPr>
                <w:rFonts w:asciiTheme="majorBidi" w:hAnsiTheme="majorBidi" w:cstheme="majorBidi"/>
                <w:sz w:val="18"/>
                <w:szCs w:val="18"/>
              </w:rPr>
            </w:pPr>
            <w:r w:rsidRPr="006E0ED7">
              <w:rPr>
                <w:sz w:val="18"/>
                <w:szCs w:val="18"/>
              </w:rPr>
              <w:t>82.9</w:t>
            </w:r>
          </w:p>
        </w:tc>
        <w:tc>
          <w:tcPr>
            <w:tcW w:w="0" w:type="auto"/>
            <w:tcBorders>
              <w:top w:val="single" w:sz="4" w:space="0" w:color="auto"/>
              <w:bottom w:val="single" w:sz="4" w:space="0" w:color="auto"/>
            </w:tcBorders>
          </w:tcPr>
          <w:p w14:paraId="1CBE3C9F" w14:textId="224231A2" w:rsidR="006E0ED7" w:rsidRPr="006E0ED7" w:rsidRDefault="006E0ED7" w:rsidP="006E0ED7">
            <w:pPr>
              <w:pStyle w:val="BodyText"/>
              <w:ind w:firstLine="0"/>
              <w:jc w:val="center"/>
              <w:rPr>
                <w:rFonts w:asciiTheme="majorBidi" w:hAnsiTheme="majorBidi" w:cstheme="majorBidi"/>
                <w:sz w:val="18"/>
                <w:szCs w:val="18"/>
              </w:rPr>
            </w:pPr>
            <w:r w:rsidRPr="006E0ED7">
              <w:rPr>
                <w:sz w:val="18"/>
                <w:szCs w:val="18"/>
              </w:rPr>
              <w:t>84.5</w:t>
            </w:r>
          </w:p>
        </w:tc>
        <w:tc>
          <w:tcPr>
            <w:tcW w:w="0" w:type="auto"/>
            <w:tcBorders>
              <w:top w:val="single" w:sz="4" w:space="0" w:color="auto"/>
              <w:bottom w:val="single" w:sz="4" w:space="0" w:color="auto"/>
            </w:tcBorders>
          </w:tcPr>
          <w:p w14:paraId="492860A6" w14:textId="6076DFFA" w:rsidR="006E0ED7" w:rsidRPr="006E0ED7" w:rsidRDefault="006E0ED7" w:rsidP="006E0ED7">
            <w:pPr>
              <w:pStyle w:val="BodyText"/>
              <w:ind w:firstLine="0"/>
              <w:jc w:val="center"/>
              <w:rPr>
                <w:rFonts w:asciiTheme="majorBidi" w:hAnsiTheme="majorBidi" w:cstheme="majorBidi"/>
                <w:sz w:val="18"/>
                <w:szCs w:val="18"/>
              </w:rPr>
            </w:pPr>
            <w:r w:rsidRPr="006E0ED7">
              <w:rPr>
                <w:sz w:val="18"/>
                <w:szCs w:val="18"/>
              </w:rPr>
              <w:t>82.5</w:t>
            </w:r>
          </w:p>
        </w:tc>
        <w:tc>
          <w:tcPr>
            <w:tcW w:w="0" w:type="auto"/>
            <w:tcBorders>
              <w:top w:val="single" w:sz="4" w:space="0" w:color="auto"/>
              <w:bottom w:val="single" w:sz="4" w:space="0" w:color="auto"/>
            </w:tcBorders>
          </w:tcPr>
          <w:p w14:paraId="2D10A5AF" w14:textId="4B7B68A4" w:rsidR="006E0ED7" w:rsidRPr="006E0ED7" w:rsidRDefault="006E0ED7" w:rsidP="006E0ED7">
            <w:pPr>
              <w:pStyle w:val="BodyText"/>
              <w:ind w:firstLine="0"/>
              <w:jc w:val="center"/>
              <w:rPr>
                <w:rFonts w:asciiTheme="majorBidi" w:hAnsiTheme="majorBidi" w:cstheme="majorBidi"/>
                <w:sz w:val="18"/>
                <w:szCs w:val="18"/>
              </w:rPr>
            </w:pPr>
            <w:r w:rsidRPr="006E0ED7">
              <w:rPr>
                <w:sz w:val="18"/>
                <w:szCs w:val="18"/>
              </w:rPr>
              <w:t>81.4</w:t>
            </w:r>
          </w:p>
        </w:tc>
      </w:tr>
    </w:tbl>
    <w:p w14:paraId="1B297C48" w14:textId="6996C83C" w:rsidR="00EE0041" w:rsidRDefault="00470A61" w:rsidP="00470A61">
      <w:pPr>
        <w:pStyle w:val="Heading4"/>
        <w:ind w:left="0"/>
        <w:jc w:val="both"/>
      </w:pPr>
      <w:r>
        <w:t>Best-in-Class</w:t>
      </w:r>
    </w:p>
    <w:p w14:paraId="0DA898A3" w14:textId="050CCFB7" w:rsidR="00470A61" w:rsidRPr="00470A61" w:rsidRDefault="00470A61" w:rsidP="00223E63">
      <w:pPr>
        <w:pStyle w:val="BodyText"/>
        <w:rPr>
          <w:lang w:val="en-US"/>
        </w:rPr>
      </w:pPr>
      <w:r w:rsidRPr="00470A61">
        <w:rPr>
          <w:lang w:val="en-US"/>
        </w:rPr>
        <w:t>The BIC is intended to complement the EM approach. Specifically, for the 150 EM items, each of the 4 selected SMR technologies was assessed item by item following a simple rule</w:t>
      </w:r>
      <w:r w:rsidR="00223E63" w:rsidRPr="00223E63">
        <w:rPr>
          <w:lang w:val="en-US"/>
        </w:rPr>
        <w:t>: the</w:t>
      </w:r>
      <w:r w:rsidRPr="00470A61">
        <w:rPr>
          <w:lang w:val="en-US"/>
        </w:rPr>
        <w:t xml:space="preserve"> best technology for that specific item is assigned a gold medal, and the second a silver medal. If the scores were equal, the designs were assigned the same medal.</w:t>
      </w:r>
    </w:p>
    <w:p w14:paraId="52DF1F23" w14:textId="0F42B235" w:rsidR="00470A61" w:rsidRDefault="00470A61" w:rsidP="00223E63">
      <w:pPr>
        <w:pStyle w:val="BodyText"/>
        <w:rPr>
          <w:lang w:val="en-US"/>
        </w:rPr>
      </w:pPr>
      <w:r w:rsidRPr="00470A61">
        <w:rPr>
          <w:lang w:val="en-US"/>
        </w:rPr>
        <w:t xml:space="preserve">This process </w:t>
      </w:r>
      <w:r w:rsidR="00223E63" w:rsidRPr="00223E63">
        <w:rPr>
          <w:lang w:val="en-US"/>
        </w:rPr>
        <w:t>intends to form a complementary understanding of the proposed technology by not considering</w:t>
      </w:r>
      <w:r w:rsidRPr="00470A61">
        <w:rPr>
          <w:lang w:val="en-US"/>
        </w:rPr>
        <w:t xml:space="preserve"> the weighting factors included in the EM methodology. The results of the BIC are illustrated in</w:t>
      </w:r>
      <w:r>
        <w:rPr>
          <w:lang w:val="en-US"/>
        </w:rPr>
        <w:t xml:space="preserve"> </w:t>
      </w:r>
      <w:r>
        <w:rPr>
          <w:lang w:val="en-US"/>
        </w:rPr>
        <w:fldChar w:fldCharType="begin"/>
      </w:r>
      <w:r>
        <w:rPr>
          <w:lang w:val="en-US"/>
        </w:rPr>
        <w:instrText xml:space="preserve"> REF _Ref166501944 \h </w:instrText>
      </w:r>
      <w:r>
        <w:rPr>
          <w:lang w:val="en-US"/>
        </w:rPr>
      </w:r>
      <w:r>
        <w:rPr>
          <w:lang w:val="en-US"/>
        </w:rPr>
        <w:fldChar w:fldCharType="separate"/>
      </w:r>
      <w:r w:rsidR="00B547C6">
        <w:t xml:space="preserve">TABLE </w:t>
      </w:r>
      <w:r w:rsidR="00B547C6">
        <w:rPr>
          <w:noProof/>
        </w:rPr>
        <w:t>5</w:t>
      </w:r>
      <w:r>
        <w:rPr>
          <w:lang w:val="en-US"/>
        </w:rPr>
        <w:fldChar w:fldCharType="end"/>
      </w:r>
      <w:r>
        <w:rPr>
          <w:lang w:val="en-US"/>
        </w:rPr>
        <w:t>:</w:t>
      </w:r>
    </w:p>
    <w:p w14:paraId="02BAA89F" w14:textId="77777777" w:rsidR="00470A61" w:rsidRDefault="00470A61" w:rsidP="00470A61">
      <w:pPr>
        <w:pStyle w:val="BodyText"/>
        <w:rPr>
          <w:lang w:val="en-US"/>
        </w:rPr>
      </w:pPr>
    </w:p>
    <w:p w14:paraId="513CCB81" w14:textId="340EE196" w:rsidR="00470A61" w:rsidRDefault="00470A61" w:rsidP="00470A61">
      <w:pPr>
        <w:pStyle w:val="Caption"/>
        <w:keepNext/>
      </w:pPr>
      <w:bookmarkStart w:id="5" w:name="_Ref166501944"/>
      <w:r>
        <w:t xml:space="preserve">TABLE </w:t>
      </w:r>
      <w:r>
        <w:fldChar w:fldCharType="begin"/>
      </w:r>
      <w:r>
        <w:instrText xml:space="preserve"> SEQ TABLE \* ARABIC </w:instrText>
      </w:r>
      <w:r>
        <w:fldChar w:fldCharType="separate"/>
      </w:r>
      <w:r w:rsidR="00CA3154">
        <w:rPr>
          <w:noProof/>
        </w:rPr>
        <w:t>5</w:t>
      </w:r>
      <w:r>
        <w:fldChar w:fldCharType="end"/>
      </w:r>
      <w:bookmarkEnd w:id="5"/>
      <w:r>
        <w:t>. BEST IN CLASS EVALUATION</w:t>
      </w:r>
    </w:p>
    <w:tbl>
      <w:tblPr>
        <w:tblStyle w:val="TableGrid"/>
        <w:tblW w:w="0" w:type="auto"/>
        <w:jc w:val="center"/>
        <w:tblLook w:val="04A0" w:firstRow="1" w:lastRow="0" w:firstColumn="1" w:lastColumn="0" w:noHBand="0" w:noVBand="1"/>
      </w:tblPr>
      <w:tblGrid>
        <w:gridCol w:w="3695"/>
        <w:gridCol w:w="576"/>
        <w:gridCol w:w="646"/>
        <w:gridCol w:w="576"/>
        <w:gridCol w:w="646"/>
        <w:gridCol w:w="576"/>
        <w:gridCol w:w="646"/>
        <w:gridCol w:w="576"/>
        <w:gridCol w:w="646"/>
      </w:tblGrid>
      <w:tr w:rsidR="00470A61" w:rsidRPr="00470A61" w14:paraId="1EBC0510" w14:textId="77777777" w:rsidTr="00470A61">
        <w:trPr>
          <w:jc w:val="center"/>
        </w:trPr>
        <w:tc>
          <w:tcPr>
            <w:tcW w:w="0" w:type="auto"/>
            <w:tcBorders>
              <w:left w:val="nil"/>
              <w:bottom w:val="single" w:sz="4" w:space="0" w:color="auto"/>
              <w:right w:val="nil"/>
            </w:tcBorders>
          </w:tcPr>
          <w:p w14:paraId="4A990E91" w14:textId="6D63961E"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lang w:val="en-US"/>
              </w:rPr>
              <w:t>Category</w:t>
            </w:r>
          </w:p>
        </w:tc>
        <w:tc>
          <w:tcPr>
            <w:tcW w:w="0" w:type="auto"/>
            <w:gridSpan w:val="2"/>
            <w:tcBorders>
              <w:left w:val="nil"/>
              <w:bottom w:val="single" w:sz="4" w:space="0" w:color="auto"/>
              <w:right w:val="nil"/>
            </w:tcBorders>
          </w:tcPr>
          <w:p w14:paraId="1D91AB76" w14:textId="300C7AB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A</w:t>
            </w:r>
          </w:p>
        </w:tc>
        <w:tc>
          <w:tcPr>
            <w:tcW w:w="0" w:type="auto"/>
            <w:gridSpan w:val="2"/>
            <w:tcBorders>
              <w:left w:val="nil"/>
              <w:bottom w:val="single" w:sz="4" w:space="0" w:color="auto"/>
              <w:right w:val="nil"/>
            </w:tcBorders>
          </w:tcPr>
          <w:p w14:paraId="5289B965" w14:textId="23DCCC68"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E</w:t>
            </w:r>
          </w:p>
        </w:tc>
        <w:tc>
          <w:tcPr>
            <w:tcW w:w="0" w:type="auto"/>
            <w:gridSpan w:val="2"/>
            <w:tcBorders>
              <w:left w:val="nil"/>
              <w:bottom w:val="single" w:sz="4" w:space="0" w:color="auto"/>
              <w:right w:val="nil"/>
            </w:tcBorders>
          </w:tcPr>
          <w:p w14:paraId="1EBB7C76" w14:textId="59E814D1"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B</w:t>
            </w:r>
          </w:p>
        </w:tc>
        <w:tc>
          <w:tcPr>
            <w:tcW w:w="0" w:type="auto"/>
            <w:gridSpan w:val="2"/>
            <w:tcBorders>
              <w:left w:val="nil"/>
              <w:bottom w:val="single" w:sz="4" w:space="0" w:color="auto"/>
              <w:right w:val="nil"/>
            </w:tcBorders>
          </w:tcPr>
          <w:p w14:paraId="075338F0" w14:textId="5CE6B75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D</w:t>
            </w:r>
          </w:p>
        </w:tc>
      </w:tr>
      <w:tr w:rsidR="00470A61" w:rsidRPr="00470A61" w14:paraId="6FA2E0E8" w14:textId="77777777" w:rsidTr="00470A61">
        <w:trPr>
          <w:jc w:val="center"/>
        </w:trPr>
        <w:tc>
          <w:tcPr>
            <w:tcW w:w="0" w:type="auto"/>
            <w:tcBorders>
              <w:left w:val="nil"/>
              <w:bottom w:val="nil"/>
              <w:right w:val="nil"/>
            </w:tcBorders>
          </w:tcPr>
          <w:p w14:paraId="2E1B014B" w14:textId="7BE03326"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lang w:val="en-US"/>
              </w:rPr>
              <w:t>Medal</w:t>
            </w:r>
          </w:p>
        </w:tc>
        <w:tc>
          <w:tcPr>
            <w:tcW w:w="0" w:type="auto"/>
            <w:tcBorders>
              <w:left w:val="nil"/>
              <w:bottom w:val="nil"/>
              <w:right w:val="nil"/>
            </w:tcBorders>
          </w:tcPr>
          <w:p w14:paraId="5D0D62DA" w14:textId="45D951F7"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Gold</w:t>
            </w:r>
          </w:p>
        </w:tc>
        <w:tc>
          <w:tcPr>
            <w:tcW w:w="0" w:type="auto"/>
            <w:tcBorders>
              <w:left w:val="nil"/>
              <w:bottom w:val="nil"/>
              <w:right w:val="nil"/>
            </w:tcBorders>
          </w:tcPr>
          <w:p w14:paraId="65961F68" w14:textId="2241822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S</w:t>
            </w:r>
            <w:r>
              <w:rPr>
                <w:rFonts w:asciiTheme="majorBidi" w:hAnsiTheme="majorBidi" w:cstheme="majorBidi"/>
                <w:sz w:val="18"/>
                <w:szCs w:val="18"/>
                <w:lang w:val="en-US"/>
              </w:rPr>
              <w:t>il</w:t>
            </w:r>
            <w:r w:rsidRPr="00470A61">
              <w:rPr>
                <w:rFonts w:asciiTheme="majorBidi" w:hAnsiTheme="majorBidi" w:cstheme="majorBidi"/>
                <w:sz w:val="18"/>
                <w:szCs w:val="18"/>
                <w:lang w:val="en-US"/>
              </w:rPr>
              <w:t>ver</w:t>
            </w:r>
          </w:p>
        </w:tc>
        <w:tc>
          <w:tcPr>
            <w:tcW w:w="0" w:type="auto"/>
            <w:tcBorders>
              <w:left w:val="nil"/>
              <w:bottom w:val="nil"/>
              <w:right w:val="nil"/>
            </w:tcBorders>
          </w:tcPr>
          <w:p w14:paraId="4B3FCD4B" w14:textId="4E993CB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Gold</w:t>
            </w:r>
          </w:p>
        </w:tc>
        <w:tc>
          <w:tcPr>
            <w:tcW w:w="0" w:type="auto"/>
            <w:tcBorders>
              <w:left w:val="nil"/>
              <w:bottom w:val="nil"/>
              <w:right w:val="nil"/>
            </w:tcBorders>
          </w:tcPr>
          <w:p w14:paraId="69B3A164" w14:textId="1B47A59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S</w:t>
            </w:r>
            <w:r>
              <w:rPr>
                <w:rFonts w:asciiTheme="majorBidi" w:hAnsiTheme="majorBidi" w:cstheme="majorBidi"/>
                <w:sz w:val="18"/>
                <w:szCs w:val="18"/>
                <w:lang w:val="en-US"/>
              </w:rPr>
              <w:t>il</w:t>
            </w:r>
            <w:r w:rsidRPr="00470A61">
              <w:rPr>
                <w:rFonts w:asciiTheme="majorBidi" w:hAnsiTheme="majorBidi" w:cstheme="majorBidi"/>
                <w:sz w:val="18"/>
                <w:szCs w:val="18"/>
                <w:lang w:val="en-US"/>
              </w:rPr>
              <w:t>ver</w:t>
            </w:r>
          </w:p>
        </w:tc>
        <w:tc>
          <w:tcPr>
            <w:tcW w:w="0" w:type="auto"/>
            <w:tcBorders>
              <w:left w:val="nil"/>
              <w:bottom w:val="nil"/>
              <w:right w:val="nil"/>
            </w:tcBorders>
          </w:tcPr>
          <w:p w14:paraId="2B436FCB" w14:textId="5BBC035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Gold</w:t>
            </w:r>
          </w:p>
        </w:tc>
        <w:tc>
          <w:tcPr>
            <w:tcW w:w="0" w:type="auto"/>
            <w:tcBorders>
              <w:left w:val="nil"/>
              <w:bottom w:val="nil"/>
              <w:right w:val="nil"/>
            </w:tcBorders>
          </w:tcPr>
          <w:p w14:paraId="552478E4" w14:textId="05F8EF8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S</w:t>
            </w:r>
            <w:r>
              <w:rPr>
                <w:rFonts w:asciiTheme="majorBidi" w:hAnsiTheme="majorBidi" w:cstheme="majorBidi"/>
                <w:sz w:val="18"/>
                <w:szCs w:val="18"/>
                <w:lang w:val="en-US"/>
              </w:rPr>
              <w:t>il</w:t>
            </w:r>
            <w:r w:rsidRPr="00470A61">
              <w:rPr>
                <w:rFonts w:asciiTheme="majorBidi" w:hAnsiTheme="majorBidi" w:cstheme="majorBidi"/>
                <w:sz w:val="18"/>
                <w:szCs w:val="18"/>
                <w:lang w:val="en-US"/>
              </w:rPr>
              <w:t>ver</w:t>
            </w:r>
          </w:p>
        </w:tc>
        <w:tc>
          <w:tcPr>
            <w:tcW w:w="0" w:type="auto"/>
            <w:tcBorders>
              <w:left w:val="nil"/>
              <w:bottom w:val="nil"/>
              <w:right w:val="nil"/>
            </w:tcBorders>
          </w:tcPr>
          <w:p w14:paraId="733E9ADE" w14:textId="5D073D9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Gold</w:t>
            </w:r>
          </w:p>
        </w:tc>
        <w:tc>
          <w:tcPr>
            <w:tcW w:w="0" w:type="auto"/>
            <w:tcBorders>
              <w:left w:val="nil"/>
              <w:bottom w:val="nil"/>
              <w:right w:val="nil"/>
            </w:tcBorders>
          </w:tcPr>
          <w:p w14:paraId="43C820E6" w14:textId="61B2264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lang w:val="en-US"/>
              </w:rPr>
              <w:t>S</w:t>
            </w:r>
            <w:r>
              <w:rPr>
                <w:rFonts w:asciiTheme="majorBidi" w:hAnsiTheme="majorBidi" w:cstheme="majorBidi"/>
                <w:sz w:val="18"/>
                <w:szCs w:val="18"/>
                <w:lang w:val="en-US"/>
              </w:rPr>
              <w:t>il</w:t>
            </w:r>
            <w:r w:rsidRPr="00470A61">
              <w:rPr>
                <w:rFonts w:asciiTheme="majorBidi" w:hAnsiTheme="majorBidi" w:cstheme="majorBidi"/>
                <w:sz w:val="18"/>
                <w:szCs w:val="18"/>
                <w:lang w:val="en-US"/>
              </w:rPr>
              <w:t>ver</w:t>
            </w:r>
          </w:p>
        </w:tc>
      </w:tr>
      <w:tr w:rsidR="00470A61" w:rsidRPr="00470A61" w14:paraId="592C7A81" w14:textId="77777777" w:rsidTr="00470A61">
        <w:trPr>
          <w:jc w:val="center"/>
        </w:trPr>
        <w:tc>
          <w:tcPr>
            <w:tcW w:w="0" w:type="auto"/>
            <w:tcBorders>
              <w:top w:val="nil"/>
              <w:left w:val="nil"/>
              <w:bottom w:val="nil"/>
              <w:right w:val="nil"/>
            </w:tcBorders>
          </w:tcPr>
          <w:p w14:paraId="569B1DD0" w14:textId="0FFAE526"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General </w:t>
            </w:r>
          </w:p>
        </w:tc>
        <w:tc>
          <w:tcPr>
            <w:tcW w:w="0" w:type="auto"/>
            <w:tcBorders>
              <w:top w:val="nil"/>
              <w:left w:val="nil"/>
              <w:bottom w:val="nil"/>
              <w:right w:val="nil"/>
            </w:tcBorders>
          </w:tcPr>
          <w:p w14:paraId="17D3A662" w14:textId="16E689C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2DA2ADB5" w14:textId="253FC19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54EEC3C2" w14:textId="19F2060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0</w:t>
            </w:r>
          </w:p>
        </w:tc>
        <w:tc>
          <w:tcPr>
            <w:tcW w:w="0" w:type="auto"/>
            <w:tcBorders>
              <w:top w:val="nil"/>
              <w:left w:val="nil"/>
              <w:bottom w:val="nil"/>
              <w:right w:val="nil"/>
            </w:tcBorders>
          </w:tcPr>
          <w:p w14:paraId="66D8BC7F" w14:textId="74DE54B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23C437DE" w14:textId="1065F63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0</w:t>
            </w:r>
          </w:p>
        </w:tc>
        <w:tc>
          <w:tcPr>
            <w:tcW w:w="0" w:type="auto"/>
            <w:tcBorders>
              <w:top w:val="nil"/>
              <w:left w:val="nil"/>
              <w:bottom w:val="nil"/>
              <w:right w:val="nil"/>
            </w:tcBorders>
          </w:tcPr>
          <w:p w14:paraId="39A0106C" w14:textId="32A237F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4CA2D1BB" w14:textId="144A2F9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1D54CC40" w14:textId="7D0F748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w:t>
            </w:r>
          </w:p>
        </w:tc>
      </w:tr>
      <w:tr w:rsidR="00470A61" w:rsidRPr="00470A61" w14:paraId="76C2A49D" w14:textId="77777777" w:rsidTr="00470A61">
        <w:trPr>
          <w:jc w:val="center"/>
        </w:trPr>
        <w:tc>
          <w:tcPr>
            <w:tcW w:w="0" w:type="auto"/>
            <w:tcBorders>
              <w:top w:val="nil"/>
              <w:left w:val="nil"/>
              <w:bottom w:val="nil"/>
              <w:right w:val="nil"/>
            </w:tcBorders>
          </w:tcPr>
          <w:p w14:paraId="1A649D1A" w14:textId="28B0FEE9"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Design </w:t>
            </w:r>
          </w:p>
        </w:tc>
        <w:tc>
          <w:tcPr>
            <w:tcW w:w="0" w:type="auto"/>
            <w:tcBorders>
              <w:top w:val="nil"/>
              <w:left w:val="nil"/>
              <w:bottom w:val="nil"/>
              <w:right w:val="nil"/>
            </w:tcBorders>
          </w:tcPr>
          <w:p w14:paraId="20EBBA0D" w14:textId="54F79C91"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0E4D42C4" w14:textId="3A3E420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45071BF7" w14:textId="0177570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3CC8A680" w14:textId="5A52EE5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78A8592F" w14:textId="3A8DE23C"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6D72545C" w14:textId="702CF54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561B4A07" w14:textId="07CBA58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6FF3CB14" w14:textId="2A9AE19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r>
      <w:tr w:rsidR="00470A61" w:rsidRPr="00470A61" w14:paraId="5870DDAF" w14:textId="77777777" w:rsidTr="00470A61">
        <w:trPr>
          <w:jc w:val="center"/>
        </w:trPr>
        <w:tc>
          <w:tcPr>
            <w:tcW w:w="0" w:type="auto"/>
            <w:tcBorders>
              <w:top w:val="nil"/>
              <w:left w:val="nil"/>
              <w:bottom w:val="nil"/>
              <w:right w:val="nil"/>
            </w:tcBorders>
          </w:tcPr>
          <w:p w14:paraId="24322009" w14:textId="0535FDF9"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Operations and Maintenance </w:t>
            </w:r>
          </w:p>
        </w:tc>
        <w:tc>
          <w:tcPr>
            <w:tcW w:w="0" w:type="auto"/>
            <w:tcBorders>
              <w:top w:val="nil"/>
              <w:left w:val="nil"/>
              <w:bottom w:val="nil"/>
              <w:right w:val="nil"/>
            </w:tcBorders>
          </w:tcPr>
          <w:p w14:paraId="3203BCA2" w14:textId="12CC8598"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7</w:t>
            </w:r>
          </w:p>
        </w:tc>
        <w:tc>
          <w:tcPr>
            <w:tcW w:w="0" w:type="auto"/>
            <w:tcBorders>
              <w:top w:val="nil"/>
              <w:left w:val="nil"/>
              <w:bottom w:val="nil"/>
              <w:right w:val="nil"/>
            </w:tcBorders>
          </w:tcPr>
          <w:p w14:paraId="546851A4" w14:textId="4B2DCCB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4110E2A9" w14:textId="37147B87"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11</w:t>
            </w:r>
          </w:p>
        </w:tc>
        <w:tc>
          <w:tcPr>
            <w:tcW w:w="0" w:type="auto"/>
            <w:tcBorders>
              <w:top w:val="nil"/>
              <w:left w:val="nil"/>
              <w:bottom w:val="nil"/>
              <w:right w:val="nil"/>
            </w:tcBorders>
          </w:tcPr>
          <w:p w14:paraId="3FD43E51" w14:textId="27D3B01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4C6789DC" w14:textId="7F17A8E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7</w:t>
            </w:r>
          </w:p>
        </w:tc>
        <w:tc>
          <w:tcPr>
            <w:tcW w:w="0" w:type="auto"/>
            <w:tcBorders>
              <w:top w:val="nil"/>
              <w:left w:val="nil"/>
              <w:bottom w:val="nil"/>
              <w:right w:val="nil"/>
            </w:tcBorders>
          </w:tcPr>
          <w:p w14:paraId="3B208DFF" w14:textId="49B8002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6AF437A4" w14:textId="32EBE98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36077DC6" w14:textId="1F6BEEA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r>
      <w:tr w:rsidR="00470A61" w:rsidRPr="00470A61" w14:paraId="3B8E1A69" w14:textId="77777777" w:rsidTr="00470A61">
        <w:trPr>
          <w:jc w:val="center"/>
        </w:trPr>
        <w:tc>
          <w:tcPr>
            <w:tcW w:w="0" w:type="auto"/>
            <w:tcBorders>
              <w:top w:val="nil"/>
              <w:left w:val="nil"/>
              <w:bottom w:val="nil"/>
              <w:right w:val="nil"/>
            </w:tcBorders>
          </w:tcPr>
          <w:p w14:paraId="7CF56AB9" w14:textId="712D085C"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Construction </w:t>
            </w:r>
          </w:p>
        </w:tc>
        <w:tc>
          <w:tcPr>
            <w:tcW w:w="0" w:type="auto"/>
            <w:tcBorders>
              <w:top w:val="nil"/>
              <w:left w:val="nil"/>
              <w:bottom w:val="nil"/>
              <w:right w:val="nil"/>
            </w:tcBorders>
          </w:tcPr>
          <w:p w14:paraId="6E0C277A" w14:textId="0AAFAFD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63535F4A" w14:textId="10F8F0B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107B9059" w14:textId="3938809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7</w:t>
            </w:r>
          </w:p>
        </w:tc>
        <w:tc>
          <w:tcPr>
            <w:tcW w:w="0" w:type="auto"/>
            <w:tcBorders>
              <w:top w:val="nil"/>
              <w:left w:val="nil"/>
              <w:bottom w:val="nil"/>
              <w:right w:val="nil"/>
            </w:tcBorders>
          </w:tcPr>
          <w:p w14:paraId="6F5D6079" w14:textId="47AAEDD6"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6C4B005C" w14:textId="03730CAD"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1459B3C0" w14:textId="6FBA0BD5"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w:t>
            </w:r>
          </w:p>
        </w:tc>
        <w:tc>
          <w:tcPr>
            <w:tcW w:w="0" w:type="auto"/>
            <w:tcBorders>
              <w:top w:val="nil"/>
              <w:left w:val="nil"/>
              <w:bottom w:val="nil"/>
              <w:right w:val="nil"/>
            </w:tcBorders>
          </w:tcPr>
          <w:p w14:paraId="505176A2" w14:textId="4F64D30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6041134B" w14:textId="6A01907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r>
      <w:tr w:rsidR="00470A61" w:rsidRPr="00470A61" w14:paraId="0E42E021" w14:textId="77777777" w:rsidTr="00470A61">
        <w:trPr>
          <w:jc w:val="center"/>
        </w:trPr>
        <w:tc>
          <w:tcPr>
            <w:tcW w:w="0" w:type="auto"/>
            <w:tcBorders>
              <w:top w:val="nil"/>
              <w:left w:val="nil"/>
              <w:bottom w:val="nil"/>
              <w:right w:val="nil"/>
            </w:tcBorders>
          </w:tcPr>
          <w:p w14:paraId="5597F2C7" w14:textId="28A2F32D"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Reactor Performance </w:t>
            </w:r>
          </w:p>
        </w:tc>
        <w:tc>
          <w:tcPr>
            <w:tcW w:w="0" w:type="auto"/>
            <w:tcBorders>
              <w:top w:val="nil"/>
              <w:left w:val="nil"/>
              <w:bottom w:val="nil"/>
              <w:right w:val="nil"/>
            </w:tcBorders>
          </w:tcPr>
          <w:p w14:paraId="4149A4D1" w14:textId="5910BB1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4144CEAD" w14:textId="71E542B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07B99A25" w14:textId="033DEBA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765B2201" w14:textId="798753D7"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213472C8" w14:textId="57A852F2"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74242437" w14:textId="6F82F7C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nil"/>
              <w:right w:val="nil"/>
            </w:tcBorders>
          </w:tcPr>
          <w:p w14:paraId="298E4FB6" w14:textId="0E68CD1D"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5394CB2A" w14:textId="65918502"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r>
      <w:tr w:rsidR="00470A61" w:rsidRPr="00470A61" w14:paraId="64CD26C3" w14:textId="77777777" w:rsidTr="00470A61">
        <w:trPr>
          <w:jc w:val="center"/>
        </w:trPr>
        <w:tc>
          <w:tcPr>
            <w:tcW w:w="0" w:type="auto"/>
            <w:tcBorders>
              <w:top w:val="nil"/>
              <w:left w:val="nil"/>
              <w:bottom w:val="nil"/>
              <w:right w:val="nil"/>
            </w:tcBorders>
          </w:tcPr>
          <w:p w14:paraId="369D0B9C" w14:textId="5AD6BCF5"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Safety of the Reactor Design </w:t>
            </w:r>
          </w:p>
        </w:tc>
        <w:tc>
          <w:tcPr>
            <w:tcW w:w="0" w:type="auto"/>
            <w:tcBorders>
              <w:top w:val="nil"/>
              <w:left w:val="nil"/>
              <w:bottom w:val="nil"/>
              <w:right w:val="nil"/>
            </w:tcBorders>
          </w:tcPr>
          <w:p w14:paraId="41D32D4C" w14:textId="1AA895C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26</w:t>
            </w:r>
          </w:p>
        </w:tc>
        <w:tc>
          <w:tcPr>
            <w:tcW w:w="0" w:type="auto"/>
            <w:tcBorders>
              <w:top w:val="nil"/>
              <w:left w:val="nil"/>
              <w:bottom w:val="nil"/>
              <w:right w:val="nil"/>
            </w:tcBorders>
          </w:tcPr>
          <w:p w14:paraId="5D7D9D57" w14:textId="5086333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0</w:t>
            </w:r>
          </w:p>
        </w:tc>
        <w:tc>
          <w:tcPr>
            <w:tcW w:w="0" w:type="auto"/>
            <w:tcBorders>
              <w:top w:val="nil"/>
              <w:left w:val="nil"/>
              <w:bottom w:val="nil"/>
              <w:right w:val="nil"/>
            </w:tcBorders>
          </w:tcPr>
          <w:p w14:paraId="3709FF8D" w14:textId="47682CA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9</w:t>
            </w:r>
          </w:p>
        </w:tc>
        <w:tc>
          <w:tcPr>
            <w:tcW w:w="0" w:type="auto"/>
            <w:tcBorders>
              <w:top w:val="nil"/>
              <w:left w:val="nil"/>
              <w:bottom w:val="nil"/>
              <w:right w:val="nil"/>
            </w:tcBorders>
          </w:tcPr>
          <w:p w14:paraId="159DA21C" w14:textId="02861B27"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16</w:t>
            </w:r>
          </w:p>
        </w:tc>
        <w:tc>
          <w:tcPr>
            <w:tcW w:w="0" w:type="auto"/>
            <w:tcBorders>
              <w:top w:val="nil"/>
              <w:left w:val="nil"/>
              <w:bottom w:val="nil"/>
              <w:right w:val="nil"/>
            </w:tcBorders>
          </w:tcPr>
          <w:p w14:paraId="5B60D680" w14:textId="6DCC4CC8"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24</w:t>
            </w:r>
          </w:p>
        </w:tc>
        <w:tc>
          <w:tcPr>
            <w:tcW w:w="0" w:type="auto"/>
            <w:tcBorders>
              <w:top w:val="nil"/>
              <w:left w:val="nil"/>
              <w:bottom w:val="nil"/>
              <w:right w:val="nil"/>
            </w:tcBorders>
          </w:tcPr>
          <w:p w14:paraId="2D11CD89" w14:textId="51AA758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1F06BCDD" w14:textId="136C1AA8"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608837AF" w14:textId="35476B9C"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r>
      <w:tr w:rsidR="00470A61" w:rsidRPr="00470A61" w14:paraId="3DA2767B" w14:textId="77777777" w:rsidTr="00470A61">
        <w:trPr>
          <w:jc w:val="center"/>
        </w:trPr>
        <w:tc>
          <w:tcPr>
            <w:tcW w:w="0" w:type="auto"/>
            <w:tcBorders>
              <w:top w:val="nil"/>
              <w:left w:val="nil"/>
              <w:bottom w:val="nil"/>
              <w:right w:val="nil"/>
            </w:tcBorders>
          </w:tcPr>
          <w:p w14:paraId="211C7526" w14:textId="6F88FA62"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Fuel Cycle, WM, and Non-Proliferation </w:t>
            </w:r>
          </w:p>
        </w:tc>
        <w:tc>
          <w:tcPr>
            <w:tcW w:w="0" w:type="auto"/>
            <w:tcBorders>
              <w:top w:val="nil"/>
              <w:left w:val="nil"/>
              <w:bottom w:val="nil"/>
              <w:right w:val="nil"/>
            </w:tcBorders>
          </w:tcPr>
          <w:p w14:paraId="5BC6EAC6" w14:textId="0FF80B9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7929A211" w14:textId="39E0E051"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4D3B54D8" w14:textId="2FDC4155"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r w:rsidR="008D7C16">
              <w:rPr>
                <w:rFonts w:asciiTheme="majorBidi" w:hAnsiTheme="majorBidi" w:cstheme="majorBidi"/>
                <w:sz w:val="18"/>
                <w:szCs w:val="18"/>
              </w:rPr>
              <w:t xml:space="preserve"> </w:t>
            </w:r>
          </w:p>
        </w:tc>
        <w:tc>
          <w:tcPr>
            <w:tcW w:w="0" w:type="auto"/>
            <w:tcBorders>
              <w:top w:val="nil"/>
              <w:left w:val="nil"/>
              <w:bottom w:val="nil"/>
              <w:right w:val="nil"/>
            </w:tcBorders>
          </w:tcPr>
          <w:p w14:paraId="7832C73F" w14:textId="3F7ACD72"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4F12A17D" w14:textId="65285D0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18CA1DF1" w14:textId="588541B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1CEB5EC0" w14:textId="0B35D19C"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0C9EA812" w14:textId="2AB70AE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r>
      <w:tr w:rsidR="00470A61" w:rsidRPr="00470A61" w14:paraId="4D1B9087" w14:textId="77777777" w:rsidTr="00470A61">
        <w:trPr>
          <w:jc w:val="center"/>
        </w:trPr>
        <w:tc>
          <w:tcPr>
            <w:tcW w:w="0" w:type="auto"/>
            <w:tcBorders>
              <w:top w:val="nil"/>
              <w:left w:val="nil"/>
              <w:bottom w:val="nil"/>
              <w:right w:val="nil"/>
            </w:tcBorders>
          </w:tcPr>
          <w:p w14:paraId="1CA83283" w14:textId="3B797CF8" w:rsidR="00470A61" w:rsidRPr="00470A61" w:rsidRDefault="00470A61" w:rsidP="00470A61">
            <w:pPr>
              <w:pStyle w:val="BodyText"/>
              <w:ind w:firstLine="0"/>
              <w:jc w:val="left"/>
              <w:rPr>
                <w:rFonts w:asciiTheme="majorBidi" w:hAnsiTheme="majorBidi" w:cstheme="majorBidi"/>
                <w:sz w:val="18"/>
                <w:szCs w:val="18"/>
                <w:lang w:val="en-US"/>
              </w:rPr>
            </w:pPr>
            <w:r>
              <w:rPr>
                <w:rFonts w:asciiTheme="majorBidi" w:hAnsiTheme="majorBidi" w:cstheme="majorBidi"/>
                <w:sz w:val="18"/>
                <w:szCs w:val="18"/>
              </w:rPr>
              <w:t>Internationa</w:t>
            </w:r>
            <w:r w:rsidRPr="00470A61">
              <w:rPr>
                <w:rFonts w:asciiTheme="majorBidi" w:hAnsiTheme="majorBidi" w:cstheme="majorBidi"/>
                <w:sz w:val="18"/>
                <w:szCs w:val="18"/>
              </w:rPr>
              <w:t xml:space="preserve">l Licensing &amp; Operating Experience </w:t>
            </w:r>
          </w:p>
        </w:tc>
        <w:tc>
          <w:tcPr>
            <w:tcW w:w="0" w:type="auto"/>
            <w:tcBorders>
              <w:top w:val="nil"/>
              <w:left w:val="nil"/>
              <w:bottom w:val="nil"/>
              <w:right w:val="nil"/>
            </w:tcBorders>
          </w:tcPr>
          <w:p w14:paraId="7BA69FA8" w14:textId="4B298FA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4247E897" w14:textId="1479478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5BB2CCBC" w14:textId="0BB8ABB5"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w:t>
            </w:r>
          </w:p>
        </w:tc>
        <w:tc>
          <w:tcPr>
            <w:tcW w:w="0" w:type="auto"/>
            <w:tcBorders>
              <w:top w:val="nil"/>
              <w:left w:val="nil"/>
              <w:bottom w:val="nil"/>
              <w:right w:val="nil"/>
            </w:tcBorders>
          </w:tcPr>
          <w:p w14:paraId="75652701" w14:textId="469FE6B1"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449641FB" w14:textId="7F61E705"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536E1452" w14:textId="69E89909"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nil"/>
              <w:right w:val="nil"/>
            </w:tcBorders>
          </w:tcPr>
          <w:p w14:paraId="410E7B56" w14:textId="1B43CF9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639E5B25" w14:textId="13801EE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w:t>
            </w:r>
          </w:p>
        </w:tc>
      </w:tr>
      <w:tr w:rsidR="00470A61" w:rsidRPr="00470A61" w14:paraId="49A467AF" w14:textId="77777777" w:rsidTr="00470A61">
        <w:trPr>
          <w:jc w:val="center"/>
        </w:trPr>
        <w:tc>
          <w:tcPr>
            <w:tcW w:w="0" w:type="auto"/>
            <w:tcBorders>
              <w:top w:val="nil"/>
              <w:left w:val="nil"/>
              <w:bottom w:val="nil"/>
              <w:right w:val="nil"/>
            </w:tcBorders>
          </w:tcPr>
          <w:p w14:paraId="35846F13" w14:textId="5D063D3F"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Vendor Long-Term Commitment </w:t>
            </w:r>
          </w:p>
        </w:tc>
        <w:tc>
          <w:tcPr>
            <w:tcW w:w="0" w:type="auto"/>
            <w:tcBorders>
              <w:top w:val="nil"/>
              <w:left w:val="nil"/>
              <w:bottom w:val="nil"/>
              <w:right w:val="nil"/>
            </w:tcBorders>
          </w:tcPr>
          <w:p w14:paraId="34A5F230" w14:textId="352EB3ED"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13</w:t>
            </w:r>
          </w:p>
        </w:tc>
        <w:tc>
          <w:tcPr>
            <w:tcW w:w="0" w:type="auto"/>
            <w:tcBorders>
              <w:top w:val="nil"/>
              <w:left w:val="nil"/>
              <w:bottom w:val="nil"/>
              <w:right w:val="nil"/>
            </w:tcBorders>
          </w:tcPr>
          <w:p w14:paraId="5D48DD73" w14:textId="5BB9586C"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w:t>
            </w:r>
          </w:p>
        </w:tc>
        <w:tc>
          <w:tcPr>
            <w:tcW w:w="0" w:type="auto"/>
            <w:tcBorders>
              <w:top w:val="nil"/>
              <w:left w:val="nil"/>
              <w:bottom w:val="nil"/>
              <w:right w:val="nil"/>
            </w:tcBorders>
          </w:tcPr>
          <w:p w14:paraId="4F645F97" w14:textId="70821274"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9</w:t>
            </w:r>
          </w:p>
        </w:tc>
        <w:tc>
          <w:tcPr>
            <w:tcW w:w="0" w:type="auto"/>
            <w:tcBorders>
              <w:top w:val="nil"/>
              <w:left w:val="nil"/>
              <w:bottom w:val="nil"/>
              <w:right w:val="nil"/>
            </w:tcBorders>
          </w:tcPr>
          <w:p w14:paraId="58B40363" w14:textId="490AE992"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4</w:t>
            </w:r>
          </w:p>
        </w:tc>
        <w:tc>
          <w:tcPr>
            <w:tcW w:w="0" w:type="auto"/>
            <w:tcBorders>
              <w:top w:val="nil"/>
              <w:left w:val="nil"/>
              <w:bottom w:val="nil"/>
              <w:right w:val="nil"/>
            </w:tcBorders>
          </w:tcPr>
          <w:p w14:paraId="0CF2DD83" w14:textId="42AF629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w:t>
            </w:r>
          </w:p>
        </w:tc>
        <w:tc>
          <w:tcPr>
            <w:tcW w:w="0" w:type="auto"/>
            <w:tcBorders>
              <w:top w:val="nil"/>
              <w:left w:val="nil"/>
              <w:bottom w:val="nil"/>
              <w:right w:val="nil"/>
            </w:tcBorders>
          </w:tcPr>
          <w:p w14:paraId="5C289752" w14:textId="5D6587C1"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w:t>
            </w:r>
          </w:p>
        </w:tc>
        <w:tc>
          <w:tcPr>
            <w:tcW w:w="0" w:type="auto"/>
            <w:tcBorders>
              <w:top w:val="nil"/>
              <w:left w:val="nil"/>
              <w:bottom w:val="nil"/>
              <w:right w:val="nil"/>
            </w:tcBorders>
          </w:tcPr>
          <w:p w14:paraId="1C420F7D" w14:textId="1B15D59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12</w:t>
            </w:r>
          </w:p>
        </w:tc>
        <w:tc>
          <w:tcPr>
            <w:tcW w:w="0" w:type="auto"/>
            <w:tcBorders>
              <w:top w:val="nil"/>
              <w:left w:val="nil"/>
              <w:bottom w:val="nil"/>
              <w:right w:val="nil"/>
            </w:tcBorders>
          </w:tcPr>
          <w:p w14:paraId="2D58FB10" w14:textId="2FB02A4C"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r>
      <w:tr w:rsidR="00470A61" w:rsidRPr="00470A61" w14:paraId="7CA39C80" w14:textId="77777777" w:rsidTr="00470A61">
        <w:trPr>
          <w:jc w:val="center"/>
        </w:trPr>
        <w:tc>
          <w:tcPr>
            <w:tcW w:w="0" w:type="auto"/>
            <w:tcBorders>
              <w:top w:val="nil"/>
              <w:left w:val="nil"/>
              <w:bottom w:val="single" w:sz="4" w:space="0" w:color="auto"/>
              <w:right w:val="nil"/>
            </w:tcBorders>
          </w:tcPr>
          <w:p w14:paraId="432A7A5E" w14:textId="5E7F193D"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Site and Infrastructure </w:t>
            </w:r>
          </w:p>
        </w:tc>
        <w:tc>
          <w:tcPr>
            <w:tcW w:w="0" w:type="auto"/>
            <w:tcBorders>
              <w:top w:val="nil"/>
              <w:left w:val="nil"/>
              <w:bottom w:val="single" w:sz="4" w:space="0" w:color="auto"/>
              <w:right w:val="nil"/>
            </w:tcBorders>
          </w:tcPr>
          <w:p w14:paraId="4FA5412A" w14:textId="145365AD"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10</w:t>
            </w:r>
          </w:p>
        </w:tc>
        <w:tc>
          <w:tcPr>
            <w:tcW w:w="0" w:type="auto"/>
            <w:tcBorders>
              <w:top w:val="nil"/>
              <w:left w:val="nil"/>
              <w:bottom w:val="single" w:sz="4" w:space="0" w:color="auto"/>
              <w:right w:val="nil"/>
            </w:tcBorders>
          </w:tcPr>
          <w:p w14:paraId="11C1BA02" w14:textId="5E705CF0"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single" w:sz="4" w:space="0" w:color="auto"/>
              <w:right w:val="nil"/>
            </w:tcBorders>
          </w:tcPr>
          <w:p w14:paraId="500998B8" w14:textId="17AA3AC8"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10</w:t>
            </w:r>
          </w:p>
        </w:tc>
        <w:tc>
          <w:tcPr>
            <w:tcW w:w="0" w:type="auto"/>
            <w:tcBorders>
              <w:top w:val="nil"/>
              <w:left w:val="nil"/>
              <w:bottom w:val="single" w:sz="4" w:space="0" w:color="auto"/>
              <w:right w:val="nil"/>
            </w:tcBorders>
          </w:tcPr>
          <w:p w14:paraId="1B34BB50" w14:textId="789DCB17"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c>
          <w:tcPr>
            <w:tcW w:w="0" w:type="auto"/>
            <w:tcBorders>
              <w:top w:val="nil"/>
              <w:left w:val="nil"/>
              <w:bottom w:val="single" w:sz="4" w:space="0" w:color="auto"/>
              <w:right w:val="nil"/>
            </w:tcBorders>
          </w:tcPr>
          <w:p w14:paraId="5102B830" w14:textId="588539A6"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12</w:t>
            </w:r>
          </w:p>
        </w:tc>
        <w:tc>
          <w:tcPr>
            <w:tcW w:w="0" w:type="auto"/>
            <w:tcBorders>
              <w:top w:val="nil"/>
              <w:left w:val="nil"/>
              <w:bottom w:val="single" w:sz="4" w:space="0" w:color="auto"/>
              <w:right w:val="nil"/>
            </w:tcBorders>
          </w:tcPr>
          <w:p w14:paraId="7060F841" w14:textId="0A017EBB"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w:t>
            </w:r>
          </w:p>
        </w:tc>
        <w:tc>
          <w:tcPr>
            <w:tcW w:w="0" w:type="auto"/>
            <w:tcBorders>
              <w:top w:val="nil"/>
              <w:left w:val="nil"/>
              <w:bottom w:val="single" w:sz="4" w:space="0" w:color="auto"/>
              <w:right w:val="nil"/>
            </w:tcBorders>
          </w:tcPr>
          <w:p w14:paraId="5320C841" w14:textId="76679536"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10</w:t>
            </w:r>
          </w:p>
        </w:tc>
        <w:tc>
          <w:tcPr>
            <w:tcW w:w="0" w:type="auto"/>
            <w:tcBorders>
              <w:top w:val="nil"/>
              <w:left w:val="nil"/>
              <w:bottom w:val="single" w:sz="4" w:space="0" w:color="auto"/>
              <w:right w:val="nil"/>
            </w:tcBorders>
          </w:tcPr>
          <w:p w14:paraId="2BAF3C28" w14:textId="7ED42B2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w:t>
            </w:r>
          </w:p>
        </w:tc>
      </w:tr>
      <w:tr w:rsidR="00470A61" w:rsidRPr="00470A61" w14:paraId="568026D3" w14:textId="77777777" w:rsidTr="00470A61">
        <w:trPr>
          <w:jc w:val="center"/>
        </w:trPr>
        <w:tc>
          <w:tcPr>
            <w:tcW w:w="0" w:type="auto"/>
            <w:tcBorders>
              <w:left w:val="nil"/>
              <w:right w:val="nil"/>
            </w:tcBorders>
          </w:tcPr>
          <w:p w14:paraId="2BB7CFC4" w14:textId="4DE711CE" w:rsidR="00470A61" w:rsidRPr="00470A61" w:rsidRDefault="00470A61" w:rsidP="00470A61">
            <w:pPr>
              <w:pStyle w:val="BodyText"/>
              <w:ind w:firstLine="0"/>
              <w:jc w:val="left"/>
              <w:rPr>
                <w:rFonts w:asciiTheme="majorBidi" w:hAnsiTheme="majorBidi" w:cstheme="majorBidi"/>
                <w:sz w:val="18"/>
                <w:szCs w:val="18"/>
                <w:lang w:val="en-US"/>
              </w:rPr>
            </w:pPr>
            <w:r w:rsidRPr="00470A61">
              <w:rPr>
                <w:rFonts w:asciiTheme="majorBidi" w:hAnsiTheme="majorBidi" w:cstheme="majorBidi"/>
                <w:sz w:val="18"/>
                <w:szCs w:val="18"/>
              </w:rPr>
              <w:t xml:space="preserve">Total (out of 150) </w:t>
            </w:r>
          </w:p>
        </w:tc>
        <w:tc>
          <w:tcPr>
            <w:tcW w:w="0" w:type="auto"/>
            <w:tcBorders>
              <w:left w:val="nil"/>
              <w:right w:val="nil"/>
            </w:tcBorders>
          </w:tcPr>
          <w:p w14:paraId="45AA5005" w14:textId="2C89799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94</w:t>
            </w:r>
          </w:p>
        </w:tc>
        <w:tc>
          <w:tcPr>
            <w:tcW w:w="0" w:type="auto"/>
            <w:tcBorders>
              <w:left w:val="nil"/>
              <w:right w:val="nil"/>
            </w:tcBorders>
          </w:tcPr>
          <w:p w14:paraId="31CCA409" w14:textId="3109CB9A"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28</w:t>
            </w:r>
          </w:p>
        </w:tc>
        <w:tc>
          <w:tcPr>
            <w:tcW w:w="0" w:type="auto"/>
            <w:tcBorders>
              <w:left w:val="nil"/>
              <w:right w:val="nil"/>
            </w:tcBorders>
          </w:tcPr>
          <w:p w14:paraId="12BDCD68" w14:textId="5FD4AC8F"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65</w:t>
            </w:r>
          </w:p>
        </w:tc>
        <w:tc>
          <w:tcPr>
            <w:tcW w:w="0" w:type="auto"/>
            <w:tcBorders>
              <w:left w:val="nil"/>
              <w:right w:val="nil"/>
            </w:tcBorders>
          </w:tcPr>
          <w:p w14:paraId="167DC3FC" w14:textId="7CECCD13"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55</w:t>
            </w:r>
          </w:p>
        </w:tc>
        <w:tc>
          <w:tcPr>
            <w:tcW w:w="0" w:type="auto"/>
            <w:tcBorders>
              <w:left w:val="nil"/>
              <w:right w:val="nil"/>
            </w:tcBorders>
          </w:tcPr>
          <w:p w14:paraId="71D44CAC" w14:textId="23845E05"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80</w:t>
            </w:r>
          </w:p>
        </w:tc>
        <w:tc>
          <w:tcPr>
            <w:tcW w:w="0" w:type="auto"/>
            <w:tcBorders>
              <w:left w:val="nil"/>
              <w:right w:val="nil"/>
            </w:tcBorders>
          </w:tcPr>
          <w:p w14:paraId="788E502D" w14:textId="2817B312"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30</w:t>
            </w:r>
          </w:p>
        </w:tc>
        <w:tc>
          <w:tcPr>
            <w:tcW w:w="0" w:type="auto"/>
            <w:tcBorders>
              <w:left w:val="nil"/>
              <w:right w:val="nil"/>
            </w:tcBorders>
          </w:tcPr>
          <w:p w14:paraId="06A6CB8F" w14:textId="303D776E"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63</w:t>
            </w:r>
          </w:p>
        </w:tc>
        <w:tc>
          <w:tcPr>
            <w:tcW w:w="0" w:type="auto"/>
            <w:tcBorders>
              <w:left w:val="nil"/>
              <w:right w:val="nil"/>
            </w:tcBorders>
          </w:tcPr>
          <w:p w14:paraId="47DBCE24" w14:textId="411B9226" w:rsidR="00470A61" w:rsidRPr="00470A61" w:rsidRDefault="00470A61" w:rsidP="00470A61">
            <w:pPr>
              <w:pStyle w:val="BodyText"/>
              <w:ind w:firstLine="0"/>
              <w:jc w:val="center"/>
              <w:rPr>
                <w:rFonts w:asciiTheme="majorBidi" w:hAnsiTheme="majorBidi" w:cstheme="majorBidi"/>
                <w:sz w:val="18"/>
                <w:szCs w:val="18"/>
                <w:lang w:val="en-US"/>
              </w:rPr>
            </w:pPr>
            <w:r w:rsidRPr="00470A61">
              <w:rPr>
                <w:rFonts w:asciiTheme="majorBidi" w:hAnsiTheme="majorBidi" w:cstheme="majorBidi"/>
                <w:sz w:val="18"/>
                <w:szCs w:val="18"/>
              </w:rPr>
              <w:t>36</w:t>
            </w:r>
          </w:p>
        </w:tc>
      </w:tr>
    </w:tbl>
    <w:p w14:paraId="77129581" w14:textId="16F89B38" w:rsidR="00C91131" w:rsidRDefault="00C91131" w:rsidP="00C91131">
      <w:pPr>
        <w:pStyle w:val="Heading4"/>
        <w:ind w:left="0"/>
      </w:pPr>
      <w:r>
        <w:t>Evaluation Summary</w:t>
      </w:r>
    </w:p>
    <w:p w14:paraId="5A676C10" w14:textId="7B634951" w:rsidR="00C91131" w:rsidRDefault="00245B42" w:rsidP="002A01B2">
      <w:pPr>
        <w:pStyle w:val="BodyText"/>
        <w:rPr>
          <w:lang w:val="en-US"/>
        </w:rPr>
      </w:pPr>
      <w:r>
        <w:rPr>
          <w:lang w:val="en-US"/>
        </w:rPr>
        <w:fldChar w:fldCharType="begin"/>
      </w:r>
      <w:r>
        <w:rPr>
          <w:lang w:val="en-US"/>
        </w:rPr>
        <w:instrText xml:space="preserve"> REF _Ref166574307 \h </w:instrText>
      </w:r>
      <w:r>
        <w:rPr>
          <w:lang w:val="en-US"/>
        </w:rPr>
      </w:r>
      <w:r>
        <w:rPr>
          <w:lang w:val="en-US"/>
        </w:rPr>
        <w:fldChar w:fldCharType="separate"/>
      </w:r>
      <w:r w:rsidR="00B547C6">
        <w:t xml:space="preserve">TABLE </w:t>
      </w:r>
      <w:r w:rsidR="00B547C6">
        <w:rPr>
          <w:noProof/>
        </w:rPr>
        <w:t>6</w:t>
      </w:r>
      <w:r>
        <w:rPr>
          <w:lang w:val="en-US"/>
        </w:rPr>
        <w:fldChar w:fldCharType="end"/>
      </w:r>
      <w:r>
        <w:rPr>
          <w:lang w:val="en-US"/>
        </w:rPr>
        <w:t xml:space="preserve"> </w:t>
      </w:r>
      <w:r w:rsidR="002A01B2">
        <w:rPr>
          <w:lang w:val="en-US"/>
        </w:rPr>
        <w:t>summarizes</w:t>
      </w:r>
      <w:r w:rsidR="00C91131" w:rsidRPr="00C91131">
        <w:rPr>
          <w:lang w:val="en-US"/>
        </w:rPr>
        <w:t xml:space="preserve"> the three evaluation methodologies’ results and the overall technology ranking</w:t>
      </w:r>
      <w:r w:rsidR="00C91131">
        <w:rPr>
          <w:lang w:val="en-US"/>
        </w:rPr>
        <w:t>.</w:t>
      </w:r>
    </w:p>
    <w:p w14:paraId="3C6AC6D9" w14:textId="675B3957" w:rsidR="00C91131" w:rsidRDefault="00C91131" w:rsidP="00C91131">
      <w:pPr>
        <w:pStyle w:val="BodyText"/>
        <w:rPr>
          <w:lang w:val="en-US"/>
        </w:rPr>
      </w:pPr>
    </w:p>
    <w:p w14:paraId="24CB7BCB" w14:textId="6B886FBC" w:rsidR="00C91131" w:rsidRDefault="00C91131" w:rsidP="00C91131">
      <w:pPr>
        <w:pStyle w:val="Caption"/>
        <w:keepNext/>
      </w:pPr>
      <w:bookmarkStart w:id="6" w:name="_Ref166574307"/>
      <w:r>
        <w:t xml:space="preserve">TABLE </w:t>
      </w:r>
      <w:r>
        <w:fldChar w:fldCharType="begin"/>
      </w:r>
      <w:r>
        <w:instrText xml:space="preserve"> SEQ TABLE \* ARABIC </w:instrText>
      </w:r>
      <w:r>
        <w:fldChar w:fldCharType="separate"/>
      </w:r>
      <w:r w:rsidR="00CA3154">
        <w:rPr>
          <w:noProof/>
        </w:rPr>
        <w:t>6</w:t>
      </w:r>
      <w:r>
        <w:fldChar w:fldCharType="end"/>
      </w:r>
      <w:bookmarkEnd w:id="6"/>
      <w:r>
        <w:t>. TECHNICAL EVALUATION RESULTS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11"/>
        <w:gridCol w:w="396"/>
        <w:gridCol w:w="396"/>
        <w:gridCol w:w="396"/>
        <w:gridCol w:w="396"/>
      </w:tblGrid>
      <w:tr w:rsidR="00C91131" w:rsidRPr="00C91131" w14:paraId="3B492189" w14:textId="77777777" w:rsidTr="00245B42">
        <w:trPr>
          <w:jc w:val="center"/>
        </w:trPr>
        <w:tc>
          <w:tcPr>
            <w:tcW w:w="0" w:type="auto"/>
            <w:tcBorders>
              <w:bottom w:val="single" w:sz="4" w:space="0" w:color="auto"/>
            </w:tcBorders>
          </w:tcPr>
          <w:p w14:paraId="711156DA" w14:textId="5AFB65A8" w:rsidR="00C91131" w:rsidRPr="00C91131" w:rsidRDefault="00C91131" w:rsidP="00245B42">
            <w:pPr>
              <w:pStyle w:val="BodyText"/>
              <w:ind w:firstLine="0"/>
              <w:jc w:val="left"/>
              <w:rPr>
                <w:sz w:val="18"/>
                <w:szCs w:val="18"/>
                <w:lang w:val="en-US"/>
              </w:rPr>
            </w:pPr>
            <w:r w:rsidRPr="00C91131">
              <w:rPr>
                <w:sz w:val="18"/>
                <w:szCs w:val="18"/>
              </w:rPr>
              <w:t xml:space="preserve">Evaluation Methodology </w:t>
            </w:r>
          </w:p>
        </w:tc>
        <w:tc>
          <w:tcPr>
            <w:tcW w:w="0" w:type="auto"/>
            <w:tcBorders>
              <w:bottom w:val="single" w:sz="4" w:space="0" w:color="auto"/>
            </w:tcBorders>
          </w:tcPr>
          <w:p w14:paraId="413DE7E6" w14:textId="62A6F742" w:rsidR="00C91131" w:rsidRPr="00C91131" w:rsidRDefault="00C91131" w:rsidP="00245B42">
            <w:pPr>
              <w:pStyle w:val="BodyText"/>
              <w:ind w:firstLine="0"/>
              <w:jc w:val="center"/>
              <w:rPr>
                <w:sz w:val="18"/>
                <w:szCs w:val="18"/>
                <w:lang w:val="en-US"/>
              </w:rPr>
            </w:pPr>
            <w:r>
              <w:rPr>
                <w:sz w:val="18"/>
                <w:szCs w:val="18"/>
              </w:rPr>
              <w:t>A</w:t>
            </w:r>
          </w:p>
        </w:tc>
        <w:tc>
          <w:tcPr>
            <w:tcW w:w="0" w:type="auto"/>
            <w:tcBorders>
              <w:bottom w:val="single" w:sz="4" w:space="0" w:color="auto"/>
            </w:tcBorders>
          </w:tcPr>
          <w:p w14:paraId="7EF64262" w14:textId="76A3A4F8" w:rsidR="00C91131" w:rsidRPr="00C91131" w:rsidRDefault="00C91131" w:rsidP="00245B42">
            <w:pPr>
              <w:pStyle w:val="BodyText"/>
              <w:ind w:firstLine="0"/>
              <w:jc w:val="center"/>
              <w:rPr>
                <w:sz w:val="18"/>
                <w:szCs w:val="18"/>
                <w:lang w:val="en-US"/>
              </w:rPr>
            </w:pPr>
            <w:r>
              <w:rPr>
                <w:sz w:val="18"/>
                <w:szCs w:val="18"/>
              </w:rPr>
              <w:t>E</w:t>
            </w:r>
          </w:p>
        </w:tc>
        <w:tc>
          <w:tcPr>
            <w:tcW w:w="0" w:type="auto"/>
            <w:tcBorders>
              <w:bottom w:val="single" w:sz="4" w:space="0" w:color="auto"/>
            </w:tcBorders>
          </w:tcPr>
          <w:p w14:paraId="485DB604" w14:textId="3A68790B" w:rsidR="00C91131" w:rsidRPr="00C91131" w:rsidRDefault="00C91131" w:rsidP="00245B42">
            <w:pPr>
              <w:pStyle w:val="BodyText"/>
              <w:ind w:firstLine="0"/>
              <w:jc w:val="center"/>
              <w:rPr>
                <w:sz w:val="18"/>
                <w:szCs w:val="18"/>
                <w:lang w:val="en-US"/>
              </w:rPr>
            </w:pPr>
            <w:r>
              <w:rPr>
                <w:sz w:val="18"/>
                <w:szCs w:val="18"/>
              </w:rPr>
              <w:t>B</w:t>
            </w:r>
          </w:p>
        </w:tc>
        <w:tc>
          <w:tcPr>
            <w:tcW w:w="0" w:type="auto"/>
            <w:tcBorders>
              <w:bottom w:val="single" w:sz="4" w:space="0" w:color="auto"/>
            </w:tcBorders>
          </w:tcPr>
          <w:p w14:paraId="4E1CA094" w14:textId="54F86998" w:rsidR="00C91131" w:rsidRPr="00C91131" w:rsidRDefault="00C91131" w:rsidP="00245B42">
            <w:pPr>
              <w:pStyle w:val="BodyText"/>
              <w:ind w:firstLine="0"/>
              <w:jc w:val="center"/>
              <w:rPr>
                <w:sz w:val="18"/>
                <w:szCs w:val="18"/>
                <w:lang w:val="en-US"/>
              </w:rPr>
            </w:pPr>
            <w:r>
              <w:rPr>
                <w:sz w:val="18"/>
                <w:szCs w:val="18"/>
              </w:rPr>
              <w:t>D</w:t>
            </w:r>
          </w:p>
        </w:tc>
      </w:tr>
      <w:tr w:rsidR="00C91131" w:rsidRPr="00C91131" w14:paraId="0C1C20E1" w14:textId="77777777" w:rsidTr="00245B42">
        <w:trPr>
          <w:jc w:val="center"/>
        </w:trPr>
        <w:tc>
          <w:tcPr>
            <w:tcW w:w="0" w:type="auto"/>
            <w:tcBorders>
              <w:bottom w:val="nil"/>
              <w:right w:val="nil"/>
            </w:tcBorders>
          </w:tcPr>
          <w:p w14:paraId="7F986174" w14:textId="7E0222AC" w:rsidR="00C91131" w:rsidRPr="00C91131" w:rsidRDefault="00C91131" w:rsidP="00245B42">
            <w:pPr>
              <w:pStyle w:val="BodyText"/>
              <w:ind w:firstLine="0"/>
              <w:jc w:val="left"/>
              <w:rPr>
                <w:sz w:val="18"/>
                <w:szCs w:val="18"/>
                <w:lang w:val="en-US"/>
              </w:rPr>
            </w:pPr>
            <w:r w:rsidRPr="00C91131">
              <w:rPr>
                <w:sz w:val="18"/>
                <w:szCs w:val="18"/>
              </w:rPr>
              <w:t xml:space="preserve">Evaluation Matrix </w:t>
            </w:r>
          </w:p>
        </w:tc>
        <w:tc>
          <w:tcPr>
            <w:tcW w:w="0" w:type="auto"/>
            <w:tcBorders>
              <w:left w:val="nil"/>
              <w:bottom w:val="nil"/>
              <w:right w:val="nil"/>
            </w:tcBorders>
          </w:tcPr>
          <w:p w14:paraId="13DF936F" w14:textId="58F7DAD0" w:rsidR="00C91131" w:rsidRPr="00C91131" w:rsidRDefault="00C91131" w:rsidP="00245B42">
            <w:pPr>
              <w:pStyle w:val="BodyText"/>
              <w:ind w:firstLine="0"/>
              <w:jc w:val="center"/>
              <w:rPr>
                <w:sz w:val="18"/>
                <w:szCs w:val="18"/>
                <w:lang w:val="en-US"/>
              </w:rPr>
            </w:pPr>
            <w:r w:rsidRPr="00C91131">
              <w:rPr>
                <w:sz w:val="18"/>
                <w:szCs w:val="18"/>
              </w:rPr>
              <w:t>81</w:t>
            </w:r>
          </w:p>
        </w:tc>
        <w:tc>
          <w:tcPr>
            <w:tcW w:w="0" w:type="auto"/>
            <w:tcBorders>
              <w:left w:val="nil"/>
              <w:bottom w:val="nil"/>
              <w:right w:val="nil"/>
            </w:tcBorders>
          </w:tcPr>
          <w:p w14:paraId="0327B935" w14:textId="37923B4C" w:rsidR="00C91131" w:rsidRPr="00C91131" w:rsidRDefault="00C91131" w:rsidP="00245B42">
            <w:pPr>
              <w:pStyle w:val="BodyText"/>
              <w:ind w:firstLine="0"/>
              <w:jc w:val="center"/>
              <w:rPr>
                <w:sz w:val="18"/>
                <w:szCs w:val="18"/>
                <w:lang w:val="en-US"/>
              </w:rPr>
            </w:pPr>
            <w:r w:rsidRPr="00C91131">
              <w:rPr>
                <w:sz w:val="18"/>
                <w:szCs w:val="18"/>
              </w:rPr>
              <w:t>78</w:t>
            </w:r>
          </w:p>
        </w:tc>
        <w:tc>
          <w:tcPr>
            <w:tcW w:w="0" w:type="auto"/>
            <w:tcBorders>
              <w:left w:val="nil"/>
              <w:bottom w:val="nil"/>
              <w:right w:val="nil"/>
            </w:tcBorders>
          </w:tcPr>
          <w:p w14:paraId="25F8DC5B" w14:textId="7FF9B55C" w:rsidR="00C91131" w:rsidRPr="00C91131" w:rsidRDefault="00C91131" w:rsidP="00245B42">
            <w:pPr>
              <w:pStyle w:val="BodyText"/>
              <w:ind w:firstLine="0"/>
              <w:jc w:val="center"/>
              <w:rPr>
                <w:sz w:val="18"/>
                <w:szCs w:val="18"/>
                <w:lang w:val="en-US"/>
              </w:rPr>
            </w:pPr>
            <w:r w:rsidRPr="00C91131">
              <w:rPr>
                <w:sz w:val="18"/>
                <w:szCs w:val="18"/>
              </w:rPr>
              <w:t>75</w:t>
            </w:r>
          </w:p>
        </w:tc>
        <w:tc>
          <w:tcPr>
            <w:tcW w:w="0" w:type="auto"/>
            <w:tcBorders>
              <w:left w:val="nil"/>
              <w:bottom w:val="nil"/>
            </w:tcBorders>
          </w:tcPr>
          <w:p w14:paraId="572A4815" w14:textId="29AF9A10" w:rsidR="00C91131" w:rsidRPr="00C91131" w:rsidRDefault="00C91131" w:rsidP="00245B42">
            <w:pPr>
              <w:pStyle w:val="BodyText"/>
              <w:ind w:firstLine="0"/>
              <w:jc w:val="center"/>
              <w:rPr>
                <w:sz w:val="18"/>
                <w:szCs w:val="18"/>
                <w:lang w:val="en-US"/>
              </w:rPr>
            </w:pPr>
            <w:r w:rsidRPr="00C91131">
              <w:rPr>
                <w:sz w:val="18"/>
                <w:szCs w:val="18"/>
              </w:rPr>
              <w:t>71</w:t>
            </w:r>
          </w:p>
        </w:tc>
      </w:tr>
      <w:tr w:rsidR="00C91131" w:rsidRPr="00C91131" w14:paraId="0CDA5587" w14:textId="77777777" w:rsidTr="00245B42">
        <w:trPr>
          <w:jc w:val="center"/>
        </w:trPr>
        <w:tc>
          <w:tcPr>
            <w:tcW w:w="0" w:type="auto"/>
            <w:tcBorders>
              <w:top w:val="nil"/>
              <w:bottom w:val="nil"/>
              <w:right w:val="nil"/>
            </w:tcBorders>
          </w:tcPr>
          <w:p w14:paraId="2E2603A6" w14:textId="22124628" w:rsidR="00C91131" w:rsidRPr="00C91131" w:rsidRDefault="00C91131" w:rsidP="00245B42">
            <w:pPr>
              <w:pStyle w:val="BodyText"/>
              <w:ind w:firstLine="0"/>
              <w:jc w:val="left"/>
              <w:rPr>
                <w:sz w:val="18"/>
                <w:szCs w:val="18"/>
                <w:lang w:val="en-US"/>
              </w:rPr>
            </w:pPr>
            <w:r w:rsidRPr="00C91131">
              <w:rPr>
                <w:sz w:val="18"/>
                <w:szCs w:val="18"/>
              </w:rPr>
              <w:t xml:space="preserve">Key Factors </w:t>
            </w:r>
          </w:p>
        </w:tc>
        <w:tc>
          <w:tcPr>
            <w:tcW w:w="0" w:type="auto"/>
            <w:tcBorders>
              <w:top w:val="nil"/>
              <w:left w:val="nil"/>
              <w:bottom w:val="nil"/>
              <w:right w:val="nil"/>
            </w:tcBorders>
          </w:tcPr>
          <w:p w14:paraId="0366BBB8" w14:textId="50B6133B" w:rsidR="00C91131" w:rsidRPr="00C91131" w:rsidRDefault="00C91131" w:rsidP="00245B42">
            <w:pPr>
              <w:pStyle w:val="BodyText"/>
              <w:ind w:firstLine="0"/>
              <w:jc w:val="center"/>
              <w:rPr>
                <w:sz w:val="18"/>
                <w:szCs w:val="18"/>
                <w:lang w:val="en-US"/>
              </w:rPr>
            </w:pPr>
            <w:r w:rsidRPr="00C91131">
              <w:rPr>
                <w:sz w:val="18"/>
                <w:szCs w:val="18"/>
              </w:rPr>
              <w:t>83</w:t>
            </w:r>
          </w:p>
        </w:tc>
        <w:tc>
          <w:tcPr>
            <w:tcW w:w="0" w:type="auto"/>
            <w:tcBorders>
              <w:top w:val="nil"/>
              <w:left w:val="nil"/>
              <w:bottom w:val="nil"/>
              <w:right w:val="nil"/>
            </w:tcBorders>
          </w:tcPr>
          <w:p w14:paraId="173C2F1A" w14:textId="740C99D8" w:rsidR="00C91131" w:rsidRPr="00C91131" w:rsidRDefault="00C91131" w:rsidP="00245B42">
            <w:pPr>
              <w:pStyle w:val="BodyText"/>
              <w:ind w:firstLine="0"/>
              <w:jc w:val="center"/>
              <w:rPr>
                <w:sz w:val="18"/>
                <w:szCs w:val="18"/>
                <w:lang w:val="en-US"/>
              </w:rPr>
            </w:pPr>
            <w:r w:rsidRPr="00C91131">
              <w:rPr>
                <w:sz w:val="18"/>
                <w:szCs w:val="18"/>
              </w:rPr>
              <w:t>85</w:t>
            </w:r>
          </w:p>
        </w:tc>
        <w:tc>
          <w:tcPr>
            <w:tcW w:w="0" w:type="auto"/>
            <w:tcBorders>
              <w:top w:val="nil"/>
              <w:left w:val="nil"/>
              <w:bottom w:val="nil"/>
              <w:right w:val="nil"/>
            </w:tcBorders>
          </w:tcPr>
          <w:p w14:paraId="7AE7C731" w14:textId="2276E463" w:rsidR="00C91131" w:rsidRPr="00C91131" w:rsidRDefault="00C91131" w:rsidP="00245B42">
            <w:pPr>
              <w:pStyle w:val="BodyText"/>
              <w:ind w:firstLine="0"/>
              <w:jc w:val="center"/>
              <w:rPr>
                <w:sz w:val="18"/>
                <w:szCs w:val="18"/>
                <w:lang w:val="en-US"/>
              </w:rPr>
            </w:pPr>
            <w:r w:rsidRPr="00C91131">
              <w:rPr>
                <w:sz w:val="18"/>
                <w:szCs w:val="18"/>
              </w:rPr>
              <w:t>83</w:t>
            </w:r>
          </w:p>
        </w:tc>
        <w:tc>
          <w:tcPr>
            <w:tcW w:w="0" w:type="auto"/>
            <w:tcBorders>
              <w:top w:val="nil"/>
              <w:left w:val="nil"/>
              <w:bottom w:val="nil"/>
            </w:tcBorders>
          </w:tcPr>
          <w:p w14:paraId="28D19F55" w14:textId="4624799D" w:rsidR="00C91131" w:rsidRPr="00C91131" w:rsidRDefault="00C91131" w:rsidP="00245B42">
            <w:pPr>
              <w:pStyle w:val="BodyText"/>
              <w:ind w:firstLine="0"/>
              <w:jc w:val="center"/>
              <w:rPr>
                <w:sz w:val="18"/>
                <w:szCs w:val="18"/>
                <w:lang w:val="en-US"/>
              </w:rPr>
            </w:pPr>
            <w:r w:rsidRPr="00C91131">
              <w:rPr>
                <w:sz w:val="18"/>
                <w:szCs w:val="18"/>
              </w:rPr>
              <w:t>81</w:t>
            </w:r>
          </w:p>
        </w:tc>
      </w:tr>
      <w:tr w:rsidR="00C91131" w:rsidRPr="00C91131" w14:paraId="26194291" w14:textId="77777777" w:rsidTr="00245B42">
        <w:trPr>
          <w:jc w:val="center"/>
        </w:trPr>
        <w:tc>
          <w:tcPr>
            <w:tcW w:w="0" w:type="auto"/>
            <w:tcBorders>
              <w:top w:val="nil"/>
              <w:right w:val="nil"/>
            </w:tcBorders>
          </w:tcPr>
          <w:p w14:paraId="2F0FC0C2" w14:textId="6CAFF14D" w:rsidR="00C91131" w:rsidRPr="00C91131" w:rsidRDefault="00C91131" w:rsidP="00245B42">
            <w:pPr>
              <w:pStyle w:val="BodyText"/>
              <w:ind w:firstLine="0"/>
              <w:jc w:val="left"/>
              <w:rPr>
                <w:sz w:val="18"/>
                <w:szCs w:val="18"/>
                <w:lang w:val="en-US"/>
              </w:rPr>
            </w:pPr>
            <w:r w:rsidRPr="00C91131">
              <w:rPr>
                <w:sz w:val="18"/>
                <w:szCs w:val="18"/>
              </w:rPr>
              <w:t xml:space="preserve">Best-In-Class </w:t>
            </w:r>
          </w:p>
        </w:tc>
        <w:tc>
          <w:tcPr>
            <w:tcW w:w="0" w:type="auto"/>
            <w:tcBorders>
              <w:top w:val="nil"/>
              <w:left w:val="nil"/>
              <w:right w:val="nil"/>
            </w:tcBorders>
          </w:tcPr>
          <w:p w14:paraId="0A62AC78" w14:textId="005A591A" w:rsidR="00C91131" w:rsidRPr="00C91131" w:rsidRDefault="00C91131" w:rsidP="00245B42">
            <w:pPr>
              <w:pStyle w:val="BodyText"/>
              <w:ind w:firstLine="0"/>
              <w:jc w:val="center"/>
              <w:rPr>
                <w:sz w:val="18"/>
                <w:szCs w:val="18"/>
                <w:lang w:val="en-US"/>
              </w:rPr>
            </w:pPr>
            <w:r w:rsidRPr="00C91131">
              <w:rPr>
                <w:sz w:val="18"/>
                <w:szCs w:val="18"/>
              </w:rPr>
              <w:t>81</w:t>
            </w:r>
          </w:p>
        </w:tc>
        <w:tc>
          <w:tcPr>
            <w:tcW w:w="0" w:type="auto"/>
            <w:tcBorders>
              <w:top w:val="nil"/>
              <w:left w:val="nil"/>
              <w:right w:val="nil"/>
            </w:tcBorders>
          </w:tcPr>
          <w:p w14:paraId="067F30D8" w14:textId="2518DE7D" w:rsidR="00C91131" w:rsidRPr="00C91131" w:rsidRDefault="00C91131" w:rsidP="00245B42">
            <w:pPr>
              <w:pStyle w:val="BodyText"/>
              <w:ind w:firstLine="0"/>
              <w:jc w:val="center"/>
              <w:rPr>
                <w:sz w:val="18"/>
                <w:szCs w:val="18"/>
                <w:lang w:val="en-US"/>
              </w:rPr>
            </w:pPr>
            <w:r w:rsidRPr="00C91131">
              <w:rPr>
                <w:sz w:val="18"/>
                <w:szCs w:val="18"/>
              </w:rPr>
              <w:t>80</w:t>
            </w:r>
          </w:p>
        </w:tc>
        <w:tc>
          <w:tcPr>
            <w:tcW w:w="0" w:type="auto"/>
            <w:tcBorders>
              <w:top w:val="nil"/>
              <w:left w:val="nil"/>
              <w:right w:val="nil"/>
            </w:tcBorders>
          </w:tcPr>
          <w:p w14:paraId="58817940" w14:textId="461C230C" w:rsidR="00C91131" w:rsidRPr="00C91131" w:rsidRDefault="00C91131" w:rsidP="00245B42">
            <w:pPr>
              <w:pStyle w:val="BodyText"/>
              <w:ind w:firstLine="0"/>
              <w:jc w:val="center"/>
              <w:rPr>
                <w:sz w:val="18"/>
                <w:szCs w:val="18"/>
                <w:lang w:val="en-US"/>
              </w:rPr>
            </w:pPr>
            <w:r w:rsidRPr="00C91131">
              <w:rPr>
                <w:sz w:val="18"/>
                <w:szCs w:val="18"/>
              </w:rPr>
              <w:t>73</w:t>
            </w:r>
          </w:p>
        </w:tc>
        <w:tc>
          <w:tcPr>
            <w:tcW w:w="0" w:type="auto"/>
            <w:tcBorders>
              <w:top w:val="nil"/>
              <w:left w:val="nil"/>
            </w:tcBorders>
          </w:tcPr>
          <w:p w14:paraId="7A158196" w14:textId="40797015" w:rsidR="00C91131" w:rsidRPr="00C91131" w:rsidRDefault="00C91131" w:rsidP="00245B42">
            <w:pPr>
              <w:pStyle w:val="BodyText"/>
              <w:ind w:firstLine="0"/>
              <w:jc w:val="center"/>
              <w:rPr>
                <w:sz w:val="18"/>
                <w:szCs w:val="18"/>
                <w:lang w:val="en-US"/>
              </w:rPr>
            </w:pPr>
            <w:r w:rsidRPr="00C91131">
              <w:rPr>
                <w:sz w:val="18"/>
                <w:szCs w:val="18"/>
              </w:rPr>
              <w:t>66</w:t>
            </w:r>
          </w:p>
        </w:tc>
      </w:tr>
      <w:tr w:rsidR="00C91131" w:rsidRPr="00C91131" w14:paraId="1691CFFB" w14:textId="77777777" w:rsidTr="00245B42">
        <w:trPr>
          <w:jc w:val="center"/>
        </w:trPr>
        <w:tc>
          <w:tcPr>
            <w:tcW w:w="0" w:type="auto"/>
          </w:tcPr>
          <w:p w14:paraId="321B7DE2" w14:textId="6CF5E385" w:rsidR="00C91131" w:rsidRPr="00C91131" w:rsidRDefault="00C91131" w:rsidP="00245B42">
            <w:pPr>
              <w:pStyle w:val="BodyText"/>
              <w:ind w:firstLine="0"/>
              <w:jc w:val="left"/>
              <w:rPr>
                <w:sz w:val="18"/>
                <w:szCs w:val="18"/>
                <w:lang w:val="en-US"/>
              </w:rPr>
            </w:pPr>
            <w:r w:rsidRPr="00C91131">
              <w:rPr>
                <w:sz w:val="18"/>
                <w:szCs w:val="18"/>
              </w:rPr>
              <w:t xml:space="preserve">Average </w:t>
            </w:r>
          </w:p>
        </w:tc>
        <w:tc>
          <w:tcPr>
            <w:tcW w:w="0" w:type="auto"/>
          </w:tcPr>
          <w:p w14:paraId="63B90C55" w14:textId="0DCD9E9D" w:rsidR="00C91131" w:rsidRPr="00C91131" w:rsidRDefault="00C91131" w:rsidP="00245B42">
            <w:pPr>
              <w:pStyle w:val="BodyText"/>
              <w:ind w:firstLine="0"/>
              <w:jc w:val="center"/>
              <w:rPr>
                <w:sz w:val="18"/>
                <w:szCs w:val="18"/>
                <w:lang w:val="en-US"/>
              </w:rPr>
            </w:pPr>
            <w:r w:rsidRPr="00C91131">
              <w:rPr>
                <w:b/>
                <w:bCs/>
                <w:sz w:val="18"/>
                <w:szCs w:val="18"/>
              </w:rPr>
              <w:t>82</w:t>
            </w:r>
          </w:p>
        </w:tc>
        <w:tc>
          <w:tcPr>
            <w:tcW w:w="0" w:type="auto"/>
          </w:tcPr>
          <w:p w14:paraId="4D1B12C9" w14:textId="244A9D5E" w:rsidR="00C91131" w:rsidRPr="00C91131" w:rsidRDefault="00C91131" w:rsidP="00245B42">
            <w:pPr>
              <w:pStyle w:val="BodyText"/>
              <w:ind w:firstLine="0"/>
              <w:jc w:val="center"/>
              <w:rPr>
                <w:sz w:val="18"/>
                <w:szCs w:val="18"/>
                <w:lang w:val="en-US"/>
              </w:rPr>
            </w:pPr>
            <w:r w:rsidRPr="00C91131">
              <w:rPr>
                <w:b/>
                <w:bCs/>
                <w:sz w:val="18"/>
                <w:szCs w:val="18"/>
              </w:rPr>
              <w:t>81</w:t>
            </w:r>
          </w:p>
        </w:tc>
        <w:tc>
          <w:tcPr>
            <w:tcW w:w="0" w:type="auto"/>
          </w:tcPr>
          <w:p w14:paraId="22AC972B" w14:textId="5D83D8B1" w:rsidR="00C91131" w:rsidRPr="00C91131" w:rsidRDefault="00C91131" w:rsidP="00245B42">
            <w:pPr>
              <w:pStyle w:val="BodyText"/>
              <w:ind w:firstLine="0"/>
              <w:jc w:val="center"/>
              <w:rPr>
                <w:sz w:val="18"/>
                <w:szCs w:val="18"/>
                <w:lang w:val="en-US"/>
              </w:rPr>
            </w:pPr>
            <w:r w:rsidRPr="00C91131">
              <w:rPr>
                <w:b/>
                <w:bCs/>
                <w:sz w:val="18"/>
                <w:szCs w:val="18"/>
              </w:rPr>
              <w:t>77</w:t>
            </w:r>
          </w:p>
        </w:tc>
        <w:tc>
          <w:tcPr>
            <w:tcW w:w="0" w:type="auto"/>
          </w:tcPr>
          <w:p w14:paraId="5230008C" w14:textId="261CEB53" w:rsidR="00C91131" w:rsidRPr="00C91131" w:rsidRDefault="00C91131" w:rsidP="00245B42">
            <w:pPr>
              <w:pStyle w:val="BodyText"/>
              <w:ind w:firstLine="0"/>
              <w:jc w:val="center"/>
              <w:rPr>
                <w:sz w:val="18"/>
                <w:szCs w:val="18"/>
                <w:lang w:val="en-US"/>
              </w:rPr>
            </w:pPr>
            <w:r w:rsidRPr="00C91131">
              <w:rPr>
                <w:b/>
                <w:bCs/>
                <w:sz w:val="18"/>
                <w:szCs w:val="18"/>
              </w:rPr>
              <w:t>73</w:t>
            </w:r>
          </w:p>
        </w:tc>
      </w:tr>
      <w:tr w:rsidR="00C91131" w:rsidRPr="00C91131" w14:paraId="3E5E9467" w14:textId="77777777" w:rsidTr="00245B42">
        <w:trPr>
          <w:jc w:val="center"/>
        </w:trPr>
        <w:tc>
          <w:tcPr>
            <w:tcW w:w="0" w:type="auto"/>
          </w:tcPr>
          <w:p w14:paraId="72E490D8" w14:textId="5BFFB936" w:rsidR="00C91131" w:rsidRPr="00C91131" w:rsidRDefault="00C91131" w:rsidP="00245B42">
            <w:pPr>
              <w:pStyle w:val="BodyText"/>
              <w:ind w:firstLine="0"/>
              <w:jc w:val="left"/>
              <w:rPr>
                <w:sz w:val="18"/>
                <w:szCs w:val="18"/>
                <w:lang w:val="en-US"/>
              </w:rPr>
            </w:pPr>
            <w:r w:rsidRPr="00C91131">
              <w:rPr>
                <w:sz w:val="18"/>
                <w:szCs w:val="18"/>
              </w:rPr>
              <w:t xml:space="preserve">Rank </w:t>
            </w:r>
          </w:p>
        </w:tc>
        <w:tc>
          <w:tcPr>
            <w:tcW w:w="0" w:type="auto"/>
          </w:tcPr>
          <w:p w14:paraId="4595A54E" w14:textId="3E7C8DA5" w:rsidR="00C91131" w:rsidRPr="00C91131" w:rsidRDefault="00C91131" w:rsidP="00245B42">
            <w:pPr>
              <w:pStyle w:val="BodyText"/>
              <w:ind w:firstLine="0"/>
              <w:jc w:val="center"/>
              <w:rPr>
                <w:sz w:val="18"/>
                <w:szCs w:val="18"/>
                <w:lang w:val="en-US"/>
              </w:rPr>
            </w:pPr>
            <w:r w:rsidRPr="00C91131">
              <w:rPr>
                <w:b/>
                <w:bCs/>
                <w:sz w:val="18"/>
                <w:szCs w:val="18"/>
              </w:rPr>
              <w:t>1</w:t>
            </w:r>
          </w:p>
        </w:tc>
        <w:tc>
          <w:tcPr>
            <w:tcW w:w="0" w:type="auto"/>
          </w:tcPr>
          <w:p w14:paraId="18F37E79" w14:textId="4B52B926" w:rsidR="00C91131" w:rsidRPr="00C91131" w:rsidRDefault="00C91131" w:rsidP="00245B42">
            <w:pPr>
              <w:pStyle w:val="BodyText"/>
              <w:ind w:firstLine="0"/>
              <w:jc w:val="center"/>
              <w:rPr>
                <w:sz w:val="18"/>
                <w:szCs w:val="18"/>
                <w:lang w:val="en-US"/>
              </w:rPr>
            </w:pPr>
            <w:r w:rsidRPr="00C91131">
              <w:rPr>
                <w:b/>
                <w:bCs/>
                <w:sz w:val="18"/>
                <w:szCs w:val="18"/>
              </w:rPr>
              <w:t>2</w:t>
            </w:r>
          </w:p>
        </w:tc>
        <w:tc>
          <w:tcPr>
            <w:tcW w:w="0" w:type="auto"/>
          </w:tcPr>
          <w:p w14:paraId="5047B954" w14:textId="3F95C836" w:rsidR="00C91131" w:rsidRPr="00C91131" w:rsidRDefault="00C91131" w:rsidP="00245B42">
            <w:pPr>
              <w:pStyle w:val="BodyText"/>
              <w:ind w:firstLine="0"/>
              <w:jc w:val="center"/>
              <w:rPr>
                <w:sz w:val="18"/>
                <w:szCs w:val="18"/>
                <w:lang w:val="en-US"/>
              </w:rPr>
            </w:pPr>
            <w:r w:rsidRPr="00C91131">
              <w:rPr>
                <w:b/>
                <w:bCs/>
                <w:sz w:val="18"/>
                <w:szCs w:val="18"/>
              </w:rPr>
              <w:t>3</w:t>
            </w:r>
          </w:p>
        </w:tc>
        <w:tc>
          <w:tcPr>
            <w:tcW w:w="0" w:type="auto"/>
          </w:tcPr>
          <w:p w14:paraId="6A9DAF65" w14:textId="702E9E8C" w:rsidR="00C91131" w:rsidRPr="00C91131" w:rsidRDefault="00C91131" w:rsidP="00245B42">
            <w:pPr>
              <w:pStyle w:val="BodyText"/>
              <w:ind w:firstLine="0"/>
              <w:jc w:val="center"/>
              <w:rPr>
                <w:sz w:val="18"/>
                <w:szCs w:val="18"/>
                <w:lang w:val="en-US"/>
              </w:rPr>
            </w:pPr>
            <w:r w:rsidRPr="00C91131">
              <w:rPr>
                <w:b/>
                <w:bCs/>
                <w:sz w:val="18"/>
                <w:szCs w:val="18"/>
              </w:rPr>
              <w:t>4</w:t>
            </w:r>
          </w:p>
        </w:tc>
      </w:tr>
    </w:tbl>
    <w:p w14:paraId="31B3AC87" w14:textId="563C468F" w:rsidR="00C91131" w:rsidRDefault="00245B42" w:rsidP="00496590">
      <w:pPr>
        <w:pStyle w:val="Heading2"/>
        <w:rPr>
          <w:lang w:val="en-US"/>
        </w:rPr>
      </w:pPr>
      <w:r>
        <w:rPr>
          <w:lang w:val="en-US"/>
        </w:rPr>
        <w:t>ConClusion</w:t>
      </w:r>
    </w:p>
    <w:p w14:paraId="5D18498F" w14:textId="3C7CA0D6" w:rsidR="005268BD" w:rsidRDefault="005268BD" w:rsidP="00503763">
      <w:pPr>
        <w:pStyle w:val="BodyText"/>
        <w:numPr>
          <w:ilvl w:val="0"/>
          <w:numId w:val="10"/>
        </w:numPr>
        <w:rPr>
          <w:lang w:val="en-US"/>
        </w:rPr>
      </w:pPr>
      <w:r>
        <w:rPr>
          <w:lang w:val="en-US"/>
        </w:rPr>
        <w:t xml:space="preserve">Jordan has completed the evaluation </w:t>
      </w:r>
      <w:r w:rsidR="007D3002" w:rsidRPr="007D3002">
        <w:rPr>
          <w:lang w:val="en-US"/>
        </w:rPr>
        <w:t>of</w:t>
      </w:r>
      <w:r>
        <w:rPr>
          <w:lang w:val="en-US"/>
        </w:rPr>
        <w:t xml:space="preserve"> 6 reactors and as a result has a clear understanding of the challenges and obstacles coming ahead;</w:t>
      </w:r>
    </w:p>
    <w:p w14:paraId="1727148D" w14:textId="6F228695" w:rsidR="005268BD" w:rsidRDefault="005268BD" w:rsidP="00503763">
      <w:pPr>
        <w:pStyle w:val="BodyText"/>
        <w:numPr>
          <w:ilvl w:val="0"/>
          <w:numId w:val="10"/>
        </w:numPr>
        <w:rPr>
          <w:lang w:val="en-US"/>
        </w:rPr>
      </w:pPr>
      <w:r>
        <w:rPr>
          <w:lang w:val="en-US"/>
        </w:rPr>
        <w:t xml:space="preserve">Using SMR for both power and non-power applications would help Jordan to have energy and water security </w:t>
      </w:r>
      <w:r w:rsidR="007D3002" w:rsidRPr="007D3002">
        <w:rPr>
          <w:lang w:val="en-US"/>
        </w:rPr>
        <w:t>while</w:t>
      </w:r>
      <w:r>
        <w:rPr>
          <w:lang w:val="en-US"/>
        </w:rPr>
        <w:t xml:space="preserve"> having a domestic alternative to imported sources;</w:t>
      </w:r>
    </w:p>
    <w:p w14:paraId="676135B4" w14:textId="76ACA1B7" w:rsidR="005268BD" w:rsidRDefault="005268BD" w:rsidP="002A01B2">
      <w:pPr>
        <w:pStyle w:val="BodyText"/>
        <w:numPr>
          <w:ilvl w:val="0"/>
          <w:numId w:val="10"/>
        </w:numPr>
        <w:rPr>
          <w:lang w:val="en-US"/>
        </w:rPr>
      </w:pPr>
      <w:r>
        <w:rPr>
          <w:lang w:val="en-US"/>
        </w:rPr>
        <w:t xml:space="preserve">Although not discussed in this paper, the economic evaluation plays a major role in the technology assessment and, when combined with the technical </w:t>
      </w:r>
      <w:r w:rsidR="002A01B2">
        <w:rPr>
          <w:lang w:val="en-US"/>
        </w:rPr>
        <w:t>assessment</w:t>
      </w:r>
      <w:r>
        <w:rPr>
          <w:lang w:val="en-US"/>
        </w:rPr>
        <w:t>, would change the ranking results;</w:t>
      </w:r>
    </w:p>
    <w:p w14:paraId="733DEFCA" w14:textId="14E80E66" w:rsidR="005268BD" w:rsidRPr="005268BD" w:rsidRDefault="005268BD" w:rsidP="00503763">
      <w:pPr>
        <w:pStyle w:val="BodyText"/>
        <w:numPr>
          <w:ilvl w:val="0"/>
          <w:numId w:val="10"/>
        </w:numPr>
        <w:rPr>
          <w:lang w:val="en-US"/>
        </w:rPr>
      </w:pPr>
      <w:r>
        <w:rPr>
          <w:lang w:val="en-US"/>
        </w:rPr>
        <w:t>The evaluation process is not final and is open to additional reactor technologies if merit is shown.</w:t>
      </w:r>
    </w:p>
    <w:p w14:paraId="32B76F9D" w14:textId="77777777" w:rsidR="00D26ADA" w:rsidRPr="00285755" w:rsidRDefault="00D26ADA" w:rsidP="00537496">
      <w:pPr>
        <w:pStyle w:val="Otherunnumberedheadings"/>
      </w:pPr>
      <w:r>
        <w:lastRenderedPageBreak/>
        <w:t>References</w:t>
      </w:r>
    </w:p>
    <w:p w14:paraId="13DF724E" w14:textId="2B53A1D7" w:rsidR="005409ED" w:rsidRDefault="00E479AC" w:rsidP="00E479AC">
      <w:pPr>
        <w:pStyle w:val="Referencelist"/>
      </w:pPr>
      <w:bookmarkStart w:id="7" w:name="_Ref165461335"/>
      <w:r w:rsidRPr="00E479AC">
        <w:t>Attarat Power Company (APCO)</w:t>
      </w:r>
      <w:r>
        <w:t xml:space="preserve">, </w:t>
      </w:r>
      <w:hyperlink r:id="rId8" w:history="1">
        <w:r w:rsidR="005409ED" w:rsidRPr="0008043E">
          <w:rPr>
            <w:rStyle w:val="Hyperlink"/>
          </w:rPr>
          <w:t>http://attaratpower.com.jo/</w:t>
        </w:r>
      </w:hyperlink>
      <w:bookmarkEnd w:id="7"/>
      <w:r w:rsidR="005409ED">
        <w:t>.</w:t>
      </w:r>
    </w:p>
    <w:p w14:paraId="59DE0E22" w14:textId="39BDEE28" w:rsidR="005409ED" w:rsidRPr="005409ED" w:rsidRDefault="005409ED" w:rsidP="005409ED">
      <w:pPr>
        <w:pStyle w:val="Referencelist"/>
      </w:pPr>
      <w:bookmarkStart w:id="8" w:name="_Ref165463418"/>
      <w:r w:rsidRPr="005409ED">
        <w:t>Ministry of Water and Irrigation, National Water Strategy 2023-2040.</w:t>
      </w:r>
      <w:bookmarkEnd w:id="8"/>
    </w:p>
    <w:p w14:paraId="039C823D" w14:textId="195CC2E7" w:rsidR="00E479AC" w:rsidRDefault="005409ED" w:rsidP="005409ED">
      <w:pPr>
        <w:pStyle w:val="Referencelist"/>
      </w:pPr>
      <w:bookmarkStart w:id="9" w:name="_Ref165463303"/>
      <w:r w:rsidRPr="005409ED">
        <w:t>Ministry of Energy and Minerals Resources, Percentage of sectoral consumption of electrical energy during the period 2016-2020</w:t>
      </w:r>
      <w:r>
        <w:t>.</w:t>
      </w:r>
      <w:bookmarkEnd w:id="9"/>
    </w:p>
    <w:p w14:paraId="16ADCC12" w14:textId="7F88D0CD" w:rsidR="009F4516" w:rsidRDefault="009F4516" w:rsidP="009F4516">
      <w:pPr>
        <w:pStyle w:val="Referencelist"/>
      </w:pPr>
      <w:bookmarkStart w:id="10" w:name="_Ref165463716"/>
      <w:r w:rsidRPr="009F4516">
        <w:t>Jordan water infrastructure- Aqaba-Amman Water Desalination &amp; Conveyance Project (AAWDCP). USAID Information Memorandum, March 2022</w:t>
      </w:r>
      <w:bookmarkEnd w:id="10"/>
      <w:r w:rsidR="00A323FC">
        <w:t>.</w:t>
      </w:r>
    </w:p>
    <w:p w14:paraId="3EBF3F9C" w14:textId="696A3AF8" w:rsidR="00581B58" w:rsidRDefault="00581B58" w:rsidP="00581B58">
      <w:pPr>
        <w:pStyle w:val="Referencelist"/>
      </w:pPr>
      <w:bookmarkStart w:id="11" w:name="_Ref167876864"/>
      <w:r w:rsidRPr="00581B58">
        <w:t>Technical Evaluation of Bids for Nuclear Power Plants</w:t>
      </w:r>
      <w:r>
        <w:t xml:space="preserve">, </w:t>
      </w:r>
      <w:r w:rsidRPr="00581B58">
        <w:t>Technical Reports Series No. 204</w:t>
      </w:r>
      <w:r>
        <w:t>, IAEA, Vienna (1981).</w:t>
      </w:r>
      <w:bookmarkEnd w:id="11"/>
    </w:p>
    <w:p w14:paraId="3BA56E06" w14:textId="45C264CB" w:rsidR="00F45EEE" w:rsidRPr="00662532" w:rsidRDefault="00A323FC" w:rsidP="00235B71">
      <w:pPr>
        <w:pStyle w:val="Referencelist"/>
      </w:pPr>
      <w:r w:rsidRPr="007D3002">
        <w:rPr>
          <w:lang w:val="en-US"/>
        </w:rPr>
        <w:t>Nuclear Reactor Technology Assessment for Near-Term Deployment, NP-T-1.10, IAEA, Vienna (2013)</w:t>
      </w:r>
      <w:r w:rsidR="007D3002">
        <w:rPr>
          <w:lang w:val="en-US"/>
        </w:rPr>
        <w:t>.</w:t>
      </w:r>
    </w:p>
    <w:sectPr w:rsidR="00F45EEE"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4B94" w14:textId="77777777" w:rsidR="00C05F5F" w:rsidRDefault="00C05F5F">
      <w:r>
        <w:separator/>
      </w:r>
    </w:p>
  </w:endnote>
  <w:endnote w:type="continuationSeparator" w:id="0">
    <w:p w14:paraId="45C490BE" w14:textId="77777777" w:rsidR="00C05F5F" w:rsidRDefault="00C0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rims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2A01B2" w:rsidRDefault="002A01B2">
    <w:pPr>
      <w:pStyle w:val="zyxClassification1"/>
    </w:pPr>
    <w:r>
      <w:fldChar w:fldCharType="begin"/>
    </w:r>
    <w:r>
      <w:instrText xml:space="preserve"> DOCPROPERTY "IaeaClassification"  \* MERGEFORMAT </w:instrText>
    </w:r>
    <w:r>
      <w:fldChar w:fldCharType="end"/>
    </w:r>
  </w:p>
  <w:p w14:paraId="1FDEB1B7" w14:textId="0ED3327B" w:rsidR="002A01B2" w:rsidRDefault="002A01B2">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2A01B2" w:rsidRDefault="002A01B2">
    <w:pPr>
      <w:pStyle w:val="zyxClassification1"/>
    </w:pPr>
    <w:r>
      <w:fldChar w:fldCharType="begin"/>
    </w:r>
    <w:r>
      <w:instrText xml:space="preserve"> DOCPROPERTY "IaeaClassification"  \* MERGEFORMAT </w:instrText>
    </w:r>
    <w:r>
      <w:fldChar w:fldCharType="end"/>
    </w:r>
  </w:p>
  <w:p w14:paraId="7E32AC2C" w14:textId="1B546376" w:rsidR="002A01B2" w:rsidRPr="00037321" w:rsidRDefault="002A01B2">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995D0C">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2A01B2" w14:paraId="2AC0DA17" w14:textId="77777777">
      <w:trPr>
        <w:cantSplit/>
      </w:trPr>
      <w:tc>
        <w:tcPr>
          <w:tcW w:w="4644" w:type="dxa"/>
        </w:tcPr>
        <w:p w14:paraId="6CFF9F49" w14:textId="0172A26A" w:rsidR="002A01B2" w:rsidRDefault="002A01B2">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2A01B2" w:rsidRDefault="002A01B2">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3" w:name="DOC_bkmClassification2"/>
      <w:tc>
        <w:tcPr>
          <w:tcW w:w="5670" w:type="dxa"/>
          <w:tcMar>
            <w:right w:w="249" w:type="dxa"/>
          </w:tcMar>
        </w:tcPr>
        <w:p w14:paraId="6BE850AD" w14:textId="6BACBAB6" w:rsidR="002A01B2" w:rsidRDefault="002A01B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A6BF5C8" w14:textId="4D4577F5" w:rsidR="002A01B2" w:rsidRDefault="002A01B2">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4" w:name="DOC_bkmFileName"/>
  <w:p w14:paraId="437B756E" w14:textId="14A092E5" w:rsidR="002A01B2" w:rsidRDefault="002A01B2">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14"/>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3C153" w14:textId="77777777" w:rsidR="00C05F5F" w:rsidRDefault="00C05F5F">
      <w:r>
        <w:t>___________________________________________________________________________</w:t>
      </w:r>
    </w:p>
  </w:footnote>
  <w:footnote w:type="continuationSeparator" w:id="0">
    <w:p w14:paraId="08DA23AE" w14:textId="77777777" w:rsidR="00C05F5F" w:rsidRDefault="00C05F5F">
      <w:r>
        <w:t>___________________________________________________________________________</w:t>
      </w:r>
    </w:p>
  </w:footnote>
  <w:footnote w:type="continuationNotice" w:id="1">
    <w:p w14:paraId="557E5D74" w14:textId="77777777" w:rsidR="00C05F5F" w:rsidRDefault="00C05F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2A01B2" w:rsidRDefault="002A01B2" w:rsidP="00CF7AF3">
    <w:pPr>
      <w:pStyle w:val="Runninghead"/>
    </w:pPr>
    <w:r>
      <w:tab/>
      <w:t>IAEA-CN-123/45</w:t>
    </w:r>
  </w:p>
  <w:p w14:paraId="4D70767E" w14:textId="77777777" w:rsidR="002A01B2" w:rsidRPr="009E1558" w:rsidRDefault="002A01B2"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2A01B2" w:rsidRDefault="002A01B2"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2A01B2" w:rsidRDefault="002A01B2">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7582AF46" w:rsidR="002A01B2" w:rsidRPr="006B45FB" w:rsidRDefault="002A01B2" w:rsidP="006B45FB">
    <w:pPr>
      <w:pStyle w:val="Runninghead"/>
    </w:pPr>
    <w:r>
      <w:t>Khaleel S. Hamdan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2A01B2" w14:paraId="2C69EA9B" w14:textId="77777777">
      <w:trPr>
        <w:cantSplit/>
        <w:trHeight w:val="716"/>
      </w:trPr>
      <w:tc>
        <w:tcPr>
          <w:tcW w:w="979" w:type="dxa"/>
          <w:vMerge w:val="restart"/>
        </w:tcPr>
        <w:p w14:paraId="2A6ADF80" w14:textId="77777777" w:rsidR="002A01B2" w:rsidRDefault="002A01B2">
          <w:pPr>
            <w:spacing w:before="180"/>
            <w:ind w:left="17"/>
          </w:pPr>
        </w:p>
      </w:tc>
      <w:tc>
        <w:tcPr>
          <w:tcW w:w="3638" w:type="dxa"/>
          <w:vAlign w:val="bottom"/>
        </w:tcPr>
        <w:p w14:paraId="610CF310" w14:textId="77777777" w:rsidR="002A01B2" w:rsidRDefault="002A01B2">
          <w:pPr>
            <w:spacing w:after="20"/>
          </w:pPr>
        </w:p>
      </w:tc>
      <w:bookmarkStart w:id="12" w:name="DOC_bkmClassification1"/>
      <w:tc>
        <w:tcPr>
          <w:tcW w:w="5702" w:type="dxa"/>
          <w:vMerge w:val="restart"/>
          <w:tcMar>
            <w:right w:w="193" w:type="dxa"/>
          </w:tcMar>
        </w:tcPr>
        <w:p w14:paraId="48D5842E" w14:textId="65BC9385" w:rsidR="002A01B2" w:rsidRDefault="002A01B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2"/>
        <w:p w14:paraId="423CAA9C" w14:textId="4809B93E" w:rsidR="002A01B2" w:rsidRDefault="002A01B2">
          <w:pPr>
            <w:pStyle w:val="zyxConfid2Red"/>
          </w:pPr>
          <w:r>
            <w:fldChar w:fldCharType="begin"/>
          </w:r>
          <w:r>
            <w:instrText>DOCPROPERTY "IaeaClassification2"  \* MERGEFORMAT</w:instrText>
          </w:r>
          <w:r>
            <w:fldChar w:fldCharType="end"/>
          </w:r>
        </w:p>
      </w:tc>
    </w:tr>
    <w:tr w:rsidR="002A01B2" w14:paraId="7130D945" w14:textId="77777777">
      <w:trPr>
        <w:cantSplit/>
        <w:trHeight w:val="167"/>
      </w:trPr>
      <w:tc>
        <w:tcPr>
          <w:tcW w:w="979" w:type="dxa"/>
          <w:vMerge/>
        </w:tcPr>
        <w:p w14:paraId="7659FE2B" w14:textId="77777777" w:rsidR="002A01B2" w:rsidRDefault="002A01B2">
          <w:pPr>
            <w:spacing w:before="57"/>
          </w:pPr>
        </w:p>
      </w:tc>
      <w:tc>
        <w:tcPr>
          <w:tcW w:w="3638" w:type="dxa"/>
          <w:vAlign w:val="bottom"/>
        </w:tcPr>
        <w:p w14:paraId="7578AADC" w14:textId="77777777" w:rsidR="002A01B2" w:rsidRDefault="002A01B2">
          <w:pPr>
            <w:pStyle w:val="Heading9"/>
            <w:spacing w:before="0" w:after="10"/>
          </w:pPr>
        </w:p>
      </w:tc>
      <w:tc>
        <w:tcPr>
          <w:tcW w:w="5702" w:type="dxa"/>
          <w:vMerge/>
          <w:vAlign w:val="bottom"/>
        </w:tcPr>
        <w:p w14:paraId="313FA1D9" w14:textId="77777777" w:rsidR="002A01B2" w:rsidRDefault="002A01B2">
          <w:pPr>
            <w:pStyle w:val="Heading9"/>
            <w:spacing w:before="0" w:after="10"/>
          </w:pPr>
        </w:p>
      </w:tc>
    </w:tr>
  </w:tbl>
  <w:p w14:paraId="7A0C2B4B" w14:textId="77777777" w:rsidR="002A01B2" w:rsidRDefault="002A01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1F1"/>
    <w:multiLevelType w:val="hybridMultilevel"/>
    <w:tmpl w:val="AF827D8A"/>
    <w:lvl w:ilvl="0" w:tplc="EDCE82D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5936F6E4"/>
    <w:name w:val="HeadingTemplate2"/>
    <w:lvl w:ilvl="0" w:tplc="EDCE82D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7"/>
  </w:num>
  <w:num w:numId="2">
    <w:abstractNumId w:val="4"/>
  </w:num>
  <w:num w:numId="3">
    <w:abstractNumId w:val="5"/>
  </w:num>
  <w:num w:numId="4">
    <w:abstractNumId w:val="1"/>
  </w:num>
  <w:num w:numId="5">
    <w:abstractNumId w:val="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8"/>
  </w:num>
  <w:num w:numId="7">
    <w:abstractNumId w:val="2"/>
  </w:num>
  <w:num w:numId="8">
    <w:abstractNumId w:val="3"/>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0E7"/>
    <w:rsid w:val="000229AB"/>
    <w:rsid w:val="0002569A"/>
    <w:rsid w:val="00037321"/>
    <w:rsid w:val="00050B7C"/>
    <w:rsid w:val="00096A9D"/>
    <w:rsid w:val="000A0299"/>
    <w:rsid w:val="000C6F25"/>
    <w:rsid w:val="000F7E94"/>
    <w:rsid w:val="00100BAB"/>
    <w:rsid w:val="00101C01"/>
    <w:rsid w:val="001119D6"/>
    <w:rsid w:val="00121C6C"/>
    <w:rsid w:val="001308F2"/>
    <w:rsid w:val="001313E8"/>
    <w:rsid w:val="00153261"/>
    <w:rsid w:val="001C4987"/>
    <w:rsid w:val="001C58F5"/>
    <w:rsid w:val="001D0B72"/>
    <w:rsid w:val="001D5CEE"/>
    <w:rsid w:val="00202490"/>
    <w:rsid w:val="002071D9"/>
    <w:rsid w:val="00223E63"/>
    <w:rsid w:val="00235B71"/>
    <w:rsid w:val="00245B42"/>
    <w:rsid w:val="00254372"/>
    <w:rsid w:val="00256822"/>
    <w:rsid w:val="0026525A"/>
    <w:rsid w:val="00274790"/>
    <w:rsid w:val="00285755"/>
    <w:rsid w:val="002A01B2"/>
    <w:rsid w:val="002A1F9C"/>
    <w:rsid w:val="002B29C2"/>
    <w:rsid w:val="002C4208"/>
    <w:rsid w:val="002F2091"/>
    <w:rsid w:val="00352DE1"/>
    <w:rsid w:val="003728E6"/>
    <w:rsid w:val="003B5E0E"/>
    <w:rsid w:val="003D255A"/>
    <w:rsid w:val="00416949"/>
    <w:rsid w:val="004370D8"/>
    <w:rsid w:val="00470A61"/>
    <w:rsid w:val="00472C43"/>
    <w:rsid w:val="00496590"/>
    <w:rsid w:val="004E7B2F"/>
    <w:rsid w:val="00503763"/>
    <w:rsid w:val="005268BD"/>
    <w:rsid w:val="00527BF7"/>
    <w:rsid w:val="00537496"/>
    <w:rsid w:val="005409ED"/>
    <w:rsid w:val="00544ED3"/>
    <w:rsid w:val="00581B58"/>
    <w:rsid w:val="0058477B"/>
    <w:rsid w:val="0058654F"/>
    <w:rsid w:val="00596ACA"/>
    <w:rsid w:val="005A61E0"/>
    <w:rsid w:val="005D0936"/>
    <w:rsid w:val="005E39BC"/>
    <w:rsid w:val="005F00A0"/>
    <w:rsid w:val="00603316"/>
    <w:rsid w:val="0062385F"/>
    <w:rsid w:val="0064771C"/>
    <w:rsid w:val="00647F33"/>
    <w:rsid w:val="00662532"/>
    <w:rsid w:val="006B2274"/>
    <w:rsid w:val="006B45FB"/>
    <w:rsid w:val="006E0ED7"/>
    <w:rsid w:val="006E5132"/>
    <w:rsid w:val="006F3798"/>
    <w:rsid w:val="007115CB"/>
    <w:rsid w:val="00717C6F"/>
    <w:rsid w:val="007300A9"/>
    <w:rsid w:val="007445DA"/>
    <w:rsid w:val="00754204"/>
    <w:rsid w:val="00767C83"/>
    <w:rsid w:val="007B4FD1"/>
    <w:rsid w:val="007D3002"/>
    <w:rsid w:val="00802381"/>
    <w:rsid w:val="008066BA"/>
    <w:rsid w:val="00825EF3"/>
    <w:rsid w:val="0085018F"/>
    <w:rsid w:val="00856965"/>
    <w:rsid w:val="008653A5"/>
    <w:rsid w:val="00883848"/>
    <w:rsid w:val="00897ED5"/>
    <w:rsid w:val="008B163E"/>
    <w:rsid w:val="008B6BB9"/>
    <w:rsid w:val="008D7C16"/>
    <w:rsid w:val="00911543"/>
    <w:rsid w:val="009519C9"/>
    <w:rsid w:val="00995D0C"/>
    <w:rsid w:val="00996787"/>
    <w:rsid w:val="009C30DA"/>
    <w:rsid w:val="009D0B86"/>
    <w:rsid w:val="009D5C4F"/>
    <w:rsid w:val="009E0D5B"/>
    <w:rsid w:val="009E1558"/>
    <w:rsid w:val="009F4516"/>
    <w:rsid w:val="00A323FC"/>
    <w:rsid w:val="00A42898"/>
    <w:rsid w:val="00A730AF"/>
    <w:rsid w:val="00A95FEB"/>
    <w:rsid w:val="00AB6ACE"/>
    <w:rsid w:val="00AC5A3A"/>
    <w:rsid w:val="00AE7103"/>
    <w:rsid w:val="00B27FA5"/>
    <w:rsid w:val="00B547C6"/>
    <w:rsid w:val="00B82FA5"/>
    <w:rsid w:val="00BA0A8D"/>
    <w:rsid w:val="00BA38C1"/>
    <w:rsid w:val="00BA4122"/>
    <w:rsid w:val="00BB585C"/>
    <w:rsid w:val="00BD1400"/>
    <w:rsid w:val="00BD605C"/>
    <w:rsid w:val="00BE2A76"/>
    <w:rsid w:val="00C05F5F"/>
    <w:rsid w:val="00C1621D"/>
    <w:rsid w:val="00C65E60"/>
    <w:rsid w:val="00C90FB3"/>
    <w:rsid w:val="00C91131"/>
    <w:rsid w:val="00CA3154"/>
    <w:rsid w:val="00CB384A"/>
    <w:rsid w:val="00CE5A52"/>
    <w:rsid w:val="00CF7AF3"/>
    <w:rsid w:val="00D1409D"/>
    <w:rsid w:val="00D26ADA"/>
    <w:rsid w:val="00D35A78"/>
    <w:rsid w:val="00D52B33"/>
    <w:rsid w:val="00D555A1"/>
    <w:rsid w:val="00D64DC2"/>
    <w:rsid w:val="00DA46CA"/>
    <w:rsid w:val="00DB4CEE"/>
    <w:rsid w:val="00DE36C2"/>
    <w:rsid w:val="00DF21EB"/>
    <w:rsid w:val="00E07C1A"/>
    <w:rsid w:val="00E20E70"/>
    <w:rsid w:val="00E25B68"/>
    <w:rsid w:val="00E479AC"/>
    <w:rsid w:val="00E6666D"/>
    <w:rsid w:val="00E73B63"/>
    <w:rsid w:val="00E84003"/>
    <w:rsid w:val="00E92ACC"/>
    <w:rsid w:val="00EC10FC"/>
    <w:rsid w:val="00EE0041"/>
    <w:rsid w:val="00EE29B9"/>
    <w:rsid w:val="00F004EE"/>
    <w:rsid w:val="00F1142E"/>
    <w:rsid w:val="00F27FAD"/>
    <w:rsid w:val="00F35215"/>
    <w:rsid w:val="00F42E23"/>
    <w:rsid w:val="00F45EEE"/>
    <w:rsid w:val="00F51E9C"/>
    <w:rsid w:val="00F523CA"/>
    <w:rsid w:val="00F74A9D"/>
    <w:rsid w:val="00FB4830"/>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5409ED"/>
    <w:rPr>
      <w:color w:val="0000FF" w:themeColor="hyperlink"/>
      <w:u w:val="single"/>
    </w:rPr>
  </w:style>
  <w:style w:type="paragraph" w:styleId="NormalWeb">
    <w:name w:val="Normal (Web)"/>
    <w:basedOn w:val="Normal"/>
    <w:uiPriority w:val="99"/>
    <w:unhideWhenUsed/>
    <w:locked/>
    <w:rsid w:val="00A730AF"/>
    <w:pPr>
      <w:overflowPunct/>
      <w:autoSpaceDE/>
      <w:autoSpaceDN/>
      <w:adjustRightInd/>
      <w:spacing w:before="100" w:beforeAutospacing="1" w:after="100" w:afterAutospacing="1"/>
      <w:textAlignment w:val="auto"/>
    </w:pPr>
    <w:rPr>
      <w:sz w:val="24"/>
      <w:szCs w:val="24"/>
      <w:lang w:val="en-US"/>
    </w:rPr>
  </w:style>
  <w:style w:type="paragraph" w:styleId="ListParagraph">
    <w:name w:val="List Paragraph"/>
    <w:basedOn w:val="Normal"/>
    <w:uiPriority w:val="34"/>
    <w:qFormat/>
    <w:locked/>
    <w:rsid w:val="00DE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351">
      <w:bodyDiv w:val="1"/>
      <w:marLeft w:val="0"/>
      <w:marRight w:val="0"/>
      <w:marTop w:val="0"/>
      <w:marBottom w:val="0"/>
      <w:divBdr>
        <w:top w:val="none" w:sz="0" w:space="0" w:color="auto"/>
        <w:left w:val="none" w:sz="0" w:space="0" w:color="auto"/>
        <w:bottom w:val="none" w:sz="0" w:space="0" w:color="auto"/>
        <w:right w:val="none" w:sz="0" w:space="0" w:color="auto"/>
      </w:divBdr>
      <w:divsChild>
        <w:div w:id="1590189833">
          <w:marLeft w:val="0"/>
          <w:marRight w:val="0"/>
          <w:marTop w:val="0"/>
          <w:marBottom w:val="0"/>
          <w:divBdr>
            <w:top w:val="none" w:sz="0" w:space="0" w:color="auto"/>
            <w:left w:val="none" w:sz="0" w:space="0" w:color="auto"/>
            <w:bottom w:val="none" w:sz="0" w:space="0" w:color="auto"/>
            <w:right w:val="none" w:sz="0" w:space="0" w:color="auto"/>
          </w:divBdr>
        </w:div>
      </w:divsChild>
    </w:div>
    <w:div w:id="42994116">
      <w:bodyDiv w:val="1"/>
      <w:marLeft w:val="0"/>
      <w:marRight w:val="0"/>
      <w:marTop w:val="0"/>
      <w:marBottom w:val="0"/>
      <w:divBdr>
        <w:top w:val="none" w:sz="0" w:space="0" w:color="auto"/>
        <w:left w:val="none" w:sz="0" w:space="0" w:color="auto"/>
        <w:bottom w:val="none" w:sz="0" w:space="0" w:color="auto"/>
        <w:right w:val="none" w:sz="0" w:space="0" w:color="auto"/>
      </w:divBdr>
      <w:divsChild>
        <w:div w:id="447352769">
          <w:marLeft w:val="907"/>
          <w:marRight w:val="0"/>
          <w:marTop w:val="173"/>
          <w:marBottom w:val="0"/>
          <w:divBdr>
            <w:top w:val="none" w:sz="0" w:space="0" w:color="auto"/>
            <w:left w:val="none" w:sz="0" w:space="0" w:color="auto"/>
            <w:bottom w:val="none" w:sz="0" w:space="0" w:color="auto"/>
            <w:right w:val="none" w:sz="0" w:space="0" w:color="auto"/>
          </w:divBdr>
        </w:div>
        <w:div w:id="1983653922">
          <w:marLeft w:val="1440"/>
          <w:marRight w:val="0"/>
          <w:marTop w:val="134"/>
          <w:marBottom w:val="0"/>
          <w:divBdr>
            <w:top w:val="none" w:sz="0" w:space="0" w:color="auto"/>
            <w:left w:val="none" w:sz="0" w:space="0" w:color="auto"/>
            <w:bottom w:val="none" w:sz="0" w:space="0" w:color="auto"/>
            <w:right w:val="none" w:sz="0" w:space="0" w:color="auto"/>
          </w:divBdr>
        </w:div>
        <w:div w:id="595092572">
          <w:marLeft w:val="907"/>
          <w:marRight w:val="0"/>
          <w:marTop w:val="173"/>
          <w:marBottom w:val="0"/>
          <w:divBdr>
            <w:top w:val="none" w:sz="0" w:space="0" w:color="auto"/>
            <w:left w:val="none" w:sz="0" w:space="0" w:color="auto"/>
            <w:bottom w:val="none" w:sz="0" w:space="0" w:color="auto"/>
            <w:right w:val="none" w:sz="0" w:space="0" w:color="auto"/>
          </w:divBdr>
        </w:div>
        <w:div w:id="1592622955">
          <w:marLeft w:val="1627"/>
          <w:marRight w:val="0"/>
          <w:marTop w:val="134"/>
          <w:marBottom w:val="0"/>
          <w:divBdr>
            <w:top w:val="none" w:sz="0" w:space="0" w:color="auto"/>
            <w:left w:val="none" w:sz="0" w:space="0" w:color="auto"/>
            <w:bottom w:val="none" w:sz="0" w:space="0" w:color="auto"/>
            <w:right w:val="none" w:sz="0" w:space="0" w:color="auto"/>
          </w:divBdr>
        </w:div>
        <w:div w:id="587693602">
          <w:marLeft w:val="907"/>
          <w:marRight w:val="0"/>
          <w:marTop w:val="173"/>
          <w:marBottom w:val="0"/>
          <w:divBdr>
            <w:top w:val="none" w:sz="0" w:space="0" w:color="auto"/>
            <w:left w:val="none" w:sz="0" w:space="0" w:color="auto"/>
            <w:bottom w:val="none" w:sz="0" w:space="0" w:color="auto"/>
            <w:right w:val="none" w:sz="0" w:space="0" w:color="auto"/>
          </w:divBdr>
        </w:div>
        <w:div w:id="756636210">
          <w:marLeft w:val="1627"/>
          <w:marRight w:val="0"/>
          <w:marTop w:val="134"/>
          <w:marBottom w:val="0"/>
          <w:divBdr>
            <w:top w:val="none" w:sz="0" w:space="0" w:color="auto"/>
            <w:left w:val="none" w:sz="0" w:space="0" w:color="auto"/>
            <w:bottom w:val="none" w:sz="0" w:space="0" w:color="auto"/>
            <w:right w:val="none" w:sz="0" w:space="0" w:color="auto"/>
          </w:divBdr>
        </w:div>
        <w:div w:id="376901165">
          <w:marLeft w:val="1627"/>
          <w:marRight w:val="0"/>
          <w:marTop w:val="134"/>
          <w:marBottom w:val="0"/>
          <w:divBdr>
            <w:top w:val="none" w:sz="0" w:space="0" w:color="auto"/>
            <w:left w:val="none" w:sz="0" w:space="0" w:color="auto"/>
            <w:bottom w:val="none" w:sz="0" w:space="0" w:color="auto"/>
            <w:right w:val="none" w:sz="0" w:space="0" w:color="auto"/>
          </w:divBdr>
        </w:div>
        <w:div w:id="1450272418">
          <w:marLeft w:val="907"/>
          <w:marRight w:val="0"/>
          <w:marTop w:val="173"/>
          <w:marBottom w:val="0"/>
          <w:divBdr>
            <w:top w:val="none" w:sz="0" w:space="0" w:color="auto"/>
            <w:left w:val="none" w:sz="0" w:space="0" w:color="auto"/>
            <w:bottom w:val="none" w:sz="0" w:space="0" w:color="auto"/>
            <w:right w:val="none" w:sz="0" w:space="0" w:color="auto"/>
          </w:divBdr>
        </w:div>
        <w:div w:id="618728180">
          <w:marLeft w:val="1627"/>
          <w:marRight w:val="0"/>
          <w:marTop w:val="134"/>
          <w:marBottom w:val="0"/>
          <w:divBdr>
            <w:top w:val="none" w:sz="0" w:space="0" w:color="auto"/>
            <w:left w:val="none" w:sz="0" w:space="0" w:color="auto"/>
            <w:bottom w:val="none" w:sz="0" w:space="0" w:color="auto"/>
            <w:right w:val="none" w:sz="0" w:space="0" w:color="auto"/>
          </w:divBdr>
        </w:div>
        <w:div w:id="230703858">
          <w:marLeft w:val="1627"/>
          <w:marRight w:val="0"/>
          <w:marTop w:val="134"/>
          <w:marBottom w:val="0"/>
          <w:divBdr>
            <w:top w:val="none" w:sz="0" w:space="0" w:color="auto"/>
            <w:left w:val="none" w:sz="0" w:space="0" w:color="auto"/>
            <w:bottom w:val="none" w:sz="0" w:space="0" w:color="auto"/>
            <w:right w:val="none" w:sz="0" w:space="0" w:color="auto"/>
          </w:divBdr>
        </w:div>
        <w:div w:id="666326626">
          <w:marLeft w:val="907"/>
          <w:marRight w:val="0"/>
          <w:marTop w:val="173"/>
          <w:marBottom w:val="0"/>
          <w:divBdr>
            <w:top w:val="none" w:sz="0" w:space="0" w:color="auto"/>
            <w:left w:val="none" w:sz="0" w:space="0" w:color="auto"/>
            <w:bottom w:val="none" w:sz="0" w:space="0" w:color="auto"/>
            <w:right w:val="none" w:sz="0" w:space="0" w:color="auto"/>
          </w:divBdr>
        </w:div>
        <w:div w:id="1298758077">
          <w:marLeft w:val="1627"/>
          <w:marRight w:val="0"/>
          <w:marTop w:val="134"/>
          <w:marBottom w:val="0"/>
          <w:divBdr>
            <w:top w:val="none" w:sz="0" w:space="0" w:color="auto"/>
            <w:left w:val="none" w:sz="0" w:space="0" w:color="auto"/>
            <w:bottom w:val="none" w:sz="0" w:space="0" w:color="auto"/>
            <w:right w:val="none" w:sz="0" w:space="0" w:color="auto"/>
          </w:divBdr>
        </w:div>
      </w:divsChild>
    </w:div>
    <w:div w:id="94909589">
      <w:bodyDiv w:val="1"/>
      <w:marLeft w:val="0"/>
      <w:marRight w:val="0"/>
      <w:marTop w:val="0"/>
      <w:marBottom w:val="0"/>
      <w:divBdr>
        <w:top w:val="none" w:sz="0" w:space="0" w:color="auto"/>
        <w:left w:val="none" w:sz="0" w:space="0" w:color="auto"/>
        <w:bottom w:val="none" w:sz="0" w:space="0" w:color="auto"/>
        <w:right w:val="none" w:sz="0" w:space="0" w:color="auto"/>
      </w:divBdr>
      <w:divsChild>
        <w:div w:id="1470585832">
          <w:marLeft w:val="0"/>
          <w:marRight w:val="0"/>
          <w:marTop w:val="0"/>
          <w:marBottom w:val="0"/>
          <w:divBdr>
            <w:top w:val="none" w:sz="0" w:space="0" w:color="auto"/>
            <w:left w:val="none" w:sz="0" w:space="0" w:color="auto"/>
            <w:bottom w:val="none" w:sz="0" w:space="0" w:color="auto"/>
            <w:right w:val="none" w:sz="0" w:space="0" w:color="auto"/>
          </w:divBdr>
        </w:div>
      </w:divsChild>
    </w:div>
    <w:div w:id="253712421">
      <w:bodyDiv w:val="1"/>
      <w:marLeft w:val="0"/>
      <w:marRight w:val="0"/>
      <w:marTop w:val="0"/>
      <w:marBottom w:val="0"/>
      <w:divBdr>
        <w:top w:val="none" w:sz="0" w:space="0" w:color="auto"/>
        <w:left w:val="none" w:sz="0" w:space="0" w:color="auto"/>
        <w:bottom w:val="none" w:sz="0" w:space="0" w:color="auto"/>
        <w:right w:val="none" w:sz="0" w:space="0" w:color="auto"/>
      </w:divBdr>
      <w:divsChild>
        <w:div w:id="388724090">
          <w:marLeft w:val="2347"/>
          <w:marRight w:val="0"/>
          <w:marTop w:val="0"/>
          <w:marBottom w:val="0"/>
          <w:divBdr>
            <w:top w:val="none" w:sz="0" w:space="0" w:color="auto"/>
            <w:left w:val="none" w:sz="0" w:space="0" w:color="auto"/>
            <w:bottom w:val="none" w:sz="0" w:space="0" w:color="auto"/>
            <w:right w:val="none" w:sz="0" w:space="0" w:color="auto"/>
          </w:divBdr>
        </w:div>
        <w:div w:id="69274386">
          <w:marLeft w:val="2347"/>
          <w:marRight w:val="0"/>
          <w:marTop w:val="0"/>
          <w:marBottom w:val="0"/>
          <w:divBdr>
            <w:top w:val="none" w:sz="0" w:space="0" w:color="auto"/>
            <w:left w:val="none" w:sz="0" w:space="0" w:color="auto"/>
            <w:bottom w:val="none" w:sz="0" w:space="0" w:color="auto"/>
            <w:right w:val="none" w:sz="0" w:space="0" w:color="auto"/>
          </w:divBdr>
        </w:div>
        <w:div w:id="1663965169">
          <w:marLeft w:val="2347"/>
          <w:marRight w:val="0"/>
          <w:marTop w:val="0"/>
          <w:marBottom w:val="0"/>
          <w:divBdr>
            <w:top w:val="none" w:sz="0" w:space="0" w:color="auto"/>
            <w:left w:val="none" w:sz="0" w:space="0" w:color="auto"/>
            <w:bottom w:val="none" w:sz="0" w:space="0" w:color="auto"/>
            <w:right w:val="none" w:sz="0" w:space="0" w:color="auto"/>
          </w:divBdr>
        </w:div>
      </w:divsChild>
    </w:div>
    <w:div w:id="342829197">
      <w:bodyDiv w:val="1"/>
      <w:marLeft w:val="0"/>
      <w:marRight w:val="0"/>
      <w:marTop w:val="0"/>
      <w:marBottom w:val="0"/>
      <w:divBdr>
        <w:top w:val="none" w:sz="0" w:space="0" w:color="auto"/>
        <w:left w:val="none" w:sz="0" w:space="0" w:color="auto"/>
        <w:bottom w:val="none" w:sz="0" w:space="0" w:color="auto"/>
        <w:right w:val="none" w:sz="0" w:space="0" w:color="auto"/>
      </w:divBdr>
      <w:divsChild>
        <w:div w:id="1133523241">
          <w:marLeft w:val="0"/>
          <w:marRight w:val="0"/>
          <w:marTop w:val="0"/>
          <w:marBottom w:val="0"/>
          <w:divBdr>
            <w:top w:val="none" w:sz="0" w:space="0" w:color="auto"/>
            <w:left w:val="none" w:sz="0" w:space="0" w:color="auto"/>
            <w:bottom w:val="none" w:sz="0" w:space="0" w:color="auto"/>
            <w:right w:val="none" w:sz="0" w:space="0" w:color="auto"/>
          </w:divBdr>
        </w:div>
      </w:divsChild>
    </w:div>
    <w:div w:id="379594609">
      <w:bodyDiv w:val="1"/>
      <w:marLeft w:val="0"/>
      <w:marRight w:val="0"/>
      <w:marTop w:val="0"/>
      <w:marBottom w:val="0"/>
      <w:divBdr>
        <w:top w:val="none" w:sz="0" w:space="0" w:color="auto"/>
        <w:left w:val="none" w:sz="0" w:space="0" w:color="auto"/>
        <w:bottom w:val="none" w:sz="0" w:space="0" w:color="auto"/>
        <w:right w:val="none" w:sz="0" w:space="0" w:color="auto"/>
      </w:divBdr>
    </w:div>
    <w:div w:id="446705705">
      <w:bodyDiv w:val="1"/>
      <w:marLeft w:val="0"/>
      <w:marRight w:val="0"/>
      <w:marTop w:val="0"/>
      <w:marBottom w:val="0"/>
      <w:divBdr>
        <w:top w:val="none" w:sz="0" w:space="0" w:color="auto"/>
        <w:left w:val="none" w:sz="0" w:space="0" w:color="auto"/>
        <w:bottom w:val="none" w:sz="0" w:space="0" w:color="auto"/>
        <w:right w:val="none" w:sz="0" w:space="0" w:color="auto"/>
      </w:divBdr>
      <w:divsChild>
        <w:div w:id="1681350693">
          <w:marLeft w:val="1440"/>
          <w:marRight w:val="0"/>
          <w:marTop w:val="134"/>
          <w:marBottom w:val="0"/>
          <w:divBdr>
            <w:top w:val="none" w:sz="0" w:space="0" w:color="auto"/>
            <w:left w:val="none" w:sz="0" w:space="0" w:color="auto"/>
            <w:bottom w:val="none" w:sz="0" w:space="0" w:color="auto"/>
            <w:right w:val="none" w:sz="0" w:space="0" w:color="auto"/>
          </w:divBdr>
        </w:div>
        <w:div w:id="1858345399">
          <w:marLeft w:val="1440"/>
          <w:marRight w:val="0"/>
          <w:marTop w:val="134"/>
          <w:marBottom w:val="0"/>
          <w:divBdr>
            <w:top w:val="none" w:sz="0" w:space="0" w:color="auto"/>
            <w:left w:val="none" w:sz="0" w:space="0" w:color="auto"/>
            <w:bottom w:val="none" w:sz="0" w:space="0" w:color="auto"/>
            <w:right w:val="none" w:sz="0" w:space="0" w:color="auto"/>
          </w:divBdr>
        </w:div>
        <w:div w:id="1612083404">
          <w:marLeft w:val="1440"/>
          <w:marRight w:val="0"/>
          <w:marTop w:val="134"/>
          <w:marBottom w:val="0"/>
          <w:divBdr>
            <w:top w:val="none" w:sz="0" w:space="0" w:color="auto"/>
            <w:left w:val="none" w:sz="0" w:space="0" w:color="auto"/>
            <w:bottom w:val="none" w:sz="0" w:space="0" w:color="auto"/>
            <w:right w:val="none" w:sz="0" w:space="0" w:color="auto"/>
          </w:divBdr>
        </w:div>
        <w:div w:id="1736586951">
          <w:marLeft w:val="1440"/>
          <w:marRight w:val="0"/>
          <w:marTop w:val="134"/>
          <w:marBottom w:val="0"/>
          <w:divBdr>
            <w:top w:val="none" w:sz="0" w:space="0" w:color="auto"/>
            <w:left w:val="none" w:sz="0" w:space="0" w:color="auto"/>
            <w:bottom w:val="none" w:sz="0" w:space="0" w:color="auto"/>
            <w:right w:val="none" w:sz="0" w:space="0" w:color="auto"/>
          </w:divBdr>
        </w:div>
      </w:divsChild>
    </w:div>
    <w:div w:id="684329025">
      <w:bodyDiv w:val="1"/>
      <w:marLeft w:val="0"/>
      <w:marRight w:val="0"/>
      <w:marTop w:val="0"/>
      <w:marBottom w:val="0"/>
      <w:divBdr>
        <w:top w:val="none" w:sz="0" w:space="0" w:color="auto"/>
        <w:left w:val="none" w:sz="0" w:space="0" w:color="auto"/>
        <w:bottom w:val="none" w:sz="0" w:space="0" w:color="auto"/>
        <w:right w:val="none" w:sz="0" w:space="0" w:color="auto"/>
      </w:divBdr>
      <w:divsChild>
        <w:div w:id="403256878">
          <w:marLeft w:val="0"/>
          <w:marRight w:val="0"/>
          <w:marTop w:val="0"/>
          <w:marBottom w:val="0"/>
          <w:divBdr>
            <w:top w:val="none" w:sz="0" w:space="0" w:color="auto"/>
            <w:left w:val="none" w:sz="0" w:space="0" w:color="auto"/>
            <w:bottom w:val="none" w:sz="0" w:space="0" w:color="auto"/>
            <w:right w:val="none" w:sz="0" w:space="0" w:color="auto"/>
          </w:divBdr>
        </w:div>
      </w:divsChild>
    </w:div>
    <w:div w:id="810093408">
      <w:bodyDiv w:val="1"/>
      <w:marLeft w:val="0"/>
      <w:marRight w:val="0"/>
      <w:marTop w:val="0"/>
      <w:marBottom w:val="0"/>
      <w:divBdr>
        <w:top w:val="none" w:sz="0" w:space="0" w:color="auto"/>
        <w:left w:val="none" w:sz="0" w:space="0" w:color="auto"/>
        <w:bottom w:val="none" w:sz="0" w:space="0" w:color="auto"/>
        <w:right w:val="none" w:sz="0" w:space="0" w:color="auto"/>
      </w:divBdr>
      <w:divsChild>
        <w:div w:id="728697117">
          <w:marLeft w:val="0"/>
          <w:marRight w:val="0"/>
          <w:marTop w:val="0"/>
          <w:marBottom w:val="0"/>
          <w:divBdr>
            <w:top w:val="none" w:sz="0" w:space="0" w:color="auto"/>
            <w:left w:val="none" w:sz="0" w:space="0" w:color="auto"/>
            <w:bottom w:val="none" w:sz="0" w:space="0" w:color="auto"/>
            <w:right w:val="none" w:sz="0" w:space="0" w:color="auto"/>
          </w:divBdr>
        </w:div>
      </w:divsChild>
    </w:div>
    <w:div w:id="913513211">
      <w:bodyDiv w:val="1"/>
      <w:marLeft w:val="0"/>
      <w:marRight w:val="0"/>
      <w:marTop w:val="0"/>
      <w:marBottom w:val="0"/>
      <w:divBdr>
        <w:top w:val="none" w:sz="0" w:space="0" w:color="auto"/>
        <w:left w:val="none" w:sz="0" w:space="0" w:color="auto"/>
        <w:bottom w:val="none" w:sz="0" w:space="0" w:color="auto"/>
        <w:right w:val="none" w:sz="0" w:space="0" w:color="auto"/>
      </w:divBdr>
      <w:divsChild>
        <w:div w:id="1852916343">
          <w:marLeft w:val="907"/>
          <w:marRight w:val="0"/>
          <w:marTop w:val="173"/>
          <w:marBottom w:val="0"/>
          <w:divBdr>
            <w:top w:val="none" w:sz="0" w:space="0" w:color="auto"/>
            <w:left w:val="none" w:sz="0" w:space="0" w:color="auto"/>
            <w:bottom w:val="none" w:sz="0" w:space="0" w:color="auto"/>
            <w:right w:val="none" w:sz="0" w:space="0" w:color="auto"/>
          </w:divBdr>
        </w:div>
        <w:div w:id="207760928">
          <w:marLeft w:val="1440"/>
          <w:marRight w:val="0"/>
          <w:marTop w:val="134"/>
          <w:marBottom w:val="0"/>
          <w:divBdr>
            <w:top w:val="none" w:sz="0" w:space="0" w:color="auto"/>
            <w:left w:val="none" w:sz="0" w:space="0" w:color="auto"/>
            <w:bottom w:val="none" w:sz="0" w:space="0" w:color="auto"/>
            <w:right w:val="none" w:sz="0" w:space="0" w:color="auto"/>
          </w:divBdr>
        </w:div>
        <w:div w:id="344216449">
          <w:marLeft w:val="1440"/>
          <w:marRight w:val="0"/>
          <w:marTop w:val="134"/>
          <w:marBottom w:val="0"/>
          <w:divBdr>
            <w:top w:val="none" w:sz="0" w:space="0" w:color="auto"/>
            <w:left w:val="none" w:sz="0" w:space="0" w:color="auto"/>
            <w:bottom w:val="none" w:sz="0" w:space="0" w:color="auto"/>
            <w:right w:val="none" w:sz="0" w:space="0" w:color="auto"/>
          </w:divBdr>
        </w:div>
        <w:div w:id="1096824173">
          <w:marLeft w:val="1440"/>
          <w:marRight w:val="0"/>
          <w:marTop w:val="134"/>
          <w:marBottom w:val="0"/>
          <w:divBdr>
            <w:top w:val="none" w:sz="0" w:space="0" w:color="auto"/>
            <w:left w:val="none" w:sz="0" w:space="0" w:color="auto"/>
            <w:bottom w:val="none" w:sz="0" w:space="0" w:color="auto"/>
            <w:right w:val="none" w:sz="0" w:space="0" w:color="auto"/>
          </w:divBdr>
        </w:div>
      </w:divsChild>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sChild>
        <w:div w:id="2117017888">
          <w:marLeft w:val="720"/>
          <w:marRight w:val="0"/>
          <w:marTop w:val="0"/>
          <w:marBottom w:val="0"/>
          <w:divBdr>
            <w:top w:val="none" w:sz="0" w:space="0" w:color="auto"/>
            <w:left w:val="none" w:sz="0" w:space="0" w:color="auto"/>
            <w:bottom w:val="none" w:sz="0" w:space="0" w:color="auto"/>
            <w:right w:val="none" w:sz="0" w:space="0" w:color="auto"/>
          </w:divBdr>
        </w:div>
        <w:div w:id="1075200371">
          <w:marLeft w:val="1440"/>
          <w:marRight w:val="0"/>
          <w:marTop w:val="0"/>
          <w:marBottom w:val="0"/>
          <w:divBdr>
            <w:top w:val="none" w:sz="0" w:space="0" w:color="auto"/>
            <w:left w:val="none" w:sz="0" w:space="0" w:color="auto"/>
            <w:bottom w:val="none" w:sz="0" w:space="0" w:color="auto"/>
            <w:right w:val="none" w:sz="0" w:space="0" w:color="auto"/>
          </w:divBdr>
        </w:div>
        <w:div w:id="1999191530">
          <w:marLeft w:val="1440"/>
          <w:marRight w:val="0"/>
          <w:marTop w:val="0"/>
          <w:marBottom w:val="0"/>
          <w:divBdr>
            <w:top w:val="none" w:sz="0" w:space="0" w:color="auto"/>
            <w:left w:val="none" w:sz="0" w:space="0" w:color="auto"/>
            <w:bottom w:val="none" w:sz="0" w:space="0" w:color="auto"/>
            <w:right w:val="none" w:sz="0" w:space="0" w:color="auto"/>
          </w:divBdr>
        </w:div>
      </w:divsChild>
    </w:div>
    <w:div w:id="1259678274">
      <w:bodyDiv w:val="1"/>
      <w:marLeft w:val="0"/>
      <w:marRight w:val="0"/>
      <w:marTop w:val="0"/>
      <w:marBottom w:val="0"/>
      <w:divBdr>
        <w:top w:val="none" w:sz="0" w:space="0" w:color="auto"/>
        <w:left w:val="none" w:sz="0" w:space="0" w:color="auto"/>
        <w:bottom w:val="none" w:sz="0" w:space="0" w:color="auto"/>
        <w:right w:val="none" w:sz="0" w:space="0" w:color="auto"/>
      </w:divBdr>
    </w:div>
    <w:div w:id="1299215590">
      <w:bodyDiv w:val="1"/>
      <w:marLeft w:val="0"/>
      <w:marRight w:val="0"/>
      <w:marTop w:val="0"/>
      <w:marBottom w:val="0"/>
      <w:divBdr>
        <w:top w:val="none" w:sz="0" w:space="0" w:color="auto"/>
        <w:left w:val="none" w:sz="0" w:space="0" w:color="auto"/>
        <w:bottom w:val="none" w:sz="0" w:space="0" w:color="auto"/>
        <w:right w:val="none" w:sz="0" w:space="0" w:color="auto"/>
      </w:divBdr>
      <w:divsChild>
        <w:div w:id="193278410">
          <w:marLeft w:val="720"/>
          <w:marRight w:val="0"/>
          <w:marTop w:val="0"/>
          <w:marBottom w:val="0"/>
          <w:divBdr>
            <w:top w:val="none" w:sz="0" w:space="0" w:color="auto"/>
            <w:left w:val="none" w:sz="0" w:space="0" w:color="auto"/>
            <w:bottom w:val="none" w:sz="0" w:space="0" w:color="auto"/>
            <w:right w:val="none" w:sz="0" w:space="0" w:color="auto"/>
          </w:divBdr>
        </w:div>
        <w:div w:id="1608539819">
          <w:marLeft w:val="1440"/>
          <w:marRight w:val="0"/>
          <w:marTop w:val="0"/>
          <w:marBottom w:val="0"/>
          <w:divBdr>
            <w:top w:val="none" w:sz="0" w:space="0" w:color="auto"/>
            <w:left w:val="none" w:sz="0" w:space="0" w:color="auto"/>
            <w:bottom w:val="none" w:sz="0" w:space="0" w:color="auto"/>
            <w:right w:val="none" w:sz="0" w:space="0" w:color="auto"/>
          </w:divBdr>
        </w:div>
        <w:div w:id="321542307">
          <w:marLeft w:val="1440"/>
          <w:marRight w:val="0"/>
          <w:marTop w:val="0"/>
          <w:marBottom w:val="0"/>
          <w:divBdr>
            <w:top w:val="none" w:sz="0" w:space="0" w:color="auto"/>
            <w:left w:val="none" w:sz="0" w:space="0" w:color="auto"/>
            <w:bottom w:val="none" w:sz="0" w:space="0" w:color="auto"/>
            <w:right w:val="none" w:sz="0" w:space="0" w:color="auto"/>
          </w:divBdr>
        </w:div>
        <w:div w:id="453452081">
          <w:marLeft w:val="1440"/>
          <w:marRight w:val="0"/>
          <w:marTop w:val="0"/>
          <w:marBottom w:val="0"/>
          <w:divBdr>
            <w:top w:val="none" w:sz="0" w:space="0" w:color="auto"/>
            <w:left w:val="none" w:sz="0" w:space="0" w:color="auto"/>
            <w:bottom w:val="none" w:sz="0" w:space="0" w:color="auto"/>
            <w:right w:val="none" w:sz="0" w:space="0" w:color="auto"/>
          </w:divBdr>
        </w:div>
        <w:div w:id="2022773957">
          <w:marLeft w:val="1440"/>
          <w:marRight w:val="0"/>
          <w:marTop w:val="0"/>
          <w:marBottom w:val="0"/>
          <w:divBdr>
            <w:top w:val="none" w:sz="0" w:space="0" w:color="auto"/>
            <w:left w:val="none" w:sz="0" w:space="0" w:color="auto"/>
            <w:bottom w:val="none" w:sz="0" w:space="0" w:color="auto"/>
            <w:right w:val="none" w:sz="0" w:space="0" w:color="auto"/>
          </w:divBdr>
        </w:div>
        <w:div w:id="1422919836">
          <w:marLeft w:val="1440"/>
          <w:marRight w:val="0"/>
          <w:marTop w:val="0"/>
          <w:marBottom w:val="0"/>
          <w:divBdr>
            <w:top w:val="none" w:sz="0" w:space="0" w:color="auto"/>
            <w:left w:val="none" w:sz="0" w:space="0" w:color="auto"/>
            <w:bottom w:val="none" w:sz="0" w:space="0" w:color="auto"/>
            <w:right w:val="none" w:sz="0" w:space="0" w:color="auto"/>
          </w:divBdr>
        </w:div>
        <w:div w:id="1691877960">
          <w:marLeft w:val="1440"/>
          <w:marRight w:val="0"/>
          <w:marTop w:val="0"/>
          <w:marBottom w:val="0"/>
          <w:divBdr>
            <w:top w:val="none" w:sz="0" w:space="0" w:color="auto"/>
            <w:left w:val="none" w:sz="0" w:space="0" w:color="auto"/>
            <w:bottom w:val="none" w:sz="0" w:space="0" w:color="auto"/>
            <w:right w:val="none" w:sz="0" w:space="0" w:color="auto"/>
          </w:divBdr>
        </w:div>
        <w:div w:id="708071684">
          <w:marLeft w:val="1440"/>
          <w:marRight w:val="0"/>
          <w:marTop w:val="0"/>
          <w:marBottom w:val="0"/>
          <w:divBdr>
            <w:top w:val="none" w:sz="0" w:space="0" w:color="auto"/>
            <w:left w:val="none" w:sz="0" w:space="0" w:color="auto"/>
            <w:bottom w:val="none" w:sz="0" w:space="0" w:color="auto"/>
            <w:right w:val="none" w:sz="0" w:space="0" w:color="auto"/>
          </w:divBdr>
        </w:div>
        <w:div w:id="1477916845">
          <w:marLeft w:val="1440"/>
          <w:marRight w:val="0"/>
          <w:marTop w:val="0"/>
          <w:marBottom w:val="0"/>
          <w:divBdr>
            <w:top w:val="none" w:sz="0" w:space="0" w:color="auto"/>
            <w:left w:val="none" w:sz="0" w:space="0" w:color="auto"/>
            <w:bottom w:val="none" w:sz="0" w:space="0" w:color="auto"/>
            <w:right w:val="none" w:sz="0" w:space="0" w:color="auto"/>
          </w:divBdr>
        </w:div>
      </w:divsChild>
    </w:div>
    <w:div w:id="1428501882">
      <w:bodyDiv w:val="1"/>
      <w:marLeft w:val="0"/>
      <w:marRight w:val="0"/>
      <w:marTop w:val="0"/>
      <w:marBottom w:val="0"/>
      <w:divBdr>
        <w:top w:val="none" w:sz="0" w:space="0" w:color="auto"/>
        <w:left w:val="none" w:sz="0" w:space="0" w:color="auto"/>
        <w:bottom w:val="none" w:sz="0" w:space="0" w:color="auto"/>
        <w:right w:val="none" w:sz="0" w:space="0" w:color="auto"/>
      </w:divBdr>
    </w:div>
    <w:div w:id="1451780870">
      <w:bodyDiv w:val="1"/>
      <w:marLeft w:val="0"/>
      <w:marRight w:val="0"/>
      <w:marTop w:val="0"/>
      <w:marBottom w:val="0"/>
      <w:divBdr>
        <w:top w:val="none" w:sz="0" w:space="0" w:color="auto"/>
        <w:left w:val="none" w:sz="0" w:space="0" w:color="auto"/>
        <w:bottom w:val="none" w:sz="0" w:space="0" w:color="auto"/>
        <w:right w:val="none" w:sz="0" w:space="0" w:color="auto"/>
      </w:divBdr>
    </w:div>
    <w:div w:id="1770200174">
      <w:bodyDiv w:val="1"/>
      <w:marLeft w:val="0"/>
      <w:marRight w:val="0"/>
      <w:marTop w:val="0"/>
      <w:marBottom w:val="0"/>
      <w:divBdr>
        <w:top w:val="none" w:sz="0" w:space="0" w:color="auto"/>
        <w:left w:val="none" w:sz="0" w:space="0" w:color="auto"/>
        <w:bottom w:val="none" w:sz="0" w:space="0" w:color="auto"/>
        <w:right w:val="none" w:sz="0" w:space="0" w:color="auto"/>
      </w:divBdr>
      <w:divsChild>
        <w:div w:id="68170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taratpower.com.j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E244A46-C39B-499D-B4FC-DB64BD9F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765</TotalTime>
  <Pages>8</Pages>
  <Words>3038</Words>
  <Characters>17046</Characters>
  <Application>Microsoft Office Word</Application>
  <DocSecurity>0</DocSecurity>
  <Lines>681</Lines>
  <Paragraphs>608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Khaleel Hamdan</cp:lastModifiedBy>
  <cp:revision>19</cp:revision>
  <cp:lastPrinted>2024-03-19T13:52:00Z</cp:lastPrinted>
  <dcterms:created xsi:type="dcterms:W3CDTF">2024-05-01T07:14:00Z</dcterms:created>
  <dcterms:modified xsi:type="dcterms:W3CDTF">2024-05-29T10:29:00Z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b45123ae845ce19a5740cb11ffd3035067f909aff48deacbcf214c1875473985</vt:lpwstr>
  </property>
</Properties>
</file>